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1E94" w14:textId="77777777" w:rsidR="00FA5A48" w:rsidRDefault="00FA5A48" w:rsidP="00CD6578">
      <w:pPr>
        <w:spacing w:line="360" w:lineRule="auto"/>
        <w:jc w:val="both"/>
        <w:rPr>
          <w:rFonts w:ascii="Times New Roman" w:hAnsi="Times New Roman" w:cs="Times New Roman"/>
          <w:b/>
          <w:sz w:val="24"/>
          <w:szCs w:val="24"/>
        </w:rPr>
      </w:pPr>
    </w:p>
    <w:p w14:paraId="7A4F631C" w14:textId="064C4CB7" w:rsidR="00360540" w:rsidRPr="00A44D95" w:rsidRDefault="00AE234A" w:rsidP="00CD6578">
      <w:pPr>
        <w:spacing w:line="360" w:lineRule="auto"/>
        <w:jc w:val="both"/>
        <w:rPr>
          <w:rFonts w:ascii="Times New Roman" w:hAnsi="Times New Roman" w:cs="Times New Roman"/>
          <w:b/>
        </w:rPr>
      </w:pPr>
      <w:r w:rsidRPr="00A44D95">
        <w:rPr>
          <w:rFonts w:ascii="Times New Roman" w:hAnsi="Times New Roman" w:cs="Times New Roman"/>
          <w:b/>
        </w:rPr>
        <w:t>T</w:t>
      </w:r>
      <w:r w:rsidR="00E562F8" w:rsidRPr="00A44D95">
        <w:rPr>
          <w:rFonts w:ascii="Times New Roman" w:hAnsi="Times New Roman" w:cs="Times New Roman"/>
          <w:b/>
        </w:rPr>
        <w:t>he</w:t>
      </w:r>
      <w:r w:rsidR="00F8431E" w:rsidRPr="00A44D95">
        <w:rPr>
          <w:rFonts w:ascii="Times New Roman" w:hAnsi="Times New Roman" w:cs="Times New Roman"/>
          <w:b/>
        </w:rPr>
        <w:t xml:space="preserve"> </w:t>
      </w:r>
      <w:r w:rsidR="00F8431E" w:rsidRPr="00A44D95">
        <w:rPr>
          <w:rFonts w:ascii="Times New Roman" w:hAnsi="Times New Roman" w:cs="Times New Roman"/>
          <w:b/>
          <w:i/>
        </w:rPr>
        <w:t>Chagos</w:t>
      </w:r>
      <w:r w:rsidR="005910AC" w:rsidRPr="00A44D95">
        <w:rPr>
          <w:rFonts w:ascii="Times New Roman" w:hAnsi="Times New Roman" w:cs="Times New Roman"/>
          <w:b/>
        </w:rPr>
        <w:t xml:space="preserve"> request</w:t>
      </w:r>
      <w:r w:rsidRPr="00A44D95">
        <w:rPr>
          <w:rFonts w:ascii="Times New Roman" w:hAnsi="Times New Roman" w:cs="Times New Roman"/>
          <w:b/>
        </w:rPr>
        <w:t>:  Does it herald</w:t>
      </w:r>
      <w:r w:rsidR="00FC0F12" w:rsidRPr="00A44D95">
        <w:rPr>
          <w:rFonts w:ascii="Times New Roman" w:hAnsi="Times New Roman" w:cs="Times New Roman"/>
          <w:b/>
        </w:rPr>
        <w:t xml:space="preserve"> a rejuvenation of</w:t>
      </w:r>
      <w:r w:rsidR="0006609E" w:rsidRPr="00A44D95">
        <w:rPr>
          <w:rFonts w:ascii="Times New Roman" w:hAnsi="Times New Roman" w:cs="Times New Roman"/>
          <w:b/>
        </w:rPr>
        <w:t xml:space="preserve"> </w:t>
      </w:r>
      <w:r w:rsidR="00FC0F12" w:rsidRPr="00A44D95">
        <w:rPr>
          <w:rFonts w:ascii="Times New Roman" w:hAnsi="Times New Roman" w:cs="Times New Roman"/>
          <w:b/>
        </w:rPr>
        <w:t xml:space="preserve">the </w:t>
      </w:r>
      <w:r w:rsidRPr="00A44D95">
        <w:rPr>
          <w:rFonts w:ascii="Times New Roman" w:hAnsi="Times New Roman" w:cs="Times New Roman"/>
          <w:b/>
        </w:rPr>
        <w:t xml:space="preserve">International </w:t>
      </w:r>
      <w:r w:rsidR="00FC0F12" w:rsidRPr="00A44D95">
        <w:rPr>
          <w:rFonts w:ascii="Times New Roman" w:hAnsi="Times New Roman" w:cs="Times New Roman"/>
          <w:b/>
        </w:rPr>
        <w:t>Court</w:t>
      </w:r>
      <w:r w:rsidRPr="00A44D95">
        <w:rPr>
          <w:rFonts w:ascii="Times New Roman" w:hAnsi="Times New Roman" w:cs="Times New Roman"/>
          <w:b/>
        </w:rPr>
        <w:t xml:space="preserve"> of Justice’</w:t>
      </w:r>
      <w:r w:rsidR="00FC0F12" w:rsidRPr="00A44D95">
        <w:rPr>
          <w:rFonts w:ascii="Times New Roman" w:hAnsi="Times New Roman" w:cs="Times New Roman"/>
          <w:b/>
        </w:rPr>
        <w:t>s</w:t>
      </w:r>
      <w:r w:rsidR="0086142B" w:rsidRPr="00A44D95">
        <w:rPr>
          <w:rFonts w:ascii="Times New Roman" w:hAnsi="Times New Roman" w:cs="Times New Roman"/>
          <w:b/>
        </w:rPr>
        <w:t xml:space="preserve"> advisory function</w:t>
      </w:r>
      <w:r w:rsidR="00C00058" w:rsidRPr="00A44D95">
        <w:rPr>
          <w:rFonts w:ascii="Times New Roman" w:hAnsi="Times New Roman" w:cs="Times New Roman"/>
          <w:b/>
        </w:rPr>
        <w:t>?</w:t>
      </w:r>
    </w:p>
    <w:p w14:paraId="529A2554" w14:textId="13B269B2" w:rsidR="004B7C2B" w:rsidRPr="00A44D95" w:rsidRDefault="00A1171F" w:rsidP="00A1171F">
      <w:pPr>
        <w:spacing w:line="360" w:lineRule="auto"/>
        <w:jc w:val="center"/>
        <w:rPr>
          <w:rFonts w:ascii="Times New Roman" w:hAnsi="Times New Roman" w:cs="Times New Roman"/>
        </w:rPr>
      </w:pPr>
      <w:r w:rsidRPr="00A44D95">
        <w:rPr>
          <w:rFonts w:ascii="Times New Roman" w:hAnsi="Times New Roman" w:cs="Times New Roman"/>
        </w:rPr>
        <w:t>ABSTRACT</w:t>
      </w:r>
    </w:p>
    <w:p w14:paraId="7E96F788" w14:textId="66CB0D63" w:rsidR="008F1341" w:rsidRPr="00A44D95" w:rsidRDefault="008F1341" w:rsidP="00CD6578">
      <w:pPr>
        <w:spacing w:line="360" w:lineRule="auto"/>
        <w:jc w:val="both"/>
        <w:rPr>
          <w:rFonts w:ascii="Times New Roman" w:hAnsi="Times New Roman" w:cs="Times New Roman"/>
        </w:rPr>
      </w:pPr>
      <w:r w:rsidRPr="00A44D95">
        <w:rPr>
          <w:rFonts w:ascii="Times New Roman" w:hAnsi="Times New Roman" w:cs="Times New Roman"/>
        </w:rPr>
        <w:t>The Inter</w:t>
      </w:r>
      <w:r w:rsidR="00F33CD1" w:rsidRPr="00A44D95">
        <w:rPr>
          <w:rFonts w:ascii="Times New Roman" w:hAnsi="Times New Roman" w:cs="Times New Roman"/>
        </w:rPr>
        <w:t xml:space="preserve">national Court of Justice </w:t>
      </w:r>
      <w:r w:rsidRPr="00A44D95">
        <w:rPr>
          <w:rFonts w:ascii="Times New Roman" w:hAnsi="Times New Roman" w:cs="Times New Roman"/>
        </w:rPr>
        <w:t xml:space="preserve">has </w:t>
      </w:r>
      <w:r w:rsidR="00F33CD1" w:rsidRPr="00A44D95">
        <w:rPr>
          <w:rFonts w:ascii="Times New Roman" w:hAnsi="Times New Roman" w:cs="Times New Roman"/>
        </w:rPr>
        <w:t xml:space="preserve">been open for business for </w:t>
      </w:r>
      <w:r w:rsidRPr="00A44D95">
        <w:rPr>
          <w:rFonts w:ascii="Times New Roman" w:hAnsi="Times New Roman" w:cs="Times New Roman"/>
        </w:rPr>
        <w:t>over s</w:t>
      </w:r>
      <w:r w:rsidR="00E50E38" w:rsidRPr="00A44D95">
        <w:rPr>
          <w:rFonts w:ascii="Times New Roman" w:hAnsi="Times New Roman" w:cs="Times New Roman"/>
        </w:rPr>
        <w:t>eventy years and h</w:t>
      </w:r>
      <w:r w:rsidR="00F33CD1" w:rsidRPr="00A44D95">
        <w:rPr>
          <w:rFonts w:ascii="Times New Roman" w:hAnsi="Times New Roman" w:cs="Times New Roman"/>
        </w:rPr>
        <w:t xml:space="preserve">as given twenty six </w:t>
      </w:r>
      <w:r w:rsidRPr="00A44D95">
        <w:rPr>
          <w:rFonts w:ascii="Times New Roman" w:hAnsi="Times New Roman" w:cs="Times New Roman"/>
        </w:rPr>
        <w:t>advis</w:t>
      </w:r>
      <w:r w:rsidR="00F33CD1" w:rsidRPr="00A44D95">
        <w:rPr>
          <w:rFonts w:ascii="Times New Roman" w:hAnsi="Times New Roman" w:cs="Times New Roman"/>
        </w:rPr>
        <w:t>ory opinions</w:t>
      </w:r>
      <w:r w:rsidR="00E50E38" w:rsidRPr="00A44D95">
        <w:rPr>
          <w:rFonts w:ascii="Times New Roman" w:hAnsi="Times New Roman" w:cs="Times New Roman"/>
        </w:rPr>
        <w:t>.  There have been</w:t>
      </w:r>
      <w:r w:rsidRPr="00A44D95">
        <w:rPr>
          <w:rFonts w:ascii="Times New Roman" w:hAnsi="Times New Roman" w:cs="Times New Roman"/>
        </w:rPr>
        <w:t xml:space="preserve"> peaks and troughs of </w:t>
      </w:r>
      <w:r w:rsidR="00AA1E39" w:rsidRPr="00A44D95">
        <w:rPr>
          <w:rFonts w:ascii="Times New Roman" w:hAnsi="Times New Roman" w:cs="Times New Roman"/>
        </w:rPr>
        <w:t xml:space="preserve">activity </w:t>
      </w:r>
      <w:r w:rsidR="0061348A" w:rsidRPr="00A44D95">
        <w:rPr>
          <w:rFonts w:ascii="Times New Roman" w:hAnsi="Times New Roman" w:cs="Times New Roman"/>
        </w:rPr>
        <w:t xml:space="preserve">and at times </w:t>
      </w:r>
      <w:r w:rsidRPr="00A44D95">
        <w:rPr>
          <w:rFonts w:ascii="Times New Roman" w:hAnsi="Times New Roman" w:cs="Times New Roman"/>
        </w:rPr>
        <w:t xml:space="preserve">the issues </w:t>
      </w:r>
      <w:r w:rsidR="0061348A" w:rsidRPr="00A44D95">
        <w:rPr>
          <w:rFonts w:ascii="Times New Roman" w:hAnsi="Times New Roman" w:cs="Times New Roman"/>
        </w:rPr>
        <w:t xml:space="preserve">the Court has </w:t>
      </w:r>
      <w:r w:rsidRPr="00A44D95">
        <w:rPr>
          <w:rFonts w:ascii="Times New Roman" w:hAnsi="Times New Roman" w:cs="Times New Roman"/>
        </w:rPr>
        <w:t>addressed h</w:t>
      </w:r>
      <w:r w:rsidR="0061348A" w:rsidRPr="00A44D95">
        <w:rPr>
          <w:rFonts w:ascii="Times New Roman" w:hAnsi="Times New Roman" w:cs="Times New Roman"/>
        </w:rPr>
        <w:t>ave seemed ill-</w:t>
      </w:r>
      <w:r w:rsidR="00713A79" w:rsidRPr="00A44D95">
        <w:rPr>
          <w:rFonts w:ascii="Times New Roman" w:hAnsi="Times New Roman" w:cs="Times New Roman"/>
        </w:rPr>
        <w:t>matched to its position as the principal judicial organ</w:t>
      </w:r>
      <w:r w:rsidR="0061348A" w:rsidRPr="00A44D95">
        <w:rPr>
          <w:rFonts w:ascii="Times New Roman" w:hAnsi="Times New Roman" w:cs="Times New Roman"/>
        </w:rPr>
        <w:t xml:space="preserve"> of the United Nations.</w:t>
      </w:r>
      <w:r w:rsidR="00F33CD1" w:rsidRPr="00A44D95">
        <w:rPr>
          <w:rFonts w:ascii="Times New Roman" w:hAnsi="Times New Roman" w:cs="Times New Roman"/>
        </w:rPr>
        <w:t xml:space="preserve">  This factor, </w:t>
      </w:r>
      <w:r w:rsidR="00AA1E39" w:rsidRPr="00A44D95">
        <w:rPr>
          <w:rFonts w:ascii="Times New Roman" w:hAnsi="Times New Roman" w:cs="Times New Roman"/>
        </w:rPr>
        <w:t>ta</w:t>
      </w:r>
      <w:r w:rsidR="00986346" w:rsidRPr="00A44D95">
        <w:rPr>
          <w:rFonts w:ascii="Times New Roman" w:hAnsi="Times New Roman" w:cs="Times New Roman"/>
        </w:rPr>
        <w:t xml:space="preserve">ken together with periods </w:t>
      </w:r>
      <w:r w:rsidR="00AA1E39" w:rsidRPr="00A44D95">
        <w:rPr>
          <w:rFonts w:ascii="Times New Roman" w:hAnsi="Times New Roman" w:cs="Times New Roman"/>
        </w:rPr>
        <w:t xml:space="preserve">of </w:t>
      </w:r>
      <w:r w:rsidR="00986346" w:rsidRPr="00A44D95">
        <w:rPr>
          <w:rFonts w:ascii="Times New Roman" w:hAnsi="Times New Roman" w:cs="Times New Roman"/>
        </w:rPr>
        <w:t xml:space="preserve">low activity, </w:t>
      </w:r>
      <w:r w:rsidR="00713A79" w:rsidRPr="00A44D95">
        <w:rPr>
          <w:rFonts w:ascii="Times New Roman" w:hAnsi="Times New Roman" w:cs="Times New Roman"/>
        </w:rPr>
        <w:t xml:space="preserve">could foster the perception that </w:t>
      </w:r>
      <w:r w:rsidR="00E50E38" w:rsidRPr="00A44D95">
        <w:rPr>
          <w:rFonts w:ascii="Times New Roman" w:hAnsi="Times New Roman" w:cs="Times New Roman"/>
        </w:rPr>
        <w:t>the advisory jurisdiction is</w:t>
      </w:r>
      <w:r w:rsidR="00464E7E" w:rsidRPr="00A44D95">
        <w:rPr>
          <w:rFonts w:ascii="Times New Roman" w:hAnsi="Times New Roman" w:cs="Times New Roman"/>
        </w:rPr>
        <w:t xml:space="preserve"> </w:t>
      </w:r>
      <w:r w:rsidR="00986346" w:rsidRPr="00A44D95">
        <w:rPr>
          <w:rFonts w:ascii="Times New Roman" w:hAnsi="Times New Roman" w:cs="Times New Roman"/>
        </w:rPr>
        <w:t xml:space="preserve">increasingly irrelevant, </w:t>
      </w:r>
      <w:r w:rsidR="005910AC" w:rsidRPr="00A44D95">
        <w:rPr>
          <w:rFonts w:ascii="Times New Roman" w:hAnsi="Times New Roman" w:cs="Times New Roman"/>
        </w:rPr>
        <w:t>particularly in the context of a proliferation of other international and</w:t>
      </w:r>
      <w:r w:rsidR="00AE234A" w:rsidRPr="00A44D95">
        <w:rPr>
          <w:rFonts w:ascii="Times New Roman" w:hAnsi="Times New Roman" w:cs="Times New Roman"/>
        </w:rPr>
        <w:t xml:space="preserve"> also </w:t>
      </w:r>
      <w:r w:rsidR="005910AC" w:rsidRPr="00A44D95">
        <w:rPr>
          <w:rFonts w:ascii="Times New Roman" w:hAnsi="Times New Roman" w:cs="Times New Roman"/>
        </w:rPr>
        <w:t>region</w:t>
      </w:r>
      <w:r w:rsidR="00986346" w:rsidRPr="00A44D95">
        <w:rPr>
          <w:rFonts w:ascii="Times New Roman" w:hAnsi="Times New Roman" w:cs="Times New Roman"/>
        </w:rPr>
        <w:t>al courts.</w:t>
      </w:r>
    </w:p>
    <w:p w14:paraId="00A30B74" w14:textId="2A6E8A38" w:rsidR="00713A79" w:rsidRPr="00A44D95" w:rsidRDefault="00E50E38" w:rsidP="00CD6578">
      <w:pPr>
        <w:spacing w:line="360" w:lineRule="auto"/>
        <w:jc w:val="both"/>
        <w:rPr>
          <w:rFonts w:ascii="Times New Roman" w:hAnsi="Times New Roman" w:cs="Times New Roman"/>
        </w:rPr>
      </w:pPr>
      <w:r w:rsidRPr="00A44D95">
        <w:rPr>
          <w:rFonts w:ascii="Times New Roman" w:hAnsi="Times New Roman" w:cs="Times New Roman"/>
        </w:rPr>
        <w:t>In June 2017, the General Assembly as</w:t>
      </w:r>
      <w:r w:rsidR="00713A79" w:rsidRPr="00A44D95">
        <w:rPr>
          <w:rFonts w:ascii="Times New Roman" w:hAnsi="Times New Roman" w:cs="Times New Roman"/>
        </w:rPr>
        <w:t xml:space="preserve">ked the Court’s opinion on the </w:t>
      </w:r>
      <w:r w:rsidRPr="00A44D95">
        <w:rPr>
          <w:rFonts w:ascii="Times New Roman" w:hAnsi="Times New Roman" w:cs="Times New Roman"/>
        </w:rPr>
        <w:t>legal consequences of the separation of the Chagos Arc</w:t>
      </w:r>
      <w:r w:rsidR="00713A79" w:rsidRPr="00A44D95">
        <w:rPr>
          <w:rFonts w:ascii="Times New Roman" w:hAnsi="Times New Roman" w:cs="Times New Roman"/>
        </w:rPr>
        <w:t>hipelago from Mauritius in 1965</w:t>
      </w:r>
      <w:r w:rsidRPr="00A44D95">
        <w:rPr>
          <w:rFonts w:ascii="Times New Roman" w:hAnsi="Times New Roman" w:cs="Times New Roman"/>
        </w:rPr>
        <w:t xml:space="preserve">.  </w:t>
      </w:r>
      <w:r w:rsidR="00713A79" w:rsidRPr="00A44D95">
        <w:rPr>
          <w:rFonts w:ascii="Times New Roman" w:hAnsi="Times New Roman" w:cs="Times New Roman"/>
        </w:rPr>
        <w:t>This</w:t>
      </w:r>
      <w:r w:rsidR="005910AC" w:rsidRPr="00A44D95">
        <w:rPr>
          <w:rFonts w:ascii="Times New Roman" w:hAnsi="Times New Roman" w:cs="Times New Roman"/>
        </w:rPr>
        <w:t xml:space="preserve"> request offers the stimulating pr</w:t>
      </w:r>
      <w:r w:rsidR="004C5463" w:rsidRPr="00A44D95">
        <w:rPr>
          <w:rFonts w:ascii="Times New Roman" w:hAnsi="Times New Roman" w:cs="Times New Roman"/>
        </w:rPr>
        <w:t xml:space="preserve">ospect of the Court turning its </w:t>
      </w:r>
      <w:r w:rsidR="005910AC" w:rsidRPr="00A44D95">
        <w:rPr>
          <w:rFonts w:ascii="Times New Roman" w:hAnsi="Times New Roman" w:cs="Times New Roman"/>
        </w:rPr>
        <w:t>a</w:t>
      </w:r>
      <w:r w:rsidR="004C5463" w:rsidRPr="00A44D95">
        <w:rPr>
          <w:rFonts w:ascii="Times New Roman" w:hAnsi="Times New Roman" w:cs="Times New Roman"/>
        </w:rPr>
        <w:t xml:space="preserve">ttention </w:t>
      </w:r>
      <w:r w:rsidR="00713A79" w:rsidRPr="00A44D95">
        <w:rPr>
          <w:rFonts w:ascii="Times New Roman" w:hAnsi="Times New Roman" w:cs="Times New Roman"/>
        </w:rPr>
        <w:t>back</w:t>
      </w:r>
      <w:r w:rsidR="00F33CD1" w:rsidRPr="00A44D95">
        <w:rPr>
          <w:rFonts w:ascii="Times New Roman" w:hAnsi="Times New Roman" w:cs="Times New Roman"/>
        </w:rPr>
        <w:t xml:space="preserve"> to substantive matter</w:t>
      </w:r>
      <w:r w:rsidR="005910AC" w:rsidRPr="00A44D95">
        <w:rPr>
          <w:rFonts w:ascii="Times New Roman" w:hAnsi="Times New Roman" w:cs="Times New Roman"/>
        </w:rPr>
        <w:t xml:space="preserve">s of real weight and importance: </w:t>
      </w:r>
      <w:r w:rsidR="00986346" w:rsidRPr="00A44D95">
        <w:rPr>
          <w:rFonts w:ascii="Times New Roman" w:hAnsi="Times New Roman" w:cs="Times New Roman"/>
          <w:i/>
        </w:rPr>
        <w:t>inter alia</w:t>
      </w:r>
      <w:r w:rsidR="005910AC" w:rsidRPr="00A44D95">
        <w:rPr>
          <w:rFonts w:ascii="Times New Roman" w:hAnsi="Times New Roman" w:cs="Times New Roman"/>
        </w:rPr>
        <w:t xml:space="preserve"> sovereignty, self-determination, territorial integ</w:t>
      </w:r>
      <w:r w:rsidR="0058251B" w:rsidRPr="00A44D95">
        <w:rPr>
          <w:rFonts w:ascii="Times New Roman" w:hAnsi="Times New Roman" w:cs="Times New Roman"/>
        </w:rPr>
        <w:t>rity and human rights</w:t>
      </w:r>
      <w:r w:rsidR="004B33C6" w:rsidRPr="00A44D95">
        <w:rPr>
          <w:rFonts w:ascii="Times New Roman" w:hAnsi="Times New Roman" w:cs="Times New Roman"/>
        </w:rPr>
        <w:t xml:space="preserve">.  </w:t>
      </w:r>
    </w:p>
    <w:p w14:paraId="09FB1C1D" w14:textId="587821C4" w:rsidR="0061348A" w:rsidRPr="00A44D95" w:rsidRDefault="00863CFE" w:rsidP="00CD6578">
      <w:pPr>
        <w:spacing w:line="360" w:lineRule="auto"/>
        <w:jc w:val="both"/>
        <w:rPr>
          <w:rFonts w:ascii="Times New Roman" w:hAnsi="Times New Roman" w:cs="Times New Roman"/>
        </w:rPr>
      </w:pPr>
      <w:r w:rsidRPr="00A44D95">
        <w:rPr>
          <w:rFonts w:ascii="Times New Roman" w:hAnsi="Times New Roman" w:cs="Times New Roman"/>
        </w:rPr>
        <w:t>Now</w:t>
      </w:r>
      <w:r w:rsidR="00713A79" w:rsidRPr="00A44D95">
        <w:rPr>
          <w:rFonts w:ascii="Times New Roman" w:hAnsi="Times New Roman" w:cs="Times New Roman"/>
        </w:rPr>
        <w:t xml:space="preserve"> is an </w:t>
      </w:r>
      <w:r w:rsidR="005910AC" w:rsidRPr="00A44D95">
        <w:rPr>
          <w:rFonts w:ascii="Times New Roman" w:hAnsi="Times New Roman" w:cs="Times New Roman"/>
        </w:rPr>
        <w:t xml:space="preserve">opportune moment </w:t>
      </w:r>
      <w:r w:rsidR="00540381" w:rsidRPr="00A44D95">
        <w:rPr>
          <w:rFonts w:ascii="Times New Roman" w:hAnsi="Times New Roman" w:cs="Times New Roman"/>
        </w:rPr>
        <w:t xml:space="preserve">to </w:t>
      </w:r>
      <w:r w:rsidRPr="00A44D95">
        <w:rPr>
          <w:rFonts w:ascii="Times New Roman" w:hAnsi="Times New Roman" w:cs="Times New Roman"/>
        </w:rPr>
        <w:t xml:space="preserve">take stock </w:t>
      </w:r>
      <w:r w:rsidR="00713A79" w:rsidRPr="00A44D95">
        <w:rPr>
          <w:rFonts w:ascii="Times New Roman" w:hAnsi="Times New Roman" w:cs="Times New Roman"/>
        </w:rPr>
        <w:t xml:space="preserve">and this article will </w:t>
      </w:r>
      <w:r w:rsidR="00540381" w:rsidRPr="00A44D95">
        <w:rPr>
          <w:rFonts w:ascii="Times New Roman" w:hAnsi="Times New Roman" w:cs="Times New Roman"/>
        </w:rPr>
        <w:t>assess</w:t>
      </w:r>
      <w:r w:rsidR="005910AC" w:rsidRPr="00A44D95">
        <w:rPr>
          <w:rFonts w:ascii="Times New Roman" w:hAnsi="Times New Roman" w:cs="Times New Roman"/>
        </w:rPr>
        <w:t xml:space="preserve"> </w:t>
      </w:r>
      <w:r w:rsidR="00AE234A" w:rsidRPr="00A44D95">
        <w:rPr>
          <w:rFonts w:ascii="Times New Roman" w:hAnsi="Times New Roman" w:cs="Times New Roman"/>
        </w:rPr>
        <w:t xml:space="preserve">the scope of the Court’s </w:t>
      </w:r>
      <w:r w:rsidR="005910AC" w:rsidRPr="00A44D95">
        <w:rPr>
          <w:rFonts w:ascii="Times New Roman" w:hAnsi="Times New Roman" w:cs="Times New Roman"/>
        </w:rPr>
        <w:t>advisory opinion</w:t>
      </w:r>
      <w:r w:rsidR="00464E7E" w:rsidRPr="00A44D95">
        <w:rPr>
          <w:rFonts w:ascii="Times New Roman" w:hAnsi="Times New Roman" w:cs="Times New Roman"/>
        </w:rPr>
        <w:t xml:space="preserve"> process</w:t>
      </w:r>
      <w:r w:rsidR="00AE234A" w:rsidRPr="00A44D95">
        <w:rPr>
          <w:rFonts w:ascii="Times New Roman" w:hAnsi="Times New Roman" w:cs="Times New Roman"/>
        </w:rPr>
        <w:t>, how it</w:t>
      </w:r>
      <w:r w:rsidR="00464E7E" w:rsidRPr="00A44D95">
        <w:rPr>
          <w:rFonts w:ascii="Times New Roman" w:hAnsi="Times New Roman" w:cs="Times New Roman"/>
        </w:rPr>
        <w:t xml:space="preserve"> has been used to date and</w:t>
      </w:r>
      <w:r w:rsidR="00540381" w:rsidRPr="00A44D95">
        <w:rPr>
          <w:rFonts w:ascii="Times New Roman" w:hAnsi="Times New Roman" w:cs="Times New Roman"/>
        </w:rPr>
        <w:t xml:space="preserve"> </w:t>
      </w:r>
      <w:r w:rsidR="00B33981" w:rsidRPr="00A44D95">
        <w:rPr>
          <w:rFonts w:ascii="Times New Roman" w:hAnsi="Times New Roman" w:cs="Times New Roman"/>
        </w:rPr>
        <w:t xml:space="preserve">whether it can </w:t>
      </w:r>
      <w:r w:rsidR="00053337" w:rsidRPr="00A44D95">
        <w:rPr>
          <w:rFonts w:ascii="Times New Roman" w:hAnsi="Times New Roman" w:cs="Times New Roman"/>
        </w:rPr>
        <w:t xml:space="preserve">be </w:t>
      </w:r>
      <w:r w:rsidR="00B33981" w:rsidRPr="00A44D95">
        <w:rPr>
          <w:rFonts w:ascii="Times New Roman" w:hAnsi="Times New Roman" w:cs="Times New Roman"/>
        </w:rPr>
        <w:t>better used in the future</w:t>
      </w:r>
      <w:r w:rsidR="00AE234A" w:rsidRPr="00A44D95">
        <w:rPr>
          <w:rFonts w:ascii="Times New Roman" w:hAnsi="Times New Roman" w:cs="Times New Roman"/>
        </w:rPr>
        <w:t xml:space="preserve">.  </w:t>
      </w:r>
      <w:r w:rsidR="00F33CD1" w:rsidRPr="00A44D95">
        <w:rPr>
          <w:rFonts w:ascii="Times New Roman" w:hAnsi="Times New Roman" w:cs="Times New Roman"/>
        </w:rPr>
        <w:t xml:space="preserve">It will </w:t>
      </w:r>
      <w:r w:rsidR="00464E7E" w:rsidRPr="00A44D95">
        <w:rPr>
          <w:rFonts w:ascii="Times New Roman" w:hAnsi="Times New Roman" w:cs="Times New Roman"/>
        </w:rPr>
        <w:t xml:space="preserve">conclude that </w:t>
      </w:r>
      <w:r w:rsidR="00053337" w:rsidRPr="00A44D95">
        <w:rPr>
          <w:rFonts w:ascii="Times New Roman" w:hAnsi="Times New Roman" w:cs="Times New Roman"/>
        </w:rPr>
        <w:t xml:space="preserve">change in itself is not needed and that </w:t>
      </w:r>
      <w:r w:rsidR="00AE234A" w:rsidRPr="00A44D95">
        <w:rPr>
          <w:rFonts w:ascii="Times New Roman" w:hAnsi="Times New Roman" w:cs="Times New Roman"/>
        </w:rPr>
        <w:t xml:space="preserve">the </w:t>
      </w:r>
      <w:r w:rsidR="008E3A09" w:rsidRPr="00A44D95">
        <w:rPr>
          <w:rFonts w:ascii="Times New Roman" w:hAnsi="Times New Roman" w:cs="Times New Roman"/>
        </w:rPr>
        <w:t xml:space="preserve">Court’s response to the </w:t>
      </w:r>
      <w:r w:rsidR="00AE234A" w:rsidRPr="00A44D95">
        <w:rPr>
          <w:rFonts w:ascii="Times New Roman" w:hAnsi="Times New Roman" w:cs="Times New Roman"/>
          <w:i/>
        </w:rPr>
        <w:t>Chagos</w:t>
      </w:r>
      <w:r w:rsidR="00AE234A" w:rsidRPr="00A44D95">
        <w:rPr>
          <w:rFonts w:ascii="Times New Roman" w:hAnsi="Times New Roman" w:cs="Times New Roman"/>
        </w:rPr>
        <w:t xml:space="preserve"> request, with its f</w:t>
      </w:r>
      <w:r w:rsidR="00137CC0" w:rsidRPr="00A44D95">
        <w:rPr>
          <w:rFonts w:ascii="Times New Roman" w:hAnsi="Times New Roman" w:cs="Times New Roman"/>
        </w:rPr>
        <w:t>ocus on fundamental questions</w:t>
      </w:r>
      <w:r w:rsidR="00464E7E" w:rsidRPr="00A44D95">
        <w:rPr>
          <w:rFonts w:ascii="Times New Roman" w:hAnsi="Times New Roman" w:cs="Times New Roman"/>
        </w:rPr>
        <w:t xml:space="preserve"> </w:t>
      </w:r>
      <w:r w:rsidR="00713A79" w:rsidRPr="00A44D95">
        <w:rPr>
          <w:rFonts w:ascii="Times New Roman" w:hAnsi="Times New Roman" w:cs="Times New Roman"/>
        </w:rPr>
        <w:t>of international law</w:t>
      </w:r>
      <w:r w:rsidR="00AE234A" w:rsidRPr="00A44D95">
        <w:rPr>
          <w:rFonts w:ascii="Times New Roman" w:hAnsi="Times New Roman" w:cs="Times New Roman"/>
        </w:rPr>
        <w:t>,</w:t>
      </w:r>
      <w:r w:rsidR="00713A79" w:rsidRPr="00A44D95">
        <w:rPr>
          <w:rFonts w:ascii="Times New Roman" w:hAnsi="Times New Roman" w:cs="Times New Roman"/>
        </w:rPr>
        <w:t xml:space="preserve"> c</w:t>
      </w:r>
      <w:r w:rsidR="00E50E38" w:rsidRPr="00A44D95">
        <w:rPr>
          <w:rFonts w:ascii="Times New Roman" w:hAnsi="Times New Roman" w:cs="Times New Roman"/>
        </w:rPr>
        <w:t>ould revitalise</w:t>
      </w:r>
      <w:r w:rsidR="00464E7E" w:rsidRPr="00A44D95">
        <w:rPr>
          <w:rFonts w:ascii="Times New Roman" w:hAnsi="Times New Roman" w:cs="Times New Roman"/>
        </w:rPr>
        <w:t xml:space="preserve"> the </w:t>
      </w:r>
      <w:r w:rsidR="008E3A09" w:rsidRPr="00A44D95">
        <w:rPr>
          <w:rFonts w:ascii="Times New Roman" w:hAnsi="Times New Roman" w:cs="Times New Roman"/>
        </w:rPr>
        <w:t xml:space="preserve">Court’s advisory function </w:t>
      </w:r>
      <w:r w:rsidR="00713A79" w:rsidRPr="00A44D95">
        <w:rPr>
          <w:rFonts w:ascii="Times New Roman" w:hAnsi="Times New Roman" w:cs="Times New Roman"/>
        </w:rPr>
        <w:t xml:space="preserve">and </w:t>
      </w:r>
      <w:r w:rsidR="00053337" w:rsidRPr="00A44D95">
        <w:rPr>
          <w:rFonts w:ascii="Times New Roman" w:hAnsi="Times New Roman" w:cs="Times New Roman"/>
        </w:rPr>
        <w:t xml:space="preserve">help to </w:t>
      </w:r>
      <w:r w:rsidR="00713A79" w:rsidRPr="00A44D95">
        <w:rPr>
          <w:rFonts w:ascii="Times New Roman" w:hAnsi="Times New Roman" w:cs="Times New Roman"/>
        </w:rPr>
        <w:t xml:space="preserve">reinforce </w:t>
      </w:r>
      <w:r w:rsidR="00464E7E" w:rsidRPr="00A44D95">
        <w:rPr>
          <w:rFonts w:ascii="Times New Roman" w:hAnsi="Times New Roman" w:cs="Times New Roman"/>
        </w:rPr>
        <w:t>its standing</w:t>
      </w:r>
      <w:r w:rsidR="00053337" w:rsidRPr="00A44D95">
        <w:rPr>
          <w:rFonts w:ascii="Times New Roman" w:hAnsi="Times New Roman" w:cs="Times New Roman"/>
        </w:rPr>
        <w:t xml:space="preserve"> in the international community.</w:t>
      </w:r>
      <w:r w:rsidR="00E50E38" w:rsidRPr="00A44D95">
        <w:rPr>
          <w:rFonts w:ascii="Times New Roman" w:hAnsi="Times New Roman" w:cs="Times New Roman"/>
        </w:rPr>
        <w:t xml:space="preserve"> </w:t>
      </w:r>
    </w:p>
    <w:p w14:paraId="01723625" w14:textId="77777777" w:rsidR="00230675" w:rsidRPr="00A44D95" w:rsidRDefault="00230675" w:rsidP="00CD6578">
      <w:pPr>
        <w:spacing w:line="360" w:lineRule="auto"/>
        <w:jc w:val="both"/>
        <w:rPr>
          <w:rFonts w:ascii="Times New Roman" w:hAnsi="Times New Roman" w:cs="Times New Roman"/>
        </w:rPr>
      </w:pPr>
    </w:p>
    <w:p w14:paraId="1593CB80" w14:textId="77777777" w:rsidR="004B7C2B" w:rsidRPr="00A44D95" w:rsidRDefault="004B7C2B" w:rsidP="00CD6578">
      <w:pPr>
        <w:spacing w:line="276" w:lineRule="auto"/>
        <w:jc w:val="both"/>
        <w:rPr>
          <w:rFonts w:ascii="Times New Roman" w:hAnsi="Times New Roman" w:cs="Times New Roman"/>
        </w:rPr>
      </w:pPr>
      <w:r w:rsidRPr="00A44D95">
        <w:rPr>
          <w:rFonts w:ascii="Times New Roman" w:hAnsi="Times New Roman" w:cs="Times New Roman"/>
        </w:rPr>
        <w:br w:type="page"/>
      </w:r>
    </w:p>
    <w:p w14:paraId="75853F93" w14:textId="77777777" w:rsidR="00AE234A" w:rsidRPr="0006609E" w:rsidRDefault="00AE234A" w:rsidP="00AE234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Pr="00F8431E">
        <w:rPr>
          <w:rFonts w:ascii="Times New Roman" w:hAnsi="Times New Roman" w:cs="Times New Roman"/>
          <w:b/>
          <w:i/>
          <w:sz w:val="24"/>
          <w:szCs w:val="24"/>
        </w:rPr>
        <w:t>Chagos</w:t>
      </w:r>
      <w:r>
        <w:rPr>
          <w:rFonts w:ascii="Times New Roman" w:hAnsi="Times New Roman" w:cs="Times New Roman"/>
          <w:b/>
          <w:sz w:val="24"/>
          <w:szCs w:val="24"/>
        </w:rPr>
        <w:t xml:space="preserve"> request:  Does it herald a rejuvenation of</w:t>
      </w:r>
      <w:r w:rsidRPr="0006609E">
        <w:rPr>
          <w:rFonts w:ascii="Times New Roman" w:hAnsi="Times New Roman" w:cs="Times New Roman"/>
          <w:b/>
          <w:sz w:val="24"/>
          <w:szCs w:val="24"/>
        </w:rPr>
        <w:t xml:space="preserve"> </w:t>
      </w:r>
      <w:r>
        <w:rPr>
          <w:rFonts w:ascii="Times New Roman" w:hAnsi="Times New Roman" w:cs="Times New Roman"/>
          <w:b/>
          <w:sz w:val="24"/>
          <w:szCs w:val="24"/>
        </w:rPr>
        <w:t>the International Court of Justice’s advisory function?</w:t>
      </w:r>
    </w:p>
    <w:p w14:paraId="3468604F" w14:textId="7C5FD977" w:rsidR="00435870" w:rsidRPr="00A1171F" w:rsidRDefault="0050221F" w:rsidP="00A1171F">
      <w:pPr>
        <w:spacing w:line="360" w:lineRule="auto"/>
        <w:jc w:val="center"/>
        <w:rPr>
          <w:rFonts w:ascii="Times New Roman" w:hAnsi="Times New Roman" w:cs="Times New Roman"/>
        </w:rPr>
      </w:pPr>
      <w:r>
        <w:rPr>
          <w:rFonts w:ascii="Times New Roman" w:hAnsi="Times New Roman" w:cs="Times New Roman"/>
        </w:rPr>
        <w:t xml:space="preserve">I. </w:t>
      </w:r>
      <w:r w:rsidR="00A1171F">
        <w:rPr>
          <w:rFonts w:ascii="Times New Roman" w:hAnsi="Times New Roman" w:cs="Times New Roman"/>
        </w:rPr>
        <w:t>INTRODUCTION</w:t>
      </w:r>
    </w:p>
    <w:p w14:paraId="6DF5B802" w14:textId="3F10654C" w:rsidR="00E6018E" w:rsidRDefault="004C5463" w:rsidP="00CD6578">
      <w:pPr>
        <w:spacing w:line="360" w:lineRule="auto"/>
        <w:jc w:val="both"/>
        <w:rPr>
          <w:rFonts w:ascii="Times New Roman" w:hAnsi="Times New Roman" w:cs="Times New Roman"/>
        </w:rPr>
      </w:pPr>
      <w:r>
        <w:rPr>
          <w:rFonts w:ascii="Times New Roman" w:hAnsi="Times New Roman" w:cs="Times New Roman"/>
        </w:rPr>
        <w:t xml:space="preserve">The </w:t>
      </w:r>
      <w:r w:rsidR="008E3A09">
        <w:rPr>
          <w:rFonts w:ascii="Times New Roman" w:hAnsi="Times New Roman" w:cs="Times New Roman"/>
        </w:rPr>
        <w:t>International Court of Justice (</w:t>
      </w:r>
      <w:r>
        <w:rPr>
          <w:rFonts w:ascii="Times New Roman" w:hAnsi="Times New Roman" w:cs="Times New Roman"/>
        </w:rPr>
        <w:t>ICJ</w:t>
      </w:r>
      <w:r w:rsidR="008E3A09">
        <w:rPr>
          <w:rFonts w:ascii="Times New Roman" w:hAnsi="Times New Roman" w:cs="Times New Roman"/>
        </w:rPr>
        <w:t xml:space="preserve"> or Court)</w:t>
      </w:r>
      <w:r>
        <w:rPr>
          <w:rFonts w:ascii="Times New Roman" w:hAnsi="Times New Roman" w:cs="Times New Roman"/>
        </w:rPr>
        <w:t xml:space="preserve"> is the “principal judicial organ”</w:t>
      </w:r>
      <w:r w:rsidRPr="007B6CAE">
        <w:rPr>
          <w:rStyle w:val="FootnoteReference"/>
          <w:rFonts w:ascii="Times New Roman" w:hAnsi="Times New Roman" w:cs="Times New Roman"/>
        </w:rPr>
        <w:t xml:space="preserve"> </w:t>
      </w:r>
      <w:r w:rsidR="00E6018E">
        <w:rPr>
          <w:rFonts w:ascii="Times New Roman" w:hAnsi="Times New Roman" w:cs="Times New Roman"/>
        </w:rPr>
        <w:t>of the United Nations (UN)</w:t>
      </w:r>
      <w:r w:rsidR="00C649A3">
        <w:rPr>
          <w:rFonts w:ascii="Times New Roman" w:hAnsi="Times New Roman" w:cs="Times New Roman"/>
        </w:rPr>
        <w:t>.</w:t>
      </w:r>
      <w:r>
        <w:rPr>
          <w:rStyle w:val="FootnoteReference"/>
          <w:rFonts w:ascii="Times New Roman" w:hAnsi="Times New Roman" w:cs="Times New Roman"/>
        </w:rPr>
        <w:footnoteReference w:id="1"/>
      </w:r>
      <w:r w:rsidR="00C649A3">
        <w:rPr>
          <w:rFonts w:ascii="Times New Roman" w:hAnsi="Times New Roman" w:cs="Times New Roman"/>
        </w:rPr>
        <w:t xml:space="preserve">  This description</w:t>
      </w:r>
      <w:r w:rsidR="00E6018E">
        <w:rPr>
          <w:rFonts w:ascii="Times New Roman" w:hAnsi="Times New Roman" w:cs="Times New Roman"/>
        </w:rPr>
        <w:t xml:space="preserve"> </w:t>
      </w:r>
      <w:r w:rsidR="00C649A3">
        <w:rPr>
          <w:rFonts w:ascii="Times New Roman" w:hAnsi="Times New Roman" w:cs="Times New Roman"/>
        </w:rPr>
        <w:t xml:space="preserve">carries with it </w:t>
      </w:r>
      <w:r w:rsidR="00E6018E">
        <w:rPr>
          <w:rFonts w:ascii="Times New Roman" w:hAnsi="Times New Roman" w:cs="Times New Roman"/>
        </w:rPr>
        <w:t xml:space="preserve">gravitas and a presumption that the Court will be involved in matters of weight and moment to </w:t>
      </w:r>
      <w:r w:rsidR="00C649A3">
        <w:rPr>
          <w:rFonts w:ascii="Times New Roman" w:hAnsi="Times New Roman" w:cs="Times New Roman"/>
        </w:rPr>
        <w:t>the international community; it i</w:t>
      </w:r>
      <w:r>
        <w:rPr>
          <w:rFonts w:ascii="Times New Roman" w:hAnsi="Times New Roman" w:cs="Times New Roman"/>
        </w:rPr>
        <w:t>s an integral part of the machinery put in place in 1945 to achieve th</w:t>
      </w:r>
      <w:r w:rsidR="00E6018E">
        <w:rPr>
          <w:rFonts w:ascii="Times New Roman" w:hAnsi="Times New Roman" w:cs="Times New Roman"/>
        </w:rPr>
        <w:t xml:space="preserve">e aims of the peoples of the UN </w:t>
      </w:r>
      <w:r w:rsidR="00E6018E" w:rsidRPr="00E6018E">
        <w:rPr>
          <w:rFonts w:ascii="Times New Roman" w:hAnsi="Times New Roman" w:cs="Times New Roman"/>
        </w:rPr>
        <w:t>and should sit ready to deal with significant legal questions alongside its primary function as a forum for dispute settlement.</w:t>
      </w:r>
      <w:r w:rsidR="00E6018E">
        <w:rPr>
          <w:rFonts w:ascii="Times New Roman" w:hAnsi="Times New Roman" w:cs="Times New Roman"/>
        </w:rPr>
        <w:t xml:space="preserve">  </w:t>
      </w:r>
      <w:r>
        <w:rPr>
          <w:rFonts w:ascii="Times New Roman" w:hAnsi="Times New Roman" w:cs="Times New Roman"/>
        </w:rPr>
        <w:t xml:space="preserve">  </w:t>
      </w:r>
    </w:p>
    <w:p w14:paraId="70F31C7A" w14:textId="216A830F" w:rsidR="00FB6A93" w:rsidRDefault="004C5463" w:rsidP="00CD6578">
      <w:pPr>
        <w:spacing w:line="360" w:lineRule="auto"/>
        <w:jc w:val="both"/>
        <w:rPr>
          <w:rFonts w:ascii="Times New Roman" w:hAnsi="Times New Roman" w:cs="Times New Roman"/>
        </w:rPr>
      </w:pPr>
      <w:r>
        <w:rPr>
          <w:rFonts w:ascii="Times New Roman" w:hAnsi="Times New Roman" w:cs="Times New Roman"/>
        </w:rPr>
        <w:t>How the Court is perceived by states and what they want from it underpins con</w:t>
      </w:r>
      <w:r w:rsidR="00304203">
        <w:rPr>
          <w:rFonts w:ascii="Times New Roman" w:hAnsi="Times New Roman" w:cs="Times New Roman"/>
        </w:rPr>
        <w:t>sideration of its</w:t>
      </w:r>
      <w:r>
        <w:rPr>
          <w:rFonts w:ascii="Times New Roman" w:hAnsi="Times New Roman" w:cs="Times New Roman"/>
        </w:rPr>
        <w:t xml:space="preserve"> </w:t>
      </w:r>
      <w:r w:rsidR="00304203">
        <w:rPr>
          <w:rFonts w:ascii="Times New Roman" w:hAnsi="Times New Roman" w:cs="Times New Roman"/>
        </w:rPr>
        <w:t xml:space="preserve">current and potential future </w:t>
      </w:r>
      <w:r w:rsidR="00E6018E">
        <w:rPr>
          <w:rFonts w:ascii="Times New Roman" w:hAnsi="Times New Roman" w:cs="Times New Roman"/>
        </w:rPr>
        <w:t xml:space="preserve">activities.  </w:t>
      </w:r>
      <w:r w:rsidR="00094157">
        <w:rPr>
          <w:rFonts w:ascii="Times New Roman" w:hAnsi="Times New Roman" w:cs="Times New Roman"/>
        </w:rPr>
        <w:t>Since February 2012, when its most recent advisory opinion was given</w:t>
      </w:r>
      <w:r w:rsidR="00C649A3">
        <w:rPr>
          <w:rFonts w:ascii="Times New Roman" w:hAnsi="Times New Roman" w:cs="Times New Roman"/>
        </w:rPr>
        <w:t>,</w:t>
      </w:r>
      <w:r w:rsidR="00094157">
        <w:rPr>
          <w:rStyle w:val="FootnoteReference"/>
          <w:rFonts w:ascii="Times New Roman" w:hAnsi="Times New Roman" w:cs="Times New Roman"/>
        </w:rPr>
        <w:footnoteReference w:id="2"/>
      </w:r>
      <w:r w:rsidR="00C649A3">
        <w:rPr>
          <w:rFonts w:ascii="Times New Roman" w:hAnsi="Times New Roman" w:cs="Times New Roman"/>
        </w:rPr>
        <w:t xml:space="preserve"> the advisory function of the ICJ </w:t>
      </w:r>
      <w:r w:rsidR="00094157">
        <w:rPr>
          <w:rFonts w:ascii="Times New Roman" w:hAnsi="Times New Roman" w:cs="Times New Roman"/>
        </w:rPr>
        <w:t xml:space="preserve">has been in one of its hiatus periods.  </w:t>
      </w:r>
      <w:r w:rsidR="00F51547">
        <w:rPr>
          <w:rFonts w:ascii="Times New Roman" w:hAnsi="Times New Roman" w:cs="Times New Roman"/>
        </w:rPr>
        <w:t>The request o</w:t>
      </w:r>
      <w:r w:rsidR="00114585">
        <w:rPr>
          <w:rFonts w:ascii="Times New Roman" w:hAnsi="Times New Roman" w:cs="Times New Roman"/>
        </w:rPr>
        <w:t xml:space="preserve">n </w:t>
      </w:r>
      <w:r w:rsidR="00F51547">
        <w:rPr>
          <w:rFonts w:ascii="Times New Roman" w:hAnsi="Times New Roman" w:cs="Times New Roman"/>
        </w:rPr>
        <w:t xml:space="preserve">15 </w:t>
      </w:r>
      <w:r w:rsidR="00114585">
        <w:rPr>
          <w:rFonts w:ascii="Times New Roman" w:hAnsi="Times New Roman" w:cs="Times New Roman"/>
        </w:rPr>
        <w:t>June 2017 from the General Assembly (Assembly)</w:t>
      </w:r>
      <w:r w:rsidR="009E249D">
        <w:rPr>
          <w:rFonts w:ascii="Times New Roman" w:hAnsi="Times New Roman" w:cs="Times New Roman"/>
        </w:rPr>
        <w:t xml:space="preserve"> for an advisory opinion </w:t>
      </w:r>
      <w:r w:rsidR="00114585">
        <w:rPr>
          <w:rFonts w:ascii="Times New Roman" w:hAnsi="Times New Roman" w:cs="Times New Roman"/>
        </w:rPr>
        <w:t>“on the legal consequences of the separation of the Chagos Archipelago from Mauritius in 1965”</w:t>
      </w:r>
      <w:r w:rsidR="003A3B9A">
        <w:rPr>
          <w:rFonts w:ascii="Times New Roman" w:hAnsi="Times New Roman" w:cs="Times New Roman"/>
        </w:rPr>
        <w:t xml:space="preserve"> (</w:t>
      </w:r>
      <w:r w:rsidR="003A3B9A" w:rsidRPr="003A3B9A">
        <w:rPr>
          <w:rFonts w:ascii="Times New Roman" w:hAnsi="Times New Roman" w:cs="Times New Roman"/>
          <w:i/>
        </w:rPr>
        <w:t xml:space="preserve">Chagos </w:t>
      </w:r>
      <w:r w:rsidR="003A3B9A" w:rsidRPr="003A3B9A">
        <w:rPr>
          <w:rFonts w:ascii="Times New Roman" w:hAnsi="Times New Roman" w:cs="Times New Roman"/>
        </w:rPr>
        <w:t>request</w:t>
      </w:r>
      <w:r w:rsidR="003A3B9A">
        <w:rPr>
          <w:rFonts w:ascii="Times New Roman" w:hAnsi="Times New Roman" w:cs="Times New Roman"/>
        </w:rPr>
        <w:t>)</w:t>
      </w:r>
      <w:r w:rsidR="00114585">
        <w:rPr>
          <w:rStyle w:val="FootnoteReference"/>
          <w:rFonts w:ascii="Times New Roman" w:hAnsi="Times New Roman" w:cs="Times New Roman"/>
        </w:rPr>
        <w:footnoteReference w:id="3"/>
      </w:r>
      <w:r w:rsidR="00114585">
        <w:rPr>
          <w:rFonts w:ascii="Times New Roman" w:hAnsi="Times New Roman" w:cs="Times New Roman"/>
        </w:rPr>
        <w:t xml:space="preserve"> is an opportune moment to reflect on the scope of the</w:t>
      </w:r>
      <w:r w:rsidR="009E249D">
        <w:rPr>
          <w:rFonts w:ascii="Times New Roman" w:hAnsi="Times New Roman" w:cs="Times New Roman"/>
        </w:rPr>
        <w:t xml:space="preserve"> ICJ’s advisory function, its activity</w:t>
      </w:r>
      <w:r w:rsidR="00114585">
        <w:rPr>
          <w:rFonts w:ascii="Times New Roman" w:hAnsi="Times New Roman" w:cs="Times New Roman"/>
        </w:rPr>
        <w:t xml:space="preserve"> over the years and </w:t>
      </w:r>
      <w:r w:rsidR="009E249D">
        <w:rPr>
          <w:rFonts w:ascii="Times New Roman" w:hAnsi="Times New Roman" w:cs="Times New Roman"/>
        </w:rPr>
        <w:t xml:space="preserve">whether it can be </w:t>
      </w:r>
      <w:r w:rsidR="00162CDA">
        <w:rPr>
          <w:rFonts w:ascii="Times New Roman" w:hAnsi="Times New Roman" w:cs="Times New Roman"/>
        </w:rPr>
        <w:t xml:space="preserve">better </w:t>
      </w:r>
      <w:r w:rsidR="009E249D">
        <w:rPr>
          <w:rFonts w:ascii="Times New Roman" w:hAnsi="Times New Roman" w:cs="Times New Roman"/>
        </w:rPr>
        <w:t xml:space="preserve">used </w:t>
      </w:r>
      <w:r w:rsidR="00304203">
        <w:rPr>
          <w:rFonts w:ascii="Times New Roman" w:hAnsi="Times New Roman" w:cs="Times New Roman"/>
        </w:rPr>
        <w:t xml:space="preserve">in the future </w:t>
      </w:r>
      <w:r w:rsidR="00CA1B66">
        <w:rPr>
          <w:rFonts w:ascii="Times New Roman" w:hAnsi="Times New Roman" w:cs="Times New Roman"/>
        </w:rPr>
        <w:t xml:space="preserve">to </w:t>
      </w:r>
      <w:r w:rsidR="00EC6C2B">
        <w:rPr>
          <w:rFonts w:ascii="Times New Roman" w:hAnsi="Times New Roman" w:cs="Times New Roman"/>
        </w:rPr>
        <w:t xml:space="preserve">address and </w:t>
      </w:r>
      <w:r w:rsidR="00CA1B66">
        <w:rPr>
          <w:rFonts w:ascii="Times New Roman" w:hAnsi="Times New Roman" w:cs="Times New Roman"/>
        </w:rPr>
        <w:t xml:space="preserve">clarify </w:t>
      </w:r>
      <w:r w:rsidR="0075308D">
        <w:rPr>
          <w:rFonts w:ascii="Times New Roman" w:hAnsi="Times New Roman" w:cs="Times New Roman"/>
        </w:rPr>
        <w:t xml:space="preserve">questions of </w:t>
      </w:r>
      <w:r w:rsidR="00114585">
        <w:rPr>
          <w:rFonts w:ascii="Times New Roman" w:hAnsi="Times New Roman" w:cs="Times New Roman"/>
        </w:rPr>
        <w:t>international law of fundamental importance.</w:t>
      </w:r>
      <w:r>
        <w:rPr>
          <w:rFonts w:ascii="Times New Roman" w:hAnsi="Times New Roman" w:cs="Times New Roman"/>
        </w:rPr>
        <w:t xml:space="preserve">  </w:t>
      </w:r>
      <w:r w:rsidR="00304203">
        <w:rPr>
          <w:rFonts w:ascii="Times New Roman" w:hAnsi="Times New Roman" w:cs="Times New Roman"/>
        </w:rPr>
        <w:t>I</w:t>
      </w:r>
      <w:r w:rsidR="00F14C6D" w:rsidRPr="004C5463">
        <w:rPr>
          <w:rFonts w:ascii="Times New Roman" w:hAnsi="Times New Roman" w:cs="Times New Roman"/>
        </w:rPr>
        <w:t>t will be seen</w:t>
      </w:r>
      <w:r w:rsidR="00830EF8">
        <w:rPr>
          <w:rFonts w:ascii="Times New Roman" w:hAnsi="Times New Roman" w:cs="Times New Roman"/>
        </w:rPr>
        <w:t xml:space="preserve"> </w:t>
      </w:r>
      <w:r w:rsidR="00F14C6D" w:rsidRPr="004C5463">
        <w:rPr>
          <w:rFonts w:ascii="Times New Roman" w:hAnsi="Times New Roman" w:cs="Times New Roman"/>
        </w:rPr>
        <w:t xml:space="preserve">that </w:t>
      </w:r>
      <w:r w:rsidRPr="004C5463">
        <w:rPr>
          <w:rFonts w:ascii="Times New Roman" w:hAnsi="Times New Roman" w:cs="Times New Roman"/>
        </w:rPr>
        <w:t>although states are not the direct users of the advisory process, t</w:t>
      </w:r>
      <w:r w:rsidR="00FB6A93" w:rsidRPr="004C5463">
        <w:rPr>
          <w:rFonts w:ascii="Times New Roman" w:hAnsi="Times New Roman" w:cs="Times New Roman"/>
        </w:rPr>
        <w:t>he mechanics for implementing chang</w:t>
      </w:r>
      <w:r w:rsidR="004C77C8" w:rsidRPr="004C5463">
        <w:rPr>
          <w:rFonts w:ascii="Times New Roman" w:hAnsi="Times New Roman" w:cs="Times New Roman"/>
        </w:rPr>
        <w:t xml:space="preserve">e </w:t>
      </w:r>
      <w:r w:rsidR="00F14C6D" w:rsidRPr="004C5463">
        <w:rPr>
          <w:rFonts w:ascii="Times New Roman" w:hAnsi="Times New Roman" w:cs="Times New Roman"/>
        </w:rPr>
        <w:t xml:space="preserve">mean </w:t>
      </w:r>
      <w:r w:rsidRPr="004C5463">
        <w:rPr>
          <w:rFonts w:ascii="Times New Roman" w:hAnsi="Times New Roman" w:cs="Times New Roman"/>
        </w:rPr>
        <w:t xml:space="preserve">that if they </w:t>
      </w:r>
      <w:r w:rsidR="00FB6A93" w:rsidRPr="004C5463">
        <w:rPr>
          <w:rFonts w:ascii="Times New Roman" w:hAnsi="Times New Roman" w:cs="Times New Roman"/>
        </w:rPr>
        <w:t>have no app</w:t>
      </w:r>
      <w:r w:rsidR="005E4969" w:rsidRPr="004C5463">
        <w:rPr>
          <w:rFonts w:ascii="Times New Roman" w:hAnsi="Times New Roman" w:cs="Times New Roman"/>
        </w:rPr>
        <w:t xml:space="preserve">etite </w:t>
      </w:r>
      <w:r w:rsidR="0075308D" w:rsidRPr="004C5463">
        <w:rPr>
          <w:rFonts w:ascii="Times New Roman" w:hAnsi="Times New Roman" w:cs="Times New Roman"/>
        </w:rPr>
        <w:t xml:space="preserve">for reform, </w:t>
      </w:r>
      <w:r w:rsidR="00FB6A93" w:rsidRPr="004C5463">
        <w:rPr>
          <w:rFonts w:ascii="Times New Roman" w:hAnsi="Times New Roman" w:cs="Times New Roman"/>
        </w:rPr>
        <w:t>however attractive a proposal is</w:t>
      </w:r>
      <w:r w:rsidR="009B744D" w:rsidRPr="004C5463">
        <w:rPr>
          <w:rFonts w:ascii="Times New Roman" w:hAnsi="Times New Roman" w:cs="Times New Roman"/>
        </w:rPr>
        <w:t xml:space="preserve">, it </w:t>
      </w:r>
      <w:r w:rsidR="005F10D1" w:rsidRPr="004C5463">
        <w:rPr>
          <w:rFonts w:ascii="Times New Roman" w:hAnsi="Times New Roman" w:cs="Times New Roman"/>
        </w:rPr>
        <w:t xml:space="preserve">will </w:t>
      </w:r>
      <w:r w:rsidR="004C77C8" w:rsidRPr="004C5463">
        <w:rPr>
          <w:rFonts w:ascii="Times New Roman" w:hAnsi="Times New Roman" w:cs="Times New Roman"/>
        </w:rPr>
        <w:t xml:space="preserve">only </w:t>
      </w:r>
      <w:r w:rsidR="005F10D1" w:rsidRPr="004C5463">
        <w:rPr>
          <w:rFonts w:ascii="Times New Roman" w:hAnsi="Times New Roman" w:cs="Times New Roman"/>
        </w:rPr>
        <w:t xml:space="preserve">be </w:t>
      </w:r>
      <w:r w:rsidR="004C77C8" w:rsidRPr="004C5463">
        <w:rPr>
          <w:rFonts w:ascii="Times New Roman" w:hAnsi="Times New Roman" w:cs="Times New Roman"/>
        </w:rPr>
        <w:t>of academic interest</w:t>
      </w:r>
      <w:r w:rsidR="00FB6A93" w:rsidRPr="004C5463">
        <w:rPr>
          <w:rFonts w:ascii="Times New Roman" w:hAnsi="Times New Roman" w:cs="Times New Roman"/>
        </w:rPr>
        <w:t xml:space="preserve">.  </w:t>
      </w:r>
    </w:p>
    <w:p w14:paraId="399861F1" w14:textId="5F55F375" w:rsidR="0072432C" w:rsidRDefault="00CA1B66" w:rsidP="00CD6578">
      <w:pPr>
        <w:spacing w:line="360" w:lineRule="auto"/>
        <w:jc w:val="both"/>
        <w:rPr>
          <w:rFonts w:ascii="Times New Roman" w:hAnsi="Times New Roman" w:cs="Times New Roman"/>
        </w:rPr>
      </w:pPr>
      <w:r>
        <w:rPr>
          <w:rFonts w:ascii="Times New Roman" w:hAnsi="Times New Roman" w:cs="Times New Roman"/>
        </w:rPr>
        <w:t>The main body of this article</w:t>
      </w:r>
      <w:r w:rsidR="00200F42">
        <w:rPr>
          <w:rFonts w:ascii="Times New Roman" w:hAnsi="Times New Roman" w:cs="Times New Roman"/>
        </w:rPr>
        <w:t xml:space="preserve"> wil</w:t>
      </w:r>
      <w:r w:rsidR="004C77C8">
        <w:rPr>
          <w:rFonts w:ascii="Times New Roman" w:hAnsi="Times New Roman" w:cs="Times New Roman"/>
        </w:rPr>
        <w:t xml:space="preserve">l be split into two parts, </w:t>
      </w:r>
      <w:r w:rsidR="00BE6156">
        <w:rPr>
          <w:rFonts w:ascii="Times New Roman" w:hAnsi="Times New Roman" w:cs="Times New Roman"/>
        </w:rPr>
        <w:t xml:space="preserve">the first examining the purpose </w:t>
      </w:r>
      <w:r w:rsidR="007B24E9">
        <w:rPr>
          <w:rFonts w:ascii="Times New Roman" w:hAnsi="Times New Roman" w:cs="Times New Roman"/>
        </w:rPr>
        <w:t xml:space="preserve">of </w:t>
      </w:r>
      <w:r w:rsidR="00BE6156">
        <w:rPr>
          <w:rFonts w:ascii="Times New Roman" w:hAnsi="Times New Roman" w:cs="Times New Roman"/>
        </w:rPr>
        <w:t>the Court’s advisory jurisdiction, its scope</w:t>
      </w:r>
      <w:r w:rsidR="00200F42">
        <w:rPr>
          <w:rFonts w:ascii="Times New Roman" w:hAnsi="Times New Roman" w:cs="Times New Roman"/>
        </w:rPr>
        <w:t xml:space="preserve"> and th</w:t>
      </w:r>
      <w:r w:rsidR="00C649A3">
        <w:rPr>
          <w:rFonts w:ascii="Times New Roman" w:hAnsi="Times New Roman" w:cs="Times New Roman"/>
        </w:rPr>
        <w:t>e factors that limit its</w:t>
      </w:r>
      <w:r w:rsidR="00200F42">
        <w:rPr>
          <w:rFonts w:ascii="Times New Roman" w:hAnsi="Times New Roman" w:cs="Times New Roman"/>
        </w:rPr>
        <w:t xml:space="preserve"> ability to </w:t>
      </w:r>
      <w:r w:rsidR="005E4969">
        <w:rPr>
          <w:rFonts w:ascii="Times New Roman" w:hAnsi="Times New Roman" w:cs="Times New Roman"/>
        </w:rPr>
        <w:t>respond</w:t>
      </w:r>
      <w:r w:rsidR="007D6D66">
        <w:rPr>
          <w:rFonts w:ascii="Times New Roman" w:hAnsi="Times New Roman" w:cs="Times New Roman"/>
        </w:rPr>
        <w:t xml:space="preserve"> to questions</w:t>
      </w:r>
      <w:r w:rsidR="00BE6156">
        <w:rPr>
          <w:rFonts w:ascii="Times New Roman" w:hAnsi="Times New Roman" w:cs="Times New Roman"/>
        </w:rPr>
        <w:t xml:space="preserve"> put to it</w:t>
      </w:r>
      <w:r w:rsidR="00E562F8">
        <w:rPr>
          <w:rFonts w:ascii="Times New Roman" w:hAnsi="Times New Roman" w:cs="Times New Roman"/>
        </w:rPr>
        <w:t xml:space="preserve">.  Although in principle these </w:t>
      </w:r>
      <w:r w:rsidR="007D6D66">
        <w:rPr>
          <w:rFonts w:ascii="Times New Roman" w:hAnsi="Times New Roman" w:cs="Times New Roman"/>
        </w:rPr>
        <w:t xml:space="preserve">factors </w:t>
      </w:r>
      <w:r w:rsidR="00E562F8">
        <w:rPr>
          <w:rFonts w:ascii="Times New Roman" w:hAnsi="Times New Roman" w:cs="Times New Roman"/>
        </w:rPr>
        <w:t>could act as a brake on activity, in the more than seventy years of its life t</w:t>
      </w:r>
      <w:r w:rsidR="00C649A3">
        <w:rPr>
          <w:rFonts w:ascii="Times New Roman" w:hAnsi="Times New Roman" w:cs="Times New Roman"/>
        </w:rPr>
        <w:t>he ICJ</w:t>
      </w:r>
      <w:r w:rsidR="00BC4CED">
        <w:rPr>
          <w:rFonts w:ascii="Times New Roman" w:hAnsi="Times New Roman" w:cs="Times New Roman"/>
        </w:rPr>
        <w:t xml:space="preserve"> has found only once </w:t>
      </w:r>
      <w:r w:rsidR="00050646">
        <w:rPr>
          <w:rFonts w:ascii="Times New Roman" w:hAnsi="Times New Roman" w:cs="Times New Roman"/>
        </w:rPr>
        <w:t>t</w:t>
      </w:r>
      <w:r w:rsidR="00B6604F">
        <w:rPr>
          <w:rFonts w:ascii="Times New Roman" w:hAnsi="Times New Roman" w:cs="Times New Roman"/>
        </w:rPr>
        <w:t>hat it does not have</w:t>
      </w:r>
      <w:r w:rsidR="005E4969">
        <w:rPr>
          <w:rFonts w:ascii="Times New Roman" w:hAnsi="Times New Roman" w:cs="Times New Roman"/>
        </w:rPr>
        <w:t xml:space="preserve"> jurisdiction</w:t>
      </w:r>
      <w:r w:rsidR="00E562F8">
        <w:rPr>
          <w:rFonts w:ascii="Times New Roman" w:hAnsi="Times New Roman" w:cs="Times New Roman"/>
        </w:rPr>
        <w:t xml:space="preserve"> to give an advisory opinion</w:t>
      </w:r>
      <w:r w:rsidR="00B6604F">
        <w:rPr>
          <w:rFonts w:ascii="Times New Roman" w:hAnsi="Times New Roman" w:cs="Times New Roman"/>
        </w:rPr>
        <w:t>.</w:t>
      </w:r>
      <w:r w:rsidR="00B6604F">
        <w:rPr>
          <w:rStyle w:val="FootnoteReference"/>
          <w:rFonts w:ascii="Times New Roman" w:hAnsi="Times New Roman" w:cs="Times New Roman"/>
        </w:rPr>
        <w:footnoteReference w:id="4"/>
      </w:r>
    </w:p>
    <w:p w14:paraId="25F22A80" w14:textId="32D3AEB7" w:rsidR="009B744D" w:rsidRDefault="005E4969" w:rsidP="00CD6578">
      <w:pPr>
        <w:spacing w:line="360" w:lineRule="auto"/>
        <w:jc w:val="both"/>
        <w:rPr>
          <w:rFonts w:ascii="Times New Roman" w:hAnsi="Times New Roman" w:cs="Times New Roman"/>
        </w:rPr>
      </w:pPr>
      <w:r>
        <w:rPr>
          <w:rFonts w:ascii="Times New Roman" w:hAnsi="Times New Roman" w:cs="Times New Roman"/>
        </w:rPr>
        <w:t>Once</w:t>
      </w:r>
      <w:r w:rsidR="0072432C">
        <w:rPr>
          <w:rFonts w:ascii="Times New Roman" w:hAnsi="Times New Roman" w:cs="Times New Roman"/>
        </w:rPr>
        <w:t xml:space="preserve"> jurisdiction is established </w:t>
      </w:r>
      <w:r w:rsidR="00DC2D54">
        <w:rPr>
          <w:rFonts w:ascii="Times New Roman" w:hAnsi="Times New Roman" w:cs="Times New Roman"/>
        </w:rPr>
        <w:t xml:space="preserve">it is widely understood that </w:t>
      </w:r>
      <w:r>
        <w:rPr>
          <w:rFonts w:ascii="Times New Roman" w:hAnsi="Times New Roman" w:cs="Times New Roman"/>
        </w:rPr>
        <w:t xml:space="preserve">the Court has </w:t>
      </w:r>
      <w:r w:rsidR="00E562F8">
        <w:rPr>
          <w:rFonts w:ascii="Times New Roman" w:hAnsi="Times New Roman" w:cs="Times New Roman"/>
        </w:rPr>
        <w:t>discretion t</w:t>
      </w:r>
      <w:r w:rsidR="009B744D">
        <w:rPr>
          <w:rFonts w:ascii="Times New Roman" w:hAnsi="Times New Roman" w:cs="Times New Roman"/>
        </w:rPr>
        <w:t xml:space="preserve">o </w:t>
      </w:r>
      <w:r w:rsidR="00E562F8">
        <w:rPr>
          <w:rFonts w:ascii="Times New Roman" w:hAnsi="Times New Roman" w:cs="Times New Roman"/>
        </w:rPr>
        <w:t xml:space="preserve">choose </w:t>
      </w:r>
      <w:r w:rsidR="00E562F8" w:rsidRPr="00E562F8">
        <w:rPr>
          <w:rFonts w:ascii="Times New Roman" w:hAnsi="Times New Roman" w:cs="Times New Roman"/>
          <w:i/>
        </w:rPr>
        <w:t>not</w:t>
      </w:r>
      <w:r w:rsidR="00E562F8">
        <w:rPr>
          <w:rFonts w:ascii="Times New Roman" w:hAnsi="Times New Roman" w:cs="Times New Roman"/>
        </w:rPr>
        <w:t xml:space="preserve"> to </w:t>
      </w:r>
      <w:r w:rsidR="009B744D">
        <w:rPr>
          <w:rFonts w:ascii="Times New Roman" w:hAnsi="Times New Roman" w:cs="Times New Roman"/>
        </w:rPr>
        <w:t>answer</w:t>
      </w:r>
      <w:r w:rsidR="009E249D">
        <w:rPr>
          <w:rFonts w:ascii="Times New Roman" w:hAnsi="Times New Roman" w:cs="Times New Roman"/>
        </w:rPr>
        <w:t xml:space="preserve"> a</w:t>
      </w:r>
      <w:r w:rsidR="00E562F8">
        <w:rPr>
          <w:rFonts w:ascii="Times New Roman" w:hAnsi="Times New Roman" w:cs="Times New Roman"/>
        </w:rPr>
        <w:t xml:space="preserve"> question</w:t>
      </w:r>
      <w:r w:rsidR="009B744D">
        <w:rPr>
          <w:rFonts w:ascii="Times New Roman" w:hAnsi="Times New Roman" w:cs="Times New Roman"/>
        </w:rPr>
        <w:t xml:space="preserve">.  </w:t>
      </w:r>
      <w:r w:rsidR="004C77C8">
        <w:rPr>
          <w:rFonts w:ascii="Times New Roman" w:hAnsi="Times New Roman" w:cs="Times New Roman"/>
        </w:rPr>
        <w:t>A</w:t>
      </w:r>
      <w:r w:rsidR="009B744D">
        <w:rPr>
          <w:rFonts w:ascii="Times New Roman" w:hAnsi="Times New Roman" w:cs="Times New Roman"/>
        </w:rPr>
        <w:t>nalysis</w:t>
      </w:r>
      <w:r w:rsidR="007D6D66">
        <w:rPr>
          <w:rFonts w:ascii="Times New Roman" w:hAnsi="Times New Roman" w:cs="Times New Roman"/>
        </w:rPr>
        <w:t xml:space="preserve"> of the issue</w:t>
      </w:r>
      <w:r w:rsidR="009B744D">
        <w:rPr>
          <w:rFonts w:ascii="Times New Roman" w:hAnsi="Times New Roman" w:cs="Times New Roman"/>
        </w:rPr>
        <w:t>s the Court</w:t>
      </w:r>
      <w:r w:rsidR="00050646">
        <w:rPr>
          <w:rFonts w:ascii="Times New Roman" w:hAnsi="Times New Roman" w:cs="Times New Roman"/>
        </w:rPr>
        <w:t xml:space="preserve"> takes</w:t>
      </w:r>
      <w:r w:rsidR="0072432C">
        <w:rPr>
          <w:rFonts w:ascii="Times New Roman" w:hAnsi="Times New Roman" w:cs="Times New Roman"/>
        </w:rPr>
        <w:t xml:space="preserve"> into accou</w:t>
      </w:r>
      <w:r w:rsidR="009B744D">
        <w:rPr>
          <w:rFonts w:ascii="Times New Roman" w:hAnsi="Times New Roman" w:cs="Times New Roman"/>
        </w:rPr>
        <w:t xml:space="preserve">nt </w:t>
      </w:r>
      <w:r w:rsidR="0072432C">
        <w:rPr>
          <w:rFonts w:ascii="Times New Roman" w:hAnsi="Times New Roman" w:cs="Times New Roman"/>
        </w:rPr>
        <w:t>will sh</w:t>
      </w:r>
      <w:r w:rsidR="003E4204">
        <w:rPr>
          <w:rFonts w:ascii="Times New Roman" w:hAnsi="Times New Roman" w:cs="Times New Roman"/>
        </w:rPr>
        <w:t xml:space="preserve">ow that </w:t>
      </w:r>
      <w:r w:rsidR="00C649A3">
        <w:rPr>
          <w:rFonts w:ascii="Times New Roman" w:hAnsi="Times New Roman" w:cs="Times New Roman"/>
        </w:rPr>
        <w:t xml:space="preserve">although </w:t>
      </w:r>
      <w:r w:rsidR="003E4204">
        <w:rPr>
          <w:rFonts w:ascii="Times New Roman" w:hAnsi="Times New Roman" w:cs="Times New Roman"/>
        </w:rPr>
        <w:t>this</w:t>
      </w:r>
      <w:r w:rsidR="0072432C">
        <w:rPr>
          <w:rFonts w:ascii="Times New Roman" w:hAnsi="Times New Roman" w:cs="Times New Roman"/>
        </w:rPr>
        <w:t xml:space="preserve"> is a valuable </w:t>
      </w:r>
      <w:r w:rsidR="00C649A3">
        <w:rPr>
          <w:rFonts w:ascii="Times New Roman" w:hAnsi="Times New Roman" w:cs="Times New Roman"/>
        </w:rPr>
        <w:t xml:space="preserve">potential restraint, </w:t>
      </w:r>
      <w:r w:rsidR="003A605A">
        <w:rPr>
          <w:rFonts w:ascii="Times New Roman" w:hAnsi="Times New Roman" w:cs="Times New Roman"/>
        </w:rPr>
        <w:t xml:space="preserve">it has </w:t>
      </w:r>
      <w:r w:rsidR="00B6604F">
        <w:rPr>
          <w:rFonts w:ascii="Times New Roman" w:hAnsi="Times New Roman" w:cs="Times New Roman"/>
        </w:rPr>
        <w:t xml:space="preserve">never </w:t>
      </w:r>
      <w:r w:rsidR="00C649A3">
        <w:rPr>
          <w:rFonts w:ascii="Times New Roman" w:hAnsi="Times New Roman" w:cs="Times New Roman"/>
        </w:rPr>
        <w:t>been used</w:t>
      </w:r>
      <w:r w:rsidR="00BE3037">
        <w:rPr>
          <w:rFonts w:ascii="Times New Roman" w:hAnsi="Times New Roman" w:cs="Times New Roman"/>
        </w:rPr>
        <w:t>,</w:t>
      </w:r>
      <w:r w:rsidR="00B6604F">
        <w:rPr>
          <w:rFonts w:ascii="Times New Roman" w:hAnsi="Times New Roman" w:cs="Times New Roman"/>
        </w:rPr>
        <w:t xml:space="preserve"> and </w:t>
      </w:r>
      <w:r w:rsidR="009B744D">
        <w:rPr>
          <w:rFonts w:ascii="Times New Roman" w:hAnsi="Times New Roman" w:cs="Times New Roman"/>
        </w:rPr>
        <w:t>was</w:t>
      </w:r>
      <w:r w:rsidR="00CD6578">
        <w:rPr>
          <w:rFonts w:ascii="Times New Roman" w:hAnsi="Times New Roman" w:cs="Times New Roman"/>
        </w:rPr>
        <w:t xml:space="preserve"> </w:t>
      </w:r>
      <w:r w:rsidR="009B744D">
        <w:rPr>
          <w:rFonts w:ascii="Times New Roman" w:hAnsi="Times New Roman" w:cs="Times New Roman"/>
        </w:rPr>
        <w:t>used only once by its predecessor Court</w:t>
      </w:r>
      <w:r w:rsidR="00C649A3">
        <w:rPr>
          <w:rFonts w:ascii="Times New Roman" w:hAnsi="Times New Roman" w:cs="Times New Roman"/>
        </w:rPr>
        <w:t>.</w:t>
      </w:r>
      <w:r w:rsidR="003A605A">
        <w:rPr>
          <w:rStyle w:val="FootnoteReference"/>
          <w:rFonts w:ascii="Times New Roman" w:hAnsi="Times New Roman" w:cs="Times New Roman"/>
        </w:rPr>
        <w:footnoteReference w:id="5"/>
      </w:r>
      <w:r w:rsidR="00C649A3">
        <w:rPr>
          <w:rFonts w:ascii="Times New Roman" w:hAnsi="Times New Roman" w:cs="Times New Roman"/>
        </w:rPr>
        <w:t xml:space="preserve">  </w:t>
      </w:r>
      <w:r w:rsidR="004C77C8">
        <w:rPr>
          <w:rFonts w:ascii="Times New Roman" w:hAnsi="Times New Roman" w:cs="Times New Roman"/>
        </w:rPr>
        <w:lastRenderedPageBreak/>
        <w:t>The</w:t>
      </w:r>
      <w:r w:rsidR="009B744D">
        <w:rPr>
          <w:rFonts w:ascii="Times New Roman" w:hAnsi="Times New Roman" w:cs="Times New Roman"/>
        </w:rPr>
        <w:t xml:space="preserve"> alternative view, that the exercise of the advisory function is not truly discretionary</w:t>
      </w:r>
      <w:r w:rsidR="00BE3037">
        <w:rPr>
          <w:rFonts w:ascii="Times New Roman" w:hAnsi="Times New Roman" w:cs="Times New Roman"/>
        </w:rPr>
        <w:t>,</w:t>
      </w:r>
      <w:r w:rsidR="004C77C8">
        <w:rPr>
          <w:rFonts w:ascii="Times New Roman" w:hAnsi="Times New Roman" w:cs="Times New Roman"/>
        </w:rPr>
        <w:t xml:space="preserve"> </w:t>
      </w:r>
      <w:r w:rsidR="009B744D">
        <w:rPr>
          <w:rFonts w:ascii="Times New Roman" w:hAnsi="Times New Roman" w:cs="Times New Roman"/>
        </w:rPr>
        <w:t>will also be examined</w:t>
      </w:r>
      <w:r w:rsidR="007B24E9">
        <w:rPr>
          <w:rFonts w:ascii="Times New Roman" w:hAnsi="Times New Roman" w:cs="Times New Roman"/>
        </w:rPr>
        <w:t xml:space="preserve"> briefly</w:t>
      </w:r>
      <w:r w:rsidR="009B744D">
        <w:rPr>
          <w:rFonts w:ascii="Times New Roman" w:hAnsi="Times New Roman" w:cs="Times New Roman"/>
        </w:rPr>
        <w:t xml:space="preserve">.  </w:t>
      </w:r>
    </w:p>
    <w:p w14:paraId="1FFAE9D3" w14:textId="29CB11C9" w:rsidR="00BE3037" w:rsidRDefault="006B4FB9" w:rsidP="00CD6578">
      <w:pPr>
        <w:spacing w:line="360" w:lineRule="auto"/>
        <w:jc w:val="both"/>
        <w:rPr>
          <w:rFonts w:ascii="Times New Roman" w:hAnsi="Times New Roman" w:cs="Times New Roman"/>
        </w:rPr>
      </w:pPr>
      <w:r>
        <w:rPr>
          <w:rFonts w:ascii="Times New Roman" w:hAnsi="Times New Roman" w:cs="Times New Roman"/>
        </w:rPr>
        <w:t xml:space="preserve">The second part </w:t>
      </w:r>
      <w:r w:rsidR="003769DB">
        <w:rPr>
          <w:rFonts w:ascii="Times New Roman" w:hAnsi="Times New Roman" w:cs="Times New Roman"/>
        </w:rPr>
        <w:t xml:space="preserve">of the article </w:t>
      </w:r>
      <w:r w:rsidR="00821B5D">
        <w:rPr>
          <w:rFonts w:ascii="Times New Roman" w:hAnsi="Times New Roman" w:cs="Times New Roman"/>
        </w:rPr>
        <w:t xml:space="preserve">will focus on </w:t>
      </w:r>
      <w:r w:rsidR="005E4969">
        <w:rPr>
          <w:rFonts w:ascii="Times New Roman" w:hAnsi="Times New Roman" w:cs="Times New Roman"/>
        </w:rPr>
        <w:t>whether the a</w:t>
      </w:r>
      <w:r>
        <w:rPr>
          <w:rFonts w:ascii="Times New Roman" w:hAnsi="Times New Roman" w:cs="Times New Roman"/>
        </w:rPr>
        <w:t xml:space="preserve">dvisory jurisdiction </w:t>
      </w:r>
      <w:r w:rsidR="009E249D">
        <w:rPr>
          <w:rFonts w:ascii="Times New Roman" w:hAnsi="Times New Roman" w:cs="Times New Roman"/>
        </w:rPr>
        <w:t xml:space="preserve">can and </w:t>
      </w:r>
      <w:r>
        <w:rPr>
          <w:rFonts w:ascii="Times New Roman" w:hAnsi="Times New Roman" w:cs="Times New Roman"/>
        </w:rPr>
        <w:t>should be expanded</w:t>
      </w:r>
      <w:r w:rsidR="007D6D66">
        <w:rPr>
          <w:rFonts w:ascii="Times New Roman" w:hAnsi="Times New Roman" w:cs="Times New Roman"/>
        </w:rPr>
        <w:t xml:space="preserve"> to better exploit its </w:t>
      </w:r>
      <w:r w:rsidR="007B24E9">
        <w:rPr>
          <w:rFonts w:ascii="Times New Roman" w:hAnsi="Times New Roman" w:cs="Times New Roman"/>
        </w:rPr>
        <w:t>potent</w:t>
      </w:r>
      <w:r w:rsidR="007D6D66">
        <w:rPr>
          <w:rFonts w:ascii="Times New Roman" w:hAnsi="Times New Roman" w:cs="Times New Roman"/>
        </w:rPr>
        <w:t>ial</w:t>
      </w:r>
      <w:r w:rsidR="00BE6156">
        <w:rPr>
          <w:rFonts w:ascii="Times New Roman" w:hAnsi="Times New Roman" w:cs="Times New Roman"/>
        </w:rPr>
        <w:t xml:space="preserve"> and </w:t>
      </w:r>
      <w:r w:rsidR="009E249D">
        <w:rPr>
          <w:rFonts w:ascii="Times New Roman" w:hAnsi="Times New Roman" w:cs="Times New Roman"/>
        </w:rPr>
        <w:t>allow</w:t>
      </w:r>
      <w:r w:rsidR="00164A67">
        <w:rPr>
          <w:rFonts w:ascii="Times New Roman" w:hAnsi="Times New Roman" w:cs="Times New Roman"/>
        </w:rPr>
        <w:t xml:space="preserve"> the Court to enhance its advisory opinion service while maintaining its standing. </w:t>
      </w:r>
      <w:r w:rsidR="00BE6156">
        <w:rPr>
          <w:rFonts w:ascii="Times New Roman" w:hAnsi="Times New Roman" w:cs="Times New Roman"/>
        </w:rPr>
        <w:t xml:space="preserve">An overview of use to date will be followed by a look at expansion proposals, then at the </w:t>
      </w:r>
      <w:r w:rsidR="00BE6156" w:rsidRPr="00BE6156">
        <w:rPr>
          <w:rFonts w:ascii="Times New Roman" w:hAnsi="Times New Roman" w:cs="Times New Roman"/>
          <w:i/>
        </w:rPr>
        <w:t>Chagos</w:t>
      </w:r>
      <w:r w:rsidR="00BE6156">
        <w:rPr>
          <w:rFonts w:ascii="Times New Roman" w:hAnsi="Times New Roman" w:cs="Times New Roman"/>
        </w:rPr>
        <w:t xml:space="preserve"> request</w:t>
      </w:r>
      <w:r w:rsidR="00304203">
        <w:rPr>
          <w:rFonts w:ascii="Times New Roman" w:hAnsi="Times New Roman" w:cs="Times New Roman"/>
        </w:rPr>
        <w:t>,</w:t>
      </w:r>
      <w:r w:rsidR="00BE6156">
        <w:rPr>
          <w:rFonts w:ascii="Times New Roman" w:hAnsi="Times New Roman" w:cs="Times New Roman"/>
        </w:rPr>
        <w:t xml:space="preserve"> along with other questions that may come before the Court in the future, to see if any future developments are likely to allow that dual objective to be achieved.  </w:t>
      </w:r>
      <w:r w:rsidR="00B50290">
        <w:rPr>
          <w:rFonts w:ascii="Times New Roman" w:hAnsi="Times New Roman" w:cs="Times New Roman"/>
        </w:rPr>
        <w:t>F</w:t>
      </w:r>
      <w:r w:rsidR="00074761">
        <w:rPr>
          <w:rFonts w:ascii="Times New Roman" w:hAnsi="Times New Roman" w:cs="Times New Roman"/>
        </w:rPr>
        <w:t>inally,</w:t>
      </w:r>
      <w:r w:rsidR="00FB6A93">
        <w:rPr>
          <w:rFonts w:ascii="Times New Roman" w:hAnsi="Times New Roman" w:cs="Times New Roman"/>
        </w:rPr>
        <w:t xml:space="preserve"> </w:t>
      </w:r>
      <w:r w:rsidR="00164A67">
        <w:rPr>
          <w:rFonts w:ascii="Times New Roman" w:hAnsi="Times New Roman" w:cs="Times New Roman"/>
        </w:rPr>
        <w:t>f</w:t>
      </w:r>
      <w:r w:rsidR="00845E66">
        <w:rPr>
          <w:rFonts w:ascii="Times New Roman" w:hAnsi="Times New Roman" w:cs="Times New Roman"/>
        </w:rPr>
        <w:t xml:space="preserve">actors which militate against expansion of the advisory jurisdiction </w:t>
      </w:r>
      <w:r w:rsidR="00320C9C">
        <w:rPr>
          <w:rFonts w:ascii="Times New Roman" w:hAnsi="Times New Roman" w:cs="Times New Roman"/>
        </w:rPr>
        <w:t xml:space="preserve">will </w:t>
      </w:r>
      <w:r w:rsidR="009B744D">
        <w:rPr>
          <w:rFonts w:ascii="Times New Roman" w:hAnsi="Times New Roman" w:cs="Times New Roman"/>
        </w:rPr>
        <w:t xml:space="preserve">be assessed.  </w:t>
      </w:r>
    </w:p>
    <w:p w14:paraId="77E906C9" w14:textId="776A9E64" w:rsidR="00074761" w:rsidRDefault="009B744D" w:rsidP="00CD6578">
      <w:pPr>
        <w:spacing w:line="360" w:lineRule="auto"/>
        <w:jc w:val="both"/>
        <w:rPr>
          <w:rFonts w:ascii="Times New Roman" w:hAnsi="Times New Roman" w:cs="Times New Roman"/>
        </w:rPr>
      </w:pPr>
      <w:r>
        <w:rPr>
          <w:rFonts w:ascii="Times New Roman" w:hAnsi="Times New Roman" w:cs="Times New Roman"/>
        </w:rPr>
        <w:t xml:space="preserve">Bringing all these elements together </w:t>
      </w:r>
      <w:r w:rsidR="00164A67">
        <w:rPr>
          <w:rFonts w:ascii="Times New Roman" w:hAnsi="Times New Roman" w:cs="Times New Roman"/>
        </w:rPr>
        <w:t>wi</w:t>
      </w:r>
      <w:r w:rsidR="005E4969">
        <w:rPr>
          <w:rFonts w:ascii="Times New Roman" w:hAnsi="Times New Roman" w:cs="Times New Roman"/>
        </w:rPr>
        <w:t>ll show</w:t>
      </w:r>
      <w:r w:rsidR="009E4804">
        <w:rPr>
          <w:rFonts w:ascii="Times New Roman" w:hAnsi="Times New Roman" w:cs="Times New Roman"/>
        </w:rPr>
        <w:t xml:space="preserve"> that</w:t>
      </w:r>
      <w:r w:rsidR="00B50290">
        <w:rPr>
          <w:rFonts w:ascii="Times New Roman" w:hAnsi="Times New Roman" w:cs="Times New Roman"/>
        </w:rPr>
        <w:t xml:space="preserve"> </w:t>
      </w:r>
      <w:r w:rsidR="00304203">
        <w:rPr>
          <w:rFonts w:ascii="Times New Roman" w:hAnsi="Times New Roman" w:cs="Times New Roman"/>
        </w:rPr>
        <w:t xml:space="preserve">an </w:t>
      </w:r>
      <w:r w:rsidR="00B50290">
        <w:rPr>
          <w:rFonts w:ascii="Times New Roman" w:hAnsi="Times New Roman" w:cs="Times New Roman"/>
        </w:rPr>
        <w:t xml:space="preserve">expansion </w:t>
      </w:r>
      <w:r w:rsidR="00A1171F" w:rsidRPr="00A1171F">
        <w:rPr>
          <w:rFonts w:ascii="Times New Roman" w:hAnsi="Times New Roman" w:cs="Times New Roman"/>
          <w:i/>
        </w:rPr>
        <w:t>per se</w:t>
      </w:r>
      <w:r w:rsidR="00A1171F">
        <w:rPr>
          <w:rFonts w:ascii="Times New Roman" w:hAnsi="Times New Roman" w:cs="Times New Roman"/>
        </w:rPr>
        <w:t xml:space="preserve"> </w:t>
      </w:r>
      <w:r w:rsidR="00B50290">
        <w:rPr>
          <w:rFonts w:ascii="Times New Roman" w:hAnsi="Times New Roman" w:cs="Times New Roman"/>
        </w:rPr>
        <w:t>of the advisory function</w:t>
      </w:r>
      <w:r w:rsidR="00845E66">
        <w:rPr>
          <w:rFonts w:ascii="Times New Roman" w:hAnsi="Times New Roman" w:cs="Times New Roman"/>
        </w:rPr>
        <w:t xml:space="preserve"> </w:t>
      </w:r>
      <w:r w:rsidR="00A1171F">
        <w:rPr>
          <w:rFonts w:ascii="Times New Roman" w:hAnsi="Times New Roman" w:cs="Times New Roman"/>
        </w:rPr>
        <w:t xml:space="preserve">is not needed </w:t>
      </w:r>
      <w:r w:rsidR="00B50290">
        <w:rPr>
          <w:rFonts w:ascii="Times New Roman" w:hAnsi="Times New Roman" w:cs="Times New Roman"/>
        </w:rPr>
        <w:t>for the Court to better</w:t>
      </w:r>
      <w:r w:rsidR="005E4969">
        <w:rPr>
          <w:rFonts w:ascii="Times New Roman" w:hAnsi="Times New Roman" w:cs="Times New Roman"/>
        </w:rPr>
        <w:t xml:space="preserve"> fulfil its role</w:t>
      </w:r>
      <w:r w:rsidR="00E50E38">
        <w:rPr>
          <w:rFonts w:ascii="Times New Roman" w:hAnsi="Times New Roman" w:cs="Times New Roman"/>
        </w:rPr>
        <w:t>.  What is requir</w:t>
      </w:r>
      <w:r w:rsidR="00B6604F">
        <w:rPr>
          <w:rFonts w:ascii="Times New Roman" w:hAnsi="Times New Roman" w:cs="Times New Roman"/>
        </w:rPr>
        <w:t>ed is</w:t>
      </w:r>
      <w:r w:rsidR="00304203">
        <w:rPr>
          <w:rFonts w:ascii="Times New Roman" w:hAnsi="Times New Roman" w:cs="Times New Roman"/>
        </w:rPr>
        <w:t xml:space="preserve"> a consistently clear-sighted, </w:t>
      </w:r>
      <w:r w:rsidR="00B6604F">
        <w:rPr>
          <w:rFonts w:ascii="Times New Roman" w:hAnsi="Times New Roman" w:cs="Times New Roman"/>
        </w:rPr>
        <w:t>discriminating appro</w:t>
      </w:r>
      <w:r w:rsidR="000F4C1E">
        <w:rPr>
          <w:rFonts w:ascii="Times New Roman" w:hAnsi="Times New Roman" w:cs="Times New Roman"/>
        </w:rPr>
        <w:t>ach on the part of t</w:t>
      </w:r>
      <w:r w:rsidR="00074761">
        <w:rPr>
          <w:rFonts w:ascii="Times New Roman" w:hAnsi="Times New Roman" w:cs="Times New Roman"/>
        </w:rPr>
        <w:t>hose organs and specialis</w:t>
      </w:r>
      <w:r w:rsidR="00B6604F">
        <w:rPr>
          <w:rFonts w:ascii="Times New Roman" w:hAnsi="Times New Roman" w:cs="Times New Roman"/>
        </w:rPr>
        <w:t xml:space="preserve">ed </w:t>
      </w:r>
      <w:r w:rsidR="00FC0F12">
        <w:rPr>
          <w:rFonts w:ascii="Times New Roman" w:hAnsi="Times New Roman" w:cs="Times New Roman"/>
        </w:rPr>
        <w:t>agencies authorised</w:t>
      </w:r>
      <w:r w:rsidR="00B6604F">
        <w:rPr>
          <w:rFonts w:ascii="Times New Roman" w:hAnsi="Times New Roman" w:cs="Times New Roman"/>
        </w:rPr>
        <w:t xml:space="preserve"> to ask for opinions</w:t>
      </w:r>
      <w:r w:rsidR="003428CF">
        <w:rPr>
          <w:rFonts w:ascii="Times New Roman" w:hAnsi="Times New Roman" w:cs="Times New Roman"/>
        </w:rPr>
        <w:t>.  U</w:t>
      </w:r>
      <w:r w:rsidR="00B6604F">
        <w:rPr>
          <w:rFonts w:ascii="Times New Roman" w:hAnsi="Times New Roman" w:cs="Times New Roman"/>
        </w:rPr>
        <w:t>se</w:t>
      </w:r>
      <w:r w:rsidR="000F4C1E">
        <w:rPr>
          <w:rFonts w:ascii="Times New Roman" w:hAnsi="Times New Roman" w:cs="Times New Roman"/>
        </w:rPr>
        <w:t xml:space="preserve"> </w:t>
      </w:r>
      <w:r w:rsidR="003428CF">
        <w:rPr>
          <w:rFonts w:ascii="Times New Roman" w:hAnsi="Times New Roman" w:cs="Times New Roman"/>
        </w:rPr>
        <w:t xml:space="preserve">that </w:t>
      </w:r>
      <w:r w:rsidR="000F4C1E">
        <w:rPr>
          <w:rFonts w:ascii="Times New Roman" w:hAnsi="Times New Roman" w:cs="Times New Roman"/>
        </w:rPr>
        <w:t>is appropriate</w:t>
      </w:r>
      <w:r w:rsidR="003428CF">
        <w:rPr>
          <w:rFonts w:ascii="Times New Roman" w:hAnsi="Times New Roman" w:cs="Times New Roman"/>
        </w:rPr>
        <w:t xml:space="preserve"> to t</w:t>
      </w:r>
      <w:r w:rsidR="0000713C">
        <w:rPr>
          <w:rFonts w:ascii="Times New Roman" w:hAnsi="Times New Roman" w:cs="Times New Roman"/>
        </w:rPr>
        <w:t xml:space="preserve">he unique status of the Court, which addresses </w:t>
      </w:r>
      <w:r w:rsidR="003428CF">
        <w:rPr>
          <w:rFonts w:ascii="Times New Roman" w:hAnsi="Times New Roman" w:cs="Times New Roman"/>
        </w:rPr>
        <w:t>questions of real substance and import for the international community</w:t>
      </w:r>
      <w:r w:rsidR="00304203">
        <w:rPr>
          <w:rFonts w:ascii="Times New Roman" w:hAnsi="Times New Roman" w:cs="Times New Roman"/>
        </w:rPr>
        <w:t xml:space="preserve"> </w:t>
      </w:r>
      <w:r w:rsidR="00E6018E">
        <w:rPr>
          <w:rFonts w:ascii="Times New Roman" w:hAnsi="Times New Roman" w:cs="Times New Roman"/>
        </w:rPr>
        <w:t xml:space="preserve">- </w:t>
      </w:r>
      <w:r w:rsidR="0000713C">
        <w:rPr>
          <w:rFonts w:ascii="Times New Roman" w:hAnsi="Times New Roman" w:cs="Times New Roman"/>
        </w:rPr>
        <w:t xml:space="preserve">as the </w:t>
      </w:r>
      <w:r w:rsidR="0000713C" w:rsidRPr="0000713C">
        <w:rPr>
          <w:rFonts w:ascii="Times New Roman" w:hAnsi="Times New Roman" w:cs="Times New Roman"/>
          <w:i/>
        </w:rPr>
        <w:t>Chagos</w:t>
      </w:r>
      <w:r w:rsidR="00E6018E">
        <w:rPr>
          <w:rFonts w:ascii="Times New Roman" w:hAnsi="Times New Roman" w:cs="Times New Roman"/>
        </w:rPr>
        <w:t xml:space="preserve"> request does - </w:t>
      </w:r>
      <w:r w:rsidR="003428CF">
        <w:rPr>
          <w:rFonts w:ascii="Times New Roman" w:hAnsi="Times New Roman" w:cs="Times New Roman"/>
        </w:rPr>
        <w:t xml:space="preserve">could </w:t>
      </w:r>
      <w:r w:rsidR="0023519D">
        <w:rPr>
          <w:rFonts w:ascii="Times New Roman" w:hAnsi="Times New Roman" w:cs="Times New Roman"/>
        </w:rPr>
        <w:t>breathe new life into the advisory jurisdiction of the Court</w:t>
      </w:r>
      <w:r w:rsidR="003428CF">
        <w:rPr>
          <w:rFonts w:ascii="Times New Roman" w:hAnsi="Times New Roman" w:cs="Times New Roman"/>
        </w:rPr>
        <w:t>.</w:t>
      </w:r>
    </w:p>
    <w:p w14:paraId="001FB61D" w14:textId="718C4B89" w:rsidR="00571920" w:rsidRPr="00DA1F3D" w:rsidRDefault="00DA1F3D" w:rsidP="002B5A41">
      <w:pPr>
        <w:pStyle w:val="ListParagraph"/>
        <w:spacing w:line="360" w:lineRule="auto"/>
        <w:ind w:left="0" w:right="95"/>
        <w:jc w:val="center"/>
        <w:rPr>
          <w:rFonts w:ascii="Times New Roman" w:hAnsi="Times New Roman" w:cs="Times New Roman"/>
        </w:rPr>
      </w:pPr>
      <w:r>
        <w:rPr>
          <w:rFonts w:ascii="Times New Roman" w:hAnsi="Times New Roman" w:cs="Times New Roman"/>
        </w:rPr>
        <w:t>I</w:t>
      </w:r>
      <w:r w:rsidR="0050221F">
        <w:rPr>
          <w:rFonts w:ascii="Times New Roman" w:hAnsi="Times New Roman" w:cs="Times New Roman"/>
        </w:rPr>
        <w:t>I</w:t>
      </w:r>
      <w:r>
        <w:rPr>
          <w:rFonts w:ascii="Times New Roman" w:hAnsi="Times New Roman" w:cs="Times New Roman"/>
        </w:rPr>
        <w:t>.</w:t>
      </w:r>
      <w:r w:rsidR="00D233D3">
        <w:rPr>
          <w:rFonts w:ascii="Times New Roman" w:hAnsi="Times New Roman" w:cs="Times New Roman"/>
        </w:rPr>
        <w:t xml:space="preserve"> </w:t>
      </w:r>
      <w:r w:rsidRPr="00DA1F3D">
        <w:rPr>
          <w:rFonts w:ascii="Times New Roman" w:hAnsi="Times New Roman" w:cs="Times New Roman"/>
        </w:rPr>
        <w:t xml:space="preserve">PURPOSE OF THE </w:t>
      </w:r>
      <w:r>
        <w:rPr>
          <w:rFonts w:ascii="Times New Roman" w:hAnsi="Times New Roman" w:cs="Times New Roman"/>
        </w:rPr>
        <w:t>ADVISORY JURISDICTION</w:t>
      </w:r>
    </w:p>
    <w:p w14:paraId="314F0F81" w14:textId="3E258657" w:rsidR="00A501D6" w:rsidRDefault="00571920" w:rsidP="00A501D6">
      <w:pPr>
        <w:spacing w:line="360" w:lineRule="auto"/>
        <w:jc w:val="both"/>
        <w:rPr>
          <w:rFonts w:ascii="Times New Roman" w:hAnsi="Times New Roman" w:cs="Times New Roman"/>
        </w:rPr>
      </w:pPr>
      <w:r>
        <w:rPr>
          <w:rFonts w:ascii="Times New Roman" w:hAnsi="Times New Roman" w:cs="Times New Roman"/>
        </w:rPr>
        <w:t>Advisory opinions are not another “form of judicial recourse for states”.</w:t>
      </w:r>
      <w:r>
        <w:rPr>
          <w:rStyle w:val="FootnoteReference"/>
          <w:rFonts w:ascii="Times New Roman" w:hAnsi="Times New Roman" w:cs="Times New Roman"/>
        </w:rPr>
        <w:footnoteReference w:id="6"/>
      </w:r>
      <w:r>
        <w:rPr>
          <w:rFonts w:ascii="Times New Roman" w:hAnsi="Times New Roman" w:cs="Times New Roman"/>
        </w:rPr>
        <w:t xml:space="preserve">  They are a means by which the </w:t>
      </w:r>
      <w:r w:rsidR="005F50E4">
        <w:rPr>
          <w:rFonts w:ascii="Times New Roman" w:hAnsi="Times New Roman" w:cs="Times New Roman"/>
        </w:rPr>
        <w:t>Security Council (</w:t>
      </w:r>
      <w:r>
        <w:rPr>
          <w:rFonts w:ascii="Times New Roman" w:hAnsi="Times New Roman" w:cs="Times New Roman"/>
        </w:rPr>
        <w:t>Council</w:t>
      </w:r>
      <w:r w:rsidR="005F50E4">
        <w:rPr>
          <w:rFonts w:ascii="Times New Roman" w:hAnsi="Times New Roman" w:cs="Times New Roman"/>
        </w:rPr>
        <w:t>)</w:t>
      </w:r>
      <w:r>
        <w:rPr>
          <w:rFonts w:ascii="Times New Roman" w:hAnsi="Times New Roman" w:cs="Times New Roman"/>
        </w:rPr>
        <w:t xml:space="preserve"> and Assembly</w:t>
      </w:r>
      <w:r w:rsidR="00A501D6">
        <w:rPr>
          <w:rFonts w:ascii="Times New Roman" w:hAnsi="Times New Roman" w:cs="Times New Roman"/>
        </w:rPr>
        <w:t xml:space="preserve"> may seek advice on legal questions.  Additionally,  three </w:t>
      </w:r>
      <w:r>
        <w:rPr>
          <w:rFonts w:ascii="Times New Roman" w:hAnsi="Times New Roman" w:cs="Times New Roman"/>
        </w:rPr>
        <w:t>other organs of the UN</w:t>
      </w:r>
      <w:r w:rsidR="00A501D6">
        <w:rPr>
          <w:rFonts w:ascii="Times New Roman" w:hAnsi="Times New Roman" w:cs="Times New Roman"/>
        </w:rPr>
        <w:t xml:space="preserve">, fifteen </w:t>
      </w:r>
      <w:r>
        <w:rPr>
          <w:rFonts w:ascii="Times New Roman" w:hAnsi="Times New Roman" w:cs="Times New Roman"/>
        </w:rPr>
        <w:t xml:space="preserve">specialised agencies </w:t>
      </w:r>
      <w:r w:rsidR="00A501D6">
        <w:rPr>
          <w:rFonts w:ascii="Times New Roman" w:hAnsi="Times New Roman" w:cs="Times New Roman"/>
        </w:rPr>
        <w:t>and one related organisation</w:t>
      </w:r>
      <w:r w:rsidR="00A501D6">
        <w:rPr>
          <w:rStyle w:val="FootnoteReference"/>
          <w:rFonts w:ascii="Times New Roman" w:hAnsi="Times New Roman" w:cs="Times New Roman"/>
        </w:rPr>
        <w:footnoteReference w:id="7"/>
      </w:r>
      <w:r w:rsidR="00A501D6">
        <w:rPr>
          <w:rFonts w:ascii="Times New Roman" w:hAnsi="Times New Roman" w:cs="Times New Roman"/>
        </w:rPr>
        <w:t xml:space="preserve"> </w:t>
      </w:r>
      <w:r>
        <w:rPr>
          <w:rFonts w:ascii="Times New Roman" w:hAnsi="Times New Roman" w:cs="Times New Roman"/>
        </w:rPr>
        <w:t>“may obtain the Court’s opinion in order to assist them in their activities”.</w:t>
      </w:r>
      <w:r>
        <w:rPr>
          <w:rStyle w:val="FootnoteReference"/>
          <w:rFonts w:ascii="Times New Roman" w:hAnsi="Times New Roman" w:cs="Times New Roman"/>
        </w:rPr>
        <w:footnoteReference w:id="8"/>
      </w:r>
      <w:r w:rsidR="005F50E4">
        <w:rPr>
          <w:rFonts w:ascii="Times New Roman" w:hAnsi="Times New Roman" w:cs="Times New Roman"/>
        </w:rPr>
        <w:t xml:space="preserve">  </w:t>
      </w:r>
      <w:r w:rsidR="00A501D6">
        <w:rPr>
          <w:rFonts w:ascii="Times New Roman" w:hAnsi="Times New Roman" w:cs="Times New Roman"/>
        </w:rPr>
        <w:t xml:space="preserve">. </w:t>
      </w:r>
    </w:p>
    <w:p w14:paraId="4112A599" w14:textId="04A4B73B" w:rsidR="00A501D6" w:rsidRDefault="00A501D6" w:rsidP="00A501D6">
      <w:pPr>
        <w:spacing w:line="360" w:lineRule="auto"/>
        <w:jc w:val="both"/>
        <w:rPr>
          <w:rFonts w:ascii="Times New Roman" w:hAnsi="Times New Roman" w:cs="Times New Roman"/>
        </w:rPr>
      </w:pPr>
      <w:r>
        <w:rPr>
          <w:rFonts w:ascii="Times New Roman" w:hAnsi="Times New Roman" w:cs="Times New Roman"/>
        </w:rPr>
        <w:t>Of the twenty six advisory opinions given by the ICJ, fifteen requests have come from the Assembly, one from the Council and two from the Economic and Social Council.</w:t>
      </w:r>
      <w:r w:rsidR="00853E5E">
        <w:rPr>
          <w:rStyle w:val="FootnoteReference"/>
          <w:rFonts w:ascii="Times New Roman" w:hAnsi="Times New Roman" w:cs="Times New Roman"/>
        </w:rPr>
        <w:footnoteReference w:id="9"/>
      </w:r>
      <w:r w:rsidR="00853E5E">
        <w:rPr>
          <w:rFonts w:ascii="Times New Roman" w:hAnsi="Times New Roman" w:cs="Times New Roman"/>
        </w:rPr>
        <w:t xml:space="preserve">  </w:t>
      </w:r>
      <w:r>
        <w:rPr>
          <w:rFonts w:ascii="Times New Roman" w:hAnsi="Times New Roman" w:cs="Times New Roman"/>
        </w:rPr>
        <w:t>Five others relate to employment matters, the World Health Organization has requested two</w:t>
      </w:r>
      <w:r>
        <w:rPr>
          <w:rStyle w:val="FootnoteReference"/>
          <w:rFonts w:ascii="Times New Roman" w:hAnsi="Times New Roman" w:cs="Times New Roman"/>
        </w:rPr>
        <w:footnoteReference w:id="10"/>
      </w:r>
      <w:r>
        <w:rPr>
          <w:rFonts w:ascii="Times New Roman" w:hAnsi="Times New Roman" w:cs="Times New Roman"/>
        </w:rPr>
        <w:t xml:space="preserve">  and the International Maritime Organization one.</w:t>
      </w:r>
      <w:r>
        <w:rPr>
          <w:rStyle w:val="FootnoteReference"/>
          <w:rFonts w:ascii="Times New Roman" w:hAnsi="Times New Roman" w:cs="Times New Roman"/>
        </w:rPr>
        <w:footnoteReference w:id="11"/>
      </w:r>
    </w:p>
    <w:p w14:paraId="25E19E1E" w14:textId="77777777" w:rsidR="00A501D6" w:rsidRDefault="00A501D6" w:rsidP="00571920">
      <w:pPr>
        <w:spacing w:line="360" w:lineRule="auto"/>
        <w:jc w:val="both"/>
        <w:rPr>
          <w:rFonts w:ascii="Times New Roman" w:hAnsi="Times New Roman" w:cs="Times New Roman"/>
        </w:rPr>
      </w:pPr>
    </w:p>
    <w:p w14:paraId="7F8BDD66" w14:textId="61E925DC" w:rsidR="005F50E4" w:rsidRDefault="00A501D6" w:rsidP="00571920">
      <w:pPr>
        <w:spacing w:line="360" w:lineRule="auto"/>
        <w:jc w:val="both"/>
        <w:rPr>
          <w:rFonts w:ascii="Times New Roman" w:hAnsi="Times New Roman" w:cs="Times New Roman"/>
        </w:rPr>
      </w:pPr>
      <w:r>
        <w:rPr>
          <w:rFonts w:ascii="Times New Roman" w:hAnsi="Times New Roman" w:cs="Times New Roman"/>
        </w:rPr>
        <w:lastRenderedPageBreak/>
        <w:t>Advisory opinions</w:t>
      </w:r>
      <w:r w:rsidR="005F50E4">
        <w:rPr>
          <w:rFonts w:ascii="Times New Roman" w:hAnsi="Times New Roman" w:cs="Times New Roman"/>
        </w:rPr>
        <w:t xml:space="preserve"> are not binding, but certain opinions are by virtue of separate agreements.  For example, the </w:t>
      </w:r>
      <w:r w:rsidR="005F50E4" w:rsidRPr="0099249A">
        <w:rPr>
          <w:rFonts w:ascii="Times New Roman" w:hAnsi="Times New Roman" w:cs="Times New Roman"/>
          <w:i/>
        </w:rPr>
        <w:t>Convention on the Privileges and Immunities of the United Nations</w:t>
      </w:r>
      <w:r w:rsidR="005F50E4">
        <w:rPr>
          <w:rFonts w:ascii="Times New Roman" w:hAnsi="Times New Roman" w:cs="Times New Roman"/>
        </w:rPr>
        <w:t xml:space="preserve"> 1946 provided that where a difference arose between the UN and a Member, and was not settled by another means, a request should be made for an advisory opinion and the opinion given by the Court would be accepted as decisive.</w:t>
      </w:r>
      <w:r w:rsidR="005F50E4">
        <w:rPr>
          <w:rStyle w:val="FootnoteReference"/>
          <w:rFonts w:ascii="Times New Roman" w:hAnsi="Times New Roman" w:cs="Times New Roman"/>
        </w:rPr>
        <w:footnoteReference w:id="12"/>
      </w:r>
      <w:r w:rsidR="0099249A">
        <w:rPr>
          <w:rFonts w:ascii="Times New Roman" w:hAnsi="Times New Roman" w:cs="Times New Roman"/>
        </w:rPr>
        <w:t xml:space="preserve">  T</w:t>
      </w:r>
      <w:r w:rsidR="005F50E4">
        <w:rPr>
          <w:rFonts w:ascii="Times New Roman" w:hAnsi="Times New Roman" w:cs="Times New Roman"/>
        </w:rPr>
        <w:t xml:space="preserve">here is therefore opportunity for </w:t>
      </w:r>
      <w:r w:rsidR="0099249A">
        <w:rPr>
          <w:rFonts w:ascii="Times New Roman" w:hAnsi="Times New Roman" w:cs="Times New Roman"/>
        </w:rPr>
        <w:t xml:space="preserve">a binding opinion where </w:t>
      </w:r>
      <w:r w:rsidR="005F50E4">
        <w:rPr>
          <w:rFonts w:ascii="Times New Roman" w:hAnsi="Times New Roman" w:cs="Times New Roman"/>
        </w:rPr>
        <w:t>this</w:t>
      </w:r>
      <w:r w:rsidR="0099249A">
        <w:rPr>
          <w:rFonts w:ascii="Times New Roman" w:hAnsi="Times New Roman" w:cs="Times New Roman"/>
        </w:rPr>
        <w:t xml:space="preserve"> is necessary</w:t>
      </w:r>
      <w:r w:rsidR="005F50E4">
        <w:rPr>
          <w:rFonts w:ascii="Times New Roman" w:hAnsi="Times New Roman" w:cs="Times New Roman"/>
        </w:rPr>
        <w:t xml:space="preserve">. </w:t>
      </w:r>
    </w:p>
    <w:p w14:paraId="045DF195" w14:textId="6CE4BE7A" w:rsidR="00571920" w:rsidRPr="00824A91" w:rsidRDefault="00571920" w:rsidP="00571920">
      <w:pPr>
        <w:spacing w:line="360" w:lineRule="auto"/>
        <w:jc w:val="both"/>
        <w:rPr>
          <w:rFonts w:ascii="Times New Roman" w:hAnsi="Times New Roman" w:cs="Times New Roman"/>
        </w:rPr>
      </w:pPr>
      <w:r>
        <w:rPr>
          <w:rFonts w:ascii="Times New Roman" w:hAnsi="Times New Roman" w:cs="Times New Roman"/>
        </w:rPr>
        <w:t xml:space="preserve">Commenting in </w:t>
      </w:r>
      <w:r w:rsidR="00E6018E">
        <w:rPr>
          <w:rFonts w:ascii="Times New Roman" w:hAnsi="Times New Roman" w:cs="Times New Roman"/>
        </w:rPr>
        <w:t>its</w:t>
      </w:r>
      <w:r>
        <w:rPr>
          <w:rFonts w:ascii="Times New Roman" w:hAnsi="Times New Roman" w:cs="Times New Roman"/>
        </w:rPr>
        <w:t xml:space="preserve"> </w:t>
      </w:r>
      <w:r>
        <w:rPr>
          <w:rFonts w:ascii="Times New Roman" w:hAnsi="Times New Roman" w:cs="Times New Roman"/>
          <w:i/>
        </w:rPr>
        <w:t>Nuclear Weapons</w:t>
      </w:r>
      <w:r>
        <w:rPr>
          <w:rFonts w:ascii="Times New Roman" w:hAnsi="Times New Roman" w:cs="Times New Roman"/>
        </w:rPr>
        <w:t xml:space="preserve"> opinion the Court confirmed</w:t>
      </w:r>
      <w:r w:rsidR="005F50E4">
        <w:rPr>
          <w:rFonts w:ascii="Times New Roman" w:hAnsi="Times New Roman" w:cs="Times New Roman"/>
        </w:rPr>
        <w:t xml:space="preserve"> that</w:t>
      </w:r>
      <w:r>
        <w:rPr>
          <w:rFonts w:ascii="Times New Roman" w:hAnsi="Times New Roman" w:cs="Times New Roman"/>
        </w:rPr>
        <w:t xml:space="preserve"> “it states the existing law and does not legislate and this is so even if, in stating and applying the law, the Court necessarily has to specify its scope and sometimes note its general trend”.</w:t>
      </w:r>
      <w:r>
        <w:rPr>
          <w:rStyle w:val="FootnoteReference"/>
          <w:rFonts w:ascii="Times New Roman" w:hAnsi="Times New Roman" w:cs="Times New Roman"/>
        </w:rPr>
        <w:footnoteReference w:id="13"/>
      </w:r>
      <w:r w:rsidR="00975205">
        <w:rPr>
          <w:rFonts w:ascii="Times New Roman" w:hAnsi="Times New Roman" w:cs="Times New Roman"/>
        </w:rPr>
        <w:t xml:space="preserve">  </w:t>
      </w:r>
      <w:r>
        <w:rPr>
          <w:rFonts w:ascii="Times New Roman" w:hAnsi="Times New Roman" w:cs="Times New Roman"/>
        </w:rPr>
        <w:t xml:space="preserve">That said, on the issue of reservations, Lauterpacht reflected that the ICJ in the </w:t>
      </w:r>
      <w:r w:rsidRPr="00824A91">
        <w:rPr>
          <w:rFonts w:ascii="Times New Roman" w:hAnsi="Times New Roman" w:cs="Times New Roman"/>
          <w:i/>
        </w:rPr>
        <w:t>Genocide</w:t>
      </w:r>
      <w:r>
        <w:rPr>
          <w:rStyle w:val="FootnoteReference"/>
          <w:rFonts w:ascii="Times New Roman" w:hAnsi="Times New Roman" w:cs="Times New Roman"/>
          <w:i/>
        </w:rPr>
        <w:footnoteReference w:id="14"/>
      </w:r>
      <w:r>
        <w:rPr>
          <w:rFonts w:ascii="Times New Roman" w:hAnsi="Times New Roman" w:cs="Times New Roman"/>
        </w:rPr>
        <w:t xml:space="preserve"> opinion “devoted itself mainly to the development of law in this sphere”</w:t>
      </w:r>
      <w:r>
        <w:rPr>
          <w:rStyle w:val="FootnoteReference"/>
          <w:rFonts w:ascii="Times New Roman" w:hAnsi="Times New Roman" w:cs="Times New Roman"/>
        </w:rPr>
        <w:footnoteReference w:id="15"/>
      </w:r>
      <w:r>
        <w:rPr>
          <w:rFonts w:ascii="Times New Roman" w:hAnsi="Times New Roman" w:cs="Times New Roman"/>
        </w:rPr>
        <w:t xml:space="preserve"> while (in something of a reversal of roles) the International Law Commission “limited itself substantially to a statement of existing law.”</w:t>
      </w:r>
      <w:r>
        <w:rPr>
          <w:rStyle w:val="FootnoteReference"/>
          <w:rFonts w:ascii="Times New Roman" w:hAnsi="Times New Roman" w:cs="Times New Roman"/>
        </w:rPr>
        <w:footnoteReference w:id="16"/>
      </w:r>
      <w:r w:rsidR="005F50E4">
        <w:rPr>
          <w:rFonts w:ascii="Times New Roman" w:hAnsi="Times New Roman" w:cs="Times New Roman"/>
        </w:rPr>
        <w:t xml:space="preserve">  Although</w:t>
      </w:r>
      <w:r w:rsidR="008E3A09">
        <w:rPr>
          <w:rFonts w:ascii="Times New Roman" w:hAnsi="Times New Roman" w:cs="Times New Roman"/>
        </w:rPr>
        <w:t xml:space="preserve"> the </w:t>
      </w:r>
      <w:r w:rsidR="008E3A09">
        <w:rPr>
          <w:rFonts w:ascii="Times New Roman" w:hAnsi="Times New Roman" w:cs="Times New Roman"/>
          <w:i/>
        </w:rPr>
        <w:t>Genocide</w:t>
      </w:r>
      <w:r w:rsidR="008E3A09">
        <w:rPr>
          <w:rFonts w:ascii="Times New Roman" w:hAnsi="Times New Roman" w:cs="Times New Roman"/>
        </w:rPr>
        <w:t xml:space="preserve"> opinion dealt with very particular circumstances</w:t>
      </w:r>
      <w:r>
        <w:rPr>
          <w:rFonts w:ascii="Times New Roman" w:hAnsi="Times New Roman" w:cs="Times New Roman"/>
        </w:rPr>
        <w:t xml:space="preserve"> </w:t>
      </w:r>
      <w:r w:rsidR="008E3A09">
        <w:rPr>
          <w:rFonts w:ascii="Times New Roman" w:hAnsi="Times New Roman" w:cs="Times New Roman"/>
        </w:rPr>
        <w:t xml:space="preserve">this does illustrate the flexibility the Court has in in exercising its </w:t>
      </w:r>
      <w:r w:rsidR="003A2D9F">
        <w:rPr>
          <w:rFonts w:ascii="Times New Roman" w:hAnsi="Times New Roman" w:cs="Times New Roman"/>
        </w:rPr>
        <w:t xml:space="preserve">advisory </w:t>
      </w:r>
      <w:r w:rsidR="008E3A09">
        <w:rPr>
          <w:rFonts w:ascii="Times New Roman" w:hAnsi="Times New Roman" w:cs="Times New Roman"/>
        </w:rPr>
        <w:t>function.</w:t>
      </w:r>
      <w:r>
        <w:rPr>
          <w:rFonts w:ascii="Times New Roman" w:hAnsi="Times New Roman" w:cs="Times New Roman"/>
        </w:rPr>
        <w:t xml:space="preserve"> </w:t>
      </w:r>
    </w:p>
    <w:p w14:paraId="58CBBE15" w14:textId="18E05792" w:rsidR="00BE6156" w:rsidRPr="005F50E4" w:rsidRDefault="00D233D3" w:rsidP="002B5A41">
      <w:pPr>
        <w:spacing w:line="360" w:lineRule="auto"/>
        <w:jc w:val="center"/>
        <w:rPr>
          <w:rFonts w:ascii="Times New Roman" w:hAnsi="Times New Roman" w:cs="Times New Roman"/>
          <w:b/>
        </w:rPr>
      </w:pPr>
      <w:r>
        <w:rPr>
          <w:rFonts w:ascii="Times New Roman" w:hAnsi="Times New Roman" w:cs="Times New Roman"/>
        </w:rPr>
        <w:t>II</w:t>
      </w:r>
      <w:r w:rsidR="0050221F">
        <w:rPr>
          <w:rFonts w:ascii="Times New Roman" w:hAnsi="Times New Roman" w:cs="Times New Roman"/>
        </w:rPr>
        <w:t>I</w:t>
      </w:r>
      <w:r>
        <w:rPr>
          <w:rFonts w:ascii="Times New Roman" w:hAnsi="Times New Roman" w:cs="Times New Roman"/>
        </w:rPr>
        <w:t>. S</w:t>
      </w:r>
      <w:r w:rsidR="00B40669">
        <w:rPr>
          <w:rFonts w:ascii="Times New Roman" w:hAnsi="Times New Roman" w:cs="Times New Roman"/>
        </w:rPr>
        <w:t xml:space="preserve">COPE </w:t>
      </w:r>
    </w:p>
    <w:p w14:paraId="19A50746" w14:textId="0324EF16" w:rsidR="002548EB" w:rsidRDefault="002548EB" w:rsidP="002548EB">
      <w:pPr>
        <w:spacing w:line="360" w:lineRule="auto"/>
        <w:jc w:val="both"/>
        <w:rPr>
          <w:rFonts w:ascii="Times New Roman" w:hAnsi="Times New Roman" w:cs="Times New Roman"/>
        </w:rPr>
      </w:pPr>
      <w:r>
        <w:rPr>
          <w:rFonts w:ascii="Times New Roman" w:hAnsi="Times New Roman" w:cs="Times New Roman"/>
        </w:rPr>
        <w:t xml:space="preserve">The Statute </w:t>
      </w:r>
      <w:r w:rsidR="00C649A3">
        <w:rPr>
          <w:rFonts w:ascii="Times New Roman" w:hAnsi="Times New Roman" w:cs="Times New Roman"/>
        </w:rPr>
        <w:t xml:space="preserve">of the International Court of Justice (Statute) </w:t>
      </w:r>
      <w:r>
        <w:rPr>
          <w:rFonts w:ascii="Times New Roman" w:hAnsi="Times New Roman" w:cs="Times New Roman"/>
        </w:rPr>
        <w:t>provides that the Court “may give an advisory opinion on any legal question at the request of whatever body may be authorized by or in accordance with th</w:t>
      </w:r>
      <w:r w:rsidR="00416A3F">
        <w:rPr>
          <w:rFonts w:ascii="Times New Roman" w:hAnsi="Times New Roman" w:cs="Times New Roman"/>
        </w:rPr>
        <w:t xml:space="preserve">e Charter of the United Nations </w:t>
      </w:r>
      <w:r>
        <w:rPr>
          <w:rFonts w:ascii="Times New Roman" w:hAnsi="Times New Roman" w:cs="Times New Roman"/>
        </w:rPr>
        <w:t>to make such a request”.</w:t>
      </w:r>
      <w:r>
        <w:rPr>
          <w:rStyle w:val="FootnoteReference"/>
          <w:rFonts w:ascii="Times New Roman" w:hAnsi="Times New Roman" w:cs="Times New Roman"/>
        </w:rPr>
        <w:footnoteReference w:id="17"/>
      </w:r>
      <w:r>
        <w:rPr>
          <w:rFonts w:ascii="Times New Roman" w:hAnsi="Times New Roman" w:cs="Times New Roman"/>
        </w:rPr>
        <w:t xml:space="preserve">  The use of the </w:t>
      </w:r>
      <w:r w:rsidRPr="005F10D1">
        <w:rPr>
          <w:rFonts w:ascii="Times New Roman" w:hAnsi="Times New Roman" w:cs="Times New Roman"/>
        </w:rPr>
        <w:t xml:space="preserve">word </w:t>
      </w:r>
      <w:r>
        <w:rPr>
          <w:rFonts w:ascii="Times New Roman" w:hAnsi="Times New Roman" w:cs="Times New Roman"/>
        </w:rPr>
        <w:t>‘</w:t>
      </w:r>
      <w:r w:rsidRPr="005F10D1">
        <w:rPr>
          <w:rFonts w:ascii="Times New Roman" w:hAnsi="Times New Roman" w:cs="Times New Roman"/>
        </w:rPr>
        <w:t>may</w:t>
      </w:r>
      <w:r>
        <w:rPr>
          <w:rFonts w:ascii="Times New Roman" w:hAnsi="Times New Roman" w:cs="Times New Roman"/>
        </w:rPr>
        <w:t>’</w:t>
      </w:r>
      <w:r w:rsidRPr="005F10D1">
        <w:rPr>
          <w:rFonts w:ascii="Times New Roman" w:hAnsi="Times New Roman" w:cs="Times New Roman"/>
        </w:rPr>
        <w:t xml:space="preserve"> suggests</w:t>
      </w:r>
      <w:r>
        <w:rPr>
          <w:rFonts w:ascii="Times New Roman" w:hAnsi="Times New Roman" w:cs="Times New Roman"/>
        </w:rPr>
        <w:t xml:space="preserve"> an element of discretion and this will be returned to later.  </w:t>
      </w:r>
    </w:p>
    <w:p w14:paraId="6B14CCE9" w14:textId="4ED335B9" w:rsidR="002548EB" w:rsidRDefault="002548EB" w:rsidP="002548EB">
      <w:pPr>
        <w:spacing w:line="360" w:lineRule="auto"/>
        <w:jc w:val="both"/>
        <w:rPr>
          <w:rFonts w:ascii="Times New Roman" w:hAnsi="Times New Roman" w:cs="Times New Roman"/>
        </w:rPr>
      </w:pPr>
      <w:r>
        <w:rPr>
          <w:rFonts w:ascii="Times New Roman" w:hAnsi="Times New Roman" w:cs="Times New Roman"/>
        </w:rPr>
        <w:t>The question must be clearly stated and “all documents likely to throw light upon the question” should also be submitted.</w:t>
      </w:r>
      <w:r>
        <w:rPr>
          <w:rStyle w:val="FootnoteReference"/>
          <w:rFonts w:ascii="Times New Roman" w:hAnsi="Times New Roman" w:cs="Times New Roman"/>
        </w:rPr>
        <w:footnoteReference w:id="18"/>
      </w:r>
      <w:r>
        <w:rPr>
          <w:rFonts w:ascii="Times New Roman" w:hAnsi="Times New Roman" w:cs="Times New Roman"/>
        </w:rPr>
        <w:t xml:space="preserve">  States can participate by way of written or oral statements and if any international organisations are considered by the Court “as likely to be able to furnish information on the question”,</w:t>
      </w:r>
      <w:r w:rsidR="0000713C">
        <w:rPr>
          <w:rStyle w:val="FootnoteReference"/>
          <w:rFonts w:ascii="Times New Roman" w:hAnsi="Times New Roman" w:cs="Times New Roman"/>
        </w:rPr>
        <w:footnoteReference w:id="19"/>
      </w:r>
      <w:r>
        <w:rPr>
          <w:rFonts w:ascii="Times New Roman" w:hAnsi="Times New Roman" w:cs="Times New Roman"/>
        </w:rPr>
        <w:t xml:space="preserve"> </w:t>
      </w:r>
      <w:r w:rsidR="00C649A3">
        <w:rPr>
          <w:rFonts w:ascii="Times New Roman" w:hAnsi="Times New Roman" w:cs="Times New Roman"/>
        </w:rPr>
        <w:t xml:space="preserve">Article 66 of the Charter </w:t>
      </w:r>
      <w:r w:rsidR="00416A3F">
        <w:rPr>
          <w:rFonts w:ascii="Times New Roman" w:hAnsi="Times New Roman" w:cs="Times New Roman"/>
        </w:rPr>
        <w:t xml:space="preserve">of the United Nations (Charter) </w:t>
      </w:r>
      <w:r w:rsidR="00C649A3">
        <w:rPr>
          <w:rFonts w:ascii="Times New Roman" w:hAnsi="Times New Roman" w:cs="Times New Roman"/>
        </w:rPr>
        <w:t xml:space="preserve">makes </w:t>
      </w:r>
      <w:r>
        <w:rPr>
          <w:rFonts w:ascii="Times New Roman" w:hAnsi="Times New Roman" w:cs="Times New Roman"/>
        </w:rPr>
        <w:t xml:space="preserve">provision </w:t>
      </w:r>
      <w:r w:rsidR="00C649A3">
        <w:rPr>
          <w:rFonts w:ascii="Times New Roman" w:hAnsi="Times New Roman" w:cs="Times New Roman"/>
        </w:rPr>
        <w:t xml:space="preserve">for them </w:t>
      </w:r>
      <w:r>
        <w:rPr>
          <w:rFonts w:ascii="Times New Roman" w:hAnsi="Times New Roman" w:cs="Times New Roman"/>
        </w:rPr>
        <w:t>al</w:t>
      </w:r>
      <w:r w:rsidR="00C649A3">
        <w:rPr>
          <w:rFonts w:ascii="Times New Roman" w:hAnsi="Times New Roman" w:cs="Times New Roman"/>
        </w:rPr>
        <w:t xml:space="preserve">so </w:t>
      </w:r>
      <w:r>
        <w:rPr>
          <w:rFonts w:ascii="Times New Roman" w:hAnsi="Times New Roman" w:cs="Times New Roman"/>
        </w:rPr>
        <w:t>to participate.  Any states and international organisations which present oral and/or written statements may comment on other statements.</w:t>
      </w:r>
      <w:r>
        <w:rPr>
          <w:rStyle w:val="FootnoteReference"/>
          <w:rFonts w:ascii="Times New Roman" w:hAnsi="Times New Roman" w:cs="Times New Roman"/>
        </w:rPr>
        <w:footnoteReference w:id="20"/>
      </w:r>
    </w:p>
    <w:p w14:paraId="3C0674CD" w14:textId="1DA8C021" w:rsidR="00C924B9" w:rsidRDefault="002548EB" w:rsidP="002548EB">
      <w:pPr>
        <w:spacing w:line="360" w:lineRule="auto"/>
        <w:jc w:val="both"/>
        <w:rPr>
          <w:rFonts w:ascii="Times New Roman" w:hAnsi="Times New Roman" w:cs="Times New Roman"/>
        </w:rPr>
      </w:pPr>
      <w:r>
        <w:rPr>
          <w:rFonts w:ascii="Times New Roman" w:hAnsi="Times New Roman" w:cs="Times New Roman"/>
        </w:rPr>
        <w:lastRenderedPageBreak/>
        <w:t>N</w:t>
      </w:r>
      <w:r w:rsidR="00830EF8">
        <w:rPr>
          <w:rFonts w:ascii="Times New Roman" w:hAnsi="Times New Roman" w:cs="Times New Roman"/>
        </w:rPr>
        <w:t>on-governmental organisations (N</w:t>
      </w:r>
      <w:r>
        <w:rPr>
          <w:rFonts w:ascii="Times New Roman" w:hAnsi="Times New Roman" w:cs="Times New Roman"/>
        </w:rPr>
        <w:t>GOs</w:t>
      </w:r>
      <w:r w:rsidR="00830EF8">
        <w:rPr>
          <w:rFonts w:ascii="Times New Roman" w:hAnsi="Times New Roman" w:cs="Times New Roman"/>
        </w:rPr>
        <w:t>)</w:t>
      </w:r>
      <w:r>
        <w:rPr>
          <w:rFonts w:ascii="Times New Roman" w:hAnsi="Times New Roman" w:cs="Times New Roman"/>
        </w:rPr>
        <w:t xml:space="preserve"> </w:t>
      </w:r>
      <w:r w:rsidR="008B75E8">
        <w:rPr>
          <w:rFonts w:ascii="Times New Roman" w:hAnsi="Times New Roman" w:cs="Times New Roman"/>
        </w:rPr>
        <w:t xml:space="preserve">have </w:t>
      </w:r>
      <w:r w:rsidR="00A576B6">
        <w:rPr>
          <w:rFonts w:ascii="Times New Roman" w:hAnsi="Times New Roman" w:cs="Times New Roman"/>
        </w:rPr>
        <w:t>not</w:t>
      </w:r>
      <w:r>
        <w:rPr>
          <w:rFonts w:ascii="Times New Roman" w:hAnsi="Times New Roman" w:cs="Times New Roman"/>
        </w:rPr>
        <w:t xml:space="preserve"> </w:t>
      </w:r>
      <w:r w:rsidR="00C924B9">
        <w:rPr>
          <w:rFonts w:ascii="Times New Roman" w:hAnsi="Times New Roman" w:cs="Times New Roman"/>
        </w:rPr>
        <w:t xml:space="preserve">so far </w:t>
      </w:r>
      <w:r>
        <w:rPr>
          <w:rFonts w:ascii="Times New Roman" w:hAnsi="Times New Roman" w:cs="Times New Roman"/>
        </w:rPr>
        <w:t>directly participate</w:t>
      </w:r>
      <w:r w:rsidR="008B75E8">
        <w:rPr>
          <w:rFonts w:ascii="Times New Roman" w:hAnsi="Times New Roman" w:cs="Times New Roman"/>
        </w:rPr>
        <w:t>d</w:t>
      </w:r>
      <w:r>
        <w:rPr>
          <w:rFonts w:ascii="Times New Roman" w:hAnsi="Times New Roman" w:cs="Times New Roman"/>
        </w:rPr>
        <w:t xml:space="preserve"> in the advisory process</w:t>
      </w:r>
      <w:r w:rsidR="00304203">
        <w:rPr>
          <w:rFonts w:ascii="Times New Roman" w:hAnsi="Times New Roman" w:cs="Times New Roman"/>
        </w:rPr>
        <w:t xml:space="preserve"> </w:t>
      </w:r>
      <w:r w:rsidR="00C649A3">
        <w:rPr>
          <w:rFonts w:ascii="Times New Roman" w:hAnsi="Times New Roman" w:cs="Times New Roman"/>
        </w:rPr>
        <w:t>as “international organizations”</w:t>
      </w:r>
      <w:r w:rsidR="00C649A3">
        <w:rPr>
          <w:rStyle w:val="FootnoteReference"/>
          <w:rFonts w:ascii="Times New Roman" w:hAnsi="Times New Roman" w:cs="Times New Roman"/>
        </w:rPr>
        <w:footnoteReference w:id="21"/>
      </w:r>
      <w:r w:rsidR="00C649A3">
        <w:rPr>
          <w:rFonts w:ascii="Times New Roman" w:hAnsi="Times New Roman" w:cs="Times New Roman"/>
        </w:rPr>
        <w:t xml:space="preserve"> </w:t>
      </w:r>
      <w:r w:rsidR="00304203">
        <w:rPr>
          <w:rFonts w:ascii="Times New Roman" w:hAnsi="Times New Roman" w:cs="Times New Roman"/>
        </w:rPr>
        <w:t xml:space="preserve">although there was a step in that direction when </w:t>
      </w:r>
      <w:r>
        <w:rPr>
          <w:rFonts w:ascii="Times New Roman" w:hAnsi="Times New Roman" w:cs="Times New Roman"/>
        </w:rPr>
        <w:t xml:space="preserve">the volume of material received in connection with the two </w:t>
      </w:r>
      <w:r>
        <w:rPr>
          <w:rFonts w:ascii="Times New Roman" w:hAnsi="Times New Roman" w:cs="Times New Roman"/>
          <w:i/>
        </w:rPr>
        <w:t>Nuclear Weapons</w:t>
      </w:r>
      <w:r>
        <w:rPr>
          <w:rFonts w:ascii="Times New Roman" w:hAnsi="Times New Roman" w:cs="Times New Roman"/>
        </w:rPr>
        <w:t xml:space="preserve"> opinions</w:t>
      </w:r>
      <w:r>
        <w:rPr>
          <w:rStyle w:val="FootnoteReference"/>
          <w:rFonts w:ascii="Times New Roman" w:hAnsi="Times New Roman" w:cs="Times New Roman"/>
        </w:rPr>
        <w:footnoteReference w:id="22"/>
      </w:r>
      <w:r>
        <w:rPr>
          <w:rFonts w:ascii="Times New Roman" w:hAnsi="Times New Roman" w:cs="Times New Roman"/>
        </w:rPr>
        <w:t xml:space="preserve"> led to </w:t>
      </w:r>
      <w:r w:rsidR="00A576B6">
        <w:rPr>
          <w:rFonts w:ascii="Times New Roman" w:hAnsi="Times New Roman" w:cs="Times New Roman"/>
        </w:rPr>
        <w:t>a</w:t>
      </w:r>
      <w:r>
        <w:rPr>
          <w:rFonts w:ascii="Times New Roman" w:hAnsi="Times New Roman" w:cs="Times New Roman"/>
        </w:rPr>
        <w:t xml:space="preserve"> decision by the Court to place these in the Peace Palace library, available for the judges to consult if they wished to do so.</w:t>
      </w:r>
      <w:r>
        <w:rPr>
          <w:rStyle w:val="FootnoteReference"/>
          <w:rFonts w:ascii="Times New Roman" w:hAnsi="Times New Roman" w:cs="Times New Roman"/>
        </w:rPr>
        <w:footnoteReference w:id="23"/>
      </w:r>
      <w:r w:rsidR="00C924B9">
        <w:rPr>
          <w:rFonts w:ascii="Times New Roman" w:hAnsi="Times New Roman" w:cs="Times New Roman"/>
        </w:rPr>
        <w:t xml:space="preserve">  </w:t>
      </w:r>
      <w:r>
        <w:rPr>
          <w:rFonts w:ascii="Times New Roman" w:hAnsi="Times New Roman" w:cs="Times New Roman"/>
        </w:rPr>
        <w:t xml:space="preserve">Former President of the Court, Rosalyn Higgins has flagged this as a matter requiring further attention as </w:t>
      </w:r>
      <w:r w:rsidR="00304203">
        <w:rPr>
          <w:rFonts w:ascii="Times New Roman" w:hAnsi="Times New Roman" w:cs="Times New Roman"/>
        </w:rPr>
        <w:t>using this indirect route carrie</w:t>
      </w:r>
      <w:r>
        <w:rPr>
          <w:rFonts w:ascii="Times New Roman" w:hAnsi="Times New Roman" w:cs="Times New Roman"/>
        </w:rPr>
        <w:t>s a risk that one or more judges might take factors into account that are not picked up either by the other judges or by parties making written and oral statements.</w:t>
      </w:r>
      <w:r>
        <w:rPr>
          <w:rStyle w:val="FootnoteReference"/>
          <w:rFonts w:ascii="Times New Roman" w:hAnsi="Times New Roman" w:cs="Times New Roman"/>
        </w:rPr>
        <w:footnoteReference w:id="24"/>
      </w:r>
      <w:r>
        <w:rPr>
          <w:rFonts w:ascii="Times New Roman" w:hAnsi="Times New Roman" w:cs="Times New Roman"/>
        </w:rPr>
        <w:t xml:space="preserve"> </w:t>
      </w:r>
    </w:p>
    <w:p w14:paraId="18060799" w14:textId="12D7153D" w:rsidR="002548EB" w:rsidRPr="009B72E0" w:rsidRDefault="00C924B9" w:rsidP="002548EB">
      <w:pPr>
        <w:spacing w:line="360" w:lineRule="auto"/>
        <w:jc w:val="both"/>
        <w:rPr>
          <w:rFonts w:ascii="Times New Roman" w:hAnsi="Times New Roman" w:cs="Times New Roman"/>
        </w:rPr>
      </w:pPr>
      <w:r>
        <w:rPr>
          <w:rFonts w:ascii="Times New Roman" w:hAnsi="Times New Roman" w:cs="Times New Roman"/>
        </w:rPr>
        <w:t>There is</w:t>
      </w:r>
      <w:r w:rsidR="00830EF8">
        <w:rPr>
          <w:rFonts w:ascii="Times New Roman" w:hAnsi="Times New Roman" w:cs="Times New Roman"/>
        </w:rPr>
        <w:t>, however,</w:t>
      </w:r>
      <w:r>
        <w:rPr>
          <w:rFonts w:ascii="Times New Roman" w:hAnsi="Times New Roman" w:cs="Times New Roman"/>
        </w:rPr>
        <w:t xml:space="preserve"> one precedent for direct participation by </w:t>
      </w:r>
      <w:r w:rsidR="002548EB">
        <w:rPr>
          <w:rFonts w:ascii="Times New Roman" w:hAnsi="Times New Roman" w:cs="Times New Roman"/>
        </w:rPr>
        <w:t>NGOs</w:t>
      </w:r>
      <w:r w:rsidR="009B72E0">
        <w:rPr>
          <w:rFonts w:ascii="Times New Roman" w:hAnsi="Times New Roman" w:cs="Times New Roman"/>
        </w:rPr>
        <w:t xml:space="preserve">.  </w:t>
      </w:r>
      <w:r>
        <w:rPr>
          <w:rFonts w:ascii="Times New Roman" w:hAnsi="Times New Roman" w:cs="Times New Roman"/>
          <w:shd w:val="clear" w:color="auto" w:fill="FFFFFF"/>
        </w:rPr>
        <w:t xml:space="preserve">In the 1950 </w:t>
      </w:r>
      <w:r w:rsidRPr="008B75E8">
        <w:rPr>
          <w:rFonts w:ascii="Times New Roman" w:hAnsi="Times New Roman" w:cs="Times New Roman"/>
          <w:i/>
          <w:shd w:val="clear" w:color="auto" w:fill="FFFFFF"/>
        </w:rPr>
        <w:t>International Status of South-West Africa</w:t>
      </w:r>
      <w:r>
        <w:rPr>
          <w:rFonts w:ascii="Times New Roman" w:hAnsi="Times New Roman" w:cs="Times New Roman"/>
          <w:shd w:val="clear" w:color="auto" w:fill="FFFFFF"/>
        </w:rPr>
        <w:t xml:space="preserve"> opinion the Court accepted that an NGO, the International League for the Rights of Man</w:t>
      </w:r>
      <w:r w:rsidR="00830EF8">
        <w:rPr>
          <w:rFonts w:ascii="Times New Roman" w:hAnsi="Times New Roman" w:cs="Times New Roman"/>
          <w:shd w:val="clear" w:color="auto" w:fill="FFFFFF"/>
        </w:rPr>
        <w:t xml:space="preserve"> (the League)</w:t>
      </w:r>
      <w:r>
        <w:rPr>
          <w:rFonts w:ascii="Times New Roman" w:hAnsi="Times New Roman" w:cs="Times New Roman"/>
          <w:shd w:val="clear" w:color="auto" w:fill="FFFFFF"/>
        </w:rPr>
        <w:t>, was an “international organization” for the purposes of Article 66(2) and confirmed that it was prepared to receive from them a written statement of information likely to assist it in its examination of the legal questions before it.</w:t>
      </w:r>
      <w:r>
        <w:rPr>
          <w:rStyle w:val="FootnoteReference"/>
          <w:rFonts w:ascii="Times New Roman" w:hAnsi="Times New Roman" w:cs="Times New Roman"/>
          <w:shd w:val="clear" w:color="auto" w:fill="FFFFFF"/>
        </w:rPr>
        <w:footnoteReference w:id="25"/>
      </w:r>
      <w:r>
        <w:rPr>
          <w:rFonts w:cstheme="minorHAnsi"/>
          <w:sz w:val="20"/>
          <w:szCs w:val="20"/>
        </w:rPr>
        <w:t xml:space="preserve">  </w:t>
      </w:r>
      <w:r>
        <w:rPr>
          <w:rFonts w:ascii="Times New Roman" w:hAnsi="Times New Roman" w:cs="Times New Roman"/>
        </w:rPr>
        <w:t>Unfortunately the opportunity was wasted, the League did not send a written statement within the time prescribed</w:t>
      </w:r>
      <w:r>
        <w:rPr>
          <w:rStyle w:val="FootnoteReference"/>
          <w:rFonts w:ascii="Times New Roman" w:hAnsi="Times New Roman" w:cs="Times New Roman"/>
        </w:rPr>
        <w:footnoteReference w:id="26"/>
      </w:r>
      <w:r>
        <w:rPr>
          <w:rFonts w:ascii="Times New Roman" w:hAnsi="Times New Roman" w:cs="Times New Roman"/>
        </w:rPr>
        <w:t xml:space="preserve"> but the example </w:t>
      </w:r>
      <w:r w:rsidR="009B72E0">
        <w:rPr>
          <w:rFonts w:ascii="Times New Roman" w:hAnsi="Times New Roman" w:cs="Times New Roman"/>
        </w:rPr>
        <w:t xml:space="preserve">is there and the </w:t>
      </w:r>
      <w:r w:rsidR="009B72E0" w:rsidRPr="009B72E0">
        <w:rPr>
          <w:rFonts w:ascii="Times New Roman" w:hAnsi="Times New Roman" w:cs="Times New Roman"/>
          <w:i/>
        </w:rPr>
        <w:t xml:space="preserve">Chagos </w:t>
      </w:r>
      <w:r w:rsidR="009B72E0">
        <w:rPr>
          <w:rFonts w:ascii="Times New Roman" w:hAnsi="Times New Roman" w:cs="Times New Roman"/>
        </w:rPr>
        <w:t>request is a clear example of where such participation could be beneficial.  T</w:t>
      </w:r>
      <w:r w:rsidR="009B72E0">
        <w:rPr>
          <w:rFonts w:ascii="Times New Roman" w:hAnsi="Times New Roman" w:cs="Times New Roman"/>
          <w:shd w:val="clear" w:color="auto" w:fill="FFFFFF"/>
        </w:rPr>
        <w:t>he situation of people of Chagossian origin is fundamental to the two questions raised in the request</w:t>
      </w:r>
      <w:r w:rsidR="00571920">
        <w:rPr>
          <w:rFonts w:ascii="Times New Roman" w:hAnsi="Times New Roman" w:cs="Times New Roman"/>
          <w:shd w:val="clear" w:color="auto" w:fill="FFFFFF"/>
        </w:rPr>
        <w:t>.</w:t>
      </w:r>
      <w:r w:rsidR="009B72E0">
        <w:rPr>
          <w:rStyle w:val="FootnoteReference"/>
          <w:rFonts w:ascii="Times New Roman" w:hAnsi="Times New Roman" w:cs="Times New Roman"/>
          <w:shd w:val="clear" w:color="auto" w:fill="FFFFFF"/>
        </w:rPr>
        <w:footnoteReference w:id="27"/>
      </w:r>
      <w:r w:rsidR="00571920">
        <w:rPr>
          <w:rFonts w:ascii="Times New Roman" w:hAnsi="Times New Roman" w:cs="Times New Roman"/>
          <w:shd w:val="clear" w:color="auto" w:fill="FFFFFF"/>
        </w:rPr>
        <w:t xml:space="preserve">  H</w:t>
      </w:r>
      <w:r w:rsidR="009B72E0">
        <w:rPr>
          <w:rFonts w:ascii="Times New Roman" w:hAnsi="Times New Roman" w:cs="Times New Roman"/>
          <w:shd w:val="clear" w:color="auto" w:fill="FFFFFF"/>
        </w:rPr>
        <w:t xml:space="preserve">ow they themselves can have a voice within a process where </w:t>
      </w:r>
      <w:r w:rsidR="009B72E0" w:rsidRPr="0064450B">
        <w:rPr>
          <w:rFonts w:ascii="Times New Roman" w:hAnsi="Times New Roman" w:cs="Times New Roman"/>
          <w:i/>
          <w:shd w:val="clear" w:color="auto" w:fill="FFFFFF"/>
        </w:rPr>
        <w:t>prima facie</w:t>
      </w:r>
      <w:r w:rsidR="009B72E0">
        <w:rPr>
          <w:rFonts w:ascii="Times New Roman" w:hAnsi="Times New Roman" w:cs="Times New Roman"/>
          <w:shd w:val="clear" w:color="auto" w:fill="FFFFFF"/>
        </w:rPr>
        <w:t xml:space="preserve"> they have no standing is a concern which could be overcome by the mechanism of a</w:t>
      </w:r>
      <w:r w:rsidR="00304203">
        <w:rPr>
          <w:rFonts w:ascii="Times New Roman" w:hAnsi="Times New Roman" w:cs="Times New Roman"/>
        </w:rPr>
        <w:t>llowing appropriate NGOs</w:t>
      </w:r>
      <w:r w:rsidR="00DA1F3D">
        <w:rPr>
          <w:rFonts w:ascii="Times New Roman" w:hAnsi="Times New Roman" w:cs="Times New Roman"/>
        </w:rPr>
        <w:t>,</w:t>
      </w:r>
      <w:r w:rsidR="00304203">
        <w:rPr>
          <w:rFonts w:ascii="Times New Roman" w:hAnsi="Times New Roman" w:cs="Times New Roman"/>
        </w:rPr>
        <w:t xml:space="preserve"> who </w:t>
      </w:r>
      <w:r w:rsidR="009B72E0">
        <w:rPr>
          <w:rFonts w:ascii="Times New Roman" w:hAnsi="Times New Roman" w:cs="Times New Roman"/>
        </w:rPr>
        <w:t>ask permission</w:t>
      </w:r>
      <w:r w:rsidR="00DA1F3D">
        <w:rPr>
          <w:rFonts w:ascii="Times New Roman" w:hAnsi="Times New Roman" w:cs="Times New Roman"/>
        </w:rPr>
        <w:t>,</w:t>
      </w:r>
      <w:r w:rsidR="009B72E0">
        <w:rPr>
          <w:rFonts w:ascii="Times New Roman" w:hAnsi="Times New Roman" w:cs="Times New Roman"/>
        </w:rPr>
        <w:t xml:space="preserve"> </w:t>
      </w:r>
      <w:r w:rsidR="00972557">
        <w:rPr>
          <w:rFonts w:ascii="Times New Roman" w:hAnsi="Times New Roman" w:cs="Times New Roman"/>
        </w:rPr>
        <w:t xml:space="preserve">to </w:t>
      </w:r>
      <w:r>
        <w:rPr>
          <w:rFonts w:ascii="Times New Roman" w:hAnsi="Times New Roman" w:cs="Times New Roman"/>
        </w:rPr>
        <w:t>submit</w:t>
      </w:r>
      <w:r w:rsidR="00304203">
        <w:rPr>
          <w:rFonts w:ascii="Times New Roman" w:hAnsi="Times New Roman" w:cs="Times New Roman"/>
        </w:rPr>
        <w:t xml:space="preserve"> informati</w:t>
      </w:r>
      <w:r w:rsidR="00DA1F3D">
        <w:rPr>
          <w:rFonts w:ascii="Times New Roman" w:hAnsi="Times New Roman" w:cs="Times New Roman"/>
        </w:rPr>
        <w:t>on to the Court</w:t>
      </w:r>
      <w:r w:rsidR="00972557">
        <w:rPr>
          <w:rStyle w:val="FootnoteReference"/>
          <w:rFonts w:ascii="Times New Roman" w:hAnsi="Times New Roman" w:cs="Times New Roman"/>
        </w:rPr>
        <w:footnoteReference w:id="28"/>
      </w:r>
      <w:r w:rsidR="00972557">
        <w:rPr>
          <w:rFonts w:ascii="Times New Roman" w:hAnsi="Times New Roman" w:cs="Times New Roman"/>
        </w:rPr>
        <w:t xml:space="preserve"> and to comment on statements </w:t>
      </w:r>
      <w:r w:rsidR="0064450B">
        <w:rPr>
          <w:rFonts w:ascii="Times New Roman" w:hAnsi="Times New Roman" w:cs="Times New Roman"/>
        </w:rPr>
        <w:t>made by other states and organis</w:t>
      </w:r>
      <w:r w:rsidR="00972557">
        <w:rPr>
          <w:rFonts w:ascii="Times New Roman" w:hAnsi="Times New Roman" w:cs="Times New Roman"/>
        </w:rPr>
        <w:t>ations</w:t>
      </w:r>
      <w:r w:rsidR="009B72E0">
        <w:rPr>
          <w:rFonts w:ascii="Times New Roman" w:hAnsi="Times New Roman" w:cs="Times New Roman"/>
        </w:rPr>
        <w:t>.</w:t>
      </w:r>
      <w:r w:rsidR="00304203">
        <w:rPr>
          <w:rStyle w:val="FootnoteReference"/>
          <w:rFonts w:ascii="Times New Roman" w:hAnsi="Times New Roman" w:cs="Times New Roman"/>
        </w:rPr>
        <w:footnoteReference w:id="29"/>
      </w:r>
      <w:r w:rsidR="003A2D9F">
        <w:rPr>
          <w:rFonts w:ascii="Times New Roman" w:hAnsi="Times New Roman" w:cs="Times New Roman"/>
        </w:rPr>
        <w:t xml:space="preserve">  This c</w:t>
      </w:r>
      <w:r>
        <w:rPr>
          <w:rFonts w:ascii="Times New Roman" w:hAnsi="Times New Roman" w:cs="Times New Roman"/>
        </w:rPr>
        <w:t>ould</w:t>
      </w:r>
      <w:r w:rsidR="00972557">
        <w:rPr>
          <w:rFonts w:ascii="Times New Roman" w:hAnsi="Times New Roman" w:cs="Times New Roman"/>
        </w:rPr>
        <w:t xml:space="preserve"> </w:t>
      </w:r>
      <w:r w:rsidR="003A2D9F">
        <w:rPr>
          <w:rFonts w:ascii="Times New Roman" w:hAnsi="Times New Roman" w:cs="Times New Roman"/>
        </w:rPr>
        <w:t>also</w:t>
      </w:r>
      <w:r w:rsidR="009B72E0">
        <w:rPr>
          <w:rFonts w:ascii="Times New Roman" w:hAnsi="Times New Roman" w:cs="Times New Roman"/>
        </w:rPr>
        <w:t xml:space="preserve"> </w:t>
      </w:r>
      <w:r w:rsidR="00972557">
        <w:rPr>
          <w:rFonts w:ascii="Times New Roman" w:hAnsi="Times New Roman" w:cs="Times New Roman"/>
        </w:rPr>
        <w:t>strength</w:t>
      </w:r>
      <w:r w:rsidR="009B72E0">
        <w:rPr>
          <w:rFonts w:ascii="Times New Roman" w:hAnsi="Times New Roman" w:cs="Times New Roman"/>
        </w:rPr>
        <w:t xml:space="preserve">en the </w:t>
      </w:r>
      <w:r>
        <w:rPr>
          <w:rFonts w:ascii="Times New Roman" w:hAnsi="Times New Roman" w:cs="Times New Roman"/>
        </w:rPr>
        <w:t>opinion the Court</w:t>
      </w:r>
      <w:r w:rsidR="009B72E0">
        <w:rPr>
          <w:rFonts w:ascii="Times New Roman" w:hAnsi="Times New Roman" w:cs="Times New Roman"/>
        </w:rPr>
        <w:t xml:space="preserve"> ultimately gives</w:t>
      </w:r>
      <w:r w:rsidR="00972557">
        <w:rPr>
          <w:rFonts w:ascii="Times New Roman" w:hAnsi="Times New Roman" w:cs="Times New Roman"/>
        </w:rPr>
        <w:t xml:space="preserve"> and </w:t>
      </w:r>
      <w:r w:rsidR="009B72E0">
        <w:rPr>
          <w:rFonts w:ascii="Times New Roman" w:hAnsi="Times New Roman" w:cs="Times New Roman"/>
        </w:rPr>
        <w:t xml:space="preserve">help </w:t>
      </w:r>
      <w:r w:rsidR="00416A3F">
        <w:rPr>
          <w:rFonts w:ascii="Times New Roman" w:hAnsi="Times New Roman" w:cs="Times New Roman"/>
        </w:rPr>
        <w:t>avoid any</w:t>
      </w:r>
      <w:r w:rsidR="0064450B">
        <w:rPr>
          <w:rFonts w:ascii="Times New Roman" w:hAnsi="Times New Roman" w:cs="Times New Roman"/>
        </w:rPr>
        <w:t xml:space="preserve"> criticism that </w:t>
      </w:r>
      <w:r w:rsidR="009B72E0">
        <w:rPr>
          <w:rFonts w:ascii="Times New Roman" w:hAnsi="Times New Roman" w:cs="Times New Roman"/>
        </w:rPr>
        <w:t>it</w:t>
      </w:r>
      <w:r w:rsidR="0064450B">
        <w:rPr>
          <w:rFonts w:ascii="Times New Roman" w:hAnsi="Times New Roman" w:cs="Times New Roman"/>
        </w:rPr>
        <w:t xml:space="preserve"> has not founded its decision on full information</w:t>
      </w:r>
      <w:r w:rsidR="0064450B">
        <w:rPr>
          <w:rStyle w:val="FootnoteReference"/>
          <w:rFonts w:ascii="Times New Roman" w:hAnsi="Times New Roman" w:cs="Times New Roman"/>
        </w:rPr>
        <w:footnoteReference w:id="30"/>
      </w:r>
      <w:r w:rsidR="0064450B">
        <w:rPr>
          <w:rFonts w:ascii="Times New Roman" w:hAnsi="Times New Roman" w:cs="Times New Roman"/>
        </w:rPr>
        <w:t>.</w:t>
      </w:r>
    </w:p>
    <w:p w14:paraId="084D6603" w14:textId="71D3F13B" w:rsidR="00A61412" w:rsidRDefault="00E6018E" w:rsidP="00830EF8">
      <w:pPr>
        <w:spacing w:line="276" w:lineRule="auto"/>
        <w:jc w:val="center"/>
        <w:rPr>
          <w:rFonts w:ascii="Times New Roman" w:hAnsi="Times New Roman" w:cs="Times New Roman"/>
        </w:rPr>
      </w:pPr>
      <w:r>
        <w:rPr>
          <w:rFonts w:ascii="Times New Roman" w:hAnsi="Times New Roman" w:cs="Times New Roman"/>
        </w:rPr>
        <w:t>I</w:t>
      </w:r>
      <w:r w:rsidR="0050221F">
        <w:rPr>
          <w:rFonts w:ascii="Times New Roman" w:hAnsi="Times New Roman" w:cs="Times New Roman"/>
        </w:rPr>
        <w:t>V</w:t>
      </w:r>
      <w:r>
        <w:rPr>
          <w:rFonts w:ascii="Times New Roman" w:hAnsi="Times New Roman" w:cs="Times New Roman"/>
        </w:rPr>
        <w:t>.</w:t>
      </w:r>
      <w:r w:rsidR="00D233D3">
        <w:rPr>
          <w:rFonts w:ascii="Times New Roman" w:hAnsi="Times New Roman" w:cs="Times New Roman"/>
        </w:rPr>
        <w:t xml:space="preserve"> </w:t>
      </w:r>
      <w:r>
        <w:rPr>
          <w:rFonts w:ascii="Times New Roman" w:hAnsi="Times New Roman" w:cs="Times New Roman"/>
        </w:rPr>
        <w:t>PERCEPTION OF THE COURT</w:t>
      </w:r>
      <w:r w:rsidR="00D233D3">
        <w:rPr>
          <w:rFonts w:ascii="Times New Roman" w:hAnsi="Times New Roman" w:cs="Times New Roman"/>
        </w:rPr>
        <w:t xml:space="preserve"> AND ITS ADVISORY OPINIONS</w:t>
      </w:r>
    </w:p>
    <w:p w14:paraId="1C4F317F" w14:textId="17A4F109" w:rsidR="002732C6" w:rsidRPr="000A5590" w:rsidRDefault="002C76E9" w:rsidP="00CD6578">
      <w:pPr>
        <w:spacing w:line="360" w:lineRule="auto"/>
        <w:jc w:val="both"/>
        <w:rPr>
          <w:rFonts w:ascii="Times New Roman" w:hAnsi="Times New Roman" w:cs="Times New Roman"/>
        </w:rPr>
      </w:pPr>
      <w:r>
        <w:rPr>
          <w:rFonts w:ascii="Times New Roman" w:hAnsi="Times New Roman" w:cs="Times New Roman"/>
        </w:rPr>
        <w:t>Taking account of the increasing rol</w:t>
      </w:r>
      <w:r w:rsidR="003A2D9F">
        <w:rPr>
          <w:rFonts w:ascii="Times New Roman" w:hAnsi="Times New Roman" w:cs="Times New Roman"/>
        </w:rPr>
        <w:t>e of NGOs in civil society may</w:t>
      </w:r>
      <w:r>
        <w:rPr>
          <w:rFonts w:ascii="Times New Roman" w:hAnsi="Times New Roman" w:cs="Times New Roman"/>
        </w:rPr>
        <w:t xml:space="preserve"> be</w:t>
      </w:r>
      <w:r w:rsidR="003A2D9F">
        <w:rPr>
          <w:rFonts w:ascii="Times New Roman" w:hAnsi="Times New Roman" w:cs="Times New Roman"/>
        </w:rPr>
        <w:t xml:space="preserve"> one</w:t>
      </w:r>
      <w:r>
        <w:rPr>
          <w:rFonts w:ascii="Times New Roman" w:hAnsi="Times New Roman" w:cs="Times New Roman"/>
        </w:rPr>
        <w:t xml:space="preserve"> factor in keeping the ICJ and its work prominent and relevant.  A high</w:t>
      </w:r>
      <w:r w:rsidR="000A5590" w:rsidRPr="00F97B1F">
        <w:rPr>
          <w:rFonts w:ascii="Times New Roman" w:hAnsi="Times New Roman" w:cs="Times New Roman"/>
        </w:rPr>
        <w:t xml:space="preserve"> calibre of subject</w:t>
      </w:r>
      <w:r>
        <w:rPr>
          <w:rFonts w:ascii="Times New Roman" w:hAnsi="Times New Roman" w:cs="Times New Roman"/>
        </w:rPr>
        <w:t>s addressed</w:t>
      </w:r>
      <w:r w:rsidR="003A2D9F">
        <w:rPr>
          <w:rFonts w:ascii="Times New Roman" w:hAnsi="Times New Roman" w:cs="Times New Roman"/>
        </w:rPr>
        <w:t>, which in turn generates a significant</w:t>
      </w:r>
      <w:r>
        <w:rPr>
          <w:rFonts w:ascii="Times New Roman" w:hAnsi="Times New Roman" w:cs="Times New Roman"/>
        </w:rPr>
        <w:t xml:space="preserve"> </w:t>
      </w:r>
      <w:r w:rsidR="000A5590" w:rsidRPr="00F97B1F">
        <w:rPr>
          <w:rFonts w:ascii="Times New Roman" w:hAnsi="Times New Roman" w:cs="Times New Roman"/>
        </w:rPr>
        <w:t>level of interest and debate</w:t>
      </w:r>
      <w:r>
        <w:rPr>
          <w:rFonts w:ascii="Times New Roman" w:hAnsi="Times New Roman" w:cs="Times New Roman"/>
        </w:rPr>
        <w:t>, would be another</w:t>
      </w:r>
      <w:r w:rsidR="000A5590" w:rsidRPr="000A5590">
        <w:rPr>
          <w:rFonts w:ascii="Times New Roman" w:hAnsi="Times New Roman" w:cs="Times New Roman"/>
        </w:rPr>
        <w:t>.</w:t>
      </w:r>
      <w:r w:rsidR="000A5590">
        <w:rPr>
          <w:rFonts w:ascii="Times New Roman" w:hAnsi="Times New Roman" w:cs="Times New Roman"/>
        </w:rPr>
        <w:t xml:space="preserve">  </w:t>
      </w:r>
      <w:r w:rsidR="002732C6">
        <w:rPr>
          <w:rFonts w:ascii="Times New Roman" w:hAnsi="Times New Roman" w:cs="Times New Roman"/>
        </w:rPr>
        <w:t>Professor Alain Pellett, at the seminar held at the Peace Palace in April 2016 to mark the 70</w:t>
      </w:r>
      <w:r w:rsidR="002732C6" w:rsidRPr="00337698">
        <w:rPr>
          <w:rFonts w:ascii="Times New Roman" w:hAnsi="Times New Roman" w:cs="Times New Roman"/>
          <w:vertAlign w:val="superscript"/>
        </w:rPr>
        <w:t>th</w:t>
      </w:r>
      <w:r w:rsidR="002732C6">
        <w:rPr>
          <w:rFonts w:ascii="Times New Roman" w:hAnsi="Times New Roman" w:cs="Times New Roman"/>
        </w:rPr>
        <w:t xml:space="preserve"> anniversary of the Court, noted that states’ perception of the court is closely linked to their enthusiasm for international law itself, “which was high after the </w:t>
      </w:r>
      <w:r w:rsidR="002732C6">
        <w:rPr>
          <w:rFonts w:ascii="Times New Roman" w:hAnsi="Times New Roman" w:cs="Times New Roman"/>
        </w:rPr>
        <w:lastRenderedPageBreak/>
        <w:t>Second World War and in the mid-1990s, but is now waning.”</w:t>
      </w:r>
      <w:r w:rsidR="002732C6">
        <w:rPr>
          <w:rStyle w:val="FootnoteReference"/>
          <w:rFonts w:ascii="Times New Roman" w:hAnsi="Times New Roman" w:cs="Times New Roman"/>
        </w:rPr>
        <w:footnoteReference w:id="31"/>
      </w:r>
      <w:r w:rsidR="002732C6">
        <w:rPr>
          <w:rFonts w:ascii="Times New Roman" w:hAnsi="Times New Roman" w:cs="Times New Roman"/>
        </w:rPr>
        <w:t xml:space="preserve">  In his view the Court should be encouraged to look outwards but “must remain itself; it has no need to tout for business.”</w:t>
      </w:r>
      <w:r w:rsidR="002732C6">
        <w:rPr>
          <w:rStyle w:val="FootnoteReference"/>
          <w:rFonts w:ascii="Times New Roman" w:hAnsi="Times New Roman" w:cs="Times New Roman"/>
        </w:rPr>
        <w:footnoteReference w:id="32"/>
      </w:r>
      <w:r w:rsidR="002732C6">
        <w:rPr>
          <w:rFonts w:ascii="Times New Roman" w:hAnsi="Times New Roman" w:cs="Times New Roman"/>
        </w:rPr>
        <w:t xml:space="preserve">  </w:t>
      </w:r>
      <w:r w:rsidR="002732C6" w:rsidRPr="00F97B1F">
        <w:rPr>
          <w:rFonts w:ascii="Times New Roman" w:hAnsi="Times New Roman" w:cs="Times New Roman"/>
        </w:rPr>
        <w:t>While this was said in the cont</w:t>
      </w:r>
      <w:r w:rsidR="004C77C8" w:rsidRPr="005F50E4">
        <w:rPr>
          <w:rFonts w:ascii="Times New Roman" w:hAnsi="Times New Roman" w:cs="Times New Roman"/>
        </w:rPr>
        <w:t xml:space="preserve">ext of the </w:t>
      </w:r>
      <w:r w:rsidR="002732C6" w:rsidRPr="005F50E4">
        <w:rPr>
          <w:rFonts w:ascii="Times New Roman" w:hAnsi="Times New Roman" w:cs="Times New Roman"/>
        </w:rPr>
        <w:t>contentious jurisdiction, it is equally applicable in the advisory context</w:t>
      </w:r>
      <w:r w:rsidR="005E4969" w:rsidRPr="000A5590">
        <w:rPr>
          <w:rFonts w:ascii="Times New Roman" w:hAnsi="Times New Roman" w:cs="Times New Roman"/>
        </w:rPr>
        <w:t xml:space="preserve">.  </w:t>
      </w:r>
    </w:p>
    <w:p w14:paraId="252A95A7" w14:textId="288DB944" w:rsidR="00337698" w:rsidRDefault="00BC67A7" w:rsidP="00CD6578">
      <w:pPr>
        <w:spacing w:line="360" w:lineRule="auto"/>
        <w:jc w:val="both"/>
        <w:rPr>
          <w:rFonts w:ascii="Times New Roman" w:hAnsi="Times New Roman" w:cs="Times New Roman"/>
        </w:rPr>
      </w:pPr>
      <w:r>
        <w:rPr>
          <w:rFonts w:ascii="Times New Roman" w:hAnsi="Times New Roman" w:cs="Times New Roman"/>
        </w:rPr>
        <w:t>Although</w:t>
      </w:r>
      <w:r w:rsidR="003769DB">
        <w:rPr>
          <w:rFonts w:ascii="Times New Roman" w:hAnsi="Times New Roman" w:cs="Times New Roman"/>
        </w:rPr>
        <w:t xml:space="preserve"> states remain the primary</w:t>
      </w:r>
      <w:r w:rsidR="009E249D">
        <w:rPr>
          <w:rFonts w:ascii="Times New Roman" w:hAnsi="Times New Roman" w:cs="Times New Roman"/>
        </w:rPr>
        <w:t xml:space="preserve"> international players</w:t>
      </w:r>
      <w:r w:rsidR="003A3B9A">
        <w:rPr>
          <w:rFonts w:ascii="Times New Roman" w:hAnsi="Times New Roman" w:cs="Times New Roman"/>
        </w:rPr>
        <w:t xml:space="preserve">, how </w:t>
      </w:r>
      <w:r w:rsidR="000D7B08">
        <w:rPr>
          <w:rFonts w:ascii="Times New Roman" w:hAnsi="Times New Roman" w:cs="Times New Roman"/>
        </w:rPr>
        <w:t>the ICJ i</w:t>
      </w:r>
      <w:r w:rsidR="003A3B9A">
        <w:rPr>
          <w:rFonts w:ascii="Times New Roman" w:hAnsi="Times New Roman" w:cs="Times New Roman"/>
        </w:rPr>
        <w:t>s perceived i</w:t>
      </w:r>
      <w:r w:rsidR="000D7B08">
        <w:rPr>
          <w:rFonts w:ascii="Times New Roman" w:hAnsi="Times New Roman" w:cs="Times New Roman"/>
        </w:rPr>
        <w:t>n the eyes of</w:t>
      </w:r>
      <w:r w:rsidR="00BD73CC">
        <w:rPr>
          <w:rFonts w:ascii="Times New Roman" w:hAnsi="Times New Roman" w:cs="Times New Roman"/>
        </w:rPr>
        <w:t xml:space="preserve"> international </w:t>
      </w:r>
      <w:r w:rsidR="003A2D9F">
        <w:rPr>
          <w:rFonts w:ascii="Times New Roman" w:hAnsi="Times New Roman" w:cs="Times New Roman"/>
        </w:rPr>
        <w:t xml:space="preserve">and regional </w:t>
      </w:r>
      <w:r w:rsidR="00BD73CC">
        <w:rPr>
          <w:rFonts w:ascii="Times New Roman" w:hAnsi="Times New Roman" w:cs="Times New Roman"/>
        </w:rPr>
        <w:t>organisat</w:t>
      </w:r>
      <w:r w:rsidR="00830EF8">
        <w:rPr>
          <w:rFonts w:ascii="Times New Roman" w:hAnsi="Times New Roman" w:cs="Times New Roman"/>
        </w:rPr>
        <w:t xml:space="preserve">ions, NGOs </w:t>
      </w:r>
      <w:r w:rsidR="000D7B08">
        <w:rPr>
          <w:rFonts w:ascii="Times New Roman" w:hAnsi="Times New Roman" w:cs="Times New Roman"/>
        </w:rPr>
        <w:t xml:space="preserve">and </w:t>
      </w:r>
      <w:r w:rsidR="00337698">
        <w:rPr>
          <w:rFonts w:ascii="Times New Roman" w:hAnsi="Times New Roman" w:cs="Times New Roman"/>
        </w:rPr>
        <w:t xml:space="preserve">civil society as a whole is </w:t>
      </w:r>
      <w:r w:rsidR="000D7B08">
        <w:rPr>
          <w:rFonts w:ascii="Times New Roman" w:hAnsi="Times New Roman" w:cs="Times New Roman"/>
        </w:rPr>
        <w:t>important</w:t>
      </w:r>
      <w:r w:rsidR="00337698">
        <w:rPr>
          <w:rFonts w:ascii="Times New Roman" w:hAnsi="Times New Roman" w:cs="Times New Roman"/>
        </w:rPr>
        <w:t xml:space="preserve"> too</w:t>
      </w:r>
      <w:r w:rsidR="000D7B08">
        <w:rPr>
          <w:rFonts w:ascii="Times New Roman" w:hAnsi="Times New Roman" w:cs="Times New Roman"/>
        </w:rPr>
        <w:t xml:space="preserve">.   Judge Weeramantry, in his dissenting opinion in </w:t>
      </w:r>
      <w:r w:rsidR="00E07B3A">
        <w:rPr>
          <w:rFonts w:ascii="Times New Roman" w:hAnsi="Times New Roman" w:cs="Times New Roman"/>
          <w:i/>
        </w:rPr>
        <w:t>Legality of the Threat or U</w:t>
      </w:r>
      <w:r w:rsidR="00E07B3A" w:rsidRPr="00E07B3A">
        <w:rPr>
          <w:rFonts w:ascii="Times New Roman" w:hAnsi="Times New Roman" w:cs="Times New Roman"/>
          <w:i/>
        </w:rPr>
        <w:t xml:space="preserve">se of </w:t>
      </w:r>
      <w:r w:rsidR="000D7B08">
        <w:rPr>
          <w:rFonts w:ascii="Times New Roman" w:hAnsi="Times New Roman" w:cs="Times New Roman"/>
          <w:i/>
        </w:rPr>
        <w:t>Nuclear Weapons</w:t>
      </w:r>
      <w:r w:rsidR="00137CC0">
        <w:rPr>
          <w:rFonts w:ascii="Times New Roman" w:hAnsi="Times New Roman" w:cs="Times New Roman"/>
          <w:i/>
        </w:rPr>
        <w:t xml:space="preserve"> (Nuclear Weapons)</w:t>
      </w:r>
      <w:r w:rsidR="000D7B08">
        <w:rPr>
          <w:rFonts w:ascii="Times New Roman" w:hAnsi="Times New Roman" w:cs="Times New Roman"/>
        </w:rPr>
        <w:t>, commented that the case from the start “has been the subject of a wave of global interest unparall</w:t>
      </w:r>
      <w:r w:rsidR="003A605A">
        <w:rPr>
          <w:rFonts w:ascii="Times New Roman" w:hAnsi="Times New Roman" w:cs="Times New Roman"/>
        </w:rPr>
        <w:t>el</w:t>
      </w:r>
      <w:r w:rsidR="000D7B08">
        <w:rPr>
          <w:rFonts w:ascii="Times New Roman" w:hAnsi="Times New Roman" w:cs="Times New Roman"/>
        </w:rPr>
        <w:t>ed in the ann</w:t>
      </w:r>
      <w:r w:rsidR="005E4969">
        <w:rPr>
          <w:rFonts w:ascii="Times New Roman" w:hAnsi="Times New Roman" w:cs="Times New Roman"/>
        </w:rPr>
        <w:t>als of this court”</w:t>
      </w:r>
      <w:r w:rsidR="004E557C" w:rsidRPr="004E557C">
        <w:rPr>
          <w:rStyle w:val="FootnoteReference"/>
          <w:rFonts w:ascii="Times New Roman" w:hAnsi="Times New Roman" w:cs="Times New Roman"/>
        </w:rPr>
        <w:t xml:space="preserve"> </w:t>
      </w:r>
      <w:r w:rsidR="004E557C">
        <w:rPr>
          <w:rStyle w:val="FootnoteReference"/>
          <w:rFonts w:ascii="Times New Roman" w:hAnsi="Times New Roman" w:cs="Times New Roman"/>
        </w:rPr>
        <w:footnoteReference w:id="33"/>
      </w:r>
      <w:r w:rsidR="003A2D9F">
        <w:rPr>
          <w:rFonts w:ascii="Times New Roman" w:hAnsi="Times New Roman" w:cs="Times New Roman"/>
        </w:rPr>
        <w:t xml:space="preserve"> with a</w:t>
      </w:r>
      <w:r w:rsidR="000D7B08">
        <w:rPr>
          <w:rFonts w:ascii="Times New Roman" w:hAnsi="Times New Roman" w:cs="Times New Roman"/>
        </w:rPr>
        <w:t xml:space="preserve"> “groundswell of global public opinion</w:t>
      </w:r>
      <w:r w:rsidR="004E557C">
        <w:rPr>
          <w:rFonts w:ascii="Times New Roman" w:hAnsi="Times New Roman" w:cs="Times New Roman"/>
        </w:rPr>
        <w:t>…</w:t>
      </w:r>
      <w:r w:rsidR="000D7B08">
        <w:rPr>
          <w:rFonts w:ascii="Times New Roman" w:hAnsi="Times New Roman" w:cs="Times New Roman"/>
        </w:rPr>
        <w:t>not without legal relevance</w:t>
      </w:r>
      <w:r w:rsidR="002A1510">
        <w:rPr>
          <w:rFonts w:ascii="Times New Roman" w:hAnsi="Times New Roman" w:cs="Times New Roman"/>
        </w:rPr>
        <w:t>.”</w:t>
      </w:r>
      <w:r w:rsidR="000D7B08">
        <w:rPr>
          <w:rStyle w:val="FootnoteReference"/>
          <w:rFonts w:ascii="Times New Roman" w:hAnsi="Times New Roman" w:cs="Times New Roman"/>
        </w:rPr>
        <w:footnoteReference w:id="34"/>
      </w:r>
      <w:r w:rsidR="002C76E9">
        <w:rPr>
          <w:rFonts w:ascii="Times New Roman" w:hAnsi="Times New Roman" w:cs="Times New Roman"/>
        </w:rPr>
        <w:t xml:space="preserve">  Such interest can dissipate and be lost and it is therefore important that the advisory function is not sidelined by virtue of </w:t>
      </w:r>
      <w:r w:rsidR="00F97B1F">
        <w:rPr>
          <w:rFonts w:ascii="Times New Roman" w:hAnsi="Times New Roman" w:cs="Times New Roman"/>
        </w:rPr>
        <w:t>focus shifting away from vital issues to those of more peripheral concern.</w:t>
      </w:r>
    </w:p>
    <w:p w14:paraId="703F2CC0" w14:textId="194D89C6" w:rsidR="00F97B1F" w:rsidRPr="003C20A1" w:rsidRDefault="00A76BCE" w:rsidP="00F97B1F">
      <w:pPr>
        <w:spacing w:line="360" w:lineRule="auto"/>
        <w:jc w:val="both"/>
        <w:rPr>
          <w:rFonts w:ascii="Times New Roman" w:hAnsi="Times New Roman" w:cs="Times New Roman"/>
        </w:rPr>
      </w:pPr>
      <w:r>
        <w:rPr>
          <w:rFonts w:ascii="Times New Roman" w:hAnsi="Times New Roman" w:cs="Times New Roman"/>
        </w:rPr>
        <w:t xml:space="preserve"> The effectiveness of the advisory opinions given also feeds in to </w:t>
      </w:r>
      <w:r w:rsidRPr="00A76BCE">
        <w:rPr>
          <w:rFonts w:ascii="Times New Roman" w:hAnsi="Times New Roman" w:cs="Times New Roman"/>
        </w:rPr>
        <w:t>the p</w:t>
      </w:r>
      <w:r>
        <w:rPr>
          <w:rFonts w:ascii="Times New Roman" w:hAnsi="Times New Roman" w:cs="Times New Roman"/>
        </w:rPr>
        <w:t>erception of the Court.  As noted briefly above</w:t>
      </w:r>
      <w:r w:rsidRPr="005F50E4">
        <w:rPr>
          <w:rFonts w:ascii="Times New Roman" w:hAnsi="Times New Roman" w:cs="Times New Roman"/>
        </w:rPr>
        <w:t xml:space="preserve">, </w:t>
      </w:r>
      <w:r w:rsidRPr="003C20A1">
        <w:rPr>
          <w:rFonts w:ascii="Times New Roman" w:hAnsi="Times New Roman" w:cs="Times New Roman"/>
        </w:rPr>
        <w:t xml:space="preserve">the </w:t>
      </w:r>
      <w:r w:rsidRPr="003C20A1">
        <w:rPr>
          <w:rFonts w:ascii="Times New Roman" w:hAnsi="Times New Roman" w:cs="Times New Roman"/>
          <w:i/>
        </w:rPr>
        <w:t>Genocide</w:t>
      </w:r>
      <w:r w:rsidRPr="00537881">
        <w:rPr>
          <w:rFonts w:ascii="Times New Roman" w:hAnsi="Times New Roman" w:cs="Times New Roman"/>
        </w:rPr>
        <w:t xml:space="preserve"> opinion </w:t>
      </w:r>
      <w:r w:rsidRPr="005F50E4">
        <w:rPr>
          <w:rFonts w:ascii="Times New Roman" w:hAnsi="Times New Roman" w:cs="Times New Roman"/>
        </w:rPr>
        <w:t>was important</w:t>
      </w:r>
      <w:r w:rsidR="00F97B1F" w:rsidRPr="003C20A1">
        <w:rPr>
          <w:rFonts w:ascii="Times New Roman" w:hAnsi="Times New Roman" w:cs="Times New Roman"/>
        </w:rPr>
        <w:t xml:space="preserve"> in the development of the law on reservations</w:t>
      </w:r>
      <w:r w:rsidRPr="005F50E4">
        <w:rPr>
          <w:rFonts w:ascii="Times New Roman" w:hAnsi="Times New Roman" w:cs="Times New Roman"/>
        </w:rPr>
        <w:t xml:space="preserve"> and it </w:t>
      </w:r>
      <w:r w:rsidR="00F97B1F" w:rsidRPr="003C20A1">
        <w:rPr>
          <w:rFonts w:ascii="Times New Roman" w:hAnsi="Times New Roman" w:cs="Times New Roman"/>
        </w:rPr>
        <w:t>had a significant influence on the drafting of the Vienna Convention on the Law of Treaties</w:t>
      </w:r>
      <w:r w:rsidRPr="005F50E4">
        <w:rPr>
          <w:rFonts w:ascii="Times New Roman" w:hAnsi="Times New Roman" w:cs="Times New Roman"/>
        </w:rPr>
        <w:t>.</w:t>
      </w:r>
      <w:r w:rsidR="00F97B1F" w:rsidRPr="003C20A1">
        <w:rPr>
          <w:rStyle w:val="FootnoteReference"/>
          <w:rFonts w:ascii="Times New Roman" w:hAnsi="Times New Roman" w:cs="Times New Roman"/>
        </w:rPr>
        <w:footnoteReference w:id="35"/>
      </w:r>
      <w:r w:rsidRPr="005F50E4">
        <w:rPr>
          <w:rFonts w:ascii="Times New Roman" w:hAnsi="Times New Roman" w:cs="Times New Roman"/>
        </w:rPr>
        <w:t xml:space="preserve">  I</w:t>
      </w:r>
      <w:r w:rsidR="00F97B1F" w:rsidRPr="003C20A1">
        <w:rPr>
          <w:rFonts w:ascii="Times New Roman" w:hAnsi="Times New Roman" w:cs="Times New Roman"/>
        </w:rPr>
        <w:t xml:space="preserve">f advisory opinions are demonstrated as effective and useful </w:t>
      </w:r>
      <w:r w:rsidRPr="005F50E4">
        <w:rPr>
          <w:rFonts w:ascii="Times New Roman" w:hAnsi="Times New Roman" w:cs="Times New Roman"/>
        </w:rPr>
        <w:t>despite their non-binding character</w:t>
      </w:r>
      <w:r w:rsidR="005F50E4">
        <w:rPr>
          <w:rFonts w:ascii="Times New Roman" w:hAnsi="Times New Roman" w:cs="Times New Roman"/>
        </w:rPr>
        <w:t xml:space="preserve"> </w:t>
      </w:r>
      <w:r w:rsidR="00F97B1F" w:rsidRPr="003C20A1">
        <w:rPr>
          <w:rFonts w:ascii="Times New Roman" w:hAnsi="Times New Roman" w:cs="Times New Roman"/>
        </w:rPr>
        <w:t xml:space="preserve">this may encourage more use or the expansion of the advisory function.  </w:t>
      </w:r>
    </w:p>
    <w:p w14:paraId="42A4B597" w14:textId="58B39E4E" w:rsidR="00F97B1F" w:rsidRDefault="00F97B1F" w:rsidP="00F97B1F">
      <w:pPr>
        <w:spacing w:line="360" w:lineRule="auto"/>
        <w:jc w:val="both"/>
        <w:rPr>
          <w:rFonts w:ascii="Times New Roman" w:hAnsi="Times New Roman" w:cs="Times New Roman"/>
        </w:rPr>
      </w:pPr>
      <w:r>
        <w:rPr>
          <w:rFonts w:ascii="Times New Roman" w:hAnsi="Times New Roman" w:cs="Times New Roman"/>
        </w:rPr>
        <w:t xml:space="preserve">The mixed reception in the Council to the one opinion the Council sought </w:t>
      </w:r>
      <w:r w:rsidR="005F50E4">
        <w:rPr>
          <w:rFonts w:ascii="Times New Roman" w:hAnsi="Times New Roman" w:cs="Times New Roman"/>
        </w:rPr>
        <w:t xml:space="preserve">on the presence of South Africa in Namibia </w:t>
      </w:r>
      <w:r>
        <w:rPr>
          <w:rFonts w:ascii="Times New Roman" w:hAnsi="Times New Roman" w:cs="Times New Roman"/>
        </w:rPr>
        <w:t>may be one reason why recourse to the Court has not been made by the Council since.</w:t>
      </w:r>
      <w:r>
        <w:rPr>
          <w:rStyle w:val="FootnoteReference"/>
          <w:rFonts w:ascii="Times New Roman" w:hAnsi="Times New Roman" w:cs="Times New Roman"/>
        </w:rPr>
        <w:footnoteReference w:id="36"/>
      </w:r>
      <w:r>
        <w:rPr>
          <w:rFonts w:ascii="Times New Roman" w:hAnsi="Times New Roman" w:cs="Times New Roman"/>
        </w:rPr>
        <w:t xml:space="preserve">  More positively, for example, the </w:t>
      </w:r>
      <w:r w:rsidRPr="00521FDF">
        <w:rPr>
          <w:rFonts w:ascii="Times New Roman" w:hAnsi="Times New Roman" w:cs="Times New Roman"/>
          <w:i/>
        </w:rPr>
        <w:t>Western Sahara</w:t>
      </w:r>
      <w:r>
        <w:rPr>
          <w:rStyle w:val="FootnoteReference"/>
          <w:rFonts w:ascii="Times New Roman" w:hAnsi="Times New Roman" w:cs="Times New Roman"/>
          <w:i/>
        </w:rPr>
        <w:footnoteReference w:id="37"/>
      </w:r>
      <w:r>
        <w:rPr>
          <w:rFonts w:ascii="Times New Roman" w:hAnsi="Times New Roman" w:cs="Times New Roman"/>
        </w:rPr>
        <w:t xml:space="preserve"> and the </w:t>
      </w:r>
      <w:r w:rsidRPr="00521FDF">
        <w:rPr>
          <w:rFonts w:ascii="Times New Roman" w:hAnsi="Times New Roman" w:cs="Times New Roman"/>
          <w:i/>
        </w:rPr>
        <w:t>Immunity from Legal Process</w:t>
      </w:r>
      <w:r>
        <w:rPr>
          <w:rStyle w:val="FootnoteReference"/>
          <w:rFonts w:ascii="Times New Roman" w:hAnsi="Times New Roman" w:cs="Times New Roman"/>
          <w:i/>
        </w:rPr>
        <w:footnoteReference w:id="38"/>
      </w:r>
      <w:r>
        <w:rPr>
          <w:rFonts w:ascii="Times New Roman" w:hAnsi="Times New Roman" w:cs="Times New Roman"/>
        </w:rPr>
        <w:t xml:space="preserve"> opinions requested by the Assembly </w:t>
      </w:r>
      <w:r w:rsidR="005F50E4">
        <w:rPr>
          <w:rFonts w:ascii="Times New Roman" w:hAnsi="Times New Roman" w:cs="Times New Roman"/>
        </w:rPr>
        <w:t xml:space="preserve">have been identified as </w:t>
      </w:r>
      <w:r>
        <w:rPr>
          <w:rFonts w:ascii="Times New Roman" w:hAnsi="Times New Roman" w:cs="Times New Roman"/>
        </w:rPr>
        <w:t>remain</w:t>
      </w:r>
      <w:r w:rsidR="005F50E4">
        <w:rPr>
          <w:rFonts w:ascii="Times New Roman" w:hAnsi="Times New Roman" w:cs="Times New Roman"/>
        </w:rPr>
        <w:t>ing</w:t>
      </w:r>
      <w:r>
        <w:rPr>
          <w:rFonts w:ascii="Times New Roman" w:hAnsi="Times New Roman" w:cs="Times New Roman"/>
        </w:rPr>
        <w:t xml:space="preserve"> useful to the UN in its work many years on</w:t>
      </w:r>
      <w:r w:rsidR="0099249A">
        <w:rPr>
          <w:rFonts w:ascii="Times New Roman" w:hAnsi="Times New Roman" w:cs="Times New Roman"/>
        </w:rPr>
        <w:t>.</w:t>
      </w:r>
      <w:r>
        <w:rPr>
          <w:rStyle w:val="FootnoteReference"/>
          <w:rFonts w:ascii="Times New Roman" w:hAnsi="Times New Roman" w:cs="Times New Roman"/>
        </w:rPr>
        <w:footnoteReference w:id="39"/>
      </w:r>
      <w:r w:rsidR="003C20A1">
        <w:rPr>
          <w:rFonts w:ascii="Times New Roman" w:hAnsi="Times New Roman" w:cs="Times New Roman"/>
        </w:rPr>
        <w:t xml:space="preserve">  The framework established by the former </w:t>
      </w:r>
      <w:r w:rsidR="00F42780">
        <w:rPr>
          <w:rFonts w:ascii="Times New Roman" w:hAnsi="Times New Roman" w:cs="Times New Roman"/>
        </w:rPr>
        <w:t xml:space="preserve">is still relevant to the Office of Legal </w:t>
      </w:r>
      <w:r w:rsidR="0053630D">
        <w:rPr>
          <w:rFonts w:ascii="Times New Roman" w:hAnsi="Times New Roman" w:cs="Times New Roman"/>
        </w:rPr>
        <w:t>A</w:t>
      </w:r>
      <w:r w:rsidR="00F42780">
        <w:rPr>
          <w:rFonts w:ascii="Times New Roman" w:hAnsi="Times New Roman" w:cs="Times New Roman"/>
        </w:rPr>
        <w:t>ffairs in advising other UN entities</w:t>
      </w:r>
      <w:r w:rsidR="00F42780">
        <w:rPr>
          <w:rStyle w:val="FootnoteReference"/>
          <w:rFonts w:ascii="Times New Roman" w:hAnsi="Times New Roman" w:cs="Times New Roman"/>
        </w:rPr>
        <w:footnoteReference w:id="40"/>
      </w:r>
      <w:r w:rsidR="00485368">
        <w:rPr>
          <w:rFonts w:ascii="Times New Roman" w:hAnsi="Times New Roman" w:cs="Times New Roman"/>
        </w:rPr>
        <w:t xml:space="preserve"> and the arrangements for</w:t>
      </w:r>
      <w:r w:rsidR="0099249A">
        <w:rPr>
          <w:rFonts w:ascii="Times New Roman" w:hAnsi="Times New Roman" w:cs="Times New Roman"/>
        </w:rPr>
        <w:t xml:space="preserve"> </w:t>
      </w:r>
      <w:r w:rsidR="00F42780">
        <w:rPr>
          <w:rFonts w:ascii="Times New Roman" w:hAnsi="Times New Roman" w:cs="Times New Roman"/>
        </w:rPr>
        <w:t>privileges and immunities of the UN and its officials remain crucial and are relied on a daily basis.</w:t>
      </w:r>
      <w:r w:rsidR="00F42780">
        <w:rPr>
          <w:rStyle w:val="FootnoteReference"/>
          <w:rFonts w:ascii="Times New Roman" w:hAnsi="Times New Roman" w:cs="Times New Roman"/>
        </w:rPr>
        <w:footnoteReference w:id="41"/>
      </w:r>
    </w:p>
    <w:p w14:paraId="59206998" w14:textId="60093C65" w:rsidR="00462924" w:rsidRPr="00D233D3" w:rsidRDefault="00D233D3" w:rsidP="00204443">
      <w:pPr>
        <w:spacing w:line="360" w:lineRule="auto"/>
        <w:jc w:val="center"/>
        <w:rPr>
          <w:rFonts w:ascii="Times New Roman" w:hAnsi="Times New Roman" w:cs="Times New Roman"/>
        </w:rPr>
      </w:pPr>
      <w:r>
        <w:rPr>
          <w:rFonts w:ascii="Times New Roman" w:hAnsi="Times New Roman" w:cs="Times New Roman"/>
        </w:rPr>
        <w:lastRenderedPageBreak/>
        <w:t>V. JURISDICTION: WHO CAN REQUEST AN OPINION AND ON WHAT</w:t>
      </w:r>
      <w:r w:rsidR="00152A83" w:rsidRPr="00D233D3">
        <w:rPr>
          <w:rFonts w:ascii="Times New Roman" w:hAnsi="Times New Roman" w:cs="Times New Roman"/>
        </w:rPr>
        <w:t>?</w:t>
      </w:r>
    </w:p>
    <w:p w14:paraId="4B7FDAE3" w14:textId="77777777" w:rsidR="00CA47CA" w:rsidRPr="004B33C6" w:rsidRDefault="00720383" w:rsidP="00CD6578">
      <w:pPr>
        <w:spacing w:line="360" w:lineRule="auto"/>
        <w:jc w:val="both"/>
        <w:rPr>
          <w:rFonts w:ascii="Times New Roman" w:hAnsi="Times New Roman" w:cs="Times New Roman"/>
        </w:rPr>
      </w:pPr>
      <w:r>
        <w:rPr>
          <w:rFonts w:ascii="Times New Roman" w:hAnsi="Times New Roman" w:cs="Times New Roman"/>
        </w:rPr>
        <w:t>T</w:t>
      </w:r>
      <w:r w:rsidR="00D16006">
        <w:rPr>
          <w:rFonts w:ascii="Times New Roman" w:hAnsi="Times New Roman" w:cs="Times New Roman"/>
        </w:rPr>
        <w:t xml:space="preserve">he Assembly and </w:t>
      </w:r>
      <w:r w:rsidR="00462924">
        <w:rPr>
          <w:rFonts w:ascii="Times New Roman" w:hAnsi="Times New Roman" w:cs="Times New Roman"/>
        </w:rPr>
        <w:t>Council can ask for an opinion “on any legal question.”</w:t>
      </w:r>
      <w:r w:rsidR="00462924">
        <w:rPr>
          <w:rStyle w:val="FootnoteReference"/>
          <w:rFonts w:ascii="Times New Roman" w:hAnsi="Times New Roman" w:cs="Times New Roman"/>
        </w:rPr>
        <w:footnoteReference w:id="42"/>
      </w:r>
      <w:r>
        <w:rPr>
          <w:rFonts w:ascii="Times New Roman" w:hAnsi="Times New Roman" w:cs="Times New Roman"/>
        </w:rPr>
        <w:t xml:space="preserve">  Ot</w:t>
      </w:r>
      <w:r w:rsidR="00462924">
        <w:rPr>
          <w:rFonts w:ascii="Times New Roman" w:hAnsi="Times New Roman" w:cs="Times New Roman"/>
        </w:rPr>
        <w:t>he</w:t>
      </w:r>
      <w:r w:rsidR="0051554F">
        <w:rPr>
          <w:rFonts w:ascii="Times New Roman" w:hAnsi="Times New Roman" w:cs="Times New Roman"/>
        </w:rPr>
        <w:t>r organs of the UN and specialis</w:t>
      </w:r>
      <w:r w:rsidR="00462924">
        <w:rPr>
          <w:rFonts w:ascii="Times New Roman" w:hAnsi="Times New Roman" w:cs="Times New Roman"/>
        </w:rPr>
        <w:t xml:space="preserve">ed agencies </w:t>
      </w:r>
      <w:r w:rsidR="00E9071C">
        <w:rPr>
          <w:rFonts w:ascii="Times New Roman" w:hAnsi="Times New Roman" w:cs="Times New Roman"/>
        </w:rPr>
        <w:t>must</w:t>
      </w:r>
      <w:r w:rsidR="00462924">
        <w:rPr>
          <w:rFonts w:ascii="Times New Roman" w:hAnsi="Times New Roman" w:cs="Times New Roman"/>
        </w:rPr>
        <w:t xml:space="preserve"> ask legal question</w:t>
      </w:r>
      <w:r w:rsidR="00E9071C">
        <w:rPr>
          <w:rFonts w:ascii="Times New Roman" w:hAnsi="Times New Roman" w:cs="Times New Roman"/>
        </w:rPr>
        <w:t>s</w:t>
      </w:r>
      <w:r w:rsidR="00570F13">
        <w:rPr>
          <w:rFonts w:ascii="Times New Roman" w:hAnsi="Times New Roman" w:cs="Times New Roman"/>
        </w:rPr>
        <w:t xml:space="preserve"> “</w:t>
      </w:r>
      <w:r w:rsidR="00462924">
        <w:rPr>
          <w:rFonts w:ascii="Times New Roman" w:hAnsi="Times New Roman" w:cs="Times New Roman"/>
        </w:rPr>
        <w:t>within the scope of their activities”.</w:t>
      </w:r>
      <w:r w:rsidR="00462924">
        <w:rPr>
          <w:rStyle w:val="FootnoteReference"/>
          <w:rFonts w:ascii="Times New Roman" w:hAnsi="Times New Roman" w:cs="Times New Roman"/>
        </w:rPr>
        <w:footnoteReference w:id="43"/>
      </w:r>
      <w:r w:rsidR="00CA47CA">
        <w:rPr>
          <w:rFonts w:ascii="Times New Roman" w:hAnsi="Times New Roman" w:cs="Times New Roman"/>
        </w:rPr>
        <w:t xml:space="preserve">  </w:t>
      </w:r>
    </w:p>
    <w:p w14:paraId="02FD1B2C" w14:textId="7CAEF9A4" w:rsidR="001D1EE8" w:rsidRDefault="003769DB" w:rsidP="00CD6578">
      <w:pPr>
        <w:spacing w:line="360" w:lineRule="auto"/>
        <w:jc w:val="both"/>
        <w:rPr>
          <w:rFonts w:ascii="Times New Roman" w:hAnsi="Times New Roman" w:cs="Times New Roman"/>
        </w:rPr>
      </w:pPr>
      <w:r>
        <w:rPr>
          <w:rFonts w:ascii="Times New Roman" w:hAnsi="Times New Roman" w:cs="Times New Roman"/>
        </w:rPr>
        <w:t xml:space="preserve">The ICJ confirmed in </w:t>
      </w:r>
      <w:r w:rsidR="000C5BDD" w:rsidRPr="000C5BDD">
        <w:rPr>
          <w:rFonts w:ascii="Times New Roman" w:hAnsi="Times New Roman" w:cs="Times New Roman"/>
          <w:i/>
        </w:rPr>
        <w:t>Kosovo</w:t>
      </w:r>
      <w:r w:rsidR="000C5BDD">
        <w:rPr>
          <w:rFonts w:ascii="Times New Roman" w:hAnsi="Times New Roman" w:cs="Times New Roman"/>
        </w:rPr>
        <w:t xml:space="preserve"> that “[a] question which expressly asks the Court whether or not a particular action is compatible with international law certainly appears to be a legal question.”</w:t>
      </w:r>
      <w:r w:rsidR="000C5BDD">
        <w:rPr>
          <w:rStyle w:val="FootnoteReference"/>
          <w:rFonts w:ascii="Times New Roman" w:hAnsi="Times New Roman" w:cs="Times New Roman"/>
        </w:rPr>
        <w:footnoteReference w:id="44"/>
      </w:r>
      <w:r w:rsidR="00FC1C40">
        <w:rPr>
          <w:rFonts w:ascii="Times New Roman" w:hAnsi="Times New Roman" w:cs="Times New Roman"/>
        </w:rPr>
        <w:t xml:space="preserve">  The Court </w:t>
      </w:r>
      <w:r w:rsidR="008B6ECD">
        <w:rPr>
          <w:rFonts w:ascii="Times New Roman" w:hAnsi="Times New Roman" w:cs="Times New Roman"/>
        </w:rPr>
        <w:t xml:space="preserve">referred </w:t>
      </w:r>
      <w:r>
        <w:rPr>
          <w:rFonts w:ascii="Times New Roman" w:hAnsi="Times New Roman" w:cs="Times New Roman"/>
        </w:rPr>
        <w:t xml:space="preserve">back to </w:t>
      </w:r>
      <w:r w:rsidR="001D1EE8" w:rsidRPr="00FC1C40">
        <w:rPr>
          <w:rFonts w:ascii="Times New Roman" w:hAnsi="Times New Roman" w:cs="Times New Roman"/>
          <w:i/>
        </w:rPr>
        <w:t>Western Sahara</w:t>
      </w:r>
      <w:r>
        <w:rPr>
          <w:rFonts w:ascii="Times New Roman" w:hAnsi="Times New Roman" w:cs="Times New Roman"/>
        </w:rPr>
        <w:t xml:space="preserve"> t</w:t>
      </w:r>
      <w:r w:rsidR="001D1EE8">
        <w:rPr>
          <w:rFonts w:ascii="Times New Roman" w:hAnsi="Times New Roman" w:cs="Times New Roman"/>
        </w:rPr>
        <w:t>o underline this point, confirming that questions “framed in terms of law and rais[ing] problem</w:t>
      </w:r>
      <w:r w:rsidR="005A7C6F">
        <w:rPr>
          <w:rFonts w:ascii="Times New Roman" w:hAnsi="Times New Roman" w:cs="Times New Roman"/>
        </w:rPr>
        <w:t>s</w:t>
      </w:r>
      <w:r w:rsidR="001D1EE8">
        <w:rPr>
          <w:rFonts w:ascii="Times New Roman" w:hAnsi="Times New Roman" w:cs="Times New Roman"/>
        </w:rPr>
        <w:t xml:space="preserve"> of international law</w:t>
      </w:r>
      <w:r w:rsidR="00D627A8">
        <w:rPr>
          <w:rFonts w:ascii="Times New Roman" w:hAnsi="Times New Roman" w:cs="Times New Roman"/>
        </w:rPr>
        <w:t>…are by their very nature susceptible of a reply based on law.”</w:t>
      </w:r>
      <w:r w:rsidR="00D627A8">
        <w:rPr>
          <w:rStyle w:val="FootnoteReference"/>
          <w:rFonts w:ascii="Times New Roman" w:hAnsi="Times New Roman" w:cs="Times New Roman"/>
        </w:rPr>
        <w:footnoteReference w:id="45"/>
      </w:r>
    </w:p>
    <w:p w14:paraId="43081F41" w14:textId="77777777" w:rsidR="009114AD" w:rsidRDefault="00C32485" w:rsidP="00CD6578">
      <w:pPr>
        <w:spacing w:line="360" w:lineRule="auto"/>
        <w:jc w:val="both"/>
        <w:rPr>
          <w:rFonts w:ascii="Times New Roman" w:hAnsi="Times New Roman" w:cs="Times New Roman"/>
        </w:rPr>
      </w:pPr>
      <w:r>
        <w:rPr>
          <w:rFonts w:ascii="Times New Roman" w:hAnsi="Times New Roman" w:cs="Times New Roman"/>
        </w:rPr>
        <w:t>The Court has consistently reaffirmed that p</w:t>
      </w:r>
      <w:r w:rsidR="00FC1C40">
        <w:rPr>
          <w:rFonts w:ascii="Times New Roman" w:hAnsi="Times New Roman" w:cs="Times New Roman"/>
        </w:rPr>
        <w:t>olitical elements</w:t>
      </w:r>
      <w:r w:rsidR="00D627A8">
        <w:rPr>
          <w:rFonts w:ascii="Times New Roman" w:hAnsi="Times New Roman" w:cs="Times New Roman"/>
        </w:rPr>
        <w:t xml:space="preserve"> do not serve to s</w:t>
      </w:r>
      <w:r w:rsidR="00FC1C40">
        <w:rPr>
          <w:rFonts w:ascii="Times New Roman" w:hAnsi="Times New Roman" w:cs="Times New Roman"/>
        </w:rPr>
        <w:t>trip a question</w:t>
      </w:r>
      <w:r w:rsidR="00E9071C">
        <w:rPr>
          <w:rFonts w:ascii="Times New Roman" w:hAnsi="Times New Roman" w:cs="Times New Roman"/>
        </w:rPr>
        <w:t xml:space="preserve"> of its legal nature; </w:t>
      </w:r>
      <w:r w:rsidR="00D627A8">
        <w:rPr>
          <w:rFonts w:ascii="Times New Roman" w:hAnsi="Times New Roman" w:cs="Times New Roman"/>
        </w:rPr>
        <w:t>this is</w:t>
      </w:r>
      <w:r>
        <w:rPr>
          <w:rFonts w:ascii="Times New Roman" w:hAnsi="Times New Roman" w:cs="Times New Roman"/>
        </w:rPr>
        <w:t xml:space="preserve"> the nature of things</w:t>
      </w:r>
      <w:r w:rsidR="00182274">
        <w:rPr>
          <w:rFonts w:ascii="Times New Roman" w:hAnsi="Times New Roman" w:cs="Times New Roman"/>
        </w:rPr>
        <w:t xml:space="preserve"> in international life,</w:t>
      </w:r>
      <w:r w:rsidR="00D627A8">
        <w:rPr>
          <w:rStyle w:val="FootnoteReference"/>
          <w:rFonts w:ascii="Times New Roman" w:hAnsi="Times New Roman" w:cs="Times New Roman"/>
        </w:rPr>
        <w:footnoteReference w:id="46"/>
      </w:r>
      <w:r>
        <w:rPr>
          <w:rFonts w:ascii="Times New Roman" w:hAnsi="Times New Roman" w:cs="Times New Roman"/>
        </w:rPr>
        <w:t xml:space="preserve">  </w:t>
      </w:r>
      <w:r w:rsidR="00E9071C">
        <w:rPr>
          <w:rFonts w:ascii="Times New Roman" w:hAnsi="Times New Roman" w:cs="Times New Roman"/>
        </w:rPr>
        <w:t xml:space="preserve">in </w:t>
      </w:r>
      <w:r w:rsidR="009114AD" w:rsidRPr="0051554F">
        <w:rPr>
          <w:rFonts w:ascii="Times New Roman" w:hAnsi="Times New Roman" w:cs="Times New Roman"/>
          <w:i/>
        </w:rPr>
        <w:t>WHO/Egypt</w:t>
      </w:r>
      <w:r w:rsidR="009114AD">
        <w:rPr>
          <w:rFonts w:ascii="Times New Roman" w:hAnsi="Times New Roman" w:cs="Times New Roman"/>
        </w:rPr>
        <w:t>:</w:t>
      </w:r>
    </w:p>
    <w:p w14:paraId="29A3EA44" w14:textId="3D286228" w:rsidR="009114AD" w:rsidRDefault="000E0D49" w:rsidP="00CD6578">
      <w:pPr>
        <w:spacing w:line="360" w:lineRule="auto"/>
        <w:ind w:left="705"/>
        <w:jc w:val="both"/>
        <w:rPr>
          <w:rFonts w:ascii="Times New Roman" w:hAnsi="Times New Roman" w:cs="Times New Roman"/>
        </w:rPr>
      </w:pPr>
      <w:r>
        <w:rPr>
          <w:rFonts w:ascii="Times New Roman" w:hAnsi="Times New Roman" w:cs="Times New Roman"/>
        </w:rPr>
        <w:t>“</w:t>
      </w:r>
      <w:r w:rsidR="009114AD">
        <w:rPr>
          <w:rFonts w:ascii="Times New Roman" w:hAnsi="Times New Roman" w:cs="Times New Roman"/>
        </w:rPr>
        <w:t>Indeed, in situations in which political considerations are prominent it may be particularly necessary for an international organization to obtain an advisory opinion from the Court as to the legal principles applicable with respect to the matter under debate, especially when these may include the interpretation of its constitution.</w:t>
      </w:r>
      <w:r>
        <w:rPr>
          <w:rFonts w:ascii="Times New Roman" w:hAnsi="Times New Roman" w:cs="Times New Roman"/>
        </w:rPr>
        <w:t>”</w:t>
      </w:r>
      <w:r w:rsidR="009114AD">
        <w:rPr>
          <w:rStyle w:val="FootnoteReference"/>
          <w:rFonts w:ascii="Times New Roman" w:hAnsi="Times New Roman" w:cs="Times New Roman"/>
        </w:rPr>
        <w:footnoteReference w:id="47"/>
      </w:r>
    </w:p>
    <w:p w14:paraId="27CA752E" w14:textId="1928B09B" w:rsidR="00E9071C" w:rsidRPr="00ED53C6" w:rsidRDefault="00C32485" w:rsidP="00CD6578">
      <w:pPr>
        <w:spacing w:line="360" w:lineRule="auto"/>
        <w:jc w:val="both"/>
        <w:rPr>
          <w:rFonts w:ascii="Times New Roman" w:hAnsi="Times New Roman" w:cs="Times New Roman"/>
        </w:rPr>
      </w:pPr>
      <w:r>
        <w:rPr>
          <w:rFonts w:ascii="Times New Roman" w:hAnsi="Times New Roman" w:cs="Times New Roman"/>
        </w:rPr>
        <w:t xml:space="preserve">Any political motives which </w:t>
      </w:r>
      <w:r w:rsidR="00AC4068">
        <w:rPr>
          <w:rFonts w:ascii="Times New Roman" w:hAnsi="Times New Roman" w:cs="Times New Roman"/>
        </w:rPr>
        <w:t>insp</w:t>
      </w:r>
      <w:r w:rsidR="00E9071C">
        <w:rPr>
          <w:rFonts w:ascii="Times New Roman" w:hAnsi="Times New Roman" w:cs="Times New Roman"/>
        </w:rPr>
        <w:t xml:space="preserve">ired the request and </w:t>
      </w:r>
      <w:r w:rsidR="001339E2">
        <w:rPr>
          <w:rFonts w:ascii="Times New Roman" w:hAnsi="Times New Roman" w:cs="Times New Roman"/>
        </w:rPr>
        <w:t>possible</w:t>
      </w:r>
      <w:r>
        <w:rPr>
          <w:rFonts w:ascii="Times New Roman" w:hAnsi="Times New Roman" w:cs="Times New Roman"/>
        </w:rPr>
        <w:t xml:space="preserve"> political implications of the opinion are likewise not relevant to jurisdiction.</w:t>
      </w:r>
      <w:r>
        <w:rPr>
          <w:rStyle w:val="FootnoteReference"/>
          <w:rFonts w:ascii="Times New Roman" w:hAnsi="Times New Roman" w:cs="Times New Roman"/>
        </w:rPr>
        <w:footnoteReference w:id="48"/>
      </w:r>
      <w:r w:rsidR="0051554F">
        <w:rPr>
          <w:rFonts w:ascii="Times New Roman" w:hAnsi="Times New Roman" w:cs="Times New Roman"/>
        </w:rPr>
        <w:t xml:space="preserve"> </w:t>
      </w:r>
      <w:r w:rsidR="008F7D52">
        <w:rPr>
          <w:rFonts w:ascii="Times New Roman" w:hAnsi="Times New Roman" w:cs="Times New Roman"/>
        </w:rPr>
        <w:t xml:space="preserve"> </w:t>
      </w:r>
      <w:r w:rsidR="00CA47CA">
        <w:rPr>
          <w:rFonts w:ascii="Times New Roman" w:hAnsi="Times New Roman" w:cs="Times New Roman"/>
        </w:rPr>
        <w:t xml:space="preserve">There </w:t>
      </w:r>
      <w:r w:rsidR="00570F13">
        <w:rPr>
          <w:rFonts w:ascii="Times New Roman" w:hAnsi="Times New Roman" w:cs="Times New Roman"/>
        </w:rPr>
        <w:t>is no leeway here for</w:t>
      </w:r>
      <w:r w:rsidR="000C5BDD">
        <w:rPr>
          <w:rFonts w:ascii="Times New Roman" w:hAnsi="Times New Roman" w:cs="Times New Roman"/>
        </w:rPr>
        <w:t xml:space="preserve"> an expansion of jurisdiction around the types of qu</w:t>
      </w:r>
      <w:r w:rsidR="00F53DE9">
        <w:rPr>
          <w:rFonts w:ascii="Times New Roman" w:hAnsi="Times New Roman" w:cs="Times New Roman"/>
        </w:rPr>
        <w:t>estion asked as</w:t>
      </w:r>
      <w:r w:rsidR="00E9071C">
        <w:rPr>
          <w:rFonts w:ascii="Times New Roman" w:hAnsi="Times New Roman" w:cs="Times New Roman"/>
        </w:rPr>
        <w:t xml:space="preserve"> </w:t>
      </w:r>
      <w:r w:rsidR="00FC1C40">
        <w:rPr>
          <w:rFonts w:ascii="Times New Roman" w:hAnsi="Times New Roman" w:cs="Times New Roman"/>
        </w:rPr>
        <w:t>the law</w:t>
      </w:r>
      <w:r w:rsidR="008B6ECD">
        <w:rPr>
          <w:rFonts w:ascii="Times New Roman" w:hAnsi="Times New Roman" w:cs="Times New Roman"/>
        </w:rPr>
        <w:t>, not anything else</w:t>
      </w:r>
      <w:r w:rsidR="00F53DE9">
        <w:rPr>
          <w:rFonts w:ascii="Times New Roman" w:hAnsi="Times New Roman" w:cs="Times New Roman"/>
        </w:rPr>
        <w:t>,</w:t>
      </w:r>
      <w:r w:rsidR="00FC1C40">
        <w:rPr>
          <w:rFonts w:ascii="Times New Roman" w:hAnsi="Times New Roman" w:cs="Times New Roman"/>
        </w:rPr>
        <w:t xml:space="preserve"> is the</w:t>
      </w:r>
      <w:r w:rsidR="00D627A8">
        <w:rPr>
          <w:rFonts w:ascii="Times New Roman" w:hAnsi="Times New Roman" w:cs="Times New Roman"/>
        </w:rPr>
        <w:t xml:space="preserve"> </w:t>
      </w:r>
      <w:r w:rsidR="00412E6D">
        <w:rPr>
          <w:rFonts w:ascii="Times New Roman" w:hAnsi="Times New Roman" w:cs="Times New Roman"/>
        </w:rPr>
        <w:t xml:space="preserve">Court’s </w:t>
      </w:r>
      <w:r w:rsidR="000C5BDD" w:rsidRPr="00D627A8">
        <w:rPr>
          <w:rFonts w:ascii="Times New Roman" w:hAnsi="Times New Roman" w:cs="Times New Roman"/>
          <w:i/>
        </w:rPr>
        <w:t>raison d’être</w:t>
      </w:r>
      <w:r w:rsidR="00FC1C40">
        <w:rPr>
          <w:rFonts w:ascii="Times New Roman" w:hAnsi="Times New Roman" w:cs="Times New Roman"/>
        </w:rPr>
        <w:t xml:space="preserve">.  </w:t>
      </w:r>
    </w:p>
    <w:p w14:paraId="1CFE3716" w14:textId="5E7E1960" w:rsidR="008B6ECD" w:rsidRPr="008B6ECD" w:rsidRDefault="00E9071C" w:rsidP="00CD6578">
      <w:pPr>
        <w:spacing w:line="360" w:lineRule="auto"/>
        <w:jc w:val="both"/>
        <w:rPr>
          <w:rFonts w:ascii="Times New Roman" w:hAnsi="Times New Roman" w:cs="Times New Roman"/>
        </w:rPr>
      </w:pPr>
      <w:r w:rsidRPr="00E9071C">
        <w:rPr>
          <w:rFonts w:ascii="Times New Roman" w:hAnsi="Times New Roman" w:cs="Times New Roman"/>
        </w:rPr>
        <w:t>What constitutes a legal question for the Assembly and Council is</w:t>
      </w:r>
      <w:r>
        <w:rPr>
          <w:rFonts w:ascii="Times New Roman" w:hAnsi="Times New Roman" w:cs="Times New Roman"/>
        </w:rPr>
        <w:t xml:space="preserve"> very broad.  </w:t>
      </w:r>
      <w:r w:rsidR="0003073F">
        <w:rPr>
          <w:rFonts w:ascii="Times New Roman" w:hAnsi="Times New Roman" w:cs="Times New Roman"/>
        </w:rPr>
        <w:t xml:space="preserve">In </w:t>
      </w:r>
      <w:r w:rsidR="001339E2">
        <w:rPr>
          <w:rFonts w:ascii="Times New Roman" w:hAnsi="Times New Roman" w:cs="Times New Roman"/>
          <w:i/>
        </w:rPr>
        <w:t>N</w:t>
      </w:r>
      <w:r w:rsidR="00FC1C40" w:rsidRPr="00FC1C40">
        <w:rPr>
          <w:rFonts w:ascii="Times New Roman" w:hAnsi="Times New Roman" w:cs="Times New Roman"/>
          <w:i/>
        </w:rPr>
        <w:t>uclear Weapons</w:t>
      </w:r>
      <w:r w:rsidR="00412E6D">
        <w:rPr>
          <w:rFonts w:ascii="Times New Roman" w:hAnsi="Times New Roman" w:cs="Times New Roman"/>
        </w:rPr>
        <w:t xml:space="preserve"> </w:t>
      </w:r>
      <w:r>
        <w:rPr>
          <w:rFonts w:ascii="Times New Roman" w:hAnsi="Times New Roman" w:cs="Times New Roman"/>
        </w:rPr>
        <w:t xml:space="preserve">the </w:t>
      </w:r>
      <w:r w:rsidR="00412E6D">
        <w:rPr>
          <w:rFonts w:ascii="Times New Roman" w:hAnsi="Times New Roman" w:cs="Times New Roman"/>
        </w:rPr>
        <w:t>ICJ</w:t>
      </w:r>
      <w:r w:rsidR="00AC4068">
        <w:rPr>
          <w:rFonts w:ascii="Times New Roman" w:hAnsi="Times New Roman" w:cs="Times New Roman"/>
        </w:rPr>
        <w:t xml:space="preserve"> made a thorough examination of the competence of the Assemb</w:t>
      </w:r>
      <w:r>
        <w:rPr>
          <w:rFonts w:ascii="Times New Roman" w:hAnsi="Times New Roman" w:cs="Times New Roman"/>
        </w:rPr>
        <w:t>ly to seise the Court.</w:t>
      </w:r>
      <w:r w:rsidR="00703628">
        <w:rPr>
          <w:rStyle w:val="FootnoteReference"/>
          <w:rFonts w:ascii="Times New Roman" w:hAnsi="Times New Roman" w:cs="Times New Roman"/>
        </w:rPr>
        <w:footnoteReference w:id="49"/>
      </w:r>
      <w:r>
        <w:rPr>
          <w:rFonts w:ascii="Times New Roman" w:hAnsi="Times New Roman" w:cs="Times New Roman"/>
        </w:rPr>
        <w:t xml:space="preserve">  It has </w:t>
      </w:r>
      <w:r w:rsidR="00AC4068">
        <w:rPr>
          <w:rFonts w:ascii="Times New Roman" w:hAnsi="Times New Roman" w:cs="Times New Roman"/>
        </w:rPr>
        <w:t xml:space="preserve">general </w:t>
      </w:r>
      <w:r w:rsidR="00286F4D">
        <w:rPr>
          <w:rFonts w:ascii="Times New Roman" w:hAnsi="Times New Roman" w:cs="Times New Roman"/>
        </w:rPr>
        <w:t>competence under A</w:t>
      </w:r>
      <w:r w:rsidR="00AC4068">
        <w:rPr>
          <w:rFonts w:ascii="Times New Roman" w:hAnsi="Times New Roman" w:cs="Times New Roman"/>
        </w:rPr>
        <w:t>rticle 10 of the Charter,</w:t>
      </w:r>
      <w:r w:rsidR="00AC4068">
        <w:rPr>
          <w:rStyle w:val="FootnoteReference"/>
          <w:rFonts w:ascii="Times New Roman" w:hAnsi="Times New Roman" w:cs="Times New Roman"/>
        </w:rPr>
        <w:footnoteReference w:id="50"/>
      </w:r>
      <w:r w:rsidR="00412E6D">
        <w:rPr>
          <w:rFonts w:ascii="Times New Roman" w:hAnsi="Times New Roman" w:cs="Times New Roman"/>
        </w:rPr>
        <w:t xml:space="preserve"> </w:t>
      </w:r>
      <w:r w:rsidR="00286F4D">
        <w:rPr>
          <w:rFonts w:ascii="Times New Roman" w:hAnsi="Times New Roman" w:cs="Times New Roman"/>
        </w:rPr>
        <w:t>specific competences under A</w:t>
      </w:r>
      <w:r w:rsidR="00CA1A36">
        <w:rPr>
          <w:rFonts w:ascii="Times New Roman" w:hAnsi="Times New Roman" w:cs="Times New Roman"/>
        </w:rPr>
        <w:t xml:space="preserve">rticles 11(1) and </w:t>
      </w:r>
      <w:r w:rsidR="00AC4068">
        <w:rPr>
          <w:rFonts w:ascii="Times New Roman" w:hAnsi="Times New Roman" w:cs="Times New Roman"/>
        </w:rPr>
        <w:t>(2)</w:t>
      </w:r>
      <w:r w:rsidR="00AC4068">
        <w:rPr>
          <w:rStyle w:val="FootnoteReference"/>
          <w:rFonts w:ascii="Times New Roman" w:hAnsi="Times New Roman" w:cs="Times New Roman"/>
        </w:rPr>
        <w:footnoteReference w:id="51"/>
      </w:r>
      <w:r w:rsidR="00412E6D">
        <w:rPr>
          <w:rFonts w:ascii="Times New Roman" w:hAnsi="Times New Roman" w:cs="Times New Roman"/>
        </w:rPr>
        <w:t xml:space="preserve"> and a</w:t>
      </w:r>
      <w:r w:rsidR="00AC4068">
        <w:rPr>
          <w:rFonts w:ascii="Times New Roman" w:hAnsi="Times New Roman" w:cs="Times New Roman"/>
        </w:rPr>
        <w:t xml:space="preserve"> </w:t>
      </w:r>
      <w:r w:rsidR="00AC4068" w:rsidRPr="00AC4068">
        <w:rPr>
          <w:rFonts w:ascii="Times New Roman" w:hAnsi="Times New Roman" w:cs="Times New Roman"/>
          <w:i/>
        </w:rPr>
        <w:t>lex ferenda</w:t>
      </w:r>
      <w:r w:rsidR="00286F4D">
        <w:rPr>
          <w:rFonts w:ascii="Times New Roman" w:hAnsi="Times New Roman" w:cs="Times New Roman"/>
        </w:rPr>
        <w:t xml:space="preserve"> aspect under A</w:t>
      </w:r>
      <w:r w:rsidR="006C19B7">
        <w:rPr>
          <w:rFonts w:ascii="Times New Roman" w:hAnsi="Times New Roman" w:cs="Times New Roman"/>
        </w:rPr>
        <w:t>rticle 13.</w:t>
      </w:r>
      <w:r w:rsidR="006C19B7">
        <w:rPr>
          <w:rStyle w:val="FootnoteReference"/>
          <w:rFonts w:ascii="Times New Roman" w:hAnsi="Times New Roman" w:cs="Times New Roman"/>
        </w:rPr>
        <w:footnoteReference w:id="52"/>
      </w:r>
      <w:r>
        <w:rPr>
          <w:rFonts w:ascii="Times New Roman" w:hAnsi="Times New Roman" w:cs="Times New Roman"/>
          <w:b/>
        </w:rPr>
        <w:t xml:space="preserve">  </w:t>
      </w:r>
      <w:r w:rsidRPr="00F53DE9">
        <w:rPr>
          <w:rFonts w:ascii="Times New Roman" w:hAnsi="Times New Roman" w:cs="Times New Roman"/>
        </w:rPr>
        <w:t>I</w:t>
      </w:r>
      <w:r w:rsidR="00412E6D" w:rsidRPr="00F53DE9">
        <w:rPr>
          <w:rFonts w:ascii="Times New Roman" w:hAnsi="Times New Roman" w:cs="Times New Roman"/>
        </w:rPr>
        <w:t>n</w:t>
      </w:r>
      <w:r w:rsidR="0099249A">
        <w:rPr>
          <w:rFonts w:ascii="Times New Roman" w:hAnsi="Times New Roman" w:cs="Times New Roman"/>
        </w:rPr>
        <w:t xml:space="preserve"> </w:t>
      </w:r>
      <w:r w:rsidR="00CC73E3" w:rsidRPr="00CC73E3">
        <w:rPr>
          <w:rFonts w:ascii="Times New Roman" w:hAnsi="Times New Roman" w:cs="Times New Roman"/>
          <w:i/>
        </w:rPr>
        <w:t>Namibia</w:t>
      </w:r>
      <w:r w:rsidR="001A4A0E">
        <w:rPr>
          <w:rFonts w:ascii="Times New Roman" w:hAnsi="Times New Roman" w:cs="Times New Roman"/>
        </w:rPr>
        <w:t xml:space="preserve"> in 1970</w:t>
      </w:r>
      <w:r w:rsidR="00412E6D">
        <w:rPr>
          <w:rFonts w:ascii="Times New Roman" w:hAnsi="Times New Roman" w:cs="Times New Roman"/>
        </w:rPr>
        <w:t xml:space="preserve">, the </w:t>
      </w:r>
      <w:r w:rsidR="001339E2">
        <w:rPr>
          <w:rFonts w:ascii="Times New Roman" w:hAnsi="Times New Roman" w:cs="Times New Roman"/>
        </w:rPr>
        <w:t xml:space="preserve">only time the Council requested an </w:t>
      </w:r>
      <w:r w:rsidR="001339E2">
        <w:rPr>
          <w:rFonts w:ascii="Times New Roman" w:hAnsi="Times New Roman" w:cs="Times New Roman"/>
        </w:rPr>
        <w:lastRenderedPageBreak/>
        <w:t xml:space="preserve">opinion, </w:t>
      </w:r>
      <w:r w:rsidR="00412E6D">
        <w:rPr>
          <w:rFonts w:ascii="Times New Roman" w:hAnsi="Times New Roman" w:cs="Times New Roman"/>
        </w:rPr>
        <w:t xml:space="preserve">the Court </w:t>
      </w:r>
      <w:r w:rsidR="00CC73E3">
        <w:rPr>
          <w:rFonts w:ascii="Times New Roman" w:hAnsi="Times New Roman" w:cs="Times New Roman"/>
        </w:rPr>
        <w:t>affirmed “Article 96 of the Charter…empowers the Security Council to request advisory opinions on any legal question.”</w:t>
      </w:r>
      <w:r>
        <w:rPr>
          <w:rStyle w:val="FootnoteReference"/>
          <w:rFonts w:ascii="Times New Roman" w:hAnsi="Times New Roman" w:cs="Times New Roman"/>
        </w:rPr>
        <w:footnoteReference w:id="53"/>
      </w:r>
    </w:p>
    <w:p w14:paraId="5F940482" w14:textId="77777777" w:rsidR="00B75A09" w:rsidRDefault="00B039AF" w:rsidP="00CD6578">
      <w:pPr>
        <w:spacing w:line="360" w:lineRule="auto"/>
        <w:jc w:val="both"/>
        <w:rPr>
          <w:rFonts w:ascii="Times New Roman" w:hAnsi="Times New Roman" w:cs="Times New Roman"/>
        </w:rPr>
      </w:pPr>
      <w:r w:rsidRPr="00B039AF">
        <w:rPr>
          <w:rFonts w:ascii="Times New Roman" w:hAnsi="Times New Roman" w:cs="Times New Roman"/>
        </w:rPr>
        <w:t>The “scope of activities”</w:t>
      </w:r>
      <w:r w:rsidR="00B75A09">
        <w:rPr>
          <w:rFonts w:ascii="Times New Roman" w:hAnsi="Times New Roman" w:cs="Times New Roman"/>
        </w:rPr>
        <w:t xml:space="preserve"> condition </w:t>
      </w:r>
      <w:r>
        <w:rPr>
          <w:rFonts w:ascii="Times New Roman" w:hAnsi="Times New Roman" w:cs="Times New Roman"/>
        </w:rPr>
        <w:t>gave rise to the firs</w:t>
      </w:r>
      <w:r w:rsidR="00570F13">
        <w:rPr>
          <w:rFonts w:ascii="Times New Roman" w:hAnsi="Times New Roman" w:cs="Times New Roman"/>
        </w:rPr>
        <w:t xml:space="preserve">t, and only, time the Court </w:t>
      </w:r>
      <w:r w:rsidR="00B75A09">
        <w:rPr>
          <w:rFonts w:ascii="Times New Roman" w:hAnsi="Times New Roman" w:cs="Times New Roman"/>
        </w:rPr>
        <w:t>found it did</w:t>
      </w:r>
      <w:r>
        <w:rPr>
          <w:rFonts w:ascii="Times New Roman" w:hAnsi="Times New Roman" w:cs="Times New Roman"/>
        </w:rPr>
        <w:t xml:space="preserve"> not have jurisdiction to give an</w:t>
      </w:r>
      <w:r w:rsidR="00570F13">
        <w:rPr>
          <w:rFonts w:ascii="Times New Roman" w:hAnsi="Times New Roman" w:cs="Times New Roman"/>
        </w:rPr>
        <w:t xml:space="preserve"> opinion.  I</w:t>
      </w:r>
      <w:r w:rsidR="00FC23AE">
        <w:rPr>
          <w:rFonts w:ascii="Times New Roman" w:hAnsi="Times New Roman" w:cs="Times New Roman"/>
        </w:rPr>
        <w:t>t declined to answer the WHO’s question on</w:t>
      </w:r>
      <w:r w:rsidR="00597D07">
        <w:rPr>
          <w:rFonts w:ascii="Times New Roman" w:hAnsi="Times New Roman" w:cs="Times New Roman"/>
        </w:rPr>
        <w:t xml:space="preserve"> the </w:t>
      </w:r>
      <w:r w:rsidR="00570F13" w:rsidRPr="00597D07">
        <w:rPr>
          <w:rFonts w:ascii="Times New Roman" w:hAnsi="Times New Roman" w:cs="Times New Roman"/>
          <w:i/>
        </w:rPr>
        <w:t>Legality of the Use by a S</w:t>
      </w:r>
      <w:r w:rsidR="00FC23AE" w:rsidRPr="00597D07">
        <w:rPr>
          <w:rFonts w:ascii="Times New Roman" w:hAnsi="Times New Roman" w:cs="Times New Roman"/>
          <w:i/>
        </w:rPr>
        <w:t>tate of Nu</w:t>
      </w:r>
      <w:r w:rsidR="00597D07" w:rsidRPr="00597D07">
        <w:rPr>
          <w:rFonts w:ascii="Times New Roman" w:hAnsi="Times New Roman" w:cs="Times New Roman"/>
          <w:i/>
        </w:rPr>
        <w:t>clear Weapons in Armed Conflict</w:t>
      </w:r>
      <w:r w:rsidR="00FC23AE">
        <w:rPr>
          <w:rFonts w:ascii="Times New Roman" w:hAnsi="Times New Roman" w:cs="Times New Roman"/>
        </w:rPr>
        <w:t>.</w:t>
      </w:r>
      <w:r w:rsidR="00FC23AE">
        <w:rPr>
          <w:rStyle w:val="FootnoteReference"/>
          <w:rFonts w:ascii="Times New Roman" w:hAnsi="Times New Roman" w:cs="Times New Roman"/>
        </w:rPr>
        <w:footnoteReference w:id="54"/>
      </w:r>
      <w:r w:rsidR="00FC23AE">
        <w:rPr>
          <w:rFonts w:ascii="Times New Roman" w:hAnsi="Times New Roman" w:cs="Times New Roman"/>
        </w:rPr>
        <w:t xml:space="preserve">  The Court essentially found that whether nuclear weapons were used legally or illegally was irrelevant to the WHO’s performance of its functions</w:t>
      </w:r>
      <w:r w:rsidR="00412E6D">
        <w:rPr>
          <w:rFonts w:ascii="Times New Roman" w:hAnsi="Times New Roman" w:cs="Times New Roman"/>
        </w:rPr>
        <w:t xml:space="preserve"> and this question was outside the scope of its activities</w:t>
      </w:r>
      <w:r w:rsidR="00FC23AE">
        <w:rPr>
          <w:rFonts w:ascii="Times New Roman" w:hAnsi="Times New Roman" w:cs="Times New Roman"/>
        </w:rPr>
        <w:t>.</w:t>
      </w:r>
      <w:r w:rsidR="00FC23AE">
        <w:rPr>
          <w:rStyle w:val="FootnoteReference"/>
          <w:rFonts w:ascii="Times New Roman" w:hAnsi="Times New Roman" w:cs="Times New Roman"/>
        </w:rPr>
        <w:footnoteReference w:id="55"/>
      </w:r>
      <w:r w:rsidR="00FC23AE">
        <w:rPr>
          <w:rFonts w:ascii="Times New Roman" w:hAnsi="Times New Roman" w:cs="Times New Roman"/>
        </w:rPr>
        <w:t xml:space="preserve">  </w:t>
      </w:r>
    </w:p>
    <w:p w14:paraId="4C7DCDEF" w14:textId="77777777" w:rsidR="008B6ECD" w:rsidRDefault="00FC23AE" w:rsidP="00CD6578">
      <w:pPr>
        <w:spacing w:line="360" w:lineRule="auto"/>
        <w:jc w:val="both"/>
        <w:rPr>
          <w:rFonts w:ascii="Times New Roman" w:hAnsi="Times New Roman" w:cs="Times New Roman"/>
        </w:rPr>
      </w:pPr>
      <w:r>
        <w:rPr>
          <w:rFonts w:ascii="Times New Roman" w:hAnsi="Times New Roman" w:cs="Times New Roman"/>
        </w:rPr>
        <w:t xml:space="preserve">This decision has </w:t>
      </w:r>
      <w:r w:rsidR="00793046">
        <w:rPr>
          <w:rFonts w:ascii="Times New Roman" w:hAnsi="Times New Roman" w:cs="Times New Roman"/>
        </w:rPr>
        <w:t>been criticised as taking an</w:t>
      </w:r>
      <w:r>
        <w:rPr>
          <w:rFonts w:ascii="Times New Roman" w:hAnsi="Times New Roman" w:cs="Times New Roman"/>
        </w:rPr>
        <w:t xml:space="preserve"> unnec</w:t>
      </w:r>
      <w:r w:rsidR="00412E6D">
        <w:rPr>
          <w:rFonts w:ascii="Times New Roman" w:hAnsi="Times New Roman" w:cs="Times New Roman"/>
        </w:rPr>
        <w:t xml:space="preserve">essarily restrictive view of </w:t>
      </w:r>
      <w:r w:rsidR="00793046">
        <w:rPr>
          <w:rFonts w:ascii="Times New Roman" w:hAnsi="Times New Roman" w:cs="Times New Roman"/>
        </w:rPr>
        <w:t>the</w:t>
      </w:r>
      <w:r>
        <w:rPr>
          <w:rFonts w:ascii="Times New Roman" w:hAnsi="Times New Roman" w:cs="Times New Roman"/>
        </w:rPr>
        <w:t xml:space="preserve"> organisation’</w:t>
      </w:r>
      <w:r w:rsidR="00793046">
        <w:rPr>
          <w:rFonts w:ascii="Times New Roman" w:hAnsi="Times New Roman" w:cs="Times New Roman"/>
        </w:rPr>
        <w:t>s functions and of failing to appreciate the reality of the UN structure with its network of bodies with interlocking and overlapping mandates.</w:t>
      </w:r>
      <w:r w:rsidR="00B75A09">
        <w:rPr>
          <w:rStyle w:val="FootnoteReference"/>
          <w:rFonts w:ascii="Times New Roman" w:hAnsi="Times New Roman" w:cs="Times New Roman"/>
        </w:rPr>
        <w:footnoteReference w:id="56"/>
      </w:r>
      <w:r w:rsidR="00793046">
        <w:rPr>
          <w:rFonts w:ascii="Times New Roman" w:hAnsi="Times New Roman" w:cs="Times New Roman"/>
        </w:rPr>
        <w:t xml:space="preserve">  A potential concern is that if a tighter interpretation of functions continues to be used, other UN organs and specialised agencies will be less, not more, inclined to seek advisory opinions.</w:t>
      </w:r>
      <w:r w:rsidR="00B75A09">
        <w:rPr>
          <w:rStyle w:val="FootnoteReference"/>
          <w:rFonts w:ascii="Times New Roman" w:hAnsi="Times New Roman" w:cs="Times New Roman"/>
        </w:rPr>
        <w:footnoteReference w:id="57"/>
      </w:r>
    </w:p>
    <w:p w14:paraId="47370A74" w14:textId="2D2580B8" w:rsidR="001727AE" w:rsidRDefault="00F006D1" w:rsidP="00CD6578">
      <w:pPr>
        <w:spacing w:line="360" w:lineRule="auto"/>
        <w:jc w:val="both"/>
        <w:rPr>
          <w:rFonts w:ascii="Times New Roman" w:hAnsi="Times New Roman" w:cs="Times New Roman"/>
        </w:rPr>
      </w:pPr>
      <w:r>
        <w:rPr>
          <w:rFonts w:ascii="Times New Roman" w:hAnsi="Times New Roman" w:cs="Times New Roman"/>
        </w:rPr>
        <w:t xml:space="preserve">It can be expected that the </w:t>
      </w:r>
      <w:r w:rsidR="005A0B5B">
        <w:rPr>
          <w:rFonts w:ascii="Times New Roman" w:hAnsi="Times New Roman" w:cs="Times New Roman"/>
        </w:rPr>
        <w:t>‘political’ argument</w:t>
      </w:r>
      <w:r w:rsidR="00486020">
        <w:rPr>
          <w:rFonts w:ascii="Times New Roman" w:hAnsi="Times New Roman" w:cs="Times New Roman"/>
        </w:rPr>
        <w:t xml:space="preserve"> will be aired </w:t>
      </w:r>
      <w:r w:rsidR="005A0B5B">
        <w:rPr>
          <w:rFonts w:ascii="Times New Roman" w:hAnsi="Times New Roman" w:cs="Times New Roman"/>
        </w:rPr>
        <w:t xml:space="preserve">again </w:t>
      </w:r>
      <w:r w:rsidR="001727AE">
        <w:rPr>
          <w:rFonts w:ascii="Times New Roman" w:hAnsi="Times New Roman" w:cs="Times New Roman"/>
        </w:rPr>
        <w:t xml:space="preserve">in the written and oral statements put </w:t>
      </w:r>
      <w:r w:rsidR="005A0B5B">
        <w:rPr>
          <w:rFonts w:ascii="Times New Roman" w:hAnsi="Times New Roman" w:cs="Times New Roman"/>
        </w:rPr>
        <w:t xml:space="preserve">before </w:t>
      </w:r>
      <w:r w:rsidR="00486020">
        <w:rPr>
          <w:rFonts w:ascii="Times New Roman" w:hAnsi="Times New Roman" w:cs="Times New Roman"/>
        </w:rPr>
        <w:t xml:space="preserve">the Court </w:t>
      </w:r>
      <w:r w:rsidR="0099249A">
        <w:rPr>
          <w:rFonts w:ascii="Times New Roman" w:hAnsi="Times New Roman" w:cs="Times New Roman"/>
        </w:rPr>
        <w:t xml:space="preserve">and </w:t>
      </w:r>
      <w:r w:rsidR="005A0B5B">
        <w:rPr>
          <w:rFonts w:ascii="Times New Roman" w:hAnsi="Times New Roman" w:cs="Times New Roman"/>
        </w:rPr>
        <w:t xml:space="preserve">when it </w:t>
      </w:r>
      <w:r w:rsidR="00486020">
        <w:rPr>
          <w:rFonts w:ascii="Times New Roman" w:hAnsi="Times New Roman" w:cs="Times New Roman"/>
        </w:rPr>
        <w:t xml:space="preserve">considers jurisdiction in </w:t>
      </w:r>
      <w:r w:rsidR="00486020" w:rsidRPr="00486020">
        <w:rPr>
          <w:rFonts w:ascii="Times New Roman" w:hAnsi="Times New Roman" w:cs="Times New Roman"/>
          <w:i/>
        </w:rPr>
        <w:t>Chagos</w:t>
      </w:r>
      <w:r w:rsidR="001727AE">
        <w:rPr>
          <w:rFonts w:ascii="Times New Roman" w:hAnsi="Times New Roman" w:cs="Times New Roman"/>
        </w:rPr>
        <w:t xml:space="preserve"> but a</w:t>
      </w:r>
      <w:r w:rsidR="00486020">
        <w:rPr>
          <w:rFonts w:ascii="Times New Roman" w:hAnsi="Times New Roman" w:cs="Times New Roman"/>
        </w:rPr>
        <w:t xml:space="preserve">s both questions </w:t>
      </w:r>
      <w:r w:rsidR="0099249A">
        <w:rPr>
          <w:rFonts w:ascii="Times New Roman" w:hAnsi="Times New Roman" w:cs="Times New Roman"/>
        </w:rPr>
        <w:t xml:space="preserve">in the request </w:t>
      </w:r>
      <w:r w:rsidR="00486020">
        <w:rPr>
          <w:rFonts w:ascii="Times New Roman" w:hAnsi="Times New Roman" w:cs="Times New Roman"/>
        </w:rPr>
        <w:t>have been very carefully framed as legal questions</w:t>
      </w:r>
      <w:r w:rsidR="00486020">
        <w:rPr>
          <w:rStyle w:val="FootnoteReference"/>
          <w:rFonts w:ascii="Times New Roman" w:hAnsi="Times New Roman" w:cs="Times New Roman"/>
        </w:rPr>
        <w:footnoteReference w:id="58"/>
      </w:r>
      <w:r w:rsidR="008A6098">
        <w:rPr>
          <w:rFonts w:ascii="Times New Roman" w:hAnsi="Times New Roman" w:cs="Times New Roman"/>
        </w:rPr>
        <w:t xml:space="preserve"> there is no reason to suggest the Court will deviate from its consistent </w:t>
      </w:r>
      <w:r w:rsidR="005A0B5B">
        <w:rPr>
          <w:rFonts w:ascii="Times New Roman" w:hAnsi="Times New Roman" w:cs="Times New Roman"/>
        </w:rPr>
        <w:t>approach</w:t>
      </w:r>
      <w:r w:rsidR="0099249A">
        <w:rPr>
          <w:rFonts w:ascii="Times New Roman" w:hAnsi="Times New Roman" w:cs="Times New Roman"/>
        </w:rPr>
        <w:t xml:space="preserve"> here</w:t>
      </w:r>
      <w:r w:rsidR="008A6098">
        <w:rPr>
          <w:rFonts w:ascii="Times New Roman" w:hAnsi="Times New Roman" w:cs="Times New Roman"/>
        </w:rPr>
        <w:t xml:space="preserve">.  </w:t>
      </w:r>
    </w:p>
    <w:p w14:paraId="11523A72" w14:textId="3E5586BE" w:rsidR="000F4C1E" w:rsidRPr="00D233D3" w:rsidRDefault="00D233D3" w:rsidP="00D233D3">
      <w:pPr>
        <w:spacing w:line="360" w:lineRule="auto"/>
        <w:jc w:val="center"/>
        <w:rPr>
          <w:rFonts w:ascii="Times New Roman" w:hAnsi="Times New Roman" w:cs="Times New Roman"/>
        </w:rPr>
      </w:pPr>
      <w:r>
        <w:rPr>
          <w:rFonts w:ascii="Times New Roman" w:hAnsi="Times New Roman" w:cs="Times New Roman"/>
        </w:rPr>
        <w:t>V</w:t>
      </w:r>
      <w:r w:rsidR="00F440FF">
        <w:rPr>
          <w:rFonts w:ascii="Times New Roman" w:hAnsi="Times New Roman" w:cs="Times New Roman"/>
        </w:rPr>
        <w:t>I</w:t>
      </w:r>
      <w:r>
        <w:rPr>
          <w:rFonts w:ascii="Times New Roman" w:hAnsi="Times New Roman" w:cs="Times New Roman"/>
        </w:rPr>
        <w:t xml:space="preserve">. DISCRETION </w:t>
      </w:r>
      <w:r w:rsidRPr="00D233D3">
        <w:rPr>
          <w:rFonts w:ascii="Times New Roman" w:hAnsi="Times New Roman" w:cs="Times New Roman"/>
          <w:i/>
        </w:rPr>
        <w:t>NOT</w:t>
      </w:r>
      <w:r>
        <w:rPr>
          <w:rFonts w:ascii="Times New Roman" w:hAnsi="Times New Roman" w:cs="Times New Roman"/>
        </w:rPr>
        <w:t xml:space="preserve"> TO GIVE AN OPINION</w:t>
      </w:r>
    </w:p>
    <w:p w14:paraId="751ACE1C" w14:textId="3F78F0F2" w:rsidR="005C3F85" w:rsidRDefault="00C15697" w:rsidP="00CD6578">
      <w:pPr>
        <w:spacing w:line="360" w:lineRule="auto"/>
        <w:jc w:val="both"/>
        <w:rPr>
          <w:rFonts w:ascii="Times New Roman" w:hAnsi="Times New Roman" w:cs="Times New Roman"/>
        </w:rPr>
      </w:pPr>
      <w:r w:rsidRPr="00C15697">
        <w:rPr>
          <w:rFonts w:ascii="Times New Roman" w:hAnsi="Times New Roman" w:cs="Times New Roman"/>
        </w:rPr>
        <w:t xml:space="preserve">Once jurisdiction is </w:t>
      </w:r>
      <w:r>
        <w:rPr>
          <w:rFonts w:ascii="Times New Roman" w:hAnsi="Times New Roman" w:cs="Times New Roman"/>
        </w:rPr>
        <w:t xml:space="preserve">established it is widely understood that the Court has </w:t>
      </w:r>
      <w:r w:rsidR="00412E6D">
        <w:rPr>
          <w:rFonts w:ascii="Times New Roman" w:hAnsi="Times New Roman" w:cs="Times New Roman"/>
        </w:rPr>
        <w:t>discretion</w:t>
      </w:r>
      <w:r>
        <w:rPr>
          <w:rFonts w:ascii="Times New Roman" w:hAnsi="Times New Roman" w:cs="Times New Roman"/>
        </w:rPr>
        <w:t xml:space="preserve"> to refuse </w:t>
      </w:r>
      <w:r w:rsidR="00DC2D54">
        <w:rPr>
          <w:rFonts w:ascii="Times New Roman" w:hAnsi="Times New Roman" w:cs="Times New Roman"/>
        </w:rPr>
        <w:t xml:space="preserve">to give an </w:t>
      </w:r>
      <w:r w:rsidR="00412E6D">
        <w:rPr>
          <w:rFonts w:ascii="Times New Roman" w:hAnsi="Times New Roman" w:cs="Times New Roman"/>
        </w:rPr>
        <w:t>opinio</w:t>
      </w:r>
      <w:r w:rsidR="008B6ECD">
        <w:rPr>
          <w:rFonts w:ascii="Times New Roman" w:hAnsi="Times New Roman" w:cs="Times New Roman"/>
        </w:rPr>
        <w:t>n.  T</w:t>
      </w:r>
      <w:r w:rsidR="00F53DE9">
        <w:rPr>
          <w:rFonts w:ascii="Times New Roman" w:hAnsi="Times New Roman" w:cs="Times New Roman"/>
        </w:rPr>
        <w:t>he ICJ has not exercised this</w:t>
      </w:r>
      <w:r w:rsidR="0099249A">
        <w:rPr>
          <w:rFonts w:ascii="Times New Roman" w:hAnsi="Times New Roman" w:cs="Times New Roman"/>
        </w:rPr>
        <w:t xml:space="preserve"> discretion</w:t>
      </w:r>
      <w:r w:rsidR="006058B6">
        <w:rPr>
          <w:rFonts w:ascii="Times New Roman" w:hAnsi="Times New Roman" w:cs="Times New Roman"/>
        </w:rPr>
        <w:t xml:space="preserve">, </w:t>
      </w:r>
      <w:r w:rsidR="005A7C6F">
        <w:rPr>
          <w:rFonts w:ascii="Times New Roman" w:hAnsi="Times New Roman" w:cs="Times New Roman"/>
        </w:rPr>
        <w:t>conversely</w:t>
      </w:r>
      <w:r w:rsidR="00D6594D">
        <w:rPr>
          <w:rFonts w:ascii="Times New Roman" w:hAnsi="Times New Roman" w:cs="Times New Roman"/>
        </w:rPr>
        <w:t>,</w:t>
      </w:r>
      <w:r w:rsidR="005A7C6F">
        <w:rPr>
          <w:rFonts w:ascii="Times New Roman" w:hAnsi="Times New Roman" w:cs="Times New Roman"/>
        </w:rPr>
        <w:t xml:space="preserve"> </w:t>
      </w:r>
      <w:r w:rsidR="00137D8A">
        <w:rPr>
          <w:rFonts w:ascii="Times New Roman" w:hAnsi="Times New Roman" w:cs="Times New Roman"/>
        </w:rPr>
        <w:t>t</w:t>
      </w:r>
      <w:r w:rsidR="00412E6D">
        <w:rPr>
          <w:rFonts w:ascii="Times New Roman" w:hAnsi="Times New Roman" w:cs="Times New Roman"/>
        </w:rPr>
        <w:t xml:space="preserve">he </w:t>
      </w:r>
      <w:r w:rsidR="00DC2D54">
        <w:rPr>
          <w:rFonts w:ascii="Times New Roman" w:hAnsi="Times New Roman" w:cs="Times New Roman"/>
        </w:rPr>
        <w:t>Permanent Court</w:t>
      </w:r>
      <w:r w:rsidR="00C949D5">
        <w:rPr>
          <w:rFonts w:ascii="Times New Roman" w:hAnsi="Times New Roman" w:cs="Times New Roman"/>
        </w:rPr>
        <w:t xml:space="preserve"> of International Justice</w:t>
      </w:r>
      <w:r w:rsidR="00DC2D54">
        <w:rPr>
          <w:rFonts w:ascii="Times New Roman" w:hAnsi="Times New Roman" w:cs="Times New Roman"/>
        </w:rPr>
        <w:t xml:space="preserve"> </w:t>
      </w:r>
      <w:r w:rsidR="00DF5050">
        <w:rPr>
          <w:rFonts w:ascii="Times New Roman" w:hAnsi="Times New Roman" w:cs="Times New Roman"/>
        </w:rPr>
        <w:t xml:space="preserve">(PCIJ) </w:t>
      </w:r>
      <w:r w:rsidR="00703628">
        <w:rPr>
          <w:rFonts w:ascii="Times New Roman" w:hAnsi="Times New Roman" w:cs="Times New Roman"/>
        </w:rPr>
        <w:t>did so</w:t>
      </w:r>
      <w:r w:rsidR="00412E6D">
        <w:rPr>
          <w:rFonts w:ascii="Times New Roman" w:hAnsi="Times New Roman" w:cs="Times New Roman"/>
        </w:rPr>
        <w:t xml:space="preserve"> </w:t>
      </w:r>
      <w:r w:rsidR="001E57D7">
        <w:rPr>
          <w:rFonts w:ascii="Times New Roman" w:hAnsi="Times New Roman" w:cs="Times New Roman"/>
        </w:rPr>
        <w:t>in the much</w:t>
      </w:r>
      <w:r w:rsidR="00DC2D54">
        <w:rPr>
          <w:rFonts w:ascii="Times New Roman" w:hAnsi="Times New Roman" w:cs="Times New Roman"/>
        </w:rPr>
        <w:t xml:space="preserve"> quoted </w:t>
      </w:r>
      <w:r w:rsidR="00DC2D54" w:rsidRPr="00DC2D54">
        <w:rPr>
          <w:rFonts w:ascii="Times New Roman" w:hAnsi="Times New Roman" w:cs="Times New Roman"/>
          <w:i/>
        </w:rPr>
        <w:t>Eastern Carelia</w:t>
      </w:r>
      <w:r w:rsidR="00DC2D54">
        <w:rPr>
          <w:rFonts w:ascii="Times New Roman" w:hAnsi="Times New Roman" w:cs="Times New Roman"/>
        </w:rPr>
        <w:t>.</w:t>
      </w:r>
      <w:r w:rsidR="00DC2D54">
        <w:rPr>
          <w:rStyle w:val="FootnoteReference"/>
          <w:rFonts w:ascii="Times New Roman" w:hAnsi="Times New Roman" w:cs="Times New Roman"/>
        </w:rPr>
        <w:footnoteReference w:id="59"/>
      </w:r>
      <w:r w:rsidR="00537881">
        <w:rPr>
          <w:rFonts w:ascii="Times New Roman" w:hAnsi="Times New Roman" w:cs="Times New Roman"/>
        </w:rPr>
        <w:t xml:space="preserve">  </w:t>
      </w:r>
      <w:r w:rsidR="00311106">
        <w:rPr>
          <w:rFonts w:ascii="Times New Roman" w:hAnsi="Times New Roman" w:cs="Times New Roman"/>
        </w:rPr>
        <w:t>As noted above, t</w:t>
      </w:r>
      <w:r w:rsidR="00DC2D54">
        <w:rPr>
          <w:rFonts w:ascii="Times New Roman" w:hAnsi="Times New Roman" w:cs="Times New Roman"/>
        </w:rPr>
        <w:t>he concept of a discretionary element forming par</w:t>
      </w:r>
      <w:r w:rsidR="008B6ECD">
        <w:rPr>
          <w:rFonts w:ascii="Times New Roman" w:hAnsi="Times New Roman" w:cs="Times New Roman"/>
        </w:rPr>
        <w:t>t</w:t>
      </w:r>
      <w:r w:rsidR="00137D8A">
        <w:rPr>
          <w:rFonts w:ascii="Times New Roman" w:hAnsi="Times New Roman" w:cs="Times New Roman"/>
        </w:rPr>
        <w:t xml:space="preserve"> of the Court’s considerations,</w:t>
      </w:r>
      <w:r w:rsidR="00DC2D54">
        <w:rPr>
          <w:rFonts w:ascii="Times New Roman" w:hAnsi="Times New Roman" w:cs="Times New Roman"/>
        </w:rPr>
        <w:t xml:space="preserve"> after jurisdiction is confirmed and before t</w:t>
      </w:r>
      <w:r w:rsidR="00137D8A">
        <w:rPr>
          <w:rFonts w:ascii="Times New Roman" w:hAnsi="Times New Roman" w:cs="Times New Roman"/>
        </w:rPr>
        <w:t xml:space="preserve">he merits, </w:t>
      </w:r>
      <w:r w:rsidR="00DC2D54">
        <w:rPr>
          <w:rFonts w:ascii="Times New Roman" w:hAnsi="Times New Roman" w:cs="Times New Roman"/>
        </w:rPr>
        <w:t>c</w:t>
      </w:r>
      <w:r w:rsidR="00311106">
        <w:rPr>
          <w:rFonts w:ascii="Times New Roman" w:hAnsi="Times New Roman" w:cs="Times New Roman"/>
        </w:rPr>
        <w:t xml:space="preserve">omes from </w:t>
      </w:r>
      <w:r w:rsidR="000F4C1E">
        <w:rPr>
          <w:rFonts w:ascii="Times New Roman" w:hAnsi="Times New Roman" w:cs="Times New Roman"/>
        </w:rPr>
        <w:t>the Statute</w:t>
      </w:r>
      <w:r w:rsidR="001A3BFF">
        <w:rPr>
          <w:rFonts w:ascii="Times New Roman" w:hAnsi="Times New Roman" w:cs="Times New Roman"/>
        </w:rPr>
        <w:t>: “</w:t>
      </w:r>
      <w:r w:rsidR="000F4C1E">
        <w:rPr>
          <w:rFonts w:ascii="Times New Roman" w:hAnsi="Times New Roman" w:cs="Times New Roman"/>
        </w:rPr>
        <w:t xml:space="preserve">The Court </w:t>
      </w:r>
      <w:r w:rsidR="000F4C1E">
        <w:rPr>
          <w:rFonts w:ascii="Times New Roman" w:hAnsi="Times New Roman" w:cs="Times New Roman"/>
          <w:i/>
        </w:rPr>
        <w:t xml:space="preserve">may </w:t>
      </w:r>
      <w:r w:rsidR="000F4C1E">
        <w:rPr>
          <w:rFonts w:ascii="Times New Roman" w:hAnsi="Times New Roman" w:cs="Times New Roman"/>
        </w:rPr>
        <w:t>give an advisory opinion”.</w:t>
      </w:r>
      <w:r w:rsidR="000F4C1E">
        <w:rPr>
          <w:rStyle w:val="FootnoteReference"/>
          <w:rFonts w:ascii="Times New Roman" w:hAnsi="Times New Roman" w:cs="Times New Roman"/>
        </w:rPr>
        <w:footnoteReference w:id="60"/>
      </w:r>
      <w:r w:rsidR="00B039AF">
        <w:rPr>
          <w:rFonts w:ascii="Times New Roman" w:hAnsi="Times New Roman" w:cs="Times New Roman"/>
        </w:rPr>
        <w:t xml:space="preserve">  </w:t>
      </w:r>
    </w:p>
    <w:p w14:paraId="2061FB90" w14:textId="77777777" w:rsidR="005C3F85" w:rsidRDefault="00F53DE9" w:rsidP="00CD6578">
      <w:pPr>
        <w:spacing w:line="360" w:lineRule="auto"/>
        <w:jc w:val="both"/>
        <w:rPr>
          <w:rFonts w:ascii="Times New Roman" w:hAnsi="Times New Roman" w:cs="Times New Roman"/>
        </w:rPr>
      </w:pPr>
      <w:r>
        <w:rPr>
          <w:rFonts w:ascii="Times New Roman" w:hAnsi="Times New Roman" w:cs="Times New Roman"/>
        </w:rPr>
        <w:t>The possible overlap with</w:t>
      </w:r>
      <w:r w:rsidR="00C01C64">
        <w:rPr>
          <w:rFonts w:ascii="Times New Roman" w:hAnsi="Times New Roman" w:cs="Times New Roman"/>
        </w:rPr>
        <w:t xml:space="preserve"> disputes between states is the lodestone here.  </w:t>
      </w:r>
      <w:r>
        <w:rPr>
          <w:rFonts w:ascii="Times New Roman" w:hAnsi="Times New Roman" w:cs="Times New Roman"/>
        </w:rPr>
        <w:t xml:space="preserve">In </w:t>
      </w:r>
      <w:r w:rsidR="005C3F85" w:rsidRPr="005C3F85">
        <w:rPr>
          <w:rFonts w:ascii="Times New Roman" w:hAnsi="Times New Roman" w:cs="Times New Roman"/>
          <w:i/>
        </w:rPr>
        <w:t>Interpretation of Peace Treaties</w:t>
      </w:r>
      <w:r>
        <w:rPr>
          <w:rFonts w:ascii="Times New Roman" w:hAnsi="Times New Roman" w:cs="Times New Roman"/>
        </w:rPr>
        <w:t xml:space="preserve"> </w:t>
      </w:r>
      <w:r w:rsidR="005C3F85">
        <w:rPr>
          <w:rFonts w:ascii="Times New Roman" w:hAnsi="Times New Roman" w:cs="Times New Roman"/>
        </w:rPr>
        <w:t xml:space="preserve">the Court confirmed </w:t>
      </w:r>
      <w:r w:rsidR="00304520">
        <w:rPr>
          <w:rFonts w:ascii="Times New Roman" w:hAnsi="Times New Roman" w:cs="Times New Roman"/>
        </w:rPr>
        <w:t xml:space="preserve">that </w:t>
      </w:r>
      <w:r w:rsidR="005C3F85">
        <w:rPr>
          <w:rFonts w:ascii="Times New Roman" w:hAnsi="Times New Roman" w:cs="Times New Roman"/>
        </w:rPr>
        <w:t>ther</w:t>
      </w:r>
      <w:r w:rsidR="00C01C64">
        <w:rPr>
          <w:rFonts w:ascii="Times New Roman" w:hAnsi="Times New Roman" w:cs="Times New Roman"/>
        </w:rPr>
        <w:t xml:space="preserve">e is no question of state consent being required </w:t>
      </w:r>
      <w:r w:rsidR="00412E6D">
        <w:rPr>
          <w:rFonts w:ascii="Times New Roman" w:hAnsi="Times New Roman" w:cs="Times New Roman"/>
        </w:rPr>
        <w:t>for</w:t>
      </w:r>
      <w:r w:rsidR="00182274">
        <w:rPr>
          <w:rFonts w:ascii="Times New Roman" w:hAnsi="Times New Roman" w:cs="Times New Roman"/>
        </w:rPr>
        <w:t xml:space="preserve"> an advisory opinion</w:t>
      </w:r>
      <w:r w:rsidR="005C3F85">
        <w:rPr>
          <w:rFonts w:ascii="Times New Roman" w:hAnsi="Times New Roman" w:cs="Times New Roman"/>
        </w:rPr>
        <w:t>:</w:t>
      </w:r>
    </w:p>
    <w:p w14:paraId="69FC92A9" w14:textId="5139FF9F" w:rsidR="000F4C1E" w:rsidRDefault="005C3F85" w:rsidP="00CD6578">
      <w:pPr>
        <w:spacing w:line="360" w:lineRule="auto"/>
        <w:ind w:left="705"/>
        <w:jc w:val="both"/>
        <w:rPr>
          <w:rFonts w:ascii="Times New Roman" w:hAnsi="Times New Roman" w:cs="Times New Roman"/>
        </w:rPr>
      </w:pPr>
      <w:r>
        <w:rPr>
          <w:rFonts w:ascii="Times New Roman" w:hAnsi="Times New Roman" w:cs="Times New Roman"/>
        </w:rPr>
        <w:lastRenderedPageBreak/>
        <w:t>The Court’s Opinion is given not to the states but to the organ which is entitled to request it; the reply of the C</w:t>
      </w:r>
      <w:r w:rsidR="00CA1A36">
        <w:rPr>
          <w:rFonts w:ascii="Times New Roman" w:hAnsi="Times New Roman" w:cs="Times New Roman"/>
        </w:rPr>
        <w:t>ourt …r</w:t>
      </w:r>
      <w:r>
        <w:rPr>
          <w:rFonts w:ascii="Times New Roman" w:hAnsi="Times New Roman" w:cs="Times New Roman"/>
        </w:rPr>
        <w:t>epresents its participation in the activities of the Organization, and, in principle, should not be refused.</w:t>
      </w:r>
      <w:r>
        <w:rPr>
          <w:rStyle w:val="FootnoteReference"/>
          <w:rFonts w:ascii="Times New Roman" w:hAnsi="Times New Roman" w:cs="Times New Roman"/>
        </w:rPr>
        <w:footnoteReference w:id="61"/>
      </w:r>
    </w:p>
    <w:p w14:paraId="4EBF2DE8" w14:textId="7CC4C84A" w:rsidR="00C409D6" w:rsidRDefault="00182274" w:rsidP="00CD6578">
      <w:pPr>
        <w:spacing w:line="360" w:lineRule="auto"/>
        <w:jc w:val="both"/>
        <w:rPr>
          <w:rFonts w:ascii="Times New Roman" w:hAnsi="Times New Roman" w:cs="Times New Roman"/>
        </w:rPr>
      </w:pPr>
      <w:r>
        <w:rPr>
          <w:rFonts w:ascii="Times New Roman" w:hAnsi="Times New Roman" w:cs="Times New Roman"/>
        </w:rPr>
        <w:t>Other issue</w:t>
      </w:r>
      <w:r w:rsidR="00D01D40">
        <w:rPr>
          <w:rFonts w:ascii="Times New Roman" w:hAnsi="Times New Roman" w:cs="Times New Roman"/>
        </w:rPr>
        <w:t xml:space="preserve">s raised, but </w:t>
      </w:r>
      <w:r>
        <w:rPr>
          <w:rFonts w:ascii="Times New Roman" w:hAnsi="Times New Roman" w:cs="Times New Roman"/>
        </w:rPr>
        <w:t xml:space="preserve">not accepted </w:t>
      </w:r>
      <w:r w:rsidR="00304520">
        <w:rPr>
          <w:rFonts w:ascii="Times New Roman" w:hAnsi="Times New Roman" w:cs="Times New Roman"/>
        </w:rPr>
        <w:t>by the C</w:t>
      </w:r>
      <w:r w:rsidR="00D01D40">
        <w:rPr>
          <w:rFonts w:ascii="Times New Roman" w:hAnsi="Times New Roman" w:cs="Times New Roman"/>
        </w:rPr>
        <w:t>o</w:t>
      </w:r>
      <w:r>
        <w:rPr>
          <w:rFonts w:ascii="Times New Roman" w:hAnsi="Times New Roman" w:cs="Times New Roman"/>
        </w:rPr>
        <w:t>urt</w:t>
      </w:r>
      <w:r w:rsidR="00D01D40">
        <w:rPr>
          <w:rFonts w:ascii="Times New Roman" w:hAnsi="Times New Roman" w:cs="Times New Roman"/>
        </w:rPr>
        <w:t xml:space="preserve">, </w:t>
      </w:r>
      <w:r>
        <w:rPr>
          <w:rFonts w:ascii="Times New Roman" w:hAnsi="Times New Roman" w:cs="Times New Roman"/>
        </w:rPr>
        <w:t xml:space="preserve">are </w:t>
      </w:r>
      <w:r w:rsidR="00D01D40" w:rsidRPr="00D01D40">
        <w:rPr>
          <w:rFonts w:ascii="Times New Roman" w:hAnsi="Times New Roman" w:cs="Times New Roman"/>
          <w:i/>
        </w:rPr>
        <w:t>inter alia</w:t>
      </w:r>
      <w:r w:rsidR="00D01D40">
        <w:rPr>
          <w:rFonts w:ascii="Times New Roman" w:hAnsi="Times New Roman" w:cs="Times New Roman"/>
        </w:rPr>
        <w:t>, that the question is vague or abstract, under consideration elsewhere</w:t>
      </w:r>
      <w:r w:rsidR="00DB1B23">
        <w:rPr>
          <w:rFonts w:ascii="Times New Roman" w:hAnsi="Times New Roman" w:cs="Times New Roman"/>
        </w:rPr>
        <w:t xml:space="preserve">, would be of no practical use or </w:t>
      </w:r>
      <w:r w:rsidR="00D01D40">
        <w:rPr>
          <w:rFonts w:ascii="Times New Roman" w:hAnsi="Times New Roman" w:cs="Times New Roman"/>
        </w:rPr>
        <w:t>has potential to undermine progress being made elsewhere.</w:t>
      </w:r>
      <w:r w:rsidR="00D01D40">
        <w:rPr>
          <w:rStyle w:val="FootnoteReference"/>
          <w:rFonts w:ascii="Times New Roman" w:hAnsi="Times New Roman" w:cs="Times New Roman"/>
        </w:rPr>
        <w:footnoteReference w:id="62"/>
      </w:r>
      <w:r w:rsidR="00F53DE9">
        <w:rPr>
          <w:rFonts w:ascii="Times New Roman" w:hAnsi="Times New Roman" w:cs="Times New Roman"/>
        </w:rPr>
        <w:t xml:space="preserve"> </w:t>
      </w:r>
      <w:r w:rsidR="00C409D6">
        <w:rPr>
          <w:rFonts w:ascii="Times New Roman" w:hAnsi="Times New Roman" w:cs="Times New Roman"/>
        </w:rPr>
        <w:t xml:space="preserve">One or more of these arguments are likely to be aired when </w:t>
      </w:r>
      <w:r w:rsidR="008C6248">
        <w:rPr>
          <w:rFonts w:ascii="Times New Roman" w:hAnsi="Times New Roman" w:cs="Times New Roman"/>
        </w:rPr>
        <w:t xml:space="preserve">the </w:t>
      </w:r>
      <w:r w:rsidR="008C6248" w:rsidRPr="008C6248">
        <w:rPr>
          <w:rFonts w:ascii="Times New Roman" w:hAnsi="Times New Roman" w:cs="Times New Roman"/>
          <w:i/>
        </w:rPr>
        <w:t>Chagos</w:t>
      </w:r>
      <w:r w:rsidR="00C409D6">
        <w:rPr>
          <w:rFonts w:ascii="Times New Roman" w:hAnsi="Times New Roman" w:cs="Times New Roman"/>
        </w:rPr>
        <w:t xml:space="preserve"> request is considered as issue</w:t>
      </w:r>
      <w:r w:rsidR="008C6248">
        <w:rPr>
          <w:rFonts w:ascii="Times New Roman" w:hAnsi="Times New Roman" w:cs="Times New Roman"/>
        </w:rPr>
        <w:t xml:space="preserve">s around, </w:t>
      </w:r>
      <w:r w:rsidR="008C6248" w:rsidRPr="001727AE">
        <w:rPr>
          <w:rFonts w:ascii="Times New Roman" w:hAnsi="Times New Roman" w:cs="Times New Roman"/>
          <w:i/>
        </w:rPr>
        <w:t>inter alia</w:t>
      </w:r>
      <w:r w:rsidR="008C6248">
        <w:rPr>
          <w:rFonts w:ascii="Times New Roman" w:hAnsi="Times New Roman" w:cs="Times New Roman"/>
        </w:rPr>
        <w:t xml:space="preserve">, the separation of the Chagos archipelago from Mauritius and its administration by the United Kingdom (UK) as the British Indian Ocean Territory, the re-settlement of the Chagossian people and the decision by the UK to establish a Marine Protected Area around the archipelago have </w:t>
      </w:r>
      <w:r w:rsidR="00C409D6">
        <w:rPr>
          <w:rFonts w:ascii="Times New Roman" w:hAnsi="Times New Roman" w:cs="Times New Roman"/>
        </w:rPr>
        <w:t xml:space="preserve">all </w:t>
      </w:r>
      <w:r w:rsidR="008C6248">
        <w:rPr>
          <w:rFonts w:ascii="Times New Roman" w:hAnsi="Times New Roman" w:cs="Times New Roman"/>
        </w:rPr>
        <w:t>been brought before other courts</w:t>
      </w:r>
      <w:r w:rsidR="00C409D6">
        <w:rPr>
          <w:rFonts w:ascii="Times New Roman" w:hAnsi="Times New Roman" w:cs="Times New Roman"/>
        </w:rPr>
        <w:t xml:space="preserve"> and tribunals.</w:t>
      </w:r>
      <w:r w:rsidR="008C6248">
        <w:rPr>
          <w:rStyle w:val="FootnoteReference"/>
          <w:rFonts w:ascii="Times New Roman" w:hAnsi="Times New Roman" w:cs="Times New Roman"/>
        </w:rPr>
        <w:footnoteReference w:id="63"/>
      </w:r>
      <w:r w:rsidR="00C409D6">
        <w:rPr>
          <w:rFonts w:ascii="Times New Roman" w:hAnsi="Times New Roman" w:cs="Times New Roman"/>
        </w:rPr>
        <w:t xml:space="preserve">  </w:t>
      </w:r>
    </w:p>
    <w:p w14:paraId="6561A105" w14:textId="20EF1B1C" w:rsidR="00EE78CB" w:rsidRDefault="00EE78CB" w:rsidP="00CD6578">
      <w:pPr>
        <w:spacing w:line="360" w:lineRule="auto"/>
        <w:jc w:val="both"/>
        <w:rPr>
          <w:rFonts w:ascii="Times New Roman" w:hAnsi="Times New Roman" w:cs="Times New Roman"/>
        </w:rPr>
      </w:pPr>
      <w:r>
        <w:rPr>
          <w:rFonts w:ascii="Times New Roman" w:hAnsi="Times New Roman" w:cs="Times New Roman"/>
        </w:rPr>
        <w:t xml:space="preserve">The UK position </w:t>
      </w:r>
      <w:r w:rsidR="00B33981">
        <w:rPr>
          <w:rFonts w:ascii="Times New Roman" w:hAnsi="Times New Roman" w:cs="Times New Roman"/>
        </w:rPr>
        <w:t xml:space="preserve">on </w:t>
      </w:r>
      <w:r>
        <w:rPr>
          <w:rFonts w:ascii="Times New Roman" w:hAnsi="Times New Roman" w:cs="Times New Roman"/>
        </w:rPr>
        <w:t xml:space="preserve">the </w:t>
      </w:r>
      <w:r w:rsidRPr="00CE5A59">
        <w:rPr>
          <w:rFonts w:ascii="Times New Roman" w:hAnsi="Times New Roman" w:cs="Times New Roman"/>
          <w:i/>
        </w:rPr>
        <w:t>Chagos</w:t>
      </w:r>
      <w:r>
        <w:rPr>
          <w:rFonts w:ascii="Times New Roman" w:hAnsi="Times New Roman" w:cs="Times New Roman"/>
        </w:rPr>
        <w:t xml:space="preserve"> request is that this referral is an attempt to bring a bilateral dispute before the Court without its consent.</w:t>
      </w:r>
      <w:r>
        <w:rPr>
          <w:rStyle w:val="FootnoteReference"/>
          <w:rFonts w:ascii="Times New Roman" w:hAnsi="Times New Roman" w:cs="Times New Roman"/>
        </w:rPr>
        <w:footnoteReference w:id="64"/>
      </w:r>
      <w:r>
        <w:rPr>
          <w:rFonts w:ascii="Times New Roman" w:hAnsi="Times New Roman" w:cs="Times New Roman"/>
        </w:rPr>
        <w:t xml:space="preserve">  It can be expected therefore that it will push hard for the Court to decline to give an opinion.  However, o</w:t>
      </w:r>
      <w:r w:rsidRPr="00537881">
        <w:rPr>
          <w:rFonts w:ascii="Times New Roman" w:hAnsi="Times New Roman" w:cs="Times New Roman"/>
        </w:rPr>
        <w:t xml:space="preserve">verall, </w:t>
      </w:r>
      <w:r>
        <w:rPr>
          <w:rFonts w:ascii="Times New Roman" w:hAnsi="Times New Roman" w:cs="Times New Roman"/>
        </w:rPr>
        <w:t xml:space="preserve">over its long life, </w:t>
      </w:r>
      <w:r w:rsidRPr="00537881">
        <w:rPr>
          <w:rFonts w:ascii="Times New Roman" w:hAnsi="Times New Roman" w:cs="Times New Roman"/>
        </w:rPr>
        <w:t>consistent jurisprudence of the Court indicates that refusal would only be on the basis of “compelling reasons” and/or propriety</w:t>
      </w:r>
      <w:r w:rsidR="0099249A">
        <w:rPr>
          <w:rFonts w:ascii="Times New Roman" w:hAnsi="Times New Roman" w:cs="Times New Roman"/>
        </w:rPr>
        <w:t>.</w:t>
      </w:r>
      <w:r>
        <w:rPr>
          <w:rStyle w:val="FootnoteReference"/>
          <w:rFonts w:ascii="Times New Roman" w:hAnsi="Times New Roman" w:cs="Times New Roman"/>
        </w:rPr>
        <w:footnoteReference w:id="65"/>
      </w:r>
      <w:r w:rsidR="0099249A">
        <w:rPr>
          <w:rFonts w:ascii="Times New Roman" w:hAnsi="Times New Roman" w:cs="Times New Roman"/>
        </w:rPr>
        <w:t xml:space="preserve">  </w:t>
      </w:r>
      <w:r w:rsidR="00A47BA4">
        <w:rPr>
          <w:rFonts w:ascii="Times New Roman" w:hAnsi="Times New Roman" w:cs="Times New Roman"/>
        </w:rPr>
        <w:t xml:space="preserve">This </w:t>
      </w:r>
      <w:r w:rsidR="002D3B10">
        <w:rPr>
          <w:rFonts w:ascii="Times New Roman" w:hAnsi="Times New Roman" w:cs="Times New Roman"/>
        </w:rPr>
        <w:t xml:space="preserve">is a basis which </w:t>
      </w:r>
      <w:r w:rsidR="00A47BA4">
        <w:rPr>
          <w:rFonts w:ascii="Times New Roman" w:hAnsi="Times New Roman" w:cs="Times New Roman"/>
        </w:rPr>
        <w:t xml:space="preserve">allows the Court not to provide an opinion where it would be inappropriate to do so.  As far as </w:t>
      </w:r>
      <w:r w:rsidR="002D3B10">
        <w:rPr>
          <w:rFonts w:ascii="Times New Roman" w:hAnsi="Times New Roman" w:cs="Times New Roman"/>
        </w:rPr>
        <w:t xml:space="preserve">the </w:t>
      </w:r>
      <w:r w:rsidR="002D3B10" w:rsidRPr="00416A3F">
        <w:rPr>
          <w:rFonts w:ascii="Times New Roman" w:hAnsi="Times New Roman" w:cs="Times New Roman"/>
          <w:i/>
        </w:rPr>
        <w:t>Chagos</w:t>
      </w:r>
      <w:r w:rsidR="002D3B10">
        <w:rPr>
          <w:rFonts w:ascii="Times New Roman" w:hAnsi="Times New Roman" w:cs="Times New Roman"/>
        </w:rPr>
        <w:t xml:space="preserve"> request is concerned</w:t>
      </w:r>
      <w:r w:rsidR="00A47BA4">
        <w:rPr>
          <w:rFonts w:ascii="Times New Roman" w:hAnsi="Times New Roman" w:cs="Times New Roman"/>
        </w:rPr>
        <w:t xml:space="preserve"> i</w:t>
      </w:r>
      <w:r>
        <w:rPr>
          <w:rFonts w:ascii="Times New Roman" w:hAnsi="Times New Roman" w:cs="Times New Roman"/>
        </w:rPr>
        <w:t>t seems unlik</w:t>
      </w:r>
      <w:r w:rsidR="00A47BA4">
        <w:rPr>
          <w:rFonts w:ascii="Times New Roman" w:hAnsi="Times New Roman" w:cs="Times New Roman"/>
        </w:rPr>
        <w:t xml:space="preserve">ely </w:t>
      </w:r>
      <w:r w:rsidR="00B33981">
        <w:rPr>
          <w:rFonts w:ascii="Times New Roman" w:hAnsi="Times New Roman" w:cs="Times New Roman"/>
        </w:rPr>
        <w:t>that, again, in light of</w:t>
      </w:r>
      <w:r>
        <w:rPr>
          <w:rFonts w:ascii="Times New Roman" w:hAnsi="Times New Roman" w:cs="Times New Roman"/>
        </w:rPr>
        <w:t xml:space="preserve"> the judicious wording of the questions, the Court will choose </w:t>
      </w:r>
      <w:r w:rsidR="00416A3F">
        <w:rPr>
          <w:rFonts w:ascii="Times New Roman" w:hAnsi="Times New Roman" w:cs="Times New Roman"/>
        </w:rPr>
        <w:t>this as</w:t>
      </w:r>
      <w:r w:rsidR="00A47BA4">
        <w:rPr>
          <w:rFonts w:ascii="Times New Roman" w:hAnsi="Times New Roman" w:cs="Times New Roman"/>
        </w:rPr>
        <w:t xml:space="preserve"> </w:t>
      </w:r>
      <w:r>
        <w:rPr>
          <w:rFonts w:ascii="Times New Roman" w:hAnsi="Times New Roman" w:cs="Times New Roman"/>
        </w:rPr>
        <w:t xml:space="preserve">the first </w:t>
      </w:r>
      <w:r w:rsidR="00A47BA4">
        <w:rPr>
          <w:rFonts w:ascii="Times New Roman" w:hAnsi="Times New Roman" w:cs="Times New Roman"/>
        </w:rPr>
        <w:t xml:space="preserve">request </w:t>
      </w:r>
      <w:r>
        <w:rPr>
          <w:rFonts w:ascii="Times New Roman" w:hAnsi="Times New Roman" w:cs="Times New Roman"/>
        </w:rPr>
        <w:t>it declines.</w:t>
      </w:r>
    </w:p>
    <w:p w14:paraId="41C8D2CD" w14:textId="3CF29063" w:rsidR="00FA3309" w:rsidRDefault="00B33981" w:rsidP="00CD6578">
      <w:pPr>
        <w:spacing w:line="360" w:lineRule="auto"/>
        <w:jc w:val="both"/>
        <w:rPr>
          <w:rFonts w:ascii="Times New Roman" w:hAnsi="Times New Roman" w:cs="Times New Roman"/>
        </w:rPr>
      </w:pPr>
      <w:r>
        <w:rPr>
          <w:rFonts w:ascii="Times New Roman" w:hAnsi="Times New Roman" w:cs="Times New Roman"/>
        </w:rPr>
        <w:t xml:space="preserve">One final point on discretion </w:t>
      </w:r>
      <w:r w:rsidR="0099249A">
        <w:rPr>
          <w:rFonts w:ascii="Times New Roman" w:hAnsi="Times New Roman" w:cs="Times New Roman"/>
        </w:rPr>
        <w:t xml:space="preserve">which should be mentioned here is that </w:t>
      </w:r>
      <w:r>
        <w:rPr>
          <w:rFonts w:ascii="Times New Roman" w:hAnsi="Times New Roman" w:cs="Times New Roman"/>
        </w:rPr>
        <w:t>t</w:t>
      </w:r>
      <w:r w:rsidR="006E1F1F">
        <w:rPr>
          <w:rFonts w:ascii="Times New Roman" w:hAnsi="Times New Roman" w:cs="Times New Roman"/>
        </w:rPr>
        <w:t>here is an alternative view</w:t>
      </w:r>
      <w:r w:rsidR="00B40669">
        <w:rPr>
          <w:rFonts w:ascii="Times New Roman" w:hAnsi="Times New Roman" w:cs="Times New Roman"/>
        </w:rPr>
        <w:t xml:space="preserve"> </w:t>
      </w:r>
      <w:r w:rsidR="006E1F1F">
        <w:rPr>
          <w:rFonts w:ascii="Times New Roman" w:hAnsi="Times New Roman" w:cs="Times New Roman"/>
        </w:rPr>
        <w:t>that the</w:t>
      </w:r>
      <w:r w:rsidR="0099249A">
        <w:rPr>
          <w:rFonts w:ascii="Times New Roman" w:hAnsi="Times New Roman" w:cs="Times New Roman"/>
        </w:rPr>
        <w:t xml:space="preserve"> Court does not have </w:t>
      </w:r>
      <w:r w:rsidR="006E1F1F">
        <w:rPr>
          <w:rFonts w:ascii="Times New Roman" w:hAnsi="Times New Roman" w:cs="Times New Roman"/>
        </w:rPr>
        <w:t>unfetter</w:t>
      </w:r>
      <w:r w:rsidR="00B039AF">
        <w:rPr>
          <w:rFonts w:ascii="Times New Roman" w:hAnsi="Times New Roman" w:cs="Times New Roman"/>
        </w:rPr>
        <w:t>ed discretion</w:t>
      </w:r>
      <w:r w:rsidR="0099249A">
        <w:rPr>
          <w:rFonts w:ascii="Times New Roman" w:hAnsi="Times New Roman" w:cs="Times New Roman"/>
        </w:rPr>
        <w:t xml:space="preserve">.  Georges Abi-Saab (a </w:t>
      </w:r>
      <w:r w:rsidR="006E1F1F">
        <w:rPr>
          <w:rFonts w:ascii="Times New Roman" w:hAnsi="Times New Roman" w:cs="Times New Roman"/>
        </w:rPr>
        <w:t>f</w:t>
      </w:r>
      <w:r w:rsidR="000F4C1E">
        <w:rPr>
          <w:rFonts w:ascii="Times New Roman" w:hAnsi="Times New Roman" w:cs="Times New Roman"/>
        </w:rPr>
        <w:t xml:space="preserve">ormer </w:t>
      </w:r>
      <w:r w:rsidR="000F4C1E">
        <w:rPr>
          <w:rFonts w:ascii="Times New Roman" w:hAnsi="Times New Roman" w:cs="Times New Roman"/>
          <w:i/>
        </w:rPr>
        <w:t>ad hoc</w:t>
      </w:r>
      <w:r w:rsidR="000F4C1E">
        <w:rPr>
          <w:rFonts w:ascii="Times New Roman" w:hAnsi="Times New Roman" w:cs="Times New Roman"/>
        </w:rPr>
        <w:t xml:space="preserve"> judge in the ICJ</w:t>
      </w:r>
      <w:r w:rsidR="0099249A">
        <w:rPr>
          <w:rFonts w:ascii="Times New Roman" w:hAnsi="Times New Roman" w:cs="Times New Roman"/>
        </w:rPr>
        <w:t>)</w:t>
      </w:r>
      <w:r w:rsidR="006E1F1F">
        <w:rPr>
          <w:rStyle w:val="FootnoteReference"/>
          <w:rFonts w:ascii="Times New Roman" w:hAnsi="Times New Roman" w:cs="Times New Roman"/>
        </w:rPr>
        <w:footnoteReference w:id="66"/>
      </w:r>
      <w:r w:rsidR="00182274">
        <w:rPr>
          <w:rFonts w:ascii="Times New Roman" w:hAnsi="Times New Roman" w:cs="Times New Roman"/>
        </w:rPr>
        <w:t xml:space="preserve"> </w:t>
      </w:r>
      <w:r w:rsidR="006E1F1F">
        <w:rPr>
          <w:rFonts w:ascii="Times New Roman" w:hAnsi="Times New Roman" w:cs="Times New Roman"/>
        </w:rPr>
        <w:t xml:space="preserve">initially advanced this argument </w:t>
      </w:r>
      <w:r w:rsidR="00586D59">
        <w:rPr>
          <w:rFonts w:ascii="Times New Roman" w:hAnsi="Times New Roman" w:cs="Times New Roman"/>
        </w:rPr>
        <w:t>representing</w:t>
      </w:r>
      <w:r w:rsidR="0099249A">
        <w:rPr>
          <w:rFonts w:ascii="Times New Roman" w:hAnsi="Times New Roman" w:cs="Times New Roman"/>
        </w:rPr>
        <w:t xml:space="preserve"> </w:t>
      </w:r>
      <w:r w:rsidR="00586D59">
        <w:rPr>
          <w:rFonts w:ascii="Times New Roman" w:hAnsi="Times New Roman" w:cs="Times New Roman"/>
        </w:rPr>
        <w:t xml:space="preserve">Egypt </w:t>
      </w:r>
      <w:r w:rsidR="006E1F1F">
        <w:rPr>
          <w:rFonts w:ascii="Times New Roman" w:hAnsi="Times New Roman" w:cs="Times New Roman"/>
        </w:rPr>
        <w:t>in the joint oral pr</w:t>
      </w:r>
      <w:r w:rsidR="007B476E">
        <w:rPr>
          <w:rFonts w:ascii="Times New Roman" w:hAnsi="Times New Roman" w:cs="Times New Roman"/>
        </w:rPr>
        <w:t xml:space="preserve">oceedings on the two </w:t>
      </w:r>
      <w:r w:rsidR="007B476E" w:rsidRPr="006E1F1F">
        <w:rPr>
          <w:rFonts w:ascii="Times New Roman" w:hAnsi="Times New Roman" w:cs="Times New Roman"/>
          <w:i/>
        </w:rPr>
        <w:t>Nuclear Weapons</w:t>
      </w:r>
      <w:r w:rsidR="00F87E79">
        <w:rPr>
          <w:rFonts w:ascii="Times New Roman" w:hAnsi="Times New Roman" w:cs="Times New Roman"/>
        </w:rPr>
        <w:t xml:space="preserve"> </w:t>
      </w:r>
      <w:r w:rsidR="007B476E">
        <w:rPr>
          <w:rFonts w:ascii="Times New Roman" w:hAnsi="Times New Roman" w:cs="Times New Roman"/>
        </w:rPr>
        <w:t>requests</w:t>
      </w:r>
      <w:r w:rsidR="006E1F1F">
        <w:rPr>
          <w:rFonts w:ascii="Times New Roman" w:hAnsi="Times New Roman" w:cs="Times New Roman"/>
        </w:rPr>
        <w:t>.</w:t>
      </w:r>
      <w:r w:rsidR="006E1F1F">
        <w:rPr>
          <w:rStyle w:val="FootnoteReference"/>
          <w:rFonts w:ascii="Times New Roman" w:hAnsi="Times New Roman" w:cs="Times New Roman"/>
        </w:rPr>
        <w:footnoteReference w:id="67"/>
      </w:r>
      <w:r w:rsidR="00CA1A36">
        <w:rPr>
          <w:rFonts w:ascii="Times New Roman" w:hAnsi="Times New Roman" w:cs="Times New Roman"/>
        </w:rPr>
        <w:t xml:space="preserve">  He based</w:t>
      </w:r>
      <w:r w:rsidR="00114970">
        <w:rPr>
          <w:rFonts w:ascii="Times New Roman" w:hAnsi="Times New Roman" w:cs="Times New Roman"/>
        </w:rPr>
        <w:t xml:space="preserve"> this on </w:t>
      </w:r>
      <w:r w:rsidR="00114970" w:rsidRPr="00114970">
        <w:rPr>
          <w:rFonts w:ascii="Times New Roman" w:hAnsi="Times New Roman" w:cs="Times New Roman"/>
          <w:i/>
        </w:rPr>
        <w:t>Eastern Carelia</w:t>
      </w:r>
      <w:r w:rsidR="00182274">
        <w:rPr>
          <w:rFonts w:ascii="Times New Roman" w:hAnsi="Times New Roman" w:cs="Times New Roman"/>
        </w:rPr>
        <w:t xml:space="preserve">, where </w:t>
      </w:r>
      <w:r w:rsidR="00114970">
        <w:rPr>
          <w:rFonts w:ascii="Times New Roman" w:hAnsi="Times New Roman" w:cs="Times New Roman"/>
        </w:rPr>
        <w:t xml:space="preserve">Russia </w:t>
      </w:r>
      <w:r w:rsidR="00227781">
        <w:rPr>
          <w:rFonts w:ascii="Times New Roman" w:hAnsi="Times New Roman" w:cs="Times New Roman"/>
        </w:rPr>
        <w:t>had made it clear</w:t>
      </w:r>
      <w:r w:rsidR="00114970">
        <w:rPr>
          <w:rFonts w:ascii="Times New Roman" w:hAnsi="Times New Roman" w:cs="Times New Roman"/>
        </w:rPr>
        <w:t xml:space="preserve"> that it </w:t>
      </w:r>
      <w:r w:rsidR="00B039AF">
        <w:rPr>
          <w:rFonts w:ascii="Times New Roman" w:hAnsi="Times New Roman" w:cs="Times New Roman"/>
        </w:rPr>
        <w:t>did not accept any</w:t>
      </w:r>
      <w:r w:rsidR="00114970">
        <w:rPr>
          <w:rFonts w:ascii="Times New Roman" w:hAnsi="Times New Roman" w:cs="Times New Roman"/>
        </w:rPr>
        <w:t xml:space="preserve"> intervention by the League of Nations</w:t>
      </w:r>
      <w:r w:rsidR="00227781">
        <w:rPr>
          <w:rFonts w:ascii="Times New Roman" w:hAnsi="Times New Roman" w:cs="Times New Roman"/>
        </w:rPr>
        <w:t xml:space="preserve"> in its dispute with Finland</w:t>
      </w:r>
      <w:r w:rsidR="00114970">
        <w:rPr>
          <w:rFonts w:ascii="Times New Roman" w:hAnsi="Times New Roman" w:cs="Times New Roman"/>
        </w:rPr>
        <w:t>.</w:t>
      </w:r>
      <w:r w:rsidR="00114970">
        <w:rPr>
          <w:rStyle w:val="FootnoteReference"/>
          <w:rFonts w:ascii="Times New Roman" w:hAnsi="Times New Roman" w:cs="Times New Roman"/>
        </w:rPr>
        <w:footnoteReference w:id="68"/>
      </w:r>
      <w:r w:rsidR="00FE212E">
        <w:rPr>
          <w:rFonts w:ascii="Times New Roman" w:hAnsi="Times New Roman" w:cs="Times New Roman"/>
        </w:rPr>
        <w:t xml:space="preserve">  </w:t>
      </w:r>
      <w:r w:rsidR="00227781">
        <w:rPr>
          <w:rFonts w:ascii="Times New Roman" w:hAnsi="Times New Roman" w:cs="Times New Roman"/>
        </w:rPr>
        <w:t xml:space="preserve">As </w:t>
      </w:r>
      <w:r w:rsidR="00FE212E">
        <w:rPr>
          <w:rFonts w:ascii="Times New Roman" w:hAnsi="Times New Roman" w:cs="Times New Roman"/>
        </w:rPr>
        <w:t xml:space="preserve">Russia was not a member of the League, submission of a dispute to the League </w:t>
      </w:r>
      <w:r w:rsidR="00227781">
        <w:rPr>
          <w:rFonts w:ascii="Times New Roman" w:hAnsi="Times New Roman" w:cs="Times New Roman"/>
        </w:rPr>
        <w:t xml:space="preserve">could only be </w:t>
      </w:r>
      <w:r w:rsidR="00FA3309">
        <w:rPr>
          <w:rFonts w:ascii="Times New Roman" w:hAnsi="Times New Roman" w:cs="Times New Roman"/>
        </w:rPr>
        <w:t xml:space="preserve">on the </w:t>
      </w:r>
      <w:r w:rsidR="00227781">
        <w:rPr>
          <w:rFonts w:ascii="Times New Roman" w:hAnsi="Times New Roman" w:cs="Times New Roman"/>
        </w:rPr>
        <w:t xml:space="preserve">basis of consent, </w:t>
      </w:r>
      <w:r w:rsidR="00227781">
        <w:rPr>
          <w:rFonts w:ascii="Times New Roman" w:hAnsi="Times New Roman" w:cs="Times New Roman"/>
        </w:rPr>
        <w:lastRenderedPageBreak/>
        <w:t xml:space="preserve">which Russia plainly had </w:t>
      </w:r>
      <w:r w:rsidR="00FE212E">
        <w:rPr>
          <w:rFonts w:ascii="Times New Roman" w:hAnsi="Times New Roman" w:cs="Times New Roman"/>
        </w:rPr>
        <w:t>not given.  Th</w:t>
      </w:r>
      <w:r w:rsidR="00182274">
        <w:rPr>
          <w:rFonts w:ascii="Times New Roman" w:hAnsi="Times New Roman" w:cs="Times New Roman"/>
        </w:rPr>
        <w:t xml:space="preserve">e League had no </w:t>
      </w:r>
      <w:r w:rsidR="00FE212E">
        <w:rPr>
          <w:rFonts w:ascii="Times New Roman" w:hAnsi="Times New Roman" w:cs="Times New Roman"/>
        </w:rPr>
        <w:t>authority to ask for an advisory o</w:t>
      </w:r>
      <w:r w:rsidR="00182274">
        <w:rPr>
          <w:rFonts w:ascii="Times New Roman" w:hAnsi="Times New Roman" w:cs="Times New Roman"/>
        </w:rPr>
        <w:t xml:space="preserve">pinion and for the PCIJ it was </w:t>
      </w:r>
      <w:r w:rsidR="00114970">
        <w:rPr>
          <w:rFonts w:ascii="Times New Roman" w:hAnsi="Times New Roman" w:cs="Times New Roman"/>
        </w:rPr>
        <w:t>“impossible to give its opinion on a dispute of this kind</w:t>
      </w:r>
      <w:r w:rsidR="00DA5D4D">
        <w:rPr>
          <w:rFonts w:ascii="Times New Roman" w:hAnsi="Times New Roman" w:cs="Times New Roman"/>
        </w:rPr>
        <w:t>.”</w:t>
      </w:r>
      <w:r w:rsidR="00114970">
        <w:rPr>
          <w:rStyle w:val="FootnoteReference"/>
          <w:rFonts w:ascii="Times New Roman" w:hAnsi="Times New Roman" w:cs="Times New Roman"/>
        </w:rPr>
        <w:footnoteReference w:id="69"/>
      </w:r>
      <w:r w:rsidR="00114970">
        <w:rPr>
          <w:rFonts w:ascii="Times New Roman" w:hAnsi="Times New Roman" w:cs="Times New Roman"/>
        </w:rPr>
        <w:t xml:space="preserve">  </w:t>
      </w:r>
    </w:p>
    <w:p w14:paraId="39A1FE16" w14:textId="77777777" w:rsidR="00F006D1" w:rsidRDefault="00182274" w:rsidP="00CD6578">
      <w:pPr>
        <w:spacing w:line="360" w:lineRule="auto"/>
        <w:jc w:val="both"/>
        <w:rPr>
          <w:rFonts w:ascii="Times New Roman" w:hAnsi="Times New Roman" w:cs="Times New Roman"/>
          <w:b/>
        </w:rPr>
      </w:pPr>
      <w:r>
        <w:rPr>
          <w:rFonts w:ascii="Times New Roman" w:hAnsi="Times New Roman" w:cs="Times New Roman"/>
        </w:rPr>
        <w:t xml:space="preserve">Abi-Saab saw </w:t>
      </w:r>
      <w:r w:rsidR="00137D8A">
        <w:rPr>
          <w:rFonts w:ascii="Times New Roman" w:hAnsi="Times New Roman" w:cs="Times New Roman"/>
        </w:rPr>
        <w:t>the P</w:t>
      </w:r>
      <w:r w:rsidR="00114970">
        <w:rPr>
          <w:rFonts w:ascii="Times New Roman" w:hAnsi="Times New Roman" w:cs="Times New Roman"/>
        </w:rPr>
        <w:t>CIJ</w:t>
      </w:r>
      <w:r w:rsidR="00137D8A">
        <w:rPr>
          <w:rFonts w:ascii="Times New Roman" w:hAnsi="Times New Roman" w:cs="Times New Roman"/>
        </w:rPr>
        <w:t>’s use</w:t>
      </w:r>
      <w:r w:rsidR="00114970">
        <w:rPr>
          <w:rFonts w:ascii="Times New Roman" w:hAnsi="Times New Roman" w:cs="Times New Roman"/>
        </w:rPr>
        <w:t xml:space="preserve"> of the word </w:t>
      </w:r>
      <w:r w:rsidR="00137D8A">
        <w:rPr>
          <w:rFonts w:ascii="Times New Roman" w:hAnsi="Times New Roman" w:cs="Times New Roman"/>
        </w:rPr>
        <w:t>‘</w:t>
      </w:r>
      <w:r w:rsidR="00114970">
        <w:rPr>
          <w:rFonts w:ascii="Times New Roman" w:hAnsi="Times New Roman" w:cs="Times New Roman"/>
        </w:rPr>
        <w:t>impossible</w:t>
      </w:r>
      <w:r w:rsidR="00137D8A">
        <w:rPr>
          <w:rFonts w:ascii="Times New Roman" w:hAnsi="Times New Roman" w:cs="Times New Roman"/>
        </w:rPr>
        <w:t>'</w:t>
      </w:r>
      <w:r w:rsidR="00114970">
        <w:rPr>
          <w:rFonts w:ascii="Times New Roman" w:hAnsi="Times New Roman" w:cs="Times New Roman"/>
        </w:rPr>
        <w:t xml:space="preserve"> as unambiguous, </w:t>
      </w:r>
      <w:r w:rsidR="00753253">
        <w:rPr>
          <w:rFonts w:ascii="Times New Roman" w:hAnsi="Times New Roman" w:cs="Times New Roman"/>
        </w:rPr>
        <w:t>leaving no</w:t>
      </w:r>
      <w:r w:rsidR="005C5F01">
        <w:rPr>
          <w:rFonts w:ascii="Times New Roman" w:hAnsi="Times New Roman" w:cs="Times New Roman"/>
        </w:rPr>
        <w:t xml:space="preserve"> choice and </w:t>
      </w:r>
      <w:r w:rsidR="00114970">
        <w:rPr>
          <w:rFonts w:ascii="Times New Roman" w:hAnsi="Times New Roman" w:cs="Times New Roman"/>
        </w:rPr>
        <w:t>no discretion</w:t>
      </w:r>
      <w:r>
        <w:rPr>
          <w:rFonts w:ascii="Times New Roman" w:hAnsi="Times New Roman" w:cs="Times New Roman"/>
        </w:rPr>
        <w:t>.  He also drew</w:t>
      </w:r>
      <w:r w:rsidR="00FA3309">
        <w:rPr>
          <w:rFonts w:ascii="Times New Roman" w:hAnsi="Times New Roman" w:cs="Times New Roman"/>
        </w:rPr>
        <w:t xml:space="preserve"> the distinction between a </w:t>
      </w:r>
      <w:r w:rsidR="00FA3309" w:rsidRPr="00FA3309">
        <w:rPr>
          <w:rFonts w:ascii="Times New Roman" w:hAnsi="Times New Roman" w:cs="Times New Roman"/>
          <w:i/>
        </w:rPr>
        <w:t xml:space="preserve">right </w:t>
      </w:r>
      <w:r w:rsidR="00FA3309">
        <w:rPr>
          <w:rFonts w:ascii="Times New Roman" w:hAnsi="Times New Roman" w:cs="Times New Roman"/>
        </w:rPr>
        <w:t>which ma</w:t>
      </w:r>
      <w:r>
        <w:rPr>
          <w:rFonts w:ascii="Times New Roman" w:hAnsi="Times New Roman" w:cs="Times New Roman"/>
        </w:rPr>
        <w:t>y be exercised</w:t>
      </w:r>
      <w:r w:rsidR="00FA3309">
        <w:rPr>
          <w:rFonts w:ascii="Times New Roman" w:hAnsi="Times New Roman" w:cs="Times New Roman"/>
        </w:rPr>
        <w:t xml:space="preserve"> and </w:t>
      </w:r>
      <w:r w:rsidR="0017765F">
        <w:rPr>
          <w:rFonts w:ascii="Times New Roman" w:hAnsi="Times New Roman" w:cs="Times New Roman"/>
        </w:rPr>
        <w:t xml:space="preserve">the </w:t>
      </w:r>
      <w:r w:rsidR="0017765F" w:rsidRPr="0017765F">
        <w:rPr>
          <w:rFonts w:ascii="Times New Roman" w:hAnsi="Times New Roman" w:cs="Times New Roman"/>
          <w:i/>
        </w:rPr>
        <w:t>function</w:t>
      </w:r>
      <w:r w:rsidR="0017765F">
        <w:rPr>
          <w:rFonts w:ascii="Times New Roman" w:hAnsi="Times New Roman" w:cs="Times New Roman"/>
        </w:rPr>
        <w:t xml:space="preserve"> </w:t>
      </w:r>
      <w:r w:rsidR="001C1563">
        <w:rPr>
          <w:rFonts w:ascii="Times New Roman" w:hAnsi="Times New Roman" w:cs="Times New Roman"/>
        </w:rPr>
        <w:t>the ICJ</w:t>
      </w:r>
      <w:r w:rsidR="0017765F">
        <w:rPr>
          <w:rFonts w:ascii="Times New Roman" w:hAnsi="Times New Roman" w:cs="Times New Roman"/>
        </w:rPr>
        <w:t xml:space="preserve"> has which </w:t>
      </w:r>
      <w:r w:rsidR="00FA3309">
        <w:rPr>
          <w:rFonts w:ascii="Times New Roman" w:hAnsi="Times New Roman" w:cs="Times New Roman"/>
        </w:rPr>
        <w:t>“combines a power with a charge or an obligation to exercise it in the pursuit of a specific finality</w:t>
      </w:r>
      <w:r w:rsidR="00F87E79">
        <w:rPr>
          <w:rFonts w:ascii="Times New Roman" w:hAnsi="Times New Roman" w:cs="Times New Roman"/>
        </w:rPr>
        <w:t>.”</w:t>
      </w:r>
      <w:r w:rsidR="00FA3309">
        <w:rPr>
          <w:rStyle w:val="FootnoteReference"/>
          <w:rFonts w:ascii="Times New Roman" w:hAnsi="Times New Roman" w:cs="Times New Roman"/>
        </w:rPr>
        <w:footnoteReference w:id="70"/>
      </w:r>
      <w:r w:rsidR="00F006D1">
        <w:rPr>
          <w:rFonts w:ascii="Times New Roman" w:hAnsi="Times New Roman" w:cs="Times New Roman"/>
        </w:rPr>
        <w:t xml:space="preserve">  </w:t>
      </w:r>
      <w:r w:rsidR="001C1563">
        <w:rPr>
          <w:rFonts w:ascii="Times New Roman" w:hAnsi="Times New Roman" w:cs="Times New Roman"/>
        </w:rPr>
        <w:t>This is a persuasive argument and Abi-Saab points to eminent authori</w:t>
      </w:r>
      <w:r w:rsidR="00D16006">
        <w:rPr>
          <w:rFonts w:ascii="Times New Roman" w:hAnsi="Times New Roman" w:cs="Times New Roman"/>
        </w:rPr>
        <w:t xml:space="preserve">ty Sir Hersch Lauterpacht as confirming </w:t>
      </w:r>
      <w:r w:rsidR="00F87E79">
        <w:rPr>
          <w:rFonts w:ascii="Times New Roman" w:hAnsi="Times New Roman" w:cs="Times New Roman"/>
        </w:rPr>
        <w:t>it</w:t>
      </w:r>
      <w:r w:rsidR="001C1563">
        <w:rPr>
          <w:rFonts w:ascii="Times New Roman" w:hAnsi="Times New Roman" w:cs="Times New Roman"/>
        </w:rPr>
        <w:t>.</w:t>
      </w:r>
      <w:r w:rsidR="001C1563">
        <w:rPr>
          <w:rStyle w:val="FootnoteReference"/>
          <w:rFonts w:ascii="Times New Roman" w:hAnsi="Times New Roman" w:cs="Times New Roman"/>
        </w:rPr>
        <w:footnoteReference w:id="71"/>
      </w:r>
      <w:r w:rsidR="001E57D7">
        <w:rPr>
          <w:rFonts w:ascii="Times New Roman" w:hAnsi="Times New Roman" w:cs="Times New Roman"/>
        </w:rPr>
        <w:t xml:space="preserve">  Nevertheless</w:t>
      </w:r>
      <w:r w:rsidR="001C1563">
        <w:rPr>
          <w:rFonts w:ascii="Times New Roman" w:hAnsi="Times New Roman" w:cs="Times New Roman"/>
        </w:rPr>
        <w:t>, the Cou</w:t>
      </w:r>
      <w:r w:rsidR="001A4A0E">
        <w:rPr>
          <w:rFonts w:ascii="Times New Roman" w:hAnsi="Times New Roman" w:cs="Times New Roman"/>
        </w:rPr>
        <w:t xml:space="preserve">rt was not persuaded and in </w:t>
      </w:r>
      <w:r w:rsidR="00597D07">
        <w:rPr>
          <w:rFonts w:ascii="Times New Roman" w:hAnsi="Times New Roman" w:cs="Times New Roman"/>
          <w:i/>
        </w:rPr>
        <w:t>N</w:t>
      </w:r>
      <w:r w:rsidR="001A4A0E">
        <w:rPr>
          <w:rFonts w:ascii="Times New Roman" w:hAnsi="Times New Roman" w:cs="Times New Roman"/>
          <w:i/>
        </w:rPr>
        <w:t>uclear Weapons</w:t>
      </w:r>
      <w:r w:rsidR="008B6ECD">
        <w:rPr>
          <w:rFonts w:ascii="Times New Roman" w:hAnsi="Times New Roman" w:cs="Times New Roman"/>
        </w:rPr>
        <w:t xml:space="preserve"> </w:t>
      </w:r>
      <w:r w:rsidR="00D06D09">
        <w:rPr>
          <w:rFonts w:ascii="Times New Roman" w:hAnsi="Times New Roman" w:cs="Times New Roman"/>
        </w:rPr>
        <w:t>i</w:t>
      </w:r>
      <w:r w:rsidR="001A4A0E">
        <w:rPr>
          <w:rFonts w:ascii="Times New Roman" w:hAnsi="Times New Roman" w:cs="Times New Roman"/>
        </w:rPr>
        <w:t>t considered</w:t>
      </w:r>
      <w:r w:rsidR="001C1563">
        <w:rPr>
          <w:rFonts w:ascii="Times New Roman" w:hAnsi="Times New Roman" w:cs="Times New Roman"/>
        </w:rPr>
        <w:t xml:space="preserve"> the use of its discretion </w:t>
      </w:r>
      <w:r w:rsidR="0016173B">
        <w:rPr>
          <w:rFonts w:ascii="Times New Roman" w:hAnsi="Times New Roman" w:cs="Times New Roman"/>
        </w:rPr>
        <w:t xml:space="preserve">to give an opinion </w:t>
      </w:r>
      <w:r w:rsidR="005C3F85">
        <w:rPr>
          <w:rFonts w:ascii="Times New Roman" w:hAnsi="Times New Roman" w:cs="Times New Roman"/>
        </w:rPr>
        <w:t>and conclude</w:t>
      </w:r>
      <w:r w:rsidR="001A4A0E">
        <w:rPr>
          <w:rFonts w:ascii="Times New Roman" w:hAnsi="Times New Roman" w:cs="Times New Roman"/>
        </w:rPr>
        <w:t>d</w:t>
      </w:r>
      <w:r w:rsidR="005C3F85">
        <w:rPr>
          <w:rFonts w:ascii="Times New Roman" w:hAnsi="Times New Roman" w:cs="Times New Roman"/>
        </w:rPr>
        <w:t xml:space="preserve"> “there exist</w:t>
      </w:r>
      <w:r w:rsidR="001C1563">
        <w:rPr>
          <w:rFonts w:ascii="Times New Roman" w:hAnsi="Times New Roman" w:cs="Times New Roman"/>
        </w:rPr>
        <w:t xml:space="preserve"> no “compelling reasons” which would lead the </w:t>
      </w:r>
      <w:r w:rsidR="00AF1880">
        <w:rPr>
          <w:rFonts w:ascii="Times New Roman" w:hAnsi="Times New Roman" w:cs="Times New Roman"/>
        </w:rPr>
        <w:t>Court to exercise its discretion not to do so.”</w:t>
      </w:r>
      <w:r w:rsidR="00AF1880">
        <w:rPr>
          <w:rStyle w:val="FootnoteReference"/>
          <w:rFonts w:ascii="Times New Roman" w:hAnsi="Times New Roman" w:cs="Times New Roman"/>
        </w:rPr>
        <w:footnoteReference w:id="72"/>
      </w:r>
      <w:r w:rsidR="00537881">
        <w:rPr>
          <w:rFonts w:ascii="Times New Roman" w:hAnsi="Times New Roman" w:cs="Times New Roman"/>
          <w:b/>
        </w:rPr>
        <w:t xml:space="preserve"> </w:t>
      </w:r>
    </w:p>
    <w:p w14:paraId="5FE9C0BE" w14:textId="49F063F2" w:rsidR="00D6322F" w:rsidRDefault="00586D59" w:rsidP="00CD6578">
      <w:pPr>
        <w:spacing w:line="360" w:lineRule="auto"/>
        <w:jc w:val="both"/>
        <w:rPr>
          <w:rFonts w:ascii="Times New Roman" w:hAnsi="Times New Roman" w:cs="Times New Roman"/>
        </w:rPr>
      </w:pPr>
      <w:r>
        <w:rPr>
          <w:rFonts w:ascii="Times New Roman" w:hAnsi="Times New Roman" w:cs="Times New Roman"/>
        </w:rPr>
        <w:t>This brief look at d</w:t>
      </w:r>
      <w:r w:rsidR="00AD62B5">
        <w:rPr>
          <w:rFonts w:ascii="Times New Roman" w:hAnsi="Times New Roman" w:cs="Times New Roman"/>
        </w:rPr>
        <w:t>iscretion</w:t>
      </w:r>
      <w:r w:rsidR="00616ACB">
        <w:rPr>
          <w:rFonts w:ascii="Times New Roman" w:hAnsi="Times New Roman" w:cs="Times New Roman"/>
        </w:rPr>
        <w:t xml:space="preserve"> </w:t>
      </w:r>
      <w:r w:rsidR="00AD62B5">
        <w:rPr>
          <w:rFonts w:ascii="Times New Roman" w:hAnsi="Times New Roman" w:cs="Times New Roman"/>
        </w:rPr>
        <w:t xml:space="preserve">concludes the </w:t>
      </w:r>
      <w:r w:rsidR="00616ACB">
        <w:rPr>
          <w:rFonts w:ascii="Times New Roman" w:hAnsi="Times New Roman" w:cs="Times New Roman"/>
        </w:rPr>
        <w:t>review of the operation of the ICJ’s advisory</w:t>
      </w:r>
      <w:r w:rsidR="00AD62B5">
        <w:rPr>
          <w:rFonts w:ascii="Times New Roman" w:hAnsi="Times New Roman" w:cs="Times New Roman"/>
        </w:rPr>
        <w:t xml:space="preserve"> jurisdiction which </w:t>
      </w:r>
      <w:r w:rsidR="00616ACB">
        <w:rPr>
          <w:rFonts w:ascii="Times New Roman" w:hAnsi="Times New Roman" w:cs="Times New Roman"/>
        </w:rPr>
        <w:t>began with a look at the purpose, scope and perception of this part of the Court’</w:t>
      </w:r>
      <w:r w:rsidR="00AD62B5">
        <w:rPr>
          <w:rFonts w:ascii="Times New Roman" w:hAnsi="Times New Roman" w:cs="Times New Roman"/>
        </w:rPr>
        <w:t>s activities.  It was then seen that although t</w:t>
      </w:r>
      <w:r w:rsidR="00616ACB">
        <w:rPr>
          <w:rFonts w:ascii="Times New Roman" w:hAnsi="Times New Roman" w:cs="Times New Roman"/>
        </w:rPr>
        <w:t>he potential barriers</w:t>
      </w:r>
      <w:r w:rsidR="00D6322F">
        <w:rPr>
          <w:rFonts w:ascii="Times New Roman" w:hAnsi="Times New Roman" w:cs="Times New Roman"/>
        </w:rPr>
        <w:t xml:space="preserve"> </w:t>
      </w:r>
      <w:r w:rsidR="00AD62B5">
        <w:rPr>
          <w:rFonts w:ascii="Times New Roman" w:hAnsi="Times New Roman" w:cs="Times New Roman"/>
        </w:rPr>
        <w:t>to an opinion being given</w:t>
      </w:r>
      <w:r w:rsidR="00D6322F">
        <w:rPr>
          <w:rFonts w:ascii="Times New Roman" w:hAnsi="Times New Roman" w:cs="Times New Roman"/>
        </w:rPr>
        <w:t>, jurisdiction and discretion,</w:t>
      </w:r>
      <w:r w:rsidR="00D6322F" w:rsidRPr="00D6322F">
        <w:rPr>
          <w:rFonts w:ascii="Times New Roman" w:hAnsi="Times New Roman" w:cs="Times New Roman"/>
        </w:rPr>
        <w:t xml:space="preserve"> </w:t>
      </w:r>
      <w:r w:rsidR="00D6322F">
        <w:rPr>
          <w:rFonts w:ascii="Times New Roman" w:hAnsi="Times New Roman" w:cs="Times New Roman"/>
        </w:rPr>
        <w:t xml:space="preserve">have been widely discussed by the Court over the years, </w:t>
      </w:r>
      <w:r w:rsidR="00AD62B5">
        <w:rPr>
          <w:rFonts w:ascii="Times New Roman" w:hAnsi="Times New Roman" w:cs="Times New Roman"/>
        </w:rPr>
        <w:t>in onl</w:t>
      </w:r>
      <w:r w:rsidR="00D6322F">
        <w:rPr>
          <w:rFonts w:ascii="Times New Roman" w:hAnsi="Times New Roman" w:cs="Times New Roman"/>
        </w:rPr>
        <w:t>y one case has the Court actually found it is unable to give the advisory opinion requested.</w:t>
      </w:r>
      <w:r w:rsidR="00D6322F">
        <w:rPr>
          <w:rStyle w:val="FootnoteReference"/>
          <w:rFonts w:ascii="Times New Roman" w:hAnsi="Times New Roman" w:cs="Times New Roman"/>
        </w:rPr>
        <w:footnoteReference w:id="73"/>
      </w:r>
      <w:r w:rsidR="00AD62B5">
        <w:rPr>
          <w:rFonts w:ascii="Times New Roman" w:hAnsi="Times New Roman" w:cs="Times New Roman"/>
        </w:rPr>
        <w:t xml:space="preserve"> </w:t>
      </w:r>
    </w:p>
    <w:p w14:paraId="3EDC8F7D" w14:textId="42688E4D" w:rsidR="00B40669" w:rsidRPr="00B40669" w:rsidRDefault="00AD62B5" w:rsidP="00CD6578">
      <w:pPr>
        <w:spacing w:line="360" w:lineRule="auto"/>
        <w:jc w:val="both"/>
        <w:rPr>
          <w:rFonts w:ascii="Times New Roman" w:hAnsi="Times New Roman" w:cs="Times New Roman"/>
        </w:rPr>
      </w:pPr>
      <w:r>
        <w:rPr>
          <w:rFonts w:ascii="Times New Roman" w:hAnsi="Times New Roman" w:cs="Times New Roman"/>
        </w:rPr>
        <w:t xml:space="preserve">Looking forward now, </w:t>
      </w:r>
      <w:r w:rsidR="00C46CC3">
        <w:rPr>
          <w:rFonts w:ascii="Times New Roman" w:hAnsi="Times New Roman" w:cs="Times New Roman"/>
        </w:rPr>
        <w:t>the question of whether the Court can expand its advisory jurisdiction and b</w:t>
      </w:r>
      <w:r w:rsidR="006C01CD">
        <w:rPr>
          <w:rFonts w:ascii="Times New Roman" w:hAnsi="Times New Roman" w:cs="Times New Roman"/>
        </w:rPr>
        <w:t xml:space="preserve">etter use its capacity will </w:t>
      </w:r>
      <w:r w:rsidR="00C46CC3">
        <w:rPr>
          <w:rFonts w:ascii="Times New Roman" w:hAnsi="Times New Roman" w:cs="Times New Roman"/>
        </w:rPr>
        <w:t xml:space="preserve">be assessed. </w:t>
      </w:r>
    </w:p>
    <w:p w14:paraId="1F377F36" w14:textId="13730362" w:rsidR="00A04188" w:rsidRPr="00F97B1F" w:rsidRDefault="00F006D1" w:rsidP="00F97B1F">
      <w:pPr>
        <w:spacing w:line="360" w:lineRule="auto"/>
        <w:jc w:val="center"/>
        <w:rPr>
          <w:rFonts w:ascii="Times New Roman" w:hAnsi="Times New Roman" w:cs="Times New Roman"/>
        </w:rPr>
      </w:pPr>
      <w:r>
        <w:rPr>
          <w:rFonts w:ascii="Times New Roman" w:hAnsi="Times New Roman" w:cs="Times New Roman"/>
        </w:rPr>
        <w:t>VI</w:t>
      </w:r>
      <w:r w:rsidR="00F440FF">
        <w:rPr>
          <w:rFonts w:ascii="Times New Roman" w:hAnsi="Times New Roman" w:cs="Times New Roman"/>
        </w:rPr>
        <w:t>I</w:t>
      </w:r>
      <w:r>
        <w:rPr>
          <w:rFonts w:ascii="Times New Roman" w:hAnsi="Times New Roman" w:cs="Times New Roman"/>
        </w:rPr>
        <w:t xml:space="preserve">. </w:t>
      </w:r>
      <w:r w:rsidR="00EE78CB">
        <w:rPr>
          <w:rFonts w:ascii="Times New Roman" w:hAnsi="Times New Roman" w:cs="Times New Roman"/>
        </w:rPr>
        <w:t>POTENTIAL</w:t>
      </w:r>
      <w:r w:rsidR="00F478BB">
        <w:rPr>
          <w:rFonts w:ascii="Times New Roman" w:hAnsi="Times New Roman" w:cs="Times New Roman"/>
        </w:rPr>
        <w:t xml:space="preserve"> ENHANCEMENT</w:t>
      </w:r>
      <w:r w:rsidR="00F97B1F">
        <w:rPr>
          <w:rFonts w:ascii="Times New Roman" w:hAnsi="Times New Roman" w:cs="Times New Roman"/>
        </w:rPr>
        <w:t xml:space="preserve"> OF THE ADVISORY JURISDICTION</w:t>
      </w:r>
    </w:p>
    <w:p w14:paraId="566CAF7E" w14:textId="074B502E" w:rsidR="00F478BB" w:rsidRDefault="00C46CC3" w:rsidP="00F478BB">
      <w:pPr>
        <w:spacing w:line="360" w:lineRule="auto"/>
        <w:jc w:val="both"/>
        <w:rPr>
          <w:rFonts w:ascii="Times New Roman" w:hAnsi="Times New Roman" w:cs="Times New Roman"/>
        </w:rPr>
      </w:pPr>
      <w:r>
        <w:rPr>
          <w:rFonts w:ascii="Times New Roman" w:hAnsi="Times New Roman" w:cs="Times New Roman"/>
        </w:rPr>
        <w:t xml:space="preserve">Taking stock on the ICJ’s fiftieth anniversary, </w:t>
      </w:r>
      <w:r w:rsidR="00F478BB">
        <w:rPr>
          <w:rFonts w:ascii="Times New Roman" w:hAnsi="Times New Roman" w:cs="Times New Roman"/>
        </w:rPr>
        <w:t>Rosalyn Higgins went to the heart of the question of use of the advisory jurisdiction when she commented:</w:t>
      </w:r>
    </w:p>
    <w:p w14:paraId="22954938" w14:textId="77777777" w:rsidR="00F478BB" w:rsidRDefault="00F478BB" w:rsidP="00F478BB">
      <w:pPr>
        <w:spacing w:line="360" w:lineRule="auto"/>
        <w:ind w:left="705"/>
        <w:jc w:val="both"/>
        <w:rPr>
          <w:rFonts w:ascii="Times New Roman" w:hAnsi="Times New Roman" w:cs="Times New Roman"/>
          <w:b/>
        </w:rPr>
      </w:pPr>
      <w:r>
        <w:rPr>
          <w:rFonts w:ascii="Times New Roman" w:hAnsi="Times New Roman" w:cs="Times New Roman"/>
        </w:rPr>
        <w:t>“Little purpose is served by artificially inventing new business for the Advisory Opinion, whether in the context of interstate dispute settlement or through new powers to be afforded to the Secretary-General.  Recourse to the court must work with the seams of political and institutional realities and not against the grain.”</w:t>
      </w:r>
      <w:r>
        <w:rPr>
          <w:rStyle w:val="FootnoteReference"/>
          <w:rFonts w:ascii="Times New Roman" w:hAnsi="Times New Roman" w:cs="Times New Roman"/>
        </w:rPr>
        <w:footnoteReference w:id="74"/>
      </w:r>
    </w:p>
    <w:p w14:paraId="33D76F4A" w14:textId="35D92474" w:rsidR="00F478BB" w:rsidRDefault="00C46CC3" w:rsidP="00F478BB">
      <w:pPr>
        <w:spacing w:line="360" w:lineRule="auto"/>
        <w:jc w:val="both"/>
        <w:rPr>
          <w:rFonts w:ascii="Times New Roman" w:hAnsi="Times New Roman" w:cs="Times New Roman"/>
        </w:rPr>
      </w:pPr>
      <w:r>
        <w:rPr>
          <w:rFonts w:ascii="Times New Roman" w:hAnsi="Times New Roman" w:cs="Times New Roman"/>
        </w:rPr>
        <w:t>This is as true now as then and must</w:t>
      </w:r>
      <w:r w:rsidR="00F42E61">
        <w:rPr>
          <w:rFonts w:ascii="Times New Roman" w:hAnsi="Times New Roman" w:cs="Times New Roman"/>
        </w:rPr>
        <w:t xml:space="preserve"> be kept in mind when</w:t>
      </w:r>
      <w:r w:rsidR="00F478BB">
        <w:rPr>
          <w:rFonts w:ascii="Times New Roman" w:hAnsi="Times New Roman" w:cs="Times New Roman"/>
        </w:rPr>
        <w:t xml:space="preserve"> considering the pote</w:t>
      </w:r>
      <w:r w:rsidR="00D6322F">
        <w:rPr>
          <w:rFonts w:ascii="Times New Roman" w:hAnsi="Times New Roman" w:cs="Times New Roman"/>
        </w:rPr>
        <w:t>ntial for expand</w:t>
      </w:r>
      <w:r w:rsidR="00F478BB">
        <w:rPr>
          <w:rFonts w:ascii="Times New Roman" w:hAnsi="Times New Roman" w:cs="Times New Roman"/>
        </w:rPr>
        <w:t xml:space="preserve">ing the </w:t>
      </w:r>
      <w:r>
        <w:rPr>
          <w:rFonts w:ascii="Times New Roman" w:hAnsi="Times New Roman" w:cs="Times New Roman"/>
        </w:rPr>
        <w:t xml:space="preserve">Court’s advisory jurisdiction.  </w:t>
      </w:r>
      <w:r w:rsidR="00D6322F">
        <w:rPr>
          <w:rFonts w:ascii="Times New Roman" w:hAnsi="Times New Roman" w:cs="Times New Roman"/>
        </w:rPr>
        <w:t>H</w:t>
      </w:r>
      <w:r w:rsidR="00B00194">
        <w:rPr>
          <w:rFonts w:ascii="Times New Roman" w:hAnsi="Times New Roman" w:cs="Times New Roman"/>
        </w:rPr>
        <w:t>ow, and if,</w:t>
      </w:r>
      <w:r>
        <w:rPr>
          <w:rFonts w:ascii="Times New Roman" w:hAnsi="Times New Roman" w:cs="Times New Roman"/>
        </w:rPr>
        <w:t xml:space="preserve"> t</w:t>
      </w:r>
      <w:r w:rsidR="00F478BB">
        <w:rPr>
          <w:rFonts w:ascii="Times New Roman" w:hAnsi="Times New Roman" w:cs="Times New Roman"/>
        </w:rPr>
        <w:t>he</w:t>
      </w:r>
      <w:r>
        <w:rPr>
          <w:rFonts w:ascii="Times New Roman" w:hAnsi="Times New Roman" w:cs="Times New Roman"/>
        </w:rPr>
        <w:t xml:space="preserve"> bodies currently able to request advisory opinions could make better</w:t>
      </w:r>
      <w:r w:rsidR="00F42E61">
        <w:rPr>
          <w:rFonts w:ascii="Times New Roman" w:hAnsi="Times New Roman" w:cs="Times New Roman"/>
        </w:rPr>
        <w:t xml:space="preserve"> use of this capacity</w:t>
      </w:r>
      <w:r w:rsidR="006C01CD">
        <w:rPr>
          <w:rFonts w:ascii="Times New Roman" w:hAnsi="Times New Roman" w:cs="Times New Roman"/>
        </w:rPr>
        <w:t xml:space="preserve"> will be reviewed</w:t>
      </w:r>
      <w:r w:rsidR="00D6322F">
        <w:rPr>
          <w:rFonts w:ascii="Times New Roman" w:hAnsi="Times New Roman" w:cs="Times New Roman"/>
        </w:rPr>
        <w:t xml:space="preserve"> first</w:t>
      </w:r>
      <w:r>
        <w:rPr>
          <w:rFonts w:ascii="Times New Roman" w:hAnsi="Times New Roman" w:cs="Times New Roman"/>
        </w:rPr>
        <w:t xml:space="preserve">.  Secondly, </w:t>
      </w:r>
      <w:r w:rsidR="00B00194">
        <w:rPr>
          <w:rFonts w:ascii="Times New Roman" w:hAnsi="Times New Roman" w:cs="Times New Roman"/>
        </w:rPr>
        <w:t xml:space="preserve">whether </w:t>
      </w:r>
      <w:r w:rsidR="00F478BB">
        <w:rPr>
          <w:rFonts w:ascii="Times New Roman" w:hAnsi="Times New Roman" w:cs="Times New Roman"/>
        </w:rPr>
        <w:t xml:space="preserve">this pool of users </w:t>
      </w:r>
      <w:r w:rsidR="00B00194">
        <w:rPr>
          <w:rFonts w:ascii="Times New Roman" w:hAnsi="Times New Roman" w:cs="Times New Roman"/>
        </w:rPr>
        <w:t xml:space="preserve">could, and </w:t>
      </w:r>
      <w:r w:rsidR="00B00194">
        <w:rPr>
          <w:rFonts w:ascii="Times New Roman" w:hAnsi="Times New Roman" w:cs="Times New Roman"/>
        </w:rPr>
        <w:lastRenderedPageBreak/>
        <w:t>shou</w:t>
      </w:r>
      <w:r w:rsidR="006C01CD">
        <w:rPr>
          <w:rFonts w:ascii="Times New Roman" w:hAnsi="Times New Roman" w:cs="Times New Roman"/>
        </w:rPr>
        <w:t>ld, be expanded will be considered</w:t>
      </w:r>
      <w:r w:rsidR="00B00194">
        <w:rPr>
          <w:rFonts w:ascii="Times New Roman" w:hAnsi="Times New Roman" w:cs="Times New Roman"/>
        </w:rPr>
        <w:t>.</w:t>
      </w:r>
      <w:r w:rsidR="00F42E61">
        <w:rPr>
          <w:rFonts w:ascii="Times New Roman" w:hAnsi="Times New Roman" w:cs="Times New Roman"/>
        </w:rPr>
        <w:t xml:space="preserve">  The possible impact of a </w:t>
      </w:r>
      <w:r w:rsidR="00F42E61" w:rsidRPr="00F42E61">
        <w:rPr>
          <w:rFonts w:ascii="Times New Roman" w:hAnsi="Times New Roman" w:cs="Times New Roman"/>
          <w:i/>
        </w:rPr>
        <w:t>Chagos</w:t>
      </w:r>
      <w:r w:rsidR="00F42E61">
        <w:rPr>
          <w:rFonts w:ascii="Times New Roman" w:hAnsi="Times New Roman" w:cs="Times New Roman"/>
        </w:rPr>
        <w:t xml:space="preserve"> opinion will then be touched on along with other issues which may come before the bench in the future.  Finally, factors which militate against any expansion will be evaluated. </w:t>
      </w:r>
    </w:p>
    <w:p w14:paraId="0F832530" w14:textId="3536620D" w:rsidR="00F478BB" w:rsidRPr="00F478BB" w:rsidRDefault="00F478BB" w:rsidP="00F478BB">
      <w:pPr>
        <w:spacing w:line="360" w:lineRule="auto"/>
        <w:jc w:val="both"/>
        <w:rPr>
          <w:rFonts w:ascii="Times New Roman" w:hAnsi="Times New Roman" w:cs="Times New Roman"/>
          <w:i/>
        </w:rPr>
      </w:pPr>
      <w:r>
        <w:rPr>
          <w:rFonts w:ascii="Times New Roman" w:hAnsi="Times New Roman" w:cs="Times New Roman"/>
          <w:i/>
        </w:rPr>
        <w:t>Additional use by those authorised under Article 96 of the Charter</w:t>
      </w:r>
    </w:p>
    <w:p w14:paraId="0D83270E" w14:textId="56FCA66B" w:rsidR="00F478BB" w:rsidRPr="000C543B" w:rsidRDefault="00F478BB" w:rsidP="00F478BB">
      <w:pPr>
        <w:spacing w:line="360" w:lineRule="auto"/>
        <w:jc w:val="both"/>
        <w:rPr>
          <w:rStyle w:val="SubtleEmphasis"/>
        </w:rPr>
      </w:pPr>
      <w:r>
        <w:rPr>
          <w:rFonts w:ascii="Times New Roman" w:hAnsi="Times New Roman" w:cs="Times New Roman"/>
        </w:rPr>
        <w:t xml:space="preserve">Although not </w:t>
      </w:r>
      <w:r w:rsidR="0017765F">
        <w:rPr>
          <w:rFonts w:ascii="Times New Roman" w:hAnsi="Times New Roman" w:cs="Times New Roman"/>
        </w:rPr>
        <w:t xml:space="preserve">expanding </w:t>
      </w:r>
      <w:r>
        <w:rPr>
          <w:rFonts w:ascii="Times New Roman" w:hAnsi="Times New Roman" w:cs="Times New Roman"/>
        </w:rPr>
        <w:t>jurisdiction,</w:t>
      </w:r>
      <w:r w:rsidRPr="00F478BB">
        <w:rPr>
          <w:rFonts w:ascii="Times New Roman" w:hAnsi="Times New Roman" w:cs="Times New Roman"/>
        </w:rPr>
        <w:t xml:space="preserve"> </w:t>
      </w:r>
      <w:r>
        <w:rPr>
          <w:rFonts w:ascii="Times New Roman" w:hAnsi="Times New Roman" w:cs="Times New Roman"/>
        </w:rPr>
        <w:t xml:space="preserve">additional use by those authorised to do so </w:t>
      </w:r>
      <w:r w:rsidR="00F0484A">
        <w:rPr>
          <w:rFonts w:ascii="Times New Roman" w:hAnsi="Times New Roman" w:cs="Times New Roman"/>
        </w:rPr>
        <w:t xml:space="preserve">would </w:t>
      </w:r>
      <w:r w:rsidR="00182274">
        <w:rPr>
          <w:rFonts w:ascii="Times New Roman" w:hAnsi="Times New Roman" w:cs="Times New Roman"/>
        </w:rPr>
        <w:t xml:space="preserve">boost </w:t>
      </w:r>
      <w:r>
        <w:rPr>
          <w:rFonts w:ascii="Times New Roman" w:hAnsi="Times New Roman" w:cs="Times New Roman"/>
        </w:rPr>
        <w:t>the level of activity in the ICJ</w:t>
      </w:r>
      <w:r w:rsidR="002A3362">
        <w:rPr>
          <w:rFonts w:ascii="Times New Roman" w:hAnsi="Times New Roman" w:cs="Times New Roman"/>
        </w:rPr>
        <w:t xml:space="preserve"> and</w:t>
      </w:r>
      <w:r>
        <w:rPr>
          <w:rFonts w:ascii="Times New Roman" w:hAnsi="Times New Roman" w:cs="Times New Roman"/>
        </w:rPr>
        <w:t xml:space="preserve">, </w:t>
      </w:r>
      <w:r w:rsidR="002A3362">
        <w:rPr>
          <w:rFonts w:ascii="Times New Roman" w:hAnsi="Times New Roman" w:cs="Times New Roman"/>
        </w:rPr>
        <w:t xml:space="preserve">if the subject </w:t>
      </w:r>
      <w:r w:rsidR="00B33981">
        <w:rPr>
          <w:rFonts w:ascii="Times New Roman" w:hAnsi="Times New Roman" w:cs="Times New Roman"/>
        </w:rPr>
        <w:t>matter is of sufficient importance</w:t>
      </w:r>
      <w:r>
        <w:rPr>
          <w:rFonts w:ascii="Times New Roman" w:hAnsi="Times New Roman" w:cs="Times New Roman"/>
        </w:rPr>
        <w:t>, enhance its</w:t>
      </w:r>
      <w:r w:rsidR="002A3362">
        <w:rPr>
          <w:rFonts w:ascii="Times New Roman" w:hAnsi="Times New Roman" w:cs="Times New Roman"/>
        </w:rPr>
        <w:t xml:space="preserve"> </w:t>
      </w:r>
      <w:r>
        <w:rPr>
          <w:rFonts w:ascii="Times New Roman" w:hAnsi="Times New Roman" w:cs="Times New Roman"/>
        </w:rPr>
        <w:t>international profile</w:t>
      </w:r>
      <w:r w:rsidR="00D6322F">
        <w:rPr>
          <w:rFonts w:ascii="Times New Roman" w:hAnsi="Times New Roman" w:cs="Times New Roman"/>
        </w:rPr>
        <w:t>.  As seen</w:t>
      </w:r>
      <w:r w:rsidR="00D21381">
        <w:rPr>
          <w:rFonts w:ascii="Times New Roman" w:hAnsi="Times New Roman" w:cs="Times New Roman"/>
        </w:rPr>
        <w:t xml:space="preserve"> above, </w:t>
      </w:r>
      <w:r w:rsidR="00A44D95">
        <w:rPr>
          <w:rFonts w:ascii="Times New Roman" w:hAnsi="Times New Roman" w:cs="Times New Roman"/>
        </w:rPr>
        <w:t>the Council and the Assembly</w:t>
      </w:r>
      <w:r w:rsidR="00D21381">
        <w:rPr>
          <w:rFonts w:ascii="Times New Roman" w:hAnsi="Times New Roman" w:cs="Times New Roman"/>
        </w:rPr>
        <w:t xml:space="preserve"> have the</w:t>
      </w:r>
      <w:r w:rsidR="00A44D95">
        <w:rPr>
          <w:rFonts w:ascii="Times New Roman" w:hAnsi="Times New Roman" w:cs="Times New Roman"/>
        </w:rPr>
        <w:t xml:space="preserve"> most freedom</w:t>
      </w:r>
      <w:r w:rsidR="00D21381">
        <w:rPr>
          <w:rFonts w:ascii="Times New Roman" w:hAnsi="Times New Roman" w:cs="Times New Roman"/>
        </w:rPr>
        <w:t xml:space="preserve"> of action in raising questions by virtue of Article 96(1).</w:t>
      </w:r>
    </w:p>
    <w:p w14:paraId="5DAD3093" w14:textId="3CA702D5" w:rsidR="00A44D95" w:rsidRDefault="00A44D95" w:rsidP="00A44D95">
      <w:pPr>
        <w:spacing w:line="360" w:lineRule="auto"/>
        <w:jc w:val="both"/>
        <w:rPr>
          <w:rFonts w:ascii="Times New Roman" w:hAnsi="Times New Roman" w:cs="Times New Roman"/>
          <w:b/>
        </w:rPr>
      </w:pPr>
      <w:r w:rsidRPr="00F478BB">
        <w:rPr>
          <w:rFonts w:ascii="Times New Roman" w:hAnsi="Times New Roman" w:cs="Times New Roman"/>
        </w:rPr>
        <w:t xml:space="preserve">(a)    </w:t>
      </w:r>
      <w:r>
        <w:rPr>
          <w:rFonts w:ascii="Times New Roman" w:hAnsi="Times New Roman" w:cs="Times New Roman"/>
        </w:rPr>
        <w:t>General Assembly</w:t>
      </w:r>
      <w:r w:rsidR="00086335">
        <w:rPr>
          <w:rFonts w:ascii="Times New Roman" w:hAnsi="Times New Roman" w:cs="Times New Roman"/>
        </w:rPr>
        <w:t xml:space="preserve"> </w:t>
      </w:r>
    </w:p>
    <w:p w14:paraId="582D5091" w14:textId="0712DBA3" w:rsidR="00A44D95" w:rsidRPr="00AA5D1F" w:rsidRDefault="00A44D95" w:rsidP="00A44D95">
      <w:pPr>
        <w:spacing w:line="360" w:lineRule="auto"/>
        <w:jc w:val="both"/>
        <w:rPr>
          <w:rFonts w:ascii="Times New Roman" w:hAnsi="Times New Roman" w:cs="Times New Roman"/>
        </w:rPr>
      </w:pPr>
      <w:r>
        <w:rPr>
          <w:rFonts w:ascii="Times New Roman" w:hAnsi="Times New Roman" w:cs="Times New Roman"/>
        </w:rPr>
        <w:t>There is no question of under-u</w:t>
      </w:r>
      <w:r w:rsidR="00086335">
        <w:rPr>
          <w:rFonts w:ascii="Times New Roman" w:hAnsi="Times New Roman" w:cs="Times New Roman"/>
        </w:rPr>
        <w:t>tilisation</w:t>
      </w:r>
      <w:r>
        <w:rPr>
          <w:rFonts w:ascii="Times New Roman" w:hAnsi="Times New Roman" w:cs="Times New Roman"/>
        </w:rPr>
        <w:t xml:space="preserve"> here, the Assembly is the main user</w:t>
      </w:r>
      <w:r>
        <w:rPr>
          <w:rStyle w:val="FootnoteReference"/>
          <w:rFonts w:ascii="Times New Roman" w:hAnsi="Times New Roman" w:cs="Times New Roman"/>
        </w:rPr>
        <w:footnoteReference w:id="75"/>
      </w:r>
      <w:r>
        <w:rPr>
          <w:rFonts w:ascii="Times New Roman" w:hAnsi="Times New Roman" w:cs="Times New Roman"/>
        </w:rPr>
        <w:t xml:space="preserve"> of the Court’s advisory jurisdiction although a potential block on</w:t>
      </w:r>
      <w:r w:rsidR="00086335">
        <w:rPr>
          <w:rFonts w:ascii="Times New Roman" w:hAnsi="Times New Roman" w:cs="Times New Roman"/>
        </w:rPr>
        <w:t xml:space="preserve"> </w:t>
      </w:r>
      <w:r>
        <w:rPr>
          <w:rFonts w:ascii="Times New Roman" w:hAnsi="Times New Roman" w:cs="Times New Roman"/>
        </w:rPr>
        <w:t xml:space="preserve">use when the Council is seised of a situation was asserted in </w:t>
      </w:r>
      <w:r>
        <w:rPr>
          <w:rFonts w:ascii="Times New Roman" w:hAnsi="Times New Roman" w:cs="Times New Roman"/>
          <w:i/>
        </w:rPr>
        <w:t>Kosovo</w:t>
      </w:r>
      <w:r>
        <w:rPr>
          <w:rFonts w:ascii="Times New Roman" w:hAnsi="Times New Roman" w:cs="Times New Roman"/>
        </w:rPr>
        <w:t>.  The argument made was that in such circumstances Article 12(1) of the Charter operates, barring the Assembly from making any recommendation unless requested to do so by the Council, with any Assembly request made then falling outside the authori</w:t>
      </w:r>
      <w:r w:rsidR="00D21381">
        <w:rPr>
          <w:rFonts w:ascii="Times New Roman" w:hAnsi="Times New Roman" w:cs="Times New Roman"/>
        </w:rPr>
        <w:t>s</w:t>
      </w:r>
      <w:r>
        <w:rPr>
          <w:rFonts w:ascii="Times New Roman" w:hAnsi="Times New Roman" w:cs="Times New Roman"/>
        </w:rPr>
        <w:t>ation of Article 96(1).</w:t>
      </w:r>
      <w:r>
        <w:rPr>
          <w:rStyle w:val="FootnoteReference"/>
          <w:rFonts w:ascii="Times New Roman" w:hAnsi="Times New Roman" w:cs="Times New Roman"/>
        </w:rPr>
        <w:footnoteReference w:id="76"/>
      </w:r>
      <w:r w:rsidRPr="00AA5D1F">
        <w:rPr>
          <w:rFonts w:ascii="Times New Roman" w:hAnsi="Times New Roman" w:cs="Times New Roman"/>
        </w:rPr>
        <w:t xml:space="preserve"> </w:t>
      </w:r>
    </w:p>
    <w:p w14:paraId="5D78AA5C" w14:textId="2ED96866" w:rsidR="00A44D95" w:rsidRDefault="00A44D95" w:rsidP="00A44D95">
      <w:pPr>
        <w:spacing w:line="360" w:lineRule="auto"/>
        <w:jc w:val="both"/>
        <w:rPr>
          <w:rFonts w:ascii="Times New Roman" w:hAnsi="Times New Roman" w:cs="Times New Roman"/>
        </w:rPr>
      </w:pPr>
      <w:r>
        <w:rPr>
          <w:rFonts w:ascii="Times New Roman" w:hAnsi="Times New Roman" w:cs="Times New Roman"/>
        </w:rPr>
        <w:t>T</w:t>
      </w:r>
      <w:r w:rsidR="00086335">
        <w:rPr>
          <w:rFonts w:ascii="Times New Roman" w:hAnsi="Times New Roman" w:cs="Times New Roman"/>
        </w:rPr>
        <w:t xml:space="preserve">his </w:t>
      </w:r>
      <w:r>
        <w:rPr>
          <w:rFonts w:ascii="Times New Roman" w:hAnsi="Times New Roman" w:cs="Times New Roman"/>
        </w:rPr>
        <w:t xml:space="preserve">was not accepted by the ICJ.  </w:t>
      </w:r>
      <w:r w:rsidRPr="00EC3209">
        <w:rPr>
          <w:rFonts w:ascii="Times New Roman" w:hAnsi="Times New Roman" w:cs="Times New Roman"/>
        </w:rPr>
        <w:t xml:space="preserve">Referring to the </w:t>
      </w:r>
      <w:r>
        <w:rPr>
          <w:rFonts w:ascii="Times New Roman" w:hAnsi="Times New Roman" w:cs="Times New Roman"/>
          <w:i/>
        </w:rPr>
        <w:t>Wall</w:t>
      </w:r>
      <w:r>
        <w:rPr>
          <w:rFonts w:ascii="Times New Roman" w:hAnsi="Times New Roman" w:cs="Times New Roman"/>
        </w:rPr>
        <w:t xml:space="preserve">, the Court reiterated its view that “[a] request for an advisory opinion is not in itself a ‘recommendation’ by the General Assembly ‘with regard to [a] dispute or situation’”. </w:t>
      </w:r>
      <w:r w:rsidR="006C01CD">
        <w:rPr>
          <w:rStyle w:val="FootnoteReference"/>
          <w:rFonts w:ascii="Times New Roman" w:hAnsi="Times New Roman" w:cs="Times New Roman"/>
        </w:rPr>
        <w:footnoteReference w:id="77"/>
      </w:r>
      <w:r w:rsidR="006C01CD">
        <w:rPr>
          <w:rFonts w:ascii="Times New Roman" w:hAnsi="Times New Roman" w:cs="Times New Roman"/>
        </w:rPr>
        <w:t xml:space="preserve"> </w:t>
      </w:r>
      <w:r>
        <w:rPr>
          <w:rFonts w:ascii="Times New Roman" w:hAnsi="Times New Roman" w:cs="Times New Roman"/>
        </w:rPr>
        <w:t xml:space="preserve">Thus while Article 12 may restrain the Assembly’s ability to act following </w:t>
      </w:r>
      <w:r w:rsidRPr="00BF2210">
        <w:rPr>
          <w:rFonts w:ascii="Times New Roman" w:hAnsi="Times New Roman" w:cs="Times New Roman"/>
          <w:i/>
        </w:rPr>
        <w:t>receipt</w:t>
      </w:r>
      <w:r>
        <w:rPr>
          <w:rFonts w:ascii="Times New Roman" w:hAnsi="Times New Roman" w:cs="Times New Roman"/>
        </w:rPr>
        <w:t xml:space="preserve"> of an opinion, it does not limit the operation of Article 96(1) which enables the Assembly to request an advisory opinion on “any legal question”.  </w:t>
      </w:r>
    </w:p>
    <w:p w14:paraId="792C6389" w14:textId="5728591B" w:rsidR="00A44D95" w:rsidRPr="003A2D9F" w:rsidRDefault="00A44D95" w:rsidP="00A44D95">
      <w:pPr>
        <w:spacing w:line="360" w:lineRule="auto"/>
        <w:jc w:val="both"/>
        <w:rPr>
          <w:rFonts w:ascii="Times New Roman" w:hAnsi="Times New Roman" w:cs="Times New Roman"/>
        </w:rPr>
      </w:pPr>
      <w:r w:rsidRPr="003A2D9F">
        <w:rPr>
          <w:rFonts w:ascii="Times New Roman" w:hAnsi="Times New Roman" w:cs="Times New Roman"/>
        </w:rPr>
        <w:t xml:space="preserve">The Assembly remains the most likely channel for advisory opinions, </w:t>
      </w:r>
      <w:r w:rsidRPr="00A501D6">
        <w:rPr>
          <w:rFonts w:ascii="Times New Roman" w:hAnsi="Times New Roman" w:cs="Times New Roman"/>
        </w:rPr>
        <w:t xml:space="preserve">allowing as it does the opportunity </w:t>
      </w:r>
      <w:r w:rsidRPr="00F30225">
        <w:rPr>
          <w:rFonts w:ascii="Times New Roman" w:hAnsi="Times New Roman" w:cs="Times New Roman"/>
        </w:rPr>
        <w:t xml:space="preserve">for </w:t>
      </w:r>
      <w:r w:rsidRPr="00A44D95">
        <w:rPr>
          <w:rFonts w:ascii="Times New Roman" w:hAnsi="Times New Roman" w:cs="Times New Roman"/>
        </w:rPr>
        <w:t>states, given sufficient support,</w:t>
      </w:r>
      <w:r w:rsidR="00086335">
        <w:rPr>
          <w:rFonts w:ascii="Times New Roman" w:hAnsi="Times New Roman" w:cs="Times New Roman"/>
        </w:rPr>
        <w:t xml:space="preserve"> to funnel requests through this route</w:t>
      </w:r>
      <w:r w:rsidRPr="00A44D95">
        <w:rPr>
          <w:rFonts w:ascii="Times New Roman" w:hAnsi="Times New Roman" w:cs="Times New Roman"/>
        </w:rPr>
        <w:t xml:space="preserve"> and for </w:t>
      </w:r>
      <w:r w:rsidRPr="003A2D9F">
        <w:rPr>
          <w:rFonts w:ascii="Times New Roman" w:hAnsi="Times New Roman" w:cs="Times New Roman"/>
        </w:rPr>
        <w:t xml:space="preserve">NGOs to engage in the sort of “[h]eavy and well-organised lobbying” that powered the </w:t>
      </w:r>
      <w:r w:rsidRPr="00A501D6">
        <w:rPr>
          <w:rFonts w:ascii="Times New Roman" w:hAnsi="Times New Roman" w:cs="Times New Roman"/>
        </w:rPr>
        <w:t xml:space="preserve">two </w:t>
      </w:r>
      <w:r w:rsidRPr="00F30225">
        <w:rPr>
          <w:rFonts w:ascii="Times New Roman" w:hAnsi="Times New Roman" w:cs="Times New Roman"/>
          <w:i/>
        </w:rPr>
        <w:t>Nuclear Weapons</w:t>
      </w:r>
      <w:r w:rsidRPr="00F30225">
        <w:rPr>
          <w:rFonts w:ascii="Times New Roman" w:hAnsi="Times New Roman" w:cs="Times New Roman"/>
        </w:rPr>
        <w:t xml:space="preserve"> requests.</w:t>
      </w:r>
      <w:r w:rsidRPr="003A2D9F">
        <w:rPr>
          <w:rStyle w:val="FootnoteReference"/>
          <w:rFonts w:ascii="Times New Roman" w:hAnsi="Times New Roman" w:cs="Times New Roman"/>
        </w:rPr>
        <w:footnoteReference w:id="78"/>
      </w:r>
      <w:r w:rsidR="00086335">
        <w:rPr>
          <w:rFonts w:ascii="Times New Roman" w:hAnsi="Times New Roman" w:cs="Times New Roman"/>
        </w:rPr>
        <w:t xml:space="preserve">  The discussions in, and outside, the Assembly which precede</w:t>
      </w:r>
      <w:r w:rsidRPr="00A44D95">
        <w:rPr>
          <w:rFonts w:ascii="Times New Roman" w:hAnsi="Times New Roman" w:cs="Times New Roman"/>
        </w:rPr>
        <w:t xml:space="preserve"> </w:t>
      </w:r>
      <w:r w:rsidR="00086335">
        <w:rPr>
          <w:rFonts w:ascii="Times New Roman" w:hAnsi="Times New Roman" w:cs="Times New Roman"/>
        </w:rPr>
        <w:t>an Assembly request also give questions an exposure and visibility throughout the international community which might not otherwise be the case wi</w:t>
      </w:r>
      <w:r w:rsidR="00D21381">
        <w:rPr>
          <w:rFonts w:ascii="Times New Roman" w:hAnsi="Times New Roman" w:cs="Times New Roman"/>
        </w:rPr>
        <w:t xml:space="preserve">th questions taking other paths and this </w:t>
      </w:r>
      <w:r w:rsidR="0096759A">
        <w:rPr>
          <w:rFonts w:ascii="Times New Roman" w:hAnsi="Times New Roman" w:cs="Times New Roman"/>
        </w:rPr>
        <w:t xml:space="preserve">seems likely to be so with the </w:t>
      </w:r>
      <w:r w:rsidR="0096759A" w:rsidRPr="0096759A">
        <w:rPr>
          <w:rFonts w:ascii="Times New Roman" w:hAnsi="Times New Roman" w:cs="Times New Roman"/>
          <w:i/>
        </w:rPr>
        <w:t>Chagos</w:t>
      </w:r>
      <w:r w:rsidR="0096759A">
        <w:rPr>
          <w:rFonts w:ascii="Times New Roman" w:hAnsi="Times New Roman" w:cs="Times New Roman"/>
        </w:rPr>
        <w:t xml:space="preserve"> request.</w:t>
      </w:r>
    </w:p>
    <w:p w14:paraId="2F17FB6E" w14:textId="5B6ABD57" w:rsidR="00851727" w:rsidRPr="00F478BB" w:rsidRDefault="00A44D95" w:rsidP="00A44D95">
      <w:pPr>
        <w:spacing w:line="360" w:lineRule="auto"/>
        <w:jc w:val="both"/>
        <w:rPr>
          <w:rFonts w:ascii="Times New Roman" w:hAnsi="Times New Roman" w:cs="Times New Roman"/>
          <w:b/>
        </w:rPr>
      </w:pPr>
      <w:r w:rsidRPr="00F478BB">
        <w:rPr>
          <w:rFonts w:ascii="Times New Roman" w:hAnsi="Times New Roman" w:cs="Times New Roman"/>
        </w:rPr>
        <w:t xml:space="preserve"> </w:t>
      </w:r>
      <w:r w:rsidR="00A501D6">
        <w:rPr>
          <w:rFonts w:ascii="Times New Roman" w:hAnsi="Times New Roman" w:cs="Times New Roman"/>
        </w:rPr>
        <w:t>(b</w:t>
      </w:r>
      <w:r w:rsidR="00F478BB" w:rsidRPr="00F478BB">
        <w:rPr>
          <w:rFonts w:ascii="Times New Roman" w:hAnsi="Times New Roman" w:cs="Times New Roman"/>
        </w:rPr>
        <w:t>)    Security Council</w:t>
      </w:r>
    </w:p>
    <w:p w14:paraId="4615895F" w14:textId="12A99878" w:rsidR="00355CEC" w:rsidRDefault="00086335" w:rsidP="00CD6578">
      <w:pPr>
        <w:spacing w:line="360" w:lineRule="auto"/>
        <w:jc w:val="both"/>
        <w:rPr>
          <w:rFonts w:ascii="Times New Roman" w:hAnsi="Times New Roman" w:cs="Times New Roman"/>
        </w:rPr>
      </w:pPr>
      <w:r>
        <w:rPr>
          <w:rFonts w:ascii="Times New Roman" w:hAnsi="Times New Roman" w:cs="Times New Roman"/>
        </w:rPr>
        <w:t>With the same possible</w:t>
      </w:r>
      <w:r w:rsidR="003A2D9F">
        <w:rPr>
          <w:rFonts w:ascii="Times New Roman" w:hAnsi="Times New Roman" w:cs="Times New Roman"/>
        </w:rPr>
        <w:t xml:space="preserve"> reach </w:t>
      </w:r>
      <w:r>
        <w:rPr>
          <w:rFonts w:ascii="Times New Roman" w:hAnsi="Times New Roman" w:cs="Times New Roman"/>
        </w:rPr>
        <w:t>as the Assembly, t</w:t>
      </w:r>
      <w:r w:rsidR="003A2D9F">
        <w:rPr>
          <w:rFonts w:ascii="Times New Roman" w:hAnsi="Times New Roman" w:cs="Times New Roman"/>
        </w:rPr>
        <w:t xml:space="preserve">he Council has </w:t>
      </w:r>
      <w:r w:rsidR="0096759A">
        <w:rPr>
          <w:rFonts w:ascii="Times New Roman" w:hAnsi="Times New Roman" w:cs="Times New Roman"/>
        </w:rPr>
        <w:t xml:space="preserve">in contrast </w:t>
      </w:r>
      <w:r w:rsidR="003A2D9F">
        <w:rPr>
          <w:rFonts w:ascii="Times New Roman" w:hAnsi="Times New Roman" w:cs="Times New Roman"/>
        </w:rPr>
        <w:t>barely touched the advisory process.  As noted above, it has so far requested only one opinion</w:t>
      </w:r>
      <w:r>
        <w:rPr>
          <w:rFonts w:ascii="Times New Roman" w:hAnsi="Times New Roman" w:cs="Times New Roman"/>
        </w:rPr>
        <w:t>.</w:t>
      </w:r>
      <w:r w:rsidR="0096759A">
        <w:rPr>
          <w:rStyle w:val="FootnoteReference"/>
          <w:rFonts w:ascii="Times New Roman" w:hAnsi="Times New Roman" w:cs="Times New Roman"/>
        </w:rPr>
        <w:footnoteReference w:id="79"/>
      </w:r>
      <w:r>
        <w:rPr>
          <w:rFonts w:ascii="Times New Roman" w:hAnsi="Times New Roman" w:cs="Times New Roman"/>
        </w:rPr>
        <w:t xml:space="preserve">  </w:t>
      </w:r>
      <w:r w:rsidR="00851727">
        <w:rPr>
          <w:rFonts w:ascii="Times New Roman" w:hAnsi="Times New Roman" w:cs="Times New Roman"/>
        </w:rPr>
        <w:t xml:space="preserve">A recent </w:t>
      </w:r>
      <w:r w:rsidR="005D6150">
        <w:rPr>
          <w:rFonts w:ascii="Times New Roman" w:hAnsi="Times New Roman" w:cs="Times New Roman"/>
        </w:rPr>
        <w:t xml:space="preserve">report, </w:t>
      </w:r>
      <w:r w:rsidR="005D6150" w:rsidRPr="005D6150">
        <w:rPr>
          <w:rFonts w:ascii="Times New Roman" w:hAnsi="Times New Roman" w:cs="Times New Roman"/>
          <w:i/>
        </w:rPr>
        <w:t xml:space="preserve">The Rule of Law:  </w:t>
      </w:r>
      <w:r w:rsidR="005D6150" w:rsidRPr="005D6150">
        <w:rPr>
          <w:rFonts w:ascii="Times New Roman" w:hAnsi="Times New Roman" w:cs="Times New Roman"/>
          <w:i/>
        </w:rPr>
        <w:lastRenderedPageBreak/>
        <w:t xml:space="preserve">Can the Security Council make better use of the International Court </w:t>
      </w:r>
      <w:r w:rsidR="00AE234A" w:rsidRPr="005D6150">
        <w:rPr>
          <w:rFonts w:ascii="Times New Roman" w:hAnsi="Times New Roman" w:cs="Times New Roman"/>
          <w:i/>
        </w:rPr>
        <w:t>of</w:t>
      </w:r>
      <w:r w:rsidR="005D6150" w:rsidRPr="005D6150">
        <w:rPr>
          <w:rFonts w:ascii="Times New Roman" w:hAnsi="Times New Roman" w:cs="Times New Roman"/>
          <w:i/>
        </w:rPr>
        <w:t xml:space="preserve"> Justice?</w:t>
      </w:r>
      <w:r w:rsidR="005D6150">
        <w:rPr>
          <w:rFonts w:ascii="Times New Roman" w:hAnsi="Times New Roman" w:cs="Times New Roman"/>
        </w:rPr>
        <w:t xml:space="preserve"> concluded that the connection between the Council and the Court falls far short of the symbiotic relationship envisaged by the Charter.</w:t>
      </w:r>
      <w:r w:rsidR="00DA5D4D" w:rsidRPr="00DA5D4D">
        <w:rPr>
          <w:rStyle w:val="FootnoteReference"/>
          <w:rFonts w:ascii="Times New Roman" w:hAnsi="Times New Roman" w:cs="Times New Roman"/>
        </w:rPr>
        <w:t xml:space="preserve"> </w:t>
      </w:r>
      <w:r w:rsidR="00DA5D4D">
        <w:rPr>
          <w:rStyle w:val="FootnoteReference"/>
          <w:rFonts w:ascii="Times New Roman" w:hAnsi="Times New Roman" w:cs="Times New Roman"/>
        </w:rPr>
        <w:footnoteReference w:id="80"/>
      </w:r>
      <w:r w:rsidR="00DA5D4D">
        <w:rPr>
          <w:rFonts w:ascii="Times New Roman" w:hAnsi="Times New Roman" w:cs="Times New Roman"/>
        </w:rPr>
        <w:t xml:space="preserve">  </w:t>
      </w:r>
      <w:r w:rsidR="005D6150">
        <w:rPr>
          <w:rFonts w:ascii="Times New Roman" w:hAnsi="Times New Roman" w:cs="Times New Roman"/>
        </w:rPr>
        <w:t>It recommends that the Council should, when appropriate, request advisory opini</w:t>
      </w:r>
      <w:r w:rsidR="00AD331F">
        <w:rPr>
          <w:rFonts w:ascii="Times New Roman" w:hAnsi="Times New Roman" w:cs="Times New Roman"/>
        </w:rPr>
        <w:t xml:space="preserve">ons to assist it in resolving </w:t>
      </w:r>
      <w:r w:rsidR="005D6150">
        <w:rPr>
          <w:rFonts w:ascii="Times New Roman" w:hAnsi="Times New Roman" w:cs="Times New Roman"/>
        </w:rPr>
        <w:t>dispute</w:t>
      </w:r>
      <w:r w:rsidR="00AD331F">
        <w:rPr>
          <w:rFonts w:ascii="Times New Roman" w:hAnsi="Times New Roman" w:cs="Times New Roman"/>
        </w:rPr>
        <w:t xml:space="preserve">s, or </w:t>
      </w:r>
      <w:r w:rsidR="005D6150">
        <w:rPr>
          <w:rFonts w:ascii="Times New Roman" w:hAnsi="Times New Roman" w:cs="Times New Roman"/>
        </w:rPr>
        <w:t>element</w:t>
      </w:r>
      <w:r w:rsidR="00AD331F">
        <w:rPr>
          <w:rFonts w:ascii="Times New Roman" w:hAnsi="Times New Roman" w:cs="Times New Roman"/>
        </w:rPr>
        <w:t xml:space="preserve">s of </w:t>
      </w:r>
      <w:r w:rsidR="005D6150">
        <w:rPr>
          <w:rFonts w:ascii="Times New Roman" w:hAnsi="Times New Roman" w:cs="Times New Roman"/>
        </w:rPr>
        <w:t>dispute</w:t>
      </w:r>
      <w:r w:rsidR="00AD331F">
        <w:rPr>
          <w:rFonts w:ascii="Times New Roman" w:hAnsi="Times New Roman" w:cs="Times New Roman"/>
        </w:rPr>
        <w:t>s</w:t>
      </w:r>
      <w:r w:rsidR="005D6150">
        <w:rPr>
          <w:rFonts w:ascii="Times New Roman" w:hAnsi="Times New Roman" w:cs="Times New Roman"/>
        </w:rPr>
        <w:t>, that threaten internat</w:t>
      </w:r>
      <w:r w:rsidR="00304520">
        <w:rPr>
          <w:rFonts w:ascii="Times New Roman" w:hAnsi="Times New Roman" w:cs="Times New Roman"/>
        </w:rPr>
        <w:t>ional peace and security or in</w:t>
      </w:r>
      <w:r w:rsidR="00AD331F">
        <w:rPr>
          <w:rFonts w:ascii="Times New Roman" w:hAnsi="Times New Roman" w:cs="Times New Roman"/>
        </w:rPr>
        <w:t xml:space="preserve"> clarifying “</w:t>
      </w:r>
      <w:r w:rsidR="005D6150">
        <w:rPr>
          <w:rFonts w:ascii="Times New Roman" w:hAnsi="Times New Roman" w:cs="Times New Roman"/>
        </w:rPr>
        <w:t>the legal standing of certain Council actions”.</w:t>
      </w:r>
      <w:r w:rsidR="00DA5D4D">
        <w:rPr>
          <w:rStyle w:val="FootnoteReference"/>
          <w:rFonts w:ascii="Times New Roman" w:hAnsi="Times New Roman" w:cs="Times New Roman"/>
        </w:rPr>
        <w:footnoteReference w:id="81"/>
      </w:r>
      <w:r w:rsidR="005D6150">
        <w:rPr>
          <w:rFonts w:ascii="Times New Roman" w:hAnsi="Times New Roman" w:cs="Times New Roman"/>
        </w:rPr>
        <w:t xml:space="preserve"> </w:t>
      </w:r>
    </w:p>
    <w:p w14:paraId="4343D641" w14:textId="43528E7B" w:rsidR="0038745C" w:rsidRPr="003A2D9F" w:rsidRDefault="0017765F" w:rsidP="00CD6578">
      <w:pPr>
        <w:spacing w:line="360" w:lineRule="auto"/>
        <w:jc w:val="both"/>
        <w:rPr>
          <w:rFonts w:ascii="Times New Roman" w:hAnsi="Times New Roman" w:cs="Times New Roman"/>
        </w:rPr>
      </w:pPr>
      <w:r>
        <w:rPr>
          <w:rFonts w:ascii="Times New Roman" w:hAnsi="Times New Roman" w:cs="Times New Roman"/>
        </w:rPr>
        <w:t>However, s</w:t>
      </w:r>
      <w:r w:rsidR="00134BD7">
        <w:rPr>
          <w:rFonts w:ascii="Times New Roman" w:hAnsi="Times New Roman" w:cs="Times New Roman"/>
        </w:rPr>
        <w:t>ensiti</w:t>
      </w:r>
      <w:r w:rsidR="00182274">
        <w:rPr>
          <w:rFonts w:ascii="Times New Roman" w:hAnsi="Times New Roman" w:cs="Times New Roman"/>
        </w:rPr>
        <w:t xml:space="preserve">vities both within the Council and between </w:t>
      </w:r>
      <w:r w:rsidR="00134BD7">
        <w:rPr>
          <w:rFonts w:ascii="Times New Roman" w:hAnsi="Times New Roman" w:cs="Times New Roman"/>
        </w:rPr>
        <w:t xml:space="preserve">parties involved </w:t>
      </w:r>
      <w:r w:rsidR="00AA5D1F">
        <w:rPr>
          <w:rFonts w:ascii="Times New Roman" w:hAnsi="Times New Roman" w:cs="Times New Roman"/>
        </w:rPr>
        <w:t xml:space="preserve">in a </w:t>
      </w:r>
      <w:r w:rsidR="001E57D7">
        <w:rPr>
          <w:rFonts w:ascii="Times New Roman" w:hAnsi="Times New Roman" w:cs="Times New Roman"/>
        </w:rPr>
        <w:t>dispute may well</w:t>
      </w:r>
      <w:r w:rsidR="00134BD7">
        <w:rPr>
          <w:rFonts w:ascii="Times New Roman" w:hAnsi="Times New Roman" w:cs="Times New Roman"/>
        </w:rPr>
        <w:t xml:space="preserve"> </w:t>
      </w:r>
      <w:r w:rsidR="0096759A">
        <w:rPr>
          <w:rFonts w:ascii="Times New Roman" w:hAnsi="Times New Roman" w:cs="Times New Roman"/>
        </w:rPr>
        <w:t xml:space="preserve">continue to </w:t>
      </w:r>
      <w:r w:rsidR="00134BD7">
        <w:rPr>
          <w:rFonts w:ascii="Times New Roman" w:hAnsi="Times New Roman" w:cs="Times New Roman"/>
        </w:rPr>
        <w:t>stand in th</w:t>
      </w:r>
      <w:r w:rsidR="00182274">
        <w:rPr>
          <w:rFonts w:ascii="Times New Roman" w:hAnsi="Times New Roman" w:cs="Times New Roman"/>
        </w:rPr>
        <w:t>e way</w:t>
      </w:r>
      <w:r w:rsidR="00134BD7">
        <w:rPr>
          <w:rFonts w:ascii="Times New Roman" w:hAnsi="Times New Roman" w:cs="Times New Roman"/>
        </w:rPr>
        <w:t xml:space="preserve">.  </w:t>
      </w:r>
      <w:r w:rsidR="00D1439C">
        <w:rPr>
          <w:rFonts w:ascii="Times New Roman" w:hAnsi="Times New Roman" w:cs="Times New Roman"/>
        </w:rPr>
        <w:t>T</w:t>
      </w:r>
      <w:r w:rsidR="00DB1B23">
        <w:rPr>
          <w:rFonts w:ascii="Times New Roman" w:hAnsi="Times New Roman" w:cs="Times New Roman"/>
        </w:rPr>
        <w:t>h</w:t>
      </w:r>
      <w:r w:rsidR="00134BD7">
        <w:rPr>
          <w:rFonts w:ascii="Times New Roman" w:hAnsi="Times New Roman" w:cs="Times New Roman"/>
        </w:rPr>
        <w:t>e report i</w:t>
      </w:r>
      <w:r w:rsidR="00D1439C">
        <w:rPr>
          <w:rFonts w:ascii="Times New Roman" w:hAnsi="Times New Roman" w:cs="Times New Roman"/>
        </w:rPr>
        <w:t>tself i</w:t>
      </w:r>
      <w:r w:rsidR="00134BD7">
        <w:rPr>
          <w:rFonts w:ascii="Times New Roman" w:hAnsi="Times New Roman" w:cs="Times New Roman"/>
        </w:rPr>
        <w:t>dentified</w:t>
      </w:r>
      <w:r>
        <w:rPr>
          <w:rFonts w:ascii="Times New Roman" w:hAnsi="Times New Roman" w:cs="Times New Roman"/>
        </w:rPr>
        <w:t xml:space="preserve"> the main</w:t>
      </w:r>
      <w:r w:rsidR="00355CEC">
        <w:rPr>
          <w:rFonts w:ascii="Times New Roman" w:hAnsi="Times New Roman" w:cs="Times New Roman"/>
        </w:rPr>
        <w:t xml:space="preserve"> issue which has inhibited Council</w:t>
      </w:r>
      <w:r w:rsidR="00182274">
        <w:rPr>
          <w:rFonts w:ascii="Times New Roman" w:hAnsi="Times New Roman" w:cs="Times New Roman"/>
        </w:rPr>
        <w:t xml:space="preserve"> use of the Court over the year</w:t>
      </w:r>
      <w:r w:rsidR="00134BD7">
        <w:rPr>
          <w:rFonts w:ascii="Times New Roman" w:hAnsi="Times New Roman" w:cs="Times New Roman"/>
        </w:rPr>
        <w:t>s</w:t>
      </w:r>
      <w:r w:rsidR="00AA5D1F">
        <w:rPr>
          <w:rFonts w:ascii="Times New Roman" w:hAnsi="Times New Roman" w:cs="Times New Roman"/>
        </w:rPr>
        <w:t>,</w:t>
      </w:r>
      <w:r w:rsidR="008873AE">
        <w:rPr>
          <w:rFonts w:ascii="Times New Roman" w:hAnsi="Times New Roman" w:cs="Times New Roman"/>
        </w:rPr>
        <w:t xml:space="preserve"> </w:t>
      </w:r>
      <w:r w:rsidR="00355CEC">
        <w:rPr>
          <w:rFonts w:ascii="Times New Roman" w:hAnsi="Times New Roman" w:cs="Times New Roman"/>
        </w:rPr>
        <w:t>the reluctance of the Council “to resort to other UN organs and external actors that are independent of it – actors that it does not control and whose actions it cannot necessarily predict</w:t>
      </w:r>
      <w:r w:rsidR="00355CEC" w:rsidRPr="00204443">
        <w:rPr>
          <w:rFonts w:ascii="Times New Roman" w:hAnsi="Times New Roman" w:cs="Times New Roman"/>
          <w:b/>
        </w:rPr>
        <w:t>.</w:t>
      </w:r>
      <w:r w:rsidR="007D70E3" w:rsidRPr="00204443">
        <w:rPr>
          <w:rFonts w:ascii="Times New Roman" w:hAnsi="Times New Roman" w:cs="Times New Roman"/>
          <w:b/>
        </w:rPr>
        <w:t>”</w:t>
      </w:r>
      <w:r w:rsidR="007D70E3" w:rsidRPr="00204443">
        <w:rPr>
          <w:rStyle w:val="FootnoteReference"/>
          <w:rFonts w:ascii="Times New Roman" w:hAnsi="Times New Roman" w:cs="Times New Roman"/>
          <w:b/>
        </w:rPr>
        <w:footnoteReference w:id="82"/>
      </w:r>
      <w:r w:rsidR="007D70E3" w:rsidRPr="00204443">
        <w:rPr>
          <w:rFonts w:ascii="Times New Roman" w:hAnsi="Times New Roman" w:cs="Times New Roman"/>
          <w:b/>
        </w:rPr>
        <w:t xml:space="preserve">  </w:t>
      </w:r>
      <w:r w:rsidR="007D70E3" w:rsidRPr="003A2D9F">
        <w:rPr>
          <w:rFonts w:ascii="Times New Roman" w:hAnsi="Times New Roman" w:cs="Times New Roman"/>
        </w:rPr>
        <w:t xml:space="preserve">It seems almost certain that there will be </w:t>
      </w:r>
      <w:r w:rsidR="00182274" w:rsidRPr="003A2D9F">
        <w:rPr>
          <w:rFonts w:ascii="Times New Roman" w:hAnsi="Times New Roman" w:cs="Times New Roman"/>
        </w:rPr>
        <w:t xml:space="preserve">no </w:t>
      </w:r>
      <w:r w:rsidR="007D70E3" w:rsidRPr="003A2D9F">
        <w:rPr>
          <w:rFonts w:ascii="Times New Roman" w:hAnsi="Times New Roman" w:cs="Times New Roman"/>
        </w:rPr>
        <w:t>chan</w:t>
      </w:r>
      <w:r w:rsidR="00304520" w:rsidRPr="003A2D9F">
        <w:rPr>
          <w:rFonts w:ascii="Times New Roman" w:hAnsi="Times New Roman" w:cs="Times New Roman"/>
        </w:rPr>
        <w:t xml:space="preserve">ge to the status quo and </w:t>
      </w:r>
      <w:r w:rsidR="00AA5D1F" w:rsidRPr="00A501D6">
        <w:rPr>
          <w:rFonts w:ascii="Times New Roman" w:hAnsi="Times New Roman" w:cs="Times New Roman"/>
        </w:rPr>
        <w:t xml:space="preserve">consequently it is </w:t>
      </w:r>
      <w:r w:rsidR="003A2D9F">
        <w:rPr>
          <w:rFonts w:ascii="Times New Roman" w:hAnsi="Times New Roman" w:cs="Times New Roman"/>
        </w:rPr>
        <w:t xml:space="preserve">very </w:t>
      </w:r>
      <w:r w:rsidR="00AA5D1F" w:rsidRPr="003A2D9F">
        <w:rPr>
          <w:rFonts w:ascii="Times New Roman" w:hAnsi="Times New Roman" w:cs="Times New Roman"/>
        </w:rPr>
        <w:t>unlikely that the Council will</w:t>
      </w:r>
      <w:r w:rsidR="001A4A0E" w:rsidRPr="003A2D9F">
        <w:rPr>
          <w:rFonts w:ascii="Times New Roman" w:hAnsi="Times New Roman" w:cs="Times New Roman"/>
        </w:rPr>
        <w:t xml:space="preserve"> request </w:t>
      </w:r>
      <w:r w:rsidR="003A2D9F">
        <w:rPr>
          <w:rFonts w:ascii="Times New Roman" w:hAnsi="Times New Roman" w:cs="Times New Roman"/>
        </w:rPr>
        <w:t xml:space="preserve">any </w:t>
      </w:r>
      <w:r w:rsidR="00182274" w:rsidRPr="003A2D9F">
        <w:rPr>
          <w:rFonts w:ascii="Times New Roman" w:hAnsi="Times New Roman" w:cs="Times New Roman"/>
        </w:rPr>
        <w:t>advisory opinions i</w:t>
      </w:r>
      <w:r w:rsidR="00134BD7" w:rsidRPr="003A2D9F">
        <w:rPr>
          <w:rFonts w:ascii="Times New Roman" w:hAnsi="Times New Roman" w:cs="Times New Roman"/>
        </w:rPr>
        <w:t>n the foreseeable future.</w:t>
      </w:r>
    </w:p>
    <w:p w14:paraId="3AF4BB07" w14:textId="2D84BDDE" w:rsidR="003A2D9F" w:rsidRDefault="00A501D6" w:rsidP="003A2D9F">
      <w:pPr>
        <w:spacing w:line="360" w:lineRule="auto"/>
        <w:jc w:val="both"/>
        <w:rPr>
          <w:rFonts w:ascii="Times New Roman" w:hAnsi="Times New Roman" w:cs="Times New Roman"/>
          <w:i/>
        </w:rPr>
      </w:pPr>
      <w:r>
        <w:rPr>
          <w:rFonts w:ascii="Times New Roman" w:hAnsi="Times New Roman" w:cs="Times New Roman"/>
          <w:i/>
        </w:rPr>
        <w:t xml:space="preserve">Should new users be authorised? </w:t>
      </w:r>
    </w:p>
    <w:p w14:paraId="29F9BD90" w14:textId="6A62A017" w:rsidR="00A501D6" w:rsidRPr="00A501D6" w:rsidRDefault="00F30225" w:rsidP="003A2D9F">
      <w:pPr>
        <w:spacing w:line="360" w:lineRule="auto"/>
        <w:jc w:val="both"/>
        <w:rPr>
          <w:rFonts w:ascii="Times New Roman" w:hAnsi="Times New Roman" w:cs="Times New Roman"/>
        </w:rPr>
      </w:pPr>
      <w:r>
        <w:rPr>
          <w:rFonts w:ascii="Times New Roman" w:hAnsi="Times New Roman" w:cs="Times New Roman"/>
        </w:rPr>
        <w:t>Article 96(2) of the Charter allows for new users by providing that these may at any time be authorised by the Assembly.</w:t>
      </w:r>
      <w:r>
        <w:rPr>
          <w:rStyle w:val="FootnoteReference"/>
          <w:rFonts w:ascii="Times New Roman" w:hAnsi="Times New Roman" w:cs="Times New Roman"/>
        </w:rPr>
        <w:footnoteReference w:id="83"/>
      </w:r>
    </w:p>
    <w:p w14:paraId="5BEB8988" w14:textId="307F9812" w:rsidR="007C0801" w:rsidRPr="00C01E87" w:rsidRDefault="00A501D6" w:rsidP="00BF2210">
      <w:pPr>
        <w:spacing w:line="360" w:lineRule="auto"/>
        <w:jc w:val="both"/>
        <w:rPr>
          <w:rFonts w:ascii="Times New Roman" w:hAnsi="Times New Roman" w:cs="Times New Roman"/>
          <w:b/>
        </w:rPr>
      </w:pPr>
      <w:r w:rsidRPr="00F478BB">
        <w:rPr>
          <w:rFonts w:ascii="Times New Roman" w:hAnsi="Times New Roman" w:cs="Times New Roman"/>
        </w:rPr>
        <w:t xml:space="preserve">(a)    </w:t>
      </w:r>
      <w:r>
        <w:rPr>
          <w:rFonts w:ascii="Times New Roman" w:hAnsi="Times New Roman" w:cs="Times New Roman"/>
        </w:rPr>
        <w:t xml:space="preserve">UN Secretary-General access </w:t>
      </w:r>
    </w:p>
    <w:p w14:paraId="76080304" w14:textId="1EBBCD2F" w:rsidR="007C0801" w:rsidRDefault="007C3346" w:rsidP="00CD6578">
      <w:pPr>
        <w:spacing w:line="360" w:lineRule="auto"/>
        <w:jc w:val="both"/>
        <w:rPr>
          <w:rFonts w:ascii="Times New Roman" w:hAnsi="Times New Roman" w:cs="Times New Roman"/>
        </w:rPr>
      </w:pPr>
      <w:r>
        <w:rPr>
          <w:rFonts w:ascii="Times New Roman" w:hAnsi="Times New Roman" w:cs="Times New Roman"/>
        </w:rPr>
        <w:t>As Rosalyn Higgins notes, proposal</w:t>
      </w:r>
      <w:r w:rsidR="00A75767">
        <w:rPr>
          <w:rFonts w:ascii="Times New Roman" w:hAnsi="Times New Roman" w:cs="Times New Roman"/>
        </w:rPr>
        <w:t>s</w:t>
      </w:r>
      <w:r>
        <w:rPr>
          <w:rFonts w:ascii="Times New Roman" w:hAnsi="Times New Roman" w:cs="Times New Roman"/>
        </w:rPr>
        <w:t xml:space="preserve"> for the Secretary-General </w:t>
      </w:r>
      <w:r w:rsidR="00304520">
        <w:rPr>
          <w:rFonts w:ascii="Times New Roman" w:hAnsi="Times New Roman" w:cs="Times New Roman"/>
        </w:rPr>
        <w:t xml:space="preserve">to be authorised by the </w:t>
      </w:r>
      <w:r>
        <w:rPr>
          <w:rFonts w:ascii="Times New Roman" w:hAnsi="Times New Roman" w:cs="Times New Roman"/>
        </w:rPr>
        <w:t xml:space="preserve">Assembly to request advisory opinions </w:t>
      </w:r>
      <w:r w:rsidR="00A75767">
        <w:rPr>
          <w:rFonts w:ascii="Times New Roman" w:hAnsi="Times New Roman" w:cs="Times New Roman"/>
        </w:rPr>
        <w:t xml:space="preserve">have </w:t>
      </w:r>
      <w:r>
        <w:rPr>
          <w:rFonts w:ascii="Times New Roman" w:hAnsi="Times New Roman" w:cs="Times New Roman"/>
        </w:rPr>
        <w:t>been mooted from the very ear</w:t>
      </w:r>
      <w:r w:rsidR="00137D8A">
        <w:rPr>
          <w:rFonts w:ascii="Times New Roman" w:hAnsi="Times New Roman" w:cs="Times New Roman"/>
        </w:rPr>
        <w:t>ly days of the UN</w:t>
      </w:r>
      <w:r w:rsidR="00A75767">
        <w:rPr>
          <w:rFonts w:ascii="Times New Roman" w:hAnsi="Times New Roman" w:cs="Times New Roman"/>
        </w:rPr>
        <w:t>.</w:t>
      </w:r>
      <w:r w:rsidR="0096759A">
        <w:rPr>
          <w:rStyle w:val="FootnoteReference"/>
          <w:rFonts w:ascii="Times New Roman" w:hAnsi="Times New Roman" w:cs="Times New Roman"/>
        </w:rPr>
        <w:footnoteReference w:id="84"/>
      </w:r>
      <w:r w:rsidR="00A75767">
        <w:rPr>
          <w:rFonts w:ascii="Times New Roman" w:hAnsi="Times New Roman" w:cs="Times New Roman"/>
        </w:rPr>
        <w:t xml:space="preserve">  In 1950 the suggestion </w:t>
      </w:r>
      <w:r>
        <w:rPr>
          <w:rFonts w:ascii="Times New Roman" w:hAnsi="Times New Roman" w:cs="Times New Roman"/>
        </w:rPr>
        <w:t xml:space="preserve">was </w:t>
      </w:r>
      <w:r w:rsidR="00A75767">
        <w:rPr>
          <w:rFonts w:ascii="Times New Roman" w:hAnsi="Times New Roman" w:cs="Times New Roman"/>
        </w:rPr>
        <w:t xml:space="preserve">made </w:t>
      </w:r>
      <w:r w:rsidR="0017765F">
        <w:rPr>
          <w:rFonts w:ascii="Times New Roman" w:hAnsi="Times New Roman" w:cs="Times New Roman"/>
        </w:rPr>
        <w:t>to enable</w:t>
      </w:r>
      <w:r w:rsidR="00A75767">
        <w:rPr>
          <w:rFonts w:ascii="Times New Roman" w:hAnsi="Times New Roman" w:cs="Times New Roman"/>
        </w:rPr>
        <w:t xml:space="preserve"> the Secretary</w:t>
      </w:r>
      <w:r w:rsidR="00D16006">
        <w:rPr>
          <w:rFonts w:ascii="Times New Roman" w:hAnsi="Times New Roman" w:cs="Times New Roman"/>
        </w:rPr>
        <w:t>-General to act as a conduit</w:t>
      </w:r>
      <w:r>
        <w:rPr>
          <w:rFonts w:ascii="Times New Roman" w:hAnsi="Times New Roman" w:cs="Times New Roman"/>
        </w:rPr>
        <w:t xml:space="preserve"> for the Human Rights Committee (a </w:t>
      </w:r>
      <w:r w:rsidR="00137D8A">
        <w:rPr>
          <w:rFonts w:ascii="Times New Roman" w:hAnsi="Times New Roman" w:cs="Times New Roman"/>
        </w:rPr>
        <w:t>treaty body, n</w:t>
      </w:r>
      <w:r w:rsidR="00A75767">
        <w:rPr>
          <w:rFonts w:ascii="Times New Roman" w:hAnsi="Times New Roman" w:cs="Times New Roman"/>
        </w:rPr>
        <w:t>ot qualifying as either a</w:t>
      </w:r>
      <w:r w:rsidR="00E7365D">
        <w:rPr>
          <w:rFonts w:ascii="Times New Roman" w:hAnsi="Times New Roman" w:cs="Times New Roman"/>
        </w:rPr>
        <w:t>n organ of the UN or a specialis</w:t>
      </w:r>
      <w:r w:rsidR="00A75767">
        <w:rPr>
          <w:rFonts w:ascii="Times New Roman" w:hAnsi="Times New Roman" w:cs="Times New Roman"/>
        </w:rPr>
        <w:t>ed agency</w:t>
      </w:r>
      <w:r w:rsidR="00E7365D">
        <w:rPr>
          <w:rFonts w:ascii="Times New Roman" w:hAnsi="Times New Roman" w:cs="Times New Roman"/>
        </w:rPr>
        <w:t>).</w:t>
      </w:r>
      <w:r w:rsidR="00A75767">
        <w:rPr>
          <w:rStyle w:val="FootnoteReference"/>
          <w:rFonts w:ascii="Times New Roman" w:hAnsi="Times New Roman" w:cs="Times New Roman"/>
        </w:rPr>
        <w:footnoteReference w:id="85"/>
      </w:r>
      <w:r w:rsidR="00A75767">
        <w:rPr>
          <w:rFonts w:ascii="Times New Roman" w:hAnsi="Times New Roman" w:cs="Times New Roman"/>
        </w:rPr>
        <w:t xml:space="preserve">  A later proposal in the 1990s </w:t>
      </w:r>
      <w:r w:rsidR="0038745C">
        <w:rPr>
          <w:rFonts w:ascii="Times New Roman" w:hAnsi="Times New Roman" w:cs="Times New Roman"/>
        </w:rPr>
        <w:t>envisaged a role for the Secretary-General in settlement of disputes.</w:t>
      </w:r>
      <w:r w:rsidR="0038745C">
        <w:rPr>
          <w:rStyle w:val="FootnoteReference"/>
          <w:rFonts w:ascii="Times New Roman" w:hAnsi="Times New Roman" w:cs="Times New Roman"/>
        </w:rPr>
        <w:footnoteReference w:id="86"/>
      </w:r>
      <w:r w:rsidR="00544CA5">
        <w:rPr>
          <w:rFonts w:ascii="Times New Roman" w:hAnsi="Times New Roman" w:cs="Times New Roman"/>
        </w:rPr>
        <w:t xml:space="preserve">  </w:t>
      </w:r>
    </w:p>
    <w:p w14:paraId="2C689DC6" w14:textId="6B922DB8" w:rsidR="009A59C8" w:rsidRDefault="009A59C8" w:rsidP="00CD6578">
      <w:pPr>
        <w:spacing w:line="360" w:lineRule="auto"/>
        <w:jc w:val="both"/>
        <w:rPr>
          <w:rFonts w:ascii="Times New Roman" w:hAnsi="Times New Roman" w:cs="Times New Roman"/>
        </w:rPr>
      </w:pPr>
      <w:r>
        <w:rPr>
          <w:rFonts w:ascii="Times New Roman" w:hAnsi="Times New Roman" w:cs="Times New Roman"/>
        </w:rPr>
        <w:t>None of these proposa</w:t>
      </w:r>
      <w:r w:rsidR="00C44E2F">
        <w:rPr>
          <w:rFonts w:ascii="Times New Roman" w:hAnsi="Times New Roman" w:cs="Times New Roman"/>
        </w:rPr>
        <w:t>ls have progressed</w:t>
      </w:r>
      <w:r w:rsidR="00E04C89">
        <w:rPr>
          <w:rFonts w:ascii="Times New Roman" w:hAnsi="Times New Roman" w:cs="Times New Roman"/>
        </w:rPr>
        <w:t xml:space="preserve">.  </w:t>
      </w:r>
      <w:r>
        <w:rPr>
          <w:rFonts w:ascii="Times New Roman" w:hAnsi="Times New Roman" w:cs="Times New Roman"/>
        </w:rPr>
        <w:t>Thomas Franck o</w:t>
      </w:r>
      <w:r w:rsidR="00C01E87">
        <w:rPr>
          <w:rFonts w:ascii="Times New Roman" w:hAnsi="Times New Roman" w:cs="Times New Roman"/>
        </w:rPr>
        <w:t>bserved that in light of the US</w:t>
      </w:r>
      <w:r>
        <w:rPr>
          <w:rFonts w:ascii="Times New Roman" w:hAnsi="Times New Roman" w:cs="Times New Roman"/>
        </w:rPr>
        <w:t xml:space="preserve"> having made it clear that it did not want the International Criminal Court “second-guessing its decisions about choice of weapons and targets in armed conflict” it was “highly doubtful that the US – or the Russian </w:t>
      </w:r>
      <w:r>
        <w:rPr>
          <w:rFonts w:ascii="Times New Roman" w:hAnsi="Times New Roman" w:cs="Times New Roman"/>
        </w:rPr>
        <w:lastRenderedPageBreak/>
        <w:t>Federa</w:t>
      </w:r>
      <w:r w:rsidR="002E23A3">
        <w:rPr>
          <w:rFonts w:ascii="Times New Roman" w:hAnsi="Times New Roman" w:cs="Times New Roman"/>
        </w:rPr>
        <w:t>tion or China – “would welcome t</w:t>
      </w:r>
      <w:r>
        <w:rPr>
          <w:rFonts w:ascii="Times New Roman" w:hAnsi="Times New Roman" w:cs="Times New Roman"/>
        </w:rPr>
        <w:t>he Secretary-General</w:t>
      </w:r>
      <w:r w:rsidR="00222F8F">
        <w:rPr>
          <w:rFonts w:ascii="Times New Roman" w:hAnsi="Times New Roman" w:cs="Times New Roman"/>
        </w:rPr>
        <w:t>’s</w:t>
      </w:r>
      <w:r>
        <w:rPr>
          <w:rFonts w:ascii="Times New Roman" w:hAnsi="Times New Roman" w:cs="Times New Roman"/>
        </w:rPr>
        <w:t xml:space="preserve"> raising similar questions of the ICJ.”</w:t>
      </w:r>
      <w:r>
        <w:rPr>
          <w:rStyle w:val="FootnoteReference"/>
          <w:rFonts w:ascii="Times New Roman" w:hAnsi="Times New Roman" w:cs="Times New Roman"/>
        </w:rPr>
        <w:footnoteReference w:id="87"/>
      </w:r>
      <w:r w:rsidR="00E04C89">
        <w:rPr>
          <w:rFonts w:ascii="Times New Roman" w:hAnsi="Times New Roman" w:cs="Times New Roman"/>
        </w:rPr>
        <w:t xml:space="preserve">  </w:t>
      </w:r>
      <w:r w:rsidR="00B774F9">
        <w:rPr>
          <w:rFonts w:ascii="Times New Roman" w:hAnsi="Times New Roman" w:cs="Times New Roman"/>
        </w:rPr>
        <w:t xml:space="preserve">Derek </w:t>
      </w:r>
      <w:r w:rsidR="00E04C89">
        <w:rPr>
          <w:rFonts w:ascii="Times New Roman" w:hAnsi="Times New Roman" w:cs="Times New Roman"/>
        </w:rPr>
        <w:t>Bowett also noted</w:t>
      </w:r>
      <w:r w:rsidR="006654BA">
        <w:rPr>
          <w:rFonts w:ascii="Times New Roman" w:hAnsi="Times New Roman" w:cs="Times New Roman"/>
        </w:rPr>
        <w:t xml:space="preserve"> that the argument for the Secretary-General to</w:t>
      </w:r>
      <w:r w:rsidR="00460507">
        <w:rPr>
          <w:rFonts w:ascii="Times New Roman" w:hAnsi="Times New Roman" w:cs="Times New Roman"/>
        </w:rPr>
        <w:t xml:space="preserve"> </w:t>
      </w:r>
      <w:r w:rsidR="006654BA">
        <w:rPr>
          <w:rFonts w:ascii="Times New Roman" w:hAnsi="Times New Roman" w:cs="Times New Roman"/>
        </w:rPr>
        <w:t xml:space="preserve">have the power to request an opinion presupposes that neither the Council nor the Assembly would wish to and that </w:t>
      </w:r>
      <w:r w:rsidR="00DB1B23">
        <w:rPr>
          <w:rFonts w:ascii="Times New Roman" w:hAnsi="Times New Roman" w:cs="Times New Roman"/>
        </w:rPr>
        <w:t xml:space="preserve">this </w:t>
      </w:r>
      <w:r w:rsidR="006654BA">
        <w:rPr>
          <w:rFonts w:ascii="Times New Roman" w:hAnsi="Times New Roman" w:cs="Times New Roman"/>
        </w:rPr>
        <w:t xml:space="preserve">would indicate a lack of political </w:t>
      </w:r>
      <w:r w:rsidR="00460507">
        <w:rPr>
          <w:rFonts w:ascii="Times New Roman" w:hAnsi="Times New Roman" w:cs="Times New Roman"/>
        </w:rPr>
        <w:t>support for the Secretary-General</w:t>
      </w:r>
      <w:r w:rsidR="0096759A">
        <w:rPr>
          <w:rFonts w:ascii="Times New Roman" w:hAnsi="Times New Roman" w:cs="Times New Roman"/>
        </w:rPr>
        <w:t>:</w:t>
      </w:r>
    </w:p>
    <w:p w14:paraId="44798F5E" w14:textId="68EEC6AE" w:rsidR="00460507" w:rsidRDefault="00A15874" w:rsidP="00CD6578">
      <w:pPr>
        <w:spacing w:line="360" w:lineRule="auto"/>
        <w:ind w:left="705"/>
        <w:jc w:val="both"/>
        <w:rPr>
          <w:rFonts w:ascii="Times New Roman" w:hAnsi="Times New Roman" w:cs="Times New Roman"/>
        </w:rPr>
      </w:pPr>
      <w:r>
        <w:rPr>
          <w:rFonts w:ascii="Times New Roman" w:hAnsi="Times New Roman" w:cs="Times New Roman"/>
        </w:rPr>
        <w:t>“</w:t>
      </w:r>
      <w:r w:rsidR="00460507">
        <w:rPr>
          <w:rFonts w:ascii="Times New Roman" w:hAnsi="Times New Roman" w:cs="Times New Roman"/>
        </w:rPr>
        <w:t>The grant of the power would therefore seem to heighten the risk of conflict between the Secretary-General and those main organs, and this may be too high a price to pay for the advantage gained.</w:t>
      </w:r>
      <w:r>
        <w:rPr>
          <w:rFonts w:ascii="Times New Roman" w:hAnsi="Times New Roman" w:cs="Times New Roman"/>
        </w:rPr>
        <w:t>”</w:t>
      </w:r>
      <w:r w:rsidR="0096759A" w:rsidRPr="0096759A">
        <w:rPr>
          <w:rStyle w:val="FootnoteReference"/>
          <w:rFonts w:ascii="Times New Roman" w:hAnsi="Times New Roman" w:cs="Times New Roman"/>
        </w:rPr>
        <w:t xml:space="preserve"> </w:t>
      </w:r>
      <w:r w:rsidR="0096759A">
        <w:rPr>
          <w:rStyle w:val="FootnoteReference"/>
          <w:rFonts w:ascii="Times New Roman" w:hAnsi="Times New Roman" w:cs="Times New Roman"/>
        </w:rPr>
        <w:footnoteReference w:id="88"/>
      </w:r>
    </w:p>
    <w:p w14:paraId="0E85FFBA" w14:textId="20193ADE" w:rsidR="00F30225" w:rsidRDefault="00001BD4" w:rsidP="00F30225">
      <w:pPr>
        <w:spacing w:line="360" w:lineRule="auto"/>
        <w:jc w:val="both"/>
        <w:rPr>
          <w:rFonts w:ascii="Times New Roman" w:hAnsi="Times New Roman" w:cs="Times New Roman"/>
        </w:rPr>
      </w:pPr>
      <w:r>
        <w:rPr>
          <w:rFonts w:ascii="Times New Roman" w:hAnsi="Times New Roman" w:cs="Times New Roman"/>
        </w:rPr>
        <w:t xml:space="preserve">Both Franck and Bowett’s points remain pertinent and there is no compelling </w:t>
      </w:r>
      <w:r w:rsidR="0081735B">
        <w:rPr>
          <w:rFonts w:ascii="Times New Roman" w:hAnsi="Times New Roman" w:cs="Times New Roman"/>
        </w:rPr>
        <w:t xml:space="preserve">counter argument supporting </w:t>
      </w:r>
      <w:r>
        <w:rPr>
          <w:rFonts w:ascii="Times New Roman" w:hAnsi="Times New Roman" w:cs="Times New Roman"/>
        </w:rPr>
        <w:t>why Secretary-General access is needed when the Assembly option is there.</w:t>
      </w:r>
    </w:p>
    <w:p w14:paraId="435A04CB" w14:textId="5A7B09A6" w:rsidR="00001BD4" w:rsidRPr="00C01E87" w:rsidRDefault="00001BD4" w:rsidP="00001BD4">
      <w:pPr>
        <w:spacing w:line="360" w:lineRule="auto"/>
        <w:jc w:val="both"/>
        <w:rPr>
          <w:rFonts w:ascii="Times New Roman" w:hAnsi="Times New Roman" w:cs="Times New Roman"/>
          <w:b/>
        </w:rPr>
      </w:pPr>
      <w:r>
        <w:rPr>
          <w:rFonts w:ascii="Times New Roman" w:hAnsi="Times New Roman" w:cs="Times New Roman"/>
        </w:rPr>
        <w:t>(b</w:t>
      </w:r>
      <w:r w:rsidRPr="00F478BB">
        <w:rPr>
          <w:rFonts w:ascii="Times New Roman" w:hAnsi="Times New Roman" w:cs="Times New Roman"/>
        </w:rPr>
        <w:t xml:space="preserve">)    </w:t>
      </w:r>
      <w:r>
        <w:rPr>
          <w:rFonts w:ascii="Times New Roman" w:hAnsi="Times New Roman" w:cs="Times New Roman"/>
        </w:rPr>
        <w:t xml:space="preserve">State access </w:t>
      </w:r>
    </w:p>
    <w:p w14:paraId="27DB65AD" w14:textId="7331FD94" w:rsidR="00A67F0B" w:rsidRPr="00001BD4" w:rsidRDefault="00A321A5" w:rsidP="00CD6578">
      <w:pPr>
        <w:spacing w:line="360" w:lineRule="auto"/>
        <w:jc w:val="both"/>
        <w:rPr>
          <w:rFonts w:ascii="Times New Roman" w:hAnsi="Times New Roman" w:cs="Times New Roman"/>
          <w:b/>
        </w:rPr>
      </w:pPr>
      <w:r w:rsidRPr="00A321A5">
        <w:rPr>
          <w:rFonts w:ascii="Times New Roman" w:hAnsi="Times New Roman" w:cs="Times New Roman"/>
        </w:rPr>
        <w:t xml:space="preserve">The Inter-American Court of Human Rights </w:t>
      </w:r>
      <w:r w:rsidR="00A67F0B">
        <w:rPr>
          <w:rFonts w:ascii="Times New Roman" w:hAnsi="Times New Roman" w:cs="Times New Roman"/>
        </w:rPr>
        <w:t xml:space="preserve">(IACtHR) </w:t>
      </w:r>
      <w:r w:rsidR="00753253">
        <w:rPr>
          <w:rFonts w:ascii="Times New Roman" w:hAnsi="Times New Roman" w:cs="Times New Roman"/>
        </w:rPr>
        <w:t>provides a</w:t>
      </w:r>
      <w:r w:rsidRPr="00A321A5">
        <w:rPr>
          <w:rFonts w:ascii="Times New Roman" w:hAnsi="Times New Roman" w:cs="Times New Roman"/>
        </w:rPr>
        <w:t xml:space="preserve"> precedent here.</w:t>
      </w:r>
      <w:r w:rsidR="00D24D49">
        <w:rPr>
          <w:rStyle w:val="FootnoteReference"/>
          <w:rFonts w:ascii="Times New Roman" w:hAnsi="Times New Roman" w:cs="Times New Roman"/>
        </w:rPr>
        <w:footnoteReference w:id="89"/>
      </w:r>
      <w:r w:rsidRPr="00A321A5">
        <w:rPr>
          <w:rFonts w:ascii="Times New Roman" w:hAnsi="Times New Roman" w:cs="Times New Roman"/>
        </w:rPr>
        <w:t xml:space="preserve">  States may consult the </w:t>
      </w:r>
      <w:r>
        <w:rPr>
          <w:rFonts w:ascii="Times New Roman" w:hAnsi="Times New Roman" w:cs="Times New Roman"/>
        </w:rPr>
        <w:t>court on matters of interpretation or for review of compatibility of their domestic legislation with the regional human rights instruments.</w:t>
      </w:r>
      <w:r>
        <w:rPr>
          <w:rStyle w:val="FootnoteReference"/>
          <w:rFonts w:ascii="Times New Roman" w:hAnsi="Times New Roman" w:cs="Times New Roman"/>
        </w:rPr>
        <w:footnoteReference w:id="90"/>
      </w:r>
      <w:r>
        <w:rPr>
          <w:rFonts w:ascii="Times New Roman" w:hAnsi="Times New Roman" w:cs="Times New Roman"/>
        </w:rPr>
        <w:t xml:space="preserve">  </w:t>
      </w:r>
      <w:r w:rsidR="00A67F0B">
        <w:rPr>
          <w:rFonts w:ascii="Times New Roman" w:hAnsi="Times New Roman" w:cs="Times New Roman"/>
        </w:rPr>
        <w:t>The Inter-American C</w:t>
      </w:r>
      <w:r w:rsidR="002E23A3">
        <w:rPr>
          <w:rFonts w:ascii="Times New Roman" w:hAnsi="Times New Roman" w:cs="Times New Roman"/>
        </w:rPr>
        <w:t xml:space="preserve">ommission on Human Rights has </w:t>
      </w:r>
      <w:r w:rsidR="00304520">
        <w:rPr>
          <w:rFonts w:ascii="Times New Roman" w:hAnsi="Times New Roman" w:cs="Times New Roman"/>
        </w:rPr>
        <w:t>a</w:t>
      </w:r>
      <w:r w:rsidR="00A67F0B">
        <w:rPr>
          <w:rFonts w:ascii="Times New Roman" w:hAnsi="Times New Roman" w:cs="Times New Roman"/>
        </w:rPr>
        <w:t xml:space="preserve"> broader access analogous to that of the Council and Assembly, and states have a similar limitation to that imposed on other UN organs and specialised agencies, matters must be within their </w:t>
      </w:r>
      <w:r w:rsidR="00304520">
        <w:rPr>
          <w:rFonts w:ascii="Times New Roman" w:hAnsi="Times New Roman" w:cs="Times New Roman"/>
        </w:rPr>
        <w:t xml:space="preserve">“sphere of competence” and </w:t>
      </w:r>
      <w:r w:rsidR="00A67F0B">
        <w:rPr>
          <w:rFonts w:ascii="Times New Roman" w:hAnsi="Times New Roman" w:cs="Times New Roman"/>
        </w:rPr>
        <w:t>must have a “legitimate institutional interest”.</w:t>
      </w:r>
      <w:r w:rsidR="00A67F0B">
        <w:rPr>
          <w:rStyle w:val="FootnoteReference"/>
          <w:rFonts w:ascii="Times New Roman" w:hAnsi="Times New Roman" w:cs="Times New Roman"/>
        </w:rPr>
        <w:footnoteReference w:id="91"/>
      </w:r>
      <w:r w:rsidR="00A67F0B">
        <w:rPr>
          <w:rFonts w:ascii="Times New Roman" w:hAnsi="Times New Roman" w:cs="Times New Roman"/>
        </w:rPr>
        <w:t xml:space="preserve">  The court uses the same principle of “compelling interests” to exercise its jurisdiction to the fullest extent.</w:t>
      </w:r>
      <w:r w:rsidR="00A67F0B">
        <w:rPr>
          <w:rStyle w:val="FootnoteReference"/>
          <w:rFonts w:ascii="Times New Roman" w:hAnsi="Times New Roman" w:cs="Times New Roman"/>
        </w:rPr>
        <w:footnoteReference w:id="92"/>
      </w:r>
      <w:r w:rsidR="00A67F0B">
        <w:rPr>
          <w:rFonts w:ascii="Times New Roman" w:hAnsi="Times New Roman" w:cs="Times New Roman"/>
        </w:rPr>
        <w:t xml:space="preserve"> </w:t>
      </w:r>
    </w:p>
    <w:p w14:paraId="26D86F12" w14:textId="77777777" w:rsidR="00515CAF" w:rsidRDefault="00A67F0B" w:rsidP="00CD6578">
      <w:pPr>
        <w:spacing w:line="360" w:lineRule="auto"/>
        <w:jc w:val="both"/>
        <w:rPr>
          <w:rFonts w:ascii="Times New Roman" w:hAnsi="Times New Roman" w:cs="Times New Roman"/>
        </w:rPr>
      </w:pPr>
      <w:r>
        <w:rPr>
          <w:rFonts w:ascii="Times New Roman" w:hAnsi="Times New Roman" w:cs="Times New Roman"/>
        </w:rPr>
        <w:t>The rate of a</w:t>
      </w:r>
      <w:r w:rsidR="00A321A5">
        <w:rPr>
          <w:rFonts w:ascii="Times New Roman" w:hAnsi="Times New Roman" w:cs="Times New Roman"/>
        </w:rPr>
        <w:t xml:space="preserve">dvisory opinion activity is much higher </w:t>
      </w:r>
      <w:r w:rsidR="00C22B97">
        <w:rPr>
          <w:rFonts w:ascii="Times New Roman" w:hAnsi="Times New Roman" w:cs="Times New Roman"/>
        </w:rPr>
        <w:t>in the IACtHR than in the ICJ which suggests an appetite for such a facility.</w:t>
      </w:r>
      <w:r w:rsidR="00A321A5">
        <w:rPr>
          <w:rStyle w:val="FootnoteReference"/>
          <w:rFonts w:ascii="Times New Roman" w:hAnsi="Times New Roman" w:cs="Times New Roman"/>
        </w:rPr>
        <w:footnoteReference w:id="93"/>
      </w:r>
      <w:r w:rsidR="00C22B97">
        <w:rPr>
          <w:rFonts w:ascii="Times New Roman" w:hAnsi="Times New Roman" w:cs="Times New Roman"/>
        </w:rPr>
        <w:t xml:space="preserve">  </w:t>
      </w:r>
      <w:r w:rsidR="006F443D">
        <w:rPr>
          <w:rFonts w:ascii="Times New Roman" w:hAnsi="Times New Roman" w:cs="Times New Roman"/>
        </w:rPr>
        <w:t xml:space="preserve">It </w:t>
      </w:r>
      <w:r w:rsidR="00753253">
        <w:rPr>
          <w:rFonts w:ascii="Times New Roman" w:hAnsi="Times New Roman" w:cs="Times New Roman"/>
        </w:rPr>
        <w:t>will be interesting also, in t</w:t>
      </w:r>
      <w:r w:rsidR="00D24D49">
        <w:rPr>
          <w:rFonts w:ascii="Times New Roman" w:hAnsi="Times New Roman" w:cs="Times New Roman"/>
        </w:rPr>
        <w:t xml:space="preserve">he European setting, to see whether </w:t>
      </w:r>
      <w:r w:rsidR="006F443D">
        <w:rPr>
          <w:rFonts w:ascii="Times New Roman" w:hAnsi="Times New Roman" w:cs="Times New Roman"/>
        </w:rPr>
        <w:t>Protocol No. 16</w:t>
      </w:r>
      <w:r w:rsidR="00D24D49">
        <w:rPr>
          <w:rFonts w:ascii="Times New Roman" w:hAnsi="Times New Roman" w:cs="Times New Roman"/>
        </w:rPr>
        <w:t xml:space="preserve"> has an impact</w:t>
      </w:r>
      <w:r w:rsidR="00515CAF">
        <w:rPr>
          <w:rFonts w:ascii="Times New Roman" w:hAnsi="Times New Roman" w:cs="Times New Roman"/>
        </w:rPr>
        <w:t xml:space="preserve"> when it enters into force</w:t>
      </w:r>
      <w:r w:rsidR="006F443D">
        <w:rPr>
          <w:rFonts w:ascii="Times New Roman" w:hAnsi="Times New Roman" w:cs="Times New Roman"/>
        </w:rPr>
        <w:t>.</w:t>
      </w:r>
      <w:r w:rsidR="006F443D">
        <w:rPr>
          <w:rStyle w:val="FootnoteReference"/>
          <w:rFonts w:ascii="Times New Roman" w:hAnsi="Times New Roman" w:cs="Times New Roman"/>
        </w:rPr>
        <w:footnoteReference w:id="94"/>
      </w:r>
      <w:r w:rsidR="006F443D">
        <w:rPr>
          <w:rFonts w:ascii="Times New Roman" w:hAnsi="Times New Roman" w:cs="Times New Roman"/>
        </w:rPr>
        <w:t xml:space="preserve">  </w:t>
      </w:r>
    </w:p>
    <w:p w14:paraId="5829DB7B" w14:textId="768C6291" w:rsidR="00E91259" w:rsidRDefault="00D24D49" w:rsidP="00CD6578">
      <w:pPr>
        <w:spacing w:line="360" w:lineRule="auto"/>
        <w:jc w:val="both"/>
        <w:rPr>
          <w:rFonts w:ascii="Times New Roman" w:hAnsi="Times New Roman" w:cs="Times New Roman"/>
        </w:rPr>
      </w:pPr>
      <w:r>
        <w:rPr>
          <w:rFonts w:ascii="Times New Roman" w:hAnsi="Times New Roman" w:cs="Times New Roman"/>
        </w:rPr>
        <w:t xml:space="preserve">Perhaps, however, </w:t>
      </w:r>
      <w:r w:rsidR="00174A5A">
        <w:rPr>
          <w:rFonts w:ascii="Times New Roman" w:hAnsi="Times New Roman" w:cs="Times New Roman"/>
        </w:rPr>
        <w:t>looking to human rights courts</w:t>
      </w:r>
      <w:r w:rsidR="0096759A">
        <w:rPr>
          <w:rFonts w:ascii="Times New Roman" w:hAnsi="Times New Roman" w:cs="Times New Roman"/>
        </w:rPr>
        <w:t xml:space="preserve"> </w:t>
      </w:r>
      <w:r w:rsidR="003F2F11">
        <w:rPr>
          <w:rFonts w:ascii="Times New Roman" w:hAnsi="Times New Roman" w:cs="Times New Roman"/>
        </w:rPr>
        <w:t>given</w:t>
      </w:r>
      <w:r w:rsidR="003D25EA">
        <w:rPr>
          <w:rFonts w:ascii="Times New Roman" w:hAnsi="Times New Roman" w:cs="Times New Roman"/>
        </w:rPr>
        <w:t xml:space="preserve"> their very particular f</w:t>
      </w:r>
      <w:r w:rsidR="00D1439C">
        <w:rPr>
          <w:rFonts w:ascii="Times New Roman" w:hAnsi="Times New Roman" w:cs="Times New Roman"/>
        </w:rPr>
        <w:t>ocus is something of a theoretical</w:t>
      </w:r>
      <w:r w:rsidR="003D25EA">
        <w:rPr>
          <w:rFonts w:ascii="Times New Roman" w:hAnsi="Times New Roman" w:cs="Times New Roman"/>
        </w:rPr>
        <w:t xml:space="preserve"> exercise</w:t>
      </w:r>
      <w:r w:rsidR="003F2F11">
        <w:rPr>
          <w:rFonts w:ascii="Times New Roman" w:hAnsi="Times New Roman" w:cs="Times New Roman"/>
        </w:rPr>
        <w:t>.  A</w:t>
      </w:r>
      <w:r w:rsidR="00C22B97">
        <w:rPr>
          <w:rFonts w:ascii="Times New Roman" w:hAnsi="Times New Roman" w:cs="Times New Roman"/>
        </w:rPr>
        <w:t>lthough t</w:t>
      </w:r>
      <w:r w:rsidR="00E91259">
        <w:rPr>
          <w:rFonts w:ascii="Times New Roman" w:hAnsi="Times New Roman" w:cs="Times New Roman"/>
        </w:rPr>
        <w:t>here have been calls over the years for states to have direct access to the advisory jurisdi</w:t>
      </w:r>
      <w:r w:rsidR="003F2F11">
        <w:rPr>
          <w:rFonts w:ascii="Times New Roman" w:hAnsi="Times New Roman" w:cs="Times New Roman"/>
        </w:rPr>
        <w:t xml:space="preserve">ction, </w:t>
      </w:r>
      <w:r w:rsidR="00355CEC">
        <w:rPr>
          <w:rFonts w:ascii="Times New Roman" w:hAnsi="Times New Roman" w:cs="Times New Roman"/>
        </w:rPr>
        <w:t>including proposals at the Charter drafti</w:t>
      </w:r>
      <w:r w:rsidR="00515CAF">
        <w:rPr>
          <w:rFonts w:ascii="Times New Roman" w:hAnsi="Times New Roman" w:cs="Times New Roman"/>
        </w:rPr>
        <w:t xml:space="preserve">ng stage </w:t>
      </w:r>
      <w:r w:rsidR="003F2F11">
        <w:rPr>
          <w:rFonts w:ascii="Times New Roman" w:hAnsi="Times New Roman" w:cs="Times New Roman"/>
        </w:rPr>
        <w:t xml:space="preserve">not adopted, </w:t>
      </w:r>
      <w:r w:rsidR="00C22B97">
        <w:rPr>
          <w:rFonts w:ascii="Times New Roman" w:hAnsi="Times New Roman" w:cs="Times New Roman"/>
        </w:rPr>
        <w:t xml:space="preserve">none of </w:t>
      </w:r>
      <w:r w:rsidR="00515CAF">
        <w:rPr>
          <w:rFonts w:ascii="Times New Roman" w:hAnsi="Times New Roman" w:cs="Times New Roman"/>
        </w:rPr>
        <w:t xml:space="preserve">these </w:t>
      </w:r>
      <w:r w:rsidR="003F2F11">
        <w:rPr>
          <w:rFonts w:ascii="Times New Roman" w:hAnsi="Times New Roman" w:cs="Times New Roman"/>
        </w:rPr>
        <w:lastRenderedPageBreak/>
        <w:t>have gained traction</w:t>
      </w:r>
      <w:r w:rsidR="00C22B97">
        <w:rPr>
          <w:rFonts w:ascii="Times New Roman" w:hAnsi="Times New Roman" w:cs="Times New Roman"/>
        </w:rPr>
        <w:t>.</w:t>
      </w:r>
      <w:r w:rsidR="00355CEC">
        <w:rPr>
          <w:rStyle w:val="FootnoteReference"/>
          <w:rFonts w:ascii="Times New Roman" w:hAnsi="Times New Roman" w:cs="Times New Roman"/>
        </w:rPr>
        <w:footnoteReference w:id="95"/>
      </w:r>
      <w:r w:rsidR="00355CEC">
        <w:rPr>
          <w:rFonts w:ascii="Times New Roman" w:hAnsi="Times New Roman" w:cs="Times New Roman"/>
        </w:rPr>
        <w:t xml:space="preserve"> </w:t>
      </w:r>
      <w:r w:rsidR="00753253">
        <w:rPr>
          <w:rFonts w:ascii="Times New Roman" w:hAnsi="Times New Roman" w:cs="Times New Roman"/>
        </w:rPr>
        <w:t xml:space="preserve">  I</w:t>
      </w:r>
      <w:r w:rsidR="00C22B97">
        <w:rPr>
          <w:rFonts w:ascii="Times New Roman" w:hAnsi="Times New Roman" w:cs="Times New Roman"/>
        </w:rPr>
        <w:t>n 1976 a</w:t>
      </w:r>
      <w:r w:rsidR="00E91259">
        <w:rPr>
          <w:rFonts w:ascii="Times New Roman" w:hAnsi="Times New Roman" w:cs="Times New Roman"/>
        </w:rPr>
        <w:t xml:space="preserve"> US Departmen</w:t>
      </w:r>
      <w:r w:rsidR="00C22B97">
        <w:rPr>
          <w:rFonts w:ascii="Times New Roman" w:hAnsi="Times New Roman" w:cs="Times New Roman"/>
        </w:rPr>
        <w:t>t of State study r</w:t>
      </w:r>
      <w:r w:rsidR="00E91259">
        <w:rPr>
          <w:rFonts w:ascii="Times New Roman" w:hAnsi="Times New Roman" w:cs="Times New Roman"/>
        </w:rPr>
        <w:t>ecomme</w:t>
      </w:r>
      <w:r w:rsidR="00DB1B23">
        <w:rPr>
          <w:rFonts w:ascii="Times New Roman" w:hAnsi="Times New Roman" w:cs="Times New Roman"/>
        </w:rPr>
        <w:t>nded states be enabled t</w:t>
      </w:r>
      <w:r w:rsidR="00E91259">
        <w:rPr>
          <w:rFonts w:ascii="Times New Roman" w:hAnsi="Times New Roman" w:cs="Times New Roman"/>
        </w:rPr>
        <w:t>o ask the Court’s opinion on important qu</w:t>
      </w:r>
      <w:r w:rsidR="00515CAF">
        <w:rPr>
          <w:rFonts w:ascii="Times New Roman" w:hAnsi="Times New Roman" w:cs="Times New Roman"/>
        </w:rPr>
        <w:t>estions of international law and</w:t>
      </w:r>
      <w:r w:rsidR="003F2F11">
        <w:rPr>
          <w:rFonts w:ascii="Times New Roman" w:hAnsi="Times New Roman" w:cs="Times New Roman"/>
        </w:rPr>
        <w:t xml:space="preserve"> t</w:t>
      </w:r>
      <w:r w:rsidR="00C22B97">
        <w:rPr>
          <w:rFonts w:ascii="Times New Roman" w:hAnsi="Times New Roman" w:cs="Times New Roman"/>
        </w:rPr>
        <w:t>h</w:t>
      </w:r>
      <w:r w:rsidR="00E91259">
        <w:rPr>
          <w:rFonts w:ascii="Times New Roman" w:hAnsi="Times New Roman" w:cs="Times New Roman"/>
        </w:rPr>
        <w:t>e US House of Representatives</w:t>
      </w:r>
      <w:r w:rsidR="00806170">
        <w:rPr>
          <w:rFonts w:ascii="Times New Roman" w:hAnsi="Times New Roman" w:cs="Times New Roman"/>
        </w:rPr>
        <w:t>,</w:t>
      </w:r>
      <w:r w:rsidR="00515CAF">
        <w:rPr>
          <w:rFonts w:ascii="Times New Roman" w:hAnsi="Times New Roman" w:cs="Times New Roman"/>
        </w:rPr>
        <w:t xml:space="preserve"> by a </w:t>
      </w:r>
      <w:r w:rsidR="00E91259">
        <w:rPr>
          <w:rFonts w:ascii="Times New Roman" w:hAnsi="Times New Roman" w:cs="Times New Roman"/>
        </w:rPr>
        <w:t>1982</w:t>
      </w:r>
      <w:r w:rsidR="00515CAF">
        <w:rPr>
          <w:rFonts w:ascii="Times New Roman" w:hAnsi="Times New Roman" w:cs="Times New Roman"/>
        </w:rPr>
        <w:t xml:space="preserve"> resolution</w:t>
      </w:r>
      <w:r w:rsidR="00806170">
        <w:rPr>
          <w:rFonts w:ascii="Times New Roman" w:hAnsi="Times New Roman" w:cs="Times New Roman"/>
        </w:rPr>
        <w:t>,</w:t>
      </w:r>
      <w:r w:rsidR="00E91259">
        <w:rPr>
          <w:rFonts w:ascii="Times New Roman" w:hAnsi="Times New Roman" w:cs="Times New Roman"/>
        </w:rPr>
        <w:t xml:space="preserve"> </w:t>
      </w:r>
      <w:r w:rsidR="00806170">
        <w:rPr>
          <w:rFonts w:ascii="Times New Roman" w:hAnsi="Times New Roman" w:cs="Times New Roman"/>
        </w:rPr>
        <w:t>urged the President to consider pursuing this.</w:t>
      </w:r>
      <w:r w:rsidR="00806170">
        <w:rPr>
          <w:rStyle w:val="FootnoteReference"/>
          <w:rFonts w:ascii="Times New Roman" w:hAnsi="Times New Roman" w:cs="Times New Roman"/>
        </w:rPr>
        <w:footnoteReference w:id="96"/>
      </w:r>
      <w:r w:rsidR="00806170">
        <w:rPr>
          <w:rFonts w:ascii="Times New Roman" w:hAnsi="Times New Roman" w:cs="Times New Roman"/>
        </w:rPr>
        <w:t xml:space="preserve">  </w:t>
      </w:r>
      <w:r w:rsidR="00E91259">
        <w:rPr>
          <w:rFonts w:ascii="Times New Roman" w:hAnsi="Times New Roman" w:cs="Times New Roman"/>
        </w:rPr>
        <w:t xml:space="preserve">It is evidence of how </w:t>
      </w:r>
      <w:r w:rsidR="00806170">
        <w:rPr>
          <w:rFonts w:ascii="Times New Roman" w:hAnsi="Times New Roman" w:cs="Times New Roman"/>
        </w:rPr>
        <w:t xml:space="preserve">much </w:t>
      </w:r>
      <w:r w:rsidR="00E91259">
        <w:rPr>
          <w:rFonts w:ascii="Times New Roman" w:hAnsi="Times New Roman" w:cs="Times New Roman"/>
        </w:rPr>
        <w:t>percep</w:t>
      </w:r>
      <w:r w:rsidR="00753253">
        <w:rPr>
          <w:rFonts w:ascii="Times New Roman" w:hAnsi="Times New Roman" w:cs="Times New Roman"/>
        </w:rPr>
        <w:t xml:space="preserve">tions of the Court have changed </w:t>
      </w:r>
      <w:r w:rsidR="00C22B97">
        <w:rPr>
          <w:rFonts w:ascii="Times New Roman" w:hAnsi="Times New Roman" w:cs="Times New Roman"/>
        </w:rPr>
        <w:t>t</w:t>
      </w:r>
      <w:r w:rsidR="00806170">
        <w:rPr>
          <w:rFonts w:ascii="Times New Roman" w:hAnsi="Times New Roman" w:cs="Times New Roman"/>
        </w:rPr>
        <w:t>hat</w:t>
      </w:r>
      <w:r w:rsidR="00E04C89">
        <w:rPr>
          <w:rFonts w:ascii="Times New Roman" w:hAnsi="Times New Roman" w:cs="Times New Roman"/>
        </w:rPr>
        <w:t xml:space="preserve"> the </w:t>
      </w:r>
      <w:r w:rsidR="00B12A28">
        <w:rPr>
          <w:rFonts w:ascii="Times New Roman" w:hAnsi="Times New Roman" w:cs="Times New Roman"/>
        </w:rPr>
        <w:t xml:space="preserve">renewal of such </w:t>
      </w:r>
      <w:r w:rsidR="00304520">
        <w:rPr>
          <w:rFonts w:ascii="Times New Roman" w:hAnsi="Times New Roman" w:cs="Times New Roman"/>
        </w:rPr>
        <w:t xml:space="preserve">a call </w:t>
      </w:r>
      <w:r w:rsidR="003F2F11">
        <w:rPr>
          <w:rFonts w:ascii="Times New Roman" w:hAnsi="Times New Roman" w:cs="Times New Roman"/>
        </w:rPr>
        <w:t>today</w:t>
      </w:r>
      <w:r w:rsidR="00515CAF">
        <w:rPr>
          <w:rFonts w:ascii="Times New Roman" w:hAnsi="Times New Roman" w:cs="Times New Roman"/>
        </w:rPr>
        <w:t xml:space="preserve"> </w:t>
      </w:r>
      <w:r w:rsidR="003F2F11">
        <w:rPr>
          <w:rFonts w:ascii="Times New Roman" w:hAnsi="Times New Roman" w:cs="Times New Roman"/>
        </w:rPr>
        <w:t>is</w:t>
      </w:r>
      <w:r w:rsidR="00E04C89">
        <w:rPr>
          <w:rFonts w:ascii="Times New Roman" w:hAnsi="Times New Roman" w:cs="Times New Roman"/>
        </w:rPr>
        <w:t xml:space="preserve"> extremely improbable</w:t>
      </w:r>
      <w:r w:rsidR="00806170">
        <w:rPr>
          <w:rFonts w:ascii="Times New Roman" w:hAnsi="Times New Roman" w:cs="Times New Roman"/>
        </w:rPr>
        <w:t xml:space="preserve">.  </w:t>
      </w:r>
    </w:p>
    <w:p w14:paraId="58D5E4A2" w14:textId="49C1729D" w:rsidR="00DD4F87" w:rsidRPr="00001BD4" w:rsidRDefault="00E7365D" w:rsidP="00CD6578">
      <w:pPr>
        <w:spacing w:line="360" w:lineRule="auto"/>
        <w:jc w:val="both"/>
        <w:rPr>
          <w:rFonts w:ascii="Times New Roman" w:hAnsi="Times New Roman" w:cs="Times New Roman"/>
        </w:rPr>
      </w:pPr>
      <w:r w:rsidRPr="0076411E">
        <w:rPr>
          <w:rFonts w:ascii="Times New Roman" w:hAnsi="Times New Roman" w:cs="Times New Roman"/>
        </w:rPr>
        <w:t>The</w:t>
      </w:r>
      <w:r w:rsidR="00304520" w:rsidRPr="0076411E">
        <w:rPr>
          <w:rFonts w:ascii="Times New Roman" w:hAnsi="Times New Roman" w:cs="Times New Roman"/>
        </w:rPr>
        <w:t xml:space="preserve"> Assembly i</w:t>
      </w:r>
      <w:r w:rsidR="00DD4F87" w:rsidRPr="000F0F53">
        <w:rPr>
          <w:rFonts w:ascii="Times New Roman" w:hAnsi="Times New Roman" w:cs="Times New Roman"/>
        </w:rPr>
        <w:t xml:space="preserve">s available </w:t>
      </w:r>
      <w:r w:rsidR="002E23A3" w:rsidRPr="000F0F53">
        <w:rPr>
          <w:rFonts w:ascii="Times New Roman" w:hAnsi="Times New Roman" w:cs="Times New Roman"/>
        </w:rPr>
        <w:t xml:space="preserve">and has already been used </w:t>
      </w:r>
      <w:r w:rsidR="00DD4F87" w:rsidRPr="000F0F53">
        <w:rPr>
          <w:rFonts w:ascii="Times New Roman" w:hAnsi="Times New Roman" w:cs="Times New Roman"/>
        </w:rPr>
        <w:t>a</w:t>
      </w:r>
      <w:r w:rsidR="00E04C89" w:rsidRPr="000F0F53">
        <w:rPr>
          <w:rFonts w:ascii="Times New Roman" w:hAnsi="Times New Roman" w:cs="Times New Roman"/>
        </w:rPr>
        <w:t xml:space="preserve">s the means </w:t>
      </w:r>
      <w:r w:rsidR="00174A5A" w:rsidRPr="000F0F53">
        <w:rPr>
          <w:rFonts w:ascii="Times New Roman" w:hAnsi="Times New Roman" w:cs="Times New Roman"/>
        </w:rPr>
        <w:t xml:space="preserve">for a state </w:t>
      </w:r>
      <w:r w:rsidR="00E04C89" w:rsidRPr="000F0F53">
        <w:rPr>
          <w:rFonts w:ascii="Times New Roman" w:hAnsi="Times New Roman" w:cs="Times New Roman"/>
        </w:rPr>
        <w:t>to request</w:t>
      </w:r>
      <w:r w:rsidRPr="000F0F53">
        <w:rPr>
          <w:rFonts w:ascii="Times New Roman" w:hAnsi="Times New Roman" w:cs="Times New Roman"/>
        </w:rPr>
        <w:t xml:space="preserve"> an </w:t>
      </w:r>
      <w:r w:rsidR="003F2F11" w:rsidRPr="000F0F53">
        <w:rPr>
          <w:rFonts w:ascii="Times New Roman" w:hAnsi="Times New Roman" w:cs="Times New Roman"/>
        </w:rPr>
        <w:t>opinion</w:t>
      </w:r>
      <w:r w:rsidR="00001BD4" w:rsidRPr="00001BD4">
        <w:rPr>
          <w:rFonts w:ascii="Times New Roman" w:hAnsi="Times New Roman" w:cs="Times New Roman"/>
        </w:rPr>
        <w:t>.</w:t>
      </w:r>
      <w:r w:rsidR="00DD4F87" w:rsidRPr="0076411E">
        <w:rPr>
          <w:rStyle w:val="FootnoteReference"/>
          <w:rFonts w:ascii="Times New Roman" w:hAnsi="Times New Roman" w:cs="Times New Roman"/>
        </w:rPr>
        <w:footnoteReference w:id="97"/>
      </w:r>
      <w:r w:rsidR="00001BD4" w:rsidRPr="00001BD4">
        <w:rPr>
          <w:rFonts w:ascii="Times New Roman" w:hAnsi="Times New Roman" w:cs="Times New Roman"/>
        </w:rPr>
        <w:t xml:space="preserve">  Additionally, the </w:t>
      </w:r>
      <w:r w:rsidR="00001BD4" w:rsidRPr="00001BD4">
        <w:rPr>
          <w:rFonts w:ascii="Times New Roman" w:hAnsi="Times New Roman" w:cs="Times New Roman"/>
          <w:i/>
        </w:rPr>
        <w:t>Chagos</w:t>
      </w:r>
      <w:r w:rsidR="00001BD4" w:rsidRPr="00001BD4">
        <w:rPr>
          <w:rFonts w:ascii="Times New Roman" w:hAnsi="Times New Roman" w:cs="Times New Roman"/>
        </w:rPr>
        <w:t xml:space="preserve"> </w:t>
      </w:r>
      <w:r w:rsidR="0096759A">
        <w:rPr>
          <w:rFonts w:ascii="Times New Roman" w:hAnsi="Times New Roman" w:cs="Times New Roman"/>
        </w:rPr>
        <w:t>request is the</w:t>
      </w:r>
      <w:r w:rsidR="00001BD4">
        <w:rPr>
          <w:rFonts w:ascii="Times New Roman" w:hAnsi="Times New Roman" w:cs="Times New Roman"/>
        </w:rPr>
        <w:t xml:space="preserve"> result of a letter from Mauritius’ Permanent Representative to the UN asking for inclusion </w:t>
      </w:r>
      <w:r w:rsidR="00DB18ED">
        <w:rPr>
          <w:rFonts w:ascii="Times New Roman" w:hAnsi="Times New Roman" w:cs="Times New Roman"/>
        </w:rPr>
        <w:t>of the request for an advisory opinion on the Assembly’s Agenda.</w:t>
      </w:r>
      <w:r w:rsidR="00DB18ED">
        <w:rPr>
          <w:rStyle w:val="FootnoteReference"/>
          <w:rFonts w:ascii="Times New Roman" w:hAnsi="Times New Roman" w:cs="Times New Roman"/>
        </w:rPr>
        <w:footnoteReference w:id="98"/>
      </w:r>
      <w:r w:rsidR="00DB18ED">
        <w:rPr>
          <w:rFonts w:ascii="Times New Roman" w:hAnsi="Times New Roman" w:cs="Times New Roman"/>
        </w:rPr>
        <w:t xml:space="preserve">  </w:t>
      </w:r>
      <w:r w:rsidR="00113A5B">
        <w:rPr>
          <w:rFonts w:ascii="Times New Roman" w:hAnsi="Times New Roman" w:cs="Times New Roman"/>
        </w:rPr>
        <w:t>In this way states can indirectly use the advisory process and b</w:t>
      </w:r>
      <w:r w:rsidR="003F2F11" w:rsidRPr="0076411E">
        <w:rPr>
          <w:rFonts w:ascii="Times New Roman" w:hAnsi="Times New Roman" w:cs="Times New Roman"/>
        </w:rPr>
        <w:t>ecause there has</w:t>
      </w:r>
      <w:r w:rsidR="00A321A5" w:rsidRPr="0076411E">
        <w:rPr>
          <w:rFonts w:ascii="Times New Roman" w:hAnsi="Times New Roman" w:cs="Times New Roman"/>
        </w:rPr>
        <w:t xml:space="preserve"> been </w:t>
      </w:r>
      <w:r w:rsidR="003F2F11" w:rsidRPr="000F0F53">
        <w:rPr>
          <w:rFonts w:ascii="Times New Roman" w:hAnsi="Times New Roman" w:cs="Times New Roman"/>
        </w:rPr>
        <w:t xml:space="preserve">no recent </w:t>
      </w:r>
      <w:r w:rsidR="00304520" w:rsidRPr="000F0F53">
        <w:rPr>
          <w:rFonts w:ascii="Times New Roman" w:hAnsi="Times New Roman" w:cs="Times New Roman"/>
        </w:rPr>
        <w:t>push</w:t>
      </w:r>
      <w:r w:rsidR="00C22B97" w:rsidRPr="000F0F53">
        <w:rPr>
          <w:rFonts w:ascii="Times New Roman" w:hAnsi="Times New Roman" w:cs="Times New Roman"/>
        </w:rPr>
        <w:t xml:space="preserve"> fr</w:t>
      </w:r>
      <w:r w:rsidR="003F2F11" w:rsidRPr="000F0F53">
        <w:rPr>
          <w:rFonts w:ascii="Times New Roman" w:hAnsi="Times New Roman" w:cs="Times New Roman"/>
        </w:rPr>
        <w:t xml:space="preserve">om states for direct access </w:t>
      </w:r>
      <w:r w:rsidR="00753253" w:rsidRPr="000F0F53">
        <w:rPr>
          <w:rFonts w:ascii="Times New Roman" w:hAnsi="Times New Roman" w:cs="Times New Roman"/>
        </w:rPr>
        <w:t xml:space="preserve">this does not </w:t>
      </w:r>
      <w:r w:rsidR="00304520" w:rsidRPr="000F0F53">
        <w:rPr>
          <w:rFonts w:ascii="Times New Roman" w:hAnsi="Times New Roman" w:cs="Times New Roman"/>
        </w:rPr>
        <w:t>s</w:t>
      </w:r>
      <w:r w:rsidR="003F2F11" w:rsidRPr="000F0F53">
        <w:rPr>
          <w:rFonts w:ascii="Times New Roman" w:hAnsi="Times New Roman" w:cs="Times New Roman"/>
        </w:rPr>
        <w:t>eem a likely development area</w:t>
      </w:r>
      <w:r w:rsidR="00A321A5" w:rsidRPr="00001BD4">
        <w:rPr>
          <w:rFonts w:ascii="Times New Roman" w:hAnsi="Times New Roman" w:cs="Times New Roman"/>
        </w:rPr>
        <w:t>.</w:t>
      </w:r>
    </w:p>
    <w:p w14:paraId="20B10AB9" w14:textId="32344385" w:rsidR="00E91259" w:rsidRPr="00DB18ED" w:rsidRDefault="00DB18ED" w:rsidP="00CD6578">
      <w:pPr>
        <w:spacing w:line="360" w:lineRule="auto"/>
        <w:jc w:val="both"/>
        <w:rPr>
          <w:rFonts w:ascii="Times New Roman" w:hAnsi="Times New Roman" w:cs="Times New Roman"/>
          <w:b/>
        </w:rPr>
      </w:pPr>
      <w:r>
        <w:rPr>
          <w:rFonts w:ascii="Times New Roman" w:hAnsi="Times New Roman" w:cs="Times New Roman"/>
        </w:rPr>
        <w:t>(c</w:t>
      </w:r>
      <w:r w:rsidRPr="00F478BB">
        <w:rPr>
          <w:rFonts w:ascii="Times New Roman" w:hAnsi="Times New Roman" w:cs="Times New Roman"/>
        </w:rPr>
        <w:t xml:space="preserve">)    </w:t>
      </w:r>
      <w:r w:rsidR="00CC73E3" w:rsidRPr="00DB18ED">
        <w:rPr>
          <w:rFonts w:ascii="Times New Roman" w:hAnsi="Times New Roman" w:cs="Times New Roman"/>
        </w:rPr>
        <w:t>Access for other international bodies</w:t>
      </w:r>
    </w:p>
    <w:p w14:paraId="7C5366AB" w14:textId="1E988658" w:rsidR="00D93F24" w:rsidRDefault="00515CAF" w:rsidP="00CD6578">
      <w:pPr>
        <w:spacing w:line="360" w:lineRule="auto"/>
        <w:jc w:val="both"/>
        <w:rPr>
          <w:rFonts w:ascii="Times New Roman" w:hAnsi="Times New Roman" w:cs="Times New Roman"/>
        </w:rPr>
      </w:pPr>
      <w:r>
        <w:rPr>
          <w:rFonts w:ascii="Times New Roman" w:hAnsi="Times New Roman" w:cs="Times New Roman"/>
        </w:rPr>
        <w:t>P</w:t>
      </w:r>
      <w:r w:rsidR="000406C4">
        <w:rPr>
          <w:rFonts w:ascii="Times New Roman" w:hAnsi="Times New Roman" w:cs="Times New Roman"/>
        </w:rPr>
        <w:t xml:space="preserve">utting aside </w:t>
      </w:r>
      <w:r w:rsidR="00A523E9">
        <w:rPr>
          <w:rFonts w:ascii="Times New Roman" w:hAnsi="Times New Roman" w:cs="Times New Roman"/>
        </w:rPr>
        <w:t>opinions relating</w:t>
      </w:r>
      <w:r w:rsidR="00DB1B23">
        <w:rPr>
          <w:rFonts w:ascii="Times New Roman" w:hAnsi="Times New Roman" w:cs="Times New Roman"/>
        </w:rPr>
        <w:t xml:space="preserve"> to the constitutions of organis</w:t>
      </w:r>
      <w:r w:rsidR="00753253">
        <w:rPr>
          <w:rFonts w:ascii="Times New Roman" w:hAnsi="Times New Roman" w:cs="Times New Roman"/>
        </w:rPr>
        <w:t>ations (</w:t>
      </w:r>
      <w:r w:rsidR="00A523E9">
        <w:rPr>
          <w:rFonts w:ascii="Times New Roman" w:hAnsi="Times New Roman" w:cs="Times New Roman"/>
        </w:rPr>
        <w:t xml:space="preserve">concentrated in the </w:t>
      </w:r>
      <w:r w:rsidR="00753253">
        <w:rPr>
          <w:rFonts w:ascii="Times New Roman" w:hAnsi="Times New Roman" w:cs="Times New Roman"/>
        </w:rPr>
        <w:t>UN’s early years</w:t>
      </w:r>
      <w:r w:rsidR="00626DC5">
        <w:rPr>
          <w:rFonts w:ascii="Times New Roman" w:hAnsi="Times New Roman" w:cs="Times New Roman"/>
        </w:rPr>
        <w:t xml:space="preserve">) and </w:t>
      </w:r>
      <w:r w:rsidR="00A523E9">
        <w:rPr>
          <w:rFonts w:ascii="Times New Roman" w:hAnsi="Times New Roman" w:cs="Times New Roman"/>
        </w:rPr>
        <w:t>appeals from tribunals,</w:t>
      </w:r>
      <w:r w:rsidR="00626DC5">
        <w:rPr>
          <w:rFonts w:ascii="Times New Roman" w:hAnsi="Times New Roman" w:cs="Times New Roman"/>
        </w:rPr>
        <w:t xml:space="preserve"> only one </w:t>
      </w:r>
      <w:r w:rsidR="00E7365D">
        <w:rPr>
          <w:rFonts w:ascii="Times New Roman" w:hAnsi="Times New Roman" w:cs="Times New Roman"/>
        </w:rPr>
        <w:t xml:space="preserve">opinion requested by a specialised </w:t>
      </w:r>
      <w:r w:rsidR="0076411E" w:rsidRPr="0076411E">
        <w:rPr>
          <w:rFonts w:ascii="Times New Roman" w:hAnsi="Times New Roman" w:cs="Times New Roman"/>
        </w:rPr>
        <w:t xml:space="preserve">agency </w:t>
      </w:r>
      <w:r w:rsidR="00626DC5" w:rsidRPr="0076411E">
        <w:rPr>
          <w:rFonts w:ascii="Times New Roman" w:hAnsi="Times New Roman" w:cs="Times New Roman"/>
        </w:rPr>
        <w:t>i</w:t>
      </w:r>
      <w:r w:rsidR="00626DC5">
        <w:rPr>
          <w:rFonts w:ascii="Times New Roman" w:hAnsi="Times New Roman" w:cs="Times New Roman"/>
        </w:rPr>
        <w:t xml:space="preserve">s arguably substantive </w:t>
      </w:r>
      <w:r w:rsidR="001A4A0E">
        <w:rPr>
          <w:rFonts w:ascii="Times New Roman" w:hAnsi="Times New Roman" w:cs="Times New Roman"/>
        </w:rPr>
        <w:t>and ‘meaty’</w:t>
      </w:r>
      <w:r>
        <w:rPr>
          <w:rFonts w:ascii="Times New Roman" w:hAnsi="Times New Roman" w:cs="Times New Roman"/>
        </w:rPr>
        <w:t xml:space="preserve">, the WHO’s </w:t>
      </w:r>
      <w:r w:rsidR="00626DC5">
        <w:rPr>
          <w:rFonts w:ascii="Times New Roman" w:hAnsi="Times New Roman" w:cs="Times New Roman"/>
        </w:rPr>
        <w:t>question on n</w:t>
      </w:r>
      <w:r w:rsidR="00753253">
        <w:rPr>
          <w:rFonts w:ascii="Times New Roman" w:hAnsi="Times New Roman" w:cs="Times New Roman"/>
        </w:rPr>
        <w:t>uclear weapons</w:t>
      </w:r>
      <w:r w:rsidR="00DB18ED">
        <w:rPr>
          <w:rFonts w:ascii="Times New Roman" w:hAnsi="Times New Roman" w:cs="Times New Roman"/>
        </w:rPr>
        <w:t xml:space="preserve"> which, as indicated above, the Court declined to answer on jurisdictional grounds.  It</w:t>
      </w:r>
      <w:r w:rsidR="00753253">
        <w:rPr>
          <w:rFonts w:ascii="Times New Roman" w:hAnsi="Times New Roman" w:cs="Times New Roman"/>
        </w:rPr>
        <w:t xml:space="preserve"> </w:t>
      </w:r>
      <w:r w:rsidR="00626DC5">
        <w:rPr>
          <w:rFonts w:ascii="Times New Roman" w:hAnsi="Times New Roman" w:cs="Times New Roman"/>
        </w:rPr>
        <w:t>is one of only five requests made by such bo</w:t>
      </w:r>
      <w:r w:rsidR="00C2021D">
        <w:rPr>
          <w:rFonts w:ascii="Times New Roman" w:hAnsi="Times New Roman" w:cs="Times New Roman"/>
        </w:rPr>
        <w:t xml:space="preserve">dies during the ICJ’s </w:t>
      </w:r>
      <w:r w:rsidR="00626DC5">
        <w:rPr>
          <w:rFonts w:ascii="Times New Roman" w:hAnsi="Times New Roman" w:cs="Times New Roman"/>
        </w:rPr>
        <w:t>life.</w:t>
      </w:r>
      <w:r w:rsidR="003F2F11">
        <w:rPr>
          <w:rFonts w:ascii="Times New Roman" w:hAnsi="Times New Roman" w:cs="Times New Roman"/>
        </w:rPr>
        <w:t xml:space="preserve">  </w:t>
      </w:r>
      <w:r w:rsidR="00C2021D">
        <w:rPr>
          <w:rFonts w:ascii="Times New Roman" w:hAnsi="Times New Roman" w:cs="Times New Roman"/>
        </w:rPr>
        <w:t xml:space="preserve">Given such a </w:t>
      </w:r>
      <w:r w:rsidR="006F443D">
        <w:rPr>
          <w:rFonts w:ascii="Times New Roman" w:hAnsi="Times New Roman" w:cs="Times New Roman"/>
        </w:rPr>
        <w:t xml:space="preserve">poor </w:t>
      </w:r>
      <w:r w:rsidR="00626DC5">
        <w:rPr>
          <w:rFonts w:ascii="Times New Roman" w:hAnsi="Times New Roman" w:cs="Times New Roman"/>
        </w:rPr>
        <w:t xml:space="preserve">record </w:t>
      </w:r>
      <w:r w:rsidR="006F443D">
        <w:rPr>
          <w:rFonts w:ascii="Times New Roman" w:hAnsi="Times New Roman" w:cs="Times New Roman"/>
        </w:rPr>
        <w:t xml:space="preserve">of use </w:t>
      </w:r>
      <w:r w:rsidR="00DB18ED">
        <w:rPr>
          <w:rFonts w:ascii="Times New Roman" w:hAnsi="Times New Roman" w:cs="Times New Roman"/>
        </w:rPr>
        <w:t xml:space="preserve">by organs (other than the Assembly) and specialised agencies </w:t>
      </w:r>
      <w:r w:rsidR="00C2021D">
        <w:rPr>
          <w:rFonts w:ascii="Times New Roman" w:hAnsi="Times New Roman" w:cs="Times New Roman"/>
        </w:rPr>
        <w:t>it looks unlikely that Assembly authori</w:t>
      </w:r>
      <w:r w:rsidR="00753253">
        <w:rPr>
          <w:rFonts w:ascii="Times New Roman" w:hAnsi="Times New Roman" w:cs="Times New Roman"/>
        </w:rPr>
        <w:t>sation of additional bodies would</w:t>
      </w:r>
      <w:r w:rsidR="00E17CA0">
        <w:rPr>
          <w:rFonts w:ascii="Times New Roman" w:hAnsi="Times New Roman" w:cs="Times New Roman"/>
        </w:rPr>
        <w:t xml:space="preserve"> generat</w:t>
      </w:r>
      <w:r>
        <w:rPr>
          <w:rFonts w:ascii="Times New Roman" w:hAnsi="Times New Roman" w:cs="Times New Roman"/>
        </w:rPr>
        <w:t>e an increase in requests</w:t>
      </w:r>
      <w:r w:rsidR="00E17CA0">
        <w:rPr>
          <w:rFonts w:ascii="Times New Roman" w:hAnsi="Times New Roman" w:cs="Times New Roman"/>
        </w:rPr>
        <w:t>.</w:t>
      </w:r>
      <w:r w:rsidR="00667AA2">
        <w:rPr>
          <w:rStyle w:val="FootnoteReference"/>
          <w:rFonts w:ascii="Times New Roman" w:hAnsi="Times New Roman" w:cs="Times New Roman"/>
        </w:rPr>
        <w:footnoteReference w:id="99"/>
      </w:r>
      <w:r w:rsidR="00D93F24">
        <w:rPr>
          <w:rFonts w:ascii="Times New Roman" w:hAnsi="Times New Roman" w:cs="Times New Roman"/>
        </w:rPr>
        <w:t xml:space="preserve">  </w:t>
      </w:r>
    </w:p>
    <w:p w14:paraId="2696A0B0" w14:textId="660735C2" w:rsidR="00E17CA0" w:rsidRPr="0076411E" w:rsidRDefault="0076411E" w:rsidP="00CD6578">
      <w:pPr>
        <w:spacing w:line="360" w:lineRule="auto"/>
        <w:jc w:val="both"/>
        <w:rPr>
          <w:rFonts w:ascii="Times New Roman" w:hAnsi="Times New Roman" w:cs="Times New Roman"/>
          <w:i/>
        </w:rPr>
      </w:pPr>
      <w:r w:rsidRPr="0076411E">
        <w:rPr>
          <w:rFonts w:ascii="Times New Roman" w:hAnsi="Times New Roman" w:cs="Times New Roman"/>
          <w:i/>
        </w:rPr>
        <w:t>Expansion of the Court’</w:t>
      </w:r>
      <w:r>
        <w:rPr>
          <w:rFonts w:ascii="Times New Roman" w:hAnsi="Times New Roman" w:cs="Times New Roman"/>
          <w:i/>
        </w:rPr>
        <w:t xml:space="preserve">s activities:  </w:t>
      </w:r>
      <w:r w:rsidR="00E17CA0" w:rsidRPr="0076411E">
        <w:rPr>
          <w:rFonts w:ascii="Times New Roman" w:hAnsi="Times New Roman" w:cs="Times New Roman"/>
          <w:i/>
        </w:rPr>
        <w:t>Judicial review</w:t>
      </w:r>
    </w:p>
    <w:p w14:paraId="7B9F4F6F" w14:textId="1EDE89D4" w:rsidR="006008A7" w:rsidRDefault="0076411E" w:rsidP="00CD6578">
      <w:pPr>
        <w:spacing w:line="360" w:lineRule="auto"/>
        <w:jc w:val="both"/>
        <w:rPr>
          <w:rFonts w:ascii="Times New Roman" w:hAnsi="Times New Roman" w:cs="Times New Roman"/>
        </w:rPr>
      </w:pPr>
      <w:r>
        <w:rPr>
          <w:rFonts w:ascii="Times New Roman" w:hAnsi="Times New Roman" w:cs="Times New Roman"/>
        </w:rPr>
        <w:t xml:space="preserve">Moving from who can request opinions to </w:t>
      </w:r>
      <w:r w:rsidR="00113A5B">
        <w:rPr>
          <w:rFonts w:ascii="Times New Roman" w:hAnsi="Times New Roman" w:cs="Times New Roman"/>
        </w:rPr>
        <w:t xml:space="preserve">subject matter:  </w:t>
      </w:r>
      <w:r>
        <w:rPr>
          <w:rFonts w:ascii="Times New Roman" w:hAnsi="Times New Roman" w:cs="Times New Roman"/>
        </w:rPr>
        <w:t>t</w:t>
      </w:r>
      <w:r w:rsidR="007869F2">
        <w:rPr>
          <w:rFonts w:ascii="Times New Roman" w:hAnsi="Times New Roman" w:cs="Times New Roman"/>
        </w:rPr>
        <w:t>he ICJ does not have a</w:t>
      </w:r>
      <w:r w:rsidR="007B476E">
        <w:rPr>
          <w:rFonts w:ascii="Times New Roman" w:hAnsi="Times New Roman" w:cs="Times New Roman"/>
        </w:rPr>
        <w:t>n express</w:t>
      </w:r>
      <w:r w:rsidR="007869F2">
        <w:rPr>
          <w:rFonts w:ascii="Times New Roman" w:hAnsi="Times New Roman" w:cs="Times New Roman"/>
        </w:rPr>
        <w:t xml:space="preserve"> judicia</w:t>
      </w:r>
      <w:r w:rsidR="006008A7">
        <w:rPr>
          <w:rFonts w:ascii="Times New Roman" w:hAnsi="Times New Roman" w:cs="Times New Roman"/>
        </w:rPr>
        <w:t>l review function</w:t>
      </w:r>
      <w:r w:rsidR="00234075">
        <w:rPr>
          <w:rFonts w:ascii="Times New Roman" w:hAnsi="Times New Roman" w:cs="Times New Roman"/>
        </w:rPr>
        <w:t xml:space="preserve">, although a limited power on an implied basis </w:t>
      </w:r>
      <w:r w:rsidR="006F443D">
        <w:rPr>
          <w:rFonts w:ascii="Times New Roman" w:hAnsi="Times New Roman" w:cs="Times New Roman"/>
        </w:rPr>
        <w:t xml:space="preserve">has been noted </w:t>
      </w:r>
      <w:r w:rsidR="00234075">
        <w:rPr>
          <w:rFonts w:ascii="Times New Roman" w:hAnsi="Times New Roman" w:cs="Times New Roman"/>
        </w:rPr>
        <w:t>by commentators.</w:t>
      </w:r>
      <w:r w:rsidR="00234075">
        <w:rPr>
          <w:rStyle w:val="FootnoteReference"/>
          <w:rFonts w:ascii="Times New Roman" w:hAnsi="Times New Roman" w:cs="Times New Roman"/>
        </w:rPr>
        <w:footnoteReference w:id="100"/>
      </w:r>
      <w:r w:rsidR="00515CAF">
        <w:rPr>
          <w:rFonts w:ascii="Times New Roman" w:hAnsi="Times New Roman" w:cs="Times New Roman"/>
        </w:rPr>
        <w:t xml:space="preserve">  There is </w:t>
      </w:r>
      <w:r w:rsidR="007869F2">
        <w:rPr>
          <w:rFonts w:ascii="Times New Roman" w:hAnsi="Times New Roman" w:cs="Times New Roman"/>
        </w:rPr>
        <w:t>a possibility t</w:t>
      </w:r>
      <w:r w:rsidR="006008A7">
        <w:rPr>
          <w:rFonts w:ascii="Times New Roman" w:hAnsi="Times New Roman" w:cs="Times New Roman"/>
        </w:rPr>
        <w:t>o expand its jurisdiction into this</w:t>
      </w:r>
      <w:r w:rsidR="00E7365D">
        <w:rPr>
          <w:rFonts w:ascii="Times New Roman" w:hAnsi="Times New Roman" w:cs="Times New Roman"/>
        </w:rPr>
        <w:t xml:space="preserve"> </w:t>
      </w:r>
      <w:r w:rsidR="003F2F11">
        <w:rPr>
          <w:rFonts w:ascii="Times New Roman" w:hAnsi="Times New Roman" w:cs="Times New Roman"/>
        </w:rPr>
        <w:t>area and i</w:t>
      </w:r>
      <w:r w:rsidR="006008A7">
        <w:rPr>
          <w:rFonts w:ascii="Times New Roman" w:hAnsi="Times New Roman" w:cs="Times New Roman"/>
        </w:rPr>
        <w:t xml:space="preserve">t </w:t>
      </w:r>
      <w:r w:rsidR="007869F2">
        <w:rPr>
          <w:rFonts w:ascii="Times New Roman" w:hAnsi="Times New Roman" w:cs="Times New Roman"/>
        </w:rPr>
        <w:t xml:space="preserve">could take the form of a review of actions of UN organs or </w:t>
      </w:r>
      <w:r w:rsidR="006008A7">
        <w:rPr>
          <w:rFonts w:ascii="Times New Roman" w:hAnsi="Times New Roman" w:cs="Times New Roman"/>
        </w:rPr>
        <w:t xml:space="preserve">of </w:t>
      </w:r>
      <w:r w:rsidR="007869F2">
        <w:rPr>
          <w:rFonts w:ascii="Times New Roman" w:hAnsi="Times New Roman" w:cs="Times New Roman"/>
        </w:rPr>
        <w:t xml:space="preserve">decisions of </w:t>
      </w:r>
      <w:r w:rsidR="00425FE3">
        <w:rPr>
          <w:rFonts w:ascii="Times New Roman" w:hAnsi="Times New Roman" w:cs="Times New Roman"/>
        </w:rPr>
        <w:t xml:space="preserve">external </w:t>
      </w:r>
      <w:r w:rsidR="007869F2">
        <w:rPr>
          <w:rFonts w:ascii="Times New Roman" w:hAnsi="Times New Roman" w:cs="Times New Roman"/>
        </w:rPr>
        <w:t>tr</w:t>
      </w:r>
      <w:r w:rsidR="00425FE3">
        <w:rPr>
          <w:rFonts w:ascii="Times New Roman" w:hAnsi="Times New Roman" w:cs="Times New Roman"/>
        </w:rPr>
        <w:t>ibunals or courts</w:t>
      </w:r>
      <w:r w:rsidR="007869F2">
        <w:rPr>
          <w:rFonts w:ascii="Times New Roman" w:hAnsi="Times New Roman" w:cs="Times New Roman"/>
        </w:rPr>
        <w:t>.</w:t>
      </w:r>
      <w:r w:rsidR="00D93F24">
        <w:rPr>
          <w:rFonts w:ascii="Times New Roman" w:hAnsi="Times New Roman" w:cs="Times New Roman"/>
        </w:rPr>
        <w:t xml:space="preserve">  </w:t>
      </w:r>
    </w:p>
    <w:p w14:paraId="09FB83A0" w14:textId="54FF1AB0" w:rsidR="000F0F53" w:rsidRDefault="000F0F53" w:rsidP="000F0F53">
      <w:pPr>
        <w:spacing w:line="360" w:lineRule="auto"/>
        <w:jc w:val="both"/>
        <w:rPr>
          <w:rFonts w:ascii="Times New Roman" w:hAnsi="Times New Roman" w:cs="Times New Roman"/>
        </w:rPr>
      </w:pPr>
      <w:r>
        <w:rPr>
          <w:rFonts w:ascii="Times New Roman" w:hAnsi="Times New Roman" w:cs="Times New Roman"/>
        </w:rPr>
        <w:lastRenderedPageBreak/>
        <w:t>Outside the UN, there is limited precedent for a hierarchy of international courts.</w:t>
      </w:r>
      <w:r>
        <w:rPr>
          <w:rStyle w:val="FootnoteReference"/>
          <w:rFonts w:ascii="Times New Roman" w:hAnsi="Times New Roman" w:cs="Times New Roman"/>
        </w:rPr>
        <w:footnoteReference w:id="101"/>
      </w:r>
      <w:r>
        <w:rPr>
          <w:rFonts w:ascii="Times New Roman" w:hAnsi="Times New Roman" w:cs="Times New Roman"/>
        </w:rPr>
        <w:t xml:space="preserve">  In 2000, then President of the ICJ, Judge Gilbert Guillaume, was pessimistic in commenting on suggestions that the ICJ act as a court of appeal for judgements of other international courts:  </w:t>
      </w:r>
    </w:p>
    <w:p w14:paraId="10F55A09" w14:textId="77777777" w:rsidR="000F0F53" w:rsidRDefault="000F0F53" w:rsidP="000F0F53">
      <w:pPr>
        <w:spacing w:line="360" w:lineRule="auto"/>
        <w:ind w:left="708"/>
        <w:jc w:val="both"/>
        <w:rPr>
          <w:rFonts w:ascii="Times New Roman" w:hAnsi="Times New Roman" w:cs="Times New Roman"/>
        </w:rPr>
      </w:pPr>
      <w:r>
        <w:rPr>
          <w:rFonts w:ascii="Times New Roman" w:hAnsi="Times New Roman" w:cs="Times New Roman"/>
        </w:rPr>
        <w:t>“This would, however, require a powerful political will on the part of states and far-reaching changes in the Court, which would need to be given substantial resources.  I am not certain whether such a will exists.”</w:t>
      </w:r>
      <w:r>
        <w:rPr>
          <w:rStyle w:val="FootnoteReference"/>
          <w:rFonts w:ascii="Times New Roman" w:hAnsi="Times New Roman" w:cs="Times New Roman"/>
        </w:rPr>
        <w:footnoteReference w:id="102"/>
      </w:r>
    </w:p>
    <w:p w14:paraId="29B74AD0" w14:textId="48E1722D" w:rsidR="007869F2" w:rsidRDefault="000F0F53" w:rsidP="00CD6578">
      <w:pPr>
        <w:spacing w:line="360" w:lineRule="auto"/>
        <w:jc w:val="both"/>
        <w:rPr>
          <w:rFonts w:ascii="Times New Roman" w:hAnsi="Times New Roman" w:cs="Times New Roman"/>
        </w:rPr>
      </w:pPr>
      <w:r>
        <w:rPr>
          <w:rFonts w:ascii="Times New Roman" w:hAnsi="Times New Roman" w:cs="Times New Roman"/>
        </w:rPr>
        <w:t>This pessim</w:t>
      </w:r>
      <w:r w:rsidR="00BC2C2B">
        <w:rPr>
          <w:rFonts w:ascii="Times New Roman" w:hAnsi="Times New Roman" w:cs="Times New Roman"/>
        </w:rPr>
        <w:t>ism seems j</w:t>
      </w:r>
      <w:r w:rsidR="00291B65">
        <w:rPr>
          <w:rFonts w:ascii="Times New Roman" w:hAnsi="Times New Roman" w:cs="Times New Roman"/>
        </w:rPr>
        <w:t xml:space="preserve">ustified </w:t>
      </w:r>
      <w:r w:rsidR="00BC2C2B">
        <w:rPr>
          <w:rFonts w:ascii="Times New Roman" w:hAnsi="Times New Roman" w:cs="Times New Roman"/>
        </w:rPr>
        <w:t>as there is no strong political drive in that direction.  W</w:t>
      </w:r>
      <w:r w:rsidR="00515CAF">
        <w:rPr>
          <w:rFonts w:ascii="Times New Roman" w:hAnsi="Times New Roman" w:cs="Times New Roman"/>
        </w:rPr>
        <w:t>ithin the UN</w:t>
      </w:r>
      <w:r w:rsidR="006008A7">
        <w:rPr>
          <w:rFonts w:ascii="Times New Roman" w:hAnsi="Times New Roman" w:cs="Times New Roman"/>
        </w:rPr>
        <w:t>, there is a sensitivity that pushes against the</w:t>
      </w:r>
      <w:r w:rsidR="00515CAF">
        <w:rPr>
          <w:rFonts w:ascii="Times New Roman" w:hAnsi="Times New Roman" w:cs="Times New Roman"/>
        </w:rPr>
        <w:t xml:space="preserve"> idea of a hierarchy and would</w:t>
      </w:r>
      <w:r w:rsidR="006008A7">
        <w:rPr>
          <w:rFonts w:ascii="Times New Roman" w:hAnsi="Times New Roman" w:cs="Times New Roman"/>
        </w:rPr>
        <w:t xml:space="preserve"> obstruct a</w:t>
      </w:r>
      <w:r w:rsidR="00BC2C2B">
        <w:rPr>
          <w:rFonts w:ascii="Times New Roman" w:hAnsi="Times New Roman" w:cs="Times New Roman"/>
        </w:rPr>
        <w:t>ny development there</w:t>
      </w:r>
      <w:r w:rsidR="006008A7">
        <w:rPr>
          <w:rFonts w:ascii="Times New Roman" w:hAnsi="Times New Roman" w:cs="Times New Roman"/>
        </w:rPr>
        <w:t>.  The Somalian representative’s com</w:t>
      </w:r>
      <w:r w:rsidR="003F2F11">
        <w:rPr>
          <w:rFonts w:ascii="Times New Roman" w:hAnsi="Times New Roman" w:cs="Times New Roman"/>
        </w:rPr>
        <w:t xml:space="preserve">ments at the Council </w:t>
      </w:r>
      <w:r w:rsidR="006008A7">
        <w:rPr>
          <w:rFonts w:ascii="Times New Roman" w:hAnsi="Times New Roman" w:cs="Times New Roman"/>
        </w:rPr>
        <w:t xml:space="preserve">vote on the </w:t>
      </w:r>
      <w:r w:rsidR="006008A7">
        <w:rPr>
          <w:rFonts w:ascii="Times New Roman" w:hAnsi="Times New Roman" w:cs="Times New Roman"/>
          <w:i/>
        </w:rPr>
        <w:t xml:space="preserve">Namibia </w:t>
      </w:r>
      <w:r w:rsidR="00515CAF">
        <w:rPr>
          <w:rFonts w:ascii="Times New Roman" w:hAnsi="Times New Roman" w:cs="Times New Roman"/>
        </w:rPr>
        <w:t>opinion are illustrative</w:t>
      </w:r>
      <w:r w:rsidR="006008A7">
        <w:rPr>
          <w:rFonts w:ascii="Times New Roman" w:hAnsi="Times New Roman" w:cs="Times New Roman"/>
        </w:rPr>
        <w:t>:</w:t>
      </w:r>
    </w:p>
    <w:p w14:paraId="77BDE035" w14:textId="08C90009" w:rsidR="006008A7" w:rsidRDefault="00D45EC8" w:rsidP="00AE234A">
      <w:pPr>
        <w:spacing w:line="360" w:lineRule="auto"/>
        <w:ind w:left="705"/>
        <w:jc w:val="both"/>
        <w:rPr>
          <w:rFonts w:ascii="Times New Roman" w:hAnsi="Times New Roman" w:cs="Times New Roman"/>
        </w:rPr>
      </w:pPr>
      <w:r>
        <w:rPr>
          <w:rFonts w:ascii="Times New Roman" w:hAnsi="Times New Roman" w:cs="Times New Roman"/>
        </w:rPr>
        <w:t>“</w:t>
      </w:r>
      <w:r w:rsidR="006008A7">
        <w:rPr>
          <w:rFonts w:ascii="Times New Roman" w:hAnsi="Times New Roman" w:cs="Times New Roman"/>
        </w:rPr>
        <w:t>[T]he Afro-Asian group of sponsors would have liked to see the term “endorses” employed…However, it was drawn to our attention…that the word “endorses” could have a different connotation.  The International Court of Justice and Security Council are two of the four main organs of the United Nations, and it might connote that one of those two was subordinate to the other.  If recognition of the equal status of those two organs is to be maintained the word “endorses” would not be the correct term, “agrees” would be more suitable.</w:t>
      </w:r>
      <w:r>
        <w:rPr>
          <w:rFonts w:ascii="Times New Roman" w:hAnsi="Times New Roman" w:cs="Times New Roman"/>
        </w:rPr>
        <w:t>”</w:t>
      </w:r>
      <w:r w:rsidR="006008A7">
        <w:rPr>
          <w:rStyle w:val="FootnoteReference"/>
          <w:rFonts w:ascii="Times New Roman" w:hAnsi="Times New Roman" w:cs="Times New Roman"/>
        </w:rPr>
        <w:footnoteReference w:id="103"/>
      </w:r>
    </w:p>
    <w:p w14:paraId="5C379264" w14:textId="068C7D89" w:rsidR="00E17CA0" w:rsidRDefault="00113A5B" w:rsidP="00D90BE2">
      <w:pPr>
        <w:spacing w:line="360" w:lineRule="auto"/>
        <w:jc w:val="both"/>
        <w:rPr>
          <w:rFonts w:ascii="Times New Roman" w:hAnsi="Times New Roman" w:cs="Times New Roman"/>
        </w:rPr>
      </w:pPr>
      <w:r>
        <w:rPr>
          <w:rFonts w:ascii="Times New Roman" w:hAnsi="Times New Roman" w:cs="Times New Roman"/>
        </w:rPr>
        <w:t>This discussion of a</w:t>
      </w:r>
      <w:r w:rsidR="0076411E">
        <w:rPr>
          <w:rFonts w:ascii="Times New Roman" w:hAnsi="Times New Roman" w:cs="Times New Roman"/>
        </w:rPr>
        <w:t xml:space="preserve"> quite subtle difference in language and the care taken in ch</w:t>
      </w:r>
      <w:r w:rsidR="000F0F53">
        <w:rPr>
          <w:rFonts w:ascii="Times New Roman" w:hAnsi="Times New Roman" w:cs="Times New Roman"/>
        </w:rPr>
        <w:t xml:space="preserve">oice of words to </w:t>
      </w:r>
      <w:r w:rsidR="002A5599">
        <w:rPr>
          <w:rFonts w:ascii="Times New Roman" w:hAnsi="Times New Roman" w:cs="Times New Roman"/>
        </w:rPr>
        <w:t xml:space="preserve">precisely </w:t>
      </w:r>
      <w:r w:rsidR="000F0F53">
        <w:rPr>
          <w:rFonts w:ascii="Times New Roman" w:hAnsi="Times New Roman" w:cs="Times New Roman"/>
        </w:rPr>
        <w:t xml:space="preserve">project the desired meaning </w:t>
      </w:r>
      <w:r w:rsidR="0076411E">
        <w:rPr>
          <w:rFonts w:ascii="Times New Roman" w:hAnsi="Times New Roman" w:cs="Times New Roman"/>
        </w:rPr>
        <w:t>is a neat illustration of t</w:t>
      </w:r>
      <w:r w:rsidR="000F0F53">
        <w:rPr>
          <w:rFonts w:ascii="Times New Roman" w:hAnsi="Times New Roman" w:cs="Times New Roman"/>
        </w:rPr>
        <w:t xml:space="preserve">he depth of concern that obstructs any development towards placing the ICJ above </w:t>
      </w:r>
      <w:r w:rsidR="00BC2C2B">
        <w:rPr>
          <w:rFonts w:ascii="Times New Roman" w:hAnsi="Times New Roman" w:cs="Times New Roman"/>
        </w:rPr>
        <w:t xml:space="preserve">the Council.  </w:t>
      </w:r>
    </w:p>
    <w:p w14:paraId="72C00556" w14:textId="10D1CF2C" w:rsidR="00537881" w:rsidRDefault="00537881" w:rsidP="00D90BE2">
      <w:pPr>
        <w:spacing w:line="360" w:lineRule="auto"/>
        <w:jc w:val="both"/>
        <w:rPr>
          <w:rFonts w:ascii="Times New Roman" w:hAnsi="Times New Roman" w:cs="Times New Roman"/>
        </w:rPr>
      </w:pPr>
      <w:r>
        <w:rPr>
          <w:rFonts w:ascii="Times New Roman" w:hAnsi="Times New Roman" w:cs="Times New Roman"/>
        </w:rPr>
        <w:t xml:space="preserve">All in all then, although there have been efforts in the past to broaden access to the advisory jurisdiction, there are </w:t>
      </w:r>
      <w:r w:rsidR="00113A5B">
        <w:rPr>
          <w:rFonts w:ascii="Times New Roman" w:hAnsi="Times New Roman" w:cs="Times New Roman"/>
        </w:rPr>
        <w:t xml:space="preserve">currently no pressing claims </w:t>
      </w:r>
      <w:r>
        <w:rPr>
          <w:rFonts w:ascii="Times New Roman" w:hAnsi="Times New Roman" w:cs="Times New Roman"/>
        </w:rPr>
        <w:t>and expansio</w:t>
      </w:r>
      <w:r w:rsidR="00553EFC">
        <w:rPr>
          <w:rFonts w:ascii="Times New Roman" w:hAnsi="Times New Roman" w:cs="Times New Roman"/>
        </w:rPr>
        <w:t>n therefore seems very unlikely.</w:t>
      </w:r>
      <w:r>
        <w:rPr>
          <w:rFonts w:ascii="Times New Roman" w:hAnsi="Times New Roman" w:cs="Times New Roman"/>
        </w:rPr>
        <w:t xml:space="preserve"> </w:t>
      </w:r>
      <w:r w:rsidR="00553EFC">
        <w:rPr>
          <w:rFonts w:ascii="Times New Roman" w:hAnsi="Times New Roman" w:cs="Times New Roman"/>
        </w:rPr>
        <w:t>I</w:t>
      </w:r>
      <w:r w:rsidR="00113A5B">
        <w:rPr>
          <w:rFonts w:ascii="Times New Roman" w:hAnsi="Times New Roman" w:cs="Times New Roman"/>
        </w:rPr>
        <w:t>n addition, procedural factors w</w:t>
      </w:r>
      <w:r w:rsidR="00553EFC">
        <w:rPr>
          <w:rFonts w:ascii="Times New Roman" w:hAnsi="Times New Roman" w:cs="Times New Roman"/>
        </w:rPr>
        <w:t>ould provide an obstacle should any proposal garner support.  I</w:t>
      </w:r>
      <w:r>
        <w:rPr>
          <w:rFonts w:ascii="Times New Roman" w:hAnsi="Times New Roman" w:cs="Times New Roman"/>
        </w:rPr>
        <w:t>f a change needed amendment of the Statute</w:t>
      </w:r>
      <w:r>
        <w:rPr>
          <w:rStyle w:val="FootnoteReference"/>
          <w:rFonts w:ascii="Times New Roman" w:hAnsi="Times New Roman" w:cs="Times New Roman"/>
        </w:rPr>
        <w:footnoteReference w:id="104"/>
      </w:r>
      <w:r>
        <w:rPr>
          <w:rFonts w:ascii="Times New Roman" w:hAnsi="Times New Roman" w:cs="Times New Roman"/>
        </w:rPr>
        <w:t xml:space="preserve"> the procedure is the same </w:t>
      </w:r>
      <w:r w:rsidR="00113A5B">
        <w:rPr>
          <w:rFonts w:ascii="Times New Roman" w:hAnsi="Times New Roman" w:cs="Times New Roman"/>
        </w:rPr>
        <w:t>as that provided by the Charter</w:t>
      </w:r>
      <w:r>
        <w:rPr>
          <w:rStyle w:val="FootnoteReference"/>
          <w:rFonts w:ascii="Times New Roman" w:hAnsi="Times New Roman" w:cs="Times New Roman"/>
        </w:rPr>
        <w:footnoteReference w:id="105"/>
      </w:r>
      <w:r>
        <w:rPr>
          <w:rFonts w:ascii="Times New Roman" w:hAnsi="Times New Roman" w:cs="Times New Roman"/>
        </w:rPr>
        <w:t xml:space="preserve"> for Charter amendments and </w:t>
      </w:r>
      <w:r w:rsidR="00113A5B">
        <w:rPr>
          <w:rFonts w:ascii="Times New Roman" w:hAnsi="Times New Roman" w:cs="Times New Roman"/>
        </w:rPr>
        <w:t xml:space="preserve">it </w:t>
      </w:r>
      <w:r>
        <w:rPr>
          <w:rFonts w:ascii="Times New Roman" w:hAnsi="Times New Roman" w:cs="Times New Roman"/>
        </w:rPr>
        <w:t>is not straightforward,</w:t>
      </w:r>
      <w:r>
        <w:rPr>
          <w:rStyle w:val="FootnoteReference"/>
          <w:rFonts w:ascii="Times New Roman" w:hAnsi="Times New Roman" w:cs="Times New Roman"/>
        </w:rPr>
        <w:footnoteReference w:id="106"/>
      </w:r>
      <w:r>
        <w:rPr>
          <w:rFonts w:ascii="Times New Roman" w:hAnsi="Times New Roman" w:cs="Times New Roman"/>
        </w:rPr>
        <w:t xml:space="preserve"> requiring a two-thirds majority in the Assembly and ratification of two-thirds of the members of the UN, including </w:t>
      </w:r>
      <w:r>
        <w:rPr>
          <w:rFonts w:ascii="Times New Roman" w:hAnsi="Times New Roman" w:cs="Times New Roman"/>
          <w:i/>
        </w:rPr>
        <w:t xml:space="preserve">all </w:t>
      </w:r>
      <w:r>
        <w:rPr>
          <w:rFonts w:ascii="Times New Roman" w:hAnsi="Times New Roman" w:cs="Times New Roman"/>
        </w:rPr>
        <w:t xml:space="preserve">five permanent members (P5) of the </w:t>
      </w:r>
      <w:r>
        <w:rPr>
          <w:rFonts w:ascii="Times New Roman" w:hAnsi="Times New Roman" w:cs="Times New Roman"/>
        </w:rPr>
        <w:lastRenderedPageBreak/>
        <w:t>Security Council.  It has barely been used</w:t>
      </w:r>
      <w:r>
        <w:rPr>
          <w:rStyle w:val="FootnoteReference"/>
          <w:rFonts w:ascii="Times New Roman" w:hAnsi="Times New Roman" w:cs="Times New Roman"/>
        </w:rPr>
        <w:footnoteReference w:id="107"/>
      </w:r>
      <w:r>
        <w:rPr>
          <w:rFonts w:ascii="Times New Roman" w:hAnsi="Times New Roman" w:cs="Times New Roman"/>
        </w:rPr>
        <w:t xml:space="preserve"> and the P5 ratification requirement means it is unlikely to be used for the Court.  Compulsory jurisdiction has been accepted by only one permanent member, the UK,</w:t>
      </w:r>
      <w:r>
        <w:rPr>
          <w:rStyle w:val="FootnoteReference"/>
          <w:rFonts w:ascii="Times New Roman" w:hAnsi="Times New Roman" w:cs="Times New Roman"/>
        </w:rPr>
        <w:footnoteReference w:id="108"/>
      </w:r>
      <w:r>
        <w:rPr>
          <w:rFonts w:ascii="Times New Roman" w:hAnsi="Times New Roman" w:cs="Times New Roman"/>
        </w:rPr>
        <w:t xml:space="preserve"> and the attitude of the others seemingly lies on a spectrum from indifference (China) through </w:t>
      </w:r>
      <w:r w:rsidRPr="007C0801">
        <w:rPr>
          <w:rFonts w:ascii="Times New Roman" w:hAnsi="Times New Roman" w:cs="Times New Roman"/>
        </w:rPr>
        <w:t>degrees of antipathy based on bruising encounters</w:t>
      </w:r>
      <w:r>
        <w:rPr>
          <w:rFonts w:ascii="Times New Roman" w:hAnsi="Times New Roman" w:cs="Times New Roman"/>
        </w:rPr>
        <w:t xml:space="preserve"> in th</w:t>
      </w:r>
      <w:r w:rsidR="00507FA7">
        <w:rPr>
          <w:rFonts w:ascii="Times New Roman" w:hAnsi="Times New Roman" w:cs="Times New Roman"/>
        </w:rPr>
        <w:t>e contentious arena (France, the US</w:t>
      </w:r>
      <w:r>
        <w:rPr>
          <w:rFonts w:ascii="Times New Roman" w:hAnsi="Times New Roman" w:cs="Times New Roman"/>
        </w:rPr>
        <w:t xml:space="preserve"> and the Russian Federation).  </w:t>
      </w:r>
      <w:r w:rsidRPr="00537881">
        <w:rPr>
          <w:rFonts w:ascii="Times New Roman" w:hAnsi="Times New Roman" w:cs="Times New Roman"/>
        </w:rPr>
        <w:t>It is likely th</w:t>
      </w:r>
      <w:r w:rsidRPr="00F006D1">
        <w:rPr>
          <w:rFonts w:ascii="Times New Roman" w:hAnsi="Times New Roman" w:cs="Times New Roman"/>
        </w:rPr>
        <w:t xml:space="preserve">erefore that any changes </w:t>
      </w:r>
      <w:r w:rsidRPr="00537881">
        <w:rPr>
          <w:rFonts w:ascii="Times New Roman" w:hAnsi="Times New Roman" w:cs="Times New Roman"/>
        </w:rPr>
        <w:t>to the operation of the advisory proceedings would be capable of implementation only if no Statute amendment was required.</w:t>
      </w:r>
    </w:p>
    <w:p w14:paraId="2BD0CDD9" w14:textId="6A42ED0E" w:rsidR="00EE78CB" w:rsidRPr="00553EFC" w:rsidRDefault="00F440FF" w:rsidP="00D90BE2">
      <w:pPr>
        <w:spacing w:line="360" w:lineRule="auto"/>
        <w:jc w:val="both"/>
        <w:rPr>
          <w:rFonts w:ascii="Times New Roman" w:hAnsi="Times New Roman" w:cs="Times New Roman"/>
          <w:i/>
        </w:rPr>
      </w:pPr>
      <w:r>
        <w:rPr>
          <w:rFonts w:ascii="Times New Roman" w:hAnsi="Times New Roman" w:cs="Times New Roman"/>
          <w:i/>
        </w:rPr>
        <w:t xml:space="preserve">Review of tribunal judgements:  </w:t>
      </w:r>
      <w:r w:rsidR="0050221F">
        <w:rPr>
          <w:rFonts w:ascii="Times New Roman" w:hAnsi="Times New Roman" w:cs="Times New Roman"/>
          <w:i/>
        </w:rPr>
        <w:t>an</w:t>
      </w:r>
      <w:r w:rsidR="00EE78CB" w:rsidRPr="00553EFC">
        <w:rPr>
          <w:rFonts w:ascii="Times New Roman" w:hAnsi="Times New Roman" w:cs="Times New Roman"/>
          <w:i/>
        </w:rPr>
        <w:t xml:space="preserve"> anoma</w:t>
      </w:r>
      <w:r w:rsidR="00553EFC" w:rsidRPr="00553EFC">
        <w:rPr>
          <w:rFonts w:ascii="Times New Roman" w:hAnsi="Times New Roman" w:cs="Times New Roman"/>
          <w:i/>
        </w:rPr>
        <w:t>ly of the advisory jurisdiction</w:t>
      </w:r>
      <w:r w:rsidR="001C4EFD">
        <w:rPr>
          <w:rFonts w:ascii="Times New Roman" w:hAnsi="Times New Roman" w:cs="Times New Roman"/>
          <w:i/>
        </w:rPr>
        <w:t xml:space="preserve"> now eliminated</w:t>
      </w:r>
    </w:p>
    <w:p w14:paraId="46F96F15" w14:textId="46D2ADA5" w:rsidR="000D5669" w:rsidRDefault="000D5669" w:rsidP="00D90BE2">
      <w:pPr>
        <w:spacing w:line="360" w:lineRule="auto"/>
        <w:jc w:val="both"/>
        <w:rPr>
          <w:rFonts w:ascii="Times New Roman" w:hAnsi="Times New Roman" w:cs="Times New Roman"/>
        </w:rPr>
      </w:pPr>
      <w:r>
        <w:rPr>
          <w:rFonts w:ascii="Times New Roman" w:hAnsi="Times New Roman" w:cs="Times New Roman"/>
        </w:rPr>
        <w:t>A</w:t>
      </w:r>
      <w:r w:rsidR="00EE78CB" w:rsidRPr="00F006D1">
        <w:rPr>
          <w:rFonts w:ascii="Times New Roman" w:hAnsi="Times New Roman" w:cs="Times New Roman"/>
        </w:rPr>
        <w:t xml:space="preserve"> review of th</w:t>
      </w:r>
      <w:r w:rsidR="00553EFC">
        <w:rPr>
          <w:rFonts w:ascii="Times New Roman" w:hAnsi="Times New Roman" w:cs="Times New Roman"/>
        </w:rPr>
        <w:t xml:space="preserve">e ICJ’s advisory jurisdiction </w:t>
      </w:r>
      <w:r w:rsidR="00EE78CB" w:rsidRPr="00F006D1">
        <w:rPr>
          <w:rFonts w:ascii="Times New Roman" w:hAnsi="Times New Roman" w:cs="Times New Roman"/>
        </w:rPr>
        <w:t xml:space="preserve">inevitably prompts enquiry into </w:t>
      </w:r>
      <w:r w:rsidR="00553EFC">
        <w:rPr>
          <w:rFonts w:ascii="Times New Roman" w:hAnsi="Times New Roman" w:cs="Times New Roman"/>
        </w:rPr>
        <w:t>possible contraction as well as expansion</w:t>
      </w:r>
      <w:r w:rsidR="00EE78CB" w:rsidRPr="00F006D1">
        <w:rPr>
          <w:rFonts w:ascii="Times New Roman" w:hAnsi="Times New Roman" w:cs="Times New Roman"/>
        </w:rPr>
        <w:t>.</w:t>
      </w:r>
      <w:r w:rsidR="00EE78CB">
        <w:rPr>
          <w:rFonts w:ascii="Times New Roman" w:hAnsi="Times New Roman" w:cs="Times New Roman"/>
        </w:rPr>
        <w:t xml:space="preserve">  </w:t>
      </w:r>
      <w:r w:rsidR="00DA5DD0">
        <w:rPr>
          <w:rFonts w:ascii="Times New Roman" w:hAnsi="Times New Roman" w:cs="Times New Roman"/>
        </w:rPr>
        <w:t>A longstanding anomaly was recently addressed when t</w:t>
      </w:r>
      <w:r w:rsidR="00EE78CB">
        <w:rPr>
          <w:rFonts w:ascii="Times New Roman" w:hAnsi="Times New Roman" w:cs="Times New Roman"/>
        </w:rPr>
        <w:t xml:space="preserve">he </w:t>
      </w:r>
      <w:r w:rsidR="009D3D25">
        <w:rPr>
          <w:rFonts w:ascii="Times New Roman" w:hAnsi="Times New Roman" w:cs="Times New Roman"/>
        </w:rPr>
        <w:t>ability</w:t>
      </w:r>
      <w:r w:rsidR="00EE78CB">
        <w:rPr>
          <w:rFonts w:ascii="Times New Roman" w:hAnsi="Times New Roman" w:cs="Times New Roman"/>
        </w:rPr>
        <w:t xml:space="preserve"> of the Court to review judgements of the Administrative Tribunal of the International Labour Organiza</w:t>
      </w:r>
      <w:r w:rsidR="000F0B68">
        <w:rPr>
          <w:rFonts w:ascii="Times New Roman" w:hAnsi="Times New Roman" w:cs="Times New Roman"/>
        </w:rPr>
        <w:t xml:space="preserve">tion (ILOAT) </w:t>
      </w:r>
      <w:r w:rsidR="009D3D25">
        <w:rPr>
          <w:rFonts w:ascii="Times New Roman" w:hAnsi="Times New Roman" w:cs="Times New Roman"/>
        </w:rPr>
        <w:t xml:space="preserve">was </w:t>
      </w:r>
      <w:r w:rsidR="00DA5DD0">
        <w:rPr>
          <w:rFonts w:ascii="Times New Roman" w:hAnsi="Times New Roman" w:cs="Times New Roman"/>
        </w:rPr>
        <w:t>withdrawn</w:t>
      </w:r>
      <w:r w:rsidR="00D170EC">
        <w:rPr>
          <w:rFonts w:ascii="Times New Roman" w:hAnsi="Times New Roman" w:cs="Times New Roman"/>
        </w:rPr>
        <w:t xml:space="preserve"> through action by the ILO</w:t>
      </w:r>
      <w:r w:rsidR="009D3D25">
        <w:rPr>
          <w:rFonts w:ascii="Times New Roman" w:hAnsi="Times New Roman" w:cs="Times New Roman"/>
        </w:rPr>
        <w:t>.</w:t>
      </w:r>
      <w:r>
        <w:rPr>
          <w:rFonts w:ascii="Times New Roman" w:hAnsi="Times New Roman" w:cs="Times New Roman"/>
        </w:rPr>
        <w:t xml:space="preserve"> </w:t>
      </w:r>
      <w:r w:rsidR="009D3D25">
        <w:rPr>
          <w:rFonts w:ascii="Times New Roman" w:hAnsi="Times New Roman" w:cs="Times New Roman"/>
        </w:rPr>
        <w:t xml:space="preserve">This </w:t>
      </w:r>
      <w:r>
        <w:rPr>
          <w:rFonts w:ascii="Times New Roman" w:hAnsi="Times New Roman" w:cs="Times New Roman"/>
        </w:rPr>
        <w:t xml:space="preserve">review power </w:t>
      </w:r>
      <w:r w:rsidR="00DA5DD0">
        <w:rPr>
          <w:rFonts w:ascii="Times New Roman" w:hAnsi="Times New Roman" w:cs="Times New Roman"/>
        </w:rPr>
        <w:t>had been</w:t>
      </w:r>
      <w:r w:rsidR="009D3D25">
        <w:rPr>
          <w:rFonts w:ascii="Times New Roman" w:hAnsi="Times New Roman" w:cs="Times New Roman"/>
        </w:rPr>
        <w:t xml:space="preserve"> out of </w:t>
      </w:r>
      <w:r>
        <w:rPr>
          <w:rFonts w:ascii="Times New Roman" w:hAnsi="Times New Roman" w:cs="Times New Roman"/>
        </w:rPr>
        <w:t xml:space="preserve"> line with the stature of the Court’s other activities, and</w:t>
      </w:r>
      <w:r w:rsidR="001C7028">
        <w:rPr>
          <w:rFonts w:ascii="Times New Roman" w:hAnsi="Times New Roman" w:cs="Times New Roman"/>
        </w:rPr>
        <w:t>,</w:t>
      </w:r>
      <w:r>
        <w:rPr>
          <w:rFonts w:ascii="Times New Roman" w:hAnsi="Times New Roman" w:cs="Times New Roman"/>
        </w:rPr>
        <w:t xml:space="preserve"> more importantly, the</w:t>
      </w:r>
      <w:r w:rsidR="00291B65">
        <w:rPr>
          <w:rFonts w:ascii="Times New Roman" w:hAnsi="Times New Roman" w:cs="Times New Roman"/>
        </w:rPr>
        <w:t xml:space="preserve"> principle of equality before a c</w:t>
      </w:r>
      <w:r w:rsidR="00113A5B">
        <w:rPr>
          <w:rFonts w:ascii="Times New Roman" w:hAnsi="Times New Roman" w:cs="Times New Roman"/>
        </w:rPr>
        <w:t xml:space="preserve">ourt </w:t>
      </w:r>
      <w:r w:rsidR="00DA5DD0">
        <w:rPr>
          <w:rFonts w:ascii="Times New Roman" w:hAnsi="Times New Roman" w:cs="Times New Roman"/>
        </w:rPr>
        <w:t xml:space="preserve">was </w:t>
      </w:r>
      <w:r>
        <w:rPr>
          <w:rFonts w:ascii="Times New Roman" w:hAnsi="Times New Roman" w:cs="Times New Roman"/>
        </w:rPr>
        <w:t xml:space="preserve">not </w:t>
      </w:r>
      <w:r w:rsidR="00DA5DD0">
        <w:rPr>
          <w:rFonts w:ascii="Times New Roman" w:hAnsi="Times New Roman" w:cs="Times New Roman"/>
          <w:i/>
        </w:rPr>
        <w:t xml:space="preserve">prima </w:t>
      </w:r>
      <w:r w:rsidR="00DA5DD0" w:rsidRPr="00081CCC">
        <w:rPr>
          <w:rFonts w:ascii="Times New Roman" w:hAnsi="Times New Roman" w:cs="Times New Roman"/>
        </w:rPr>
        <w:t>facie</w:t>
      </w:r>
      <w:r w:rsidR="00DA5DD0">
        <w:rPr>
          <w:rFonts w:ascii="Times New Roman" w:hAnsi="Times New Roman" w:cs="Times New Roman"/>
        </w:rPr>
        <w:t xml:space="preserve"> </w:t>
      </w:r>
      <w:r w:rsidRPr="00DA5DD0">
        <w:rPr>
          <w:rFonts w:ascii="Times New Roman" w:hAnsi="Times New Roman" w:cs="Times New Roman"/>
        </w:rPr>
        <w:t>met</w:t>
      </w:r>
      <w:r>
        <w:rPr>
          <w:rFonts w:ascii="Times New Roman" w:hAnsi="Times New Roman" w:cs="Times New Roman"/>
        </w:rPr>
        <w:t xml:space="preserve"> in such cases.</w:t>
      </w:r>
    </w:p>
    <w:p w14:paraId="312A9052" w14:textId="62AEA41B" w:rsidR="00EE78CB" w:rsidRDefault="000D5669" w:rsidP="00EE78CB">
      <w:pPr>
        <w:spacing w:line="360" w:lineRule="auto"/>
        <w:jc w:val="both"/>
        <w:rPr>
          <w:rFonts w:ascii="Times New Roman" w:hAnsi="Times New Roman" w:cs="Times New Roman"/>
        </w:rPr>
      </w:pPr>
      <w:r>
        <w:rPr>
          <w:rFonts w:ascii="Times New Roman" w:hAnsi="Times New Roman" w:cs="Times New Roman"/>
        </w:rPr>
        <w:t xml:space="preserve">This </w:t>
      </w:r>
      <w:r w:rsidR="00DA5DD0">
        <w:rPr>
          <w:rFonts w:ascii="Times New Roman" w:hAnsi="Times New Roman" w:cs="Times New Roman"/>
        </w:rPr>
        <w:t>issue of equality</w:t>
      </w:r>
      <w:r>
        <w:rPr>
          <w:rFonts w:ascii="Times New Roman" w:hAnsi="Times New Roman" w:cs="Times New Roman"/>
        </w:rPr>
        <w:t xml:space="preserve"> </w:t>
      </w:r>
      <w:r w:rsidR="00DA5DD0">
        <w:rPr>
          <w:rFonts w:ascii="Times New Roman" w:hAnsi="Times New Roman" w:cs="Times New Roman"/>
        </w:rPr>
        <w:t>had been</w:t>
      </w:r>
      <w:r w:rsidR="00EE78CB">
        <w:rPr>
          <w:rFonts w:ascii="Times New Roman" w:hAnsi="Times New Roman" w:cs="Times New Roman"/>
        </w:rPr>
        <w:t xml:space="preserve"> raised in </w:t>
      </w:r>
      <w:r>
        <w:rPr>
          <w:rFonts w:ascii="Times New Roman" w:hAnsi="Times New Roman" w:cs="Times New Roman"/>
          <w:i/>
        </w:rPr>
        <w:t>Judgement No. 2867</w:t>
      </w:r>
      <w:r w:rsidR="00EE78CB">
        <w:rPr>
          <w:rStyle w:val="FootnoteReference"/>
          <w:rFonts w:ascii="Times New Roman" w:hAnsi="Times New Roman" w:cs="Times New Roman"/>
        </w:rPr>
        <w:footnoteReference w:id="109"/>
      </w:r>
      <w:r w:rsidR="00113A5B">
        <w:rPr>
          <w:rFonts w:ascii="Times New Roman" w:hAnsi="Times New Roman" w:cs="Times New Roman"/>
        </w:rPr>
        <w:t xml:space="preserve"> and</w:t>
      </w:r>
      <w:r w:rsidR="00EE78CB">
        <w:rPr>
          <w:rFonts w:ascii="Times New Roman" w:hAnsi="Times New Roman" w:cs="Times New Roman"/>
        </w:rPr>
        <w:t xml:space="preserve"> canvass</w:t>
      </w:r>
      <w:r w:rsidR="00113A5B">
        <w:rPr>
          <w:rFonts w:ascii="Times New Roman" w:hAnsi="Times New Roman" w:cs="Times New Roman"/>
        </w:rPr>
        <w:t xml:space="preserve">ed four times previously without being </w:t>
      </w:r>
      <w:r w:rsidR="00EE78CB">
        <w:rPr>
          <w:rFonts w:ascii="Times New Roman" w:hAnsi="Times New Roman" w:cs="Times New Roman"/>
        </w:rPr>
        <w:t>resolved.</w:t>
      </w:r>
      <w:r w:rsidR="00EE78CB">
        <w:rPr>
          <w:rStyle w:val="FootnoteReference"/>
          <w:rFonts w:ascii="Times New Roman" w:hAnsi="Times New Roman" w:cs="Times New Roman"/>
        </w:rPr>
        <w:footnoteReference w:id="110"/>
      </w:r>
      <w:r w:rsidR="00EE78CB">
        <w:rPr>
          <w:rFonts w:ascii="Times New Roman" w:hAnsi="Times New Roman" w:cs="Times New Roman"/>
        </w:rPr>
        <w:t xml:space="preserve">  The Assembly’s decision in 1995 to remove the provision for review of UNAT decisions </w:t>
      </w:r>
      <w:r w:rsidR="00DA5DD0">
        <w:rPr>
          <w:rFonts w:ascii="Times New Roman" w:hAnsi="Times New Roman" w:cs="Times New Roman"/>
        </w:rPr>
        <w:t xml:space="preserve">had </w:t>
      </w:r>
      <w:r w:rsidR="00EE78CB">
        <w:rPr>
          <w:rFonts w:ascii="Times New Roman" w:hAnsi="Times New Roman" w:cs="Times New Roman"/>
        </w:rPr>
        <w:t>mean</w:t>
      </w:r>
      <w:r w:rsidR="00DA5DD0">
        <w:rPr>
          <w:rFonts w:ascii="Times New Roman" w:hAnsi="Times New Roman" w:cs="Times New Roman"/>
        </w:rPr>
        <w:t>t</w:t>
      </w:r>
      <w:r w:rsidR="00EE78CB">
        <w:rPr>
          <w:rFonts w:ascii="Times New Roman" w:hAnsi="Times New Roman" w:cs="Times New Roman"/>
        </w:rPr>
        <w:t xml:space="preserve"> that it </w:t>
      </w:r>
      <w:r w:rsidR="00DA5DD0">
        <w:rPr>
          <w:rFonts w:ascii="Times New Roman" w:hAnsi="Times New Roman" w:cs="Times New Roman"/>
        </w:rPr>
        <w:t>wa</w:t>
      </w:r>
      <w:r w:rsidR="00EE78CB">
        <w:rPr>
          <w:rFonts w:ascii="Times New Roman" w:hAnsi="Times New Roman" w:cs="Times New Roman"/>
        </w:rPr>
        <w:t>s no longer relevant there</w:t>
      </w:r>
      <w:r w:rsidR="00EE78CB" w:rsidRPr="000D5669">
        <w:rPr>
          <w:rFonts w:ascii="Times New Roman" w:hAnsi="Times New Roman" w:cs="Times New Roman"/>
        </w:rPr>
        <w:t>.</w:t>
      </w:r>
      <w:r w:rsidR="00EE78CB" w:rsidRPr="000D5669">
        <w:rPr>
          <w:rStyle w:val="FootnoteReference"/>
          <w:rFonts w:ascii="Times New Roman" w:hAnsi="Times New Roman" w:cs="Times New Roman"/>
        </w:rPr>
        <w:footnoteReference w:id="111"/>
      </w:r>
      <w:r>
        <w:rPr>
          <w:rStyle w:val="CommentReference"/>
        </w:rPr>
        <w:t xml:space="preserve">  </w:t>
      </w:r>
      <w:r>
        <w:rPr>
          <w:rFonts w:ascii="Times New Roman" w:hAnsi="Times New Roman" w:cs="Times New Roman"/>
        </w:rPr>
        <w:t>Th</w:t>
      </w:r>
      <w:r w:rsidR="00EE78CB" w:rsidRPr="000D5669">
        <w:rPr>
          <w:rFonts w:ascii="Times New Roman" w:hAnsi="Times New Roman" w:cs="Times New Roman"/>
        </w:rPr>
        <w:t xml:space="preserve">e inequality </w:t>
      </w:r>
      <w:r w:rsidR="00DA5DD0">
        <w:rPr>
          <w:rFonts w:ascii="Times New Roman" w:hAnsi="Times New Roman" w:cs="Times New Roman"/>
        </w:rPr>
        <w:t>had arisen</w:t>
      </w:r>
      <w:r w:rsidR="00EE78CB" w:rsidRPr="000D5669">
        <w:rPr>
          <w:rFonts w:ascii="Times New Roman" w:hAnsi="Times New Roman" w:cs="Times New Roman"/>
        </w:rPr>
        <w:t xml:space="preserve"> because in proceedings reviewing judgements of administrative tribunals it was not possible</w:t>
      </w:r>
      <w:r w:rsidR="00EE78CB">
        <w:rPr>
          <w:rFonts w:ascii="Times New Roman" w:hAnsi="Times New Roman" w:cs="Times New Roman"/>
        </w:rPr>
        <w:t xml:space="preserve"> for the official making the complaint, </w:t>
      </w:r>
      <w:r w:rsidR="00DA5DD0" w:rsidRPr="00081CCC">
        <w:rPr>
          <w:rFonts w:ascii="Times New Roman" w:hAnsi="Times New Roman" w:cs="Times New Roman"/>
          <w:i/>
        </w:rPr>
        <w:t>in Judgement No. 2867</w:t>
      </w:r>
      <w:r w:rsidR="00EE78CB">
        <w:rPr>
          <w:rFonts w:ascii="Times New Roman" w:hAnsi="Times New Roman" w:cs="Times New Roman"/>
        </w:rPr>
        <w:t xml:space="preserve"> Miss Saez García, to address communications directly to the ICJ.</w:t>
      </w:r>
      <w:r w:rsidR="00EE78CB">
        <w:rPr>
          <w:rStyle w:val="FootnoteReference"/>
          <w:rFonts w:ascii="Times New Roman" w:hAnsi="Times New Roman" w:cs="Times New Roman"/>
        </w:rPr>
        <w:footnoteReference w:id="112"/>
      </w:r>
      <w:r w:rsidR="00BC2C2B">
        <w:rPr>
          <w:rFonts w:ascii="Times New Roman" w:hAnsi="Times New Roman" w:cs="Times New Roman"/>
        </w:rPr>
        <w:t xml:space="preserve">  </w:t>
      </w:r>
      <w:r w:rsidR="00EE78CB">
        <w:rPr>
          <w:rFonts w:ascii="Times New Roman" w:hAnsi="Times New Roman" w:cs="Times New Roman"/>
        </w:rPr>
        <w:t xml:space="preserve">Noting this, the Court </w:t>
      </w:r>
      <w:r w:rsidR="00DA5DD0">
        <w:rPr>
          <w:rFonts w:ascii="Times New Roman" w:hAnsi="Times New Roman" w:cs="Times New Roman"/>
        </w:rPr>
        <w:t>had taken</w:t>
      </w:r>
      <w:r w:rsidR="00EE78CB">
        <w:rPr>
          <w:rFonts w:ascii="Times New Roman" w:hAnsi="Times New Roman" w:cs="Times New Roman"/>
        </w:rPr>
        <w:t xml:space="preserve"> two steps to redress the imbalance.</w:t>
      </w:r>
      <w:r w:rsidR="00EE78CB">
        <w:rPr>
          <w:rStyle w:val="FootnoteReference"/>
          <w:rFonts w:ascii="Times New Roman" w:hAnsi="Times New Roman" w:cs="Times New Roman"/>
        </w:rPr>
        <w:footnoteReference w:id="113"/>
      </w:r>
      <w:r w:rsidR="00EE78CB">
        <w:rPr>
          <w:rFonts w:ascii="Times New Roman" w:hAnsi="Times New Roman" w:cs="Times New Roman"/>
        </w:rPr>
        <w:t xml:space="preserve">  Miss Saez García’s views were routed </w:t>
      </w:r>
      <w:r w:rsidR="00EE78CB" w:rsidRPr="00302C82">
        <w:rPr>
          <w:rFonts w:ascii="Times New Roman" w:hAnsi="Times New Roman" w:cs="Times New Roman"/>
        </w:rPr>
        <w:t>via the President of the International Fund f</w:t>
      </w:r>
      <w:r w:rsidR="00EE78CB">
        <w:rPr>
          <w:rFonts w:ascii="Times New Roman" w:hAnsi="Times New Roman" w:cs="Times New Roman"/>
        </w:rPr>
        <w:t>or Agricultural Development and there were</w:t>
      </w:r>
      <w:r w:rsidR="00EE78CB" w:rsidRPr="00302C82">
        <w:rPr>
          <w:rFonts w:ascii="Times New Roman" w:hAnsi="Times New Roman" w:cs="Times New Roman"/>
        </w:rPr>
        <w:t xml:space="preserve"> no oral proceedings</w:t>
      </w:r>
      <w:r w:rsidR="00EE78CB">
        <w:rPr>
          <w:rFonts w:ascii="Times New Roman" w:hAnsi="Times New Roman" w:cs="Times New Roman"/>
        </w:rPr>
        <w:t>.  While these measures allowed the Court to determine that the principle of equality had been met,</w:t>
      </w:r>
      <w:r w:rsidR="00EE78CB">
        <w:rPr>
          <w:rStyle w:val="FootnoteReference"/>
          <w:rFonts w:ascii="Times New Roman" w:hAnsi="Times New Roman" w:cs="Times New Roman"/>
        </w:rPr>
        <w:footnoteReference w:id="114"/>
      </w:r>
      <w:r w:rsidR="00EE78CB">
        <w:rPr>
          <w:rFonts w:ascii="Times New Roman" w:hAnsi="Times New Roman" w:cs="Times New Roman"/>
        </w:rPr>
        <w:t xml:space="preserve"> this state of affairs remain</w:t>
      </w:r>
      <w:r w:rsidR="00DA5DD0">
        <w:rPr>
          <w:rFonts w:ascii="Times New Roman" w:hAnsi="Times New Roman" w:cs="Times New Roman"/>
        </w:rPr>
        <w:t>ed</w:t>
      </w:r>
      <w:r w:rsidR="00EE78CB">
        <w:rPr>
          <w:rFonts w:ascii="Times New Roman" w:hAnsi="Times New Roman" w:cs="Times New Roman"/>
        </w:rPr>
        <w:t xml:space="preserve"> unsatisfactory in that equality before the law </w:t>
      </w:r>
      <w:r w:rsidR="00DA5DD0">
        <w:rPr>
          <w:rFonts w:ascii="Times New Roman" w:hAnsi="Times New Roman" w:cs="Times New Roman"/>
        </w:rPr>
        <w:t>wa</w:t>
      </w:r>
      <w:r w:rsidR="00EE78CB">
        <w:rPr>
          <w:rFonts w:ascii="Times New Roman" w:hAnsi="Times New Roman" w:cs="Times New Roman"/>
        </w:rPr>
        <w:t xml:space="preserve">s </w:t>
      </w:r>
      <w:r w:rsidR="00EE78CB">
        <w:rPr>
          <w:rFonts w:ascii="Times New Roman" w:hAnsi="Times New Roman" w:cs="Times New Roman"/>
        </w:rPr>
        <w:lastRenderedPageBreak/>
        <w:t>delivered by a ‘workaround’ rather than a firm solution.</w:t>
      </w:r>
      <w:r w:rsidR="00EE78CB">
        <w:rPr>
          <w:rStyle w:val="FootnoteReference"/>
          <w:rFonts w:ascii="Times New Roman" w:hAnsi="Times New Roman" w:cs="Times New Roman"/>
        </w:rPr>
        <w:footnoteReference w:id="115"/>
      </w:r>
      <w:r w:rsidR="00EE78CB">
        <w:rPr>
          <w:rFonts w:ascii="Times New Roman" w:hAnsi="Times New Roman" w:cs="Times New Roman"/>
        </w:rPr>
        <w:t xml:space="preserve">  The Court indicated that it “maintained its concern about the inequality of access.”</w:t>
      </w:r>
      <w:r w:rsidR="00EE78CB">
        <w:rPr>
          <w:rStyle w:val="FootnoteReference"/>
          <w:rFonts w:ascii="Times New Roman" w:hAnsi="Times New Roman" w:cs="Times New Roman"/>
        </w:rPr>
        <w:footnoteReference w:id="116"/>
      </w:r>
      <w:r w:rsidR="00EE78CB">
        <w:rPr>
          <w:rFonts w:ascii="Times New Roman" w:hAnsi="Times New Roman" w:cs="Times New Roman"/>
        </w:rPr>
        <w:t xml:space="preserve">  </w:t>
      </w:r>
    </w:p>
    <w:p w14:paraId="621DC9BA" w14:textId="4FE2A760" w:rsidR="00EE78CB" w:rsidRPr="000D5669" w:rsidRDefault="00EE78CB" w:rsidP="000D5669">
      <w:pPr>
        <w:spacing w:line="360" w:lineRule="auto"/>
        <w:jc w:val="both"/>
        <w:rPr>
          <w:rFonts w:ascii="Times New Roman" w:hAnsi="Times New Roman" w:cs="Times New Roman"/>
          <w:b/>
        </w:rPr>
      </w:pPr>
      <w:r w:rsidRPr="00D90BE2">
        <w:rPr>
          <w:rFonts w:ascii="Times New Roman" w:hAnsi="Times New Roman" w:cs="Times New Roman"/>
        </w:rPr>
        <w:t xml:space="preserve">The use of the ICJ to give opinions on these sorts of matters </w:t>
      </w:r>
      <w:r w:rsidR="00DA5DD0">
        <w:rPr>
          <w:rFonts w:ascii="Times New Roman" w:hAnsi="Times New Roman" w:cs="Times New Roman"/>
        </w:rPr>
        <w:t>wa</w:t>
      </w:r>
      <w:r w:rsidRPr="00D90BE2">
        <w:rPr>
          <w:rFonts w:ascii="Times New Roman" w:hAnsi="Times New Roman" w:cs="Times New Roman"/>
        </w:rPr>
        <w:t>s anomalous given the mismatch between the scale of i</w:t>
      </w:r>
      <w:r w:rsidR="00113A5B">
        <w:rPr>
          <w:rFonts w:ascii="Times New Roman" w:hAnsi="Times New Roman" w:cs="Times New Roman"/>
        </w:rPr>
        <w:t>ssues and the Court’s status and t</w:t>
      </w:r>
      <w:r w:rsidRPr="00D90BE2">
        <w:rPr>
          <w:rFonts w:ascii="Times New Roman" w:hAnsi="Times New Roman" w:cs="Times New Roman"/>
        </w:rPr>
        <w:t>he increased availability of other judicial fora</w:t>
      </w:r>
      <w:r w:rsidR="00291B65">
        <w:rPr>
          <w:rFonts w:ascii="Times New Roman" w:hAnsi="Times New Roman" w:cs="Times New Roman"/>
        </w:rPr>
        <w:t xml:space="preserve">.  </w:t>
      </w:r>
      <w:r w:rsidR="001C4EFD">
        <w:rPr>
          <w:rFonts w:ascii="Times New Roman" w:hAnsi="Times New Roman" w:cs="Times New Roman"/>
        </w:rPr>
        <w:t xml:space="preserve">Action was taken </w:t>
      </w:r>
      <w:r w:rsidR="009D3D25">
        <w:rPr>
          <w:rFonts w:ascii="Times New Roman" w:hAnsi="Times New Roman" w:cs="Times New Roman"/>
        </w:rPr>
        <w:t xml:space="preserve">by the ILO in </w:t>
      </w:r>
      <w:r w:rsidR="00DA5DD0">
        <w:rPr>
          <w:rFonts w:ascii="Times New Roman" w:hAnsi="Times New Roman" w:cs="Times New Roman"/>
        </w:rPr>
        <w:t xml:space="preserve">June </w:t>
      </w:r>
      <w:r w:rsidR="009D3D25">
        <w:rPr>
          <w:rFonts w:ascii="Times New Roman" w:hAnsi="Times New Roman" w:cs="Times New Roman"/>
        </w:rPr>
        <w:t>2016</w:t>
      </w:r>
      <w:r w:rsidR="001C4EFD">
        <w:rPr>
          <w:rFonts w:ascii="Times New Roman" w:hAnsi="Times New Roman" w:cs="Times New Roman"/>
        </w:rPr>
        <w:t xml:space="preserve"> by repeal of the </w:t>
      </w:r>
      <w:r w:rsidR="005D529F">
        <w:rPr>
          <w:rFonts w:ascii="Times New Roman" w:hAnsi="Times New Roman" w:cs="Times New Roman"/>
        </w:rPr>
        <w:t>provisions</w:t>
      </w:r>
      <w:r w:rsidR="001C4EFD">
        <w:rPr>
          <w:rFonts w:ascii="Times New Roman" w:hAnsi="Times New Roman" w:cs="Times New Roman"/>
        </w:rPr>
        <w:t xml:space="preserve"> </w:t>
      </w:r>
      <w:r w:rsidR="005D529F">
        <w:rPr>
          <w:rFonts w:ascii="Times New Roman" w:hAnsi="Times New Roman" w:cs="Times New Roman"/>
        </w:rPr>
        <w:t>enabling review</w:t>
      </w:r>
      <w:r w:rsidR="001C4EFD">
        <w:rPr>
          <w:rFonts w:ascii="Times New Roman" w:hAnsi="Times New Roman" w:cs="Times New Roman"/>
        </w:rPr>
        <w:t xml:space="preserve"> </w:t>
      </w:r>
      <w:r w:rsidR="00DA5DD0">
        <w:rPr>
          <w:rFonts w:ascii="Times New Roman" w:hAnsi="Times New Roman" w:cs="Times New Roman"/>
        </w:rPr>
        <w:t>by the ICJ</w:t>
      </w:r>
      <w:r w:rsidRPr="00D90BE2">
        <w:rPr>
          <w:rFonts w:ascii="Times New Roman" w:hAnsi="Times New Roman" w:cs="Times New Roman"/>
        </w:rPr>
        <w:t>.</w:t>
      </w:r>
      <w:r w:rsidRPr="00D90BE2">
        <w:rPr>
          <w:rStyle w:val="FootnoteReference"/>
          <w:rFonts w:ascii="Times New Roman" w:hAnsi="Times New Roman" w:cs="Times New Roman"/>
        </w:rPr>
        <w:footnoteReference w:id="117"/>
      </w:r>
      <w:r w:rsidR="001016BA">
        <w:rPr>
          <w:rFonts w:ascii="Times New Roman" w:hAnsi="Times New Roman" w:cs="Times New Roman"/>
        </w:rPr>
        <w:t xml:space="preserve">  No othe</w:t>
      </w:r>
      <w:r w:rsidR="00C31FC2">
        <w:rPr>
          <w:rFonts w:ascii="Times New Roman" w:hAnsi="Times New Roman" w:cs="Times New Roman"/>
        </w:rPr>
        <w:t xml:space="preserve">r </w:t>
      </w:r>
      <w:r w:rsidR="001016BA">
        <w:rPr>
          <w:rFonts w:ascii="Times New Roman" w:hAnsi="Times New Roman" w:cs="Times New Roman"/>
        </w:rPr>
        <w:t>obvious anomalies now remain.</w:t>
      </w:r>
    </w:p>
    <w:p w14:paraId="5AF7E4E3" w14:textId="77777777" w:rsidR="00E7788B" w:rsidRPr="000D5669" w:rsidRDefault="00E7788B" w:rsidP="00CD6578">
      <w:pPr>
        <w:spacing w:line="360" w:lineRule="auto"/>
        <w:jc w:val="both"/>
        <w:rPr>
          <w:rFonts w:ascii="Times New Roman" w:hAnsi="Times New Roman" w:cs="Times New Roman"/>
          <w:i/>
        </w:rPr>
      </w:pPr>
      <w:r w:rsidRPr="000D5669">
        <w:rPr>
          <w:rFonts w:ascii="Times New Roman" w:hAnsi="Times New Roman" w:cs="Times New Roman"/>
          <w:i/>
        </w:rPr>
        <w:t>Efficient use of resources</w:t>
      </w:r>
    </w:p>
    <w:p w14:paraId="7314BB25" w14:textId="3D755D5D" w:rsidR="005A38A2" w:rsidRDefault="00285B20" w:rsidP="00CD6578">
      <w:pPr>
        <w:spacing w:line="360" w:lineRule="auto"/>
        <w:jc w:val="both"/>
        <w:rPr>
          <w:rFonts w:ascii="Times New Roman" w:hAnsi="Times New Roman" w:cs="Times New Roman"/>
        </w:rPr>
      </w:pPr>
      <w:r>
        <w:rPr>
          <w:rFonts w:ascii="Times New Roman" w:hAnsi="Times New Roman" w:cs="Times New Roman"/>
        </w:rPr>
        <w:t xml:space="preserve">A further impetus for change might be the wish to use existing resources within the UN more efficiently.  </w:t>
      </w:r>
      <w:r w:rsidR="00BF4572">
        <w:rPr>
          <w:rFonts w:ascii="Times New Roman" w:hAnsi="Times New Roman" w:cs="Times New Roman"/>
        </w:rPr>
        <w:t>I</w:t>
      </w:r>
      <w:r w:rsidR="00A1047B">
        <w:rPr>
          <w:rFonts w:ascii="Times New Roman" w:hAnsi="Times New Roman" w:cs="Times New Roman"/>
        </w:rPr>
        <w:t xml:space="preserve">n 1992, in </w:t>
      </w:r>
      <w:r w:rsidR="00A1047B">
        <w:rPr>
          <w:rFonts w:ascii="Times New Roman" w:hAnsi="Times New Roman" w:cs="Times New Roman"/>
          <w:i/>
        </w:rPr>
        <w:t xml:space="preserve">An </w:t>
      </w:r>
      <w:r w:rsidR="005A38A2">
        <w:rPr>
          <w:rFonts w:ascii="Times New Roman" w:hAnsi="Times New Roman" w:cs="Times New Roman"/>
          <w:i/>
        </w:rPr>
        <w:t>Agenda for Peace</w:t>
      </w:r>
      <w:r w:rsidR="00A1047B">
        <w:rPr>
          <w:rFonts w:ascii="Times New Roman" w:hAnsi="Times New Roman" w:cs="Times New Roman"/>
        </w:rPr>
        <w:t>, then Secretary-General</w:t>
      </w:r>
      <w:r w:rsidR="0012456B">
        <w:rPr>
          <w:rFonts w:ascii="Times New Roman" w:hAnsi="Times New Roman" w:cs="Times New Roman"/>
        </w:rPr>
        <w:t xml:space="preserve">, </w:t>
      </w:r>
      <w:r w:rsidR="00A1047B">
        <w:rPr>
          <w:rFonts w:ascii="Times New Roman" w:hAnsi="Times New Roman" w:cs="Times New Roman"/>
        </w:rPr>
        <w:t>Boutros Boutros-Ghali, commented that the World Court was an under-utilised resource for the peaceful settlement of disputes.</w:t>
      </w:r>
      <w:r w:rsidR="00A1047B">
        <w:rPr>
          <w:rStyle w:val="FootnoteReference"/>
          <w:rFonts w:ascii="Times New Roman" w:hAnsi="Times New Roman" w:cs="Times New Roman"/>
        </w:rPr>
        <w:footnoteReference w:id="118"/>
      </w:r>
      <w:r w:rsidR="00A1047B">
        <w:rPr>
          <w:rFonts w:ascii="Times New Roman" w:hAnsi="Times New Roman" w:cs="Times New Roman"/>
        </w:rPr>
        <w:t xml:space="preserve">  As well as calling for greater use </w:t>
      </w:r>
      <w:r w:rsidR="00BF4572">
        <w:rPr>
          <w:rFonts w:ascii="Times New Roman" w:hAnsi="Times New Roman" w:cs="Times New Roman"/>
        </w:rPr>
        <w:t>of the Court’s potential to contribute to peacemaking by way of dispute resoluti</w:t>
      </w:r>
      <w:r w:rsidR="00544CA5">
        <w:rPr>
          <w:rFonts w:ascii="Times New Roman" w:hAnsi="Times New Roman" w:cs="Times New Roman"/>
        </w:rPr>
        <w:t>on</w:t>
      </w:r>
      <w:r w:rsidR="00BF4572">
        <w:rPr>
          <w:rStyle w:val="FootnoteReference"/>
          <w:rFonts w:ascii="Times New Roman" w:hAnsi="Times New Roman" w:cs="Times New Roman"/>
        </w:rPr>
        <w:footnoteReference w:id="119"/>
      </w:r>
      <w:r w:rsidR="00544CA5">
        <w:rPr>
          <w:rFonts w:ascii="Times New Roman" w:hAnsi="Times New Roman" w:cs="Times New Roman"/>
        </w:rPr>
        <w:t xml:space="preserve"> and recommending</w:t>
      </w:r>
      <w:r w:rsidR="00BF4572">
        <w:rPr>
          <w:rFonts w:ascii="Times New Roman" w:hAnsi="Times New Roman" w:cs="Times New Roman"/>
        </w:rPr>
        <w:t xml:space="preserve"> that t</w:t>
      </w:r>
      <w:r w:rsidR="00C0621B">
        <w:rPr>
          <w:rFonts w:ascii="Times New Roman" w:hAnsi="Times New Roman" w:cs="Times New Roman"/>
        </w:rPr>
        <w:t>he Secretary-General be authoris</w:t>
      </w:r>
      <w:r w:rsidR="00BF4572">
        <w:rPr>
          <w:rFonts w:ascii="Times New Roman" w:hAnsi="Times New Roman" w:cs="Times New Roman"/>
        </w:rPr>
        <w:t>ed by</w:t>
      </w:r>
      <w:r w:rsidR="00286F4D">
        <w:rPr>
          <w:rFonts w:ascii="Times New Roman" w:hAnsi="Times New Roman" w:cs="Times New Roman"/>
        </w:rPr>
        <w:t xml:space="preserve"> A</w:t>
      </w:r>
      <w:r w:rsidR="00D8225A">
        <w:rPr>
          <w:rFonts w:ascii="Times New Roman" w:hAnsi="Times New Roman" w:cs="Times New Roman"/>
        </w:rPr>
        <w:t xml:space="preserve">rticle 96(2) of the </w:t>
      </w:r>
      <w:r w:rsidR="00BF4572">
        <w:rPr>
          <w:rFonts w:ascii="Times New Roman" w:hAnsi="Times New Roman" w:cs="Times New Roman"/>
        </w:rPr>
        <w:t xml:space="preserve">Charter </w:t>
      </w:r>
      <w:r w:rsidR="00C0621B">
        <w:rPr>
          <w:rFonts w:ascii="Times New Roman" w:hAnsi="Times New Roman" w:cs="Times New Roman"/>
        </w:rPr>
        <w:t>t</w:t>
      </w:r>
      <w:r w:rsidR="00BF4572">
        <w:rPr>
          <w:rFonts w:ascii="Times New Roman" w:hAnsi="Times New Roman" w:cs="Times New Roman"/>
        </w:rPr>
        <w:t>o request advisory opinions</w:t>
      </w:r>
      <w:r w:rsidR="00544CA5">
        <w:rPr>
          <w:rFonts w:ascii="Times New Roman" w:hAnsi="Times New Roman" w:cs="Times New Roman"/>
        </w:rPr>
        <w:t>, Boutros-Ghali also encouraged</w:t>
      </w:r>
      <w:r w:rsidR="006E0BBD">
        <w:rPr>
          <w:rFonts w:ascii="Times New Roman" w:hAnsi="Times New Roman" w:cs="Times New Roman"/>
        </w:rPr>
        <w:t xml:space="preserve"> organs already </w:t>
      </w:r>
      <w:r w:rsidR="00C0621B">
        <w:rPr>
          <w:rFonts w:ascii="Times New Roman" w:hAnsi="Times New Roman" w:cs="Times New Roman"/>
        </w:rPr>
        <w:t>authoris</w:t>
      </w:r>
      <w:r w:rsidR="00BF4572">
        <w:rPr>
          <w:rFonts w:ascii="Times New Roman" w:hAnsi="Times New Roman" w:cs="Times New Roman"/>
        </w:rPr>
        <w:t xml:space="preserve">ed </w:t>
      </w:r>
      <w:r w:rsidR="00AF0B25">
        <w:rPr>
          <w:rFonts w:ascii="Times New Roman" w:hAnsi="Times New Roman" w:cs="Times New Roman"/>
        </w:rPr>
        <w:t xml:space="preserve">to </w:t>
      </w:r>
      <w:r w:rsidR="00BF4572">
        <w:rPr>
          <w:rFonts w:ascii="Times New Roman" w:hAnsi="Times New Roman" w:cs="Times New Roman"/>
        </w:rPr>
        <w:t>make more frequent use of that capability.</w:t>
      </w:r>
      <w:r w:rsidR="006B03BA">
        <w:rPr>
          <w:rStyle w:val="FootnoteReference"/>
          <w:rFonts w:ascii="Times New Roman" w:hAnsi="Times New Roman" w:cs="Times New Roman"/>
        </w:rPr>
        <w:footnoteReference w:id="120"/>
      </w:r>
    </w:p>
    <w:p w14:paraId="64589F20" w14:textId="14CBCBA0" w:rsidR="006E646C" w:rsidRPr="00285B20" w:rsidRDefault="00113A5B" w:rsidP="002A3362">
      <w:pPr>
        <w:spacing w:line="360" w:lineRule="auto"/>
        <w:jc w:val="both"/>
        <w:rPr>
          <w:rFonts w:ascii="Times New Roman" w:hAnsi="Times New Roman" w:cs="Times New Roman"/>
        </w:rPr>
      </w:pPr>
      <w:r w:rsidRPr="00113A5B">
        <w:rPr>
          <w:rFonts w:ascii="Times New Roman" w:hAnsi="Times New Roman" w:cs="Times New Roman"/>
        </w:rPr>
        <w:t>Although</w:t>
      </w:r>
      <w:r>
        <w:rPr>
          <w:rFonts w:ascii="Times New Roman" w:hAnsi="Times New Roman" w:cs="Times New Roman"/>
          <w:color w:val="FF0000"/>
        </w:rPr>
        <w:t xml:space="preserve"> </w:t>
      </w:r>
      <w:r w:rsidR="00AF0B25" w:rsidRPr="00285B20">
        <w:rPr>
          <w:rFonts w:ascii="Times New Roman" w:hAnsi="Times New Roman" w:cs="Times New Roman"/>
        </w:rPr>
        <w:t xml:space="preserve">the Secretary-General’s proposals were not just prompted by </w:t>
      </w:r>
      <w:r w:rsidR="0016173B" w:rsidRPr="00285B20">
        <w:rPr>
          <w:rFonts w:ascii="Times New Roman" w:hAnsi="Times New Roman" w:cs="Times New Roman"/>
        </w:rPr>
        <w:t>a wish to better</w:t>
      </w:r>
      <w:r w:rsidR="00E7788B" w:rsidRPr="00285B20">
        <w:rPr>
          <w:rFonts w:ascii="Times New Roman" w:hAnsi="Times New Roman" w:cs="Times New Roman"/>
        </w:rPr>
        <w:t xml:space="preserve"> use the Court’</w:t>
      </w:r>
      <w:r w:rsidR="00AF0B25" w:rsidRPr="00285B20">
        <w:rPr>
          <w:rFonts w:ascii="Times New Roman" w:hAnsi="Times New Roman" w:cs="Times New Roman"/>
        </w:rPr>
        <w:t>s capacity</w:t>
      </w:r>
      <w:r>
        <w:rPr>
          <w:rFonts w:ascii="Times New Roman" w:hAnsi="Times New Roman" w:cs="Times New Roman"/>
        </w:rPr>
        <w:t xml:space="preserve">, </w:t>
      </w:r>
      <w:r w:rsidR="00AF0B25" w:rsidRPr="00D90BE2">
        <w:rPr>
          <w:rFonts w:ascii="Times New Roman" w:hAnsi="Times New Roman" w:cs="Times New Roman"/>
        </w:rPr>
        <w:t>the desire</w:t>
      </w:r>
      <w:r w:rsidR="00C0066E" w:rsidRPr="00D90BE2">
        <w:rPr>
          <w:rFonts w:ascii="Times New Roman" w:hAnsi="Times New Roman" w:cs="Times New Roman"/>
        </w:rPr>
        <w:t xml:space="preserve"> to </w:t>
      </w:r>
      <w:r w:rsidR="00AF0B25" w:rsidRPr="00D90BE2">
        <w:rPr>
          <w:rFonts w:ascii="Times New Roman" w:hAnsi="Times New Roman" w:cs="Times New Roman"/>
        </w:rPr>
        <w:t xml:space="preserve">utilise </w:t>
      </w:r>
      <w:r w:rsidR="00C0066E" w:rsidRPr="00D90BE2">
        <w:rPr>
          <w:rFonts w:ascii="Times New Roman" w:hAnsi="Times New Roman" w:cs="Times New Roman"/>
        </w:rPr>
        <w:t>the expertise of the Court</w:t>
      </w:r>
      <w:r w:rsidR="00C00A46" w:rsidRPr="00D90BE2">
        <w:rPr>
          <w:rFonts w:ascii="Times New Roman" w:hAnsi="Times New Roman" w:cs="Times New Roman"/>
        </w:rPr>
        <w:t xml:space="preserve"> </w:t>
      </w:r>
      <w:r w:rsidR="00AF0B25" w:rsidRPr="00D90BE2">
        <w:rPr>
          <w:rFonts w:ascii="Times New Roman" w:hAnsi="Times New Roman" w:cs="Times New Roman"/>
        </w:rPr>
        <w:t xml:space="preserve">more fully </w:t>
      </w:r>
      <w:r w:rsidR="00C00A46" w:rsidRPr="00D90BE2">
        <w:rPr>
          <w:rFonts w:ascii="Times New Roman" w:hAnsi="Times New Roman" w:cs="Times New Roman"/>
        </w:rPr>
        <w:t>is a valid consideration</w:t>
      </w:r>
      <w:r w:rsidR="0012456B" w:rsidRPr="00285B20">
        <w:rPr>
          <w:rFonts w:ascii="Times New Roman" w:hAnsi="Times New Roman" w:cs="Times New Roman"/>
        </w:rPr>
        <w:t xml:space="preserve"> </w:t>
      </w:r>
      <w:r w:rsidR="00241436" w:rsidRPr="00285B20">
        <w:rPr>
          <w:rFonts w:ascii="Times New Roman" w:hAnsi="Times New Roman" w:cs="Times New Roman"/>
        </w:rPr>
        <w:t>in that if the Court s</w:t>
      </w:r>
      <w:r w:rsidR="00E7788B" w:rsidRPr="00285B20">
        <w:rPr>
          <w:rFonts w:ascii="Times New Roman" w:hAnsi="Times New Roman" w:cs="Times New Roman"/>
        </w:rPr>
        <w:t xml:space="preserve">tands idle </w:t>
      </w:r>
      <w:r w:rsidR="00C2021D" w:rsidRPr="00285B20">
        <w:rPr>
          <w:rFonts w:ascii="Times New Roman" w:hAnsi="Times New Roman" w:cs="Times New Roman"/>
        </w:rPr>
        <w:t>or under-employed i</w:t>
      </w:r>
      <w:r w:rsidR="00241436" w:rsidRPr="00285B20">
        <w:rPr>
          <w:rFonts w:ascii="Times New Roman" w:hAnsi="Times New Roman" w:cs="Times New Roman"/>
        </w:rPr>
        <w:t xml:space="preserve">t does not reflect </w:t>
      </w:r>
      <w:r w:rsidR="0016173B" w:rsidRPr="00285B20">
        <w:rPr>
          <w:rFonts w:ascii="Times New Roman" w:hAnsi="Times New Roman" w:cs="Times New Roman"/>
        </w:rPr>
        <w:t xml:space="preserve">particularly </w:t>
      </w:r>
      <w:r w:rsidR="00241436" w:rsidRPr="00285B20">
        <w:rPr>
          <w:rFonts w:ascii="Times New Roman" w:hAnsi="Times New Roman" w:cs="Times New Roman"/>
        </w:rPr>
        <w:t>well either on the Court or</w:t>
      </w:r>
      <w:r w:rsidR="00D8225A" w:rsidRPr="00285B20">
        <w:rPr>
          <w:rFonts w:ascii="Times New Roman" w:hAnsi="Times New Roman" w:cs="Times New Roman"/>
        </w:rPr>
        <w:t xml:space="preserve"> the UN as a whole.</w:t>
      </w:r>
      <w:r w:rsidR="00241436">
        <w:rPr>
          <w:rFonts w:ascii="Times New Roman" w:hAnsi="Times New Roman" w:cs="Times New Roman"/>
        </w:rPr>
        <w:t xml:space="preserve">  </w:t>
      </w:r>
      <w:r w:rsidR="00285B20">
        <w:rPr>
          <w:rFonts w:ascii="Times New Roman" w:hAnsi="Times New Roman" w:cs="Times New Roman"/>
        </w:rPr>
        <w:t>That said, u</w:t>
      </w:r>
      <w:r w:rsidR="00D8225A">
        <w:rPr>
          <w:rFonts w:ascii="Times New Roman" w:hAnsi="Times New Roman" w:cs="Times New Roman"/>
        </w:rPr>
        <w:t>nder-utilisation of the Court is not at the moment a concern.</w:t>
      </w:r>
      <w:r w:rsidR="00C0066E">
        <w:rPr>
          <w:rStyle w:val="FootnoteReference"/>
          <w:rFonts w:ascii="Times New Roman" w:hAnsi="Times New Roman" w:cs="Times New Roman"/>
        </w:rPr>
        <w:footnoteReference w:id="121"/>
      </w:r>
      <w:r w:rsidR="00425FE3">
        <w:rPr>
          <w:rFonts w:ascii="Times New Roman" w:hAnsi="Times New Roman" w:cs="Times New Roman"/>
        </w:rPr>
        <w:t xml:space="preserve">  T</w:t>
      </w:r>
      <w:r w:rsidR="0012456B">
        <w:rPr>
          <w:rFonts w:ascii="Times New Roman" w:hAnsi="Times New Roman" w:cs="Times New Roman"/>
        </w:rPr>
        <w:t xml:space="preserve">he </w:t>
      </w:r>
      <w:r w:rsidR="00285B20">
        <w:rPr>
          <w:rFonts w:ascii="Times New Roman" w:hAnsi="Times New Roman" w:cs="Times New Roman"/>
        </w:rPr>
        <w:t>current President</w:t>
      </w:r>
      <w:r w:rsidR="00D8225A">
        <w:rPr>
          <w:rFonts w:ascii="Times New Roman" w:hAnsi="Times New Roman" w:cs="Times New Roman"/>
        </w:rPr>
        <w:t>, Judge R</w:t>
      </w:r>
      <w:r w:rsidR="00285B20">
        <w:rPr>
          <w:rFonts w:ascii="Times New Roman" w:hAnsi="Times New Roman" w:cs="Times New Roman"/>
        </w:rPr>
        <w:t>onny Abraham, noted in 2016</w:t>
      </w:r>
      <w:r w:rsidR="00D8225A">
        <w:rPr>
          <w:rFonts w:ascii="Times New Roman" w:hAnsi="Times New Roman" w:cs="Times New Roman"/>
        </w:rPr>
        <w:t xml:space="preserve"> that the Court’s efforts to increase its productivity had allowed it to clear the backlog of cases that had accumulated.</w:t>
      </w:r>
      <w:r w:rsidR="00D8225A">
        <w:rPr>
          <w:rStyle w:val="FootnoteReference"/>
          <w:rFonts w:ascii="Times New Roman" w:hAnsi="Times New Roman" w:cs="Times New Roman"/>
        </w:rPr>
        <w:footnoteReference w:id="122"/>
      </w:r>
      <w:r w:rsidR="00285B20">
        <w:rPr>
          <w:rFonts w:ascii="Times New Roman" w:hAnsi="Times New Roman" w:cs="Times New Roman"/>
        </w:rPr>
        <w:t xml:space="preserve">  </w:t>
      </w:r>
      <w:r w:rsidR="00425FE3">
        <w:rPr>
          <w:rFonts w:ascii="Times New Roman" w:hAnsi="Times New Roman" w:cs="Times New Roman"/>
        </w:rPr>
        <w:t>W</w:t>
      </w:r>
      <w:r w:rsidR="00285B20">
        <w:rPr>
          <w:rFonts w:ascii="Times New Roman" w:hAnsi="Times New Roman" w:cs="Times New Roman"/>
        </w:rPr>
        <w:t>ere that not so</w:t>
      </w:r>
      <w:r w:rsidR="00C00A46">
        <w:rPr>
          <w:rFonts w:ascii="Times New Roman" w:hAnsi="Times New Roman" w:cs="Times New Roman"/>
        </w:rPr>
        <w:t xml:space="preserve">, </w:t>
      </w:r>
      <w:r w:rsidR="00285B20">
        <w:rPr>
          <w:rFonts w:ascii="Times New Roman" w:hAnsi="Times New Roman" w:cs="Times New Roman"/>
        </w:rPr>
        <w:t>as seen above under-</w:t>
      </w:r>
      <w:r w:rsidR="00285B20">
        <w:rPr>
          <w:rFonts w:ascii="Times New Roman" w:hAnsi="Times New Roman" w:cs="Times New Roman"/>
        </w:rPr>
        <w:lastRenderedPageBreak/>
        <w:t xml:space="preserve">capacity </w:t>
      </w:r>
      <w:r>
        <w:rPr>
          <w:rFonts w:ascii="Times New Roman" w:hAnsi="Times New Roman" w:cs="Times New Roman"/>
        </w:rPr>
        <w:t xml:space="preserve">is not in itself </w:t>
      </w:r>
      <w:r w:rsidR="00C00A46">
        <w:rPr>
          <w:rFonts w:ascii="Times New Roman" w:hAnsi="Times New Roman" w:cs="Times New Roman"/>
        </w:rPr>
        <w:t xml:space="preserve">a sufficient driver to expand the </w:t>
      </w:r>
      <w:r w:rsidR="00425FE3">
        <w:rPr>
          <w:rFonts w:ascii="Times New Roman" w:hAnsi="Times New Roman" w:cs="Times New Roman"/>
        </w:rPr>
        <w:t>court’s advisory jurisdiction</w:t>
      </w:r>
      <w:r w:rsidR="00C00A46">
        <w:rPr>
          <w:rFonts w:ascii="Times New Roman" w:hAnsi="Times New Roman" w:cs="Times New Roman"/>
        </w:rPr>
        <w:t xml:space="preserve">.  There </w:t>
      </w:r>
      <w:r w:rsidR="001C0F45">
        <w:rPr>
          <w:rFonts w:ascii="Times New Roman" w:hAnsi="Times New Roman" w:cs="Times New Roman"/>
        </w:rPr>
        <w:t>need to be other more persuasive</w:t>
      </w:r>
      <w:r w:rsidR="00C00A46">
        <w:rPr>
          <w:rFonts w:ascii="Times New Roman" w:hAnsi="Times New Roman" w:cs="Times New Roman"/>
        </w:rPr>
        <w:t xml:space="preserve"> re</w:t>
      </w:r>
      <w:r w:rsidR="005904E9">
        <w:rPr>
          <w:rFonts w:ascii="Times New Roman" w:hAnsi="Times New Roman" w:cs="Times New Roman"/>
        </w:rPr>
        <w:t>asons and also a lack of viable alternatives.</w:t>
      </w:r>
      <w:r w:rsidR="005904E9">
        <w:rPr>
          <w:rStyle w:val="FootnoteReference"/>
          <w:rFonts w:ascii="Times New Roman" w:hAnsi="Times New Roman" w:cs="Times New Roman"/>
        </w:rPr>
        <w:footnoteReference w:id="123"/>
      </w:r>
      <w:r w:rsidR="005904E9">
        <w:rPr>
          <w:rFonts w:ascii="Times New Roman" w:hAnsi="Times New Roman" w:cs="Times New Roman"/>
        </w:rPr>
        <w:t xml:space="preserve">  </w:t>
      </w:r>
    </w:p>
    <w:p w14:paraId="36DD67CA" w14:textId="250DDBF6" w:rsidR="0016173B" w:rsidRPr="00AA15C1" w:rsidRDefault="00AD2976" w:rsidP="00CD6578">
      <w:pPr>
        <w:spacing w:line="360" w:lineRule="auto"/>
        <w:jc w:val="both"/>
        <w:rPr>
          <w:rFonts w:ascii="Times New Roman" w:hAnsi="Times New Roman" w:cs="Times New Roman"/>
          <w:i/>
        </w:rPr>
      </w:pPr>
      <w:r>
        <w:rPr>
          <w:rFonts w:ascii="Times New Roman" w:hAnsi="Times New Roman" w:cs="Times New Roman"/>
          <w:i/>
        </w:rPr>
        <w:t>Militating factors</w:t>
      </w:r>
    </w:p>
    <w:p w14:paraId="5C428CCC" w14:textId="77777777" w:rsidR="00113A5B" w:rsidRDefault="00AD2976" w:rsidP="00CD6578">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Finally, briefly, there are factors which militate against any expansion in jurisdiction.  State control of the mechanisms for change has been discussed.  Perceived unhelpful opinions may discourage use and the composition of the Court, enduring influence of the Great Powers, and the proliferation of ot</w:t>
      </w:r>
      <w:r w:rsidR="00113A5B">
        <w:rPr>
          <w:rFonts w:ascii="Times New Roman" w:hAnsi="Times New Roman" w:cs="Times New Roman"/>
          <w:shd w:val="clear" w:color="auto" w:fill="FFFFFF"/>
        </w:rPr>
        <w:t xml:space="preserve">her options are also relevant.  </w:t>
      </w:r>
    </w:p>
    <w:p w14:paraId="422C123A" w14:textId="12472766" w:rsidR="00AD2976" w:rsidRPr="00113A5B" w:rsidRDefault="00AD2976" w:rsidP="00CD6578">
      <w:pPr>
        <w:spacing w:line="360" w:lineRule="auto"/>
        <w:jc w:val="both"/>
        <w:rPr>
          <w:rFonts w:ascii="Times New Roman" w:hAnsi="Times New Roman" w:cs="Times New Roman"/>
          <w:shd w:val="clear" w:color="auto" w:fill="FFFFFF"/>
        </w:rPr>
      </w:pPr>
      <w:r>
        <w:rPr>
          <w:rFonts w:ascii="Times New Roman" w:hAnsi="Times New Roman" w:cs="Times New Roman"/>
        </w:rPr>
        <w:t>D</w:t>
      </w:r>
      <w:r w:rsidR="00AA15C1">
        <w:rPr>
          <w:rFonts w:ascii="Times New Roman" w:hAnsi="Times New Roman" w:cs="Times New Roman"/>
        </w:rPr>
        <w:t>isc</w:t>
      </w:r>
      <w:r w:rsidR="005D25EB">
        <w:rPr>
          <w:rFonts w:ascii="Times New Roman" w:hAnsi="Times New Roman" w:cs="Times New Roman"/>
        </w:rPr>
        <w:t xml:space="preserve">ussion of </w:t>
      </w:r>
      <w:r w:rsidR="00AA15C1">
        <w:rPr>
          <w:rFonts w:ascii="Times New Roman" w:hAnsi="Times New Roman" w:cs="Times New Roman"/>
        </w:rPr>
        <w:t xml:space="preserve">possible expansion in activity must </w:t>
      </w:r>
      <w:r w:rsidR="00113A5B">
        <w:rPr>
          <w:rFonts w:ascii="Times New Roman" w:hAnsi="Times New Roman" w:cs="Times New Roman"/>
        </w:rPr>
        <w:t xml:space="preserve">also </w:t>
      </w:r>
      <w:r w:rsidR="00AA15C1">
        <w:rPr>
          <w:rFonts w:ascii="Times New Roman" w:hAnsi="Times New Roman" w:cs="Times New Roman"/>
        </w:rPr>
        <w:t>be accompanied by contemplation of the costs of doing so.  I</w:t>
      </w:r>
      <w:r w:rsidR="00081DF8">
        <w:rPr>
          <w:rFonts w:ascii="Times New Roman" w:hAnsi="Times New Roman" w:cs="Times New Roman"/>
        </w:rPr>
        <w:t xml:space="preserve">f the Court’s advisory </w:t>
      </w:r>
      <w:r w:rsidR="0020273A">
        <w:rPr>
          <w:rFonts w:ascii="Times New Roman" w:hAnsi="Times New Roman" w:cs="Times New Roman"/>
        </w:rPr>
        <w:t>jurisdiction</w:t>
      </w:r>
      <w:r w:rsidR="0020273A" w:rsidRPr="00222F8F">
        <w:rPr>
          <w:rFonts w:ascii="Times New Roman" w:hAnsi="Times New Roman" w:cs="Times New Roman"/>
        </w:rPr>
        <w:t xml:space="preserve"> was</w:t>
      </w:r>
      <w:r w:rsidR="00081DF8" w:rsidRPr="00222F8F">
        <w:rPr>
          <w:rFonts w:ascii="Times New Roman" w:hAnsi="Times New Roman" w:cs="Times New Roman"/>
        </w:rPr>
        <w:t xml:space="preserve"> </w:t>
      </w:r>
      <w:r w:rsidR="00081DF8">
        <w:rPr>
          <w:rFonts w:ascii="Times New Roman" w:hAnsi="Times New Roman" w:cs="Times New Roman"/>
        </w:rPr>
        <w:t>expanded</w:t>
      </w:r>
      <w:r w:rsidR="001D1EE8">
        <w:rPr>
          <w:rFonts w:ascii="Times New Roman" w:hAnsi="Times New Roman" w:cs="Times New Roman"/>
        </w:rPr>
        <w:t>,</w:t>
      </w:r>
      <w:r w:rsidR="00C2021D">
        <w:rPr>
          <w:rFonts w:ascii="Times New Roman" w:hAnsi="Times New Roman" w:cs="Times New Roman"/>
        </w:rPr>
        <w:t xml:space="preserve"> would it </w:t>
      </w:r>
      <w:r w:rsidR="00081DF8">
        <w:rPr>
          <w:rFonts w:ascii="Times New Roman" w:hAnsi="Times New Roman" w:cs="Times New Roman"/>
        </w:rPr>
        <w:t>have the means to meet that demand?</w:t>
      </w:r>
      <w:r w:rsidR="00113A5B">
        <w:rPr>
          <w:rFonts w:ascii="Times New Roman" w:hAnsi="Times New Roman" w:cs="Times New Roman"/>
        </w:rPr>
        <w:t xml:space="preserve">  </w:t>
      </w:r>
      <w:r w:rsidR="0020273A">
        <w:rPr>
          <w:rFonts w:ascii="Times New Roman" w:hAnsi="Times New Roman" w:cs="Times New Roman"/>
        </w:rPr>
        <w:t>There has been a history of unpaid or late contributions to the UN, wi</w:t>
      </w:r>
      <w:r w:rsidR="00515CAF">
        <w:rPr>
          <w:rFonts w:ascii="Times New Roman" w:hAnsi="Times New Roman" w:cs="Times New Roman"/>
        </w:rPr>
        <w:t xml:space="preserve">th the US, the main contributor and leading defaulter.  </w:t>
      </w:r>
      <w:r w:rsidR="00C134E1">
        <w:rPr>
          <w:rFonts w:ascii="Times New Roman" w:hAnsi="Times New Roman" w:cs="Times New Roman"/>
        </w:rPr>
        <w:t>At mid-December 2017</w:t>
      </w:r>
      <w:r w:rsidR="00E5341A">
        <w:rPr>
          <w:rFonts w:ascii="Times New Roman" w:hAnsi="Times New Roman" w:cs="Times New Roman"/>
        </w:rPr>
        <w:t xml:space="preserve"> it re</w:t>
      </w:r>
      <w:r w:rsidR="00CD5CB0">
        <w:rPr>
          <w:rFonts w:ascii="Times New Roman" w:hAnsi="Times New Roman" w:cs="Times New Roman"/>
        </w:rPr>
        <w:t xml:space="preserve">mained the only </w:t>
      </w:r>
      <w:r w:rsidR="00CD5CB0" w:rsidRPr="00A153ED">
        <w:rPr>
          <w:rFonts w:ascii="Times New Roman" w:hAnsi="Times New Roman" w:cs="Times New Roman"/>
        </w:rPr>
        <w:t xml:space="preserve">P5 </w:t>
      </w:r>
      <w:r w:rsidR="003E5B78">
        <w:rPr>
          <w:rFonts w:ascii="Times New Roman" w:hAnsi="Times New Roman" w:cs="Times New Roman"/>
        </w:rPr>
        <w:t xml:space="preserve">state whose contribution </w:t>
      </w:r>
      <w:r w:rsidR="00C134E1">
        <w:rPr>
          <w:rFonts w:ascii="Times New Roman" w:hAnsi="Times New Roman" w:cs="Times New Roman"/>
        </w:rPr>
        <w:t>to that year’s regular budget had not been paid in full</w:t>
      </w:r>
      <w:r w:rsidR="00515CAF">
        <w:rPr>
          <w:rFonts w:ascii="Times New Roman" w:hAnsi="Times New Roman" w:cs="Times New Roman"/>
        </w:rPr>
        <w:t>.</w:t>
      </w:r>
      <w:r w:rsidR="00E5341A">
        <w:rPr>
          <w:rStyle w:val="FootnoteReference"/>
          <w:rFonts w:ascii="Times New Roman" w:hAnsi="Times New Roman" w:cs="Times New Roman"/>
        </w:rPr>
        <w:footnoteReference w:id="124"/>
      </w:r>
      <w:r>
        <w:rPr>
          <w:rFonts w:ascii="Times New Roman" w:hAnsi="Times New Roman" w:cs="Times New Roman"/>
        </w:rPr>
        <w:t xml:space="preserve">  </w:t>
      </w:r>
      <w:r w:rsidR="00570B39">
        <w:rPr>
          <w:rFonts w:ascii="Times New Roman" w:hAnsi="Times New Roman" w:cs="Times New Roman"/>
        </w:rPr>
        <w:t>The Court’s b</w:t>
      </w:r>
      <w:r w:rsidR="00515CAF">
        <w:rPr>
          <w:rFonts w:ascii="Times New Roman" w:hAnsi="Times New Roman" w:cs="Times New Roman"/>
        </w:rPr>
        <w:t>udget</w:t>
      </w:r>
      <w:r w:rsidR="00C134E1">
        <w:rPr>
          <w:rStyle w:val="FootnoteReference"/>
          <w:rFonts w:ascii="Times New Roman" w:hAnsi="Times New Roman" w:cs="Times New Roman"/>
        </w:rPr>
        <w:footnoteReference w:id="125"/>
      </w:r>
      <w:r w:rsidR="00515CAF">
        <w:rPr>
          <w:rFonts w:ascii="Times New Roman" w:hAnsi="Times New Roman" w:cs="Times New Roman"/>
        </w:rPr>
        <w:t xml:space="preserve"> is </w:t>
      </w:r>
      <w:r w:rsidR="003E5B78">
        <w:rPr>
          <w:rFonts w:ascii="Times New Roman" w:hAnsi="Times New Roman" w:cs="Times New Roman"/>
        </w:rPr>
        <w:t xml:space="preserve">a small part of the </w:t>
      </w:r>
      <w:r w:rsidR="00515CAF">
        <w:rPr>
          <w:rFonts w:ascii="Times New Roman" w:hAnsi="Times New Roman" w:cs="Times New Roman"/>
        </w:rPr>
        <w:t xml:space="preserve">UN </w:t>
      </w:r>
      <w:r w:rsidR="001A4A0E">
        <w:rPr>
          <w:rFonts w:ascii="Times New Roman" w:hAnsi="Times New Roman" w:cs="Times New Roman"/>
        </w:rPr>
        <w:t>budget as a whole</w:t>
      </w:r>
      <w:r w:rsidR="00515CAF">
        <w:rPr>
          <w:rFonts w:ascii="Times New Roman" w:hAnsi="Times New Roman" w:cs="Times New Roman"/>
        </w:rPr>
        <w:t xml:space="preserve"> but this highlights</w:t>
      </w:r>
      <w:r w:rsidR="00E52518">
        <w:rPr>
          <w:rFonts w:ascii="Times New Roman" w:hAnsi="Times New Roman" w:cs="Times New Roman"/>
        </w:rPr>
        <w:t xml:space="preserve"> </w:t>
      </w:r>
      <w:r w:rsidR="005D25EB">
        <w:rPr>
          <w:rFonts w:ascii="Times New Roman" w:hAnsi="Times New Roman" w:cs="Times New Roman"/>
        </w:rPr>
        <w:t xml:space="preserve">the fact </w:t>
      </w:r>
      <w:r w:rsidR="00E52518">
        <w:rPr>
          <w:rFonts w:ascii="Times New Roman" w:hAnsi="Times New Roman" w:cs="Times New Roman"/>
        </w:rPr>
        <w:t xml:space="preserve">that any proposed change </w:t>
      </w:r>
      <w:r w:rsidR="00CD5CB0">
        <w:rPr>
          <w:rFonts w:ascii="Times New Roman" w:hAnsi="Times New Roman" w:cs="Times New Roman"/>
        </w:rPr>
        <w:t>would need to stand up to scru</w:t>
      </w:r>
      <w:r w:rsidR="00E52518">
        <w:rPr>
          <w:rFonts w:ascii="Times New Roman" w:hAnsi="Times New Roman" w:cs="Times New Roman"/>
        </w:rPr>
        <w:t>tiny in a financial as well as</w:t>
      </w:r>
      <w:r w:rsidR="00CD5CB0">
        <w:rPr>
          <w:rFonts w:ascii="Times New Roman" w:hAnsi="Times New Roman" w:cs="Times New Roman"/>
        </w:rPr>
        <w:t xml:space="preserve"> </w:t>
      </w:r>
      <w:r w:rsidR="00E52518">
        <w:rPr>
          <w:rFonts w:ascii="Times New Roman" w:hAnsi="Times New Roman" w:cs="Times New Roman"/>
        </w:rPr>
        <w:t xml:space="preserve">a </w:t>
      </w:r>
      <w:r w:rsidR="00CD5CB0">
        <w:rPr>
          <w:rFonts w:ascii="Times New Roman" w:hAnsi="Times New Roman" w:cs="Times New Roman"/>
        </w:rPr>
        <w:t>substantive sense.</w:t>
      </w:r>
    </w:p>
    <w:p w14:paraId="0FC8B602" w14:textId="77777777" w:rsidR="009F3002" w:rsidRPr="009F3002" w:rsidRDefault="009F3002" w:rsidP="009F3002">
      <w:pPr>
        <w:spacing w:line="360" w:lineRule="auto"/>
        <w:jc w:val="both"/>
        <w:rPr>
          <w:rFonts w:ascii="Times New Roman" w:hAnsi="Times New Roman" w:cs="Times New Roman"/>
          <w:i/>
        </w:rPr>
      </w:pPr>
      <w:r w:rsidRPr="009F3002">
        <w:rPr>
          <w:rFonts w:ascii="Times New Roman" w:hAnsi="Times New Roman" w:cs="Times New Roman"/>
          <w:i/>
        </w:rPr>
        <w:t>Looking forward</w:t>
      </w:r>
    </w:p>
    <w:p w14:paraId="761BE3CA" w14:textId="29BCF7D2" w:rsidR="009F3002" w:rsidRDefault="00113A5B" w:rsidP="009F3002">
      <w:pPr>
        <w:spacing w:line="360" w:lineRule="auto"/>
        <w:jc w:val="both"/>
        <w:rPr>
          <w:rFonts w:ascii="Times New Roman" w:hAnsi="Times New Roman" w:cs="Times New Roman"/>
        </w:rPr>
      </w:pPr>
      <w:r>
        <w:rPr>
          <w:rFonts w:ascii="Times New Roman" w:hAnsi="Times New Roman" w:cs="Times New Roman"/>
        </w:rPr>
        <w:t xml:space="preserve">Turning now to </w:t>
      </w:r>
      <w:r w:rsidR="009F3002">
        <w:rPr>
          <w:rFonts w:ascii="Times New Roman" w:hAnsi="Times New Roman" w:cs="Times New Roman"/>
        </w:rPr>
        <w:t xml:space="preserve">view what is ahead for the Court’s advisory jurisdiction, as discussed above the </w:t>
      </w:r>
      <w:r w:rsidR="009F3002" w:rsidRPr="009F3002">
        <w:rPr>
          <w:rFonts w:ascii="Times New Roman" w:hAnsi="Times New Roman" w:cs="Times New Roman"/>
          <w:i/>
        </w:rPr>
        <w:t>Chagos</w:t>
      </w:r>
      <w:r w:rsidR="009F3002">
        <w:rPr>
          <w:rFonts w:ascii="Times New Roman" w:hAnsi="Times New Roman" w:cs="Times New Roman"/>
        </w:rPr>
        <w:t xml:space="preserve"> request is next on the slate.  This is extremely controversial, a case before the European Court of Human Rights was found inadmissible on the basis that the Chagos Islanders’ claims had been raised and settled at UK domestic level.</w:t>
      </w:r>
      <w:r w:rsidR="009F3002">
        <w:rPr>
          <w:rStyle w:val="FootnoteReference"/>
          <w:rFonts w:ascii="Times New Roman" w:hAnsi="Times New Roman" w:cs="Times New Roman"/>
        </w:rPr>
        <w:footnoteReference w:id="126"/>
      </w:r>
      <w:r w:rsidR="009F3002">
        <w:rPr>
          <w:rFonts w:ascii="Times New Roman" w:hAnsi="Times New Roman" w:cs="Times New Roman"/>
        </w:rPr>
        <w:t xml:space="preserve">  More recently Mauritius brought a ca</w:t>
      </w:r>
      <w:r w:rsidR="00291B65">
        <w:rPr>
          <w:rFonts w:ascii="Times New Roman" w:hAnsi="Times New Roman" w:cs="Times New Roman"/>
        </w:rPr>
        <w:t xml:space="preserve">se before an Arbitral Tribunal and </w:t>
      </w:r>
      <w:r w:rsidR="009F3002">
        <w:rPr>
          <w:rFonts w:ascii="Times New Roman" w:hAnsi="Times New Roman" w:cs="Times New Roman"/>
        </w:rPr>
        <w:t>findings to the extent that the tribunal found it had jurisdiction, were in Mauritius’ favour.</w:t>
      </w:r>
      <w:r w:rsidR="009F3002">
        <w:rPr>
          <w:rStyle w:val="FootnoteReference"/>
          <w:rFonts w:ascii="Times New Roman" w:hAnsi="Times New Roman" w:cs="Times New Roman"/>
        </w:rPr>
        <w:footnoteReference w:id="127"/>
      </w:r>
    </w:p>
    <w:p w14:paraId="26FEB565" w14:textId="64A6FD81" w:rsidR="009F3002" w:rsidRDefault="00113A5B" w:rsidP="009F3002">
      <w:pPr>
        <w:spacing w:line="360" w:lineRule="auto"/>
        <w:jc w:val="both"/>
        <w:rPr>
          <w:rFonts w:ascii="Times New Roman" w:hAnsi="Times New Roman" w:cs="Times New Roman"/>
          <w:shd w:val="clear" w:color="auto" w:fill="FFFFFF"/>
        </w:rPr>
      </w:pPr>
      <w:r>
        <w:rPr>
          <w:rFonts w:ascii="Times New Roman" w:hAnsi="Times New Roman" w:cs="Times New Roman"/>
        </w:rPr>
        <w:t>As not</w:t>
      </w:r>
      <w:r w:rsidR="009F3002">
        <w:rPr>
          <w:rFonts w:ascii="Times New Roman" w:hAnsi="Times New Roman" w:cs="Times New Roman"/>
        </w:rPr>
        <w:t>ed, the UK government made its opposition to any reference to the Court very clear</w:t>
      </w:r>
      <w:r w:rsidR="009F3002">
        <w:rPr>
          <w:rStyle w:val="FootnoteReference"/>
          <w:rFonts w:ascii="Times New Roman" w:hAnsi="Times New Roman" w:cs="Times New Roman"/>
          <w:shd w:val="clear" w:color="auto" w:fill="FFFFFF"/>
        </w:rPr>
        <w:footnoteReference w:id="128"/>
      </w:r>
      <w:r w:rsidR="009F3002">
        <w:rPr>
          <w:rFonts w:cstheme="minorHAnsi"/>
          <w:sz w:val="20"/>
          <w:szCs w:val="20"/>
        </w:rPr>
        <w:t xml:space="preserve">  </w:t>
      </w:r>
      <w:r w:rsidR="009F3002">
        <w:rPr>
          <w:rFonts w:ascii="Times New Roman" w:hAnsi="Times New Roman" w:cs="Times New Roman"/>
          <w:shd w:val="clear" w:color="auto" w:fill="FFFFFF"/>
        </w:rPr>
        <w:t xml:space="preserve">and </w:t>
      </w:r>
      <w:r w:rsidR="00D90BE2">
        <w:rPr>
          <w:rFonts w:ascii="Times New Roman" w:hAnsi="Times New Roman" w:cs="Times New Roman"/>
          <w:shd w:val="clear" w:color="auto" w:fill="FFFFFF"/>
        </w:rPr>
        <w:t>jurisdiction and discretion will inevitably be canvassed but this</w:t>
      </w:r>
      <w:r w:rsidR="009F3002">
        <w:rPr>
          <w:rFonts w:ascii="Times New Roman" w:hAnsi="Times New Roman" w:cs="Times New Roman"/>
          <w:shd w:val="clear" w:color="auto" w:fill="FFFFFF"/>
        </w:rPr>
        <w:t xml:space="preserve"> is the sort of question the ICJ is uniquely qualified to consider, dealing as it does with issues of sovereignty, decolonisation, self-determinati</w:t>
      </w:r>
      <w:r w:rsidR="00D90BE2">
        <w:rPr>
          <w:rFonts w:ascii="Times New Roman" w:hAnsi="Times New Roman" w:cs="Times New Roman"/>
          <w:shd w:val="clear" w:color="auto" w:fill="FFFFFF"/>
        </w:rPr>
        <w:t xml:space="preserve">on </w:t>
      </w:r>
      <w:r w:rsidR="00D90BE2">
        <w:rPr>
          <w:rFonts w:ascii="Times New Roman" w:hAnsi="Times New Roman" w:cs="Times New Roman"/>
          <w:shd w:val="clear" w:color="auto" w:fill="FFFFFF"/>
        </w:rPr>
        <w:lastRenderedPageBreak/>
        <w:t>and fundamental human rights</w:t>
      </w:r>
      <w:r>
        <w:rPr>
          <w:rFonts w:ascii="Times New Roman" w:hAnsi="Times New Roman" w:cs="Times New Roman"/>
          <w:shd w:val="clear" w:color="auto" w:fill="FFFFFF"/>
        </w:rPr>
        <w:t>.</w:t>
      </w:r>
      <w:r w:rsidR="009F3002">
        <w:rPr>
          <w:rStyle w:val="FootnoteReference"/>
          <w:rFonts w:ascii="Times New Roman" w:hAnsi="Times New Roman" w:cs="Times New Roman"/>
          <w:shd w:val="clear" w:color="auto" w:fill="FFFFFF"/>
        </w:rPr>
        <w:footnoteReference w:id="129"/>
      </w:r>
      <w:r>
        <w:rPr>
          <w:rFonts w:ascii="Times New Roman" w:hAnsi="Times New Roman" w:cs="Times New Roman"/>
          <w:shd w:val="clear" w:color="auto" w:fill="FFFFFF"/>
        </w:rPr>
        <w:t xml:space="preserve">  I</w:t>
      </w:r>
      <w:r w:rsidR="00D90BE2">
        <w:rPr>
          <w:rFonts w:ascii="Times New Roman" w:hAnsi="Times New Roman" w:cs="Times New Roman"/>
          <w:shd w:val="clear" w:color="auto" w:fill="FFFFFF"/>
        </w:rPr>
        <w:t>n doing so</w:t>
      </w:r>
      <w:r>
        <w:rPr>
          <w:rFonts w:ascii="Times New Roman" w:hAnsi="Times New Roman" w:cs="Times New Roman"/>
          <w:shd w:val="clear" w:color="auto" w:fill="FFFFFF"/>
        </w:rPr>
        <w:t>,</w:t>
      </w:r>
      <w:r w:rsidR="00D90BE2">
        <w:rPr>
          <w:rFonts w:ascii="Times New Roman" w:hAnsi="Times New Roman" w:cs="Times New Roman"/>
          <w:shd w:val="clear" w:color="auto" w:fill="FFFFFF"/>
        </w:rPr>
        <w:t xml:space="preserve"> the Court </w:t>
      </w:r>
      <w:r>
        <w:rPr>
          <w:rFonts w:ascii="Times New Roman" w:hAnsi="Times New Roman" w:cs="Times New Roman"/>
          <w:shd w:val="clear" w:color="auto" w:fill="FFFFFF"/>
        </w:rPr>
        <w:t>will continue to demonstrate</w:t>
      </w:r>
      <w:r w:rsidR="00D90BE2">
        <w:rPr>
          <w:rFonts w:ascii="Times New Roman" w:hAnsi="Times New Roman" w:cs="Times New Roman"/>
          <w:shd w:val="clear" w:color="auto" w:fill="FFFFFF"/>
        </w:rPr>
        <w:t xml:space="preserve"> its unique status in the international community.</w:t>
      </w:r>
    </w:p>
    <w:p w14:paraId="36D6E688" w14:textId="2CDF4D22" w:rsidR="00116BC2" w:rsidRPr="001C0F45" w:rsidRDefault="00D90BE2" w:rsidP="00CD6578">
      <w:pPr>
        <w:spacing w:line="360" w:lineRule="auto"/>
        <w:jc w:val="both"/>
        <w:rPr>
          <w:rFonts w:ascii="Times New Roman" w:hAnsi="Times New Roman" w:cs="Times New Roman"/>
          <w:b/>
        </w:rPr>
      </w:pPr>
      <w:r>
        <w:rPr>
          <w:rFonts w:ascii="Times New Roman" w:hAnsi="Times New Roman" w:cs="Times New Roman"/>
        </w:rPr>
        <w:t>Not on th</w:t>
      </w:r>
      <w:r w:rsidR="005751AD">
        <w:rPr>
          <w:rFonts w:ascii="Times New Roman" w:hAnsi="Times New Roman" w:cs="Times New Roman"/>
        </w:rPr>
        <w:t>e agenda but in the future perhaps</w:t>
      </w:r>
      <w:r>
        <w:rPr>
          <w:rFonts w:ascii="Times New Roman" w:hAnsi="Times New Roman" w:cs="Times New Roman"/>
        </w:rPr>
        <w:t xml:space="preserve"> so, a</w:t>
      </w:r>
      <w:r w:rsidR="00116BC2">
        <w:rPr>
          <w:rFonts w:ascii="Times New Roman" w:hAnsi="Times New Roman" w:cs="Times New Roman"/>
        </w:rPr>
        <w:t xml:space="preserve"> number of areas </w:t>
      </w:r>
      <w:r w:rsidR="00570B39">
        <w:rPr>
          <w:rFonts w:ascii="Times New Roman" w:hAnsi="Times New Roman" w:cs="Times New Roman"/>
        </w:rPr>
        <w:t>have been identified</w:t>
      </w:r>
      <w:r w:rsidR="00C01C64">
        <w:rPr>
          <w:rFonts w:ascii="Times New Roman" w:hAnsi="Times New Roman" w:cs="Times New Roman"/>
        </w:rPr>
        <w:t xml:space="preserve"> </w:t>
      </w:r>
      <w:r w:rsidR="00116BC2">
        <w:rPr>
          <w:rFonts w:ascii="Times New Roman" w:hAnsi="Times New Roman" w:cs="Times New Roman"/>
        </w:rPr>
        <w:t>where the C</w:t>
      </w:r>
      <w:r w:rsidR="00C01C64">
        <w:rPr>
          <w:rFonts w:ascii="Times New Roman" w:hAnsi="Times New Roman" w:cs="Times New Roman"/>
        </w:rPr>
        <w:t xml:space="preserve">ourt could contribute </w:t>
      </w:r>
      <w:r>
        <w:rPr>
          <w:rFonts w:ascii="Times New Roman" w:hAnsi="Times New Roman" w:cs="Times New Roman"/>
        </w:rPr>
        <w:t xml:space="preserve">to key debates </w:t>
      </w:r>
      <w:r w:rsidR="00116BC2">
        <w:rPr>
          <w:rFonts w:ascii="Times New Roman" w:hAnsi="Times New Roman" w:cs="Times New Roman"/>
        </w:rPr>
        <w:t>by way of its advisory</w:t>
      </w:r>
      <w:r w:rsidR="00C01C64">
        <w:rPr>
          <w:rFonts w:ascii="Times New Roman" w:hAnsi="Times New Roman" w:cs="Times New Roman"/>
        </w:rPr>
        <w:t xml:space="preserve"> capability</w:t>
      </w:r>
      <w:r>
        <w:rPr>
          <w:rFonts w:ascii="Times New Roman" w:hAnsi="Times New Roman" w:cs="Times New Roman"/>
        </w:rPr>
        <w:t xml:space="preserve">.  </w:t>
      </w:r>
    </w:p>
    <w:p w14:paraId="04585148" w14:textId="262AA656" w:rsidR="00D90BE2" w:rsidRPr="00204443" w:rsidRDefault="00F440FF" w:rsidP="00CD6578">
      <w:pPr>
        <w:spacing w:line="360" w:lineRule="auto"/>
        <w:jc w:val="both"/>
        <w:rPr>
          <w:rFonts w:ascii="Times New Roman" w:hAnsi="Times New Roman" w:cs="Times New Roman"/>
          <w:b/>
        </w:rPr>
      </w:pPr>
      <w:r>
        <w:rPr>
          <w:rFonts w:ascii="Times New Roman" w:hAnsi="Times New Roman" w:cs="Times New Roman"/>
        </w:rPr>
        <w:t>(a</w:t>
      </w:r>
      <w:r w:rsidRPr="00F478BB">
        <w:rPr>
          <w:rFonts w:ascii="Times New Roman" w:hAnsi="Times New Roman" w:cs="Times New Roman"/>
        </w:rPr>
        <w:t xml:space="preserve">)    </w:t>
      </w:r>
      <w:r>
        <w:rPr>
          <w:rFonts w:ascii="Times New Roman" w:hAnsi="Times New Roman" w:cs="Times New Roman"/>
        </w:rPr>
        <w:t>Human Rights</w:t>
      </w:r>
    </w:p>
    <w:p w14:paraId="25272B3C" w14:textId="4B32EB28" w:rsidR="00D67E3C" w:rsidRPr="00D90BE2" w:rsidRDefault="00386FFD" w:rsidP="00CD6578">
      <w:pPr>
        <w:spacing w:line="360" w:lineRule="auto"/>
        <w:jc w:val="both"/>
        <w:rPr>
          <w:rFonts w:ascii="Times New Roman" w:hAnsi="Times New Roman" w:cs="Times New Roman"/>
          <w:i/>
        </w:rPr>
      </w:pPr>
      <w:r>
        <w:rPr>
          <w:rFonts w:ascii="Times New Roman" w:hAnsi="Times New Roman" w:cs="Times New Roman"/>
        </w:rPr>
        <w:t xml:space="preserve">Ex-ICJ judge Bruno Simma sees real potential for the </w:t>
      </w:r>
      <w:r w:rsidR="00E52518">
        <w:rPr>
          <w:rFonts w:ascii="Times New Roman" w:hAnsi="Times New Roman" w:cs="Times New Roman"/>
        </w:rPr>
        <w:t xml:space="preserve">ICJ’s </w:t>
      </w:r>
      <w:r>
        <w:rPr>
          <w:rFonts w:ascii="Times New Roman" w:hAnsi="Times New Roman" w:cs="Times New Roman"/>
        </w:rPr>
        <w:t>a</w:t>
      </w:r>
      <w:r w:rsidR="00E52518">
        <w:rPr>
          <w:rFonts w:ascii="Times New Roman" w:hAnsi="Times New Roman" w:cs="Times New Roman"/>
        </w:rPr>
        <w:t xml:space="preserve">dvisory jurisdiction </w:t>
      </w:r>
      <w:r>
        <w:rPr>
          <w:rFonts w:ascii="Times New Roman" w:hAnsi="Times New Roman" w:cs="Times New Roman"/>
        </w:rPr>
        <w:t xml:space="preserve">to take forward </w:t>
      </w:r>
      <w:r w:rsidR="00D67E3C">
        <w:rPr>
          <w:rFonts w:ascii="Times New Roman" w:hAnsi="Times New Roman" w:cs="Times New Roman"/>
        </w:rPr>
        <w:t>a proce</w:t>
      </w:r>
      <w:r w:rsidR="00E52518">
        <w:rPr>
          <w:rFonts w:ascii="Times New Roman" w:hAnsi="Times New Roman" w:cs="Times New Roman"/>
        </w:rPr>
        <w:t xml:space="preserve">ss already underway </w:t>
      </w:r>
      <w:r w:rsidR="00D67E3C">
        <w:rPr>
          <w:rFonts w:ascii="Times New Roman" w:hAnsi="Times New Roman" w:cs="Times New Roman"/>
        </w:rPr>
        <w:t>:  t</w:t>
      </w:r>
      <w:r>
        <w:rPr>
          <w:rFonts w:ascii="Times New Roman" w:hAnsi="Times New Roman" w:cs="Times New Roman"/>
        </w:rPr>
        <w:t>he ‘mainstreaming’ of human rights into international law</w:t>
      </w:r>
      <w:r w:rsidR="006D5B37">
        <w:rPr>
          <w:rFonts w:ascii="Times New Roman" w:hAnsi="Times New Roman" w:cs="Times New Roman"/>
        </w:rPr>
        <w:t xml:space="preserve"> </w:t>
      </w:r>
      <w:r w:rsidR="00D67E3C">
        <w:rPr>
          <w:rFonts w:ascii="Times New Roman" w:hAnsi="Times New Roman" w:cs="Times New Roman"/>
        </w:rPr>
        <w:t>as one half</w:t>
      </w:r>
      <w:r>
        <w:rPr>
          <w:rFonts w:ascii="Times New Roman" w:hAnsi="Times New Roman" w:cs="Times New Roman"/>
        </w:rPr>
        <w:t xml:space="preserve"> of a symbiotic proc</w:t>
      </w:r>
      <w:r w:rsidR="00D67E3C">
        <w:rPr>
          <w:rFonts w:ascii="Times New Roman" w:hAnsi="Times New Roman" w:cs="Times New Roman"/>
        </w:rPr>
        <w:t>ess</w:t>
      </w:r>
      <w:r>
        <w:rPr>
          <w:rFonts w:ascii="Times New Roman" w:hAnsi="Times New Roman" w:cs="Times New Roman"/>
        </w:rPr>
        <w:t xml:space="preserve"> whereby “human rights and general international law mutually impact upon one another:  human rights ‘modernize’ international law, while international law ‘mainstreams’, or ‘domesticates’ human rights.”</w:t>
      </w:r>
      <w:r w:rsidR="00D67E3C">
        <w:rPr>
          <w:rStyle w:val="FootnoteReference"/>
          <w:rFonts w:ascii="Times New Roman" w:hAnsi="Times New Roman" w:cs="Times New Roman"/>
        </w:rPr>
        <w:footnoteReference w:id="130"/>
      </w:r>
      <w:r w:rsidR="00D67E3C">
        <w:rPr>
          <w:rFonts w:ascii="Times New Roman" w:hAnsi="Times New Roman" w:cs="Times New Roman"/>
        </w:rPr>
        <w:t xml:space="preserve">  Simma believes that the </w:t>
      </w:r>
      <w:r w:rsidR="00D95C0C">
        <w:rPr>
          <w:rFonts w:ascii="Times New Roman" w:hAnsi="Times New Roman" w:cs="Times New Roman"/>
          <w:i/>
        </w:rPr>
        <w:t>N</w:t>
      </w:r>
      <w:r w:rsidR="00D67E3C">
        <w:rPr>
          <w:rFonts w:ascii="Times New Roman" w:hAnsi="Times New Roman" w:cs="Times New Roman"/>
          <w:i/>
        </w:rPr>
        <w:t>uclear Weapons</w:t>
      </w:r>
      <w:r w:rsidR="00D67E3C">
        <w:rPr>
          <w:rFonts w:ascii="Times New Roman" w:hAnsi="Times New Roman" w:cs="Times New Roman"/>
        </w:rPr>
        <w:t xml:space="preserve"> opinion was </w:t>
      </w:r>
      <w:r w:rsidR="00E52518">
        <w:rPr>
          <w:rFonts w:ascii="Times New Roman" w:hAnsi="Times New Roman" w:cs="Times New Roman"/>
        </w:rPr>
        <w:t>pioneering</w:t>
      </w:r>
      <w:r w:rsidR="00D67E3C">
        <w:rPr>
          <w:rStyle w:val="FootnoteReference"/>
          <w:rFonts w:ascii="Times New Roman" w:hAnsi="Times New Roman" w:cs="Times New Roman"/>
        </w:rPr>
        <w:footnoteReference w:id="131"/>
      </w:r>
      <w:r w:rsidR="00D67E3C">
        <w:rPr>
          <w:rFonts w:ascii="Times New Roman" w:hAnsi="Times New Roman" w:cs="Times New Roman"/>
        </w:rPr>
        <w:t xml:space="preserve"> with the later </w:t>
      </w:r>
      <w:r w:rsidR="00D67E3C">
        <w:rPr>
          <w:rFonts w:ascii="Times New Roman" w:hAnsi="Times New Roman" w:cs="Times New Roman"/>
          <w:i/>
        </w:rPr>
        <w:t>Wall</w:t>
      </w:r>
      <w:r w:rsidR="00D67E3C">
        <w:rPr>
          <w:rFonts w:ascii="Times New Roman" w:hAnsi="Times New Roman" w:cs="Times New Roman"/>
        </w:rPr>
        <w:t xml:space="preserve"> opinion moving from the “abstract to the concrete”</w:t>
      </w:r>
      <w:r w:rsidR="006D5B37">
        <w:rPr>
          <w:rFonts w:ascii="Times New Roman" w:hAnsi="Times New Roman" w:cs="Times New Roman"/>
        </w:rPr>
        <w:t>.</w:t>
      </w:r>
      <w:r w:rsidR="00D67E3C">
        <w:rPr>
          <w:rStyle w:val="FootnoteReference"/>
          <w:rFonts w:ascii="Times New Roman" w:hAnsi="Times New Roman" w:cs="Times New Roman"/>
        </w:rPr>
        <w:footnoteReference w:id="132"/>
      </w:r>
    </w:p>
    <w:p w14:paraId="6AB25105" w14:textId="77777777" w:rsidR="00A274C9" w:rsidRDefault="004A1427" w:rsidP="00CD6578">
      <w:pPr>
        <w:spacing w:line="360" w:lineRule="auto"/>
        <w:jc w:val="both"/>
        <w:rPr>
          <w:rFonts w:ascii="Times New Roman" w:hAnsi="Times New Roman" w:cs="Times New Roman"/>
        </w:rPr>
      </w:pPr>
      <w:r>
        <w:rPr>
          <w:rFonts w:ascii="Times New Roman" w:hAnsi="Times New Roman" w:cs="Times New Roman"/>
        </w:rPr>
        <w:t xml:space="preserve">Simma </w:t>
      </w:r>
      <w:r w:rsidR="0012456B">
        <w:rPr>
          <w:rFonts w:ascii="Times New Roman" w:hAnsi="Times New Roman" w:cs="Times New Roman"/>
        </w:rPr>
        <w:t>acknowledges that further advancing this process</w:t>
      </w:r>
      <w:r w:rsidR="00E52518">
        <w:rPr>
          <w:rFonts w:ascii="Times New Roman" w:hAnsi="Times New Roman" w:cs="Times New Roman"/>
        </w:rPr>
        <w:t xml:space="preserve"> </w:t>
      </w:r>
      <w:r w:rsidR="006E0BBD">
        <w:rPr>
          <w:rFonts w:ascii="Times New Roman" w:hAnsi="Times New Roman" w:cs="Times New Roman"/>
        </w:rPr>
        <w:t xml:space="preserve">is </w:t>
      </w:r>
      <w:r w:rsidR="00D67E3C">
        <w:rPr>
          <w:rFonts w:ascii="Times New Roman" w:hAnsi="Times New Roman" w:cs="Times New Roman"/>
        </w:rPr>
        <w:t>dependent</w:t>
      </w:r>
      <w:r>
        <w:rPr>
          <w:rFonts w:ascii="Times New Roman" w:hAnsi="Times New Roman" w:cs="Times New Roman"/>
        </w:rPr>
        <w:t xml:space="preserve"> on the questions ask</w:t>
      </w:r>
      <w:r w:rsidR="00E62CE5">
        <w:rPr>
          <w:rFonts w:ascii="Times New Roman" w:hAnsi="Times New Roman" w:cs="Times New Roman"/>
        </w:rPr>
        <w:t>ed of the Court.  H</w:t>
      </w:r>
      <w:r>
        <w:rPr>
          <w:rFonts w:ascii="Times New Roman" w:hAnsi="Times New Roman" w:cs="Times New Roman"/>
        </w:rPr>
        <w:t>e believes the Court will not hesita</w:t>
      </w:r>
      <w:r w:rsidR="00390DEB">
        <w:rPr>
          <w:rFonts w:ascii="Times New Roman" w:hAnsi="Times New Roman" w:cs="Times New Roman"/>
        </w:rPr>
        <w:t>te to take full advantage of opportunities here</w:t>
      </w:r>
      <w:r w:rsidR="00355F3F">
        <w:rPr>
          <w:rFonts w:ascii="Times New Roman" w:hAnsi="Times New Roman" w:cs="Times New Roman"/>
        </w:rPr>
        <w:t xml:space="preserve">, </w:t>
      </w:r>
      <w:r w:rsidR="00E52518">
        <w:rPr>
          <w:rFonts w:ascii="Times New Roman" w:hAnsi="Times New Roman" w:cs="Times New Roman"/>
        </w:rPr>
        <w:t>not least because it</w:t>
      </w:r>
      <w:r w:rsidR="00355F3F">
        <w:rPr>
          <w:rFonts w:ascii="Times New Roman" w:hAnsi="Times New Roman" w:cs="Times New Roman"/>
        </w:rPr>
        <w:t xml:space="preserve"> “is particularly well-equipped and has </w:t>
      </w:r>
      <w:r>
        <w:rPr>
          <w:rFonts w:ascii="Times New Roman" w:hAnsi="Times New Roman" w:cs="Times New Roman"/>
        </w:rPr>
        <w:t>practically no competition”</w:t>
      </w:r>
      <w:r w:rsidR="00355F3F">
        <w:rPr>
          <w:rFonts w:ascii="Times New Roman" w:hAnsi="Times New Roman" w:cs="Times New Roman"/>
        </w:rPr>
        <w:t>.</w:t>
      </w:r>
      <w:r w:rsidR="00355F3F">
        <w:rPr>
          <w:rStyle w:val="FootnoteReference"/>
          <w:rFonts w:ascii="Times New Roman" w:hAnsi="Times New Roman" w:cs="Times New Roman"/>
        </w:rPr>
        <w:footnoteReference w:id="133"/>
      </w:r>
      <w:r w:rsidR="00D67E3C">
        <w:rPr>
          <w:rFonts w:ascii="Times New Roman" w:hAnsi="Times New Roman" w:cs="Times New Roman"/>
        </w:rPr>
        <w:t xml:space="preserve"> </w:t>
      </w:r>
      <w:r w:rsidR="00355F3F">
        <w:rPr>
          <w:rFonts w:ascii="Times New Roman" w:hAnsi="Times New Roman" w:cs="Times New Roman"/>
        </w:rPr>
        <w:t xml:space="preserve">  Ad</w:t>
      </w:r>
      <w:r w:rsidR="00906763">
        <w:rPr>
          <w:rFonts w:ascii="Times New Roman" w:hAnsi="Times New Roman" w:cs="Times New Roman"/>
        </w:rPr>
        <w:t xml:space="preserve">visory opinions </w:t>
      </w:r>
      <w:r w:rsidR="0012456B">
        <w:rPr>
          <w:rFonts w:ascii="Times New Roman" w:hAnsi="Times New Roman" w:cs="Times New Roman"/>
        </w:rPr>
        <w:t xml:space="preserve">also </w:t>
      </w:r>
      <w:r w:rsidR="00906763">
        <w:rPr>
          <w:rFonts w:ascii="Times New Roman" w:hAnsi="Times New Roman" w:cs="Times New Roman"/>
        </w:rPr>
        <w:t xml:space="preserve">offer a possibility of greater freedom </w:t>
      </w:r>
      <w:r w:rsidR="0012456B">
        <w:rPr>
          <w:rFonts w:ascii="Times New Roman" w:hAnsi="Times New Roman" w:cs="Times New Roman"/>
        </w:rPr>
        <w:t xml:space="preserve">of action with less of </w:t>
      </w:r>
      <w:r w:rsidR="00355F3F">
        <w:rPr>
          <w:rFonts w:ascii="Times New Roman" w:hAnsi="Times New Roman" w:cs="Times New Roman"/>
        </w:rPr>
        <w:t>the limitations inherent in the contentious jurisdiction.</w:t>
      </w:r>
      <w:r w:rsidR="00906763">
        <w:rPr>
          <w:rStyle w:val="FootnoteReference"/>
          <w:rFonts w:ascii="Times New Roman" w:hAnsi="Times New Roman" w:cs="Times New Roman"/>
        </w:rPr>
        <w:footnoteReference w:id="134"/>
      </w:r>
    </w:p>
    <w:p w14:paraId="55DB1DCF" w14:textId="77777777" w:rsidR="00A274C9" w:rsidRDefault="0012456B" w:rsidP="00CD6578">
      <w:pPr>
        <w:spacing w:line="360" w:lineRule="auto"/>
        <w:jc w:val="both"/>
        <w:rPr>
          <w:rFonts w:ascii="Times New Roman" w:hAnsi="Times New Roman" w:cs="Times New Roman"/>
        </w:rPr>
      </w:pPr>
      <w:r>
        <w:rPr>
          <w:rFonts w:ascii="Times New Roman" w:hAnsi="Times New Roman" w:cs="Times New Roman"/>
        </w:rPr>
        <w:t xml:space="preserve">Abraham </w:t>
      </w:r>
      <w:r w:rsidR="00E62CE5">
        <w:rPr>
          <w:rFonts w:ascii="Times New Roman" w:hAnsi="Times New Roman" w:cs="Times New Roman"/>
        </w:rPr>
        <w:t xml:space="preserve">also </w:t>
      </w:r>
      <w:r>
        <w:rPr>
          <w:rFonts w:ascii="Times New Roman" w:hAnsi="Times New Roman" w:cs="Times New Roman"/>
        </w:rPr>
        <w:t>s</w:t>
      </w:r>
      <w:r w:rsidR="00A274C9">
        <w:rPr>
          <w:rFonts w:ascii="Times New Roman" w:hAnsi="Times New Roman" w:cs="Times New Roman"/>
        </w:rPr>
        <w:t xml:space="preserve">ees the Court’s </w:t>
      </w:r>
      <w:r w:rsidR="00390DEB">
        <w:rPr>
          <w:rFonts w:ascii="Times New Roman" w:hAnsi="Times New Roman" w:cs="Times New Roman"/>
        </w:rPr>
        <w:t xml:space="preserve">contribution to clarifying the </w:t>
      </w:r>
      <w:r w:rsidR="00A274C9">
        <w:rPr>
          <w:rFonts w:ascii="Times New Roman" w:hAnsi="Times New Roman" w:cs="Times New Roman"/>
        </w:rPr>
        <w:t>st</w:t>
      </w:r>
      <w:r w:rsidR="003F2F11">
        <w:rPr>
          <w:rFonts w:ascii="Times New Roman" w:hAnsi="Times New Roman" w:cs="Times New Roman"/>
        </w:rPr>
        <w:t>atus and scope of h</w:t>
      </w:r>
      <w:r w:rsidR="00390DEB">
        <w:rPr>
          <w:rFonts w:ascii="Times New Roman" w:hAnsi="Times New Roman" w:cs="Times New Roman"/>
        </w:rPr>
        <w:t xml:space="preserve">uman rights </w:t>
      </w:r>
      <w:r w:rsidR="00A274C9">
        <w:rPr>
          <w:rFonts w:ascii="Times New Roman" w:hAnsi="Times New Roman" w:cs="Times New Roman"/>
        </w:rPr>
        <w:t>and the relationship between human rights and other</w:t>
      </w:r>
      <w:r w:rsidR="00E52518">
        <w:rPr>
          <w:rFonts w:ascii="Times New Roman" w:hAnsi="Times New Roman" w:cs="Times New Roman"/>
        </w:rPr>
        <w:t xml:space="preserve"> areas of law as worthy of note</w:t>
      </w:r>
      <w:r w:rsidR="00A274C9">
        <w:rPr>
          <w:rStyle w:val="FootnoteReference"/>
          <w:rFonts w:ascii="Times New Roman" w:hAnsi="Times New Roman" w:cs="Times New Roman"/>
        </w:rPr>
        <w:footnoteReference w:id="135"/>
      </w:r>
      <w:r w:rsidR="00E52518">
        <w:rPr>
          <w:rFonts w:ascii="Times New Roman" w:hAnsi="Times New Roman" w:cs="Times New Roman"/>
        </w:rPr>
        <w:t xml:space="preserve"> and h</w:t>
      </w:r>
      <w:r w:rsidR="00B16045">
        <w:rPr>
          <w:rFonts w:ascii="Times New Roman" w:hAnsi="Times New Roman" w:cs="Times New Roman"/>
        </w:rPr>
        <w:t>e expressed a wish for wider use of the advisory jurisdiction:</w:t>
      </w:r>
    </w:p>
    <w:p w14:paraId="521364BE" w14:textId="58C1CA2D" w:rsidR="00A274C9" w:rsidRDefault="00D05470" w:rsidP="00CD6578">
      <w:pPr>
        <w:spacing w:line="360" w:lineRule="auto"/>
        <w:ind w:left="705"/>
        <w:jc w:val="both"/>
        <w:rPr>
          <w:rFonts w:ascii="Times New Roman" w:hAnsi="Times New Roman" w:cs="Times New Roman"/>
        </w:rPr>
      </w:pPr>
      <w:r>
        <w:rPr>
          <w:rFonts w:ascii="Times New Roman" w:hAnsi="Times New Roman" w:cs="Times New Roman"/>
        </w:rPr>
        <w:t>“</w:t>
      </w:r>
      <w:r w:rsidR="00A274C9">
        <w:rPr>
          <w:rFonts w:ascii="Times New Roman" w:hAnsi="Times New Roman" w:cs="Times New Roman"/>
        </w:rPr>
        <w:t>Advisory Opinions have shown themselves to have considerable potential as a means of clarifying and harmonizing international law, and remain in that respect a promising instrument.</w:t>
      </w:r>
      <w:r>
        <w:rPr>
          <w:rFonts w:ascii="Times New Roman" w:hAnsi="Times New Roman" w:cs="Times New Roman"/>
        </w:rPr>
        <w:t>”</w:t>
      </w:r>
      <w:r w:rsidR="00897797">
        <w:rPr>
          <w:rStyle w:val="FootnoteReference"/>
          <w:rFonts w:ascii="Times New Roman" w:hAnsi="Times New Roman" w:cs="Times New Roman"/>
        </w:rPr>
        <w:footnoteReference w:id="136"/>
      </w:r>
    </w:p>
    <w:p w14:paraId="40F64AE0" w14:textId="19E63827" w:rsidR="00172BB5" w:rsidRPr="00D90BE2" w:rsidRDefault="00E52518" w:rsidP="00D90BE2">
      <w:pPr>
        <w:spacing w:after="0" w:line="360" w:lineRule="auto"/>
        <w:jc w:val="both"/>
        <w:rPr>
          <w:rFonts w:ascii="Times New Roman" w:hAnsi="Times New Roman" w:cs="Times New Roman"/>
          <w:b/>
        </w:rPr>
      </w:pPr>
      <w:r>
        <w:rPr>
          <w:rFonts w:ascii="Times New Roman" w:hAnsi="Times New Roman" w:cs="Times New Roman"/>
        </w:rPr>
        <w:t>Abraham also highlights increasing</w:t>
      </w:r>
      <w:r w:rsidR="00A274C9">
        <w:rPr>
          <w:rFonts w:ascii="Times New Roman" w:hAnsi="Times New Roman" w:cs="Times New Roman"/>
        </w:rPr>
        <w:t xml:space="preserve"> interaction</w:t>
      </w:r>
      <w:r>
        <w:rPr>
          <w:rFonts w:ascii="Times New Roman" w:hAnsi="Times New Roman" w:cs="Times New Roman"/>
        </w:rPr>
        <w:t>s</w:t>
      </w:r>
      <w:r w:rsidR="00A274C9">
        <w:rPr>
          <w:rFonts w:ascii="Times New Roman" w:hAnsi="Times New Roman" w:cs="Times New Roman"/>
        </w:rPr>
        <w:t xml:space="preserve"> between the ICJ and other</w:t>
      </w:r>
      <w:r w:rsidR="00E62CE5">
        <w:rPr>
          <w:rFonts w:ascii="Times New Roman" w:hAnsi="Times New Roman" w:cs="Times New Roman"/>
        </w:rPr>
        <w:t xml:space="preserve"> judicial bodies and </w:t>
      </w:r>
      <w:r w:rsidR="0012456B">
        <w:rPr>
          <w:rFonts w:ascii="Times New Roman" w:hAnsi="Times New Roman" w:cs="Times New Roman"/>
        </w:rPr>
        <w:t>envisage</w:t>
      </w:r>
      <w:r w:rsidR="00A274C9">
        <w:rPr>
          <w:rFonts w:ascii="Times New Roman" w:hAnsi="Times New Roman" w:cs="Times New Roman"/>
        </w:rPr>
        <w:t xml:space="preserve">s </w:t>
      </w:r>
      <w:r w:rsidR="00024F5E">
        <w:rPr>
          <w:rFonts w:ascii="Times New Roman" w:hAnsi="Times New Roman" w:cs="Times New Roman"/>
        </w:rPr>
        <w:t>the Court playing a key part in the</w:t>
      </w:r>
      <w:r w:rsidR="00A274C9">
        <w:rPr>
          <w:rFonts w:ascii="Times New Roman" w:hAnsi="Times New Roman" w:cs="Times New Roman"/>
        </w:rPr>
        <w:t xml:space="preserve"> “</w:t>
      </w:r>
      <w:r w:rsidR="00024F5E">
        <w:rPr>
          <w:rFonts w:ascii="Times New Roman" w:hAnsi="Times New Roman" w:cs="Times New Roman"/>
        </w:rPr>
        <w:t>fruitful institutional dialogue” and “mutual enrichment of the jurisprudence</w:t>
      </w:r>
      <w:r>
        <w:rPr>
          <w:rFonts w:ascii="Times New Roman" w:hAnsi="Times New Roman" w:cs="Times New Roman"/>
        </w:rPr>
        <w:t>.</w:t>
      </w:r>
      <w:r w:rsidR="00024F5E">
        <w:rPr>
          <w:rFonts w:ascii="Times New Roman" w:hAnsi="Times New Roman" w:cs="Times New Roman"/>
        </w:rPr>
        <w:t>”</w:t>
      </w:r>
      <w:r w:rsidR="00024F5E">
        <w:rPr>
          <w:rStyle w:val="FootnoteReference"/>
          <w:rFonts w:ascii="Times New Roman" w:hAnsi="Times New Roman" w:cs="Times New Roman"/>
        </w:rPr>
        <w:footnoteReference w:id="137"/>
      </w:r>
      <w:r w:rsidR="00D90BE2">
        <w:rPr>
          <w:rFonts w:ascii="Times New Roman" w:hAnsi="Times New Roman" w:cs="Times New Roman"/>
          <w:b/>
        </w:rPr>
        <w:t xml:space="preserve">  </w:t>
      </w:r>
      <w:r w:rsidR="009C228E">
        <w:rPr>
          <w:rFonts w:ascii="Times New Roman" w:hAnsi="Times New Roman" w:cs="Times New Roman"/>
        </w:rPr>
        <w:t>Although t</w:t>
      </w:r>
      <w:r w:rsidR="00024F5E">
        <w:rPr>
          <w:rFonts w:ascii="Times New Roman" w:hAnsi="Times New Roman" w:cs="Times New Roman"/>
        </w:rPr>
        <w:t>he primary pos</w:t>
      </w:r>
      <w:r w:rsidR="00E62CE5">
        <w:rPr>
          <w:rFonts w:ascii="Times New Roman" w:hAnsi="Times New Roman" w:cs="Times New Roman"/>
        </w:rPr>
        <w:t>itioning of dispute settlement</w:t>
      </w:r>
      <w:r w:rsidR="00024F5E">
        <w:rPr>
          <w:rFonts w:ascii="Times New Roman" w:hAnsi="Times New Roman" w:cs="Times New Roman"/>
        </w:rPr>
        <w:t>, and the greate</w:t>
      </w:r>
      <w:r w:rsidR="00C2021D">
        <w:rPr>
          <w:rFonts w:ascii="Times New Roman" w:hAnsi="Times New Roman" w:cs="Times New Roman"/>
        </w:rPr>
        <w:t xml:space="preserve">r level of </w:t>
      </w:r>
      <w:r w:rsidR="00C2021D">
        <w:rPr>
          <w:rFonts w:ascii="Times New Roman" w:hAnsi="Times New Roman" w:cs="Times New Roman"/>
        </w:rPr>
        <w:lastRenderedPageBreak/>
        <w:t xml:space="preserve">business </w:t>
      </w:r>
      <w:r w:rsidR="003F2F11">
        <w:rPr>
          <w:rFonts w:ascii="Times New Roman" w:hAnsi="Times New Roman" w:cs="Times New Roman"/>
        </w:rPr>
        <w:t xml:space="preserve">there, means </w:t>
      </w:r>
      <w:r w:rsidR="00024F5E">
        <w:rPr>
          <w:rFonts w:ascii="Times New Roman" w:hAnsi="Times New Roman" w:cs="Times New Roman"/>
        </w:rPr>
        <w:t>t</w:t>
      </w:r>
      <w:r w:rsidR="00E62CE5">
        <w:rPr>
          <w:rFonts w:ascii="Times New Roman" w:hAnsi="Times New Roman" w:cs="Times New Roman"/>
        </w:rPr>
        <w:t>his is likely to feed most into a</w:t>
      </w:r>
      <w:r w:rsidR="00024F5E">
        <w:rPr>
          <w:rFonts w:ascii="Times New Roman" w:hAnsi="Times New Roman" w:cs="Times New Roman"/>
        </w:rPr>
        <w:t xml:space="preserve"> ‘mutual enrichment’ process, t</w:t>
      </w:r>
      <w:r w:rsidR="00291B65">
        <w:rPr>
          <w:rFonts w:ascii="Times New Roman" w:hAnsi="Times New Roman" w:cs="Times New Roman"/>
        </w:rPr>
        <w:t xml:space="preserve">he scope for advisory opinions </w:t>
      </w:r>
      <w:r w:rsidR="0012456B">
        <w:rPr>
          <w:rFonts w:ascii="Times New Roman" w:hAnsi="Times New Roman" w:cs="Times New Roman"/>
        </w:rPr>
        <w:t>to do so could also be significant</w:t>
      </w:r>
      <w:r w:rsidR="00C2021D">
        <w:rPr>
          <w:rFonts w:ascii="Times New Roman" w:hAnsi="Times New Roman" w:cs="Times New Roman"/>
        </w:rPr>
        <w:t xml:space="preserve"> and a reason t</w:t>
      </w:r>
      <w:r w:rsidR="00024F5E">
        <w:rPr>
          <w:rFonts w:ascii="Times New Roman" w:hAnsi="Times New Roman" w:cs="Times New Roman"/>
        </w:rPr>
        <w:t>o encourag</w:t>
      </w:r>
      <w:r w:rsidR="005C4D56">
        <w:rPr>
          <w:rFonts w:ascii="Times New Roman" w:hAnsi="Times New Roman" w:cs="Times New Roman"/>
        </w:rPr>
        <w:t>e activity</w:t>
      </w:r>
      <w:r w:rsidR="00024F5E">
        <w:rPr>
          <w:rFonts w:ascii="Times New Roman" w:hAnsi="Times New Roman" w:cs="Times New Roman"/>
        </w:rPr>
        <w:t>.</w:t>
      </w:r>
    </w:p>
    <w:p w14:paraId="02D90F1D" w14:textId="77777777" w:rsidR="00D90BE2" w:rsidRDefault="00D90BE2" w:rsidP="00D90BE2">
      <w:pPr>
        <w:spacing w:after="0" w:line="360" w:lineRule="auto"/>
        <w:jc w:val="both"/>
        <w:rPr>
          <w:rFonts w:ascii="Times New Roman" w:hAnsi="Times New Roman" w:cs="Times New Roman"/>
          <w:i/>
        </w:rPr>
      </w:pPr>
    </w:p>
    <w:p w14:paraId="2816922F" w14:textId="04865795" w:rsidR="00D90BE2" w:rsidRPr="00204443" w:rsidRDefault="00F440FF" w:rsidP="00D90BE2">
      <w:pPr>
        <w:spacing w:line="360" w:lineRule="auto"/>
        <w:jc w:val="both"/>
        <w:rPr>
          <w:rFonts w:ascii="Times New Roman" w:hAnsi="Times New Roman" w:cs="Times New Roman"/>
          <w:b/>
        </w:rPr>
      </w:pPr>
      <w:r>
        <w:rPr>
          <w:rFonts w:ascii="Times New Roman" w:hAnsi="Times New Roman" w:cs="Times New Roman"/>
        </w:rPr>
        <w:t>(b</w:t>
      </w:r>
      <w:r w:rsidRPr="00F478BB">
        <w:rPr>
          <w:rFonts w:ascii="Times New Roman" w:hAnsi="Times New Roman" w:cs="Times New Roman"/>
        </w:rPr>
        <w:t xml:space="preserve">)    </w:t>
      </w:r>
      <w:r>
        <w:rPr>
          <w:rFonts w:ascii="Times New Roman" w:hAnsi="Times New Roman" w:cs="Times New Roman"/>
        </w:rPr>
        <w:t>Climate change</w:t>
      </w:r>
    </w:p>
    <w:p w14:paraId="68F31E60" w14:textId="04F2EE8B" w:rsidR="00F36E4C" w:rsidRPr="00D90BE2" w:rsidRDefault="003F2F11" w:rsidP="00D90BE2">
      <w:pPr>
        <w:spacing w:line="360" w:lineRule="auto"/>
        <w:jc w:val="both"/>
        <w:rPr>
          <w:rFonts w:ascii="Times New Roman" w:hAnsi="Times New Roman" w:cs="Times New Roman"/>
          <w:i/>
        </w:rPr>
      </w:pPr>
      <w:r>
        <w:rPr>
          <w:rFonts w:ascii="Times New Roman" w:hAnsi="Times New Roman" w:cs="Times New Roman"/>
        </w:rPr>
        <w:t xml:space="preserve">Philippe Sands </w:t>
      </w:r>
      <w:r w:rsidR="00172BB5">
        <w:rPr>
          <w:rFonts w:ascii="Times New Roman" w:hAnsi="Times New Roman" w:cs="Times New Roman"/>
        </w:rPr>
        <w:t>recently talked about the potential</w:t>
      </w:r>
      <w:r w:rsidR="00C2021D">
        <w:rPr>
          <w:rFonts w:ascii="Times New Roman" w:hAnsi="Times New Roman" w:cs="Times New Roman"/>
        </w:rPr>
        <w:t xml:space="preserve"> of the advisory process</w:t>
      </w:r>
      <w:r>
        <w:rPr>
          <w:rFonts w:ascii="Times New Roman" w:hAnsi="Times New Roman" w:cs="Times New Roman"/>
        </w:rPr>
        <w:t xml:space="preserve"> to address </w:t>
      </w:r>
      <w:r w:rsidR="001419F0">
        <w:rPr>
          <w:rFonts w:ascii="Times New Roman" w:hAnsi="Times New Roman" w:cs="Times New Roman"/>
        </w:rPr>
        <w:t>key legal issues around climate change.</w:t>
      </w:r>
      <w:r w:rsidR="001419F0">
        <w:rPr>
          <w:rStyle w:val="FootnoteReference"/>
          <w:rFonts w:ascii="Times New Roman" w:hAnsi="Times New Roman" w:cs="Times New Roman"/>
        </w:rPr>
        <w:footnoteReference w:id="138"/>
      </w:r>
      <w:r w:rsidR="001419F0">
        <w:rPr>
          <w:rFonts w:ascii="Times New Roman" w:hAnsi="Times New Roman" w:cs="Times New Roman"/>
        </w:rPr>
        <w:t xml:space="preserve">  The </w:t>
      </w:r>
      <w:r>
        <w:rPr>
          <w:rFonts w:ascii="Times New Roman" w:hAnsi="Times New Roman" w:cs="Times New Roman"/>
        </w:rPr>
        <w:t>genesis of this was</w:t>
      </w:r>
      <w:r w:rsidR="003D7004">
        <w:rPr>
          <w:rFonts w:ascii="Times New Roman" w:hAnsi="Times New Roman" w:cs="Times New Roman"/>
        </w:rPr>
        <w:t xml:space="preserve"> a</w:t>
      </w:r>
      <w:r w:rsidR="001419F0">
        <w:rPr>
          <w:rFonts w:ascii="Times New Roman" w:hAnsi="Times New Roman" w:cs="Times New Roman"/>
        </w:rPr>
        <w:t xml:space="preserve"> call </w:t>
      </w:r>
      <w:r w:rsidR="00255A6A">
        <w:rPr>
          <w:rFonts w:ascii="Times New Roman" w:hAnsi="Times New Roman" w:cs="Times New Roman"/>
        </w:rPr>
        <w:t xml:space="preserve">in 2011 by the President of Palau </w:t>
      </w:r>
      <w:r w:rsidR="001419F0">
        <w:rPr>
          <w:rFonts w:ascii="Times New Roman" w:hAnsi="Times New Roman" w:cs="Times New Roman"/>
        </w:rPr>
        <w:t xml:space="preserve">to the General Assembly </w:t>
      </w:r>
      <w:r w:rsidR="00255A6A">
        <w:rPr>
          <w:rFonts w:ascii="Times New Roman" w:hAnsi="Times New Roman" w:cs="Times New Roman"/>
        </w:rPr>
        <w:t>for it to seek an advisory opinion from the ICJ</w:t>
      </w:r>
      <w:r w:rsidR="00172BB5">
        <w:rPr>
          <w:rFonts w:ascii="Times New Roman" w:hAnsi="Times New Roman" w:cs="Times New Roman"/>
        </w:rPr>
        <w:t xml:space="preserve"> </w:t>
      </w:r>
      <w:r w:rsidR="00255A6A">
        <w:rPr>
          <w:rFonts w:ascii="Times New Roman" w:hAnsi="Times New Roman" w:cs="Times New Roman"/>
        </w:rPr>
        <w:t>“on the responsibilities of States under international law to ensure that activities carried out under their jurisdiction or control that emit greenhouse gases do not damage other states.”</w:t>
      </w:r>
      <w:r w:rsidR="00255A6A">
        <w:rPr>
          <w:rStyle w:val="FootnoteReference"/>
          <w:rFonts w:ascii="Times New Roman" w:hAnsi="Times New Roman" w:cs="Times New Roman"/>
        </w:rPr>
        <w:footnoteReference w:id="139"/>
      </w:r>
      <w:r w:rsidR="00D51F70">
        <w:rPr>
          <w:rFonts w:ascii="Times New Roman" w:hAnsi="Times New Roman" w:cs="Times New Roman"/>
        </w:rPr>
        <w:t xml:space="preserve"> </w:t>
      </w:r>
      <w:r w:rsidR="003D7004">
        <w:rPr>
          <w:rFonts w:ascii="Times New Roman" w:hAnsi="Times New Roman" w:cs="Times New Roman"/>
        </w:rPr>
        <w:t xml:space="preserve">  </w:t>
      </w:r>
    </w:p>
    <w:p w14:paraId="4AF1139C" w14:textId="3C5E09CB" w:rsidR="00D033AB" w:rsidRDefault="003D7004" w:rsidP="005751AD">
      <w:pPr>
        <w:spacing w:line="360" w:lineRule="auto"/>
        <w:jc w:val="both"/>
        <w:rPr>
          <w:rFonts w:ascii="Times New Roman" w:hAnsi="Times New Roman" w:cs="Times New Roman"/>
        </w:rPr>
      </w:pPr>
      <w:r>
        <w:rPr>
          <w:rFonts w:ascii="Times New Roman" w:hAnsi="Times New Roman" w:cs="Times New Roman"/>
        </w:rPr>
        <w:t>Having initially be</w:t>
      </w:r>
      <w:r w:rsidR="00E62CE5">
        <w:rPr>
          <w:rFonts w:ascii="Times New Roman" w:hAnsi="Times New Roman" w:cs="Times New Roman"/>
        </w:rPr>
        <w:t>en sceptical,</w:t>
      </w:r>
      <w:r>
        <w:rPr>
          <w:rStyle w:val="FootnoteReference"/>
          <w:rFonts w:ascii="Times New Roman" w:hAnsi="Times New Roman" w:cs="Times New Roman"/>
        </w:rPr>
        <w:footnoteReference w:id="140"/>
      </w:r>
      <w:r>
        <w:rPr>
          <w:rFonts w:ascii="Times New Roman" w:hAnsi="Times New Roman" w:cs="Times New Roman"/>
        </w:rPr>
        <w:t xml:space="preserve"> </w:t>
      </w:r>
      <w:r w:rsidR="00D51F70">
        <w:rPr>
          <w:rFonts w:ascii="Times New Roman" w:hAnsi="Times New Roman" w:cs="Times New Roman"/>
        </w:rPr>
        <w:t xml:space="preserve">Sands </w:t>
      </w:r>
      <w:r>
        <w:rPr>
          <w:rFonts w:ascii="Times New Roman" w:hAnsi="Times New Roman" w:cs="Times New Roman"/>
        </w:rPr>
        <w:t xml:space="preserve">notes that </w:t>
      </w:r>
      <w:r w:rsidR="00F36E4C">
        <w:rPr>
          <w:rFonts w:ascii="Times New Roman" w:hAnsi="Times New Roman" w:cs="Times New Roman"/>
        </w:rPr>
        <w:t>a combination of factors now places</w:t>
      </w:r>
      <w:r>
        <w:rPr>
          <w:rFonts w:ascii="Times New Roman" w:hAnsi="Times New Roman" w:cs="Times New Roman"/>
        </w:rPr>
        <w:t xml:space="preserve"> the ICJ in a unique position to deal with “the totality of the key legal questions that arise in relation to climate change.”</w:t>
      </w:r>
      <w:r>
        <w:rPr>
          <w:rStyle w:val="FootnoteReference"/>
          <w:rFonts w:ascii="Times New Roman" w:hAnsi="Times New Roman" w:cs="Times New Roman"/>
        </w:rPr>
        <w:footnoteReference w:id="141"/>
      </w:r>
      <w:r w:rsidR="00570B39">
        <w:rPr>
          <w:rFonts w:ascii="Times New Roman" w:hAnsi="Times New Roman" w:cs="Times New Roman"/>
        </w:rPr>
        <w:t xml:space="preserve">  </w:t>
      </w:r>
      <w:r w:rsidR="00E62CE5">
        <w:rPr>
          <w:rFonts w:ascii="Times New Roman" w:hAnsi="Times New Roman" w:cs="Times New Roman"/>
        </w:rPr>
        <w:t>W</w:t>
      </w:r>
      <w:r w:rsidR="00320C9C">
        <w:rPr>
          <w:rFonts w:ascii="Times New Roman" w:hAnsi="Times New Roman" w:cs="Times New Roman"/>
        </w:rPr>
        <w:t>hile ITLOS has</w:t>
      </w:r>
      <w:r w:rsidR="00DF43BA">
        <w:rPr>
          <w:rFonts w:ascii="Times New Roman" w:hAnsi="Times New Roman" w:cs="Times New Roman"/>
        </w:rPr>
        <w:t xml:space="preserve"> capability too, this is more limited in scope.</w:t>
      </w:r>
      <w:r w:rsidR="00DF43BA">
        <w:rPr>
          <w:rStyle w:val="FootnoteReference"/>
          <w:rFonts w:ascii="Times New Roman" w:hAnsi="Times New Roman" w:cs="Times New Roman"/>
        </w:rPr>
        <w:footnoteReference w:id="142"/>
      </w:r>
      <w:r w:rsidR="005751AD">
        <w:rPr>
          <w:rFonts w:ascii="Times New Roman" w:hAnsi="Times New Roman" w:cs="Times New Roman"/>
        </w:rPr>
        <w:t xml:space="preserve">  </w:t>
      </w:r>
      <w:r w:rsidR="007D2092">
        <w:rPr>
          <w:rFonts w:ascii="Times New Roman" w:hAnsi="Times New Roman" w:cs="Times New Roman"/>
        </w:rPr>
        <w:t>Also signi</w:t>
      </w:r>
      <w:r w:rsidR="00E62CE5">
        <w:rPr>
          <w:rFonts w:ascii="Times New Roman" w:hAnsi="Times New Roman" w:cs="Times New Roman"/>
        </w:rPr>
        <w:t xml:space="preserve">ficant for future Court activity, Sands notes its </w:t>
      </w:r>
      <w:r w:rsidR="007D2092">
        <w:rPr>
          <w:rFonts w:ascii="Times New Roman" w:hAnsi="Times New Roman" w:cs="Times New Roman"/>
        </w:rPr>
        <w:t xml:space="preserve">first, and very effective, use of cross-examination of expert scientific witnesses in the </w:t>
      </w:r>
      <w:r w:rsidR="00EF06C7">
        <w:rPr>
          <w:rFonts w:ascii="Times New Roman" w:hAnsi="Times New Roman" w:cs="Times New Roman"/>
          <w:i/>
        </w:rPr>
        <w:t xml:space="preserve">Whaling in the Antarctic </w:t>
      </w:r>
      <w:r w:rsidR="00EF06C7" w:rsidRPr="001A3BFF">
        <w:rPr>
          <w:rFonts w:ascii="Times New Roman" w:hAnsi="Times New Roman" w:cs="Times New Roman"/>
        </w:rPr>
        <w:t>case</w:t>
      </w:r>
      <w:bookmarkStart w:id="0" w:name="_GoBack"/>
      <w:bookmarkEnd w:id="0"/>
      <w:r w:rsidR="007D2092">
        <w:rPr>
          <w:rFonts w:ascii="Times New Roman" w:hAnsi="Times New Roman" w:cs="Times New Roman"/>
        </w:rPr>
        <w:t>.</w:t>
      </w:r>
      <w:r w:rsidR="007D2092">
        <w:rPr>
          <w:rStyle w:val="FootnoteReference"/>
          <w:rFonts w:ascii="Times New Roman" w:hAnsi="Times New Roman" w:cs="Times New Roman"/>
        </w:rPr>
        <w:footnoteReference w:id="143"/>
      </w:r>
      <w:r w:rsidR="007D2092">
        <w:rPr>
          <w:rFonts w:ascii="Times New Roman" w:hAnsi="Times New Roman" w:cs="Times New Roman"/>
        </w:rPr>
        <w:t xml:space="preserve">  </w:t>
      </w:r>
    </w:p>
    <w:p w14:paraId="55A3FF6F" w14:textId="441EE18C" w:rsidR="00AD2976" w:rsidRPr="00AD2976" w:rsidRDefault="003F2F11" w:rsidP="00AD2976">
      <w:pPr>
        <w:spacing w:line="360" w:lineRule="auto"/>
        <w:jc w:val="both"/>
        <w:rPr>
          <w:rFonts w:ascii="Times New Roman" w:hAnsi="Times New Roman" w:cs="Times New Roman"/>
        </w:rPr>
      </w:pPr>
      <w:r>
        <w:rPr>
          <w:rFonts w:ascii="Times New Roman" w:hAnsi="Times New Roman" w:cs="Times New Roman"/>
        </w:rPr>
        <w:t>E</w:t>
      </w:r>
      <w:r w:rsidR="005220FA">
        <w:rPr>
          <w:rFonts w:ascii="Times New Roman" w:hAnsi="Times New Roman" w:cs="Times New Roman"/>
        </w:rPr>
        <w:t>vents</w:t>
      </w:r>
      <w:r w:rsidR="006E120D">
        <w:rPr>
          <w:rFonts w:ascii="Times New Roman" w:hAnsi="Times New Roman" w:cs="Times New Roman"/>
        </w:rPr>
        <w:t xml:space="preserve"> have moved on </w:t>
      </w:r>
      <w:r w:rsidR="00D033AB">
        <w:rPr>
          <w:rFonts w:ascii="Times New Roman" w:hAnsi="Times New Roman" w:cs="Times New Roman"/>
        </w:rPr>
        <w:t xml:space="preserve">with the signing of </w:t>
      </w:r>
      <w:r w:rsidR="00EF06C7">
        <w:rPr>
          <w:rFonts w:ascii="Times New Roman" w:hAnsi="Times New Roman" w:cs="Times New Roman"/>
        </w:rPr>
        <w:t>the Paris Agreement</w:t>
      </w:r>
      <w:r w:rsidR="00EF06C7">
        <w:rPr>
          <w:rStyle w:val="FootnoteReference"/>
          <w:rFonts w:ascii="Times New Roman" w:hAnsi="Times New Roman" w:cs="Times New Roman"/>
        </w:rPr>
        <w:footnoteReference w:id="144"/>
      </w:r>
      <w:r w:rsidR="00897797">
        <w:rPr>
          <w:rFonts w:ascii="Times New Roman" w:hAnsi="Times New Roman" w:cs="Times New Roman"/>
        </w:rPr>
        <w:t xml:space="preserve"> </w:t>
      </w:r>
      <w:r>
        <w:rPr>
          <w:rFonts w:ascii="Times New Roman" w:hAnsi="Times New Roman" w:cs="Times New Roman"/>
        </w:rPr>
        <w:t xml:space="preserve">but </w:t>
      </w:r>
      <w:r w:rsidR="009C228E">
        <w:rPr>
          <w:rFonts w:ascii="Times New Roman" w:hAnsi="Times New Roman" w:cs="Times New Roman"/>
        </w:rPr>
        <w:t>t</w:t>
      </w:r>
      <w:r w:rsidR="005C4D56">
        <w:rPr>
          <w:rFonts w:ascii="Times New Roman" w:hAnsi="Times New Roman" w:cs="Times New Roman"/>
        </w:rPr>
        <w:t xml:space="preserve">he </w:t>
      </w:r>
      <w:r w:rsidR="00897797">
        <w:rPr>
          <w:rFonts w:ascii="Times New Roman" w:hAnsi="Times New Roman" w:cs="Times New Roman"/>
        </w:rPr>
        <w:t>potential remains</w:t>
      </w:r>
      <w:r w:rsidR="00EF06C7">
        <w:rPr>
          <w:rFonts w:ascii="Times New Roman" w:hAnsi="Times New Roman" w:cs="Times New Roman"/>
        </w:rPr>
        <w:t>.</w:t>
      </w:r>
      <w:r w:rsidR="00E52518">
        <w:rPr>
          <w:rFonts w:ascii="Times New Roman" w:hAnsi="Times New Roman" w:cs="Times New Roman"/>
        </w:rPr>
        <w:t xml:space="preserve">  W</w:t>
      </w:r>
      <w:r w:rsidR="00D95C0C">
        <w:rPr>
          <w:rFonts w:ascii="Times New Roman" w:hAnsi="Times New Roman" w:cs="Times New Roman"/>
        </w:rPr>
        <w:t>i</w:t>
      </w:r>
      <w:r w:rsidR="005220FA">
        <w:rPr>
          <w:rFonts w:ascii="Times New Roman" w:hAnsi="Times New Roman" w:cs="Times New Roman"/>
        </w:rPr>
        <w:t>th the initiative more active</w:t>
      </w:r>
      <w:r w:rsidR="00320C9C">
        <w:rPr>
          <w:rFonts w:ascii="Times New Roman" w:hAnsi="Times New Roman" w:cs="Times New Roman"/>
        </w:rPr>
        <w:t>ly seized politically,</w:t>
      </w:r>
      <w:r w:rsidR="0000312A">
        <w:rPr>
          <w:rFonts w:ascii="Times New Roman" w:hAnsi="Times New Roman" w:cs="Times New Roman"/>
        </w:rPr>
        <w:t xml:space="preserve"> </w:t>
      </w:r>
      <w:r w:rsidR="005220FA">
        <w:rPr>
          <w:rFonts w:ascii="Times New Roman" w:hAnsi="Times New Roman" w:cs="Times New Roman"/>
        </w:rPr>
        <w:t xml:space="preserve">momentum so far generated </w:t>
      </w:r>
      <w:r w:rsidR="00320C9C">
        <w:rPr>
          <w:rFonts w:ascii="Times New Roman" w:hAnsi="Times New Roman" w:cs="Times New Roman"/>
        </w:rPr>
        <w:t xml:space="preserve">for an advisory opinion </w:t>
      </w:r>
      <w:r w:rsidR="00D95C0C">
        <w:rPr>
          <w:rFonts w:ascii="Times New Roman" w:hAnsi="Times New Roman" w:cs="Times New Roman"/>
        </w:rPr>
        <w:t>may dissipat</w:t>
      </w:r>
      <w:r w:rsidR="00E52518">
        <w:rPr>
          <w:rFonts w:ascii="Times New Roman" w:hAnsi="Times New Roman" w:cs="Times New Roman"/>
        </w:rPr>
        <w:t xml:space="preserve">e, although </w:t>
      </w:r>
      <w:r w:rsidR="00D1439C">
        <w:rPr>
          <w:rFonts w:ascii="Times New Roman" w:hAnsi="Times New Roman" w:cs="Times New Roman"/>
        </w:rPr>
        <w:t xml:space="preserve">the </w:t>
      </w:r>
      <w:r>
        <w:rPr>
          <w:rFonts w:ascii="Times New Roman" w:hAnsi="Times New Roman" w:cs="Times New Roman"/>
        </w:rPr>
        <w:t xml:space="preserve">US withdrawal </w:t>
      </w:r>
      <w:r w:rsidR="00166D39">
        <w:rPr>
          <w:rFonts w:ascii="Times New Roman" w:hAnsi="Times New Roman" w:cs="Times New Roman"/>
        </w:rPr>
        <w:t xml:space="preserve">from the </w:t>
      </w:r>
      <w:r w:rsidR="00D95C0C">
        <w:rPr>
          <w:rFonts w:ascii="Times New Roman" w:hAnsi="Times New Roman" w:cs="Times New Roman"/>
        </w:rPr>
        <w:t xml:space="preserve">Paris Agreement could </w:t>
      </w:r>
      <w:r w:rsidR="0000312A">
        <w:rPr>
          <w:rFonts w:ascii="Times New Roman" w:hAnsi="Times New Roman" w:cs="Times New Roman"/>
        </w:rPr>
        <w:t>impact the other way.</w:t>
      </w:r>
      <w:r w:rsidR="00166D39">
        <w:rPr>
          <w:rStyle w:val="FootnoteReference"/>
          <w:rFonts w:ascii="Times New Roman" w:hAnsi="Times New Roman" w:cs="Times New Roman"/>
        </w:rPr>
        <w:footnoteReference w:id="145"/>
      </w:r>
      <w:r w:rsidR="0000312A">
        <w:rPr>
          <w:rFonts w:ascii="Times New Roman" w:hAnsi="Times New Roman" w:cs="Times New Roman"/>
        </w:rPr>
        <w:t xml:space="preserve">  </w:t>
      </w:r>
      <w:r w:rsidR="00D033AB">
        <w:rPr>
          <w:rFonts w:ascii="Times New Roman" w:hAnsi="Times New Roman" w:cs="Times New Roman"/>
        </w:rPr>
        <w:t>I</w:t>
      </w:r>
      <w:r w:rsidR="00897797">
        <w:rPr>
          <w:rFonts w:ascii="Times New Roman" w:hAnsi="Times New Roman" w:cs="Times New Roman"/>
        </w:rPr>
        <w:t>n principle climate change</w:t>
      </w:r>
      <w:r w:rsidR="005220FA">
        <w:rPr>
          <w:rFonts w:ascii="Times New Roman" w:hAnsi="Times New Roman" w:cs="Times New Roman"/>
        </w:rPr>
        <w:t xml:space="preserve"> seems</w:t>
      </w:r>
      <w:r w:rsidR="002764F7">
        <w:rPr>
          <w:rFonts w:ascii="Times New Roman" w:hAnsi="Times New Roman" w:cs="Times New Roman"/>
        </w:rPr>
        <w:t xml:space="preserve"> eminently suitable for consideration by the ICJ.  The magnitude and reach of </w:t>
      </w:r>
      <w:r w:rsidR="005220FA">
        <w:rPr>
          <w:rFonts w:ascii="Times New Roman" w:hAnsi="Times New Roman" w:cs="Times New Roman"/>
        </w:rPr>
        <w:t>the issues</w:t>
      </w:r>
      <w:r w:rsidR="00E52518">
        <w:rPr>
          <w:rFonts w:ascii="Times New Roman" w:hAnsi="Times New Roman" w:cs="Times New Roman"/>
        </w:rPr>
        <w:t>, the blindness</w:t>
      </w:r>
      <w:r w:rsidR="002764F7">
        <w:rPr>
          <w:rFonts w:ascii="Times New Roman" w:hAnsi="Times New Roman" w:cs="Times New Roman"/>
        </w:rPr>
        <w:t xml:space="preserve"> to borders and the challenges this raises in a Westphalian setting all point to something for the Court r</w:t>
      </w:r>
      <w:r w:rsidR="00066F3F">
        <w:rPr>
          <w:rFonts w:ascii="Times New Roman" w:hAnsi="Times New Roman" w:cs="Times New Roman"/>
        </w:rPr>
        <w:t>eally to get its teeth into.</w:t>
      </w:r>
    </w:p>
    <w:p w14:paraId="064D0144" w14:textId="30DAB197" w:rsidR="00D90BE2" w:rsidRPr="00204443" w:rsidRDefault="00F440FF" w:rsidP="00AD2976">
      <w:pPr>
        <w:spacing w:line="360" w:lineRule="auto"/>
        <w:jc w:val="both"/>
        <w:rPr>
          <w:rFonts w:ascii="Times New Roman" w:hAnsi="Times New Roman" w:cs="Times New Roman"/>
          <w:b/>
        </w:rPr>
      </w:pPr>
      <w:r>
        <w:rPr>
          <w:rFonts w:ascii="Times New Roman" w:hAnsi="Times New Roman" w:cs="Times New Roman"/>
        </w:rPr>
        <w:t>(c</w:t>
      </w:r>
      <w:r w:rsidRPr="00F478BB">
        <w:rPr>
          <w:rFonts w:ascii="Times New Roman" w:hAnsi="Times New Roman" w:cs="Times New Roman"/>
        </w:rPr>
        <w:t xml:space="preserve">)    </w:t>
      </w:r>
      <w:r>
        <w:rPr>
          <w:rFonts w:ascii="Times New Roman" w:hAnsi="Times New Roman" w:cs="Times New Roman"/>
        </w:rPr>
        <w:t>Environmental matters</w:t>
      </w:r>
    </w:p>
    <w:p w14:paraId="53364F6A" w14:textId="6A39BD45" w:rsidR="00D90BE2" w:rsidRPr="00D90BE2" w:rsidRDefault="00AD2976" w:rsidP="00AD2976">
      <w:pPr>
        <w:spacing w:line="360" w:lineRule="auto"/>
        <w:jc w:val="both"/>
        <w:rPr>
          <w:rFonts w:ascii="Times New Roman" w:hAnsi="Times New Roman" w:cs="Times New Roman"/>
          <w:i/>
        </w:rPr>
      </w:pPr>
      <w:r>
        <w:rPr>
          <w:rFonts w:ascii="Times New Roman" w:hAnsi="Times New Roman" w:cs="Times New Roman"/>
        </w:rPr>
        <w:lastRenderedPageBreak/>
        <w:t>Finally, t</w:t>
      </w:r>
      <w:r w:rsidR="00D90BE2" w:rsidRPr="00116BC2">
        <w:rPr>
          <w:rFonts w:ascii="Times New Roman" w:hAnsi="Times New Roman" w:cs="Times New Roman"/>
        </w:rPr>
        <w:t xml:space="preserve">he </w:t>
      </w:r>
      <w:r w:rsidR="00D90BE2">
        <w:rPr>
          <w:rFonts w:ascii="Times New Roman" w:hAnsi="Times New Roman" w:cs="Times New Roman"/>
          <w:i/>
        </w:rPr>
        <w:t>Nuclear Weapons</w:t>
      </w:r>
      <w:r w:rsidR="00D90BE2">
        <w:rPr>
          <w:rFonts w:ascii="Times New Roman" w:hAnsi="Times New Roman" w:cs="Times New Roman"/>
        </w:rPr>
        <w:t xml:space="preserve"> opinion has been praised as marking a very significant step in international law “by beginning to articulate general environmental obligations in international law”, and more steps may follow.</w:t>
      </w:r>
      <w:r w:rsidR="00D90BE2">
        <w:rPr>
          <w:rStyle w:val="FootnoteReference"/>
          <w:rFonts w:ascii="Times New Roman" w:hAnsi="Times New Roman" w:cs="Times New Roman"/>
        </w:rPr>
        <w:footnoteReference w:id="146"/>
      </w:r>
    </w:p>
    <w:p w14:paraId="4719ADE4" w14:textId="5B778696" w:rsidR="00C90ADC" w:rsidRPr="00AD2976" w:rsidRDefault="00AD2976" w:rsidP="00AD2976">
      <w:pPr>
        <w:spacing w:line="360" w:lineRule="auto"/>
        <w:jc w:val="center"/>
        <w:rPr>
          <w:rFonts w:ascii="Times New Roman" w:hAnsi="Times New Roman" w:cs="Times New Roman"/>
        </w:rPr>
      </w:pPr>
      <w:r>
        <w:rPr>
          <w:rFonts w:ascii="Times New Roman" w:hAnsi="Times New Roman" w:cs="Times New Roman"/>
        </w:rPr>
        <w:t>VII</w:t>
      </w:r>
      <w:r w:rsidR="00F440FF">
        <w:rPr>
          <w:rFonts w:ascii="Times New Roman" w:hAnsi="Times New Roman" w:cs="Times New Roman"/>
        </w:rPr>
        <w:t>I</w:t>
      </w:r>
      <w:r>
        <w:rPr>
          <w:rFonts w:ascii="Times New Roman" w:hAnsi="Times New Roman" w:cs="Times New Roman"/>
        </w:rPr>
        <w:t>. CONCLUSION</w:t>
      </w:r>
    </w:p>
    <w:p w14:paraId="3F30D25A" w14:textId="77777777" w:rsidR="00B31D2F" w:rsidRDefault="00D95E18" w:rsidP="00CD6578">
      <w:pPr>
        <w:spacing w:line="360" w:lineRule="auto"/>
        <w:jc w:val="both"/>
        <w:rPr>
          <w:rFonts w:ascii="Times New Roman" w:hAnsi="Times New Roman" w:cs="Times New Roman"/>
        </w:rPr>
      </w:pPr>
      <w:r>
        <w:rPr>
          <w:rFonts w:ascii="Times New Roman" w:hAnsi="Times New Roman" w:cs="Times New Roman"/>
        </w:rPr>
        <w:t>Notwithstanding that states’ interest in the Court’s advisory jurisdiction is indirect, what states want</w:t>
      </w:r>
      <w:r w:rsidR="001B7752">
        <w:rPr>
          <w:rFonts w:ascii="Times New Roman" w:hAnsi="Times New Roman" w:cs="Times New Roman"/>
        </w:rPr>
        <w:t xml:space="preserve"> from the Court</w:t>
      </w:r>
      <w:r>
        <w:rPr>
          <w:rFonts w:ascii="Times New Roman" w:hAnsi="Times New Roman" w:cs="Times New Roman"/>
        </w:rPr>
        <w:t xml:space="preserve"> is t</w:t>
      </w:r>
      <w:r w:rsidR="00113243">
        <w:rPr>
          <w:rFonts w:ascii="Times New Roman" w:hAnsi="Times New Roman" w:cs="Times New Roman"/>
        </w:rPr>
        <w:t xml:space="preserve">he key determining factor around </w:t>
      </w:r>
      <w:r w:rsidR="00E52518">
        <w:rPr>
          <w:rFonts w:ascii="Times New Roman" w:hAnsi="Times New Roman" w:cs="Times New Roman"/>
        </w:rPr>
        <w:t xml:space="preserve">use of the Court.  </w:t>
      </w:r>
      <w:r w:rsidR="00E04C89" w:rsidRPr="001B7752">
        <w:rPr>
          <w:rFonts w:ascii="Times New Roman" w:hAnsi="Times New Roman" w:cs="Times New Roman"/>
        </w:rPr>
        <w:t>T</w:t>
      </w:r>
      <w:r w:rsidR="001B7752" w:rsidRPr="001B7752">
        <w:rPr>
          <w:rFonts w:ascii="Times New Roman" w:hAnsi="Times New Roman" w:cs="Times New Roman"/>
        </w:rPr>
        <w:t>he</w:t>
      </w:r>
      <w:r w:rsidR="00E04C89" w:rsidRPr="001B7752">
        <w:rPr>
          <w:rFonts w:ascii="Times New Roman" w:hAnsi="Times New Roman" w:cs="Times New Roman"/>
        </w:rPr>
        <w:t xml:space="preserve"> initial appraisal of the scope of the ICJ’s advisory jurisdiction show</w:t>
      </w:r>
      <w:r w:rsidR="001B7752" w:rsidRPr="001B7752">
        <w:rPr>
          <w:rFonts w:ascii="Times New Roman" w:hAnsi="Times New Roman" w:cs="Times New Roman"/>
        </w:rPr>
        <w:t>ed</w:t>
      </w:r>
      <w:r w:rsidR="00E04C89" w:rsidRPr="001B7752">
        <w:rPr>
          <w:rFonts w:ascii="Times New Roman" w:hAnsi="Times New Roman" w:cs="Times New Roman"/>
        </w:rPr>
        <w:t xml:space="preserve"> that the Court is </w:t>
      </w:r>
      <w:r w:rsidR="00E04C89" w:rsidRPr="001B7752">
        <w:rPr>
          <w:rFonts w:ascii="Times New Roman" w:hAnsi="Times New Roman" w:cs="Times New Roman"/>
          <w:i/>
        </w:rPr>
        <w:t>not</w:t>
      </w:r>
      <w:r w:rsidR="00E04C89" w:rsidRPr="001B7752">
        <w:rPr>
          <w:rFonts w:ascii="Times New Roman" w:hAnsi="Times New Roman" w:cs="Times New Roman"/>
        </w:rPr>
        <w:t xml:space="preserve"> require</w:t>
      </w:r>
      <w:r w:rsidR="001B7752">
        <w:rPr>
          <w:rFonts w:ascii="Times New Roman" w:hAnsi="Times New Roman" w:cs="Times New Roman"/>
        </w:rPr>
        <w:t xml:space="preserve">d </w:t>
      </w:r>
      <w:r w:rsidR="00E04C89" w:rsidRPr="001B7752">
        <w:rPr>
          <w:rFonts w:ascii="Times New Roman" w:hAnsi="Times New Roman" w:cs="Times New Roman"/>
        </w:rPr>
        <w:t>to accept all requests for advisory opinions and to do so might undermi</w:t>
      </w:r>
      <w:r w:rsidR="00D95C0C">
        <w:rPr>
          <w:rFonts w:ascii="Times New Roman" w:hAnsi="Times New Roman" w:cs="Times New Roman"/>
        </w:rPr>
        <w:t>n</w:t>
      </w:r>
      <w:r w:rsidR="008A2CC3">
        <w:rPr>
          <w:rFonts w:ascii="Times New Roman" w:hAnsi="Times New Roman" w:cs="Times New Roman"/>
        </w:rPr>
        <w:t>e its integrity and standing.  While t</w:t>
      </w:r>
      <w:r w:rsidR="00B31D2F" w:rsidRPr="001B7752">
        <w:rPr>
          <w:rFonts w:ascii="Times New Roman" w:hAnsi="Times New Roman" w:cs="Times New Roman"/>
        </w:rPr>
        <w:t>he ICJ has so far not exercised its discretion to re</w:t>
      </w:r>
      <w:r w:rsidR="008A2CC3">
        <w:rPr>
          <w:rFonts w:ascii="Times New Roman" w:hAnsi="Times New Roman" w:cs="Times New Roman"/>
        </w:rPr>
        <w:t>fuse to give an opinion</w:t>
      </w:r>
      <w:r w:rsidR="00094157">
        <w:rPr>
          <w:rFonts w:ascii="Times New Roman" w:hAnsi="Times New Roman" w:cs="Times New Roman"/>
        </w:rPr>
        <w:t>, the</w:t>
      </w:r>
      <w:r w:rsidR="00B31D2F">
        <w:rPr>
          <w:rFonts w:ascii="Times New Roman" w:hAnsi="Times New Roman" w:cs="Times New Roman"/>
        </w:rPr>
        <w:t xml:space="preserve"> ability to do so is an imp</w:t>
      </w:r>
      <w:r w:rsidR="00E04C89">
        <w:rPr>
          <w:rFonts w:ascii="Times New Roman" w:hAnsi="Times New Roman" w:cs="Times New Roman"/>
        </w:rPr>
        <w:t xml:space="preserve">ortant safety mechanism and any </w:t>
      </w:r>
      <w:r w:rsidR="00B31D2F">
        <w:rPr>
          <w:rFonts w:ascii="Times New Roman" w:hAnsi="Times New Roman" w:cs="Times New Roman"/>
        </w:rPr>
        <w:t>suggestion that the Court give an opinio</w:t>
      </w:r>
      <w:r w:rsidR="008A2CC3">
        <w:rPr>
          <w:rFonts w:ascii="Times New Roman" w:hAnsi="Times New Roman" w:cs="Times New Roman"/>
        </w:rPr>
        <w:t xml:space="preserve">n whenever it is asked </w:t>
      </w:r>
      <w:r w:rsidR="00E04C89">
        <w:rPr>
          <w:rFonts w:ascii="Times New Roman" w:hAnsi="Times New Roman" w:cs="Times New Roman"/>
        </w:rPr>
        <w:t xml:space="preserve">would </w:t>
      </w:r>
      <w:r w:rsidR="00B31D2F">
        <w:rPr>
          <w:rFonts w:ascii="Times New Roman" w:hAnsi="Times New Roman" w:cs="Times New Roman"/>
        </w:rPr>
        <w:t xml:space="preserve">not </w:t>
      </w:r>
      <w:r w:rsidR="002B6B89">
        <w:rPr>
          <w:rFonts w:ascii="Times New Roman" w:hAnsi="Times New Roman" w:cs="Times New Roman"/>
        </w:rPr>
        <w:t xml:space="preserve">therefore </w:t>
      </w:r>
      <w:r w:rsidR="00E04C89">
        <w:rPr>
          <w:rFonts w:ascii="Times New Roman" w:hAnsi="Times New Roman" w:cs="Times New Roman"/>
        </w:rPr>
        <w:t xml:space="preserve">be </w:t>
      </w:r>
      <w:r w:rsidR="00B31D2F">
        <w:rPr>
          <w:rFonts w:ascii="Times New Roman" w:hAnsi="Times New Roman" w:cs="Times New Roman"/>
        </w:rPr>
        <w:t>endorsed.</w:t>
      </w:r>
    </w:p>
    <w:p w14:paraId="4F02AE52" w14:textId="322C6B49" w:rsidR="00B31D2F" w:rsidRDefault="00B31D2F" w:rsidP="00CD6578">
      <w:pPr>
        <w:spacing w:line="360" w:lineRule="auto"/>
        <w:jc w:val="both"/>
        <w:rPr>
          <w:rFonts w:ascii="Times New Roman" w:hAnsi="Times New Roman" w:cs="Times New Roman"/>
        </w:rPr>
      </w:pPr>
      <w:r>
        <w:rPr>
          <w:rFonts w:ascii="Times New Roman" w:hAnsi="Times New Roman" w:cs="Times New Roman"/>
        </w:rPr>
        <w:t>In terms of past activity, t</w:t>
      </w:r>
      <w:r w:rsidR="00AD2976">
        <w:rPr>
          <w:rFonts w:ascii="Times New Roman" w:hAnsi="Times New Roman" w:cs="Times New Roman"/>
        </w:rPr>
        <w:t xml:space="preserve">he Assembly has made </w:t>
      </w:r>
      <w:r w:rsidR="00180040">
        <w:rPr>
          <w:rFonts w:ascii="Times New Roman" w:hAnsi="Times New Roman" w:cs="Times New Roman"/>
        </w:rPr>
        <w:t>good use of the advisory opinion process and can be e</w:t>
      </w:r>
      <w:r>
        <w:rPr>
          <w:rFonts w:ascii="Times New Roman" w:hAnsi="Times New Roman" w:cs="Times New Roman"/>
        </w:rPr>
        <w:t>xpected to continue to do so.  Conversely, t</w:t>
      </w:r>
      <w:r w:rsidR="00180040">
        <w:rPr>
          <w:rFonts w:ascii="Times New Roman" w:hAnsi="Times New Roman" w:cs="Times New Roman"/>
        </w:rPr>
        <w:t xml:space="preserve">he </w:t>
      </w:r>
      <w:r w:rsidR="00180040" w:rsidRPr="00180040">
        <w:rPr>
          <w:rFonts w:ascii="Times New Roman" w:hAnsi="Times New Roman" w:cs="Times New Roman"/>
          <w:i/>
        </w:rPr>
        <w:t>realpolitik</w:t>
      </w:r>
      <w:r w:rsidR="00180040">
        <w:rPr>
          <w:rFonts w:ascii="Times New Roman" w:hAnsi="Times New Roman" w:cs="Times New Roman"/>
        </w:rPr>
        <w:t xml:space="preserve"> of the Council points away from any </w:t>
      </w:r>
      <w:r>
        <w:rPr>
          <w:rFonts w:ascii="Times New Roman" w:hAnsi="Times New Roman" w:cs="Times New Roman"/>
        </w:rPr>
        <w:t xml:space="preserve">further </w:t>
      </w:r>
      <w:r w:rsidR="00180040">
        <w:rPr>
          <w:rFonts w:ascii="Times New Roman" w:hAnsi="Times New Roman" w:cs="Times New Roman"/>
        </w:rPr>
        <w:t>use</w:t>
      </w:r>
      <w:r>
        <w:rPr>
          <w:rFonts w:ascii="Times New Roman" w:hAnsi="Times New Roman" w:cs="Times New Roman"/>
        </w:rPr>
        <w:t xml:space="preserve"> by that body.  A</w:t>
      </w:r>
      <w:r w:rsidR="00180040">
        <w:rPr>
          <w:rFonts w:ascii="Times New Roman" w:hAnsi="Times New Roman" w:cs="Times New Roman"/>
        </w:rPr>
        <w:t xml:space="preserve">t best the P5 -  who by virtue of the veto hold sway - are indifferent to the Court.  Other UN organs and specialised agencies have barely scratched the surface of the potential of advisory opinions, and the tightening of interpretation around “scope of activities” in the </w:t>
      </w:r>
      <w:r w:rsidR="00BE3037">
        <w:rPr>
          <w:rFonts w:ascii="Times New Roman" w:hAnsi="Times New Roman" w:cs="Times New Roman"/>
        </w:rPr>
        <w:t xml:space="preserve">Court’s </w:t>
      </w:r>
      <w:r w:rsidR="00180040">
        <w:rPr>
          <w:rFonts w:ascii="Times New Roman" w:hAnsi="Times New Roman" w:cs="Times New Roman"/>
        </w:rPr>
        <w:t>response to the WHO</w:t>
      </w:r>
      <w:r w:rsidR="005C4D56">
        <w:rPr>
          <w:rFonts w:ascii="Times New Roman" w:hAnsi="Times New Roman" w:cs="Times New Roman"/>
        </w:rPr>
        <w:t>’s</w:t>
      </w:r>
      <w:r w:rsidR="00180040">
        <w:rPr>
          <w:rFonts w:ascii="Times New Roman" w:hAnsi="Times New Roman" w:cs="Times New Roman"/>
        </w:rPr>
        <w:t xml:space="preserve"> </w:t>
      </w:r>
      <w:r w:rsidR="00180040" w:rsidRPr="00180040">
        <w:rPr>
          <w:rFonts w:ascii="Times New Roman" w:hAnsi="Times New Roman" w:cs="Times New Roman"/>
          <w:i/>
        </w:rPr>
        <w:t>Nuclear Weapons</w:t>
      </w:r>
      <w:r w:rsidR="00180040">
        <w:rPr>
          <w:rFonts w:ascii="Times New Roman" w:hAnsi="Times New Roman" w:cs="Times New Roman"/>
        </w:rPr>
        <w:t xml:space="preserve"> question is more likely to </w:t>
      </w:r>
      <w:r w:rsidR="00081CCC">
        <w:rPr>
          <w:rFonts w:ascii="Times New Roman" w:hAnsi="Times New Roman" w:cs="Times New Roman"/>
        </w:rPr>
        <w:t>dissuade</w:t>
      </w:r>
      <w:r w:rsidR="00180040">
        <w:rPr>
          <w:rFonts w:ascii="Times New Roman" w:hAnsi="Times New Roman" w:cs="Times New Roman"/>
        </w:rPr>
        <w:t xml:space="preserve"> than </w:t>
      </w:r>
      <w:r w:rsidR="00081CCC">
        <w:rPr>
          <w:rFonts w:ascii="Times New Roman" w:hAnsi="Times New Roman" w:cs="Times New Roman"/>
        </w:rPr>
        <w:t>assist</w:t>
      </w:r>
      <w:r w:rsidR="00180040">
        <w:rPr>
          <w:rFonts w:ascii="Times New Roman" w:hAnsi="Times New Roman" w:cs="Times New Roman"/>
        </w:rPr>
        <w:t xml:space="preserve"> here.</w:t>
      </w:r>
    </w:p>
    <w:p w14:paraId="053CD953" w14:textId="49BC8585" w:rsidR="00BE3037" w:rsidRDefault="00B31D2F" w:rsidP="00CD6578">
      <w:pPr>
        <w:spacing w:line="360" w:lineRule="auto"/>
        <w:jc w:val="both"/>
        <w:rPr>
          <w:rFonts w:ascii="Times New Roman" w:hAnsi="Times New Roman" w:cs="Times New Roman"/>
        </w:rPr>
      </w:pPr>
      <w:r>
        <w:rPr>
          <w:rFonts w:ascii="Times New Roman" w:hAnsi="Times New Roman" w:cs="Times New Roman"/>
        </w:rPr>
        <w:t xml:space="preserve">Although </w:t>
      </w:r>
      <w:r w:rsidR="00113243">
        <w:rPr>
          <w:rFonts w:ascii="Times New Roman" w:hAnsi="Times New Roman" w:cs="Times New Roman"/>
        </w:rPr>
        <w:t xml:space="preserve">demand </w:t>
      </w:r>
      <w:r w:rsidR="00C90ADC">
        <w:rPr>
          <w:rFonts w:ascii="Times New Roman" w:hAnsi="Times New Roman" w:cs="Times New Roman"/>
        </w:rPr>
        <w:t>for an expansion of the Court’s advisory jurisdiction</w:t>
      </w:r>
      <w:r w:rsidR="00113243">
        <w:rPr>
          <w:rFonts w:ascii="Times New Roman" w:hAnsi="Times New Roman" w:cs="Times New Roman"/>
        </w:rPr>
        <w:t xml:space="preserve"> has </w:t>
      </w:r>
      <w:r>
        <w:rPr>
          <w:rFonts w:ascii="Times New Roman" w:hAnsi="Times New Roman" w:cs="Times New Roman"/>
        </w:rPr>
        <w:t xml:space="preserve">not </w:t>
      </w:r>
      <w:r w:rsidR="00113243">
        <w:rPr>
          <w:rFonts w:ascii="Times New Roman" w:hAnsi="Times New Roman" w:cs="Times New Roman"/>
        </w:rPr>
        <w:t>been demonstrated</w:t>
      </w:r>
      <w:r>
        <w:rPr>
          <w:rFonts w:ascii="Times New Roman" w:hAnsi="Times New Roman" w:cs="Times New Roman"/>
        </w:rPr>
        <w:t xml:space="preserve"> for any of the option</w:t>
      </w:r>
      <w:r w:rsidR="00BE3037">
        <w:rPr>
          <w:rFonts w:ascii="Times New Roman" w:hAnsi="Times New Roman" w:cs="Times New Roman"/>
        </w:rPr>
        <w:t>s</w:t>
      </w:r>
      <w:r>
        <w:rPr>
          <w:rFonts w:ascii="Times New Roman" w:hAnsi="Times New Roman" w:cs="Times New Roman"/>
        </w:rPr>
        <w:t xml:space="preserve"> explored</w:t>
      </w:r>
      <w:r w:rsidR="00C90ADC">
        <w:rPr>
          <w:rFonts w:ascii="Times New Roman" w:hAnsi="Times New Roman" w:cs="Times New Roman"/>
        </w:rPr>
        <w:t xml:space="preserve">, </w:t>
      </w:r>
      <w:r w:rsidR="00B16045">
        <w:rPr>
          <w:rFonts w:ascii="Times New Roman" w:hAnsi="Times New Roman" w:cs="Times New Roman"/>
        </w:rPr>
        <w:t>allow</w:t>
      </w:r>
      <w:r w:rsidR="00D4334C">
        <w:rPr>
          <w:rFonts w:ascii="Times New Roman" w:hAnsi="Times New Roman" w:cs="Times New Roman"/>
        </w:rPr>
        <w:t>ing</w:t>
      </w:r>
      <w:r w:rsidR="00B16045">
        <w:rPr>
          <w:rFonts w:ascii="Times New Roman" w:hAnsi="Times New Roman" w:cs="Times New Roman"/>
        </w:rPr>
        <w:t xml:space="preserve"> submissions by </w:t>
      </w:r>
      <w:r w:rsidR="00AD2976">
        <w:rPr>
          <w:rFonts w:ascii="Times New Roman" w:hAnsi="Times New Roman" w:cs="Times New Roman"/>
        </w:rPr>
        <w:t xml:space="preserve">appropriate </w:t>
      </w:r>
      <w:r w:rsidR="00B16045">
        <w:rPr>
          <w:rFonts w:ascii="Times New Roman" w:hAnsi="Times New Roman" w:cs="Times New Roman"/>
        </w:rPr>
        <w:t>NGOs</w:t>
      </w:r>
      <w:r w:rsidR="00D4334C">
        <w:rPr>
          <w:rFonts w:ascii="Times New Roman" w:hAnsi="Times New Roman" w:cs="Times New Roman"/>
        </w:rPr>
        <w:t xml:space="preserve"> could enhance perception of the Court.  However,</w:t>
      </w:r>
      <w:r w:rsidR="00B16045">
        <w:rPr>
          <w:rFonts w:ascii="Times New Roman" w:hAnsi="Times New Roman" w:cs="Times New Roman"/>
        </w:rPr>
        <w:t xml:space="preserve"> </w:t>
      </w:r>
      <w:r w:rsidR="000831C4">
        <w:rPr>
          <w:rFonts w:ascii="Times New Roman" w:hAnsi="Times New Roman" w:cs="Times New Roman"/>
        </w:rPr>
        <w:t xml:space="preserve">the </w:t>
      </w:r>
      <w:r w:rsidR="005C4D56">
        <w:rPr>
          <w:rFonts w:ascii="Times New Roman" w:hAnsi="Times New Roman" w:cs="Times New Roman"/>
        </w:rPr>
        <w:t xml:space="preserve">likely </w:t>
      </w:r>
      <w:r w:rsidR="000831C4">
        <w:rPr>
          <w:rFonts w:ascii="Times New Roman" w:hAnsi="Times New Roman" w:cs="Times New Roman"/>
        </w:rPr>
        <w:t>volume of material ri</w:t>
      </w:r>
      <w:r w:rsidR="00824A91">
        <w:rPr>
          <w:rFonts w:ascii="Times New Roman" w:hAnsi="Times New Roman" w:cs="Times New Roman"/>
        </w:rPr>
        <w:t>sks overwhelming the process</w:t>
      </w:r>
      <w:r>
        <w:rPr>
          <w:rFonts w:ascii="Times New Roman" w:hAnsi="Times New Roman" w:cs="Times New Roman"/>
        </w:rPr>
        <w:t>,</w:t>
      </w:r>
      <w:r w:rsidR="00824A91">
        <w:rPr>
          <w:rFonts w:ascii="Times New Roman" w:hAnsi="Times New Roman" w:cs="Times New Roman"/>
        </w:rPr>
        <w:t xml:space="preserve"> so a</w:t>
      </w:r>
      <w:r w:rsidR="00D95E18">
        <w:rPr>
          <w:rFonts w:ascii="Times New Roman" w:hAnsi="Times New Roman" w:cs="Times New Roman"/>
        </w:rPr>
        <w:t xml:space="preserve"> balance must be</w:t>
      </w:r>
      <w:r w:rsidR="00180040">
        <w:rPr>
          <w:rFonts w:ascii="Times New Roman" w:hAnsi="Times New Roman" w:cs="Times New Roman"/>
        </w:rPr>
        <w:t xml:space="preserve"> struck.</w:t>
      </w:r>
      <w:r w:rsidR="00AD2976">
        <w:rPr>
          <w:rFonts w:ascii="Times New Roman" w:hAnsi="Times New Roman" w:cs="Times New Roman"/>
        </w:rPr>
        <w:t xml:space="preserve">  The </w:t>
      </w:r>
      <w:r w:rsidR="00AD2976" w:rsidRPr="00AD2976">
        <w:rPr>
          <w:rFonts w:ascii="Times New Roman" w:hAnsi="Times New Roman" w:cs="Times New Roman"/>
          <w:i/>
        </w:rPr>
        <w:t>Chagos</w:t>
      </w:r>
      <w:r w:rsidR="00AD2976">
        <w:rPr>
          <w:rFonts w:ascii="Times New Roman" w:hAnsi="Times New Roman" w:cs="Times New Roman"/>
        </w:rPr>
        <w:t xml:space="preserve"> request offers an ideal opportunity to test this out and build on the (incomplete) precedent established by the Court in the </w:t>
      </w:r>
      <w:r w:rsidR="00AD2976" w:rsidRPr="00AD2976">
        <w:rPr>
          <w:rFonts w:ascii="Times New Roman" w:hAnsi="Times New Roman" w:cs="Times New Roman"/>
          <w:i/>
        </w:rPr>
        <w:t>Status of South-West Africa</w:t>
      </w:r>
      <w:r w:rsidR="005751AD">
        <w:rPr>
          <w:rFonts w:ascii="Times New Roman" w:hAnsi="Times New Roman" w:cs="Times New Roman"/>
        </w:rPr>
        <w:t>.</w:t>
      </w:r>
    </w:p>
    <w:p w14:paraId="214B4971" w14:textId="5414A2D0" w:rsidR="00180040" w:rsidRPr="001B7752" w:rsidRDefault="00305D1C" w:rsidP="00230675">
      <w:pPr>
        <w:spacing w:line="360" w:lineRule="auto"/>
        <w:jc w:val="both"/>
        <w:rPr>
          <w:rFonts w:ascii="Times New Roman" w:hAnsi="Times New Roman" w:cs="Times New Roman"/>
        </w:rPr>
      </w:pPr>
      <w:r>
        <w:rPr>
          <w:rFonts w:ascii="Times New Roman" w:hAnsi="Times New Roman" w:cs="Times New Roman"/>
        </w:rPr>
        <w:t>T</w:t>
      </w:r>
      <w:r w:rsidR="00D95E18">
        <w:rPr>
          <w:rFonts w:ascii="Times New Roman" w:hAnsi="Times New Roman" w:cs="Times New Roman"/>
        </w:rPr>
        <w:t>o sustain a</w:t>
      </w:r>
      <w:r>
        <w:rPr>
          <w:rFonts w:ascii="Times New Roman" w:hAnsi="Times New Roman" w:cs="Times New Roman"/>
        </w:rPr>
        <w:t>nd improve the percepti</w:t>
      </w:r>
      <w:r w:rsidR="00B16045">
        <w:rPr>
          <w:rFonts w:ascii="Times New Roman" w:hAnsi="Times New Roman" w:cs="Times New Roman"/>
        </w:rPr>
        <w:t>on of the ICJ it is essential the Court</w:t>
      </w:r>
      <w:r>
        <w:rPr>
          <w:rFonts w:ascii="Times New Roman" w:hAnsi="Times New Roman" w:cs="Times New Roman"/>
        </w:rPr>
        <w:t xml:space="preserve"> remains concerned with issu</w:t>
      </w:r>
      <w:r w:rsidR="00B31D2F">
        <w:rPr>
          <w:rFonts w:ascii="Times New Roman" w:hAnsi="Times New Roman" w:cs="Times New Roman"/>
        </w:rPr>
        <w:t xml:space="preserve">es of real substance </w:t>
      </w:r>
      <w:r>
        <w:rPr>
          <w:rFonts w:ascii="Times New Roman" w:hAnsi="Times New Roman" w:cs="Times New Roman"/>
        </w:rPr>
        <w:t xml:space="preserve">and value </w:t>
      </w:r>
      <w:r w:rsidR="00180040">
        <w:rPr>
          <w:rFonts w:ascii="Times New Roman" w:hAnsi="Times New Roman" w:cs="Times New Roman"/>
        </w:rPr>
        <w:t>to the interna</w:t>
      </w:r>
      <w:r w:rsidR="00B16045">
        <w:rPr>
          <w:rFonts w:ascii="Times New Roman" w:hAnsi="Times New Roman" w:cs="Times New Roman"/>
        </w:rPr>
        <w:t xml:space="preserve">tional community which match its standing </w:t>
      </w:r>
      <w:r w:rsidR="00180040">
        <w:rPr>
          <w:rFonts w:ascii="Times New Roman" w:hAnsi="Times New Roman" w:cs="Times New Roman"/>
        </w:rPr>
        <w:t>and its unique position in the judicial landscape</w:t>
      </w:r>
      <w:r w:rsidR="00C31FC2">
        <w:rPr>
          <w:rFonts w:ascii="Times New Roman" w:hAnsi="Times New Roman" w:cs="Times New Roman"/>
        </w:rPr>
        <w:t>.  T</w:t>
      </w:r>
      <w:r w:rsidR="00D4334C">
        <w:rPr>
          <w:rFonts w:ascii="Times New Roman" w:hAnsi="Times New Roman" w:cs="Times New Roman"/>
        </w:rPr>
        <w:t xml:space="preserve">he trimming of </w:t>
      </w:r>
      <w:r w:rsidR="00C31FC2">
        <w:rPr>
          <w:rFonts w:ascii="Times New Roman" w:hAnsi="Times New Roman" w:cs="Times New Roman"/>
        </w:rPr>
        <w:t>the Court’s</w:t>
      </w:r>
      <w:r w:rsidR="00D4334C">
        <w:rPr>
          <w:rFonts w:ascii="Times New Roman" w:hAnsi="Times New Roman" w:cs="Times New Roman"/>
        </w:rPr>
        <w:t xml:space="preserve"> ILOAT review function has assisted here.  </w:t>
      </w:r>
      <w:r w:rsidR="00B31D2F">
        <w:rPr>
          <w:rFonts w:ascii="Times New Roman" w:hAnsi="Times New Roman" w:cs="Times New Roman"/>
        </w:rPr>
        <w:t>I</w:t>
      </w:r>
      <w:r>
        <w:rPr>
          <w:rFonts w:ascii="Times New Roman" w:hAnsi="Times New Roman" w:cs="Times New Roman"/>
        </w:rPr>
        <w:t>n</w:t>
      </w:r>
      <w:r w:rsidR="00E52518">
        <w:rPr>
          <w:rFonts w:ascii="Times New Roman" w:hAnsi="Times New Roman" w:cs="Times New Roman"/>
        </w:rPr>
        <w:t xml:space="preserve"> </w:t>
      </w:r>
      <w:r w:rsidR="008A2CC3">
        <w:rPr>
          <w:rFonts w:ascii="Times New Roman" w:hAnsi="Times New Roman" w:cs="Times New Roman"/>
        </w:rPr>
        <w:t>t</w:t>
      </w:r>
      <w:r>
        <w:rPr>
          <w:rFonts w:ascii="Times New Roman" w:hAnsi="Times New Roman" w:cs="Times New Roman"/>
        </w:rPr>
        <w:t xml:space="preserve">he </w:t>
      </w:r>
      <w:r w:rsidR="008A2CC3">
        <w:rPr>
          <w:rFonts w:ascii="Times New Roman" w:hAnsi="Times New Roman" w:cs="Times New Roman"/>
          <w:i/>
        </w:rPr>
        <w:t>N</w:t>
      </w:r>
      <w:r w:rsidRPr="00305D1C">
        <w:rPr>
          <w:rFonts w:ascii="Times New Roman" w:hAnsi="Times New Roman" w:cs="Times New Roman"/>
          <w:i/>
        </w:rPr>
        <w:t>uclear Weapons</w:t>
      </w:r>
      <w:r>
        <w:rPr>
          <w:rFonts w:ascii="Times New Roman" w:hAnsi="Times New Roman" w:cs="Times New Roman"/>
        </w:rPr>
        <w:t xml:space="preserve"> and </w:t>
      </w:r>
      <w:r w:rsidRPr="00305D1C">
        <w:rPr>
          <w:rFonts w:ascii="Times New Roman" w:hAnsi="Times New Roman" w:cs="Times New Roman"/>
          <w:i/>
        </w:rPr>
        <w:t>Wall</w:t>
      </w:r>
      <w:r>
        <w:rPr>
          <w:rFonts w:ascii="Times New Roman" w:hAnsi="Times New Roman" w:cs="Times New Roman"/>
        </w:rPr>
        <w:t xml:space="preserve"> opinions, the Court came under pressure to exercise its discretion to refuse to give an opinio</w:t>
      </w:r>
      <w:r w:rsidR="00B16045">
        <w:rPr>
          <w:rFonts w:ascii="Times New Roman" w:hAnsi="Times New Roman" w:cs="Times New Roman"/>
        </w:rPr>
        <w:t>n but a</w:t>
      </w:r>
      <w:r w:rsidR="007B78F9">
        <w:rPr>
          <w:rFonts w:ascii="Times New Roman" w:hAnsi="Times New Roman" w:cs="Times New Roman"/>
        </w:rPr>
        <w:t xml:space="preserve"> turning away </w:t>
      </w:r>
      <w:r>
        <w:rPr>
          <w:rFonts w:ascii="Times New Roman" w:hAnsi="Times New Roman" w:cs="Times New Roman"/>
        </w:rPr>
        <w:t>from such maj</w:t>
      </w:r>
      <w:r w:rsidR="007B78F9">
        <w:rPr>
          <w:rFonts w:ascii="Times New Roman" w:hAnsi="Times New Roman" w:cs="Times New Roman"/>
        </w:rPr>
        <w:t xml:space="preserve">or issues </w:t>
      </w:r>
      <w:r>
        <w:rPr>
          <w:rFonts w:ascii="Times New Roman" w:hAnsi="Times New Roman" w:cs="Times New Roman"/>
        </w:rPr>
        <w:t>would send a hammer blow to its status as the principal judic</w:t>
      </w:r>
      <w:r w:rsidR="00180040">
        <w:rPr>
          <w:rFonts w:ascii="Times New Roman" w:hAnsi="Times New Roman" w:cs="Times New Roman"/>
        </w:rPr>
        <w:t>ial organ of the UN</w:t>
      </w:r>
      <w:r>
        <w:rPr>
          <w:rFonts w:ascii="Times New Roman" w:hAnsi="Times New Roman" w:cs="Times New Roman"/>
        </w:rPr>
        <w:t>.</w:t>
      </w:r>
      <w:r>
        <w:rPr>
          <w:rStyle w:val="FootnoteReference"/>
          <w:rFonts w:ascii="Times New Roman" w:hAnsi="Times New Roman" w:cs="Times New Roman"/>
        </w:rPr>
        <w:footnoteReference w:id="147"/>
      </w:r>
      <w:r w:rsidR="001B7752">
        <w:rPr>
          <w:rFonts w:ascii="Times New Roman" w:hAnsi="Times New Roman" w:cs="Times New Roman"/>
        </w:rPr>
        <w:t xml:space="preserve">  The </w:t>
      </w:r>
      <w:r w:rsidR="001B7752" w:rsidRPr="001B7752">
        <w:rPr>
          <w:rFonts w:ascii="Times New Roman" w:hAnsi="Times New Roman" w:cs="Times New Roman"/>
          <w:i/>
        </w:rPr>
        <w:t>Chagos</w:t>
      </w:r>
      <w:r w:rsidR="001B7752">
        <w:rPr>
          <w:rFonts w:ascii="Times New Roman" w:hAnsi="Times New Roman" w:cs="Times New Roman"/>
        </w:rPr>
        <w:t xml:space="preserve"> request is weighty, challenging an</w:t>
      </w:r>
      <w:r w:rsidR="00D54E28">
        <w:rPr>
          <w:rFonts w:ascii="Times New Roman" w:hAnsi="Times New Roman" w:cs="Times New Roman"/>
        </w:rPr>
        <w:t>d addresse</w:t>
      </w:r>
      <w:r w:rsidR="001B7752">
        <w:rPr>
          <w:rFonts w:ascii="Times New Roman" w:hAnsi="Times New Roman" w:cs="Times New Roman"/>
        </w:rPr>
        <w:t>es issues of real</w:t>
      </w:r>
      <w:r w:rsidR="00D54E28">
        <w:rPr>
          <w:rFonts w:ascii="Times New Roman" w:hAnsi="Times New Roman" w:cs="Times New Roman"/>
        </w:rPr>
        <w:t xml:space="preserve"> significance.  Whether, and how, the Court chooses to answer t</w:t>
      </w:r>
      <w:r w:rsidR="001B7752">
        <w:rPr>
          <w:rFonts w:ascii="Times New Roman" w:hAnsi="Times New Roman" w:cs="Times New Roman"/>
        </w:rPr>
        <w:t xml:space="preserve">he two questions </w:t>
      </w:r>
      <w:r w:rsidR="00D95C0C">
        <w:rPr>
          <w:rFonts w:ascii="Times New Roman" w:hAnsi="Times New Roman" w:cs="Times New Roman"/>
        </w:rPr>
        <w:t xml:space="preserve">in the request </w:t>
      </w:r>
      <w:r w:rsidR="001B7752">
        <w:rPr>
          <w:rFonts w:ascii="Times New Roman" w:hAnsi="Times New Roman" w:cs="Times New Roman"/>
        </w:rPr>
        <w:t>will undoubtedly have a substantial im</w:t>
      </w:r>
      <w:r w:rsidR="00D54E28">
        <w:rPr>
          <w:rFonts w:ascii="Times New Roman" w:hAnsi="Times New Roman" w:cs="Times New Roman"/>
        </w:rPr>
        <w:t>pact on the international plane and could serve to revitali</w:t>
      </w:r>
      <w:r w:rsidR="00D95C0C">
        <w:rPr>
          <w:rFonts w:ascii="Times New Roman" w:hAnsi="Times New Roman" w:cs="Times New Roman"/>
        </w:rPr>
        <w:t>s</w:t>
      </w:r>
      <w:r w:rsidR="00D54E28">
        <w:rPr>
          <w:rFonts w:ascii="Times New Roman" w:hAnsi="Times New Roman" w:cs="Times New Roman"/>
        </w:rPr>
        <w:t>e the Court’s advisory function.</w:t>
      </w:r>
    </w:p>
    <w:p w14:paraId="604D469F" w14:textId="77777777" w:rsidR="00C66B4C" w:rsidRPr="00172BB5" w:rsidRDefault="00F00B37" w:rsidP="00230675">
      <w:pPr>
        <w:spacing w:line="360" w:lineRule="auto"/>
        <w:jc w:val="both"/>
        <w:rPr>
          <w:rFonts w:ascii="Times New Roman" w:hAnsi="Times New Roman" w:cs="Times New Roman"/>
        </w:rPr>
      </w:pPr>
      <w:r>
        <w:rPr>
          <w:rFonts w:ascii="Times New Roman" w:hAnsi="Times New Roman" w:cs="Times New Roman"/>
        </w:rPr>
        <w:lastRenderedPageBreak/>
        <w:t>Opinions on m</w:t>
      </w:r>
      <w:r w:rsidR="00066F3F">
        <w:rPr>
          <w:rFonts w:ascii="Times New Roman" w:hAnsi="Times New Roman" w:cs="Times New Roman"/>
        </w:rPr>
        <w:t>atters of lesser importance risk</w:t>
      </w:r>
      <w:r w:rsidR="00180040">
        <w:rPr>
          <w:rFonts w:ascii="Times New Roman" w:hAnsi="Times New Roman" w:cs="Times New Roman"/>
        </w:rPr>
        <w:t xml:space="preserve"> undermining not only the Court’s reputation - showing it </w:t>
      </w:r>
      <w:r w:rsidR="00D54E28">
        <w:rPr>
          <w:rFonts w:ascii="Times New Roman" w:hAnsi="Times New Roman" w:cs="Times New Roman"/>
        </w:rPr>
        <w:t>as relegated</w:t>
      </w:r>
      <w:r w:rsidR="00180040">
        <w:rPr>
          <w:rFonts w:ascii="Times New Roman" w:hAnsi="Times New Roman" w:cs="Times New Roman"/>
        </w:rPr>
        <w:t xml:space="preserve"> to dealing with minor issues – but also that of international law itself.  If the Court gives more advisory opinions, but what it deals with is small beans, there is a danger</w:t>
      </w:r>
      <w:r w:rsidR="00C40628">
        <w:rPr>
          <w:rFonts w:ascii="Times New Roman" w:hAnsi="Times New Roman" w:cs="Times New Roman"/>
        </w:rPr>
        <w:t xml:space="preserve"> that international </w:t>
      </w:r>
      <w:r>
        <w:rPr>
          <w:rFonts w:ascii="Times New Roman" w:hAnsi="Times New Roman" w:cs="Times New Roman"/>
        </w:rPr>
        <w:t xml:space="preserve">law </w:t>
      </w:r>
      <w:r w:rsidR="00180040">
        <w:rPr>
          <w:rFonts w:ascii="Times New Roman" w:hAnsi="Times New Roman" w:cs="Times New Roman"/>
        </w:rPr>
        <w:t>is increasingly side-lined and unable to act as an effective counter-weig</w:t>
      </w:r>
      <w:r w:rsidR="00230675">
        <w:rPr>
          <w:rFonts w:ascii="Times New Roman" w:hAnsi="Times New Roman" w:cs="Times New Roman"/>
        </w:rPr>
        <w:t xml:space="preserve">ht to politics in international </w:t>
      </w:r>
      <w:r w:rsidR="00180040">
        <w:rPr>
          <w:rFonts w:ascii="Times New Roman" w:hAnsi="Times New Roman" w:cs="Times New Roman"/>
        </w:rPr>
        <w:t>debate</w:t>
      </w:r>
      <w:r w:rsidR="00066F3F">
        <w:rPr>
          <w:rFonts w:ascii="Times New Roman" w:hAnsi="Times New Roman" w:cs="Times New Roman"/>
        </w:rPr>
        <w:t>.</w:t>
      </w:r>
    </w:p>
    <w:sectPr w:rsidR="00C66B4C" w:rsidRPr="00172BB5" w:rsidSect="00AB679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C089" w14:textId="77777777" w:rsidR="001A1B9E" w:rsidRDefault="001A1B9E" w:rsidP="00D67E3C">
      <w:pPr>
        <w:spacing w:after="0"/>
      </w:pPr>
      <w:r>
        <w:separator/>
      </w:r>
    </w:p>
  </w:endnote>
  <w:endnote w:type="continuationSeparator" w:id="0">
    <w:p w14:paraId="5CEB6D88" w14:textId="77777777" w:rsidR="001A1B9E" w:rsidRDefault="001A1B9E" w:rsidP="00D67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4A05" w14:textId="77777777" w:rsidR="001A1B9E" w:rsidRDefault="001A1B9E" w:rsidP="00D67E3C">
      <w:pPr>
        <w:spacing w:after="0"/>
      </w:pPr>
      <w:r>
        <w:separator/>
      </w:r>
    </w:p>
  </w:footnote>
  <w:footnote w:type="continuationSeparator" w:id="0">
    <w:p w14:paraId="208899EF" w14:textId="77777777" w:rsidR="001A1B9E" w:rsidRDefault="001A1B9E" w:rsidP="00D67E3C">
      <w:pPr>
        <w:spacing w:after="0"/>
      </w:pPr>
      <w:r>
        <w:continuationSeparator/>
      </w:r>
    </w:p>
  </w:footnote>
  <w:footnote w:id="1">
    <w:p w14:paraId="61CF5A3D" w14:textId="77777777" w:rsidR="001016BA" w:rsidRDefault="001016BA" w:rsidP="004C5463">
      <w:pPr>
        <w:pStyle w:val="FootnoteText"/>
      </w:pPr>
      <w:r>
        <w:rPr>
          <w:rStyle w:val="FootnoteReference"/>
        </w:rPr>
        <w:footnoteRef/>
      </w:r>
      <w:r>
        <w:t xml:space="preserve"> Charter of the United Nations 1945, Article 92; Statute of the International Court of Justice 1945, Article 1.</w:t>
      </w:r>
    </w:p>
  </w:footnote>
  <w:footnote w:id="2">
    <w:p w14:paraId="2324B188" w14:textId="77777777" w:rsidR="001016BA" w:rsidRDefault="001016BA">
      <w:pPr>
        <w:pStyle w:val="FootnoteText"/>
      </w:pPr>
      <w:r>
        <w:rPr>
          <w:rStyle w:val="FootnoteReference"/>
        </w:rPr>
        <w:footnoteRef/>
      </w:r>
      <w:r>
        <w:t xml:space="preserve"> </w:t>
      </w:r>
      <w:r w:rsidRPr="00707BCE">
        <w:rPr>
          <w:i/>
        </w:rPr>
        <w:t>Judgement No.2867 of the Administrative Tribunal of the International Labour Organization upon a Complaint filed against the International fund for Agricultural Development</w:t>
      </w:r>
      <w:r>
        <w:t>, Advisory Opinion, ICJ Reports 2012, p.10.</w:t>
      </w:r>
    </w:p>
  </w:footnote>
  <w:footnote w:id="3">
    <w:p w14:paraId="51BB6FE5" w14:textId="59E213B4" w:rsidR="001016BA" w:rsidRPr="00204443" w:rsidRDefault="001016BA">
      <w:pPr>
        <w:pStyle w:val="FootnoteText"/>
      </w:pPr>
      <w:r>
        <w:rPr>
          <w:rStyle w:val="FootnoteReference"/>
        </w:rPr>
        <w:footnoteRef/>
      </w:r>
      <w:r>
        <w:t xml:space="preserve"> A/71/L.73, 15 June 2017 and see International Court of Justice, Press Release Unofficial, No. 2017/27, </w:t>
      </w:r>
      <w:r>
        <w:rPr>
          <w:i/>
        </w:rPr>
        <w:t>The General Assembly requests an advisory opinion from the Court on the legal consequences of the separation of the Chagos Archipelago from Mauritius in 1965</w:t>
      </w:r>
      <w:r>
        <w:t xml:space="preserve"> (</w:t>
      </w:r>
      <w:r w:rsidRPr="00486020">
        <w:rPr>
          <w:i/>
        </w:rPr>
        <w:t>Chagos</w:t>
      </w:r>
      <w:r>
        <w:t xml:space="preserve"> request),</w:t>
      </w:r>
      <w:r>
        <w:rPr>
          <w:i/>
        </w:rPr>
        <w:t xml:space="preserve"> </w:t>
      </w:r>
      <w:r>
        <w:t xml:space="preserve">29 June 2017, </w:t>
      </w:r>
      <w:hyperlink r:id="rId1" w:history="1">
        <w:r w:rsidRPr="00A43B31">
          <w:rPr>
            <w:rStyle w:val="Hyperlink"/>
          </w:rPr>
          <w:t>http://www.icj-cij.org/files/case-related/169/169-20170629-PRE-01-00-EN.pdf</w:t>
        </w:r>
      </w:hyperlink>
      <w:r>
        <w:t xml:space="preserve">, </w:t>
      </w:r>
      <w:r w:rsidRPr="00204443">
        <w:t>(all links last accessed on 16</w:t>
      </w:r>
      <w:r>
        <w:t>/</w:t>
      </w:r>
      <w:r w:rsidRPr="00204443">
        <w:t>17 December 2017).</w:t>
      </w:r>
    </w:p>
  </w:footnote>
  <w:footnote w:id="4">
    <w:p w14:paraId="58459ADF" w14:textId="77777777" w:rsidR="001016BA" w:rsidRDefault="001016BA">
      <w:pPr>
        <w:pStyle w:val="FootnoteText"/>
      </w:pPr>
      <w:r>
        <w:rPr>
          <w:rStyle w:val="FootnoteReference"/>
        </w:rPr>
        <w:footnoteRef/>
      </w:r>
      <w:r>
        <w:t xml:space="preserve"> </w:t>
      </w:r>
      <w:r w:rsidRPr="00EE3FAF">
        <w:rPr>
          <w:i/>
        </w:rPr>
        <w:t>Legality of the Use by a State of Nuclear Weapons in Armed Conflict</w:t>
      </w:r>
      <w:r>
        <w:rPr>
          <w:i/>
        </w:rPr>
        <w:t xml:space="preserve"> (WHO Nuclear Weapons)</w:t>
      </w:r>
      <w:r>
        <w:t>, Advisory Opinion, ICJ Reports 1996, p.66.</w:t>
      </w:r>
    </w:p>
  </w:footnote>
  <w:footnote w:id="5">
    <w:p w14:paraId="01534AF0" w14:textId="77777777" w:rsidR="001016BA" w:rsidRDefault="001016BA" w:rsidP="003A605A">
      <w:pPr>
        <w:pStyle w:val="FootnoteText"/>
      </w:pPr>
      <w:r>
        <w:rPr>
          <w:rStyle w:val="FootnoteReference"/>
        </w:rPr>
        <w:footnoteRef/>
      </w:r>
      <w:r>
        <w:rPr>
          <w:i/>
        </w:rPr>
        <w:t xml:space="preserve"> </w:t>
      </w:r>
      <w:r w:rsidRPr="00DC2D54">
        <w:rPr>
          <w:i/>
        </w:rPr>
        <w:t>Status of Eastern Carelia</w:t>
      </w:r>
      <w:r>
        <w:t>, Advisory Opinion, 1923 PCIJ, (ser. B), No. 5(July 23).</w:t>
      </w:r>
    </w:p>
  </w:footnote>
  <w:footnote w:id="6">
    <w:p w14:paraId="23098240" w14:textId="77777777" w:rsidR="001016BA" w:rsidRDefault="001016BA" w:rsidP="00571920">
      <w:pPr>
        <w:pStyle w:val="FootnoteText"/>
      </w:pPr>
      <w:r>
        <w:rPr>
          <w:rStyle w:val="FootnoteReference"/>
        </w:rPr>
        <w:footnoteRef/>
      </w:r>
      <w:r>
        <w:t xml:space="preserve"> </w:t>
      </w:r>
      <w:r w:rsidRPr="00F56B66">
        <w:rPr>
          <w:i/>
        </w:rPr>
        <w:t>Accordance with International Law of the Unilateral Declaration of Independence in respect of Kosovo</w:t>
      </w:r>
      <w:r>
        <w:rPr>
          <w:i/>
        </w:rPr>
        <w:t xml:space="preserve"> (Kosovo)</w:t>
      </w:r>
      <w:r>
        <w:t>, Advisory Opinion, ICJ Reports 2010, p.403, 417, para.33.</w:t>
      </w:r>
    </w:p>
  </w:footnote>
  <w:footnote w:id="7">
    <w:p w14:paraId="30943C87" w14:textId="77777777" w:rsidR="001016BA" w:rsidRDefault="001016BA" w:rsidP="00A501D6">
      <w:pPr>
        <w:pStyle w:val="FootnoteText"/>
      </w:pPr>
      <w:r>
        <w:rPr>
          <w:rStyle w:val="FootnoteReference"/>
        </w:rPr>
        <w:footnoteRef/>
      </w:r>
      <w:r>
        <w:t xml:space="preserve"> </w:t>
      </w:r>
      <w:hyperlink r:id="rId2" w:history="1">
        <w:r w:rsidRPr="00A43B31">
          <w:rPr>
            <w:rStyle w:val="Hyperlink"/>
          </w:rPr>
          <w:t>http://www.icj-cij.org/en/organs-agencies-authorized</w:t>
        </w:r>
      </w:hyperlink>
      <w:r>
        <w:t xml:space="preserve">. </w:t>
      </w:r>
      <w:r>
        <w:rPr>
          <w:rFonts w:cstheme="minorHAnsi"/>
        </w:rPr>
        <w:t>O</w:t>
      </w:r>
      <w:r w:rsidRPr="00DB1B23">
        <w:rPr>
          <w:rFonts w:cstheme="minorHAnsi"/>
        </w:rPr>
        <w:t>ne of the organs, the Trusteeship Council, suspended its operations on November 2014, a month after the last UN trust territ</w:t>
      </w:r>
      <w:r>
        <w:rPr>
          <w:rFonts w:cstheme="minorHAnsi"/>
        </w:rPr>
        <w:t>ory, Palau, gained independence</w:t>
      </w:r>
      <w:r>
        <w:t xml:space="preserve"> </w:t>
      </w:r>
      <w:hyperlink r:id="rId3" w:history="1">
        <w:r w:rsidRPr="00EC59AA">
          <w:rPr>
            <w:rStyle w:val="Hyperlink"/>
          </w:rPr>
          <w:t>http://www.un.org/en/sections/about-un/trusteeship-council/index.html</w:t>
        </w:r>
      </w:hyperlink>
      <w:r>
        <w:t>.</w:t>
      </w:r>
    </w:p>
  </w:footnote>
  <w:footnote w:id="8">
    <w:p w14:paraId="3ED68FAA" w14:textId="5E4FF99F" w:rsidR="001016BA" w:rsidRPr="009F6027" w:rsidRDefault="001016BA" w:rsidP="00571920">
      <w:pPr>
        <w:pStyle w:val="FootnoteText"/>
      </w:pPr>
      <w:r>
        <w:rPr>
          <w:rStyle w:val="FootnoteReference"/>
        </w:rPr>
        <w:footnoteRef/>
      </w:r>
      <w:r>
        <w:t xml:space="preserve"> </w:t>
      </w:r>
      <w:r>
        <w:rPr>
          <w:i/>
        </w:rPr>
        <w:t>Kosovo</w:t>
      </w:r>
      <w:r>
        <w:t xml:space="preserve"> (n6) 417, para.33.</w:t>
      </w:r>
    </w:p>
  </w:footnote>
  <w:footnote w:id="9">
    <w:p w14:paraId="3E160922" w14:textId="61C4C038" w:rsidR="001016BA" w:rsidRDefault="001016BA">
      <w:pPr>
        <w:pStyle w:val="FootnoteText"/>
      </w:pPr>
      <w:r>
        <w:rPr>
          <w:rStyle w:val="FootnoteReference"/>
        </w:rPr>
        <w:footnoteRef/>
      </w:r>
      <w:r>
        <w:t xml:space="preserve"> ICJ, </w:t>
      </w:r>
      <w:r w:rsidRPr="00853E5E">
        <w:rPr>
          <w:i/>
        </w:rPr>
        <w:t>Judgements, Advisory Opinions and Orders</w:t>
      </w:r>
      <w:r>
        <w:t xml:space="preserve"> </w:t>
      </w:r>
      <w:hyperlink r:id="rId4" w:history="1">
        <w:r w:rsidRPr="00624D76">
          <w:rPr>
            <w:rStyle w:val="Hyperlink"/>
          </w:rPr>
          <w:t>http://www.icj-cij.org/en/decisions/advisory-opinion/1946/2017/asc</w:t>
        </w:r>
      </w:hyperlink>
      <w:r>
        <w:t xml:space="preserve">. </w:t>
      </w:r>
    </w:p>
  </w:footnote>
  <w:footnote w:id="10">
    <w:p w14:paraId="0CBB4EAA" w14:textId="77777777" w:rsidR="001016BA" w:rsidRDefault="001016BA" w:rsidP="00A501D6">
      <w:pPr>
        <w:pStyle w:val="FootnoteText"/>
      </w:pPr>
      <w:r>
        <w:rPr>
          <w:rStyle w:val="FootnoteReference"/>
        </w:rPr>
        <w:footnoteRef/>
      </w:r>
      <w:r>
        <w:t xml:space="preserve"> </w:t>
      </w:r>
      <w:r>
        <w:rPr>
          <w:i/>
        </w:rPr>
        <w:t>WHO N</w:t>
      </w:r>
      <w:r w:rsidRPr="00753253">
        <w:rPr>
          <w:i/>
        </w:rPr>
        <w:t>uclear</w:t>
      </w:r>
      <w:r>
        <w:rPr>
          <w:i/>
        </w:rPr>
        <w:t xml:space="preserve"> W</w:t>
      </w:r>
      <w:r w:rsidRPr="00753253">
        <w:rPr>
          <w:i/>
        </w:rPr>
        <w:t>eapons</w:t>
      </w:r>
      <w:r>
        <w:t xml:space="preserve"> (n4) and </w:t>
      </w:r>
      <w:r w:rsidRPr="008D26D9">
        <w:rPr>
          <w:i/>
        </w:rPr>
        <w:t>Interpretation of the Agreement of 25 March 1951 between the WHO and Egypt</w:t>
      </w:r>
      <w:r>
        <w:t>, Advisory Opinion, ICJ Reports 1980, p73.</w:t>
      </w:r>
    </w:p>
  </w:footnote>
  <w:footnote w:id="11">
    <w:p w14:paraId="08C57DD8" w14:textId="77777777" w:rsidR="001016BA" w:rsidRPr="00853E5E" w:rsidRDefault="001016BA" w:rsidP="00A501D6">
      <w:pPr>
        <w:pStyle w:val="FootnoteText"/>
        <w:rPr>
          <w:rFonts w:cstheme="minorHAnsi"/>
        </w:rPr>
      </w:pPr>
      <w:r>
        <w:rPr>
          <w:rStyle w:val="FootnoteReference"/>
        </w:rPr>
        <w:footnoteRef/>
      </w:r>
      <w:r>
        <w:t xml:space="preserve"> </w:t>
      </w:r>
      <w:r w:rsidRPr="00A523E9">
        <w:rPr>
          <w:i/>
        </w:rPr>
        <w:t>Constitution of the Maritime Safety Committee of the Inter-Governmental Maritime Consultative Organization</w:t>
      </w:r>
      <w:r>
        <w:t>, Advisory Opinion of 8 June 1960, ICJ Reports 1960, p150,</w:t>
      </w:r>
      <w:r w:rsidRPr="00753253">
        <w:rPr>
          <w:rFonts w:ascii="Times New Roman" w:hAnsi="Times New Roman" w:cs="Times New Roman"/>
        </w:rPr>
        <w:t xml:space="preserve"> </w:t>
      </w:r>
      <w:r w:rsidRPr="00853E5E">
        <w:rPr>
          <w:rFonts w:cstheme="minorHAnsi"/>
        </w:rPr>
        <w:t xml:space="preserve">1959, for assistance with interpretation of the Convention for its establishment. </w:t>
      </w:r>
    </w:p>
  </w:footnote>
  <w:footnote w:id="12">
    <w:p w14:paraId="6C48EFD2" w14:textId="44A9EB27" w:rsidR="001016BA" w:rsidRDefault="001016BA" w:rsidP="005F50E4">
      <w:pPr>
        <w:pStyle w:val="FootnoteText"/>
      </w:pPr>
      <w:r>
        <w:rPr>
          <w:rStyle w:val="FootnoteReference"/>
        </w:rPr>
        <w:footnoteRef/>
      </w:r>
      <w:r>
        <w:t xml:space="preserve"> </w:t>
      </w:r>
      <w:r w:rsidRPr="006B3057">
        <w:rPr>
          <w:i/>
        </w:rPr>
        <w:t>Difference relating to Immunity from Legal Process of a Special Rapporteur of the Commission on Human Rights</w:t>
      </w:r>
      <w:r>
        <w:t>, Advisory Opinion, ICJ Reports 1999, p62, 69, para.10 and section 30 of the Convention.</w:t>
      </w:r>
    </w:p>
  </w:footnote>
  <w:footnote w:id="13">
    <w:p w14:paraId="4852525C" w14:textId="2F5835EC" w:rsidR="001016BA" w:rsidRDefault="001016BA" w:rsidP="00571920">
      <w:pPr>
        <w:pStyle w:val="FootnoteText"/>
      </w:pPr>
      <w:r>
        <w:rPr>
          <w:rStyle w:val="FootnoteReference"/>
        </w:rPr>
        <w:footnoteRef/>
      </w:r>
      <w:r>
        <w:t xml:space="preserve"> </w:t>
      </w:r>
      <w:r>
        <w:rPr>
          <w:i/>
        </w:rPr>
        <w:t>Legality of the Threat or Use of Nuclear Weapons (Nuclear Weapons)</w:t>
      </w:r>
      <w:r>
        <w:t>, Advisory Opinion, ICJ Reports 1996, p.226, 237, para.18.</w:t>
      </w:r>
    </w:p>
  </w:footnote>
  <w:footnote w:id="14">
    <w:p w14:paraId="192E78F4" w14:textId="77777777" w:rsidR="001016BA" w:rsidRDefault="001016BA" w:rsidP="00571920">
      <w:pPr>
        <w:pStyle w:val="FootnoteText"/>
      </w:pPr>
      <w:r>
        <w:rPr>
          <w:rStyle w:val="FootnoteReference"/>
        </w:rPr>
        <w:footnoteRef/>
      </w:r>
      <w:r>
        <w:t xml:space="preserve"> </w:t>
      </w:r>
      <w:r w:rsidRPr="00521FDF">
        <w:rPr>
          <w:i/>
        </w:rPr>
        <w:t>Reservations to the Convention on Genocide</w:t>
      </w:r>
      <w:r>
        <w:t>, Advisory Opinion, ICJ Reports 1951, p15.</w:t>
      </w:r>
    </w:p>
  </w:footnote>
  <w:footnote w:id="15">
    <w:p w14:paraId="26E2E0D7" w14:textId="37B425DB" w:rsidR="001016BA" w:rsidRPr="000751C7" w:rsidRDefault="001016BA" w:rsidP="00571920">
      <w:pPr>
        <w:pStyle w:val="FootnoteText"/>
      </w:pPr>
      <w:r>
        <w:rPr>
          <w:rStyle w:val="FootnoteReference"/>
        </w:rPr>
        <w:footnoteRef/>
      </w:r>
      <w:r>
        <w:t xml:space="preserve"> Elihu Lauterpacht (ed) </w:t>
      </w:r>
      <w:r>
        <w:rPr>
          <w:i/>
        </w:rPr>
        <w:t xml:space="preserve">Hersch Lauterpacht, International Law Collected Papers, 4.The Law of Peace, Parts VII - VIII </w:t>
      </w:r>
      <w:r w:rsidRPr="00824A91">
        <w:t>(Cambridge University Press, Cambridge 1978), 235.</w:t>
      </w:r>
    </w:p>
  </w:footnote>
  <w:footnote w:id="16">
    <w:p w14:paraId="68D8546C" w14:textId="3A3BAFF4" w:rsidR="001016BA" w:rsidRPr="00824A91" w:rsidRDefault="001016BA" w:rsidP="00571920">
      <w:pPr>
        <w:pStyle w:val="FootnoteText"/>
        <w:rPr>
          <w:i/>
        </w:rPr>
      </w:pPr>
      <w:r>
        <w:rPr>
          <w:rStyle w:val="FootnoteReference"/>
        </w:rPr>
        <w:footnoteRef/>
      </w:r>
      <w:r>
        <w:t xml:space="preserve"> </w:t>
      </w:r>
      <w:r w:rsidRPr="00585D79">
        <w:rPr>
          <w:i/>
        </w:rPr>
        <w:t>Ibid</w:t>
      </w:r>
      <w:r>
        <w:t>.</w:t>
      </w:r>
    </w:p>
  </w:footnote>
  <w:footnote w:id="17">
    <w:p w14:paraId="23151C56" w14:textId="77777777" w:rsidR="001016BA" w:rsidRDefault="001016BA" w:rsidP="002548EB">
      <w:pPr>
        <w:pStyle w:val="FootnoteText"/>
      </w:pPr>
      <w:r>
        <w:rPr>
          <w:rStyle w:val="FootnoteReference"/>
        </w:rPr>
        <w:footnoteRef/>
      </w:r>
      <w:r>
        <w:t xml:space="preserve"> Article 65(1).</w:t>
      </w:r>
    </w:p>
  </w:footnote>
  <w:footnote w:id="18">
    <w:p w14:paraId="7BECC7E2" w14:textId="08F68F6D" w:rsidR="001016BA" w:rsidRDefault="001016BA" w:rsidP="002548EB">
      <w:pPr>
        <w:pStyle w:val="FootnoteText"/>
      </w:pPr>
      <w:r>
        <w:rPr>
          <w:rStyle w:val="FootnoteReference"/>
        </w:rPr>
        <w:footnoteRef/>
      </w:r>
      <w:r>
        <w:t xml:space="preserve"> Statute (n1) Article 65(2).</w:t>
      </w:r>
    </w:p>
  </w:footnote>
  <w:footnote w:id="19">
    <w:p w14:paraId="41C059E3" w14:textId="001AAD70" w:rsidR="001016BA" w:rsidRDefault="001016BA" w:rsidP="0000713C">
      <w:pPr>
        <w:pStyle w:val="FootnoteText"/>
      </w:pPr>
      <w:r>
        <w:rPr>
          <w:rStyle w:val="FootnoteReference"/>
        </w:rPr>
        <w:footnoteRef/>
      </w:r>
      <w:r>
        <w:t xml:space="preserve"> </w:t>
      </w:r>
      <w:r w:rsidRPr="00E467A7">
        <w:rPr>
          <w:i/>
        </w:rPr>
        <w:t>Ibid</w:t>
      </w:r>
      <w:r>
        <w:t>. Article 66(2).</w:t>
      </w:r>
    </w:p>
  </w:footnote>
  <w:footnote w:id="20">
    <w:p w14:paraId="06BDD1E1" w14:textId="77777777" w:rsidR="001016BA" w:rsidRDefault="001016BA" w:rsidP="002548EB">
      <w:pPr>
        <w:pStyle w:val="FootnoteText"/>
      </w:pPr>
      <w:r>
        <w:rPr>
          <w:rStyle w:val="FootnoteReference"/>
        </w:rPr>
        <w:footnoteRef/>
      </w:r>
      <w:r>
        <w:t xml:space="preserve"> </w:t>
      </w:r>
      <w:r w:rsidRPr="00E467A7">
        <w:rPr>
          <w:i/>
        </w:rPr>
        <w:t>Ibid</w:t>
      </w:r>
      <w:r>
        <w:t>. Article 66(4).</w:t>
      </w:r>
    </w:p>
  </w:footnote>
  <w:footnote w:id="21">
    <w:p w14:paraId="65183863" w14:textId="36BB3944" w:rsidR="001016BA" w:rsidRDefault="001016BA">
      <w:pPr>
        <w:pStyle w:val="FootnoteText"/>
      </w:pPr>
      <w:r>
        <w:rPr>
          <w:rStyle w:val="FootnoteReference"/>
        </w:rPr>
        <w:footnoteRef/>
      </w:r>
      <w:r>
        <w:t xml:space="preserve"> </w:t>
      </w:r>
      <w:r w:rsidRPr="00E467A7">
        <w:rPr>
          <w:i/>
        </w:rPr>
        <w:t>Ibid</w:t>
      </w:r>
      <w:r>
        <w:t>. Article 66(2).</w:t>
      </w:r>
    </w:p>
  </w:footnote>
  <w:footnote w:id="22">
    <w:p w14:paraId="3B29470E" w14:textId="172DD9DF" w:rsidR="001016BA" w:rsidRDefault="001016BA" w:rsidP="002548EB">
      <w:pPr>
        <w:pStyle w:val="FootnoteText"/>
      </w:pPr>
      <w:r>
        <w:rPr>
          <w:rStyle w:val="FootnoteReference"/>
        </w:rPr>
        <w:footnoteRef/>
      </w:r>
      <w:r>
        <w:t xml:space="preserve"> </w:t>
      </w:r>
      <w:r>
        <w:rPr>
          <w:i/>
        </w:rPr>
        <w:t xml:space="preserve">WHO Nuclear Weapons </w:t>
      </w:r>
      <w:r>
        <w:t xml:space="preserve">(n4) and </w:t>
      </w:r>
      <w:r w:rsidRPr="00E07B3A">
        <w:rPr>
          <w:i/>
        </w:rPr>
        <w:t>Nuclear Weapons</w:t>
      </w:r>
      <w:r>
        <w:t xml:space="preserve"> (n13).</w:t>
      </w:r>
    </w:p>
  </w:footnote>
  <w:footnote w:id="23">
    <w:p w14:paraId="3997C545" w14:textId="77777777" w:rsidR="001016BA" w:rsidRPr="00D16006" w:rsidRDefault="001016BA" w:rsidP="002548EB">
      <w:pPr>
        <w:pStyle w:val="FootnoteText"/>
      </w:pPr>
      <w:r>
        <w:rPr>
          <w:rStyle w:val="FootnoteReference"/>
        </w:rPr>
        <w:footnoteRef/>
      </w:r>
      <w:r>
        <w:t xml:space="preserve"> Rosalyn Higgins, ‘Remedies and the International Court of Justice:  An Introduction’ in Malcolm D Evans (ed) </w:t>
      </w:r>
      <w:r>
        <w:rPr>
          <w:i/>
        </w:rPr>
        <w:t>Remedies in International Law, The Institutional dilemma</w:t>
      </w:r>
      <w:r>
        <w:t xml:space="preserve"> (Hart Publishing, Oxford 1998), 2-3.</w:t>
      </w:r>
    </w:p>
  </w:footnote>
  <w:footnote w:id="24">
    <w:p w14:paraId="0E77B219" w14:textId="77777777" w:rsidR="001016BA" w:rsidRPr="00E07B3A" w:rsidRDefault="001016BA" w:rsidP="002548EB">
      <w:pPr>
        <w:pStyle w:val="FootnoteText"/>
      </w:pPr>
      <w:r>
        <w:rPr>
          <w:rStyle w:val="FootnoteReference"/>
        </w:rPr>
        <w:footnoteRef/>
      </w:r>
      <w:r>
        <w:t xml:space="preserve"> </w:t>
      </w:r>
      <w:r>
        <w:rPr>
          <w:i/>
        </w:rPr>
        <w:t>Ibid</w:t>
      </w:r>
      <w:r>
        <w:t>.</w:t>
      </w:r>
    </w:p>
  </w:footnote>
  <w:footnote w:id="25">
    <w:p w14:paraId="6A47DA5C" w14:textId="77777777" w:rsidR="001016BA" w:rsidRPr="000751C7" w:rsidRDefault="001016BA" w:rsidP="00C924B9">
      <w:pPr>
        <w:pStyle w:val="FootnoteText"/>
      </w:pPr>
      <w:r>
        <w:rPr>
          <w:rStyle w:val="FootnoteReference"/>
        </w:rPr>
        <w:footnoteRef/>
      </w:r>
      <w:r>
        <w:t xml:space="preserve"> </w:t>
      </w:r>
      <w:r w:rsidRPr="000751C7">
        <w:rPr>
          <w:i/>
        </w:rPr>
        <w:t>International Status of South-West Africa</w:t>
      </w:r>
      <w:r w:rsidRPr="000751C7">
        <w:t>, Advisory Opinion, ICJ Reports 1950, p.128, Correspondence, 327, para. 18, The Registrar to Mr Robert Delson, League for the Rights of Man (</w:t>
      </w:r>
      <w:r w:rsidRPr="000751C7">
        <w:rPr>
          <w:i/>
        </w:rPr>
        <w:t>telegram</w:t>
      </w:r>
      <w:r w:rsidRPr="000751C7">
        <w:t>)</w:t>
      </w:r>
    </w:p>
  </w:footnote>
  <w:footnote w:id="26">
    <w:p w14:paraId="6190E0B9" w14:textId="26277445" w:rsidR="001016BA" w:rsidRPr="001A318F" w:rsidRDefault="001016BA" w:rsidP="00C924B9">
      <w:pPr>
        <w:pStyle w:val="FootnoteText"/>
      </w:pPr>
      <w:r>
        <w:rPr>
          <w:rStyle w:val="FootnoteReference"/>
        </w:rPr>
        <w:footnoteRef/>
      </w:r>
      <w:r>
        <w:t xml:space="preserve"> </w:t>
      </w:r>
      <w:r w:rsidRPr="000751C7">
        <w:rPr>
          <w:i/>
        </w:rPr>
        <w:t>Ibid</w:t>
      </w:r>
      <w:r>
        <w:t xml:space="preserve">., </w:t>
      </w:r>
      <w:r w:rsidRPr="001A318F">
        <w:rPr>
          <w:i/>
        </w:rPr>
        <w:t>International Status of South-West Africa</w:t>
      </w:r>
      <w:r>
        <w:rPr>
          <w:i/>
        </w:rPr>
        <w:t xml:space="preserve"> </w:t>
      </w:r>
      <w:r>
        <w:t>opinion 130.</w:t>
      </w:r>
    </w:p>
  </w:footnote>
  <w:footnote w:id="27">
    <w:p w14:paraId="3839A105" w14:textId="77777777" w:rsidR="001016BA" w:rsidRDefault="001016BA" w:rsidP="009B72E0">
      <w:pPr>
        <w:pStyle w:val="FootnoteText"/>
      </w:pPr>
      <w:r>
        <w:rPr>
          <w:rStyle w:val="FootnoteReference"/>
        </w:rPr>
        <w:footnoteRef/>
      </w:r>
      <w:r>
        <w:t xml:space="preserve"> </w:t>
      </w:r>
      <w:r w:rsidRPr="008B75E8">
        <w:rPr>
          <w:i/>
        </w:rPr>
        <w:t>Chagos</w:t>
      </w:r>
      <w:r>
        <w:t xml:space="preserve"> request (n3).</w:t>
      </w:r>
    </w:p>
  </w:footnote>
  <w:footnote w:id="28">
    <w:p w14:paraId="7EBF7FBC" w14:textId="2B463FA9" w:rsidR="001016BA" w:rsidRDefault="001016BA">
      <w:pPr>
        <w:pStyle w:val="FootnoteText"/>
      </w:pPr>
      <w:r>
        <w:rPr>
          <w:rStyle w:val="FootnoteReference"/>
        </w:rPr>
        <w:footnoteRef/>
      </w:r>
      <w:r>
        <w:t xml:space="preserve"> Statute (n1) Article 66(2). </w:t>
      </w:r>
    </w:p>
  </w:footnote>
  <w:footnote w:id="29">
    <w:p w14:paraId="2E555CD2" w14:textId="1BD6B9DC" w:rsidR="001016BA" w:rsidRDefault="001016BA">
      <w:pPr>
        <w:pStyle w:val="FootnoteText"/>
      </w:pPr>
      <w:r>
        <w:rPr>
          <w:rStyle w:val="FootnoteReference"/>
        </w:rPr>
        <w:footnoteRef/>
      </w:r>
      <w:r>
        <w:t xml:space="preserve"> </w:t>
      </w:r>
      <w:r w:rsidRPr="006C7F88">
        <w:rPr>
          <w:i/>
        </w:rPr>
        <w:t>Ibid</w:t>
      </w:r>
      <w:r>
        <w:t>. Article 66(4).</w:t>
      </w:r>
    </w:p>
  </w:footnote>
  <w:footnote w:id="30">
    <w:p w14:paraId="3F7B2A55" w14:textId="72333CDA" w:rsidR="001016BA" w:rsidRDefault="001016BA">
      <w:pPr>
        <w:pStyle w:val="FootnoteText"/>
      </w:pPr>
      <w:r>
        <w:rPr>
          <w:rStyle w:val="FootnoteReference"/>
        </w:rPr>
        <w:footnoteRef/>
      </w:r>
      <w:r>
        <w:t xml:space="preserve"> eg Judge Buergenthal in his Declaration, 240, para. 1, </w:t>
      </w:r>
      <w:r w:rsidRPr="00355F3F">
        <w:t>Legal</w:t>
      </w:r>
      <w:r w:rsidRPr="004A1427">
        <w:rPr>
          <w:i/>
        </w:rPr>
        <w:t xml:space="preserve"> Consequences of the Construction of a Wall in the Occupied Palestinian Territory</w:t>
      </w:r>
      <w:r>
        <w:t>, Advisory Opinion, ICJ Reports 2004 p.136.</w:t>
      </w:r>
    </w:p>
  </w:footnote>
  <w:footnote w:id="31">
    <w:p w14:paraId="70066ABC" w14:textId="77777777" w:rsidR="001016BA" w:rsidRPr="00337698" w:rsidRDefault="001016BA" w:rsidP="002732C6">
      <w:pPr>
        <w:pStyle w:val="FootnoteText"/>
      </w:pPr>
      <w:r>
        <w:rPr>
          <w:rStyle w:val="FootnoteReference"/>
        </w:rPr>
        <w:footnoteRef/>
      </w:r>
      <w:r>
        <w:t xml:space="preserve"> ‘</w:t>
      </w:r>
      <w:r w:rsidRPr="00337698">
        <w:t>Outcome Paper for the Seminar on the International Court of Justice:  In Retrospect and in Prospect</w:t>
      </w:r>
      <w:r>
        <w:t xml:space="preserve">’, 7 </w:t>
      </w:r>
      <w:r>
        <w:rPr>
          <w:i/>
        </w:rPr>
        <w:t>Journal of International Dispute Settlement</w:t>
      </w:r>
      <w:r>
        <w:t xml:space="preserve"> (2016) 238–265, 243.</w:t>
      </w:r>
    </w:p>
  </w:footnote>
  <w:footnote w:id="32">
    <w:p w14:paraId="41399FD0" w14:textId="77777777" w:rsidR="001016BA" w:rsidRPr="002732C6" w:rsidRDefault="001016BA">
      <w:pPr>
        <w:pStyle w:val="FootnoteText"/>
      </w:pPr>
      <w:r>
        <w:rPr>
          <w:rStyle w:val="FootnoteReference"/>
        </w:rPr>
        <w:footnoteRef/>
      </w:r>
      <w:r>
        <w:t xml:space="preserve"> </w:t>
      </w:r>
      <w:r>
        <w:rPr>
          <w:i/>
        </w:rPr>
        <w:t>Ibid</w:t>
      </w:r>
      <w:r>
        <w:t>.</w:t>
      </w:r>
    </w:p>
  </w:footnote>
  <w:footnote w:id="33">
    <w:p w14:paraId="2C52FC37" w14:textId="7D66FDCB" w:rsidR="001016BA" w:rsidRPr="00204443" w:rsidRDefault="001016BA" w:rsidP="004E557C">
      <w:pPr>
        <w:pStyle w:val="FootnoteText"/>
      </w:pPr>
      <w:r>
        <w:rPr>
          <w:rStyle w:val="FootnoteReference"/>
        </w:rPr>
        <w:footnoteRef/>
      </w:r>
      <w:r>
        <w:t xml:space="preserve"> </w:t>
      </w:r>
      <w:r w:rsidRPr="004E557C">
        <w:rPr>
          <w:i/>
        </w:rPr>
        <w:t xml:space="preserve"> </w:t>
      </w:r>
      <w:r>
        <w:rPr>
          <w:i/>
        </w:rPr>
        <w:t xml:space="preserve">Nuclear Weapons </w:t>
      </w:r>
      <w:r w:rsidRPr="001750DE">
        <w:t>(</w:t>
      </w:r>
      <w:r>
        <w:t>n13</w:t>
      </w:r>
      <w:r w:rsidRPr="001750DE">
        <w:t>)</w:t>
      </w:r>
      <w:r>
        <w:t xml:space="preserve"> Dissenting Opinion of Judge Weeramantry at 438.  </w:t>
      </w:r>
    </w:p>
  </w:footnote>
  <w:footnote w:id="34">
    <w:p w14:paraId="5AB4CF98" w14:textId="57AD58CF" w:rsidR="001016BA" w:rsidRPr="000D7B08" w:rsidRDefault="001016BA">
      <w:pPr>
        <w:pStyle w:val="FootnoteText"/>
      </w:pPr>
      <w:r>
        <w:rPr>
          <w:rStyle w:val="FootnoteReference"/>
        </w:rPr>
        <w:footnoteRef/>
      </w:r>
      <w:r w:rsidRPr="00204443">
        <w:rPr>
          <w:i/>
        </w:rPr>
        <w:t xml:space="preserve"> Ibid</w:t>
      </w:r>
      <w:r>
        <w:t xml:space="preserve">.  </w:t>
      </w:r>
    </w:p>
  </w:footnote>
  <w:footnote w:id="35">
    <w:p w14:paraId="25B50305" w14:textId="0EC3C02C" w:rsidR="001016BA" w:rsidRPr="00DB747A" w:rsidRDefault="001016BA" w:rsidP="00F97B1F">
      <w:pPr>
        <w:pStyle w:val="FootnoteText"/>
      </w:pPr>
      <w:r>
        <w:rPr>
          <w:rStyle w:val="FootnoteReference"/>
        </w:rPr>
        <w:footnoteRef/>
      </w:r>
      <w:r>
        <w:t xml:space="preserve"> 1969 and see Arthur Eyffinger, </w:t>
      </w:r>
      <w:r w:rsidRPr="00DB747A">
        <w:rPr>
          <w:i/>
        </w:rPr>
        <w:t>The Internatio</w:t>
      </w:r>
      <w:r>
        <w:rPr>
          <w:i/>
        </w:rPr>
        <w:t>nal Court of Justice 1946–1996</w:t>
      </w:r>
      <w:r>
        <w:t xml:space="preserve"> (Kluwer Law International, The Hague 1996) 361.</w:t>
      </w:r>
    </w:p>
  </w:footnote>
  <w:footnote w:id="36">
    <w:p w14:paraId="2C419456" w14:textId="24A83F47" w:rsidR="001016BA" w:rsidRDefault="001016BA" w:rsidP="00F97B1F">
      <w:pPr>
        <w:pStyle w:val="FootnoteText"/>
      </w:pPr>
      <w:r>
        <w:rPr>
          <w:rStyle w:val="FootnoteReference"/>
        </w:rPr>
        <w:footnoteRef/>
      </w:r>
      <w:r>
        <w:t xml:space="preserve"> </w:t>
      </w:r>
      <w:r w:rsidRPr="001564D9">
        <w:rPr>
          <w:i/>
        </w:rPr>
        <w:t>Legal Consequences for States of the Continued Presence of South Africa in Namibia (South West Africa) notwithstanding Security Council Resolution 276 (1970)</w:t>
      </w:r>
      <w:r>
        <w:t>, Advisory Opinion, ICJ Reports 1971, p16 and see 1598</w:t>
      </w:r>
      <w:r w:rsidRPr="007869F2">
        <w:rPr>
          <w:vertAlign w:val="superscript"/>
        </w:rPr>
        <w:t>th</w:t>
      </w:r>
      <w:r>
        <w:t xml:space="preserve"> meeting of the Security Council, S/PV 1598 20 October 1971.</w:t>
      </w:r>
    </w:p>
  </w:footnote>
  <w:footnote w:id="37">
    <w:p w14:paraId="6AE45F96" w14:textId="77777777" w:rsidR="001016BA" w:rsidRDefault="001016BA" w:rsidP="00F97B1F">
      <w:pPr>
        <w:pStyle w:val="FootnoteText"/>
      </w:pPr>
      <w:r>
        <w:rPr>
          <w:rStyle w:val="FootnoteReference"/>
        </w:rPr>
        <w:footnoteRef/>
      </w:r>
      <w:r>
        <w:t xml:space="preserve"> </w:t>
      </w:r>
      <w:r w:rsidRPr="00D627A8">
        <w:rPr>
          <w:i/>
        </w:rPr>
        <w:t>Western Sahara</w:t>
      </w:r>
      <w:r>
        <w:t>, Advisory Opinion, ICJ Reports 1975, p12.</w:t>
      </w:r>
    </w:p>
  </w:footnote>
  <w:footnote w:id="38">
    <w:p w14:paraId="5633EE1C" w14:textId="36E9DC01" w:rsidR="001016BA" w:rsidRPr="00853E5E" w:rsidRDefault="001016BA" w:rsidP="00F97B1F">
      <w:pPr>
        <w:pStyle w:val="FootnoteText"/>
      </w:pPr>
      <w:r>
        <w:rPr>
          <w:rStyle w:val="FootnoteReference"/>
        </w:rPr>
        <w:footnoteRef/>
      </w:r>
      <w:r>
        <w:t xml:space="preserve"> </w:t>
      </w:r>
      <w:r>
        <w:rPr>
          <w:i/>
        </w:rPr>
        <w:t xml:space="preserve">Immunity from Legal Process </w:t>
      </w:r>
      <w:r>
        <w:t>(n12).</w:t>
      </w:r>
    </w:p>
  </w:footnote>
  <w:footnote w:id="39">
    <w:p w14:paraId="21428250" w14:textId="564395EE" w:rsidR="001016BA" w:rsidRPr="00570B39" w:rsidRDefault="001016BA" w:rsidP="00F97B1F">
      <w:pPr>
        <w:pStyle w:val="FootnoteText"/>
      </w:pPr>
      <w:r>
        <w:rPr>
          <w:rStyle w:val="FootnoteReference"/>
        </w:rPr>
        <w:footnoteRef/>
      </w:r>
      <w:r>
        <w:t xml:space="preserve"> </w:t>
      </w:r>
      <w:r w:rsidRPr="00E23E2A">
        <w:rPr>
          <w:i/>
        </w:rPr>
        <w:t>Outcome Paper</w:t>
      </w:r>
      <w:r>
        <w:t xml:space="preserve"> (n31) 240–2</w:t>
      </w:r>
      <w:r w:rsidRPr="00570B39">
        <w:t>41.</w:t>
      </w:r>
    </w:p>
  </w:footnote>
  <w:footnote w:id="40">
    <w:p w14:paraId="6CB6B05C" w14:textId="66C3E5C7" w:rsidR="001016BA" w:rsidRDefault="001016BA">
      <w:pPr>
        <w:pStyle w:val="FootnoteText"/>
      </w:pPr>
      <w:r>
        <w:rPr>
          <w:rStyle w:val="FootnoteReference"/>
        </w:rPr>
        <w:footnoteRef/>
      </w:r>
      <w:r>
        <w:t xml:space="preserve"> </w:t>
      </w:r>
      <w:r w:rsidRPr="00F42780">
        <w:rPr>
          <w:i/>
        </w:rPr>
        <w:t>Ibid</w:t>
      </w:r>
      <w:r>
        <w:t>., 240.</w:t>
      </w:r>
    </w:p>
  </w:footnote>
  <w:footnote w:id="41">
    <w:p w14:paraId="407443FE" w14:textId="139F1820" w:rsidR="001016BA" w:rsidRDefault="001016BA">
      <w:pPr>
        <w:pStyle w:val="FootnoteText"/>
      </w:pPr>
      <w:r>
        <w:rPr>
          <w:rStyle w:val="FootnoteReference"/>
        </w:rPr>
        <w:footnoteRef/>
      </w:r>
      <w:r>
        <w:t xml:space="preserve"> </w:t>
      </w:r>
      <w:r w:rsidRPr="00F42780">
        <w:rPr>
          <w:i/>
        </w:rPr>
        <w:t>Ibid</w:t>
      </w:r>
      <w:r>
        <w:t>., 240-241.</w:t>
      </w:r>
    </w:p>
  </w:footnote>
  <w:footnote w:id="42">
    <w:p w14:paraId="3B83BEDB" w14:textId="239DDA9D" w:rsidR="001016BA" w:rsidRPr="00DA228D" w:rsidRDefault="001016BA">
      <w:pPr>
        <w:pStyle w:val="FootnoteText"/>
        <w:rPr>
          <w:rFonts w:cstheme="minorHAnsi"/>
        </w:rPr>
      </w:pPr>
      <w:r w:rsidRPr="00DA228D">
        <w:rPr>
          <w:rStyle w:val="FootnoteReference"/>
          <w:rFonts w:cstheme="minorHAnsi"/>
        </w:rPr>
        <w:footnoteRef/>
      </w:r>
      <w:r w:rsidRPr="00DA228D">
        <w:rPr>
          <w:rFonts w:cstheme="minorHAnsi"/>
        </w:rPr>
        <w:t xml:space="preserve"> </w:t>
      </w:r>
      <w:r w:rsidRPr="00DA228D">
        <w:rPr>
          <w:rFonts w:cstheme="minorHAnsi"/>
          <w:i/>
        </w:rPr>
        <w:t>Charter</w:t>
      </w:r>
      <w:r>
        <w:rPr>
          <w:rFonts w:cstheme="minorHAnsi"/>
        </w:rPr>
        <w:t xml:space="preserve"> (n1) A</w:t>
      </w:r>
      <w:r w:rsidRPr="00DA228D">
        <w:rPr>
          <w:rFonts w:cstheme="minorHAnsi"/>
        </w:rPr>
        <w:t>rticle 96(1).</w:t>
      </w:r>
    </w:p>
  </w:footnote>
  <w:footnote w:id="43">
    <w:p w14:paraId="483DB1EC" w14:textId="77777777" w:rsidR="001016BA" w:rsidRPr="00DA228D" w:rsidRDefault="001016BA">
      <w:pPr>
        <w:pStyle w:val="FootnoteText"/>
        <w:rPr>
          <w:rFonts w:cstheme="minorHAnsi"/>
        </w:rPr>
      </w:pPr>
      <w:r w:rsidRPr="00DA228D">
        <w:rPr>
          <w:rStyle w:val="FootnoteReference"/>
          <w:rFonts w:cstheme="minorHAnsi"/>
        </w:rPr>
        <w:footnoteRef/>
      </w:r>
      <w:r w:rsidRPr="00DA228D">
        <w:rPr>
          <w:rFonts w:cstheme="minorHAnsi"/>
        </w:rPr>
        <w:t xml:space="preserve"> </w:t>
      </w:r>
      <w:r w:rsidRPr="00DA228D">
        <w:rPr>
          <w:rFonts w:cstheme="minorHAnsi"/>
          <w:i/>
        </w:rPr>
        <w:t>Ibid</w:t>
      </w:r>
      <w:r>
        <w:rPr>
          <w:rFonts w:cstheme="minorHAnsi"/>
        </w:rPr>
        <w:t>. A</w:t>
      </w:r>
      <w:r w:rsidRPr="00DA228D">
        <w:rPr>
          <w:rFonts w:cstheme="minorHAnsi"/>
        </w:rPr>
        <w:t>rticle 96(2).</w:t>
      </w:r>
    </w:p>
  </w:footnote>
  <w:footnote w:id="44">
    <w:p w14:paraId="01DF86D3" w14:textId="7C4182B6" w:rsidR="001016BA" w:rsidRDefault="001016BA">
      <w:pPr>
        <w:pStyle w:val="FootnoteText"/>
      </w:pPr>
      <w:r>
        <w:rPr>
          <w:rStyle w:val="FootnoteReference"/>
        </w:rPr>
        <w:footnoteRef/>
      </w:r>
      <w:r>
        <w:t xml:space="preserve"> </w:t>
      </w:r>
      <w:r w:rsidRPr="0057124E">
        <w:rPr>
          <w:i/>
        </w:rPr>
        <w:t>Kosovo</w:t>
      </w:r>
      <w:r>
        <w:t xml:space="preserve"> (n6) 414–415, para.25.</w:t>
      </w:r>
    </w:p>
  </w:footnote>
  <w:footnote w:id="45">
    <w:p w14:paraId="77440931" w14:textId="7FD8F50C" w:rsidR="001016BA" w:rsidRDefault="001016BA">
      <w:pPr>
        <w:pStyle w:val="FootnoteText"/>
      </w:pPr>
      <w:r>
        <w:rPr>
          <w:rStyle w:val="FootnoteReference"/>
        </w:rPr>
        <w:footnoteRef/>
      </w:r>
      <w:r>
        <w:t xml:space="preserve"> </w:t>
      </w:r>
      <w:r>
        <w:rPr>
          <w:i/>
        </w:rPr>
        <w:t xml:space="preserve">Ibid. and </w:t>
      </w:r>
      <w:r w:rsidRPr="00D627A8">
        <w:rPr>
          <w:i/>
        </w:rPr>
        <w:t>Western Sahara</w:t>
      </w:r>
      <w:r>
        <w:t xml:space="preserve"> (n37), 18, para. 15: “indeed, they are scarcely susceptible of a reply otherwise than on the basis of law.”</w:t>
      </w:r>
    </w:p>
  </w:footnote>
  <w:footnote w:id="46">
    <w:p w14:paraId="08219405" w14:textId="4301F029" w:rsidR="001016BA" w:rsidRDefault="001016BA">
      <w:pPr>
        <w:pStyle w:val="FootnoteText"/>
      </w:pPr>
      <w:r>
        <w:rPr>
          <w:rStyle w:val="FootnoteReference"/>
        </w:rPr>
        <w:footnoteRef/>
      </w:r>
      <w:r>
        <w:t xml:space="preserve"> eg </w:t>
      </w:r>
      <w:r w:rsidRPr="00AF1880">
        <w:rPr>
          <w:i/>
        </w:rPr>
        <w:t>Nuclear Weapons</w:t>
      </w:r>
      <w:r>
        <w:t xml:space="preserve"> (n13) 234, para.13 and </w:t>
      </w:r>
      <w:r w:rsidRPr="00C32485">
        <w:rPr>
          <w:i/>
        </w:rPr>
        <w:t>Kosovo</w:t>
      </w:r>
      <w:r>
        <w:t xml:space="preserve"> (n6) 415, para.27.</w:t>
      </w:r>
    </w:p>
  </w:footnote>
  <w:footnote w:id="47">
    <w:p w14:paraId="0B382790" w14:textId="77777777" w:rsidR="001016BA" w:rsidRDefault="001016BA">
      <w:pPr>
        <w:pStyle w:val="FootnoteText"/>
      </w:pPr>
      <w:r>
        <w:rPr>
          <w:rStyle w:val="FootnoteReference"/>
        </w:rPr>
        <w:footnoteRef/>
      </w:r>
      <w:r>
        <w:t xml:space="preserve"> </w:t>
      </w:r>
      <w:r w:rsidRPr="009114AD">
        <w:rPr>
          <w:i/>
        </w:rPr>
        <w:t>Interpretation of the Agreement of 25 March 1951 between the WHO and Egypt</w:t>
      </w:r>
      <w:r>
        <w:t>, Advisory Opinion, ICJ Reports 1980, p73, 87, para.33.</w:t>
      </w:r>
    </w:p>
  </w:footnote>
  <w:footnote w:id="48">
    <w:p w14:paraId="04526515" w14:textId="0CD31506" w:rsidR="001016BA" w:rsidRDefault="001016BA">
      <w:pPr>
        <w:pStyle w:val="FootnoteText"/>
      </w:pPr>
      <w:r>
        <w:rPr>
          <w:rStyle w:val="FootnoteReference"/>
        </w:rPr>
        <w:footnoteRef/>
      </w:r>
      <w:r>
        <w:t xml:space="preserve"> </w:t>
      </w:r>
      <w:r w:rsidRPr="00AF1880">
        <w:rPr>
          <w:i/>
        </w:rPr>
        <w:t>Nuclear Weapons</w:t>
      </w:r>
      <w:r>
        <w:t xml:space="preserve"> (n13) 234, para.13.</w:t>
      </w:r>
    </w:p>
  </w:footnote>
  <w:footnote w:id="49">
    <w:p w14:paraId="67FC78B8" w14:textId="77777777" w:rsidR="001016BA" w:rsidRDefault="001016BA">
      <w:pPr>
        <w:pStyle w:val="FootnoteText"/>
      </w:pPr>
      <w:r>
        <w:rPr>
          <w:rStyle w:val="FootnoteReference"/>
        </w:rPr>
        <w:footnoteRef/>
      </w:r>
      <w:r>
        <w:t xml:space="preserve"> </w:t>
      </w:r>
      <w:r w:rsidRPr="00703628">
        <w:rPr>
          <w:i/>
        </w:rPr>
        <w:t>Ibid</w:t>
      </w:r>
      <w:r>
        <w:t>.232-233, para.11.</w:t>
      </w:r>
    </w:p>
  </w:footnote>
  <w:footnote w:id="50">
    <w:p w14:paraId="5BB01D7C" w14:textId="77777777" w:rsidR="001016BA" w:rsidRDefault="001016BA">
      <w:pPr>
        <w:pStyle w:val="FootnoteText"/>
      </w:pPr>
      <w:r>
        <w:rPr>
          <w:rStyle w:val="FootnoteReference"/>
        </w:rPr>
        <w:footnoteRef/>
      </w:r>
      <w:r>
        <w:t xml:space="preserve"> </w:t>
      </w:r>
      <w:r w:rsidRPr="00703628">
        <w:rPr>
          <w:i/>
        </w:rPr>
        <w:t>Ibid</w:t>
      </w:r>
      <w:r>
        <w:t>. “any questions or any matters within the scope of the present Charter…”.</w:t>
      </w:r>
    </w:p>
  </w:footnote>
  <w:footnote w:id="51">
    <w:p w14:paraId="0E67F471" w14:textId="77777777" w:rsidR="001016BA" w:rsidRDefault="001016BA">
      <w:pPr>
        <w:pStyle w:val="FootnoteText"/>
      </w:pPr>
      <w:r>
        <w:rPr>
          <w:rStyle w:val="FootnoteReference"/>
        </w:rPr>
        <w:footnoteRef/>
      </w:r>
      <w:r>
        <w:t xml:space="preserve"> </w:t>
      </w:r>
      <w:r w:rsidRPr="00703628">
        <w:rPr>
          <w:i/>
        </w:rPr>
        <w:t>Ibid</w:t>
      </w:r>
      <w:r>
        <w:t>. “consider the general principles…in the maintenance of international peace and security, including the principles governing disarmament and the regulation of armaments”.</w:t>
      </w:r>
    </w:p>
  </w:footnote>
  <w:footnote w:id="52">
    <w:p w14:paraId="45195716" w14:textId="77777777" w:rsidR="001016BA" w:rsidRDefault="001016BA">
      <w:pPr>
        <w:pStyle w:val="FootnoteText"/>
      </w:pPr>
      <w:r>
        <w:rPr>
          <w:rStyle w:val="FootnoteReference"/>
        </w:rPr>
        <w:footnoteRef/>
      </w:r>
      <w:r>
        <w:t xml:space="preserve"> </w:t>
      </w:r>
      <w:r w:rsidRPr="00703628">
        <w:rPr>
          <w:i/>
        </w:rPr>
        <w:t>Ibid</w:t>
      </w:r>
      <w:r>
        <w:t>. “shall initiate studies and shall make recommendations for the purpose of…encouraging the progressive development of international law and its codification.”</w:t>
      </w:r>
    </w:p>
  </w:footnote>
  <w:footnote w:id="53">
    <w:p w14:paraId="782EBE21" w14:textId="16A52ACA" w:rsidR="001016BA" w:rsidRDefault="001016BA">
      <w:pPr>
        <w:pStyle w:val="FootnoteText"/>
      </w:pPr>
      <w:r>
        <w:rPr>
          <w:rStyle w:val="FootnoteReference"/>
        </w:rPr>
        <w:footnoteRef/>
      </w:r>
      <w:r>
        <w:t xml:space="preserve"> </w:t>
      </w:r>
      <w:r>
        <w:rPr>
          <w:i/>
        </w:rPr>
        <w:t xml:space="preserve">Namibia </w:t>
      </w:r>
      <w:r>
        <w:t>(n36</w:t>
      </w:r>
      <w:r w:rsidRPr="00CE0645">
        <w:t>)</w:t>
      </w:r>
      <w:r>
        <w:rPr>
          <w:i/>
        </w:rPr>
        <w:t xml:space="preserve"> </w:t>
      </w:r>
      <w:r>
        <w:t>23, para.31.</w:t>
      </w:r>
    </w:p>
  </w:footnote>
  <w:footnote w:id="54">
    <w:p w14:paraId="344101B5" w14:textId="77777777" w:rsidR="001016BA" w:rsidRDefault="001016BA">
      <w:pPr>
        <w:pStyle w:val="FootnoteText"/>
      </w:pPr>
      <w:r>
        <w:rPr>
          <w:rStyle w:val="FootnoteReference"/>
        </w:rPr>
        <w:footnoteRef/>
      </w:r>
      <w:r>
        <w:t xml:space="preserve"> </w:t>
      </w:r>
      <w:r w:rsidRPr="00CE0645">
        <w:rPr>
          <w:i/>
        </w:rPr>
        <w:t>WHO Nuclear Weapons</w:t>
      </w:r>
      <w:r>
        <w:t xml:space="preserve"> (n4) 84 para.31.</w:t>
      </w:r>
    </w:p>
  </w:footnote>
  <w:footnote w:id="55">
    <w:p w14:paraId="3CEB5133" w14:textId="77777777" w:rsidR="001016BA" w:rsidRDefault="001016BA">
      <w:pPr>
        <w:pStyle w:val="FootnoteText"/>
      </w:pPr>
      <w:r>
        <w:rPr>
          <w:rStyle w:val="FootnoteReference"/>
        </w:rPr>
        <w:footnoteRef/>
      </w:r>
      <w:r>
        <w:t xml:space="preserve"> </w:t>
      </w:r>
      <w:r>
        <w:rPr>
          <w:i/>
        </w:rPr>
        <w:t>Ibid.</w:t>
      </w:r>
      <w:r>
        <w:t>77, para.22.</w:t>
      </w:r>
    </w:p>
  </w:footnote>
  <w:footnote w:id="56">
    <w:p w14:paraId="2A96E034" w14:textId="77777777" w:rsidR="001016BA" w:rsidRDefault="001016BA">
      <w:pPr>
        <w:pStyle w:val="FootnoteText"/>
      </w:pPr>
      <w:r>
        <w:rPr>
          <w:rStyle w:val="FootnoteReference"/>
        </w:rPr>
        <w:footnoteRef/>
      </w:r>
      <w:r>
        <w:t xml:space="preserve"> eg Virginia Leary ,’The WHO case:  Implications for Specialised Agencies’ in Laurence Boisson de Chazournes and Philippe Sands (eds) </w:t>
      </w:r>
      <w:r>
        <w:rPr>
          <w:i/>
        </w:rPr>
        <w:t>International Law, the International Court of Justice and Nuclear Weapons</w:t>
      </w:r>
      <w:r>
        <w:t xml:space="preserve"> (Cambridge University Press, Cambridge 1999), 119.</w:t>
      </w:r>
    </w:p>
  </w:footnote>
  <w:footnote w:id="57">
    <w:p w14:paraId="7923FA16" w14:textId="189EB0B0" w:rsidR="001016BA" w:rsidRDefault="001016BA">
      <w:pPr>
        <w:pStyle w:val="FootnoteText"/>
      </w:pPr>
      <w:r>
        <w:rPr>
          <w:rStyle w:val="FootnoteReference"/>
        </w:rPr>
        <w:footnoteRef/>
      </w:r>
      <w:r>
        <w:t xml:space="preserve"> </w:t>
      </w:r>
      <w:r w:rsidRPr="00B75A09">
        <w:rPr>
          <w:i/>
        </w:rPr>
        <w:t>Ibid</w:t>
      </w:r>
      <w:r>
        <w:t>.126.</w:t>
      </w:r>
    </w:p>
  </w:footnote>
  <w:footnote w:id="58">
    <w:p w14:paraId="577FD713" w14:textId="136A8D23" w:rsidR="001016BA" w:rsidRDefault="001016BA">
      <w:pPr>
        <w:pStyle w:val="FootnoteText"/>
      </w:pPr>
      <w:r>
        <w:rPr>
          <w:rStyle w:val="FootnoteReference"/>
        </w:rPr>
        <w:footnoteRef/>
      </w:r>
      <w:r>
        <w:t xml:space="preserve"> </w:t>
      </w:r>
      <w:r w:rsidRPr="008A6098">
        <w:rPr>
          <w:i/>
        </w:rPr>
        <w:t>Chagos</w:t>
      </w:r>
      <w:r>
        <w:t xml:space="preserve"> request (n3): In (a) “Was the process of decolonization of Mauritius lawfully completed…” and (b) “What are the consequences under international law…”.</w:t>
      </w:r>
    </w:p>
  </w:footnote>
  <w:footnote w:id="59">
    <w:p w14:paraId="743E1DF8" w14:textId="77777777" w:rsidR="001016BA" w:rsidRDefault="001016BA">
      <w:pPr>
        <w:pStyle w:val="FootnoteText"/>
      </w:pPr>
      <w:r>
        <w:rPr>
          <w:rStyle w:val="FootnoteReference"/>
        </w:rPr>
        <w:footnoteRef/>
      </w:r>
      <w:r>
        <w:t xml:space="preserve"> </w:t>
      </w:r>
      <w:r w:rsidRPr="00DC2D54">
        <w:rPr>
          <w:i/>
        </w:rPr>
        <w:t>Eastern Carelia</w:t>
      </w:r>
      <w:r>
        <w:t xml:space="preserve"> (n5).</w:t>
      </w:r>
    </w:p>
  </w:footnote>
  <w:footnote w:id="60">
    <w:p w14:paraId="0E10963A" w14:textId="5A199821" w:rsidR="001016BA" w:rsidRDefault="001016BA">
      <w:pPr>
        <w:pStyle w:val="FootnoteText"/>
      </w:pPr>
      <w:r>
        <w:rPr>
          <w:rStyle w:val="FootnoteReference"/>
        </w:rPr>
        <w:footnoteRef/>
      </w:r>
      <w:r>
        <w:t xml:space="preserve"> Article 65(1</w:t>
      </w:r>
      <w:r w:rsidR="00D6594D">
        <w:t>)</w:t>
      </w:r>
      <w:r>
        <w:t>.</w:t>
      </w:r>
    </w:p>
  </w:footnote>
  <w:footnote w:id="61">
    <w:p w14:paraId="2D5FEE89" w14:textId="77777777" w:rsidR="001016BA" w:rsidRDefault="001016BA">
      <w:pPr>
        <w:pStyle w:val="FootnoteText"/>
      </w:pPr>
      <w:r>
        <w:rPr>
          <w:rStyle w:val="FootnoteReference"/>
        </w:rPr>
        <w:footnoteRef/>
      </w:r>
      <w:r>
        <w:t xml:space="preserve"> </w:t>
      </w:r>
      <w:r w:rsidRPr="005C3F85">
        <w:rPr>
          <w:i/>
        </w:rPr>
        <w:t>Interpretation of Peace Treaties</w:t>
      </w:r>
      <w:r>
        <w:t>, Advisory Opinion: ICJ Reports 1950, p65, 71.</w:t>
      </w:r>
    </w:p>
  </w:footnote>
  <w:footnote w:id="62">
    <w:p w14:paraId="544ED1D7" w14:textId="0BC62072" w:rsidR="001016BA" w:rsidRDefault="001016BA">
      <w:pPr>
        <w:pStyle w:val="FootnoteText"/>
      </w:pPr>
      <w:r>
        <w:rPr>
          <w:rStyle w:val="FootnoteReference"/>
        </w:rPr>
        <w:footnoteRef/>
      </w:r>
      <w:r>
        <w:t xml:space="preserve"> </w:t>
      </w:r>
      <w:r>
        <w:rPr>
          <w:i/>
        </w:rPr>
        <w:t>N</w:t>
      </w:r>
      <w:r w:rsidRPr="00AF1880">
        <w:rPr>
          <w:i/>
        </w:rPr>
        <w:t>uclear Weapons</w:t>
      </w:r>
      <w:r>
        <w:t>, (n13) 236, para.15.</w:t>
      </w:r>
    </w:p>
  </w:footnote>
  <w:footnote w:id="63">
    <w:p w14:paraId="24940104" w14:textId="028D1FD5" w:rsidR="001016BA" w:rsidRDefault="001016BA" w:rsidP="008C6248">
      <w:pPr>
        <w:pStyle w:val="FootnoteText"/>
      </w:pPr>
      <w:r>
        <w:rPr>
          <w:rStyle w:val="FootnoteReference"/>
        </w:rPr>
        <w:footnoteRef/>
      </w:r>
      <w:r>
        <w:t xml:space="preserve"> eg the inadmissibility ruling by the European Court of Human Rights:  </w:t>
      </w:r>
      <w:r w:rsidRPr="002D3B10">
        <w:rPr>
          <w:i/>
        </w:rPr>
        <w:t>The Chagos Islanders v the United Kingdom</w:t>
      </w:r>
      <w:r>
        <w:t xml:space="preserve">, application no. 35622/04, Press Release ECHR 460 (2012) 20 December 2012 and </w:t>
      </w:r>
      <w:r w:rsidRPr="00E6412C">
        <w:rPr>
          <w:i/>
        </w:rPr>
        <w:t>In the Matter of the Chagos Marine Protected Area Arbitration before an Arbitral Tribunal constituted under Annex VII of the United Nations Convention on the Law of the Sea between the Republic of Mauritius and the United Kingdo</w:t>
      </w:r>
      <w:r>
        <w:rPr>
          <w:i/>
        </w:rPr>
        <w:t>m</w:t>
      </w:r>
      <w:r w:rsidRPr="00E6412C">
        <w:rPr>
          <w:i/>
        </w:rPr>
        <w:t xml:space="preserve"> of Great Britain and Northern Ireland</w:t>
      </w:r>
      <w:r>
        <w:t>, Award, 18 March 2015.</w:t>
      </w:r>
    </w:p>
  </w:footnote>
  <w:footnote w:id="64">
    <w:p w14:paraId="16F44571" w14:textId="77777777" w:rsidR="001016BA" w:rsidRDefault="001016BA" w:rsidP="00EE78CB">
      <w:pPr>
        <w:pStyle w:val="FootnoteText"/>
      </w:pPr>
      <w:r>
        <w:rPr>
          <w:rStyle w:val="FootnoteReference"/>
        </w:rPr>
        <w:footnoteRef/>
      </w:r>
      <w:r>
        <w:t xml:space="preserve"> British Indian Ocean Territory:  Written Statement – HCWS10, Foreign and Commonwealth Office, Made by: Sir Alan Duncan (The Minister of State for Foreign and Commonwealth Affairs), 28 June 2017, para. 1 </w:t>
      </w:r>
      <w:hyperlink r:id="rId5" w:history="1">
        <w:r w:rsidRPr="00716C58">
          <w:rPr>
            <w:rStyle w:val="Hyperlink"/>
          </w:rPr>
          <w:t>http://www.parliament.uk/business/publications/written-questions-answers-statements/written-statement/Commons/2017-06-26/HCWS10</w:t>
        </w:r>
      </w:hyperlink>
      <w:r>
        <w:t xml:space="preserve">. </w:t>
      </w:r>
    </w:p>
  </w:footnote>
  <w:footnote w:id="65">
    <w:p w14:paraId="40709B48" w14:textId="11EB18B5" w:rsidR="001016BA" w:rsidRDefault="001016BA" w:rsidP="00EE78CB">
      <w:pPr>
        <w:pStyle w:val="FootnoteText"/>
      </w:pPr>
      <w:r>
        <w:rPr>
          <w:rStyle w:val="FootnoteReference"/>
        </w:rPr>
        <w:footnoteRef/>
      </w:r>
      <w:r>
        <w:t xml:space="preserve"> </w:t>
      </w:r>
      <w:r>
        <w:rPr>
          <w:i/>
        </w:rPr>
        <w:t>N</w:t>
      </w:r>
      <w:r w:rsidRPr="00AF1880">
        <w:rPr>
          <w:i/>
        </w:rPr>
        <w:t>uclear Weapons</w:t>
      </w:r>
      <w:r>
        <w:t>, (n13) 234-235, para.14.</w:t>
      </w:r>
    </w:p>
  </w:footnote>
  <w:footnote w:id="66">
    <w:p w14:paraId="7B2028C6" w14:textId="77777777" w:rsidR="001016BA" w:rsidRDefault="001016BA" w:rsidP="006E1F1F">
      <w:pPr>
        <w:pStyle w:val="FootnoteText"/>
      </w:pPr>
      <w:r>
        <w:rPr>
          <w:rStyle w:val="FootnoteReference"/>
        </w:rPr>
        <w:footnoteRef/>
      </w:r>
      <w:r>
        <w:t xml:space="preserve"> </w:t>
      </w:r>
      <w:r w:rsidRPr="00DA5D4D">
        <w:t>In</w:t>
      </w:r>
      <w:r>
        <w:t xml:space="preserve"> two contentious cases, </w:t>
      </w:r>
      <w:hyperlink r:id="rId6" w:history="1">
        <w:r w:rsidRPr="007C6645">
          <w:rPr>
            <w:rStyle w:val="Hyperlink"/>
          </w:rPr>
          <w:t>http://legal.un.org/avl/pdf/ls/Abi-Saab_bio.pdf</w:t>
        </w:r>
      </w:hyperlink>
      <w:r>
        <w:t>.</w:t>
      </w:r>
    </w:p>
  </w:footnote>
  <w:footnote w:id="67">
    <w:p w14:paraId="1BC93209" w14:textId="25B59EE8" w:rsidR="001016BA" w:rsidRDefault="001016BA">
      <w:pPr>
        <w:pStyle w:val="FootnoteText"/>
      </w:pPr>
      <w:r>
        <w:rPr>
          <w:rStyle w:val="FootnoteReference"/>
        </w:rPr>
        <w:footnoteRef/>
      </w:r>
      <w:r>
        <w:t xml:space="preserve"> Verbatim Record, CR 95/23, 1 November 1995, </w:t>
      </w:r>
      <w:hyperlink r:id="rId7" w:history="1">
        <w:r w:rsidRPr="00A43B31">
          <w:rPr>
            <w:rStyle w:val="Hyperlink"/>
          </w:rPr>
          <w:t>http://www.icj-cij.org/files/case-related/95/095-19951101-ORA-01-00-BI.pdf</w:t>
        </w:r>
      </w:hyperlink>
      <w:r>
        <w:t xml:space="preserve"> 18 - 26. </w:t>
      </w:r>
    </w:p>
  </w:footnote>
  <w:footnote w:id="68">
    <w:p w14:paraId="109151B9" w14:textId="77777777" w:rsidR="001016BA" w:rsidRPr="00114970" w:rsidRDefault="001016BA">
      <w:pPr>
        <w:pStyle w:val="FootnoteText"/>
      </w:pPr>
      <w:r>
        <w:rPr>
          <w:rStyle w:val="FootnoteReference"/>
        </w:rPr>
        <w:footnoteRef/>
      </w:r>
      <w:r>
        <w:t xml:space="preserve"> </w:t>
      </w:r>
      <w:r>
        <w:rPr>
          <w:i/>
        </w:rPr>
        <w:t>Eastern Carelia</w:t>
      </w:r>
      <w:r>
        <w:t xml:space="preserve"> (n5) 28.</w:t>
      </w:r>
    </w:p>
  </w:footnote>
  <w:footnote w:id="69">
    <w:p w14:paraId="31F8E081" w14:textId="06F7D669" w:rsidR="001016BA" w:rsidRPr="00FE212E" w:rsidRDefault="001016BA">
      <w:pPr>
        <w:pStyle w:val="FootnoteText"/>
      </w:pPr>
      <w:r>
        <w:rPr>
          <w:rStyle w:val="FootnoteReference"/>
        </w:rPr>
        <w:footnoteRef/>
      </w:r>
      <w:r>
        <w:t xml:space="preserve"> </w:t>
      </w:r>
      <w:r>
        <w:rPr>
          <w:i/>
        </w:rPr>
        <w:t>Ibid</w:t>
      </w:r>
      <w:r>
        <w:t>. and Georges Abi-Saab</w:t>
      </w:r>
      <w:r w:rsidRPr="00FE212E">
        <w:t>, ‘</w:t>
      </w:r>
      <w:r>
        <w:t>Reflections on the nature of the consultative function of the International Court of Justice’ Boisson de Chazournes and Sands (n56) 40.</w:t>
      </w:r>
    </w:p>
  </w:footnote>
  <w:footnote w:id="70">
    <w:p w14:paraId="33C9747A" w14:textId="77777777" w:rsidR="001016BA" w:rsidRDefault="001016BA">
      <w:pPr>
        <w:pStyle w:val="FootnoteText"/>
      </w:pPr>
      <w:r>
        <w:rPr>
          <w:rStyle w:val="FootnoteReference"/>
        </w:rPr>
        <w:footnoteRef/>
      </w:r>
      <w:r>
        <w:t xml:space="preserve"> </w:t>
      </w:r>
      <w:r w:rsidRPr="00EC4767">
        <w:t>Abi-Saab</w:t>
      </w:r>
      <w:r>
        <w:t xml:space="preserve">, </w:t>
      </w:r>
      <w:r w:rsidRPr="00227781">
        <w:rPr>
          <w:i/>
        </w:rPr>
        <w:t>Ibid</w:t>
      </w:r>
      <w:r>
        <w:t>.44.</w:t>
      </w:r>
    </w:p>
  </w:footnote>
  <w:footnote w:id="71">
    <w:p w14:paraId="52864E53" w14:textId="77777777" w:rsidR="001016BA" w:rsidRPr="001C1563" w:rsidRDefault="001016BA">
      <w:pPr>
        <w:pStyle w:val="FootnoteText"/>
      </w:pPr>
      <w:r>
        <w:rPr>
          <w:rStyle w:val="FootnoteReference"/>
        </w:rPr>
        <w:footnoteRef/>
      </w:r>
      <w:r>
        <w:t xml:space="preserve"> </w:t>
      </w:r>
      <w:r w:rsidRPr="00227781">
        <w:rPr>
          <w:i/>
        </w:rPr>
        <w:t>Ibid</w:t>
      </w:r>
      <w:r>
        <w:t>.43.</w:t>
      </w:r>
    </w:p>
  </w:footnote>
  <w:footnote w:id="72">
    <w:p w14:paraId="0577B679" w14:textId="526519A9" w:rsidR="001016BA" w:rsidRDefault="001016BA">
      <w:pPr>
        <w:pStyle w:val="FootnoteText"/>
      </w:pPr>
      <w:r>
        <w:rPr>
          <w:rStyle w:val="FootnoteReference"/>
        </w:rPr>
        <w:footnoteRef/>
      </w:r>
      <w:r>
        <w:t xml:space="preserve"> </w:t>
      </w:r>
      <w:r>
        <w:rPr>
          <w:i/>
        </w:rPr>
        <w:t>N</w:t>
      </w:r>
      <w:r w:rsidRPr="00AF1880">
        <w:rPr>
          <w:i/>
        </w:rPr>
        <w:t>uclear Weapons</w:t>
      </w:r>
      <w:r>
        <w:t xml:space="preserve"> (n13) 238, para.19.</w:t>
      </w:r>
    </w:p>
  </w:footnote>
  <w:footnote w:id="73">
    <w:p w14:paraId="263709D1" w14:textId="0A80488C" w:rsidR="001016BA" w:rsidRDefault="001016BA">
      <w:pPr>
        <w:pStyle w:val="FootnoteText"/>
      </w:pPr>
      <w:r>
        <w:rPr>
          <w:rStyle w:val="FootnoteReference"/>
        </w:rPr>
        <w:footnoteRef/>
      </w:r>
      <w:r>
        <w:t xml:space="preserve"> </w:t>
      </w:r>
      <w:r>
        <w:rPr>
          <w:i/>
        </w:rPr>
        <w:t>WHO N</w:t>
      </w:r>
      <w:r w:rsidRPr="00753253">
        <w:rPr>
          <w:i/>
        </w:rPr>
        <w:t>uclear</w:t>
      </w:r>
      <w:r>
        <w:rPr>
          <w:i/>
        </w:rPr>
        <w:t xml:space="preserve"> W</w:t>
      </w:r>
      <w:r w:rsidRPr="00753253">
        <w:rPr>
          <w:i/>
        </w:rPr>
        <w:t>eapons</w:t>
      </w:r>
      <w:r>
        <w:t xml:space="preserve"> (n4) 84.</w:t>
      </w:r>
    </w:p>
  </w:footnote>
  <w:footnote w:id="74">
    <w:p w14:paraId="5426B804" w14:textId="1E83F915" w:rsidR="001016BA" w:rsidRPr="00241436" w:rsidRDefault="001016BA" w:rsidP="00F478BB">
      <w:pPr>
        <w:pStyle w:val="FootnoteText"/>
      </w:pPr>
      <w:r>
        <w:rPr>
          <w:rStyle w:val="FootnoteReference"/>
        </w:rPr>
        <w:footnoteRef/>
      </w:r>
      <w:r>
        <w:t xml:space="preserve">  Rosalyn Higgins, ‘A comment on the current health of Advisory Opinions’ in Lowe V and Fitzmaurice M (eds), </w:t>
      </w:r>
      <w:r>
        <w:rPr>
          <w:i/>
        </w:rPr>
        <w:t>Fifty years of the International Court of Justice:  essays in honour of Sir Robert Jennings</w:t>
      </w:r>
      <w:r>
        <w:t>, (Cambridge University Press, Cambridge 1996), 581.</w:t>
      </w:r>
    </w:p>
  </w:footnote>
  <w:footnote w:id="75">
    <w:p w14:paraId="098271D8" w14:textId="07895BEF" w:rsidR="001016BA" w:rsidRPr="007E0110" w:rsidRDefault="001016BA">
      <w:pPr>
        <w:pStyle w:val="FootnoteText"/>
      </w:pPr>
      <w:r>
        <w:rPr>
          <w:rStyle w:val="FootnoteReference"/>
        </w:rPr>
        <w:footnoteRef/>
      </w:r>
      <w:r>
        <w:t xml:space="preserve"> </w:t>
      </w:r>
      <w:r w:rsidRPr="00853E5E">
        <w:rPr>
          <w:i/>
        </w:rPr>
        <w:t>Judgements, Advisory Opinions and Orders</w:t>
      </w:r>
      <w:r>
        <w:t xml:space="preserve"> (n9).</w:t>
      </w:r>
    </w:p>
  </w:footnote>
  <w:footnote w:id="76">
    <w:p w14:paraId="5203FFCD" w14:textId="7BF0878E" w:rsidR="001016BA" w:rsidRPr="008E3576" w:rsidRDefault="001016BA" w:rsidP="00A44D95">
      <w:pPr>
        <w:pStyle w:val="FootnoteText"/>
      </w:pPr>
      <w:r>
        <w:rPr>
          <w:rStyle w:val="FootnoteReference"/>
        </w:rPr>
        <w:footnoteRef/>
      </w:r>
      <w:r>
        <w:t xml:space="preserve"> </w:t>
      </w:r>
      <w:r w:rsidRPr="0057124E">
        <w:rPr>
          <w:i/>
        </w:rPr>
        <w:t>Kosovo</w:t>
      </w:r>
      <w:r>
        <w:t xml:space="preserve"> (n6) 414, para.24.</w:t>
      </w:r>
    </w:p>
  </w:footnote>
  <w:footnote w:id="77">
    <w:p w14:paraId="623F3B78" w14:textId="77777777" w:rsidR="001016BA" w:rsidRDefault="001016BA" w:rsidP="006C01CD">
      <w:pPr>
        <w:pStyle w:val="FootnoteText"/>
      </w:pPr>
      <w:r>
        <w:rPr>
          <w:rStyle w:val="FootnoteReference"/>
        </w:rPr>
        <w:footnoteRef/>
      </w:r>
      <w:r>
        <w:t xml:space="preserve"> </w:t>
      </w:r>
      <w:r w:rsidRPr="00BF2210">
        <w:rPr>
          <w:i/>
        </w:rPr>
        <w:t>Ibid</w:t>
      </w:r>
      <w:r>
        <w:t>.</w:t>
      </w:r>
    </w:p>
  </w:footnote>
  <w:footnote w:id="78">
    <w:p w14:paraId="0B01EF9C" w14:textId="2662791C" w:rsidR="001016BA" w:rsidRDefault="001016BA" w:rsidP="00A44D95">
      <w:pPr>
        <w:pStyle w:val="FootnoteText"/>
      </w:pPr>
      <w:r>
        <w:rPr>
          <w:rStyle w:val="FootnoteReference"/>
        </w:rPr>
        <w:footnoteRef/>
      </w:r>
      <w:r>
        <w:t xml:space="preserve"> </w:t>
      </w:r>
      <w:r>
        <w:rPr>
          <w:i/>
        </w:rPr>
        <w:t>Remedies</w:t>
      </w:r>
      <w:r>
        <w:t xml:space="preserve"> (n23) 2.</w:t>
      </w:r>
    </w:p>
  </w:footnote>
  <w:footnote w:id="79">
    <w:p w14:paraId="0F4AF77B" w14:textId="5285A192" w:rsidR="001016BA" w:rsidRPr="00EC17B7" w:rsidRDefault="001016BA">
      <w:pPr>
        <w:pStyle w:val="FootnoteText"/>
        <w:rPr>
          <w:i/>
        </w:rPr>
      </w:pPr>
      <w:r>
        <w:rPr>
          <w:rStyle w:val="FootnoteReference"/>
        </w:rPr>
        <w:footnoteRef/>
      </w:r>
      <w:r>
        <w:t xml:space="preserve"> </w:t>
      </w:r>
      <w:r>
        <w:rPr>
          <w:i/>
        </w:rPr>
        <w:t xml:space="preserve">Namibia </w:t>
      </w:r>
      <w:r>
        <w:t>(n36</w:t>
      </w:r>
      <w:r w:rsidRPr="00CE0645">
        <w:t>)</w:t>
      </w:r>
      <w:r>
        <w:t>.</w:t>
      </w:r>
    </w:p>
  </w:footnote>
  <w:footnote w:id="80">
    <w:p w14:paraId="5C9FFE25" w14:textId="3D902C0C" w:rsidR="001016BA" w:rsidRDefault="001016BA" w:rsidP="00DA5D4D">
      <w:pPr>
        <w:pStyle w:val="FootnoteText"/>
      </w:pPr>
      <w:r>
        <w:rPr>
          <w:rStyle w:val="FootnoteReference"/>
        </w:rPr>
        <w:footnoteRef/>
      </w:r>
      <w:r>
        <w:t xml:space="preserve"> Security Council Report, Special Research Report, 2016 No. 5, 20 December 2016, 13 </w:t>
      </w:r>
      <w:hyperlink r:id="rId8" w:history="1">
        <w:r w:rsidRPr="00EC59AA">
          <w:rPr>
            <w:rStyle w:val="Hyperlink"/>
          </w:rPr>
          <w:t>http://www.securitycouncilreport.org/special-research-report/the-rule-of-law-can-the-security-council-make-better-use-of-the-international-court-of-justice.php</w:t>
        </w:r>
      </w:hyperlink>
      <w:r>
        <w:t>.</w:t>
      </w:r>
    </w:p>
  </w:footnote>
  <w:footnote w:id="81">
    <w:p w14:paraId="00E5C882" w14:textId="301C66CD" w:rsidR="001016BA" w:rsidRDefault="001016BA">
      <w:pPr>
        <w:pStyle w:val="FootnoteText"/>
      </w:pPr>
      <w:r>
        <w:rPr>
          <w:rStyle w:val="FootnoteReference"/>
        </w:rPr>
        <w:footnoteRef/>
      </w:r>
      <w:r>
        <w:t xml:space="preserve"> </w:t>
      </w:r>
      <w:r>
        <w:rPr>
          <w:i/>
        </w:rPr>
        <w:t>Ibid</w:t>
      </w:r>
      <w:r>
        <w:t>.</w:t>
      </w:r>
    </w:p>
  </w:footnote>
  <w:footnote w:id="82">
    <w:p w14:paraId="0A49C865" w14:textId="77777777" w:rsidR="001016BA" w:rsidRPr="007D70E3" w:rsidRDefault="001016BA">
      <w:pPr>
        <w:pStyle w:val="FootnoteText"/>
      </w:pPr>
      <w:r>
        <w:rPr>
          <w:rStyle w:val="FootnoteReference"/>
        </w:rPr>
        <w:footnoteRef/>
      </w:r>
      <w:r>
        <w:t xml:space="preserve"> </w:t>
      </w:r>
      <w:r>
        <w:rPr>
          <w:i/>
        </w:rPr>
        <w:t>Ibid</w:t>
      </w:r>
      <w:r>
        <w:t>.9.</w:t>
      </w:r>
    </w:p>
  </w:footnote>
  <w:footnote w:id="83">
    <w:p w14:paraId="64A48153" w14:textId="6930C1C1" w:rsidR="001016BA" w:rsidRDefault="001016BA">
      <w:pPr>
        <w:pStyle w:val="FootnoteText"/>
      </w:pPr>
      <w:r>
        <w:rPr>
          <w:rStyle w:val="FootnoteReference"/>
        </w:rPr>
        <w:footnoteRef/>
      </w:r>
      <w:r>
        <w:t xml:space="preserve"> </w:t>
      </w:r>
      <w:r w:rsidRPr="00F30225">
        <w:rPr>
          <w:i/>
        </w:rPr>
        <w:t>Charter</w:t>
      </w:r>
      <w:r>
        <w:t xml:space="preserve"> (n1) Article 96(2).</w:t>
      </w:r>
    </w:p>
  </w:footnote>
  <w:footnote w:id="84">
    <w:p w14:paraId="58E33FBB" w14:textId="099E82C5" w:rsidR="001016BA" w:rsidRDefault="001016BA" w:rsidP="0096759A">
      <w:pPr>
        <w:pStyle w:val="FootnoteText"/>
      </w:pPr>
      <w:r>
        <w:rPr>
          <w:rStyle w:val="FootnoteReference"/>
        </w:rPr>
        <w:footnoteRef/>
      </w:r>
      <w:r>
        <w:t xml:space="preserve"> </w:t>
      </w:r>
      <w:r w:rsidRPr="00C46CC3">
        <w:rPr>
          <w:i/>
        </w:rPr>
        <w:t>Health of Advisory Opinions</w:t>
      </w:r>
      <w:r>
        <w:t xml:space="preserve"> (n74) 569.</w:t>
      </w:r>
    </w:p>
  </w:footnote>
  <w:footnote w:id="85">
    <w:p w14:paraId="3E8EE0B2" w14:textId="77777777" w:rsidR="001016BA" w:rsidRDefault="001016BA">
      <w:pPr>
        <w:pStyle w:val="FootnoteText"/>
      </w:pPr>
      <w:r>
        <w:rPr>
          <w:rStyle w:val="FootnoteReference"/>
        </w:rPr>
        <w:footnoteRef/>
      </w:r>
      <w:r>
        <w:t xml:space="preserve"> </w:t>
      </w:r>
      <w:r w:rsidRPr="00C44E2F">
        <w:rPr>
          <w:i/>
        </w:rPr>
        <w:t>Ibid</w:t>
      </w:r>
      <w:r>
        <w:t>.</w:t>
      </w:r>
    </w:p>
  </w:footnote>
  <w:footnote w:id="86">
    <w:p w14:paraId="0A4EDD84" w14:textId="4E081DEE" w:rsidR="001016BA" w:rsidRPr="00544CA5" w:rsidRDefault="001016BA" w:rsidP="00544CA5">
      <w:pPr>
        <w:pStyle w:val="HTMLPreformatted"/>
        <w:rPr>
          <w:rFonts w:asciiTheme="minorHAnsi" w:eastAsia="Times New Roman" w:hAnsiTheme="minorHAnsi" w:cstheme="minorHAnsi"/>
          <w:color w:val="000000"/>
          <w:lang w:eastAsia="de-DE"/>
        </w:rPr>
      </w:pPr>
      <w:r>
        <w:rPr>
          <w:rStyle w:val="FootnoteReference"/>
        </w:rPr>
        <w:footnoteRef/>
      </w:r>
      <w:r w:rsidRPr="00544CA5">
        <w:rPr>
          <w:rFonts w:asciiTheme="minorHAnsi" w:hAnsiTheme="minorHAnsi" w:cstheme="minorHAnsi"/>
          <w:i/>
        </w:rPr>
        <w:t>Ibid</w:t>
      </w:r>
      <w:r>
        <w:rPr>
          <w:rFonts w:asciiTheme="minorHAnsi" w:hAnsiTheme="minorHAnsi" w:cstheme="minorHAnsi"/>
        </w:rPr>
        <w:t>.</w:t>
      </w:r>
      <w:r w:rsidRPr="00544CA5">
        <w:rPr>
          <w:rFonts w:asciiTheme="minorHAnsi" w:hAnsiTheme="minorHAnsi" w:cstheme="minorHAnsi"/>
        </w:rPr>
        <w:t xml:space="preserve">570, Higgins traces this back to the call to the Security Council in General Assembly Resolution </w:t>
      </w:r>
      <w:r w:rsidRPr="00544CA5">
        <w:rPr>
          <w:rFonts w:asciiTheme="minorHAnsi" w:eastAsia="Times New Roman" w:hAnsiTheme="minorHAnsi" w:cstheme="minorHAnsi"/>
          <w:i/>
          <w:color w:val="000000"/>
          <w:lang w:eastAsia="de-DE"/>
        </w:rPr>
        <w:t xml:space="preserve">Declaration on the Prevention and Removal of Disputes and </w:t>
      </w:r>
      <w:r w:rsidRPr="0038745C">
        <w:rPr>
          <w:rFonts w:asciiTheme="minorHAnsi" w:eastAsia="Times New Roman" w:hAnsiTheme="minorHAnsi" w:cstheme="minorHAnsi"/>
          <w:i/>
          <w:color w:val="000000"/>
          <w:lang w:eastAsia="de-DE"/>
        </w:rPr>
        <w:t>Situations Which May Threaten International Peace and</w:t>
      </w:r>
      <w:r w:rsidRPr="00544CA5">
        <w:rPr>
          <w:rFonts w:asciiTheme="minorHAnsi" w:eastAsia="Times New Roman" w:hAnsiTheme="minorHAnsi" w:cstheme="minorHAnsi"/>
          <w:i/>
          <w:color w:val="000000"/>
          <w:lang w:eastAsia="de-DE"/>
        </w:rPr>
        <w:t xml:space="preserve"> </w:t>
      </w:r>
      <w:r w:rsidRPr="0038745C">
        <w:rPr>
          <w:rFonts w:asciiTheme="minorHAnsi" w:eastAsia="Times New Roman" w:hAnsiTheme="minorHAnsi" w:cstheme="minorHAnsi"/>
          <w:i/>
          <w:color w:val="000000"/>
          <w:lang w:eastAsia="de-DE"/>
        </w:rPr>
        <w:t>Security and on the Role of the United Nations in</w:t>
      </w:r>
      <w:r w:rsidRPr="00544CA5">
        <w:rPr>
          <w:rFonts w:asciiTheme="minorHAnsi" w:eastAsia="Times New Roman" w:hAnsiTheme="minorHAnsi" w:cstheme="minorHAnsi"/>
          <w:i/>
          <w:color w:val="000000"/>
          <w:lang w:eastAsia="de-DE"/>
        </w:rPr>
        <w:t xml:space="preserve"> </w:t>
      </w:r>
      <w:r w:rsidRPr="0038745C">
        <w:rPr>
          <w:rFonts w:asciiTheme="minorHAnsi" w:eastAsia="Times New Roman" w:hAnsiTheme="minorHAnsi" w:cstheme="minorHAnsi"/>
          <w:i/>
          <w:color w:val="000000"/>
          <w:lang w:eastAsia="de-DE"/>
        </w:rPr>
        <w:t>this Field</w:t>
      </w:r>
      <w:r>
        <w:rPr>
          <w:rFonts w:asciiTheme="minorHAnsi" w:eastAsia="Times New Roman" w:hAnsiTheme="minorHAnsi" w:cstheme="minorHAnsi"/>
          <w:color w:val="000000"/>
          <w:lang w:eastAsia="de-DE"/>
        </w:rPr>
        <w:t>, para.15,</w:t>
      </w:r>
      <w:r w:rsidRPr="00544CA5">
        <w:rPr>
          <w:rFonts w:asciiTheme="minorHAnsi" w:hAnsiTheme="minorHAnsi" w:cstheme="minorHAnsi"/>
        </w:rPr>
        <w:t>A/RES/43/51,5 December 1988</w:t>
      </w:r>
      <w:r w:rsidRPr="00EC17B7">
        <w:t xml:space="preserve"> </w:t>
      </w:r>
      <w:hyperlink r:id="rId9" w:history="1">
        <w:r w:rsidRPr="00624D76">
          <w:rPr>
            <w:rStyle w:val="Hyperlink"/>
            <w:rFonts w:asciiTheme="minorHAnsi" w:hAnsiTheme="minorHAnsi" w:cstheme="minorHAnsi"/>
          </w:rPr>
          <w:t>http://www.un.org/documents/ga/res/43/a43r051.htm</w:t>
        </w:r>
      </w:hyperlink>
      <w:r>
        <w:rPr>
          <w:rFonts w:asciiTheme="minorHAnsi" w:hAnsiTheme="minorHAnsi" w:cstheme="minorHAnsi"/>
        </w:rPr>
        <w:t xml:space="preserve">. </w:t>
      </w:r>
    </w:p>
  </w:footnote>
  <w:footnote w:id="87">
    <w:p w14:paraId="0E94C40F" w14:textId="77777777" w:rsidR="001016BA" w:rsidRPr="009A59C8" w:rsidRDefault="001016BA">
      <w:pPr>
        <w:pStyle w:val="FootnoteText"/>
        <w:rPr>
          <w:i/>
        </w:rPr>
      </w:pPr>
      <w:r>
        <w:rPr>
          <w:rStyle w:val="FootnoteReference"/>
        </w:rPr>
        <w:footnoteRef/>
      </w:r>
      <w:r>
        <w:t xml:space="preserve"> Thomas M Franck, </w:t>
      </w:r>
      <w:r>
        <w:rPr>
          <w:i/>
        </w:rPr>
        <w:t xml:space="preserve">The Power of Legitimacy Among Nations </w:t>
      </w:r>
      <w:r w:rsidRPr="00DD7FCB">
        <w:t>(Oxford Univer</w:t>
      </w:r>
      <w:r>
        <w:t>sity Press Inc., New York 1990),150.</w:t>
      </w:r>
    </w:p>
  </w:footnote>
  <w:footnote w:id="88">
    <w:p w14:paraId="06137AC1" w14:textId="77777777" w:rsidR="001016BA" w:rsidRPr="00460507" w:rsidRDefault="001016BA" w:rsidP="0096759A">
      <w:pPr>
        <w:spacing w:after="0"/>
        <w:rPr>
          <w:rFonts w:cstheme="minorHAnsi"/>
          <w:sz w:val="20"/>
          <w:szCs w:val="20"/>
        </w:rPr>
      </w:pPr>
      <w:r>
        <w:rPr>
          <w:rStyle w:val="FootnoteReference"/>
        </w:rPr>
        <w:footnoteRef/>
      </w:r>
      <w:r>
        <w:t xml:space="preserve"> </w:t>
      </w:r>
      <w:r w:rsidRPr="00460507">
        <w:rPr>
          <w:rFonts w:cstheme="minorHAnsi"/>
          <w:sz w:val="20"/>
          <w:szCs w:val="20"/>
        </w:rPr>
        <w:t xml:space="preserve">D W Bowett, ‘The Court’s role in relation to international organizations’ in </w:t>
      </w:r>
      <w:r>
        <w:rPr>
          <w:rFonts w:cstheme="minorHAnsi"/>
          <w:sz w:val="20"/>
          <w:szCs w:val="20"/>
        </w:rPr>
        <w:t>Vaughan Lowe a</w:t>
      </w:r>
      <w:r w:rsidRPr="00460507">
        <w:rPr>
          <w:rFonts w:cstheme="minorHAnsi"/>
          <w:sz w:val="20"/>
          <w:szCs w:val="20"/>
        </w:rPr>
        <w:t xml:space="preserve">nd </w:t>
      </w:r>
      <w:r>
        <w:rPr>
          <w:rFonts w:cstheme="minorHAnsi"/>
          <w:sz w:val="20"/>
          <w:szCs w:val="20"/>
        </w:rPr>
        <w:t xml:space="preserve">Malgosia Fitzmaurice </w:t>
      </w:r>
      <w:r w:rsidRPr="00460507">
        <w:rPr>
          <w:rFonts w:cstheme="minorHAnsi"/>
          <w:sz w:val="20"/>
          <w:szCs w:val="20"/>
        </w:rPr>
        <w:t xml:space="preserve">(eds), </w:t>
      </w:r>
      <w:r w:rsidRPr="00460507">
        <w:rPr>
          <w:rFonts w:cstheme="minorHAnsi"/>
          <w:i/>
          <w:sz w:val="20"/>
          <w:szCs w:val="20"/>
        </w:rPr>
        <w:t>Fifty years of the International Court of Justice</w:t>
      </w:r>
      <w:r w:rsidRPr="00460507">
        <w:rPr>
          <w:rFonts w:cstheme="minorHAnsi"/>
          <w:sz w:val="20"/>
          <w:szCs w:val="20"/>
        </w:rPr>
        <w:t>, (Cambridge Un</w:t>
      </w:r>
      <w:r>
        <w:rPr>
          <w:rFonts w:cstheme="minorHAnsi"/>
          <w:sz w:val="20"/>
          <w:szCs w:val="20"/>
        </w:rPr>
        <w:t>iversity Press, Cambridge 1996) 187-188.</w:t>
      </w:r>
    </w:p>
  </w:footnote>
  <w:footnote w:id="89">
    <w:p w14:paraId="2A59EBCA" w14:textId="77777777" w:rsidR="001016BA" w:rsidRDefault="001016BA">
      <w:pPr>
        <w:pStyle w:val="FootnoteText"/>
      </w:pPr>
      <w:r>
        <w:rPr>
          <w:rStyle w:val="FootnoteReference"/>
        </w:rPr>
        <w:footnoteRef/>
      </w:r>
      <w:r>
        <w:t xml:space="preserve"> See also the African Court of Human and Peoples’ Rights with its somewhat counter-intuitive approach (in a human rights context) to competence </w:t>
      </w:r>
      <w:hyperlink r:id="rId10" w:history="1">
        <w:r w:rsidRPr="00A43B31">
          <w:rPr>
            <w:rStyle w:val="Hyperlink"/>
          </w:rPr>
          <w:t>http://en.african-court.org/</w:t>
        </w:r>
      </w:hyperlink>
      <w:r>
        <w:t xml:space="preserve">. </w:t>
      </w:r>
    </w:p>
  </w:footnote>
  <w:footnote w:id="90">
    <w:p w14:paraId="56B770BC" w14:textId="77777777" w:rsidR="001016BA" w:rsidRDefault="001016BA">
      <w:pPr>
        <w:pStyle w:val="FootnoteText"/>
      </w:pPr>
      <w:r>
        <w:rPr>
          <w:rStyle w:val="FootnoteReference"/>
        </w:rPr>
        <w:footnoteRef/>
      </w:r>
      <w:r>
        <w:t xml:space="preserve"> Article 64(1) and (2), American Convention on Human Rights “Pact of San Jos</w:t>
      </w:r>
      <w:r>
        <w:rPr>
          <w:rFonts w:cstheme="minorHAnsi"/>
        </w:rPr>
        <w:t>é</w:t>
      </w:r>
      <w:r>
        <w:t>, Costa Rica” B-32, 1969.</w:t>
      </w:r>
    </w:p>
  </w:footnote>
  <w:footnote w:id="91">
    <w:p w14:paraId="566CB9A8" w14:textId="77777777" w:rsidR="001016BA" w:rsidRDefault="001016BA">
      <w:pPr>
        <w:pStyle w:val="FootnoteText"/>
      </w:pPr>
      <w:r>
        <w:rPr>
          <w:rStyle w:val="FootnoteReference"/>
        </w:rPr>
        <w:footnoteRef/>
      </w:r>
      <w:r>
        <w:t xml:space="preserve"> Dinah Shelton, ‘The Jurisprudence of the Inter-American Court of Human Rights’ 10(1) </w:t>
      </w:r>
      <w:r>
        <w:rPr>
          <w:i/>
        </w:rPr>
        <w:t>American University International Law Review</w:t>
      </w:r>
      <w:r>
        <w:t xml:space="preserve"> (1996) 333-372, 337.</w:t>
      </w:r>
    </w:p>
  </w:footnote>
  <w:footnote w:id="92">
    <w:p w14:paraId="241B484F" w14:textId="77777777" w:rsidR="001016BA" w:rsidRDefault="001016BA">
      <w:pPr>
        <w:pStyle w:val="FootnoteText"/>
      </w:pPr>
      <w:r>
        <w:rPr>
          <w:rStyle w:val="FootnoteReference"/>
        </w:rPr>
        <w:footnoteRef/>
      </w:r>
      <w:r w:rsidRPr="00A67F0B">
        <w:rPr>
          <w:i/>
        </w:rPr>
        <w:t xml:space="preserve"> Ibid</w:t>
      </w:r>
      <w:r>
        <w:t>.</w:t>
      </w:r>
    </w:p>
  </w:footnote>
  <w:footnote w:id="93">
    <w:p w14:paraId="45B1D637" w14:textId="77777777" w:rsidR="001016BA" w:rsidRPr="00A67F0B" w:rsidRDefault="001016BA">
      <w:pPr>
        <w:pStyle w:val="FootnoteText"/>
      </w:pPr>
      <w:r>
        <w:rPr>
          <w:rStyle w:val="FootnoteReference"/>
        </w:rPr>
        <w:footnoteRef/>
      </w:r>
      <w:r>
        <w:t xml:space="preserve"> </w:t>
      </w:r>
      <w:r>
        <w:rPr>
          <w:i/>
        </w:rPr>
        <w:t>I</w:t>
      </w:r>
      <w:r w:rsidRPr="00A67F0B">
        <w:rPr>
          <w:i/>
        </w:rPr>
        <w:t>bid</w:t>
      </w:r>
      <w:r>
        <w:t xml:space="preserve">.336. </w:t>
      </w:r>
    </w:p>
  </w:footnote>
  <w:footnote w:id="94">
    <w:p w14:paraId="5273DBD0" w14:textId="198E9504" w:rsidR="001016BA" w:rsidRDefault="001016BA" w:rsidP="006F443D">
      <w:pPr>
        <w:pStyle w:val="FootnoteText"/>
      </w:pPr>
      <w:r>
        <w:rPr>
          <w:rStyle w:val="FootnoteReference"/>
        </w:rPr>
        <w:footnoteRef/>
      </w:r>
      <w:r>
        <w:t xml:space="preserve"> Protocol No.16 to the Convention for the Protection of Human Rights and Fundamental Freedoms, CETS No.214, it will enter into force with 10 ratifications, there are currently 7 </w:t>
      </w:r>
      <w:hyperlink r:id="rId11" w:history="1">
        <w:r w:rsidRPr="00A43B31">
          <w:rPr>
            <w:rStyle w:val="Hyperlink"/>
          </w:rPr>
          <w:t>https://www.coe.int/en/web/conventions/full-list/-/conventions/treaty/214/signatures?p_auth=CsGuZK9E</w:t>
        </w:r>
      </w:hyperlink>
      <w:r>
        <w:t xml:space="preserve">. </w:t>
      </w:r>
    </w:p>
  </w:footnote>
  <w:footnote w:id="95">
    <w:p w14:paraId="41C4A09D" w14:textId="4F07570E" w:rsidR="001016BA" w:rsidRDefault="001016BA">
      <w:pPr>
        <w:pStyle w:val="FootnoteText"/>
      </w:pPr>
      <w:r>
        <w:rPr>
          <w:rStyle w:val="FootnoteReference"/>
        </w:rPr>
        <w:footnoteRef/>
      </w:r>
      <w:r>
        <w:t xml:space="preserve"> </w:t>
      </w:r>
      <w:r w:rsidRPr="00355CEC">
        <w:rPr>
          <w:i/>
        </w:rPr>
        <w:t>Security Council Report</w:t>
      </w:r>
      <w:r>
        <w:t xml:space="preserve"> (n80) 4.</w:t>
      </w:r>
    </w:p>
  </w:footnote>
  <w:footnote w:id="96">
    <w:p w14:paraId="2F529003" w14:textId="77777777" w:rsidR="001016BA" w:rsidRDefault="001016BA" w:rsidP="00806170">
      <w:pPr>
        <w:pStyle w:val="FootnoteText"/>
      </w:pPr>
      <w:r>
        <w:rPr>
          <w:rStyle w:val="FootnoteReference"/>
        </w:rPr>
        <w:footnoteRef/>
      </w:r>
      <w:r>
        <w:t xml:space="preserve"> Stephen R Crilly, ‘A nascent proposal for expanding the advisory opinion jurisdiction of the International Court of Justice’, 10 </w:t>
      </w:r>
      <w:r>
        <w:rPr>
          <w:i/>
        </w:rPr>
        <w:t>Syracuse Journal of International Law</w:t>
      </w:r>
      <w:r>
        <w:t xml:space="preserve"> (1983) 215–221. </w:t>
      </w:r>
    </w:p>
  </w:footnote>
  <w:footnote w:id="97">
    <w:p w14:paraId="0D6B88ED" w14:textId="565D4CF3" w:rsidR="001016BA" w:rsidRPr="00DD4F87" w:rsidRDefault="001016BA">
      <w:pPr>
        <w:pStyle w:val="FootnoteText"/>
      </w:pPr>
      <w:r>
        <w:rPr>
          <w:rStyle w:val="FootnoteReference"/>
        </w:rPr>
        <w:footnoteRef/>
      </w:r>
      <w:r>
        <w:t xml:space="preserve"> eg Serbia, the </w:t>
      </w:r>
      <w:r w:rsidRPr="00A321A5">
        <w:rPr>
          <w:i/>
        </w:rPr>
        <w:t>Kosovo</w:t>
      </w:r>
      <w:r>
        <w:t xml:space="preserve"> (n6) opinion.</w:t>
      </w:r>
    </w:p>
  </w:footnote>
  <w:footnote w:id="98">
    <w:p w14:paraId="17E88B1D" w14:textId="50711690" w:rsidR="001016BA" w:rsidRDefault="001016BA">
      <w:pPr>
        <w:pStyle w:val="FootnoteText"/>
      </w:pPr>
      <w:r>
        <w:rPr>
          <w:rStyle w:val="FootnoteReference"/>
        </w:rPr>
        <w:footnoteRef/>
      </w:r>
      <w:r>
        <w:t xml:space="preserve"> </w:t>
      </w:r>
      <w:r w:rsidRPr="00DB18ED">
        <w:rPr>
          <w:i/>
        </w:rPr>
        <w:t>Request for the inclusion of an item in the provisional agenda of the seventy-first session, Request for an advisory opinion of the International Court of Justice on the legal consequences of the separation of the Chagos Archipelago from Mauritius in 1965</w:t>
      </w:r>
      <w:r>
        <w:t>, Letter dated 14 July 2016 from the Permanent Representative of Mauritius to the United Nations addressed to the Secretary-General, A/71/142, 14 July 2016.</w:t>
      </w:r>
    </w:p>
  </w:footnote>
  <w:footnote w:id="99">
    <w:p w14:paraId="42E4111A" w14:textId="77777777" w:rsidR="001016BA" w:rsidRPr="00667AA2" w:rsidRDefault="001016BA">
      <w:pPr>
        <w:pStyle w:val="FootnoteText"/>
      </w:pPr>
      <w:r>
        <w:rPr>
          <w:rStyle w:val="FootnoteReference"/>
        </w:rPr>
        <w:footnoteRef/>
      </w:r>
      <w:r>
        <w:t xml:space="preserve"> Consideration was given to the inclusion of a provision in the </w:t>
      </w:r>
      <w:r w:rsidRPr="00667AA2">
        <w:rPr>
          <w:i/>
        </w:rPr>
        <w:t xml:space="preserve">Relationship Agreement between the United Nations </w:t>
      </w:r>
      <w:r>
        <w:rPr>
          <w:i/>
        </w:rPr>
        <w:t>and the International Criminal C</w:t>
      </w:r>
      <w:r w:rsidRPr="00667AA2">
        <w:rPr>
          <w:i/>
        </w:rPr>
        <w:t>ourt</w:t>
      </w:r>
      <w:r>
        <w:t xml:space="preserve"> to allow for any dispute as to interpretation to be settled by way of advisory opinion via the General Assembly, Paul C Szasz &amp; Thordis Ingadottir, ‘The UN and the ICC:  The Immunity of the UN and Its Officials’, 14 </w:t>
      </w:r>
      <w:r>
        <w:rPr>
          <w:i/>
        </w:rPr>
        <w:t>Leiden Journal of International Law</w:t>
      </w:r>
      <w:r>
        <w:t xml:space="preserve"> (2001) 867 – 885, 884-885.</w:t>
      </w:r>
    </w:p>
  </w:footnote>
  <w:footnote w:id="100">
    <w:p w14:paraId="4270F2A7" w14:textId="0D139C7E" w:rsidR="001016BA" w:rsidRDefault="001016BA">
      <w:pPr>
        <w:pStyle w:val="FootnoteText"/>
      </w:pPr>
      <w:r>
        <w:rPr>
          <w:rStyle w:val="FootnoteReference"/>
        </w:rPr>
        <w:footnoteRef/>
      </w:r>
      <w:r>
        <w:t xml:space="preserve"> eg Elihu Lauterpacht ‘Judicial Review of the acts of International Organisations’ in Boisson de Chazournes and Sands (n56) 95–96.</w:t>
      </w:r>
    </w:p>
  </w:footnote>
  <w:footnote w:id="101">
    <w:p w14:paraId="2F8BB4A2" w14:textId="77777777" w:rsidR="001016BA" w:rsidRDefault="001016BA" w:rsidP="000F0F53">
      <w:pPr>
        <w:pStyle w:val="FootnoteText"/>
      </w:pPr>
      <w:r>
        <w:rPr>
          <w:rStyle w:val="FootnoteReference"/>
        </w:rPr>
        <w:footnoteRef/>
      </w:r>
      <w:r>
        <w:t xml:space="preserve"> eg  Appellate Body of the World Trade Organization.</w:t>
      </w:r>
    </w:p>
  </w:footnote>
  <w:footnote w:id="102">
    <w:p w14:paraId="1D9D6885" w14:textId="77777777" w:rsidR="001016BA" w:rsidRDefault="001016BA" w:rsidP="000F0F53">
      <w:pPr>
        <w:pStyle w:val="FootnoteText"/>
      </w:pPr>
      <w:r>
        <w:rPr>
          <w:rStyle w:val="FootnoteReference"/>
        </w:rPr>
        <w:footnoteRef/>
      </w:r>
      <w:r>
        <w:t xml:space="preserve"> Speech by His Excellency Judge Gilbert Guillaume, President of the International Court of Justice, to the Sixth Committee of the General Assembly of the United Nations, 27 October 2000, ‘The proliferation of international judicial bodies:  the outlook for the international legal order’.</w:t>
      </w:r>
      <w:r w:rsidRPr="007C3B57">
        <w:t xml:space="preserve"> </w:t>
      </w:r>
      <w:hyperlink r:id="rId12" w:history="1">
        <w:r w:rsidRPr="00A43B31">
          <w:rPr>
            <w:rStyle w:val="Hyperlink"/>
          </w:rPr>
          <w:t>http://www.icj-cij.org/files/press-releases/1/3001.pdf</w:t>
        </w:r>
      </w:hyperlink>
      <w:r>
        <w:t xml:space="preserve">. </w:t>
      </w:r>
    </w:p>
  </w:footnote>
  <w:footnote w:id="103">
    <w:p w14:paraId="0219D334" w14:textId="77777777" w:rsidR="001016BA" w:rsidRDefault="001016BA">
      <w:pPr>
        <w:pStyle w:val="FootnoteText"/>
      </w:pPr>
      <w:r>
        <w:rPr>
          <w:rStyle w:val="FootnoteReference"/>
        </w:rPr>
        <w:footnoteRef/>
      </w:r>
      <w:r>
        <w:t xml:space="preserve"> 1598</w:t>
      </w:r>
      <w:r w:rsidRPr="007869F2">
        <w:rPr>
          <w:vertAlign w:val="superscript"/>
        </w:rPr>
        <w:t>th</w:t>
      </w:r>
      <w:r>
        <w:t xml:space="preserve"> meeting of the Security Council, S/PV 1598 20.10.71, 4, para.29.</w:t>
      </w:r>
    </w:p>
  </w:footnote>
  <w:footnote w:id="104">
    <w:p w14:paraId="4B99A59C" w14:textId="17C209F4" w:rsidR="001016BA" w:rsidRPr="00081CCC" w:rsidRDefault="001016BA" w:rsidP="00537881">
      <w:pPr>
        <w:pStyle w:val="FootnoteText"/>
        <w:rPr>
          <w:lang w:val="fr-FR"/>
        </w:rPr>
      </w:pPr>
      <w:r>
        <w:rPr>
          <w:rStyle w:val="FootnoteReference"/>
        </w:rPr>
        <w:footnoteRef/>
      </w:r>
      <w:r w:rsidRPr="00081CCC">
        <w:rPr>
          <w:lang w:val="fr-FR"/>
        </w:rPr>
        <w:t xml:space="preserve"> Statute (n1), Article 69.</w:t>
      </w:r>
    </w:p>
  </w:footnote>
  <w:footnote w:id="105">
    <w:p w14:paraId="607324C4" w14:textId="2B167163" w:rsidR="001016BA" w:rsidRPr="00081CCC" w:rsidRDefault="001016BA" w:rsidP="00537881">
      <w:pPr>
        <w:pStyle w:val="FootnoteText"/>
        <w:rPr>
          <w:lang w:val="fr-FR"/>
        </w:rPr>
      </w:pPr>
      <w:r>
        <w:rPr>
          <w:rStyle w:val="FootnoteReference"/>
        </w:rPr>
        <w:footnoteRef/>
      </w:r>
      <w:r w:rsidRPr="00081CCC">
        <w:rPr>
          <w:lang w:val="fr-FR"/>
        </w:rPr>
        <w:t xml:space="preserve"> Charter (n1) Article 108.</w:t>
      </w:r>
    </w:p>
  </w:footnote>
  <w:footnote w:id="106">
    <w:p w14:paraId="3C565DE7" w14:textId="3034E99F" w:rsidR="001016BA" w:rsidRDefault="001016BA" w:rsidP="00537881">
      <w:pPr>
        <w:pStyle w:val="FootnoteText"/>
      </w:pPr>
      <w:r>
        <w:rPr>
          <w:rStyle w:val="FootnoteReference"/>
        </w:rPr>
        <w:footnoteRef/>
      </w:r>
      <w:r>
        <w:t xml:space="preserve"> Article 69 Statute and Articles 108 and 109 Charter and see </w:t>
      </w:r>
      <w:r w:rsidRPr="00204443">
        <w:rPr>
          <w:i/>
        </w:rPr>
        <w:t>International Court of Justice, Charter of the United Nations, Introductory Note</w:t>
      </w:r>
      <w:r>
        <w:t xml:space="preserve">, paras. 2-4 </w:t>
      </w:r>
      <w:hyperlink r:id="rId13" w:history="1">
        <w:r w:rsidRPr="00A43B31">
          <w:rPr>
            <w:rStyle w:val="Hyperlink"/>
          </w:rPr>
          <w:t>http://www.icj-cij.org/en/charter-of-the-united-nations</w:t>
        </w:r>
      </w:hyperlink>
      <w:r>
        <w:t xml:space="preserve">. </w:t>
      </w:r>
    </w:p>
  </w:footnote>
  <w:footnote w:id="107">
    <w:p w14:paraId="585D3392" w14:textId="77777777" w:rsidR="001016BA" w:rsidRPr="007C796C" w:rsidRDefault="001016BA" w:rsidP="00537881">
      <w:pPr>
        <w:pStyle w:val="FootnoteText"/>
      </w:pPr>
      <w:r>
        <w:rPr>
          <w:rStyle w:val="FootnoteReference"/>
        </w:rPr>
        <w:footnoteRef/>
      </w:r>
      <w:r>
        <w:t xml:space="preserve"> </w:t>
      </w:r>
      <w:r w:rsidRPr="004B3230">
        <w:rPr>
          <w:i/>
        </w:rPr>
        <w:t>Ibid</w:t>
      </w:r>
      <w:r>
        <w:t xml:space="preserve">., </w:t>
      </w:r>
      <w:r w:rsidRPr="00204443">
        <w:rPr>
          <w:i/>
        </w:rPr>
        <w:t>Introductory Note</w:t>
      </w:r>
      <w:r>
        <w:rPr>
          <w:i/>
        </w:rPr>
        <w:t>.</w:t>
      </w:r>
    </w:p>
  </w:footnote>
  <w:footnote w:id="108">
    <w:p w14:paraId="0A903AEA" w14:textId="77777777" w:rsidR="001016BA" w:rsidRDefault="001016BA" w:rsidP="00537881">
      <w:pPr>
        <w:pStyle w:val="FootnoteText"/>
      </w:pPr>
      <w:r>
        <w:rPr>
          <w:rStyle w:val="FootnoteReference"/>
        </w:rPr>
        <w:footnoteRef/>
      </w:r>
      <w:r>
        <w:t xml:space="preserve"> On 31 December 2014.</w:t>
      </w:r>
    </w:p>
  </w:footnote>
  <w:footnote w:id="109">
    <w:p w14:paraId="22A8AE2C" w14:textId="124D131D" w:rsidR="001016BA" w:rsidRDefault="001016BA" w:rsidP="00EE78CB">
      <w:pPr>
        <w:pStyle w:val="FootnoteText"/>
      </w:pPr>
      <w:r>
        <w:rPr>
          <w:rStyle w:val="FootnoteReference"/>
        </w:rPr>
        <w:footnoteRef/>
      </w:r>
      <w:r>
        <w:t xml:space="preserve"> </w:t>
      </w:r>
      <w:r>
        <w:rPr>
          <w:i/>
        </w:rPr>
        <w:t>ILOAT</w:t>
      </w:r>
      <w:r>
        <w:t xml:space="preserve"> (n2) 25, para.35.</w:t>
      </w:r>
    </w:p>
  </w:footnote>
  <w:footnote w:id="110">
    <w:p w14:paraId="3C2E82E2" w14:textId="77777777" w:rsidR="001016BA" w:rsidRDefault="001016BA" w:rsidP="00EE78CB">
      <w:pPr>
        <w:pStyle w:val="FootnoteText"/>
      </w:pPr>
      <w:r>
        <w:rPr>
          <w:rStyle w:val="FootnoteReference"/>
        </w:rPr>
        <w:footnoteRef/>
      </w:r>
      <w:r>
        <w:t xml:space="preserve"> </w:t>
      </w:r>
      <w:r w:rsidRPr="00DA22D9">
        <w:rPr>
          <w:i/>
        </w:rPr>
        <w:t>Judgements of the Administrative Tribunal of the ILO upon complaints made against the UNESCO</w:t>
      </w:r>
      <w:r>
        <w:t>, Advisory Opinion of October 23</w:t>
      </w:r>
      <w:r w:rsidRPr="009114AD">
        <w:rPr>
          <w:vertAlign w:val="superscript"/>
        </w:rPr>
        <w:t>rd</w:t>
      </w:r>
      <w:r>
        <w:t xml:space="preserve">, 1956, p77; </w:t>
      </w:r>
      <w:r w:rsidRPr="00DA22D9">
        <w:rPr>
          <w:i/>
        </w:rPr>
        <w:t>Application for Review of Judgement No. 158 of the United Nations Administrative Tribunal</w:t>
      </w:r>
      <w:r>
        <w:t xml:space="preserve">, Advisory Opinion, ICJ Reports 1973, p166; </w:t>
      </w:r>
      <w:r w:rsidRPr="00DA22D9">
        <w:rPr>
          <w:i/>
        </w:rPr>
        <w:t>Application</w:t>
      </w:r>
      <w:r>
        <w:rPr>
          <w:i/>
        </w:rPr>
        <w:t xml:space="preserve"> for Review of Judgement No. 273</w:t>
      </w:r>
      <w:r w:rsidRPr="00DA22D9">
        <w:rPr>
          <w:i/>
        </w:rPr>
        <w:t xml:space="preserve"> of the United Nations Administrative Tribunal</w:t>
      </w:r>
      <w:r>
        <w:t xml:space="preserve">, Advisory Opinion, ICJ Reports 1982, p325 and </w:t>
      </w:r>
      <w:r w:rsidRPr="00DA22D9">
        <w:rPr>
          <w:i/>
        </w:rPr>
        <w:t>Application</w:t>
      </w:r>
      <w:r>
        <w:rPr>
          <w:i/>
        </w:rPr>
        <w:t xml:space="preserve"> for Review of Judgement No. 333</w:t>
      </w:r>
      <w:r w:rsidRPr="00DA22D9">
        <w:rPr>
          <w:i/>
        </w:rPr>
        <w:t xml:space="preserve"> of the United Nations Administrative Tribunal</w:t>
      </w:r>
      <w:r>
        <w:t>, Advisory Opinion, ICJ Reports 1987, p18.</w:t>
      </w:r>
    </w:p>
  </w:footnote>
  <w:footnote w:id="111">
    <w:p w14:paraId="5F5FFB15" w14:textId="77777777" w:rsidR="001016BA" w:rsidRDefault="001016BA" w:rsidP="00EE78CB">
      <w:pPr>
        <w:pStyle w:val="FootnoteText"/>
      </w:pPr>
      <w:r>
        <w:rPr>
          <w:rStyle w:val="FootnoteReference"/>
        </w:rPr>
        <w:footnoteRef/>
      </w:r>
      <w:r>
        <w:t xml:space="preserve"> General Assembly resolution 50/54 of 11 December 1995, preamble.</w:t>
      </w:r>
    </w:p>
  </w:footnote>
  <w:footnote w:id="112">
    <w:p w14:paraId="5325E6C2" w14:textId="5D410D3E" w:rsidR="001016BA" w:rsidRDefault="001016BA" w:rsidP="00EE78CB">
      <w:pPr>
        <w:pStyle w:val="FootnoteText"/>
      </w:pPr>
      <w:r>
        <w:rPr>
          <w:rStyle w:val="FootnoteReference"/>
        </w:rPr>
        <w:footnoteRef/>
      </w:r>
      <w:r>
        <w:rPr>
          <w:i/>
        </w:rPr>
        <w:t>ILOAT</w:t>
      </w:r>
      <w:r>
        <w:t xml:space="preserve"> (n2) 18, para.10.</w:t>
      </w:r>
    </w:p>
  </w:footnote>
  <w:footnote w:id="113">
    <w:p w14:paraId="7012760B" w14:textId="77777777" w:rsidR="001016BA" w:rsidRPr="00F53DE9" w:rsidRDefault="001016BA" w:rsidP="00EE78CB">
      <w:pPr>
        <w:pStyle w:val="FootnoteText"/>
        <w:rPr>
          <w:rFonts w:cstheme="minorHAnsi"/>
        </w:rPr>
      </w:pPr>
      <w:r>
        <w:rPr>
          <w:rStyle w:val="FootnoteReference"/>
        </w:rPr>
        <w:footnoteRef/>
      </w:r>
      <w:r>
        <w:t xml:space="preserve"> </w:t>
      </w:r>
      <w:r w:rsidRPr="003148C1">
        <w:rPr>
          <w:i/>
        </w:rPr>
        <w:t>Ibid</w:t>
      </w:r>
      <w:r>
        <w:t>.30, para.45</w:t>
      </w:r>
      <w:r>
        <w:rPr>
          <w:rFonts w:cstheme="minorHAnsi"/>
        </w:rPr>
        <w:t>.</w:t>
      </w:r>
    </w:p>
  </w:footnote>
  <w:footnote w:id="114">
    <w:p w14:paraId="0F477CDC" w14:textId="77777777" w:rsidR="001016BA" w:rsidRDefault="001016BA" w:rsidP="00EE78CB">
      <w:pPr>
        <w:pStyle w:val="FootnoteText"/>
      </w:pPr>
      <w:r>
        <w:rPr>
          <w:rStyle w:val="FootnoteReference"/>
        </w:rPr>
        <w:footnoteRef/>
      </w:r>
      <w:r>
        <w:t xml:space="preserve"> </w:t>
      </w:r>
      <w:r w:rsidRPr="003148C1">
        <w:rPr>
          <w:i/>
        </w:rPr>
        <w:t>Ibid</w:t>
      </w:r>
      <w:r>
        <w:t>.30, para.47.</w:t>
      </w:r>
    </w:p>
  </w:footnote>
  <w:footnote w:id="115">
    <w:p w14:paraId="448DB6F3" w14:textId="77777777" w:rsidR="001016BA" w:rsidRPr="00DA228D" w:rsidRDefault="001016BA" w:rsidP="00EE78CB">
      <w:pPr>
        <w:pStyle w:val="FootnoteText"/>
        <w:rPr>
          <w:rFonts w:cstheme="minorHAnsi"/>
        </w:rPr>
      </w:pPr>
      <w:r>
        <w:rPr>
          <w:rStyle w:val="FootnoteReference"/>
        </w:rPr>
        <w:footnoteRef/>
      </w:r>
      <w:r>
        <w:t xml:space="preserve"> The involvement of non-state entities in the </w:t>
      </w:r>
      <w:r w:rsidRPr="00A95D71">
        <w:rPr>
          <w:i/>
        </w:rPr>
        <w:t>Kosovo</w:t>
      </w:r>
      <w:r>
        <w:t xml:space="preserve"> and </w:t>
      </w:r>
      <w:r w:rsidRPr="00A95D71">
        <w:rPr>
          <w:i/>
        </w:rPr>
        <w:t>Wall</w:t>
      </w:r>
      <w:r>
        <w:t xml:space="preserve"> proceedings was dealt with informally but the situations are not analogous, state/state relations are conducive to a more flexible </w:t>
      </w:r>
      <w:r>
        <w:rPr>
          <w:rFonts w:cstheme="minorHAnsi"/>
        </w:rPr>
        <w:t xml:space="preserve">approach than individual/state </w:t>
      </w:r>
      <w:r w:rsidRPr="00DA228D">
        <w:rPr>
          <w:rFonts w:cstheme="minorHAnsi"/>
        </w:rPr>
        <w:t>interactions.</w:t>
      </w:r>
    </w:p>
  </w:footnote>
  <w:footnote w:id="116">
    <w:p w14:paraId="0BB05682" w14:textId="7D2BE20C" w:rsidR="001016BA" w:rsidRDefault="001016BA" w:rsidP="00EE78CB">
      <w:pPr>
        <w:pStyle w:val="FootnoteText"/>
      </w:pPr>
      <w:r>
        <w:rPr>
          <w:rStyle w:val="FootnoteReference"/>
        </w:rPr>
        <w:footnoteRef/>
      </w:r>
      <w:r>
        <w:t xml:space="preserve"> </w:t>
      </w:r>
      <w:r>
        <w:rPr>
          <w:i/>
        </w:rPr>
        <w:t>ILOAT</w:t>
      </w:r>
      <w:r>
        <w:t xml:space="preserve"> (n2) 31, para.48.</w:t>
      </w:r>
    </w:p>
  </w:footnote>
  <w:footnote w:id="117">
    <w:p w14:paraId="06F35E9F" w14:textId="39F5F790" w:rsidR="001016BA" w:rsidRPr="00DA228D" w:rsidRDefault="001016BA" w:rsidP="00EE78CB">
      <w:pPr>
        <w:pStyle w:val="FootnoteText"/>
        <w:rPr>
          <w:rFonts w:cstheme="minorHAnsi"/>
        </w:rPr>
      </w:pPr>
      <w:r w:rsidRPr="00DA228D">
        <w:rPr>
          <w:rStyle w:val="FootnoteReference"/>
          <w:rFonts w:cstheme="minorHAnsi"/>
        </w:rPr>
        <w:footnoteRef/>
      </w:r>
      <w:r w:rsidRPr="00DA228D">
        <w:rPr>
          <w:rFonts w:cstheme="minorHAnsi"/>
        </w:rPr>
        <w:t xml:space="preserve"> </w:t>
      </w:r>
      <w:r>
        <w:rPr>
          <w:rFonts w:cstheme="minorHAnsi"/>
        </w:rPr>
        <w:t>Rosalyn Higgins et al.</w:t>
      </w:r>
      <w:r w:rsidR="007862F9">
        <w:rPr>
          <w:rFonts w:cstheme="minorHAnsi"/>
        </w:rPr>
        <w:t>,</w:t>
      </w:r>
      <w:r>
        <w:rPr>
          <w:rFonts w:cstheme="minorHAnsi"/>
        </w:rPr>
        <w:t xml:space="preserve"> </w:t>
      </w:r>
      <w:r>
        <w:rPr>
          <w:rFonts w:cstheme="minorHAnsi"/>
          <w:i/>
        </w:rPr>
        <w:t xml:space="preserve">Oppenheim’s International Law United Nations Volume II (Oxford University Press, Oxford 2017) 1167, para. 29.114. </w:t>
      </w:r>
      <w:r w:rsidRPr="00DA228D">
        <w:rPr>
          <w:rFonts w:cstheme="minorHAnsi"/>
        </w:rPr>
        <w:t>The opportunity c</w:t>
      </w:r>
      <w:r>
        <w:rPr>
          <w:rFonts w:cstheme="minorHAnsi"/>
        </w:rPr>
        <w:t>an now</w:t>
      </w:r>
      <w:r w:rsidRPr="00DA228D">
        <w:rPr>
          <w:rFonts w:cstheme="minorHAnsi"/>
        </w:rPr>
        <w:t xml:space="preserve">  be taken to equalise the position of individual </w:t>
      </w:r>
      <w:r w:rsidRPr="00DA228D">
        <w:rPr>
          <w:rFonts w:cstheme="minorHAnsi"/>
          <w:i/>
        </w:rPr>
        <w:t>vis-à-vis</w:t>
      </w:r>
      <w:r w:rsidRPr="00DA228D">
        <w:rPr>
          <w:rFonts w:cstheme="minorHAnsi"/>
        </w:rPr>
        <w:t xml:space="preserve"> organisation.  </w:t>
      </w:r>
    </w:p>
  </w:footnote>
  <w:footnote w:id="118">
    <w:p w14:paraId="069E2EAB" w14:textId="77777777" w:rsidR="001016BA" w:rsidRDefault="001016BA">
      <w:pPr>
        <w:pStyle w:val="FootnoteText"/>
      </w:pPr>
      <w:r>
        <w:rPr>
          <w:rStyle w:val="FootnoteReference"/>
        </w:rPr>
        <w:footnoteRef/>
      </w:r>
      <w:r>
        <w:t xml:space="preserve"> A/47/277,S/24111, 17 June 1992, 11, para.38.</w:t>
      </w:r>
    </w:p>
  </w:footnote>
  <w:footnote w:id="119">
    <w:p w14:paraId="7D70FFED" w14:textId="77777777" w:rsidR="001016BA" w:rsidRPr="0050221F" w:rsidRDefault="001016BA">
      <w:pPr>
        <w:pStyle w:val="FootnoteText"/>
      </w:pPr>
      <w:r>
        <w:rPr>
          <w:rStyle w:val="FootnoteReference"/>
        </w:rPr>
        <w:footnoteRef/>
      </w:r>
      <w:r>
        <w:t xml:space="preserve"> </w:t>
      </w:r>
      <w:r w:rsidRPr="0050221F">
        <w:rPr>
          <w:i/>
        </w:rPr>
        <w:t>Ibid</w:t>
      </w:r>
      <w:r w:rsidRPr="0050221F">
        <w:t>. and calling on the Security Council to encourage States to do so by means of its powers in Articles 36 and 37 Charter.</w:t>
      </w:r>
    </w:p>
  </w:footnote>
  <w:footnote w:id="120">
    <w:p w14:paraId="5A8B8F8D" w14:textId="10AF415D" w:rsidR="001016BA" w:rsidRPr="0050221F" w:rsidRDefault="001016BA">
      <w:pPr>
        <w:pStyle w:val="FootnoteText"/>
      </w:pPr>
      <w:r w:rsidRPr="0050221F">
        <w:rPr>
          <w:rStyle w:val="FootnoteReference"/>
        </w:rPr>
        <w:footnoteRef/>
      </w:r>
      <w:r w:rsidRPr="0050221F">
        <w:t xml:space="preserve"> </w:t>
      </w:r>
      <w:r w:rsidRPr="0050221F">
        <w:rPr>
          <w:i/>
        </w:rPr>
        <w:t>Ibid</w:t>
      </w:r>
      <w:r w:rsidRPr="0050221F">
        <w:t>.</w:t>
      </w:r>
    </w:p>
  </w:footnote>
  <w:footnote w:id="121">
    <w:p w14:paraId="731734EF" w14:textId="77777777" w:rsidR="001016BA" w:rsidRPr="00906763" w:rsidRDefault="001016BA">
      <w:pPr>
        <w:pStyle w:val="FootnoteText"/>
      </w:pPr>
      <w:r>
        <w:rPr>
          <w:rStyle w:val="FootnoteReference"/>
        </w:rPr>
        <w:footnoteRef/>
      </w:r>
      <w:r>
        <w:t xml:space="preserve"> Regarding advisory opinions Dapo Akande notes that in the last 2 decades the Court received only 4 requests for an advisory opinion (of a total of 26 requests  in its first 70 years) but this was also the case in the 20 year period from 1960 to 1979. ‘Selection of the International Court of Justice as a Forum for Contentious and Advisory Proceedings (Including Jurisdiction)’ 7 </w:t>
      </w:r>
      <w:r>
        <w:rPr>
          <w:i/>
        </w:rPr>
        <w:t>Journal of International Dispute Settlement</w:t>
      </w:r>
      <w:r>
        <w:t xml:space="preserve"> (2016) 320 -344, 339.  This may therefore be cyclical rather than a downward trend.</w:t>
      </w:r>
    </w:p>
  </w:footnote>
  <w:footnote w:id="122">
    <w:p w14:paraId="5C56AF2E" w14:textId="77777777" w:rsidR="001016BA" w:rsidRDefault="001016BA">
      <w:pPr>
        <w:pStyle w:val="FootnoteText"/>
      </w:pPr>
      <w:r>
        <w:rPr>
          <w:rStyle w:val="FootnoteReference"/>
        </w:rPr>
        <w:footnoteRef/>
      </w:r>
      <w:r>
        <w:t xml:space="preserve"> Judge Ronny Abraham ‘Presentation of the International Court of Justice’ 7 </w:t>
      </w:r>
      <w:r>
        <w:rPr>
          <w:i/>
        </w:rPr>
        <w:t>Journal of International Dispute Settlement</w:t>
      </w:r>
      <w:r>
        <w:t xml:space="preserve"> (2016) 297–307, 300.</w:t>
      </w:r>
    </w:p>
  </w:footnote>
  <w:footnote w:id="123">
    <w:p w14:paraId="048B6962" w14:textId="77777777" w:rsidR="001016BA" w:rsidRPr="00390DEB" w:rsidRDefault="001016BA">
      <w:pPr>
        <w:pStyle w:val="FootnoteText"/>
        <w:rPr>
          <w:i/>
        </w:rPr>
      </w:pPr>
      <w:r>
        <w:rPr>
          <w:rStyle w:val="FootnoteReference"/>
        </w:rPr>
        <w:footnoteRef/>
      </w:r>
      <w:r>
        <w:t xml:space="preserve"> eg seeking an advisory opinion on the </w:t>
      </w:r>
      <w:r w:rsidRPr="00E14115">
        <w:rPr>
          <w:i/>
        </w:rPr>
        <w:t>Reparations</w:t>
      </w:r>
      <w:r>
        <w:t xml:space="preserve"> matter (</w:t>
      </w:r>
      <w:r w:rsidRPr="00E14115">
        <w:rPr>
          <w:i/>
        </w:rPr>
        <w:t>Reparation for Injuries suffered in the service of the United Nations</w:t>
      </w:r>
      <w:r>
        <w:t xml:space="preserve">, Advisory Opinion, ICJ Reports 1949, p174) was one of three possible options, Antonio Cassese, </w:t>
      </w:r>
      <w:r>
        <w:rPr>
          <w:i/>
        </w:rPr>
        <w:t>International Law in a Divided World</w:t>
      </w:r>
      <w:r>
        <w:t xml:space="preserve"> (Oxford University Press Inc., New York 1986), 87 referring to </w:t>
      </w:r>
      <w:r>
        <w:rPr>
          <w:i/>
        </w:rPr>
        <w:t>Yearbook of the UN 1948–</w:t>
      </w:r>
      <w:r w:rsidRPr="00812540">
        <w:rPr>
          <w:i/>
        </w:rPr>
        <w:t>49</w:t>
      </w:r>
      <w:r>
        <w:t>, 936.</w:t>
      </w:r>
    </w:p>
  </w:footnote>
  <w:footnote w:id="124">
    <w:p w14:paraId="571736D0" w14:textId="0D99A237" w:rsidR="001016BA" w:rsidRDefault="001016BA">
      <w:pPr>
        <w:pStyle w:val="FootnoteText"/>
      </w:pPr>
      <w:r>
        <w:rPr>
          <w:rStyle w:val="FootnoteReference"/>
        </w:rPr>
        <w:footnoteRef/>
      </w:r>
      <w:r>
        <w:t xml:space="preserve"> </w:t>
      </w:r>
      <w:r w:rsidRPr="00C134E1">
        <w:rPr>
          <w:i/>
        </w:rPr>
        <w:t>Contributions received for 2017 for the United Nations Regular Budget</w:t>
      </w:r>
      <w:r>
        <w:t xml:space="preserve"> </w:t>
      </w:r>
      <w:hyperlink r:id="rId14" w:history="1">
        <w:r w:rsidRPr="00624D76">
          <w:rPr>
            <w:rStyle w:val="Hyperlink"/>
          </w:rPr>
          <w:t>http://www.un.org/en/ga/contributions/honourroll.shtml</w:t>
        </w:r>
      </w:hyperlink>
      <w:r>
        <w:t xml:space="preserve">. </w:t>
      </w:r>
    </w:p>
  </w:footnote>
  <w:footnote w:id="125">
    <w:p w14:paraId="5AC3A6BB" w14:textId="77777777" w:rsidR="001016BA" w:rsidRDefault="001016BA" w:rsidP="00C134E1">
      <w:pPr>
        <w:pStyle w:val="FootnoteText"/>
      </w:pPr>
      <w:r>
        <w:rPr>
          <w:rStyle w:val="FootnoteReference"/>
        </w:rPr>
        <w:footnoteRef/>
      </w:r>
      <w:r>
        <w:t xml:space="preserve"> </w:t>
      </w:r>
      <w:r w:rsidRPr="003E5B78">
        <w:rPr>
          <w:i/>
        </w:rPr>
        <w:t>Report of the International Court of Justice 1 August 201</w:t>
      </w:r>
      <w:r>
        <w:rPr>
          <w:i/>
        </w:rPr>
        <w:t>6</w:t>
      </w:r>
      <w:r w:rsidRPr="003E5B78">
        <w:rPr>
          <w:i/>
        </w:rPr>
        <w:t xml:space="preserve"> – 31 July 201</w:t>
      </w:r>
      <w:r>
        <w:rPr>
          <w:i/>
        </w:rPr>
        <w:t>7</w:t>
      </w:r>
      <w:r>
        <w:t xml:space="preserve">, A/72/4, 10-11, see para 27, Supplementary Budget </w:t>
      </w:r>
      <w:r w:rsidRPr="00C134E1">
        <w:rPr>
          <w:i/>
        </w:rPr>
        <w:t>Chagos</w:t>
      </w:r>
      <w:r>
        <w:t>.</w:t>
      </w:r>
    </w:p>
  </w:footnote>
  <w:footnote w:id="126">
    <w:p w14:paraId="45C670F4" w14:textId="31A132E5" w:rsidR="001016BA" w:rsidRPr="00C01B45" w:rsidRDefault="001016BA" w:rsidP="009F3002">
      <w:pPr>
        <w:autoSpaceDE w:val="0"/>
        <w:autoSpaceDN w:val="0"/>
        <w:adjustRightInd w:val="0"/>
        <w:spacing w:after="0"/>
        <w:rPr>
          <w:rFonts w:cstheme="minorHAnsi"/>
          <w:sz w:val="20"/>
          <w:szCs w:val="20"/>
        </w:rPr>
      </w:pPr>
      <w:r>
        <w:rPr>
          <w:rStyle w:val="FootnoteReference"/>
        </w:rPr>
        <w:footnoteRef/>
      </w:r>
      <w:r>
        <w:t xml:space="preserve"> </w:t>
      </w:r>
      <w:r w:rsidRPr="00FE5809">
        <w:rPr>
          <w:sz w:val="20"/>
          <w:szCs w:val="20"/>
        </w:rPr>
        <w:t>Press Release ECHR</w:t>
      </w:r>
      <w:r>
        <w:rPr>
          <w:sz w:val="20"/>
          <w:szCs w:val="20"/>
        </w:rPr>
        <w:t xml:space="preserve"> </w:t>
      </w:r>
      <w:r w:rsidRPr="00FE5809">
        <w:rPr>
          <w:sz w:val="20"/>
          <w:szCs w:val="20"/>
        </w:rPr>
        <w:t>460 (n63)</w:t>
      </w:r>
      <w:r>
        <w:rPr>
          <w:sz w:val="20"/>
          <w:szCs w:val="20"/>
        </w:rPr>
        <w:t>.</w:t>
      </w:r>
      <w:r>
        <w:rPr>
          <w:rFonts w:cstheme="minorHAnsi"/>
          <w:sz w:val="20"/>
          <w:szCs w:val="20"/>
        </w:rPr>
        <w:t xml:space="preserve"> </w:t>
      </w:r>
    </w:p>
  </w:footnote>
  <w:footnote w:id="127">
    <w:p w14:paraId="68E82BF0" w14:textId="15344B67" w:rsidR="001016BA" w:rsidRDefault="001016BA" w:rsidP="009F3002">
      <w:pPr>
        <w:pStyle w:val="FootnoteText"/>
      </w:pPr>
      <w:r>
        <w:rPr>
          <w:rStyle w:val="FootnoteReference"/>
        </w:rPr>
        <w:footnoteRef/>
      </w:r>
      <w:r>
        <w:t xml:space="preserve"> Arbitral Tribunal (n63) 215, para 547 B.</w:t>
      </w:r>
    </w:p>
  </w:footnote>
  <w:footnote w:id="128">
    <w:p w14:paraId="2DEA7439" w14:textId="6BA9CF81" w:rsidR="001016BA" w:rsidRDefault="001016BA" w:rsidP="009F3002">
      <w:pPr>
        <w:pStyle w:val="FootnoteText"/>
      </w:pPr>
      <w:r>
        <w:rPr>
          <w:rStyle w:val="FootnoteReference"/>
        </w:rPr>
        <w:footnoteRef/>
      </w:r>
      <w:r>
        <w:t xml:space="preserve">  </w:t>
      </w:r>
      <w:r w:rsidRPr="009F3002">
        <w:rPr>
          <w:i/>
        </w:rPr>
        <w:t>BIOT Written Statement</w:t>
      </w:r>
      <w:r>
        <w:t xml:space="preserve"> (n64) and </w:t>
      </w:r>
      <w:r w:rsidRPr="00E83E3A">
        <w:rPr>
          <w:i/>
        </w:rPr>
        <w:t>Mauritius threatens to take Chagos Islands row to UN court</w:t>
      </w:r>
      <w:r>
        <w:t xml:space="preserve">, The Guardian, 17 November2016, </w:t>
      </w:r>
      <w:hyperlink r:id="rId15" w:history="1">
        <w:r w:rsidRPr="007C6645">
          <w:rPr>
            <w:rStyle w:val="Hyperlink"/>
          </w:rPr>
          <w:t>https://www.theguardian.com/world/2016/nov/17/mauritius-threatens-to-take-chagos-islands-row-to-un-court</w:t>
        </w:r>
      </w:hyperlink>
      <w:r>
        <w:t>.</w:t>
      </w:r>
    </w:p>
  </w:footnote>
  <w:footnote w:id="129">
    <w:p w14:paraId="167986FA" w14:textId="2C271FC9" w:rsidR="001016BA" w:rsidRDefault="001016BA" w:rsidP="009F3002">
      <w:pPr>
        <w:pStyle w:val="FootnoteText"/>
      </w:pPr>
      <w:r>
        <w:rPr>
          <w:rStyle w:val="FootnoteReference"/>
        </w:rPr>
        <w:footnoteRef/>
      </w:r>
      <w:r>
        <w:t xml:space="preserve"> </w:t>
      </w:r>
      <w:r>
        <w:rPr>
          <w:i/>
        </w:rPr>
        <w:t xml:space="preserve">Mauritius letter </w:t>
      </w:r>
      <w:r>
        <w:t>(n98) Annex, Explanatory Memorandum, 2–3.</w:t>
      </w:r>
    </w:p>
  </w:footnote>
  <w:footnote w:id="130">
    <w:p w14:paraId="7A5D86AD" w14:textId="77777777" w:rsidR="001016BA" w:rsidRPr="00355F3F" w:rsidRDefault="001016BA">
      <w:pPr>
        <w:pStyle w:val="FootnoteText"/>
      </w:pPr>
      <w:r>
        <w:rPr>
          <w:rStyle w:val="FootnoteReference"/>
        </w:rPr>
        <w:footnoteRef/>
      </w:r>
      <w:r>
        <w:t xml:space="preserve"> Bruno Simma, ‘Mainstreaming Human Rights:  The Contribution of the International Court of Justice’ 3(1) </w:t>
      </w:r>
      <w:r>
        <w:rPr>
          <w:i/>
        </w:rPr>
        <w:t>Journal of International Dispute Settlement</w:t>
      </w:r>
      <w:r>
        <w:t xml:space="preserve"> (2012) 7–29, 29.</w:t>
      </w:r>
    </w:p>
  </w:footnote>
  <w:footnote w:id="131">
    <w:p w14:paraId="71049055" w14:textId="17BE3AEE" w:rsidR="001016BA" w:rsidRPr="00355F3F" w:rsidRDefault="001016BA">
      <w:pPr>
        <w:pStyle w:val="FootnoteText"/>
      </w:pPr>
      <w:r>
        <w:rPr>
          <w:rStyle w:val="FootnoteReference"/>
        </w:rPr>
        <w:footnoteRef/>
      </w:r>
      <w:r>
        <w:t xml:space="preserve"> </w:t>
      </w:r>
      <w:r>
        <w:rPr>
          <w:i/>
        </w:rPr>
        <w:t>Ibid</w:t>
      </w:r>
      <w:r>
        <w:t xml:space="preserve">.18, and see </w:t>
      </w:r>
      <w:r>
        <w:rPr>
          <w:i/>
        </w:rPr>
        <w:t>Nuclear Weapons</w:t>
      </w:r>
      <w:r>
        <w:t xml:space="preserve"> (n13) 226.</w:t>
      </w:r>
    </w:p>
  </w:footnote>
  <w:footnote w:id="132">
    <w:p w14:paraId="572205E3" w14:textId="77E7831D" w:rsidR="001016BA" w:rsidRDefault="001016BA">
      <w:pPr>
        <w:pStyle w:val="FootnoteText"/>
      </w:pPr>
      <w:r>
        <w:rPr>
          <w:rStyle w:val="FootnoteReference"/>
        </w:rPr>
        <w:footnoteRef/>
      </w:r>
      <w:r>
        <w:t xml:space="preserve"> </w:t>
      </w:r>
      <w:r w:rsidRPr="00390DEB">
        <w:rPr>
          <w:i/>
        </w:rPr>
        <w:t>Ibid</w:t>
      </w:r>
      <w:r>
        <w:t xml:space="preserve">. and see </w:t>
      </w:r>
      <w:r>
        <w:rPr>
          <w:i/>
        </w:rPr>
        <w:t xml:space="preserve">Wall </w:t>
      </w:r>
      <w:r>
        <w:t>(n30) eg, 179-180, paras.109-111 and 191-194, paras.134–137.</w:t>
      </w:r>
    </w:p>
  </w:footnote>
  <w:footnote w:id="133">
    <w:p w14:paraId="4F48BCCA" w14:textId="73FB3F01" w:rsidR="001016BA" w:rsidRDefault="001016BA">
      <w:pPr>
        <w:pStyle w:val="FootnoteText"/>
      </w:pPr>
      <w:r>
        <w:rPr>
          <w:rStyle w:val="FootnoteReference"/>
        </w:rPr>
        <w:footnoteRef/>
      </w:r>
      <w:r>
        <w:t xml:space="preserve"> Simma (n130) 27.</w:t>
      </w:r>
    </w:p>
  </w:footnote>
  <w:footnote w:id="134">
    <w:p w14:paraId="347F7DBB" w14:textId="77777777" w:rsidR="001016BA" w:rsidRPr="00085B24" w:rsidRDefault="001016BA">
      <w:pPr>
        <w:pStyle w:val="FootnoteText"/>
      </w:pPr>
      <w:r>
        <w:rPr>
          <w:rStyle w:val="FootnoteReference"/>
        </w:rPr>
        <w:footnoteRef/>
      </w:r>
      <w:r>
        <w:t xml:space="preserve"> </w:t>
      </w:r>
      <w:r>
        <w:rPr>
          <w:i/>
        </w:rPr>
        <w:t>Ibid.</w:t>
      </w:r>
      <w:r>
        <w:t>25, “traditional inter-state ‘reflexes’, jurisdictional straitjackets and procedural hurdles”.</w:t>
      </w:r>
    </w:p>
  </w:footnote>
  <w:footnote w:id="135">
    <w:p w14:paraId="1A073B70" w14:textId="08ACF32A" w:rsidR="001016BA" w:rsidRDefault="001016BA" w:rsidP="00A274C9">
      <w:pPr>
        <w:pStyle w:val="FootnoteText"/>
      </w:pPr>
      <w:r>
        <w:rPr>
          <w:rStyle w:val="FootnoteReference"/>
        </w:rPr>
        <w:footnoteRef/>
      </w:r>
      <w:r>
        <w:t xml:space="preserve"> Abraham (n122) 304.</w:t>
      </w:r>
    </w:p>
  </w:footnote>
  <w:footnote w:id="136">
    <w:p w14:paraId="227FFCA0" w14:textId="77777777" w:rsidR="001016BA" w:rsidRDefault="001016BA">
      <w:pPr>
        <w:pStyle w:val="FootnoteText"/>
      </w:pPr>
      <w:r>
        <w:rPr>
          <w:rStyle w:val="FootnoteReference"/>
        </w:rPr>
        <w:footnoteRef/>
      </w:r>
      <w:r>
        <w:t xml:space="preserve"> </w:t>
      </w:r>
      <w:r w:rsidRPr="00897797">
        <w:rPr>
          <w:i/>
        </w:rPr>
        <w:t>Ibid</w:t>
      </w:r>
      <w:r>
        <w:t>.</w:t>
      </w:r>
    </w:p>
  </w:footnote>
  <w:footnote w:id="137">
    <w:p w14:paraId="230B3DCC" w14:textId="77777777" w:rsidR="001016BA" w:rsidRPr="00024F5E" w:rsidRDefault="001016BA">
      <w:pPr>
        <w:pStyle w:val="FootnoteText"/>
      </w:pPr>
      <w:r>
        <w:rPr>
          <w:rStyle w:val="FootnoteReference"/>
        </w:rPr>
        <w:footnoteRef/>
      </w:r>
      <w:r>
        <w:t xml:space="preserve"> </w:t>
      </w:r>
      <w:r>
        <w:rPr>
          <w:i/>
        </w:rPr>
        <w:t>Ibid</w:t>
      </w:r>
      <w:r>
        <w:t>.301.</w:t>
      </w:r>
    </w:p>
  </w:footnote>
  <w:footnote w:id="138">
    <w:p w14:paraId="014E9361" w14:textId="77777777" w:rsidR="001016BA" w:rsidRPr="001419F0" w:rsidRDefault="001016BA">
      <w:pPr>
        <w:pStyle w:val="FootnoteText"/>
      </w:pPr>
      <w:r>
        <w:rPr>
          <w:rStyle w:val="FootnoteReference"/>
        </w:rPr>
        <w:footnoteRef/>
      </w:r>
      <w:r>
        <w:t xml:space="preserve"> Philippe Sands, ‘Climate Change and the Rule of Law:  Adjudicating the Future in International Law’ 28 </w:t>
      </w:r>
      <w:r>
        <w:rPr>
          <w:i/>
        </w:rPr>
        <w:t>Journal of Environmental Law</w:t>
      </w:r>
      <w:r>
        <w:t xml:space="preserve"> (2016) 19-35 (based on a lecture given on 17 September 2015).</w:t>
      </w:r>
    </w:p>
  </w:footnote>
  <w:footnote w:id="139">
    <w:p w14:paraId="3E78A2AA" w14:textId="77777777" w:rsidR="001016BA" w:rsidRPr="00255A6A" w:rsidRDefault="001016BA">
      <w:pPr>
        <w:pStyle w:val="FootnoteText"/>
      </w:pPr>
      <w:r>
        <w:rPr>
          <w:rStyle w:val="FootnoteReference"/>
        </w:rPr>
        <w:footnoteRef/>
      </w:r>
      <w:r>
        <w:t xml:space="preserve"> Statement by the Honourable Johnson Toribiong President of the Republic of Palau to the 66</w:t>
      </w:r>
      <w:r w:rsidRPr="00255A6A">
        <w:rPr>
          <w:vertAlign w:val="superscript"/>
        </w:rPr>
        <w:t>th</w:t>
      </w:r>
      <w:r>
        <w:t xml:space="preserve"> Regular Session of the United Nations General Assembly, 22 September 2011, 3, </w:t>
      </w:r>
      <w:hyperlink r:id="rId16" w:history="1">
        <w:r w:rsidRPr="007C6645">
          <w:rPr>
            <w:rStyle w:val="Hyperlink"/>
            <w:rFonts w:cstheme="minorHAnsi"/>
          </w:rPr>
          <w:t>https://gadebate.un.org/sites/default/files/gastatements/66/PW_en.pdf</w:t>
        </w:r>
      </w:hyperlink>
      <w:r>
        <w:rPr>
          <w:rFonts w:cstheme="minorHAnsi"/>
          <w:color w:val="000000"/>
        </w:rPr>
        <w:t>.</w:t>
      </w:r>
    </w:p>
  </w:footnote>
  <w:footnote w:id="140">
    <w:p w14:paraId="350536F7" w14:textId="6DF95803" w:rsidR="001016BA" w:rsidRDefault="001016BA">
      <w:pPr>
        <w:pStyle w:val="FootnoteText"/>
      </w:pPr>
      <w:r>
        <w:rPr>
          <w:rStyle w:val="FootnoteReference"/>
        </w:rPr>
        <w:footnoteRef/>
      </w:r>
      <w:r>
        <w:t xml:space="preserve"> Sands (n138) 19.</w:t>
      </w:r>
    </w:p>
  </w:footnote>
  <w:footnote w:id="141">
    <w:p w14:paraId="241A738E" w14:textId="77777777" w:rsidR="001016BA" w:rsidRPr="003D7004" w:rsidRDefault="001016BA">
      <w:pPr>
        <w:pStyle w:val="FootnoteText"/>
      </w:pPr>
      <w:r>
        <w:rPr>
          <w:rStyle w:val="FootnoteReference"/>
        </w:rPr>
        <w:footnoteRef/>
      </w:r>
      <w:r>
        <w:t xml:space="preserve"> </w:t>
      </w:r>
      <w:r>
        <w:rPr>
          <w:i/>
        </w:rPr>
        <w:t>Ibid</w:t>
      </w:r>
      <w:r>
        <w:t>.32-33.</w:t>
      </w:r>
    </w:p>
  </w:footnote>
  <w:footnote w:id="142">
    <w:p w14:paraId="25CFCF8D" w14:textId="77777777" w:rsidR="001016BA" w:rsidRPr="00DF43BA" w:rsidRDefault="001016BA">
      <w:pPr>
        <w:pStyle w:val="FootnoteText"/>
      </w:pPr>
      <w:r>
        <w:rPr>
          <w:rStyle w:val="FootnoteReference"/>
        </w:rPr>
        <w:footnoteRef/>
      </w:r>
      <w:r>
        <w:t xml:space="preserve"> International Tribunal for the Law of the Sea.  </w:t>
      </w:r>
      <w:r>
        <w:rPr>
          <w:i/>
        </w:rPr>
        <w:t>Ibid</w:t>
      </w:r>
      <w:r>
        <w:t>.25,</w:t>
      </w:r>
    </w:p>
  </w:footnote>
  <w:footnote w:id="143">
    <w:p w14:paraId="305A1A35" w14:textId="77777777" w:rsidR="001016BA" w:rsidRDefault="001016BA">
      <w:pPr>
        <w:pStyle w:val="FootnoteText"/>
      </w:pPr>
      <w:r>
        <w:rPr>
          <w:rStyle w:val="FootnoteReference"/>
        </w:rPr>
        <w:footnoteRef/>
      </w:r>
      <w:r>
        <w:t xml:space="preserve"> </w:t>
      </w:r>
      <w:r w:rsidRPr="00897797">
        <w:rPr>
          <w:i/>
        </w:rPr>
        <w:t>Ibid</w:t>
      </w:r>
      <w:r>
        <w:t xml:space="preserve">.29 and </w:t>
      </w:r>
      <w:r w:rsidRPr="007D2092">
        <w:rPr>
          <w:i/>
        </w:rPr>
        <w:t>(Australia v. Japan:  New Zealand intervening)</w:t>
      </w:r>
      <w:r>
        <w:t xml:space="preserve"> Judgement, ICJ Reports 2014, 226.</w:t>
      </w:r>
    </w:p>
  </w:footnote>
  <w:footnote w:id="144">
    <w:p w14:paraId="0BAC2FC2" w14:textId="77777777" w:rsidR="001016BA" w:rsidRDefault="001016BA">
      <w:pPr>
        <w:pStyle w:val="FootnoteText"/>
      </w:pPr>
      <w:r>
        <w:rPr>
          <w:rStyle w:val="FootnoteReference"/>
        </w:rPr>
        <w:footnoteRef/>
      </w:r>
      <w:r>
        <w:t xml:space="preserve"> FCCC/CP/2015/L.9/Rev.1, 12 December 2015. </w:t>
      </w:r>
      <w:hyperlink r:id="rId17" w:history="1">
        <w:r w:rsidRPr="00A43B31">
          <w:rPr>
            <w:rStyle w:val="Hyperlink"/>
          </w:rPr>
          <w:t>http://unfccc.int/files/essential_background/convention/application/pdf/english_paris_agreement.pdf</w:t>
        </w:r>
      </w:hyperlink>
      <w:r>
        <w:t xml:space="preserve">. </w:t>
      </w:r>
    </w:p>
  </w:footnote>
  <w:footnote w:id="145">
    <w:p w14:paraId="67B0EA69" w14:textId="77777777" w:rsidR="001016BA" w:rsidRDefault="001016BA">
      <w:pPr>
        <w:pStyle w:val="FootnoteText"/>
      </w:pPr>
      <w:r>
        <w:rPr>
          <w:rStyle w:val="FootnoteReference"/>
        </w:rPr>
        <w:footnoteRef/>
      </w:r>
      <w:r>
        <w:t xml:space="preserve"> </w:t>
      </w:r>
      <w:r w:rsidRPr="00166D39">
        <w:rPr>
          <w:i/>
        </w:rPr>
        <w:t>Statement by President Trump on the Paris Climate Accord</w:t>
      </w:r>
      <w:r>
        <w:t xml:space="preserve">, The White House, 1 June 2017, </w:t>
      </w:r>
      <w:hyperlink r:id="rId18" w:history="1">
        <w:r w:rsidRPr="00A43B31">
          <w:rPr>
            <w:rStyle w:val="Hyperlink"/>
          </w:rPr>
          <w:t>https://www.whitehouse.gov/the-press-office/2017/06/01/statement-president-trump-paris-climate-accord</w:t>
        </w:r>
      </w:hyperlink>
      <w:r>
        <w:t xml:space="preserve">. </w:t>
      </w:r>
    </w:p>
  </w:footnote>
  <w:footnote w:id="146">
    <w:p w14:paraId="65917ACF" w14:textId="77777777" w:rsidR="001016BA" w:rsidRDefault="001016BA" w:rsidP="00D90BE2">
      <w:pPr>
        <w:pStyle w:val="FootnoteText"/>
      </w:pPr>
      <w:r>
        <w:rPr>
          <w:rStyle w:val="FootnoteReference"/>
        </w:rPr>
        <w:footnoteRef/>
      </w:r>
      <w:r>
        <w:t xml:space="preserve"> Edith Brown Weiss, ‘Opening the door to the environment and to future generations’ in Boisson de Chazournes and Sands (n56) 343.</w:t>
      </w:r>
    </w:p>
  </w:footnote>
  <w:footnote w:id="147">
    <w:p w14:paraId="29055C24" w14:textId="4E848DCA" w:rsidR="001016BA" w:rsidRPr="00C335D7" w:rsidRDefault="001016BA">
      <w:pPr>
        <w:pStyle w:val="FootnoteText"/>
      </w:pPr>
      <w:r>
        <w:rPr>
          <w:rStyle w:val="FootnoteReference"/>
        </w:rPr>
        <w:footnoteRef/>
      </w:r>
      <w:r>
        <w:t xml:space="preserve"> Although trenchant criticism by Vice-President Schwebel in his Dissenting Opinion (322) in </w:t>
      </w:r>
      <w:r w:rsidRPr="007B78F9">
        <w:rPr>
          <w:i/>
        </w:rPr>
        <w:t>Nuclear Weapons</w:t>
      </w:r>
      <w:r>
        <w:t xml:space="preserve"> (n13) takes the opposite 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22FF"/>
    <w:multiLevelType w:val="hybridMultilevel"/>
    <w:tmpl w:val="78025688"/>
    <w:lvl w:ilvl="0" w:tplc="C3D08D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431D9C"/>
    <w:multiLevelType w:val="hybridMultilevel"/>
    <w:tmpl w:val="88EA10B2"/>
    <w:lvl w:ilvl="0" w:tplc="CA2A4A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0D6004"/>
    <w:multiLevelType w:val="hybridMultilevel"/>
    <w:tmpl w:val="81506C6A"/>
    <w:lvl w:ilvl="0" w:tplc="D26C10D0">
      <w:start w:val="16"/>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F3D56"/>
    <w:multiLevelType w:val="hybridMultilevel"/>
    <w:tmpl w:val="19D8C074"/>
    <w:lvl w:ilvl="0" w:tplc="3BD6126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EC6F70"/>
    <w:multiLevelType w:val="hybridMultilevel"/>
    <w:tmpl w:val="D41E118C"/>
    <w:lvl w:ilvl="0" w:tplc="512A3E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C46ACC"/>
    <w:multiLevelType w:val="hybridMultilevel"/>
    <w:tmpl w:val="EB3AB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DD5B0C"/>
    <w:multiLevelType w:val="hybridMultilevel"/>
    <w:tmpl w:val="FBE880A6"/>
    <w:lvl w:ilvl="0" w:tplc="A6FA3FE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1A176A"/>
    <w:multiLevelType w:val="hybridMultilevel"/>
    <w:tmpl w:val="3CF852C2"/>
    <w:lvl w:ilvl="0" w:tplc="8A4647D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99C4FA3"/>
    <w:multiLevelType w:val="hybridMultilevel"/>
    <w:tmpl w:val="4F5E4BE6"/>
    <w:lvl w:ilvl="0" w:tplc="8D7E8B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EE7B1A"/>
    <w:multiLevelType w:val="hybridMultilevel"/>
    <w:tmpl w:val="BBF4F882"/>
    <w:lvl w:ilvl="0" w:tplc="3A846016">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5"/>
  </w:num>
  <w:num w:numId="3">
    <w:abstractNumId w:val="7"/>
  </w:num>
  <w:num w:numId="4">
    <w:abstractNumId w:val="0"/>
  </w:num>
  <w:num w:numId="5">
    <w:abstractNumId w:val="9"/>
  </w:num>
  <w:num w:numId="6">
    <w:abstractNumId w:val="6"/>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B7"/>
    <w:rsid w:val="00000D16"/>
    <w:rsid w:val="00001BD4"/>
    <w:rsid w:val="000021CC"/>
    <w:rsid w:val="00003118"/>
    <w:rsid w:val="0000312A"/>
    <w:rsid w:val="0000713C"/>
    <w:rsid w:val="000076A3"/>
    <w:rsid w:val="0001076C"/>
    <w:rsid w:val="00024F5E"/>
    <w:rsid w:val="00027C66"/>
    <w:rsid w:val="0003073F"/>
    <w:rsid w:val="00034250"/>
    <w:rsid w:val="000406C4"/>
    <w:rsid w:val="00050646"/>
    <w:rsid w:val="00052ED4"/>
    <w:rsid w:val="00053337"/>
    <w:rsid w:val="00054317"/>
    <w:rsid w:val="000605A7"/>
    <w:rsid w:val="00062BE6"/>
    <w:rsid w:val="0006609E"/>
    <w:rsid w:val="00066F3F"/>
    <w:rsid w:val="00074761"/>
    <w:rsid w:val="000751C7"/>
    <w:rsid w:val="00081CCC"/>
    <w:rsid w:val="00081DF8"/>
    <w:rsid w:val="000831C4"/>
    <w:rsid w:val="00084F37"/>
    <w:rsid w:val="00085B24"/>
    <w:rsid w:val="00086335"/>
    <w:rsid w:val="000865CD"/>
    <w:rsid w:val="00087103"/>
    <w:rsid w:val="00094157"/>
    <w:rsid w:val="000A038F"/>
    <w:rsid w:val="000A0553"/>
    <w:rsid w:val="000A41B1"/>
    <w:rsid w:val="000A5590"/>
    <w:rsid w:val="000A6C1E"/>
    <w:rsid w:val="000B22B3"/>
    <w:rsid w:val="000C543B"/>
    <w:rsid w:val="000C5BDD"/>
    <w:rsid w:val="000C71EB"/>
    <w:rsid w:val="000D0F8A"/>
    <w:rsid w:val="000D5669"/>
    <w:rsid w:val="000D6701"/>
    <w:rsid w:val="000D7B08"/>
    <w:rsid w:val="000E0D49"/>
    <w:rsid w:val="000E418A"/>
    <w:rsid w:val="000F0B68"/>
    <w:rsid w:val="000F0F53"/>
    <w:rsid w:val="000F28EA"/>
    <w:rsid w:val="000F4C1E"/>
    <w:rsid w:val="001016BA"/>
    <w:rsid w:val="00112E7A"/>
    <w:rsid w:val="00113243"/>
    <w:rsid w:val="00113A5B"/>
    <w:rsid w:val="00114585"/>
    <w:rsid w:val="00114970"/>
    <w:rsid w:val="00116BC2"/>
    <w:rsid w:val="0012456B"/>
    <w:rsid w:val="001339E2"/>
    <w:rsid w:val="001345D3"/>
    <w:rsid w:val="00134BD7"/>
    <w:rsid w:val="00137CC0"/>
    <w:rsid w:val="00137D8A"/>
    <w:rsid w:val="001419F0"/>
    <w:rsid w:val="001446C2"/>
    <w:rsid w:val="00152A83"/>
    <w:rsid w:val="001564D9"/>
    <w:rsid w:val="0016173B"/>
    <w:rsid w:val="00162CDA"/>
    <w:rsid w:val="00164A67"/>
    <w:rsid w:val="00166D39"/>
    <w:rsid w:val="001727AE"/>
    <w:rsid w:val="00172BB5"/>
    <w:rsid w:val="00174A5A"/>
    <w:rsid w:val="001750DE"/>
    <w:rsid w:val="0017660B"/>
    <w:rsid w:val="0017765F"/>
    <w:rsid w:val="00180040"/>
    <w:rsid w:val="00182274"/>
    <w:rsid w:val="00196A9C"/>
    <w:rsid w:val="001A1B9E"/>
    <w:rsid w:val="001A318F"/>
    <w:rsid w:val="001A3BFF"/>
    <w:rsid w:val="001A4A0E"/>
    <w:rsid w:val="001B7752"/>
    <w:rsid w:val="001B7A74"/>
    <w:rsid w:val="001C0701"/>
    <w:rsid w:val="001C0703"/>
    <w:rsid w:val="001C0F45"/>
    <w:rsid w:val="001C1563"/>
    <w:rsid w:val="001C4EFD"/>
    <w:rsid w:val="001C7028"/>
    <w:rsid w:val="001D1EE8"/>
    <w:rsid w:val="001E42E2"/>
    <w:rsid w:val="001E57D7"/>
    <w:rsid w:val="001F3298"/>
    <w:rsid w:val="001F43C7"/>
    <w:rsid w:val="001F5C73"/>
    <w:rsid w:val="00200F42"/>
    <w:rsid w:val="0020273A"/>
    <w:rsid w:val="00204443"/>
    <w:rsid w:val="0020502E"/>
    <w:rsid w:val="00215C50"/>
    <w:rsid w:val="00222F8F"/>
    <w:rsid w:val="00227781"/>
    <w:rsid w:val="00230675"/>
    <w:rsid w:val="00234075"/>
    <w:rsid w:val="0023519D"/>
    <w:rsid w:val="00236CAB"/>
    <w:rsid w:val="00241436"/>
    <w:rsid w:val="00245832"/>
    <w:rsid w:val="00246B69"/>
    <w:rsid w:val="002509B1"/>
    <w:rsid w:val="002548EB"/>
    <w:rsid w:val="00255A6A"/>
    <w:rsid w:val="002565EA"/>
    <w:rsid w:val="0026679F"/>
    <w:rsid w:val="002732C6"/>
    <w:rsid w:val="002741A0"/>
    <w:rsid w:val="002764F7"/>
    <w:rsid w:val="00277B92"/>
    <w:rsid w:val="00285B20"/>
    <w:rsid w:val="00286F4D"/>
    <w:rsid w:val="002918D3"/>
    <w:rsid w:val="00291B65"/>
    <w:rsid w:val="00295D7F"/>
    <w:rsid w:val="00296C09"/>
    <w:rsid w:val="002A1510"/>
    <w:rsid w:val="002A237A"/>
    <w:rsid w:val="002A3362"/>
    <w:rsid w:val="002A4097"/>
    <w:rsid w:val="002A5599"/>
    <w:rsid w:val="002A5662"/>
    <w:rsid w:val="002B04EB"/>
    <w:rsid w:val="002B37B4"/>
    <w:rsid w:val="002B5A41"/>
    <w:rsid w:val="002B6B89"/>
    <w:rsid w:val="002C76E9"/>
    <w:rsid w:val="002D3B10"/>
    <w:rsid w:val="002D7170"/>
    <w:rsid w:val="002E23A3"/>
    <w:rsid w:val="002F0148"/>
    <w:rsid w:val="002F1CBB"/>
    <w:rsid w:val="003017E4"/>
    <w:rsid w:val="00302C82"/>
    <w:rsid w:val="00304203"/>
    <w:rsid w:val="00304520"/>
    <w:rsid w:val="00305D1C"/>
    <w:rsid w:val="00306F6D"/>
    <w:rsid w:val="00311106"/>
    <w:rsid w:val="00311839"/>
    <w:rsid w:val="00311FD5"/>
    <w:rsid w:val="003148C1"/>
    <w:rsid w:val="00320C9C"/>
    <w:rsid w:val="003250E1"/>
    <w:rsid w:val="00337698"/>
    <w:rsid w:val="003428CF"/>
    <w:rsid w:val="00344251"/>
    <w:rsid w:val="00355CEC"/>
    <w:rsid w:val="00355F3F"/>
    <w:rsid w:val="00360540"/>
    <w:rsid w:val="00360926"/>
    <w:rsid w:val="00360AE1"/>
    <w:rsid w:val="00373818"/>
    <w:rsid w:val="00375728"/>
    <w:rsid w:val="003769DB"/>
    <w:rsid w:val="00377214"/>
    <w:rsid w:val="00380F25"/>
    <w:rsid w:val="00384095"/>
    <w:rsid w:val="00386FFD"/>
    <w:rsid w:val="0038745C"/>
    <w:rsid w:val="00390DEB"/>
    <w:rsid w:val="003932FE"/>
    <w:rsid w:val="003A0D82"/>
    <w:rsid w:val="003A134B"/>
    <w:rsid w:val="003A2D9F"/>
    <w:rsid w:val="003A3B9A"/>
    <w:rsid w:val="003A605A"/>
    <w:rsid w:val="003B1477"/>
    <w:rsid w:val="003C20A1"/>
    <w:rsid w:val="003C309F"/>
    <w:rsid w:val="003D25EA"/>
    <w:rsid w:val="003D7004"/>
    <w:rsid w:val="003E062F"/>
    <w:rsid w:val="003E4204"/>
    <w:rsid w:val="003E5B78"/>
    <w:rsid w:val="003F28C7"/>
    <w:rsid w:val="003F2F11"/>
    <w:rsid w:val="004019DE"/>
    <w:rsid w:val="00412E6D"/>
    <w:rsid w:val="00412EDD"/>
    <w:rsid w:val="00414BEF"/>
    <w:rsid w:val="004162B1"/>
    <w:rsid w:val="00416A3F"/>
    <w:rsid w:val="00416D87"/>
    <w:rsid w:val="00417622"/>
    <w:rsid w:val="00422129"/>
    <w:rsid w:val="00425FE3"/>
    <w:rsid w:val="00434C7F"/>
    <w:rsid w:val="00435870"/>
    <w:rsid w:val="004377EB"/>
    <w:rsid w:val="00441396"/>
    <w:rsid w:val="00445024"/>
    <w:rsid w:val="00453197"/>
    <w:rsid w:val="00456AD5"/>
    <w:rsid w:val="00460507"/>
    <w:rsid w:val="00462924"/>
    <w:rsid w:val="00464196"/>
    <w:rsid w:val="00464DCB"/>
    <w:rsid w:val="00464E7E"/>
    <w:rsid w:val="00482667"/>
    <w:rsid w:val="00485368"/>
    <w:rsid w:val="00486020"/>
    <w:rsid w:val="00487DBF"/>
    <w:rsid w:val="00493E83"/>
    <w:rsid w:val="004A1427"/>
    <w:rsid w:val="004A6239"/>
    <w:rsid w:val="004B0F6B"/>
    <w:rsid w:val="004B3230"/>
    <w:rsid w:val="004B33C6"/>
    <w:rsid w:val="004B7C2B"/>
    <w:rsid w:val="004C5463"/>
    <w:rsid w:val="004C77C8"/>
    <w:rsid w:val="004D6595"/>
    <w:rsid w:val="004E557C"/>
    <w:rsid w:val="004E7846"/>
    <w:rsid w:val="004F23BE"/>
    <w:rsid w:val="004F4861"/>
    <w:rsid w:val="004F5074"/>
    <w:rsid w:val="0050221F"/>
    <w:rsid w:val="005030C2"/>
    <w:rsid w:val="00507FA7"/>
    <w:rsid w:val="0051146C"/>
    <w:rsid w:val="00513BE8"/>
    <w:rsid w:val="0051554F"/>
    <w:rsid w:val="00515CAF"/>
    <w:rsid w:val="00516B44"/>
    <w:rsid w:val="00521FDF"/>
    <w:rsid w:val="005220FA"/>
    <w:rsid w:val="005301F5"/>
    <w:rsid w:val="005328CD"/>
    <w:rsid w:val="0053630D"/>
    <w:rsid w:val="00537099"/>
    <w:rsid w:val="00537881"/>
    <w:rsid w:val="00540381"/>
    <w:rsid w:val="0054430D"/>
    <w:rsid w:val="00544CA5"/>
    <w:rsid w:val="0055125B"/>
    <w:rsid w:val="00553EFC"/>
    <w:rsid w:val="0055775A"/>
    <w:rsid w:val="00564AAF"/>
    <w:rsid w:val="0056560F"/>
    <w:rsid w:val="00570651"/>
    <w:rsid w:val="00570B39"/>
    <w:rsid w:val="00570F13"/>
    <w:rsid w:val="0057124E"/>
    <w:rsid w:val="00571920"/>
    <w:rsid w:val="005751AD"/>
    <w:rsid w:val="0057764F"/>
    <w:rsid w:val="00581330"/>
    <w:rsid w:val="0058251B"/>
    <w:rsid w:val="0058325F"/>
    <w:rsid w:val="005856A5"/>
    <w:rsid w:val="00586D59"/>
    <w:rsid w:val="005904E9"/>
    <w:rsid w:val="005910AC"/>
    <w:rsid w:val="00596A4D"/>
    <w:rsid w:val="00597D07"/>
    <w:rsid w:val="005A0B5B"/>
    <w:rsid w:val="005A38A2"/>
    <w:rsid w:val="005A4321"/>
    <w:rsid w:val="005A7C6F"/>
    <w:rsid w:val="005B2F6B"/>
    <w:rsid w:val="005C3F85"/>
    <w:rsid w:val="005C4D56"/>
    <w:rsid w:val="005C5F01"/>
    <w:rsid w:val="005D25EB"/>
    <w:rsid w:val="005D529F"/>
    <w:rsid w:val="005D6150"/>
    <w:rsid w:val="005E4969"/>
    <w:rsid w:val="005E781D"/>
    <w:rsid w:val="005E7B24"/>
    <w:rsid w:val="005E7C7F"/>
    <w:rsid w:val="005F10D1"/>
    <w:rsid w:val="005F50E4"/>
    <w:rsid w:val="006008A7"/>
    <w:rsid w:val="006058B6"/>
    <w:rsid w:val="0061348A"/>
    <w:rsid w:val="0061536C"/>
    <w:rsid w:val="00616ACB"/>
    <w:rsid w:val="00626DC5"/>
    <w:rsid w:val="0064146E"/>
    <w:rsid w:val="0064450B"/>
    <w:rsid w:val="00647EE0"/>
    <w:rsid w:val="00663483"/>
    <w:rsid w:val="006635DC"/>
    <w:rsid w:val="006654BA"/>
    <w:rsid w:val="00667AA2"/>
    <w:rsid w:val="00670A33"/>
    <w:rsid w:val="00691654"/>
    <w:rsid w:val="006A7398"/>
    <w:rsid w:val="006B03BA"/>
    <w:rsid w:val="006B1489"/>
    <w:rsid w:val="006B3057"/>
    <w:rsid w:val="006B4FB9"/>
    <w:rsid w:val="006B6561"/>
    <w:rsid w:val="006C01CD"/>
    <w:rsid w:val="006C19B7"/>
    <w:rsid w:val="006C7F88"/>
    <w:rsid w:val="006D546A"/>
    <w:rsid w:val="006D5B37"/>
    <w:rsid w:val="006E0BBD"/>
    <w:rsid w:val="006E120D"/>
    <w:rsid w:val="006E1F1F"/>
    <w:rsid w:val="006E646C"/>
    <w:rsid w:val="006F443D"/>
    <w:rsid w:val="006F53C9"/>
    <w:rsid w:val="006F58F3"/>
    <w:rsid w:val="00703628"/>
    <w:rsid w:val="007048E6"/>
    <w:rsid w:val="00707BCE"/>
    <w:rsid w:val="00711F1A"/>
    <w:rsid w:val="00713A79"/>
    <w:rsid w:val="00720383"/>
    <w:rsid w:val="0072432C"/>
    <w:rsid w:val="00724990"/>
    <w:rsid w:val="00725750"/>
    <w:rsid w:val="00747D08"/>
    <w:rsid w:val="00750EE6"/>
    <w:rsid w:val="0075308D"/>
    <w:rsid w:val="00753253"/>
    <w:rsid w:val="0076411E"/>
    <w:rsid w:val="00767398"/>
    <w:rsid w:val="0076764C"/>
    <w:rsid w:val="00774C98"/>
    <w:rsid w:val="007826C3"/>
    <w:rsid w:val="007862F9"/>
    <w:rsid w:val="007869F2"/>
    <w:rsid w:val="007907C9"/>
    <w:rsid w:val="00793046"/>
    <w:rsid w:val="00793EE8"/>
    <w:rsid w:val="007950D2"/>
    <w:rsid w:val="007A7A97"/>
    <w:rsid w:val="007B24E9"/>
    <w:rsid w:val="007B3408"/>
    <w:rsid w:val="007B476E"/>
    <w:rsid w:val="007B6CAE"/>
    <w:rsid w:val="007B78F9"/>
    <w:rsid w:val="007C0801"/>
    <w:rsid w:val="007C3346"/>
    <w:rsid w:val="007C3B57"/>
    <w:rsid w:val="007C48E8"/>
    <w:rsid w:val="007C796C"/>
    <w:rsid w:val="007D2092"/>
    <w:rsid w:val="007D6D66"/>
    <w:rsid w:val="007D70E3"/>
    <w:rsid w:val="007E0110"/>
    <w:rsid w:val="007F0E86"/>
    <w:rsid w:val="007F13FA"/>
    <w:rsid w:val="007F5EC2"/>
    <w:rsid w:val="00803BB0"/>
    <w:rsid w:val="00806170"/>
    <w:rsid w:val="00812540"/>
    <w:rsid w:val="008129F4"/>
    <w:rsid w:val="00813E6E"/>
    <w:rsid w:val="0081735B"/>
    <w:rsid w:val="00821A62"/>
    <w:rsid w:val="00821B5D"/>
    <w:rsid w:val="0082298E"/>
    <w:rsid w:val="00824A91"/>
    <w:rsid w:val="00830EF8"/>
    <w:rsid w:val="008311E5"/>
    <w:rsid w:val="00845E66"/>
    <w:rsid w:val="008461CB"/>
    <w:rsid w:val="00851727"/>
    <w:rsid w:val="00853354"/>
    <w:rsid w:val="00853E5E"/>
    <w:rsid w:val="008611BA"/>
    <w:rsid w:val="0086142B"/>
    <w:rsid w:val="00863CFE"/>
    <w:rsid w:val="00864269"/>
    <w:rsid w:val="00871600"/>
    <w:rsid w:val="00871AB0"/>
    <w:rsid w:val="00876EC4"/>
    <w:rsid w:val="008873AE"/>
    <w:rsid w:val="00896913"/>
    <w:rsid w:val="00897797"/>
    <w:rsid w:val="008A2CC3"/>
    <w:rsid w:val="008A6098"/>
    <w:rsid w:val="008B0F06"/>
    <w:rsid w:val="008B6ECD"/>
    <w:rsid w:val="008B75E8"/>
    <w:rsid w:val="008C6248"/>
    <w:rsid w:val="008D26D9"/>
    <w:rsid w:val="008D64E7"/>
    <w:rsid w:val="008E0A56"/>
    <w:rsid w:val="008E3576"/>
    <w:rsid w:val="008E3A09"/>
    <w:rsid w:val="008F0E90"/>
    <w:rsid w:val="008F1341"/>
    <w:rsid w:val="008F5B21"/>
    <w:rsid w:val="008F7D52"/>
    <w:rsid w:val="00906763"/>
    <w:rsid w:val="009114AD"/>
    <w:rsid w:val="0092487F"/>
    <w:rsid w:val="00926470"/>
    <w:rsid w:val="00927D42"/>
    <w:rsid w:val="009339C8"/>
    <w:rsid w:val="00934701"/>
    <w:rsid w:val="00945B15"/>
    <w:rsid w:val="00963744"/>
    <w:rsid w:val="0096759A"/>
    <w:rsid w:val="00972557"/>
    <w:rsid w:val="00975205"/>
    <w:rsid w:val="00977AF6"/>
    <w:rsid w:val="0098170E"/>
    <w:rsid w:val="00982795"/>
    <w:rsid w:val="00986346"/>
    <w:rsid w:val="0099249A"/>
    <w:rsid w:val="00992CB0"/>
    <w:rsid w:val="00993918"/>
    <w:rsid w:val="009943EB"/>
    <w:rsid w:val="009957FA"/>
    <w:rsid w:val="009963B7"/>
    <w:rsid w:val="009A0D91"/>
    <w:rsid w:val="009A0E79"/>
    <w:rsid w:val="009A59C8"/>
    <w:rsid w:val="009B72E0"/>
    <w:rsid w:val="009B744D"/>
    <w:rsid w:val="009C228E"/>
    <w:rsid w:val="009D2D24"/>
    <w:rsid w:val="009D3D25"/>
    <w:rsid w:val="009E249D"/>
    <w:rsid w:val="009E4804"/>
    <w:rsid w:val="009F3002"/>
    <w:rsid w:val="009F6027"/>
    <w:rsid w:val="009F7AAC"/>
    <w:rsid w:val="00A04188"/>
    <w:rsid w:val="00A0756F"/>
    <w:rsid w:val="00A1047B"/>
    <w:rsid w:val="00A1171F"/>
    <w:rsid w:val="00A121B2"/>
    <w:rsid w:val="00A153ED"/>
    <w:rsid w:val="00A15874"/>
    <w:rsid w:val="00A16911"/>
    <w:rsid w:val="00A22832"/>
    <w:rsid w:val="00A24305"/>
    <w:rsid w:val="00A25FBF"/>
    <w:rsid w:val="00A274C9"/>
    <w:rsid w:val="00A31018"/>
    <w:rsid w:val="00A3191A"/>
    <w:rsid w:val="00A31C2C"/>
    <w:rsid w:val="00A321A5"/>
    <w:rsid w:val="00A352ED"/>
    <w:rsid w:val="00A44D95"/>
    <w:rsid w:val="00A47BA4"/>
    <w:rsid w:val="00A501D6"/>
    <w:rsid w:val="00A523E9"/>
    <w:rsid w:val="00A576B6"/>
    <w:rsid w:val="00A61412"/>
    <w:rsid w:val="00A6594B"/>
    <w:rsid w:val="00A67F0B"/>
    <w:rsid w:val="00A735B8"/>
    <w:rsid w:val="00A73936"/>
    <w:rsid w:val="00A75767"/>
    <w:rsid w:val="00A757B7"/>
    <w:rsid w:val="00A76BCE"/>
    <w:rsid w:val="00A919D2"/>
    <w:rsid w:val="00A956B7"/>
    <w:rsid w:val="00A95D71"/>
    <w:rsid w:val="00AA15C1"/>
    <w:rsid w:val="00AA1E39"/>
    <w:rsid w:val="00AA5D1F"/>
    <w:rsid w:val="00AA5E1F"/>
    <w:rsid w:val="00AB08CE"/>
    <w:rsid w:val="00AB0FFB"/>
    <w:rsid w:val="00AB1006"/>
    <w:rsid w:val="00AB3F61"/>
    <w:rsid w:val="00AB6792"/>
    <w:rsid w:val="00AC348F"/>
    <w:rsid w:val="00AC4068"/>
    <w:rsid w:val="00AC52A4"/>
    <w:rsid w:val="00AC745E"/>
    <w:rsid w:val="00AD105E"/>
    <w:rsid w:val="00AD2976"/>
    <w:rsid w:val="00AD331F"/>
    <w:rsid w:val="00AD62B5"/>
    <w:rsid w:val="00AD783E"/>
    <w:rsid w:val="00AE234A"/>
    <w:rsid w:val="00AE2EAC"/>
    <w:rsid w:val="00AE373B"/>
    <w:rsid w:val="00AE3FAC"/>
    <w:rsid w:val="00AF0B25"/>
    <w:rsid w:val="00AF1880"/>
    <w:rsid w:val="00B00194"/>
    <w:rsid w:val="00B039AF"/>
    <w:rsid w:val="00B12A28"/>
    <w:rsid w:val="00B12F71"/>
    <w:rsid w:val="00B16045"/>
    <w:rsid w:val="00B31D2F"/>
    <w:rsid w:val="00B3241D"/>
    <w:rsid w:val="00B33981"/>
    <w:rsid w:val="00B40669"/>
    <w:rsid w:val="00B40871"/>
    <w:rsid w:val="00B452F9"/>
    <w:rsid w:val="00B45361"/>
    <w:rsid w:val="00B50290"/>
    <w:rsid w:val="00B50D77"/>
    <w:rsid w:val="00B55A63"/>
    <w:rsid w:val="00B62487"/>
    <w:rsid w:val="00B65AA2"/>
    <w:rsid w:val="00B6604F"/>
    <w:rsid w:val="00B75A09"/>
    <w:rsid w:val="00B774F9"/>
    <w:rsid w:val="00B8390D"/>
    <w:rsid w:val="00B86EE9"/>
    <w:rsid w:val="00B91A72"/>
    <w:rsid w:val="00B97AD5"/>
    <w:rsid w:val="00BA0EA6"/>
    <w:rsid w:val="00BA196E"/>
    <w:rsid w:val="00BA2FBB"/>
    <w:rsid w:val="00BB31A9"/>
    <w:rsid w:val="00BC2C2B"/>
    <w:rsid w:val="00BC4CED"/>
    <w:rsid w:val="00BC67A7"/>
    <w:rsid w:val="00BD73CC"/>
    <w:rsid w:val="00BE0E6F"/>
    <w:rsid w:val="00BE3037"/>
    <w:rsid w:val="00BE568A"/>
    <w:rsid w:val="00BE6156"/>
    <w:rsid w:val="00BF2210"/>
    <w:rsid w:val="00BF4572"/>
    <w:rsid w:val="00C00058"/>
    <w:rsid w:val="00C0066E"/>
    <w:rsid w:val="00C00A46"/>
    <w:rsid w:val="00C00CA5"/>
    <w:rsid w:val="00C01B45"/>
    <w:rsid w:val="00C01C64"/>
    <w:rsid w:val="00C01E87"/>
    <w:rsid w:val="00C0439E"/>
    <w:rsid w:val="00C0621B"/>
    <w:rsid w:val="00C12504"/>
    <w:rsid w:val="00C134E1"/>
    <w:rsid w:val="00C14C44"/>
    <w:rsid w:val="00C15697"/>
    <w:rsid w:val="00C15B04"/>
    <w:rsid w:val="00C2021D"/>
    <w:rsid w:val="00C21921"/>
    <w:rsid w:val="00C22B97"/>
    <w:rsid w:val="00C230C7"/>
    <w:rsid w:val="00C235AC"/>
    <w:rsid w:val="00C317E1"/>
    <w:rsid w:val="00C31FC2"/>
    <w:rsid w:val="00C32485"/>
    <w:rsid w:val="00C335D7"/>
    <w:rsid w:val="00C341BA"/>
    <w:rsid w:val="00C373D3"/>
    <w:rsid w:val="00C40628"/>
    <w:rsid w:val="00C409D6"/>
    <w:rsid w:val="00C44E2F"/>
    <w:rsid w:val="00C46CC3"/>
    <w:rsid w:val="00C477DA"/>
    <w:rsid w:val="00C5221C"/>
    <w:rsid w:val="00C543A2"/>
    <w:rsid w:val="00C649A3"/>
    <w:rsid w:val="00C66B4C"/>
    <w:rsid w:val="00C66BEB"/>
    <w:rsid w:val="00C713A3"/>
    <w:rsid w:val="00C74576"/>
    <w:rsid w:val="00C75C05"/>
    <w:rsid w:val="00C807DF"/>
    <w:rsid w:val="00C82743"/>
    <w:rsid w:val="00C90ADC"/>
    <w:rsid w:val="00C91C15"/>
    <w:rsid w:val="00C9207D"/>
    <w:rsid w:val="00C924B9"/>
    <w:rsid w:val="00C949D5"/>
    <w:rsid w:val="00CA0FFD"/>
    <w:rsid w:val="00CA1A36"/>
    <w:rsid w:val="00CA1B66"/>
    <w:rsid w:val="00CA2571"/>
    <w:rsid w:val="00CA47CA"/>
    <w:rsid w:val="00CB3EE6"/>
    <w:rsid w:val="00CC4B45"/>
    <w:rsid w:val="00CC73E3"/>
    <w:rsid w:val="00CD5CB0"/>
    <w:rsid w:val="00CD6578"/>
    <w:rsid w:val="00CE0645"/>
    <w:rsid w:val="00CE5A59"/>
    <w:rsid w:val="00CE6DC9"/>
    <w:rsid w:val="00CF1D5B"/>
    <w:rsid w:val="00D01D40"/>
    <w:rsid w:val="00D033AB"/>
    <w:rsid w:val="00D03450"/>
    <w:rsid w:val="00D05470"/>
    <w:rsid w:val="00D06D09"/>
    <w:rsid w:val="00D1053B"/>
    <w:rsid w:val="00D12A03"/>
    <w:rsid w:val="00D1439C"/>
    <w:rsid w:val="00D16006"/>
    <w:rsid w:val="00D170EC"/>
    <w:rsid w:val="00D21381"/>
    <w:rsid w:val="00D233D3"/>
    <w:rsid w:val="00D23A5F"/>
    <w:rsid w:val="00D24D49"/>
    <w:rsid w:val="00D408F2"/>
    <w:rsid w:val="00D4334C"/>
    <w:rsid w:val="00D446D2"/>
    <w:rsid w:val="00D45EC8"/>
    <w:rsid w:val="00D50432"/>
    <w:rsid w:val="00D51F70"/>
    <w:rsid w:val="00D54E28"/>
    <w:rsid w:val="00D57ADC"/>
    <w:rsid w:val="00D60112"/>
    <w:rsid w:val="00D625E4"/>
    <w:rsid w:val="00D627A8"/>
    <w:rsid w:val="00D6322F"/>
    <w:rsid w:val="00D64B6E"/>
    <w:rsid w:val="00D6594D"/>
    <w:rsid w:val="00D67E3C"/>
    <w:rsid w:val="00D763DF"/>
    <w:rsid w:val="00D8225A"/>
    <w:rsid w:val="00D83389"/>
    <w:rsid w:val="00D85A2E"/>
    <w:rsid w:val="00D90BE2"/>
    <w:rsid w:val="00D9152E"/>
    <w:rsid w:val="00D918B9"/>
    <w:rsid w:val="00D93F24"/>
    <w:rsid w:val="00D95C0C"/>
    <w:rsid w:val="00D95E18"/>
    <w:rsid w:val="00DA1F3D"/>
    <w:rsid w:val="00DA228D"/>
    <w:rsid w:val="00DA22D9"/>
    <w:rsid w:val="00DA569F"/>
    <w:rsid w:val="00DA5D4D"/>
    <w:rsid w:val="00DA5DD0"/>
    <w:rsid w:val="00DB13AA"/>
    <w:rsid w:val="00DB15E6"/>
    <w:rsid w:val="00DB18ED"/>
    <w:rsid w:val="00DB1B23"/>
    <w:rsid w:val="00DB25D1"/>
    <w:rsid w:val="00DB2A15"/>
    <w:rsid w:val="00DB3639"/>
    <w:rsid w:val="00DB4AF8"/>
    <w:rsid w:val="00DB747A"/>
    <w:rsid w:val="00DC2D54"/>
    <w:rsid w:val="00DD3B84"/>
    <w:rsid w:val="00DD4F87"/>
    <w:rsid w:val="00DD55C4"/>
    <w:rsid w:val="00DD7FCB"/>
    <w:rsid w:val="00DE2ADE"/>
    <w:rsid w:val="00DE5B6E"/>
    <w:rsid w:val="00DF141B"/>
    <w:rsid w:val="00DF43BA"/>
    <w:rsid w:val="00DF5050"/>
    <w:rsid w:val="00DF54CB"/>
    <w:rsid w:val="00DF702B"/>
    <w:rsid w:val="00E016B0"/>
    <w:rsid w:val="00E04C89"/>
    <w:rsid w:val="00E076CA"/>
    <w:rsid w:val="00E07B3A"/>
    <w:rsid w:val="00E103F1"/>
    <w:rsid w:val="00E13772"/>
    <w:rsid w:val="00E13973"/>
    <w:rsid w:val="00E14115"/>
    <w:rsid w:val="00E147B4"/>
    <w:rsid w:val="00E17CA0"/>
    <w:rsid w:val="00E23E2A"/>
    <w:rsid w:val="00E24D2E"/>
    <w:rsid w:val="00E41B88"/>
    <w:rsid w:val="00E467A7"/>
    <w:rsid w:val="00E50E38"/>
    <w:rsid w:val="00E52518"/>
    <w:rsid w:val="00E5341A"/>
    <w:rsid w:val="00E562F8"/>
    <w:rsid w:val="00E6018E"/>
    <w:rsid w:val="00E62440"/>
    <w:rsid w:val="00E62CE5"/>
    <w:rsid w:val="00E6412C"/>
    <w:rsid w:val="00E64B6F"/>
    <w:rsid w:val="00E672AD"/>
    <w:rsid w:val="00E71C2F"/>
    <w:rsid w:val="00E7365D"/>
    <w:rsid w:val="00E74AFB"/>
    <w:rsid w:val="00E750CA"/>
    <w:rsid w:val="00E7788B"/>
    <w:rsid w:val="00E81C5E"/>
    <w:rsid w:val="00E830BA"/>
    <w:rsid w:val="00E83E3A"/>
    <w:rsid w:val="00E85B23"/>
    <w:rsid w:val="00E86918"/>
    <w:rsid w:val="00E9071C"/>
    <w:rsid w:val="00E91259"/>
    <w:rsid w:val="00E95B36"/>
    <w:rsid w:val="00EA14D9"/>
    <w:rsid w:val="00EB64C5"/>
    <w:rsid w:val="00EB7624"/>
    <w:rsid w:val="00EC17B7"/>
    <w:rsid w:val="00EC3209"/>
    <w:rsid w:val="00EC4767"/>
    <w:rsid w:val="00EC6C2B"/>
    <w:rsid w:val="00ED066E"/>
    <w:rsid w:val="00ED53C6"/>
    <w:rsid w:val="00EE3FAF"/>
    <w:rsid w:val="00EE4A0B"/>
    <w:rsid w:val="00EE78CB"/>
    <w:rsid w:val="00EF06C7"/>
    <w:rsid w:val="00EF37B9"/>
    <w:rsid w:val="00F006D1"/>
    <w:rsid w:val="00F00B37"/>
    <w:rsid w:val="00F0484A"/>
    <w:rsid w:val="00F07FE2"/>
    <w:rsid w:val="00F115A3"/>
    <w:rsid w:val="00F126A8"/>
    <w:rsid w:val="00F14C6D"/>
    <w:rsid w:val="00F30225"/>
    <w:rsid w:val="00F33CD1"/>
    <w:rsid w:val="00F363F0"/>
    <w:rsid w:val="00F36E4C"/>
    <w:rsid w:val="00F41E76"/>
    <w:rsid w:val="00F42780"/>
    <w:rsid w:val="00F42E61"/>
    <w:rsid w:val="00F440FF"/>
    <w:rsid w:val="00F4575F"/>
    <w:rsid w:val="00F46152"/>
    <w:rsid w:val="00F478BB"/>
    <w:rsid w:val="00F51547"/>
    <w:rsid w:val="00F53DE9"/>
    <w:rsid w:val="00F56B66"/>
    <w:rsid w:val="00F62031"/>
    <w:rsid w:val="00F64358"/>
    <w:rsid w:val="00F658D4"/>
    <w:rsid w:val="00F70F32"/>
    <w:rsid w:val="00F83D1C"/>
    <w:rsid w:val="00F8431E"/>
    <w:rsid w:val="00F84D7E"/>
    <w:rsid w:val="00F87E79"/>
    <w:rsid w:val="00F962A5"/>
    <w:rsid w:val="00F97B1F"/>
    <w:rsid w:val="00FA2220"/>
    <w:rsid w:val="00FA3309"/>
    <w:rsid w:val="00FA5A48"/>
    <w:rsid w:val="00FB6A93"/>
    <w:rsid w:val="00FC0F12"/>
    <w:rsid w:val="00FC1C40"/>
    <w:rsid w:val="00FC23AE"/>
    <w:rsid w:val="00FC5420"/>
    <w:rsid w:val="00FD6148"/>
    <w:rsid w:val="00FE212E"/>
    <w:rsid w:val="00FE5809"/>
    <w:rsid w:val="00FF64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3B7"/>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F"/>
    <w:pPr>
      <w:ind w:left="720"/>
      <w:contextualSpacing/>
    </w:pPr>
  </w:style>
  <w:style w:type="paragraph" w:styleId="FootnoteText">
    <w:name w:val="footnote text"/>
    <w:basedOn w:val="Normal"/>
    <w:link w:val="FootnoteTextChar"/>
    <w:uiPriority w:val="99"/>
    <w:unhideWhenUsed/>
    <w:rsid w:val="00D67E3C"/>
    <w:pPr>
      <w:spacing w:after="0"/>
    </w:pPr>
    <w:rPr>
      <w:sz w:val="20"/>
      <w:szCs w:val="20"/>
    </w:rPr>
  </w:style>
  <w:style w:type="character" w:customStyle="1" w:styleId="FootnoteTextChar">
    <w:name w:val="Footnote Text Char"/>
    <w:basedOn w:val="DefaultParagraphFont"/>
    <w:link w:val="FootnoteText"/>
    <w:uiPriority w:val="99"/>
    <w:rsid w:val="00D67E3C"/>
    <w:rPr>
      <w:sz w:val="20"/>
      <w:szCs w:val="20"/>
      <w:lang w:val="en-GB"/>
    </w:rPr>
  </w:style>
  <w:style w:type="character" w:styleId="FootnoteReference">
    <w:name w:val="footnote reference"/>
    <w:basedOn w:val="DefaultParagraphFont"/>
    <w:uiPriority w:val="99"/>
    <w:unhideWhenUsed/>
    <w:rsid w:val="00D67E3C"/>
    <w:rPr>
      <w:vertAlign w:val="superscript"/>
    </w:rPr>
  </w:style>
  <w:style w:type="character" w:styleId="Hyperlink">
    <w:name w:val="Hyperlink"/>
    <w:basedOn w:val="DefaultParagraphFont"/>
    <w:uiPriority w:val="99"/>
    <w:unhideWhenUsed/>
    <w:rsid w:val="00FD6148"/>
    <w:rPr>
      <w:color w:val="0000FF" w:themeColor="hyperlink"/>
      <w:u w:val="single"/>
    </w:rPr>
  </w:style>
  <w:style w:type="paragraph" w:styleId="HTMLPreformatted">
    <w:name w:val="HTML Preformatted"/>
    <w:basedOn w:val="Normal"/>
    <w:link w:val="HTMLPreformattedChar"/>
    <w:uiPriority w:val="99"/>
    <w:unhideWhenUsed/>
    <w:rsid w:val="0038745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38745C"/>
    <w:rPr>
      <w:rFonts w:ascii="Consolas" w:hAnsi="Consolas"/>
      <w:sz w:val="20"/>
      <w:szCs w:val="20"/>
      <w:lang w:val="en-GB"/>
    </w:rPr>
  </w:style>
  <w:style w:type="character" w:styleId="FollowedHyperlink">
    <w:name w:val="FollowedHyperlink"/>
    <w:basedOn w:val="DefaultParagraphFont"/>
    <w:uiPriority w:val="99"/>
    <w:semiHidden/>
    <w:unhideWhenUsed/>
    <w:rsid w:val="00C807DF"/>
    <w:rPr>
      <w:color w:val="800080" w:themeColor="followedHyperlink"/>
      <w:u w:val="single"/>
    </w:rPr>
  </w:style>
  <w:style w:type="character" w:styleId="CommentReference">
    <w:name w:val="annotation reference"/>
    <w:basedOn w:val="DefaultParagraphFont"/>
    <w:uiPriority w:val="99"/>
    <w:semiHidden/>
    <w:unhideWhenUsed/>
    <w:rsid w:val="00084F37"/>
    <w:rPr>
      <w:sz w:val="18"/>
      <w:szCs w:val="18"/>
    </w:rPr>
  </w:style>
  <w:style w:type="paragraph" w:styleId="CommentText">
    <w:name w:val="annotation text"/>
    <w:basedOn w:val="Normal"/>
    <w:link w:val="CommentTextChar"/>
    <w:uiPriority w:val="99"/>
    <w:semiHidden/>
    <w:unhideWhenUsed/>
    <w:rsid w:val="00084F37"/>
    <w:rPr>
      <w:sz w:val="24"/>
      <w:szCs w:val="24"/>
    </w:rPr>
  </w:style>
  <w:style w:type="character" w:customStyle="1" w:styleId="CommentTextChar">
    <w:name w:val="Comment Text Char"/>
    <w:basedOn w:val="DefaultParagraphFont"/>
    <w:link w:val="CommentText"/>
    <w:uiPriority w:val="99"/>
    <w:semiHidden/>
    <w:rsid w:val="00084F37"/>
    <w:rPr>
      <w:sz w:val="24"/>
      <w:szCs w:val="24"/>
      <w:lang w:val="en-GB"/>
    </w:rPr>
  </w:style>
  <w:style w:type="paragraph" w:styleId="CommentSubject">
    <w:name w:val="annotation subject"/>
    <w:basedOn w:val="CommentText"/>
    <w:next w:val="CommentText"/>
    <w:link w:val="CommentSubjectChar"/>
    <w:uiPriority w:val="99"/>
    <w:semiHidden/>
    <w:unhideWhenUsed/>
    <w:rsid w:val="00084F37"/>
    <w:rPr>
      <w:b/>
      <w:bCs/>
      <w:sz w:val="20"/>
      <w:szCs w:val="20"/>
    </w:rPr>
  </w:style>
  <w:style w:type="character" w:customStyle="1" w:styleId="CommentSubjectChar">
    <w:name w:val="Comment Subject Char"/>
    <w:basedOn w:val="CommentTextChar"/>
    <w:link w:val="CommentSubject"/>
    <w:uiPriority w:val="99"/>
    <w:semiHidden/>
    <w:rsid w:val="00084F37"/>
    <w:rPr>
      <w:b/>
      <w:bCs/>
      <w:sz w:val="20"/>
      <w:szCs w:val="20"/>
      <w:lang w:val="en-GB"/>
    </w:rPr>
  </w:style>
  <w:style w:type="paragraph" w:styleId="BalloonText">
    <w:name w:val="Balloon Text"/>
    <w:basedOn w:val="Normal"/>
    <w:link w:val="BalloonTextChar"/>
    <w:uiPriority w:val="99"/>
    <w:semiHidden/>
    <w:unhideWhenUsed/>
    <w:rsid w:val="00084F3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4F37"/>
    <w:rPr>
      <w:rFonts w:ascii="Lucida Grande" w:hAnsi="Lucida Grande"/>
      <w:sz w:val="18"/>
      <w:szCs w:val="18"/>
      <w:lang w:val="en-GB"/>
    </w:rPr>
  </w:style>
  <w:style w:type="paragraph" w:styleId="Revision">
    <w:name w:val="Revision"/>
    <w:hidden/>
    <w:uiPriority w:val="99"/>
    <w:semiHidden/>
    <w:rsid w:val="00087103"/>
    <w:pPr>
      <w:spacing w:after="0" w:line="240" w:lineRule="auto"/>
    </w:pPr>
    <w:rPr>
      <w:lang w:val="en-GB"/>
    </w:rPr>
  </w:style>
  <w:style w:type="character" w:styleId="SubtleEmphasis">
    <w:name w:val="Subtle Emphasis"/>
    <w:basedOn w:val="DefaultParagraphFont"/>
    <w:uiPriority w:val="19"/>
    <w:qFormat/>
    <w:rsid w:val="000C54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681528">
      <w:bodyDiv w:val="1"/>
      <w:marLeft w:val="0"/>
      <w:marRight w:val="0"/>
      <w:marTop w:val="0"/>
      <w:marBottom w:val="0"/>
      <w:divBdr>
        <w:top w:val="none" w:sz="0" w:space="0" w:color="auto"/>
        <w:left w:val="none" w:sz="0" w:space="0" w:color="auto"/>
        <w:bottom w:val="none" w:sz="0" w:space="0" w:color="auto"/>
        <w:right w:val="none" w:sz="0" w:space="0" w:color="auto"/>
      </w:divBdr>
    </w:div>
    <w:div w:id="16138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ecuritycouncilreport.org/special-research-report/the-rule-of-law-can-the-security-council-make-better-use-of-the-international-court-of-justice.php" TargetMode="External"/><Relationship Id="rId13" Type="http://schemas.openxmlformats.org/officeDocument/2006/relationships/hyperlink" Target="http://www.icj-cij.org/en/charter-of-the-united-nations" TargetMode="External"/><Relationship Id="rId18" Type="http://schemas.openxmlformats.org/officeDocument/2006/relationships/hyperlink" Target="https://www.whitehouse.gov/the-press-office/2017/06/01/statement-president-trump-paris-climate-accord" TargetMode="External"/><Relationship Id="rId3" Type="http://schemas.openxmlformats.org/officeDocument/2006/relationships/hyperlink" Target="http://www.un.org/en/sections/about-un/trusteeship-council/index.html" TargetMode="External"/><Relationship Id="rId7" Type="http://schemas.openxmlformats.org/officeDocument/2006/relationships/hyperlink" Target="http://www.icj-cij.org/files/case-related/95/095-19951101-ORA-01-00-BI.pdf" TargetMode="External"/><Relationship Id="rId12" Type="http://schemas.openxmlformats.org/officeDocument/2006/relationships/hyperlink" Target="http://www.icj-cij.org/files/press-releases/1/3001.pdf" TargetMode="External"/><Relationship Id="rId17" Type="http://schemas.openxmlformats.org/officeDocument/2006/relationships/hyperlink" Target="http://unfccc.int/files/essential_background/convention/application/pdf/english_paris_agreement.pdf" TargetMode="External"/><Relationship Id="rId2" Type="http://schemas.openxmlformats.org/officeDocument/2006/relationships/hyperlink" Target="http://www.icj-cij.org/en/organs-agencies-authorized" TargetMode="External"/><Relationship Id="rId16" Type="http://schemas.openxmlformats.org/officeDocument/2006/relationships/hyperlink" Target="https://gadebate.un.org/sites/default/files/gastatements/66/PW_en.pdf" TargetMode="External"/><Relationship Id="rId1" Type="http://schemas.openxmlformats.org/officeDocument/2006/relationships/hyperlink" Target="http://www.icj-cij.org/files/case-related/169/169-20170629-PRE-01-00-EN.pdf" TargetMode="External"/><Relationship Id="rId6" Type="http://schemas.openxmlformats.org/officeDocument/2006/relationships/hyperlink" Target="http://legal.un.org/avl/pdf/ls/Abi-Saab_bio.pdf" TargetMode="External"/><Relationship Id="rId11" Type="http://schemas.openxmlformats.org/officeDocument/2006/relationships/hyperlink" Target="https://www.coe.int/en/web/conventions/full-list/-/conventions/treaty/214/signatures?p_auth=CsGuZK9E" TargetMode="External"/><Relationship Id="rId5" Type="http://schemas.openxmlformats.org/officeDocument/2006/relationships/hyperlink" Target="http://www.parliament.uk/business/publications/written-questions-answers-statements/written-statement/Commons/2017-06-26/HCWS10" TargetMode="External"/><Relationship Id="rId15" Type="http://schemas.openxmlformats.org/officeDocument/2006/relationships/hyperlink" Target="https://www.theguardian.com/world/2016/nov/17/mauritius-threatens-to-take-chagos-islands-row-to-un-court" TargetMode="External"/><Relationship Id="rId10" Type="http://schemas.openxmlformats.org/officeDocument/2006/relationships/hyperlink" Target="http://en.african-court.org/" TargetMode="External"/><Relationship Id="rId4" Type="http://schemas.openxmlformats.org/officeDocument/2006/relationships/hyperlink" Target="http://www.icj-cij.org/en/decisions/advisory-opinion/1946/2017/asc" TargetMode="External"/><Relationship Id="rId9" Type="http://schemas.openxmlformats.org/officeDocument/2006/relationships/hyperlink" Target="http://www.un.org/documents/ga/res/43/a43r051.htm" TargetMode="External"/><Relationship Id="rId14" Type="http://schemas.openxmlformats.org/officeDocument/2006/relationships/hyperlink" Target="http://www.un.org/en/ga/contributions/honourro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50A3-B12B-4798-91E7-EFC2D51D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6713</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2017-01-02T09:36:00Z</cp:lastPrinted>
  <dcterms:created xsi:type="dcterms:W3CDTF">2018-10-14T19:19:00Z</dcterms:created>
  <dcterms:modified xsi:type="dcterms:W3CDTF">2018-10-14T20:32:00Z</dcterms:modified>
</cp:coreProperties>
</file>