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E81" w:rsidRDefault="004B48A4" w:rsidP="00FA41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REPARATION</w:t>
      </w:r>
      <w:r w:rsidR="004D49FB">
        <w:rPr>
          <w:rFonts w:ascii="Times New Roman" w:hAnsi="Times New Roman" w:cs="Times New Roman"/>
          <w:b/>
          <w:sz w:val="24"/>
          <w:szCs w:val="24"/>
        </w:rPr>
        <w:t>S</w:t>
      </w:r>
      <w:r w:rsidR="008F7EA4">
        <w:rPr>
          <w:rFonts w:ascii="Times New Roman" w:hAnsi="Times New Roman" w:cs="Times New Roman"/>
          <w:b/>
          <w:sz w:val="24"/>
          <w:szCs w:val="24"/>
        </w:rPr>
        <w:t xml:space="preserve"> FOR </w:t>
      </w:r>
      <w:r w:rsidR="00D9131D">
        <w:rPr>
          <w:rFonts w:ascii="Times New Roman" w:hAnsi="Times New Roman" w:cs="Times New Roman"/>
          <w:b/>
          <w:sz w:val="24"/>
          <w:szCs w:val="24"/>
        </w:rPr>
        <w:t xml:space="preserve">AFGHAN VICTIMS OF </w:t>
      </w:r>
      <w:r w:rsidR="00794E81" w:rsidRPr="0032528B">
        <w:rPr>
          <w:rFonts w:ascii="Times New Roman" w:hAnsi="Times New Roman" w:cs="Times New Roman"/>
          <w:b/>
          <w:sz w:val="24"/>
          <w:szCs w:val="24"/>
        </w:rPr>
        <w:t>AUSTRALIAN WAR CRIMES</w:t>
      </w:r>
    </w:p>
    <w:p w:rsidR="00D9131D" w:rsidRPr="0032528B" w:rsidRDefault="00D9131D" w:rsidP="00FA41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Alexandra Fowler</w:t>
      </w:r>
      <w:r w:rsidR="00307946">
        <w:rPr>
          <w:rFonts w:ascii="Times New Roman" w:hAnsi="Times New Roman" w:cs="Times New Roman"/>
          <w:b/>
          <w:sz w:val="24"/>
          <w:szCs w:val="24"/>
        </w:rPr>
        <w:t>*</w:t>
      </w:r>
    </w:p>
    <w:p w:rsidR="00794E81" w:rsidRPr="0032528B" w:rsidRDefault="00794E81" w:rsidP="00FA4156">
      <w:pPr>
        <w:spacing w:line="360" w:lineRule="auto"/>
        <w:jc w:val="both"/>
        <w:rPr>
          <w:rFonts w:ascii="Times New Roman" w:hAnsi="Times New Roman" w:cs="Times New Roman"/>
          <w:sz w:val="24"/>
          <w:szCs w:val="24"/>
        </w:rPr>
      </w:pPr>
    </w:p>
    <w:p w:rsidR="006E18B1" w:rsidRPr="006E18B1" w:rsidRDefault="006E18B1" w:rsidP="00FA4156">
      <w:pPr>
        <w:spacing w:line="360" w:lineRule="auto"/>
        <w:rPr>
          <w:rFonts w:ascii="Times New Roman" w:hAnsi="Times New Roman" w:cs="Times New Roman"/>
          <w:b/>
          <w:sz w:val="24"/>
          <w:szCs w:val="24"/>
        </w:rPr>
      </w:pPr>
      <w:r w:rsidRPr="006E18B1">
        <w:rPr>
          <w:rFonts w:ascii="Times New Roman" w:hAnsi="Times New Roman" w:cs="Times New Roman"/>
          <w:b/>
          <w:sz w:val="24"/>
          <w:szCs w:val="24"/>
        </w:rPr>
        <w:t>Abstract</w:t>
      </w:r>
    </w:p>
    <w:p w:rsidR="006E18B1" w:rsidRDefault="00424393" w:rsidP="00FA4156">
      <w:pPr>
        <w:spacing w:line="360" w:lineRule="auto"/>
        <w:jc w:val="both"/>
        <w:rPr>
          <w:rFonts w:ascii="Times New Roman" w:hAnsi="Times New Roman" w:cs="Times New Roman"/>
          <w:sz w:val="24"/>
          <w:szCs w:val="24"/>
        </w:rPr>
      </w:pPr>
      <w:r w:rsidRPr="0032528B">
        <w:rPr>
          <w:rFonts w:ascii="Times New Roman" w:hAnsi="Times New Roman" w:cs="Times New Roman"/>
          <w:sz w:val="24"/>
          <w:szCs w:val="24"/>
        </w:rPr>
        <w:t xml:space="preserve">It has now been </w:t>
      </w:r>
      <w:r>
        <w:rPr>
          <w:rFonts w:ascii="Times New Roman" w:hAnsi="Times New Roman" w:cs="Times New Roman"/>
          <w:sz w:val="24"/>
          <w:szCs w:val="24"/>
        </w:rPr>
        <w:t>over two years</w:t>
      </w:r>
      <w:r w:rsidRPr="0032528B">
        <w:rPr>
          <w:rFonts w:ascii="Times New Roman" w:hAnsi="Times New Roman" w:cs="Times New Roman"/>
          <w:sz w:val="24"/>
          <w:szCs w:val="24"/>
        </w:rPr>
        <w:t xml:space="preserve"> since the</w:t>
      </w:r>
      <w:r>
        <w:rPr>
          <w:rFonts w:ascii="Times New Roman" w:hAnsi="Times New Roman" w:cs="Times New Roman"/>
          <w:sz w:val="24"/>
          <w:szCs w:val="24"/>
        </w:rPr>
        <w:t xml:space="preserve"> </w:t>
      </w:r>
      <w:r w:rsidRPr="00B26A22">
        <w:rPr>
          <w:rFonts w:ascii="Times New Roman" w:hAnsi="Times New Roman" w:cs="Times New Roman"/>
          <w:i/>
          <w:sz w:val="24"/>
          <w:szCs w:val="24"/>
        </w:rPr>
        <w:t>Brereton Report</w:t>
      </w:r>
      <w:r>
        <w:rPr>
          <w:rFonts w:ascii="Times New Roman" w:hAnsi="Times New Roman" w:cs="Times New Roman"/>
          <w:sz w:val="24"/>
          <w:szCs w:val="24"/>
        </w:rPr>
        <w:t xml:space="preserve"> </w:t>
      </w:r>
      <w:r w:rsidRPr="0032528B">
        <w:rPr>
          <w:rFonts w:ascii="Times New Roman" w:hAnsi="Times New Roman" w:cs="Times New Roman"/>
          <w:sz w:val="24"/>
          <w:szCs w:val="24"/>
        </w:rPr>
        <w:t>detailed</w:t>
      </w:r>
      <w:r>
        <w:rPr>
          <w:rFonts w:ascii="Times New Roman" w:hAnsi="Times New Roman" w:cs="Times New Roman"/>
          <w:sz w:val="24"/>
          <w:szCs w:val="24"/>
        </w:rPr>
        <w:t xml:space="preserve"> a series of </w:t>
      </w:r>
      <w:r w:rsidR="00102F24">
        <w:rPr>
          <w:rFonts w:ascii="Times New Roman" w:hAnsi="Times New Roman" w:cs="Times New Roman"/>
          <w:sz w:val="24"/>
          <w:szCs w:val="24"/>
        </w:rPr>
        <w:t xml:space="preserve">Australian </w:t>
      </w:r>
      <w:r>
        <w:rPr>
          <w:rFonts w:ascii="Times New Roman" w:hAnsi="Times New Roman" w:cs="Times New Roman"/>
          <w:sz w:val="24"/>
          <w:szCs w:val="24"/>
        </w:rPr>
        <w:t>SASR war crimes in Afghanistan against non-combatants or persons</w:t>
      </w:r>
      <w:r w:rsidRPr="0032528B">
        <w:rPr>
          <w:rFonts w:ascii="Times New Roman" w:eastAsia="Times New Roman" w:hAnsi="Times New Roman" w:cs="Times New Roman"/>
          <w:color w:val="121212"/>
          <w:sz w:val="24"/>
          <w:szCs w:val="24"/>
          <w:lang w:eastAsia="en-GB"/>
        </w:rPr>
        <w:t xml:space="preserve"> </w:t>
      </w:r>
      <w:r w:rsidRPr="0032528B">
        <w:rPr>
          <w:rFonts w:ascii="Times New Roman" w:eastAsia="Times New Roman" w:hAnsi="Times New Roman" w:cs="Times New Roman"/>
          <w:i/>
          <w:color w:val="121212"/>
          <w:sz w:val="24"/>
          <w:szCs w:val="24"/>
          <w:lang w:eastAsia="en-GB"/>
        </w:rPr>
        <w:t>hors-de-combat</w:t>
      </w:r>
      <w:r>
        <w:rPr>
          <w:rFonts w:ascii="Times New Roman" w:eastAsia="Times New Roman" w:hAnsi="Times New Roman" w:cs="Times New Roman"/>
          <w:i/>
          <w:color w:val="121212"/>
          <w:sz w:val="24"/>
          <w:szCs w:val="24"/>
          <w:lang w:eastAsia="en-GB"/>
        </w:rPr>
        <w:t xml:space="preserve">. </w:t>
      </w:r>
      <w:r>
        <w:rPr>
          <w:rFonts w:ascii="Times New Roman" w:eastAsia="Times New Roman" w:hAnsi="Times New Roman" w:cs="Times New Roman"/>
          <w:color w:val="121212"/>
          <w:sz w:val="24"/>
          <w:szCs w:val="24"/>
          <w:lang w:eastAsia="en-GB"/>
        </w:rPr>
        <w:t>Finally</w:t>
      </w:r>
      <w:r w:rsidR="00FA4156">
        <w:rPr>
          <w:rFonts w:ascii="Times New Roman" w:eastAsia="Times New Roman" w:hAnsi="Times New Roman" w:cs="Times New Roman"/>
          <w:color w:val="121212"/>
          <w:sz w:val="24"/>
          <w:szCs w:val="24"/>
          <w:lang w:eastAsia="en-GB"/>
        </w:rPr>
        <w:t>,</w:t>
      </w:r>
      <w:r>
        <w:rPr>
          <w:rFonts w:ascii="Times New Roman" w:eastAsia="Times New Roman" w:hAnsi="Times New Roman" w:cs="Times New Roman"/>
          <w:color w:val="121212"/>
          <w:sz w:val="24"/>
          <w:szCs w:val="24"/>
          <w:lang w:eastAsia="en-GB"/>
        </w:rPr>
        <w:t xml:space="preserve"> the Office of the Special Investigator has produced its first prosecution</w:t>
      </w:r>
      <w:r>
        <w:rPr>
          <w:rFonts w:ascii="Times New Roman" w:hAnsi="Times New Roman" w:cs="Times New Roman"/>
          <w:sz w:val="24"/>
          <w:szCs w:val="24"/>
        </w:rPr>
        <w:t xml:space="preserve"> </w:t>
      </w:r>
      <w:r w:rsidR="00102F24">
        <w:rPr>
          <w:rFonts w:ascii="Times New Roman" w:hAnsi="Times New Roman" w:cs="Times New Roman"/>
          <w:sz w:val="24"/>
          <w:szCs w:val="24"/>
        </w:rPr>
        <w:t xml:space="preserve">of a former soldier for the war crime of murder, but there is a distinct lack of clarity over the extent of involvement of Afghan witnesses in the investigatory process, as </w:t>
      </w:r>
      <w:r w:rsidR="00FA4156">
        <w:rPr>
          <w:rFonts w:ascii="Times New Roman" w:hAnsi="Times New Roman" w:cs="Times New Roman"/>
          <w:sz w:val="24"/>
          <w:szCs w:val="24"/>
        </w:rPr>
        <w:t>well as</w:t>
      </w:r>
      <w:r w:rsidR="00102F24">
        <w:rPr>
          <w:rFonts w:ascii="Times New Roman" w:hAnsi="Times New Roman" w:cs="Times New Roman"/>
          <w:sz w:val="24"/>
          <w:szCs w:val="24"/>
        </w:rPr>
        <w:t xml:space="preserve"> in the trial itself. It is imperative that early plans be made for </w:t>
      </w:r>
      <w:r w:rsidR="00E93E56">
        <w:rPr>
          <w:rFonts w:ascii="Times New Roman" w:hAnsi="Times New Roman" w:cs="Times New Roman"/>
          <w:sz w:val="24"/>
          <w:szCs w:val="24"/>
        </w:rPr>
        <w:t xml:space="preserve">meaningful </w:t>
      </w:r>
      <w:r w:rsidR="00A771E5">
        <w:rPr>
          <w:rFonts w:ascii="Times New Roman" w:hAnsi="Times New Roman" w:cs="Times New Roman"/>
          <w:sz w:val="24"/>
          <w:szCs w:val="24"/>
        </w:rPr>
        <w:t xml:space="preserve">victim </w:t>
      </w:r>
      <w:r w:rsidR="00102F24">
        <w:rPr>
          <w:rFonts w:ascii="Times New Roman" w:hAnsi="Times New Roman" w:cs="Times New Roman"/>
          <w:sz w:val="24"/>
          <w:szCs w:val="24"/>
        </w:rPr>
        <w:t>participation in the trial(s) ahead</w:t>
      </w:r>
      <w:r w:rsidR="00E93E56">
        <w:rPr>
          <w:rFonts w:ascii="Times New Roman" w:hAnsi="Times New Roman" w:cs="Times New Roman"/>
          <w:sz w:val="24"/>
          <w:szCs w:val="24"/>
        </w:rPr>
        <w:t>, despite the nature of Australia’s adversarial process and uneasiness over the Taliban government</w:t>
      </w:r>
      <w:r w:rsidR="00B26A22">
        <w:rPr>
          <w:rFonts w:ascii="Times New Roman" w:hAnsi="Times New Roman" w:cs="Times New Roman"/>
          <w:sz w:val="24"/>
          <w:szCs w:val="24"/>
        </w:rPr>
        <w:t xml:space="preserve">. This would boost the evidentiary case </w:t>
      </w:r>
      <w:r w:rsidR="00E93E56">
        <w:rPr>
          <w:rFonts w:ascii="Times New Roman" w:hAnsi="Times New Roman" w:cs="Times New Roman"/>
          <w:sz w:val="24"/>
          <w:szCs w:val="24"/>
        </w:rPr>
        <w:t>and</w:t>
      </w:r>
      <w:r w:rsidR="00B26A22">
        <w:rPr>
          <w:rFonts w:ascii="Times New Roman" w:hAnsi="Times New Roman" w:cs="Times New Roman"/>
          <w:sz w:val="24"/>
          <w:szCs w:val="24"/>
        </w:rPr>
        <w:t xml:space="preserve"> avoid any</w:t>
      </w:r>
      <w:r w:rsidR="00B26A22" w:rsidRPr="00F955EF">
        <w:rPr>
          <w:rFonts w:ascii="Times New Roman" w:hAnsi="Times New Roman" w:cs="Times New Roman"/>
          <w:sz w:val="24"/>
          <w:szCs w:val="24"/>
        </w:rPr>
        <w:t xml:space="preserve"> secondary victimisation</w:t>
      </w:r>
      <w:r w:rsidR="00B26A22">
        <w:rPr>
          <w:rFonts w:ascii="Times New Roman" w:hAnsi="Times New Roman" w:cs="Times New Roman"/>
          <w:sz w:val="24"/>
          <w:szCs w:val="24"/>
        </w:rPr>
        <w:t xml:space="preserve"> that may occur </w:t>
      </w:r>
      <w:r w:rsidR="00B26A22" w:rsidRPr="00F955EF">
        <w:rPr>
          <w:rFonts w:ascii="Times New Roman" w:hAnsi="Times New Roman" w:cs="Times New Roman"/>
          <w:sz w:val="24"/>
          <w:szCs w:val="24"/>
        </w:rPr>
        <w:t xml:space="preserve">if victims are not properly involved in </w:t>
      </w:r>
      <w:r w:rsidR="00B26A22">
        <w:rPr>
          <w:rFonts w:ascii="Times New Roman" w:hAnsi="Times New Roman" w:cs="Times New Roman"/>
          <w:sz w:val="24"/>
          <w:szCs w:val="24"/>
        </w:rPr>
        <w:t>a prosecution</w:t>
      </w:r>
      <w:r w:rsidR="00B26A22" w:rsidRPr="00F955EF">
        <w:rPr>
          <w:rFonts w:ascii="Times New Roman" w:hAnsi="Times New Roman" w:cs="Times New Roman"/>
          <w:sz w:val="24"/>
          <w:szCs w:val="24"/>
        </w:rPr>
        <w:t xml:space="preserve"> process</w:t>
      </w:r>
      <w:r w:rsidR="00B26A22">
        <w:rPr>
          <w:rFonts w:ascii="Times New Roman" w:hAnsi="Times New Roman" w:cs="Times New Roman"/>
          <w:sz w:val="24"/>
          <w:szCs w:val="24"/>
        </w:rPr>
        <w:t>.</w:t>
      </w:r>
      <w:r w:rsidR="00E93E56">
        <w:rPr>
          <w:rFonts w:ascii="Times New Roman" w:hAnsi="Times New Roman" w:cs="Times New Roman"/>
          <w:sz w:val="24"/>
          <w:szCs w:val="24"/>
        </w:rPr>
        <w:t xml:space="preserve"> </w:t>
      </w:r>
      <w:r w:rsidR="009F4F3C">
        <w:rPr>
          <w:rFonts w:ascii="Times New Roman" w:hAnsi="Times New Roman" w:cs="Times New Roman"/>
          <w:sz w:val="24"/>
          <w:szCs w:val="24"/>
        </w:rPr>
        <w:t>Australia’s p</w:t>
      </w:r>
      <w:r w:rsidR="00E93E56">
        <w:rPr>
          <w:rFonts w:ascii="Times New Roman" w:hAnsi="Times New Roman" w:cs="Times New Roman"/>
          <w:sz w:val="24"/>
          <w:szCs w:val="24"/>
        </w:rPr>
        <w:t xml:space="preserve">lans for reparation </w:t>
      </w:r>
      <w:r w:rsidR="006F5028">
        <w:rPr>
          <w:rFonts w:ascii="Times New Roman" w:hAnsi="Times New Roman" w:cs="Times New Roman"/>
          <w:sz w:val="24"/>
          <w:szCs w:val="24"/>
        </w:rPr>
        <w:t xml:space="preserve">are well overdue and </w:t>
      </w:r>
      <w:r w:rsidR="00E93E56">
        <w:rPr>
          <w:rFonts w:ascii="Times New Roman" w:hAnsi="Times New Roman" w:cs="Times New Roman"/>
          <w:sz w:val="24"/>
          <w:szCs w:val="24"/>
        </w:rPr>
        <w:t xml:space="preserve">need to be given much more priority </w:t>
      </w:r>
      <w:r w:rsidR="001058DA">
        <w:rPr>
          <w:rFonts w:ascii="Times New Roman" w:hAnsi="Times New Roman" w:cs="Times New Roman"/>
          <w:sz w:val="24"/>
          <w:szCs w:val="24"/>
        </w:rPr>
        <w:t xml:space="preserve">and attention </w:t>
      </w:r>
      <w:r w:rsidR="00E93E56">
        <w:rPr>
          <w:rFonts w:ascii="Times New Roman" w:hAnsi="Times New Roman" w:cs="Times New Roman"/>
          <w:sz w:val="24"/>
          <w:szCs w:val="24"/>
        </w:rPr>
        <w:t xml:space="preserve">than they have </w:t>
      </w:r>
      <w:r w:rsidR="001058DA">
        <w:rPr>
          <w:rFonts w:ascii="Times New Roman" w:hAnsi="Times New Roman" w:cs="Times New Roman"/>
          <w:sz w:val="24"/>
          <w:szCs w:val="24"/>
        </w:rPr>
        <w:t>had</w:t>
      </w:r>
      <w:r w:rsidR="00E93E56">
        <w:rPr>
          <w:rFonts w:ascii="Times New Roman" w:hAnsi="Times New Roman" w:cs="Times New Roman"/>
          <w:sz w:val="24"/>
          <w:szCs w:val="24"/>
        </w:rPr>
        <w:t xml:space="preserve"> to date.</w:t>
      </w:r>
    </w:p>
    <w:p w:rsidR="00E93E56" w:rsidRDefault="00E93E56" w:rsidP="00FA4156">
      <w:pPr>
        <w:spacing w:line="360" w:lineRule="auto"/>
        <w:jc w:val="both"/>
        <w:rPr>
          <w:rFonts w:ascii="Times New Roman" w:hAnsi="Times New Roman" w:cs="Times New Roman"/>
          <w:sz w:val="24"/>
          <w:szCs w:val="24"/>
        </w:rPr>
      </w:pPr>
    </w:p>
    <w:p w:rsidR="00FE685B" w:rsidRPr="00FE685B" w:rsidRDefault="00FE685B" w:rsidP="00FA4156">
      <w:pPr>
        <w:spacing w:line="360" w:lineRule="auto"/>
        <w:jc w:val="both"/>
        <w:rPr>
          <w:rFonts w:ascii="Times New Roman" w:hAnsi="Times New Roman" w:cs="Times New Roman"/>
          <w:b/>
          <w:sz w:val="24"/>
          <w:szCs w:val="24"/>
        </w:rPr>
      </w:pPr>
      <w:r w:rsidRPr="00FE685B">
        <w:rPr>
          <w:rFonts w:ascii="Times New Roman" w:hAnsi="Times New Roman" w:cs="Times New Roman"/>
          <w:b/>
          <w:sz w:val="24"/>
          <w:szCs w:val="24"/>
        </w:rPr>
        <w:t>Keywords</w:t>
      </w:r>
    </w:p>
    <w:p w:rsidR="00FE685B" w:rsidRDefault="00FE685B" w:rsidP="00FA4156">
      <w:pPr>
        <w:spacing w:line="360" w:lineRule="auto"/>
        <w:jc w:val="both"/>
        <w:rPr>
          <w:rFonts w:ascii="Times New Roman" w:hAnsi="Times New Roman" w:cs="Times New Roman"/>
          <w:sz w:val="24"/>
          <w:szCs w:val="24"/>
        </w:rPr>
      </w:pPr>
      <w:r>
        <w:rPr>
          <w:rFonts w:ascii="Times New Roman" w:hAnsi="Times New Roman" w:cs="Times New Roman"/>
          <w:sz w:val="24"/>
          <w:szCs w:val="24"/>
        </w:rPr>
        <w:t>Reparations; victims; war crimes; Australia; Afghanistan</w:t>
      </w:r>
    </w:p>
    <w:p w:rsidR="00FE685B" w:rsidRDefault="00FE685B" w:rsidP="00FA4156">
      <w:pPr>
        <w:spacing w:line="360" w:lineRule="auto"/>
        <w:jc w:val="both"/>
        <w:rPr>
          <w:rFonts w:ascii="Times New Roman" w:hAnsi="Times New Roman" w:cs="Times New Roman"/>
          <w:sz w:val="24"/>
          <w:szCs w:val="24"/>
        </w:rPr>
      </w:pPr>
    </w:p>
    <w:p w:rsidR="006E18B1" w:rsidRPr="006E18B1" w:rsidRDefault="006E18B1" w:rsidP="00FA4156">
      <w:pPr>
        <w:spacing w:line="360" w:lineRule="auto"/>
        <w:jc w:val="both"/>
        <w:rPr>
          <w:rFonts w:ascii="Times New Roman" w:hAnsi="Times New Roman" w:cs="Times New Roman"/>
          <w:b/>
          <w:sz w:val="24"/>
          <w:szCs w:val="24"/>
        </w:rPr>
      </w:pPr>
      <w:r w:rsidRPr="006E18B1">
        <w:rPr>
          <w:rFonts w:ascii="Times New Roman" w:hAnsi="Times New Roman" w:cs="Times New Roman"/>
          <w:b/>
          <w:sz w:val="24"/>
          <w:szCs w:val="24"/>
        </w:rPr>
        <w:t>Introduction</w:t>
      </w:r>
    </w:p>
    <w:p w:rsidR="00794E81" w:rsidRPr="0032528B" w:rsidRDefault="00794E81" w:rsidP="00FA4156">
      <w:pPr>
        <w:spacing w:line="360" w:lineRule="auto"/>
        <w:jc w:val="both"/>
        <w:rPr>
          <w:rFonts w:ascii="Times New Roman" w:hAnsi="Times New Roman" w:cs="Times New Roman"/>
          <w:color w:val="121212"/>
          <w:sz w:val="24"/>
          <w:szCs w:val="24"/>
        </w:rPr>
      </w:pPr>
      <w:r w:rsidRPr="0032528B">
        <w:rPr>
          <w:rFonts w:ascii="Times New Roman" w:hAnsi="Times New Roman" w:cs="Times New Roman"/>
          <w:sz w:val="24"/>
          <w:szCs w:val="24"/>
        </w:rPr>
        <w:t xml:space="preserve">It has now been </w:t>
      </w:r>
      <w:r w:rsidR="00624E17">
        <w:rPr>
          <w:rFonts w:ascii="Times New Roman" w:hAnsi="Times New Roman" w:cs="Times New Roman"/>
          <w:sz w:val="24"/>
          <w:szCs w:val="24"/>
        </w:rPr>
        <w:t xml:space="preserve">over </w:t>
      </w:r>
      <w:r>
        <w:rPr>
          <w:rFonts w:ascii="Times New Roman" w:hAnsi="Times New Roman" w:cs="Times New Roman"/>
          <w:sz w:val="24"/>
          <w:szCs w:val="24"/>
        </w:rPr>
        <w:t>two years</w:t>
      </w:r>
      <w:r w:rsidRPr="0032528B">
        <w:rPr>
          <w:rFonts w:ascii="Times New Roman" w:hAnsi="Times New Roman" w:cs="Times New Roman"/>
          <w:sz w:val="24"/>
          <w:szCs w:val="24"/>
        </w:rPr>
        <w:t xml:space="preserve"> since the</w:t>
      </w:r>
      <w:r w:rsidR="007C7B43">
        <w:rPr>
          <w:rFonts w:ascii="Times New Roman" w:hAnsi="Times New Roman" w:cs="Times New Roman"/>
          <w:sz w:val="24"/>
          <w:szCs w:val="24"/>
        </w:rPr>
        <w:t xml:space="preserve"> </w:t>
      </w:r>
      <w:r w:rsidR="007C7B43" w:rsidRPr="00B26A22">
        <w:rPr>
          <w:rFonts w:ascii="Times New Roman" w:hAnsi="Times New Roman" w:cs="Times New Roman"/>
          <w:i/>
          <w:sz w:val="24"/>
          <w:szCs w:val="24"/>
        </w:rPr>
        <w:t>Brereton Report</w:t>
      </w:r>
      <w:r w:rsidR="007C7B43">
        <w:rPr>
          <w:rStyle w:val="FootnoteReference"/>
          <w:rFonts w:ascii="Times New Roman" w:hAnsi="Times New Roman" w:cs="Times New Roman"/>
          <w:sz w:val="24"/>
          <w:szCs w:val="24"/>
        </w:rPr>
        <w:footnoteReference w:id="1"/>
      </w:r>
      <w:r w:rsidRPr="0032528B">
        <w:rPr>
          <w:rFonts w:ascii="Times New Roman" w:hAnsi="Times New Roman" w:cs="Times New Roman"/>
          <w:sz w:val="24"/>
          <w:szCs w:val="24"/>
        </w:rPr>
        <w:t xml:space="preserve"> detailed credible evidence of a series of alleged SASR war crimes in Afghanistan from 2005-2016. A</w:t>
      </w:r>
      <w:r w:rsidRPr="0032528B">
        <w:rPr>
          <w:rFonts w:ascii="Times New Roman" w:eastAsia="Times New Roman" w:hAnsi="Times New Roman" w:cs="Times New Roman"/>
          <w:color w:val="121212"/>
          <w:sz w:val="24"/>
          <w:szCs w:val="24"/>
          <w:lang w:eastAsia="en-GB"/>
        </w:rPr>
        <w:t xml:space="preserve">ccording to the </w:t>
      </w:r>
      <w:r w:rsidRPr="00B26A22">
        <w:rPr>
          <w:rFonts w:ascii="Times New Roman" w:eastAsia="Times New Roman" w:hAnsi="Times New Roman" w:cs="Times New Roman"/>
          <w:i/>
          <w:color w:val="121212"/>
          <w:sz w:val="24"/>
          <w:szCs w:val="24"/>
          <w:lang w:eastAsia="en-GB"/>
        </w:rPr>
        <w:t>Report</w:t>
      </w:r>
      <w:r w:rsidRPr="0032528B">
        <w:rPr>
          <w:rFonts w:ascii="Times New Roman" w:eastAsia="Times New Roman" w:hAnsi="Times New Roman" w:cs="Times New Roman"/>
          <w:color w:val="121212"/>
          <w:sz w:val="24"/>
          <w:szCs w:val="24"/>
          <w:lang w:eastAsia="en-GB"/>
        </w:rPr>
        <w:t>, 39 Afghans had been wilfully and unlawfully killed by 25 ADF members in 23 incidents, along with two instances of cruel treatment</w:t>
      </w:r>
      <w:r>
        <w:rPr>
          <w:rFonts w:ascii="Times New Roman" w:eastAsia="Times New Roman" w:hAnsi="Times New Roman" w:cs="Times New Roman"/>
          <w:color w:val="121212"/>
          <w:sz w:val="24"/>
          <w:szCs w:val="24"/>
          <w:lang w:eastAsia="en-GB"/>
        </w:rPr>
        <w:t>,</w:t>
      </w:r>
      <w:r w:rsidRPr="0032528B">
        <w:rPr>
          <w:rFonts w:ascii="Times New Roman" w:eastAsia="Times New Roman" w:hAnsi="Times New Roman" w:cs="Times New Roman"/>
          <w:color w:val="121212"/>
          <w:sz w:val="24"/>
          <w:szCs w:val="24"/>
          <w:lang w:eastAsia="en-GB"/>
        </w:rPr>
        <w:t xml:space="preserve"> in circumstances where it “was or should have been plain that the person killed was a non-combatant, or </w:t>
      </w:r>
      <w:r w:rsidRPr="0032528B">
        <w:rPr>
          <w:rFonts w:ascii="Times New Roman" w:eastAsia="Times New Roman" w:hAnsi="Times New Roman" w:cs="Times New Roman"/>
          <w:i/>
          <w:color w:val="121212"/>
          <w:sz w:val="24"/>
          <w:szCs w:val="24"/>
          <w:lang w:eastAsia="en-GB"/>
        </w:rPr>
        <w:t>hors-de-combat</w:t>
      </w:r>
      <w:r w:rsidRPr="0032528B">
        <w:rPr>
          <w:rFonts w:ascii="Times New Roman" w:eastAsia="Times New Roman" w:hAnsi="Times New Roman" w:cs="Times New Roman"/>
          <w:color w:val="121212"/>
          <w:sz w:val="24"/>
          <w:szCs w:val="24"/>
          <w:lang w:eastAsia="en-GB"/>
        </w:rPr>
        <w:t>”</w:t>
      </w:r>
      <w:r w:rsidR="007C7B43">
        <w:rPr>
          <w:rFonts w:ascii="Times New Roman" w:eastAsia="Times New Roman" w:hAnsi="Times New Roman" w:cs="Times New Roman"/>
          <w:color w:val="121212"/>
          <w:sz w:val="24"/>
          <w:szCs w:val="24"/>
          <w:lang w:eastAsia="en-GB"/>
        </w:rPr>
        <w:t>.</w:t>
      </w:r>
      <w:r w:rsidR="007C7B43">
        <w:rPr>
          <w:rStyle w:val="FootnoteReference"/>
          <w:rFonts w:ascii="Times New Roman" w:eastAsia="Times New Roman" w:hAnsi="Times New Roman" w:cs="Times New Roman"/>
          <w:color w:val="121212"/>
          <w:sz w:val="24"/>
          <w:szCs w:val="24"/>
          <w:lang w:eastAsia="en-GB"/>
        </w:rPr>
        <w:footnoteReference w:id="2"/>
      </w:r>
      <w:r w:rsidRPr="0032528B">
        <w:rPr>
          <w:rFonts w:ascii="Times New Roman" w:eastAsia="Times New Roman" w:hAnsi="Times New Roman" w:cs="Times New Roman"/>
          <w:color w:val="121212"/>
          <w:sz w:val="24"/>
          <w:szCs w:val="24"/>
          <w:lang w:eastAsia="en-GB"/>
        </w:rPr>
        <w:t xml:space="preserve"> The killings and abuse were accompanied by a damning catalogue of slips in military discipline, culture and oversight, </w:t>
      </w:r>
      <w:r w:rsidRPr="0032528B">
        <w:rPr>
          <w:rFonts w:ascii="Times New Roman" w:eastAsia="Times New Roman" w:hAnsi="Times New Roman" w:cs="Times New Roman"/>
          <w:color w:val="121212"/>
          <w:sz w:val="24"/>
          <w:szCs w:val="24"/>
          <w:lang w:eastAsia="en-GB"/>
        </w:rPr>
        <w:lastRenderedPageBreak/>
        <w:t xml:space="preserve">involving </w:t>
      </w:r>
      <w:r w:rsidRPr="0032528B">
        <w:rPr>
          <w:rFonts w:ascii="Times New Roman" w:hAnsi="Times New Roman" w:cs="Times New Roman"/>
          <w:color w:val="121212"/>
          <w:sz w:val="24"/>
          <w:szCs w:val="24"/>
        </w:rPr>
        <w:t>the “blooding” or initiation of young soldiers, a practice of covering up deliberate killings by placing “throwdowns” on bodies to make them look like legitimate kills, sanitising operational reports to make it appear that the laws of engagement had been complied with, and a marked culture of impunity. There were other issues relating to a lack of command and control of Special Forces in theatre, and insufficient impartial and effective investigatory mechanisms</w:t>
      </w:r>
      <w:r w:rsidR="00AA4EE5">
        <w:rPr>
          <w:rFonts w:ascii="Times New Roman" w:hAnsi="Times New Roman" w:cs="Times New Roman"/>
          <w:color w:val="121212"/>
          <w:sz w:val="24"/>
          <w:szCs w:val="24"/>
        </w:rPr>
        <w:t>.</w:t>
      </w:r>
      <w:r w:rsidR="007C7B43">
        <w:rPr>
          <w:rStyle w:val="FootnoteReference"/>
          <w:rFonts w:ascii="Times New Roman" w:hAnsi="Times New Roman" w:cs="Times New Roman"/>
          <w:color w:val="121212"/>
          <w:sz w:val="24"/>
          <w:szCs w:val="24"/>
        </w:rPr>
        <w:footnoteReference w:id="3"/>
      </w:r>
      <w:r w:rsidRPr="0032528B">
        <w:rPr>
          <w:rFonts w:ascii="Times New Roman" w:hAnsi="Times New Roman" w:cs="Times New Roman"/>
          <w:color w:val="121212"/>
          <w:sz w:val="24"/>
          <w:szCs w:val="24"/>
        </w:rPr>
        <w:t xml:space="preserve"> </w:t>
      </w:r>
      <w:r w:rsidRPr="0032528B">
        <w:rPr>
          <w:rFonts w:ascii="Times New Roman" w:eastAsia="Times New Roman" w:hAnsi="Times New Roman" w:cs="Times New Roman"/>
          <w:color w:val="121212"/>
          <w:sz w:val="24"/>
          <w:szCs w:val="24"/>
          <w:lang w:eastAsia="en-GB"/>
        </w:rPr>
        <w:t xml:space="preserve">Brereton recommended the cases be referred to the AFP as there was a realistic prospect of a criminal investigation obtaining sufficient information to charge the perpetrators with </w:t>
      </w:r>
      <w:r w:rsidRPr="0032528B">
        <w:rPr>
          <w:rFonts w:ascii="Times New Roman" w:hAnsi="Times New Roman" w:cs="Times New Roman"/>
          <w:sz w:val="24"/>
          <w:szCs w:val="24"/>
        </w:rPr>
        <w:t>the war crime of murder, and/or counselling, procuring or inciting the war crime of murder (</w:t>
      </w:r>
      <w:r w:rsidRPr="009574CB">
        <w:rPr>
          <w:rFonts w:ascii="Times New Roman" w:hAnsi="Times New Roman" w:cs="Times New Roman"/>
          <w:i/>
          <w:sz w:val="24"/>
          <w:szCs w:val="24"/>
        </w:rPr>
        <w:t>Criminal Code</w:t>
      </w:r>
      <w:r w:rsidRPr="0032528B">
        <w:rPr>
          <w:rFonts w:ascii="Times New Roman" w:hAnsi="Times New Roman" w:cs="Times New Roman"/>
          <w:sz w:val="24"/>
          <w:szCs w:val="24"/>
        </w:rPr>
        <w:t xml:space="preserve"> </w:t>
      </w:r>
      <w:r w:rsidR="00AA4EE5" w:rsidRPr="0097555B">
        <w:rPr>
          <w:rStyle w:val="Emphasis"/>
          <w:rFonts w:ascii="Times New Roman" w:hAnsi="Times New Roman" w:cs="Times New Roman"/>
          <w:color w:val="313131"/>
          <w:sz w:val="24"/>
          <w:szCs w:val="24"/>
          <w:shd w:val="clear" w:color="auto" w:fill="FFFFFF"/>
        </w:rPr>
        <w:t xml:space="preserve">Act </w:t>
      </w:r>
      <w:r w:rsidR="00AA4EE5" w:rsidRPr="009319E6">
        <w:rPr>
          <w:rStyle w:val="Emphasis"/>
          <w:rFonts w:ascii="Times New Roman" w:hAnsi="Times New Roman" w:cs="Times New Roman"/>
          <w:color w:val="313131"/>
          <w:sz w:val="24"/>
          <w:szCs w:val="24"/>
          <w:shd w:val="clear" w:color="auto" w:fill="FFFFFF"/>
        </w:rPr>
        <w:t>1995</w:t>
      </w:r>
      <w:r w:rsidR="00AA4EE5" w:rsidRPr="009319E6">
        <w:rPr>
          <w:rFonts w:ascii="Times New Roman" w:hAnsi="Times New Roman" w:cs="Times New Roman"/>
          <w:color w:val="313131"/>
          <w:sz w:val="24"/>
          <w:szCs w:val="24"/>
          <w:shd w:val="clear" w:color="auto" w:fill="FFFFFF"/>
        </w:rPr>
        <w:t> </w:t>
      </w:r>
      <w:r w:rsidRPr="009319E6">
        <w:rPr>
          <w:rFonts w:ascii="Times New Roman" w:hAnsi="Times New Roman" w:cs="Times New Roman"/>
          <w:i/>
          <w:sz w:val="24"/>
          <w:szCs w:val="24"/>
        </w:rPr>
        <w:t>(</w:t>
      </w:r>
      <w:proofErr w:type="spellStart"/>
      <w:r w:rsidRPr="009319E6">
        <w:rPr>
          <w:rFonts w:ascii="Times New Roman" w:hAnsi="Times New Roman" w:cs="Times New Roman"/>
          <w:i/>
          <w:sz w:val="24"/>
          <w:szCs w:val="24"/>
        </w:rPr>
        <w:t>Cth</w:t>
      </w:r>
      <w:proofErr w:type="spellEnd"/>
      <w:r w:rsidRPr="009319E6">
        <w:rPr>
          <w:rFonts w:ascii="Times New Roman" w:hAnsi="Times New Roman" w:cs="Times New Roman"/>
          <w:i/>
          <w:sz w:val="24"/>
          <w:szCs w:val="24"/>
        </w:rPr>
        <w:t>)</w:t>
      </w:r>
      <w:r w:rsidR="009319E6">
        <w:rPr>
          <w:rFonts w:ascii="Times New Roman" w:hAnsi="Times New Roman" w:cs="Times New Roman"/>
          <w:sz w:val="24"/>
          <w:szCs w:val="24"/>
        </w:rPr>
        <w:t xml:space="preserve"> </w:t>
      </w:r>
      <w:r w:rsidRPr="0032528B">
        <w:rPr>
          <w:rFonts w:ascii="Times New Roman" w:hAnsi="Times New Roman" w:cs="Times New Roman"/>
          <w:sz w:val="24"/>
          <w:szCs w:val="24"/>
        </w:rPr>
        <w:t>ss11.2, 11.4 and 268.70), in some cases on the basis of command responsibility</w:t>
      </w:r>
      <w:r w:rsidR="009319E6">
        <w:rPr>
          <w:rFonts w:ascii="Times New Roman" w:hAnsi="Times New Roman" w:cs="Times New Roman"/>
          <w:sz w:val="24"/>
          <w:szCs w:val="24"/>
        </w:rPr>
        <w:t xml:space="preserve"> (</w:t>
      </w:r>
      <w:r w:rsidRPr="009574CB">
        <w:rPr>
          <w:rFonts w:ascii="Times New Roman" w:hAnsi="Times New Roman" w:cs="Times New Roman"/>
          <w:i/>
          <w:sz w:val="24"/>
          <w:szCs w:val="24"/>
        </w:rPr>
        <w:t>Criminal Code</w:t>
      </w:r>
      <w:r w:rsidR="00AA4EE5">
        <w:rPr>
          <w:rFonts w:ascii="Times New Roman" w:hAnsi="Times New Roman" w:cs="Times New Roman"/>
          <w:sz w:val="24"/>
          <w:szCs w:val="24"/>
        </w:rPr>
        <w:t xml:space="preserve"> </w:t>
      </w:r>
      <w:r w:rsidRPr="0032528B">
        <w:rPr>
          <w:rFonts w:ascii="Times New Roman" w:hAnsi="Times New Roman" w:cs="Times New Roman"/>
          <w:sz w:val="24"/>
          <w:szCs w:val="24"/>
        </w:rPr>
        <w:t>s268.115</w:t>
      </w:r>
      <w:r w:rsidR="009319E6">
        <w:rPr>
          <w:rFonts w:ascii="Times New Roman" w:hAnsi="Times New Roman" w:cs="Times New Roman"/>
          <w:sz w:val="24"/>
          <w:szCs w:val="24"/>
        </w:rPr>
        <w:t>)</w:t>
      </w:r>
      <w:r w:rsidRPr="0032528B">
        <w:rPr>
          <w:rFonts w:ascii="Times New Roman" w:hAnsi="Times New Roman" w:cs="Times New Roman"/>
          <w:sz w:val="24"/>
          <w:szCs w:val="24"/>
        </w:rPr>
        <w:t xml:space="preserve">. For the two instances of cruel treatment, there was </w:t>
      </w:r>
      <w:proofErr w:type="gramStart"/>
      <w:r w:rsidRPr="0032528B">
        <w:rPr>
          <w:rFonts w:ascii="Times New Roman" w:hAnsi="Times New Roman" w:cs="Times New Roman"/>
          <w:sz w:val="24"/>
          <w:szCs w:val="24"/>
        </w:rPr>
        <w:t>sufficient</w:t>
      </w:r>
      <w:proofErr w:type="gramEnd"/>
      <w:r w:rsidRPr="0032528B">
        <w:rPr>
          <w:rFonts w:ascii="Times New Roman" w:hAnsi="Times New Roman" w:cs="Times New Roman"/>
          <w:sz w:val="24"/>
          <w:szCs w:val="24"/>
        </w:rPr>
        <w:t xml:space="preserve"> evidence for charges under </w:t>
      </w:r>
      <w:r w:rsidRPr="009574CB">
        <w:rPr>
          <w:rFonts w:ascii="Times New Roman" w:hAnsi="Times New Roman" w:cs="Times New Roman"/>
          <w:i/>
          <w:sz w:val="24"/>
          <w:szCs w:val="24"/>
        </w:rPr>
        <w:t>Criminal Code</w:t>
      </w:r>
      <w:r w:rsidRPr="0032528B">
        <w:rPr>
          <w:rFonts w:ascii="Times New Roman" w:hAnsi="Times New Roman" w:cs="Times New Roman"/>
          <w:sz w:val="24"/>
          <w:szCs w:val="24"/>
        </w:rPr>
        <w:t> </w:t>
      </w:r>
      <w:r>
        <w:rPr>
          <w:rFonts w:ascii="Times New Roman" w:hAnsi="Times New Roman" w:cs="Times New Roman"/>
          <w:sz w:val="24"/>
          <w:szCs w:val="24"/>
        </w:rPr>
        <w:t>s</w:t>
      </w:r>
      <w:r w:rsidRPr="0032528B">
        <w:rPr>
          <w:rFonts w:ascii="Times New Roman" w:hAnsi="Times New Roman" w:cs="Times New Roman"/>
          <w:sz w:val="24"/>
          <w:szCs w:val="24"/>
        </w:rPr>
        <w:t>268.72. Overall, 36 matters arising out of 23 incidents by 19 individuals were recommended for potential prosecution</w:t>
      </w:r>
      <w:r w:rsidR="00AA4EE5">
        <w:rPr>
          <w:rFonts w:ascii="Times New Roman" w:hAnsi="Times New Roman" w:cs="Times New Roman"/>
          <w:sz w:val="24"/>
          <w:szCs w:val="24"/>
        </w:rPr>
        <w:t>.</w:t>
      </w:r>
      <w:r w:rsidR="00AA4EE5">
        <w:rPr>
          <w:rStyle w:val="FootnoteReference"/>
          <w:rFonts w:ascii="Times New Roman" w:hAnsi="Times New Roman" w:cs="Times New Roman"/>
          <w:sz w:val="24"/>
          <w:szCs w:val="24"/>
        </w:rPr>
        <w:footnoteReference w:id="4"/>
      </w:r>
      <w:r w:rsidRPr="0032528B">
        <w:rPr>
          <w:rFonts w:ascii="Times New Roman" w:hAnsi="Times New Roman" w:cs="Times New Roman"/>
          <w:sz w:val="24"/>
          <w:szCs w:val="24"/>
        </w:rPr>
        <w:t xml:space="preserve"> </w:t>
      </w:r>
    </w:p>
    <w:p w:rsidR="00D9131D" w:rsidRDefault="007C7B43" w:rsidP="00FA4156">
      <w:pPr>
        <w:spacing w:line="360" w:lineRule="auto"/>
        <w:jc w:val="both"/>
        <w:rPr>
          <w:rFonts w:ascii="Times New Roman" w:eastAsia="Times New Roman" w:hAnsi="Times New Roman" w:cs="Times New Roman"/>
          <w:color w:val="121212"/>
          <w:sz w:val="24"/>
          <w:szCs w:val="24"/>
          <w:lang w:eastAsia="en-GB"/>
        </w:rPr>
      </w:pPr>
      <w:r>
        <w:rPr>
          <w:rFonts w:ascii="Times New Roman" w:eastAsia="Times New Roman" w:hAnsi="Times New Roman" w:cs="Times New Roman"/>
          <w:color w:val="121212"/>
          <w:sz w:val="24"/>
          <w:szCs w:val="24"/>
          <w:lang w:eastAsia="en-GB"/>
        </w:rPr>
        <w:t>Recently t</w:t>
      </w:r>
      <w:r w:rsidR="00624E17">
        <w:rPr>
          <w:rFonts w:ascii="Times New Roman" w:eastAsia="Times New Roman" w:hAnsi="Times New Roman" w:cs="Times New Roman"/>
          <w:color w:val="121212"/>
          <w:sz w:val="24"/>
          <w:szCs w:val="24"/>
          <w:lang w:eastAsia="en-GB"/>
        </w:rPr>
        <w:t>he</w:t>
      </w:r>
      <w:r w:rsidR="00624E17" w:rsidRPr="0032528B">
        <w:rPr>
          <w:color w:val="333333"/>
          <w:shd w:val="clear" w:color="auto" w:fill="FFFFFF"/>
        </w:rPr>
        <w:t xml:space="preserve"> </w:t>
      </w:r>
      <w:r>
        <w:rPr>
          <w:rFonts w:ascii="Times New Roman" w:eastAsia="Times New Roman" w:hAnsi="Times New Roman" w:cs="Times New Roman"/>
          <w:color w:val="121212"/>
          <w:sz w:val="24"/>
          <w:szCs w:val="24"/>
          <w:lang w:eastAsia="en-GB"/>
        </w:rPr>
        <w:t xml:space="preserve">Office of the Special Investigator (OSI) - </w:t>
      </w:r>
      <w:r w:rsidR="00624E17">
        <w:rPr>
          <w:rFonts w:ascii="Times New Roman" w:eastAsia="Times New Roman" w:hAnsi="Times New Roman" w:cs="Times New Roman"/>
          <w:color w:val="121212"/>
          <w:sz w:val="24"/>
          <w:szCs w:val="24"/>
          <w:lang w:eastAsia="en-GB"/>
        </w:rPr>
        <w:t xml:space="preserve">the investigative body set up in </w:t>
      </w:r>
      <w:r w:rsidR="002466D5">
        <w:rPr>
          <w:rFonts w:ascii="Times New Roman" w:eastAsia="Times New Roman" w:hAnsi="Times New Roman" w:cs="Times New Roman"/>
          <w:color w:val="121212"/>
          <w:sz w:val="24"/>
          <w:szCs w:val="24"/>
          <w:lang w:eastAsia="en-GB"/>
        </w:rPr>
        <w:t xml:space="preserve">early 2021 in </w:t>
      </w:r>
      <w:r w:rsidR="00624E17">
        <w:rPr>
          <w:rFonts w:ascii="Times New Roman" w:eastAsia="Times New Roman" w:hAnsi="Times New Roman" w:cs="Times New Roman"/>
          <w:color w:val="121212"/>
          <w:sz w:val="24"/>
          <w:szCs w:val="24"/>
          <w:lang w:eastAsia="en-GB"/>
        </w:rPr>
        <w:t xml:space="preserve">the wake of the Brereton </w:t>
      </w:r>
      <w:r w:rsidR="00AA4EE5">
        <w:rPr>
          <w:rFonts w:ascii="Times New Roman" w:eastAsia="Times New Roman" w:hAnsi="Times New Roman" w:cs="Times New Roman"/>
          <w:color w:val="121212"/>
          <w:sz w:val="24"/>
          <w:szCs w:val="24"/>
          <w:lang w:eastAsia="en-GB"/>
        </w:rPr>
        <w:t>Report</w:t>
      </w:r>
      <w:r w:rsidR="00624E17">
        <w:rPr>
          <w:rFonts w:ascii="Times New Roman" w:eastAsia="Times New Roman" w:hAnsi="Times New Roman" w:cs="Times New Roman"/>
          <w:color w:val="121212"/>
          <w:sz w:val="24"/>
          <w:szCs w:val="24"/>
          <w:lang w:eastAsia="en-GB"/>
        </w:rPr>
        <w:t xml:space="preserve"> to </w:t>
      </w:r>
      <w:r w:rsidR="002466D5">
        <w:rPr>
          <w:rFonts w:ascii="Times New Roman" w:eastAsia="Times New Roman" w:hAnsi="Times New Roman" w:cs="Times New Roman"/>
          <w:color w:val="121212"/>
          <w:sz w:val="24"/>
          <w:szCs w:val="24"/>
          <w:lang w:eastAsia="en-GB"/>
        </w:rPr>
        <w:t>collect and prepare briefs of</w:t>
      </w:r>
      <w:r w:rsidR="00624E17">
        <w:rPr>
          <w:rFonts w:ascii="Times New Roman" w:eastAsia="Times New Roman" w:hAnsi="Times New Roman" w:cs="Times New Roman"/>
          <w:color w:val="121212"/>
          <w:sz w:val="24"/>
          <w:szCs w:val="24"/>
          <w:lang w:eastAsia="en-GB"/>
        </w:rPr>
        <w:t xml:space="preserve"> evidence to the standard required for criminal prosecution</w:t>
      </w:r>
      <w:r w:rsidR="002466D5">
        <w:rPr>
          <w:rFonts w:ascii="Times New Roman" w:eastAsia="Times New Roman" w:hAnsi="Times New Roman" w:cs="Times New Roman"/>
          <w:color w:val="121212"/>
          <w:sz w:val="24"/>
          <w:szCs w:val="24"/>
          <w:lang w:eastAsia="en-GB"/>
        </w:rPr>
        <w:t>s -</w:t>
      </w:r>
      <w:r w:rsidR="00624E17">
        <w:rPr>
          <w:rFonts w:ascii="Times New Roman" w:eastAsia="Times New Roman" w:hAnsi="Times New Roman" w:cs="Times New Roman"/>
          <w:color w:val="121212"/>
          <w:sz w:val="24"/>
          <w:szCs w:val="24"/>
          <w:lang w:eastAsia="en-GB"/>
        </w:rPr>
        <w:t xml:space="preserve"> produced its</w:t>
      </w:r>
      <w:r w:rsidR="00D9131D">
        <w:rPr>
          <w:rFonts w:ascii="Times New Roman" w:eastAsia="Times New Roman" w:hAnsi="Times New Roman" w:cs="Times New Roman"/>
          <w:color w:val="121212"/>
          <w:sz w:val="24"/>
          <w:szCs w:val="24"/>
          <w:lang w:eastAsia="en-GB"/>
        </w:rPr>
        <w:t xml:space="preserve"> first </w:t>
      </w:r>
      <w:r w:rsidR="00624E17">
        <w:rPr>
          <w:rFonts w:ascii="Times New Roman" w:eastAsia="Times New Roman" w:hAnsi="Times New Roman" w:cs="Times New Roman"/>
          <w:color w:val="121212"/>
          <w:sz w:val="24"/>
          <w:szCs w:val="24"/>
          <w:lang w:eastAsia="en-GB"/>
        </w:rPr>
        <w:t>indictment</w:t>
      </w:r>
      <w:r w:rsidR="00D9131D">
        <w:rPr>
          <w:rFonts w:ascii="Times New Roman" w:eastAsia="Times New Roman" w:hAnsi="Times New Roman" w:cs="Times New Roman"/>
          <w:color w:val="121212"/>
          <w:sz w:val="24"/>
          <w:szCs w:val="24"/>
          <w:lang w:eastAsia="en-GB"/>
        </w:rPr>
        <w:t xml:space="preserve"> of </w:t>
      </w:r>
      <w:r>
        <w:rPr>
          <w:rFonts w:ascii="Times New Roman" w:eastAsia="Times New Roman" w:hAnsi="Times New Roman" w:cs="Times New Roman"/>
          <w:color w:val="121212"/>
          <w:sz w:val="24"/>
          <w:szCs w:val="24"/>
          <w:lang w:eastAsia="en-GB"/>
        </w:rPr>
        <w:t>a</w:t>
      </w:r>
      <w:r w:rsidR="002466D5">
        <w:rPr>
          <w:rFonts w:ascii="Times New Roman" w:eastAsia="Times New Roman" w:hAnsi="Times New Roman" w:cs="Times New Roman"/>
          <w:color w:val="121212"/>
          <w:sz w:val="24"/>
          <w:szCs w:val="24"/>
          <w:lang w:eastAsia="en-GB"/>
        </w:rPr>
        <w:t xml:space="preserve"> former </w:t>
      </w:r>
      <w:r w:rsidR="00D9131D">
        <w:rPr>
          <w:rFonts w:ascii="Times New Roman" w:eastAsia="Times New Roman" w:hAnsi="Times New Roman" w:cs="Times New Roman"/>
          <w:color w:val="121212"/>
          <w:sz w:val="24"/>
          <w:szCs w:val="24"/>
          <w:lang w:eastAsia="en-GB"/>
        </w:rPr>
        <w:t>SAS soldier</w:t>
      </w:r>
      <w:r w:rsidR="00730FB0">
        <w:rPr>
          <w:rFonts w:ascii="Times New Roman" w:eastAsia="Times New Roman" w:hAnsi="Times New Roman" w:cs="Times New Roman"/>
          <w:color w:val="121212"/>
          <w:sz w:val="24"/>
          <w:szCs w:val="24"/>
          <w:lang w:eastAsia="en-GB"/>
        </w:rPr>
        <w:t xml:space="preserve">. </w:t>
      </w:r>
      <w:r w:rsidR="00730FB0" w:rsidRPr="00730FB0">
        <w:rPr>
          <w:rFonts w:ascii="Times New Roman" w:eastAsia="Times New Roman" w:hAnsi="Times New Roman" w:cs="Times New Roman"/>
          <w:color w:val="121212"/>
          <w:sz w:val="24"/>
          <w:szCs w:val="24"/>
          <w:lang w:eastAsia="en-GB"/>
        </w:rPr>
        <w:t>F</w:t>
      </w:r>
      <w:r w:rsidR="00730FB0" w:rsidRPr="00730FB0">
        <w:rPr>
          <w:rFonts w:ascii="Times New Roman" w:hAnsi="Times New Roman" w:cs="Times New Roman"/>
          <w:color w:val="121212"/>
          <w:sz w:val="24"/>
          <w:szCs w:val="24"/>
          <w:shd w:val="clear" w:color="auto" w:fill="FFFFFF"/>
        </w:rPr>
        <w:t>ormer trooper Oliver Jordan Schulz</w:t>
      </w:r>
      <w:r w:rsidR="00730FB0" w:rsidRPr="00730FB0">
        <w:rPr>
          <w:rFonts w:ascii="Times New Roman" w:eastAsia="Times New Roman" w:hAnsi="Times New Roman" w:cs="Times New Roman"/>
          <w:color w:val="121212"/>
          <w:szCs w:val="24"/>
          <w:lang w:eastAsia="en-GB"/>
        </w:rPr>
        <w:t xml:space="preserve"> </w:t>
      </w:r>
      <w:r w:rsidR="00730FB0">
        <w:rPr>
          <w:rFonts w:ascii="Times New Roman" w:eastAsia="Times New Roman" w:hAnsi="Times New Roman" w:cs="Times New Roman"/>
          <w:color w:val="121212"/>
          <w:sz w:val="24"/>
          <w:szCs w:val="24"/>
          <w:lang w:eastAsia="en-GB"/>
        </w:rPr>
        <w:t>was charged</w:t>
      </w:r>
      <w:r w:rsidR="00D9131D">
        <w:rPr>
          <w:rFonts w:ascii="Times New Roman" w:eastAsia="Times New Roman" w:hAnsi="Times New Roman" w:cs="Times New Roman"/>
          <w:color w:val="121212"/>
          <w:sz w:val="24"/>
          <w:szCs w:val="24"/>
          <w:lang w:eastAsia="en-GB"/>
        </w:rPr>
        <w:t xml:space="preserve"> </w:t>
      </w:r>
      <w:r w:rsidR="00624E17">
        <w:rPr>
          <w:rFonts w:ascii="Times New Roman" w:eastAsia="Times New Roman" w:hAnsi="Times New Roman" w:cs="Times New Roman"/>
          <w:color w:val="121212"/>
          <w:sz w:val="24"/>
          <w:szCs w:val="24"/>
          <w:lang w:eastAsia="en-GB"/>
        </w:rPr>
        <w:t xml:space="preserve">for the </w:t>
      </w:r>
      <w:r w:rsidR="002466D5">
        <w:rPr>
          <w:rFonts w:ascii="Times New Roman" w:eastAsia="Times New Roman" w:hAnsi="Times New Roman" w:cs="Times New Roman"/>
          <w:color w:val="121212"/>
          <w:sz w:val="24"/>
          <w:szCs w:val="24"/>
          <w:lang w:eastAsia="en-GB"/>
        </w:rPr>
        <w:t xml:space="preserve">summary </w:t>
      </w:r>
      <w:r w:rsidR="00624E17">
        <w:rPr>
          <w:rFonts w:ascii="Times New Roman" w:eastAsia="Times New Roman" w:hAnsi="Times New Roman" w:cs="Times New Roman"/>
          <w:color w:val="121212"/>
          <w:sz w:val="24"/>
          <w:szCs w:val="24"/>
          <w:lang w:eastAsia="en-GB"/>
        </w:rPr>
        <w:t>execution of a disabled Afghan man</w:t>
      </w:r>
      <w:r w:rsidR="008C362E">
        <w:rPr>
          <w:rFonts w:ascii="Times New Roman" w:eastAsia="Times New Roman" w:hAnsi="Times New Roman" w:cs="Times New Roman"/>
          <w:color w:val="121212"/>
          <w:sz w:val="24"/>
          <w:szCs w:val="24"/>
          <w:lang w:eastAsia="en-GB"/>
        </w:rPr>
        <w:t>, Dad Mohammad,</w:t>
      </w:r>
      <w:r>
        <w:rPr>
          <w:rFonts w:ascii="Times New Roman" w:eastAsia="Times New Roman" w:hAnsi="Times New Roman" w:cs="Times New Roman"/>
          <w:color w:val="121212"/>
          <w:sz w:val="24"/>
          <w:szCs w:val="24"/>
          <w:lang w:eastAsia="en-GB"/>
        </w:rPr>
        <w:t xml:space="preserve"> </w:t>
      </w:r>
      <w:r w:rsidR="00624E17">
        <w:rPr>
          <w:rFonts w:ascii="Times New Roman" w:eastAsia="Times New Roman" w:hAnsi="Times New Roman" w:cs="Times New Roman"/>
          <w:color w:val="121212"/>
          <w:sz w:val="24"/>
          <w:szCs w:val="24"/>
          <w:lang w:eastAsia="en-GB"/>
        </w:rPr>
        <w:t xml:space="preserve">who was lying injured and unarmed in a field. </w:t>
      </w:r>
      <w:r w:rsidR="007217DE">
        <w:rPr>
          <w:rFonts w:ascii="Times New Roman" w:eastAsia="Times New Roman" w:hAnsi="Times New Roman" w:cs="Times New Roman"/>
          <w:color w:val="121212"/>
          <w:sz w:val="24"/>
          <w:szCs w:val="24"/>
          <w:lang w:eastAsia="en-GB"/>
        </w:rPr>
        <w:t>Schulz</w:t>
      </w:r>
      <w:r w:rsidR="002466D5">
        <w:rPr>
          <w:rFonts w:ascii="Times New Roman" w:eastAsia="Times New Roman" w:hAnsi="Times New Roman" w:cs="Times New Roman"/>
          <w:color w:val="121212"/>
          <w:sz w:val="24"/>
          <w:szCs w:val="24"/>
          <w:lang w:eastAsia="en-GB"/>
        </w:rPr>
        <w:t xml:space="preserve"> </w:t>
      </w:r>
      <w:r w:rsidR="009319E6">
        <w:rPr>
          <w:rFonts w:ascii="Times New Roman" w:eastAsia="Times New Roman" w:hAnsi="Times New Roman" w:cs="Times New Roman"/>
          <w:color w:val="121212"/>
          <w:sz w:val="24"/>
          <w:szCs w:val="24"/>
          <w:lang w:eastAsia="en-GB"/>
        </w:rPr>
        <w:t>has been</w:t>
      </w:r>
      <w:r w:rsidR="002466D5">
        <w:rPr>
          <w:rFonts w:ascii="Times New Roman" w:eastAsia="Times New Roman" w:hAnsi="Times New Roman" w:cs="Times New Roman"/>
          <w:color w:val="121212"/>
          <w:sz w:val="24"/>
          <w:szCs w:val="24"/>
          <w:lang w:eastAsia="en-GB"/>
        </w:rPr>
        <w:t xml:space="preserve"> charged with one count of the </w:t>
      </w:r>
      <w:r w:rsidR="00AA4EE5">
        <w:rPr>
          <w:rFonts w:ascii="Times New Roman" w:eastAsia="Times New Roman" w:hAnsi="Times New Roman" w:cs="Times New Roman"/>
          <w:color w:val="121212"/>
          <w:sz w:val="24"/>
          <w:szCs w:val="24"/>
          <w:lang w:eastAsia="en-GB"/>
        </w:rPr>
        <w:t>w</w:t>
      </w:r>
      <w:r w:rsidR="002466D5">
        <w:rPr>
          <w:rFonts w:ascii="Times New Roman" w:eastAsia="Times New Roman" w:hAnsi="Times New Roman" w:cs="Times New Roman"/>
          <w:color w:val="121212"/>
          <w:sz w:val="24"/>
          <w:szCs w:val="24"/>
          <w:lang w:eastAsia="en-GB"/>
        </w:rPr>
        <w:t xml:space="preserve">ar </w:t>
      </w:r>
      <w:r w:rsidR="00AA4EE5">
        <w:rPr>
          <w:rFonts w:ascii="Times New Roman" w:eastAsia="Times New Roman" w:hAnsi="Times New Roman" w:cs="Times New Roman"/>
          <w:color w:val="121212"/>
          <w:sz w:val="24"/>
          <w:szCs w:val="24"/>
          <w:lang w:eastAsia="en-GB"/>
        </w:rPr>
        <w:t>c</w:t>
      </w:r>
      <w:r w:rsidR="002466D5" w:rsidRPr="0097555B">
        <w:rPr>
          <w:rFonts w:ascii="Times New Roman" w:eastAsia="Times New Roman" w:hAnsi="Times New Roman" w:cs="Times New Roman"/>
          <w:color w:val="121212"/>
          <w:sz w:val="24"/>
          <w:szCs w:val="24"/>
          <w:lang w:eastAsia="en-GB"/>
        </w:rPr>
        <w:t xml:space="preserve">rime of </w:t>
      </w:r>
      <w:r w:rsidR="00AA4EE5">
        <w:rPr>
          <w:rFonts w:ascii="Times New Roman" w:eastAsia="Times New Roman" w:hAnsi="Times New Roman" w:cs="Times New Roman"/>
          <w:color w:val="121212"/>
          <w:sz w:val="24"/>
          <w:szCs w:val="24"/>
          <w:lang w:eastAsia="en-GB"/>
        </w:rPr>
        <w:t>m</w:t>
      </w:r>
      <w:r w:rsidR="002466D5" w:rsidRPr="0097555B">
        <w:rPr>
          <w:rFonts w:ascii="Times New Roman" w:eastAsia="Times New Roman" w:hAnsi="Times New Roman" w:cs="Times New Roman"/>
          <w:color w:val="121212"/>
          <w:sz w:val="24"/>
          <w:szCs w:val="24"/>
          <w:lang w:eastAsia="en-GB"/>
        </w:rPr>
        <w:t xml:space="preserve">urder </w:t>
      </w:r>
      <w:r w:rsidR="009319E6">
        <w:rPr>
          <w:rFonts w:ascii="Times New Roman" w:eastAsia="Times New Roman" w:hAnsi="Times New Roman" w:cs="Times New Roman"/>
          <w:color w:val="121212"/>
          <w:sz w:val="24"/>
          <w:szCs w:val="24"/>
          <w:lang w:eastAsia="en-GB"/>
        </w:rPr>
        <w:t>(</w:t>
      </w:r>
      <w:r w:rsidR="009319E6" w:rsidRPr="0097555B">
        <w:rPr>
          <w:rStyle w:val="Emphasis"/>
          <w:rFonts w:ascii="Times New Roman" w:hAnsi="Times New Roman" w:cs="Times New Roman"/>
          <w:color w:val="313131"/>
          <w:sz w:val="24"/>
          <w:szCs w:val="24"/>
          <w:shd w:val="clear" w:color="auto" w:fill="FFFFFF"/>
        </w:rPr>
        <w:t>Criminal Code</w:t>
      </w:r>
      <w:r w:rsidR="009319E6" w:rsidRPr="0097555B">
        <w:rPr>
          <w:rFonts w:ascii="Times New Roman" w:eastAsia="Times New Roman" w:hAnsi="Times New Roman" w:cs="Times New Roman"/>
          <w:color w:val="121212"/>
          <w:sz w:val="24"/>
          <w:szCs w:val="24"/>
          <w:lang w:eastAsia="en-GB"/>
        </w:rPr>
        <w:t xml:space="preserve"> </w:t>
      </w:r>
      <w:r w:rsidR="002466D5" w:rsidRPr="0097555B">
        <w:rPr>
          <w:rFonts w:ascii="Times New Roman" w:eastAsia="Times New Roman" w:hAnsi="Times New Roman" w:cs="Times New Roman"/>
          <w:color w:val="121212"/>
          <w:sz w:val="24"/>
          <w:szCs w:val="24"/>
          <w:lang w:eastAsia="en-GB"/>
        </w:rPr>
        <w:t>s</w:t>
      </w:r>
      <w:r w:rsidR="002466D5" w:rsidRPr="0097555B">
        <w:rPr>
          <w:rFonts w:ascii="Times New Roman" w:hAnsi="Times New Roman" w:cs="Times New Roman"/>
          <w:color w:val="313131"/>
          <w:sz w:val="24"/>
          <w:szCs w:val="24"/>
          <w:shd w:val="clear" w:color="auto" w:fill="FFFFFF"/>
        </w:rPr>
        <w:t>268.70(1)), which carries a maximum penalty of life imprisonment.</w:t>
      </w:r>
      <w:r w:rsidR="00730FB0" w:rsidRPr="0097555B">
        <w:rPr>
          <w:rStyle w:val="FootnoteReference"/>
          <w:rFonts w:ascii="Times New Roman" w:eastAsia="Times New Roman" w:hAnsi="Times New Roman" w:cs="Times New Roman"/>
          <w:color w:val="121212"/>
          <w:sz w:val="24"/>
          <w:szCs w:val="24"/>
          <w:lang w:eastAsia="en-GB"/>
        </w:rPr>
        <w:footnoteReference w:id="5"/>
      </w:r>
    </w:p>
    <w:p w:rsidR="00946634" w:rsidRPr="00946634" w:rsidRDefault="00946634" w:rsidP="00FA4156">
      <w:pPr>
        <w:pStyle w:val="css-38z03z"/>
        <w:shd w:val="clear" w:color="auto" w:fill="FFFFFF"/>
        <w:spacing w:before="0" w:beforeAutospacing="0" w:after="240" w:afterAutospacing="0" w:line="360" w:lineRule="auto"/>
        <w:jc w:val="both"/>
        <w:textAlignment w:val="baseline"/>
        <w:rPr>
          <w:b/>
          <w:shd w:val="clear" w:color="auto" w:fill="FFFFFF"/>
        </w:rPr>
      </w:pPr>
      <w:r w:rsidRPr="00946634">
        <w:rPr>
          <w:b/>
          <w:shd w:val="clear" w:color="auto" w:fill="FFFFFF"/>
        </w:rPr>
        <w:t xml:space="preserve">Victim Participation </w:t>
      </w:r>
      <w:r w:rsidR="004F2EB0">
        <w:rPr>
          <w:b/>
          <w:shd w:val="clear" w:color="auto" w:fill="FFFFFF"/>
        </w:rPr>
        <w:t>in</w:t>
      </w:r>
      <w:r w:rsidRPr="00946634">
        <w:rPr>
          <w:b/>
          <w:shd w:val="clear" w:color="auto" w:fill="FFFFFF"/>
        </w:rPr>
        <w:t xml:space="preserve"> </w:t>
      </w:r>
      <w:r w:rsidR="004F2EB0">
        <w:rPr>
          <w:b/>
          <w:shd w:val="clear" w:color="auto" w:fill="FFFFFF"/>
        </w:rPr>
        <w:t>Prosecutions</w:t>
      </w:r>
    </w:p>
    <w:p w:rsidR="004E5498" w:rsidRDefault="00A44527" w:rsidP="00FA4156">
      <w:pPr>
        <w:pStyle w:val="css-38z03z"/>
        <w:shd w:val="clear" w:color="auto" w:fill="FFFFFF"/>
        <w:spacing w:before="0" w:beforeAutospacing="0" w:after="240" w:afterAutospacing="0" w:line="360" w:lineRule="auto"/>
        <w:jc w:val="both"/>
        <w:textAlignment w:val="baseline"/>
        <w:rPr>
          <w:shd w:val="clear" w:color="auto" w:fill="FFFFFF"/>
        </w:rPr>
      </w:pPr>
      <w:r>
        <w:rPr>
          <w:shd w:val="clear" w:color="auto" w:fill="FFFFFF"/>
        </w:rPr>
        <w:t xml:space="preserve">It is to be noted that in announcing </w:t>
      </w:r>
      <w:r w:rsidR="005E5FE8">
        <w:rPr>
          <w:shd w:val="clear" w:color="auto" w:fill="FFFFFF"/>
        </w:rPr>
        <w:t>the decision to lay</w:t>
      </w:r>
      <w:r>
        <w:rPr>
          <w:shd w:val="clear" w:color="auto" w:fill="FFFFFF"/>
        </w:rPr>
        <w:t xml:space="preserve"> charges</w:t>
      </w:r>
      <w:r w:rsidR="005E5FE8">
        <w:rPr>
          <w:shd w:val="clear" w:color="auto" w:fill="FFFFFF"/>
        </w:rPr>
        <w:t xml:space="preserve"> in the </w:t>
      </w:r>
      <w:r w:rsidR="007217DE">
        <w:rPr>
          <w:shd w:val="clear" w:color="auto" w:fill="FFFFFF"/>
        </w:rPr>
        <w:t>Schulz</w:t>
      </w:r>
      <w:r w:rsidR="005E5FE8">
        <w:rPr>
          <w:shd w:val="clear" w:color="auto" w:fill="FFFFFF"/>
        </w:rPr>
        <w:t xml:space="preserve"> case</w:t>
      </w:r>
      <w:r>
        <w:rPr>
          <w:shd w:val="clear" w:color="auto" w:fill="FFFFFF"/>
        </w:rPr>
        <w:t xml:space="preserve"> there was no mention </w:t>
      </w:r>
      <w:r w:rsidR="004E5498">
        <w:rPr>
          <w:shd w:val="clear" w:color="auto" w:fill="FFFFFF"/>
        </w:rPr>
        <w:t>of</w:t>
      </w:r>
      <w:r w:rsidR="006B2C5F">
        <w:rPr>
          <w:shd w:val="clear" w:color="auto" w:fill="FFFFFF"/>
        </w:rPr>
        <w:t xml:space="preserve"> </w:t>
      </w:r>
      <w:r w:rsidR="008F7EA4">
        <w:rPr>
          <w:shd w:val="clear" w:color="auto" w:fill="FFFFFF"/>
        </w:rPr>
        <w:t>participation plans</w:t>
      </w:r>
      <w:r>
        <w:rPr>
          <w:shd w:val="clear" w:color="auto" w:fill="FFFFFF"/>
        </w:rPr>
        <w:t xml:space="preserve"> for the victim’s family</w:t>
      </w:r>
      <w:r w:rsidR="008F7EA4">
        <w:rPr>
          <w:shd w:val="clear" w:color="auto" w:fill="FFFFFF"/>
        </w:rPr>
        <w:t xml:space="preserve"> or claims for reparation</w:t>
      </w:r>
      <w:r>
        <w:rPr>
          <w:shd w:val="clear" w:color="auto" w:fill="FFFFFF"/>
        </w:rPr>
        <w:t xml:space="preserve">. While the </w:t>
      </w:r>
      <w:r w:rsidR="00EE0D3E">
        <w:rPr>
          <w:shd w:val="clear" w:color="auto" w:fill="FFFFFF"/>
        </w:rPr>
        <w:t>DPP</w:t>
      </w:r>
      <w:r>
        <w:rPr>
          <w:shd w:val="clear" w:color="auto" w:fill="FFFFFF"/>
        </w:rPr>
        <w:t xml:space="preserve"> may call upon </w:t>
      </w:r>
      <w:r w:rsidR="004E5498">
        <w:rPr>
          <w:shd w:val="clear" w:color="auto" w:fill="FFFFFF"/>
        </w:rPr>
        <w:t xml:space="preserve">Afghan </w:t>
      </w:r>
      <w:r>
        <w:rPr>
          <w:shd w:val="clear" w:color="auto" w:fill="FFFFFF"/>
        </w:rPr>
        <w:t xml:space="preserve">relatives or other witnesses to give evidence in court to help secure </w:t>
      </w:r>
      <w:r w:rsidR="007217DE">
        <w:rPr>
          <w:shd w:val="clear" w:color="auto" w:fill="FFFFFF"/>
        </w:rPr>
        <w:t>Schulz</w:t>
      </w:r>
      <w:r>
        <w:rPr>
          <w:shd w:val="clear" w:color="auto" w:fill="FFFFFF"/>
        </w:rPr>
        <w:t xml:space="preserve">’s conviction, there is no provision </w:t>
      </w:r>
      <w:r w:rsidR="005E5FE8">
        <w:rPr>
          <w:shd w:val="clear" w:color="auto" w:fill="FFFFFF"/>
        </w:rPr>
        <w:t xml:space="preserve">in the </w:t>
      </w:r>
      <w:r w:rsidR="005E5FE8" w:rsidRPr="00E605B3">
        <w:rPr>
          <w:i/>
          <w:shd w:val="clear" w:color="auto" w:fill="FFFFFF"/>
        </w:rPr>
        <w:t xml:space="preserve">Criminal Code </w:t>
      </w:r>
      <w:r w:rsidR="005E5FE8">
        <w:rPr>
          <w:shd w:val="clear" w:color="auto" w:fill="FFFFFF"/>
        </w:rPr>
        <w:t>for victims to make</w:t>
      </w:r>
      <w:r>
        <w:rPr>
          <w:shd w:val="clear" w:color="auto" w:fill="FFFFFF"/>
        </w:rPr>
        <w:t xml:space="preserve"> </w:t>
      </w:r>
      <w:r w:rsidR="00EE0D3E">
        <w:rPr>
          <w:shd w:val="clear" w:color="auto" w:fill="FFFFFF"/>
        </w:rPr>
        <w:t xml:space="preserve">a </w:t>
      </w:r>
      <w:r>
        <w:rPr>
          <w:shd w:val="clear" w:color="auto" w:fill="FFFFFF"/>
        </w:rPr>
        <w:t xml:space="preserve">compensation claim during </w:t>
      </w:r>
      <w:r w:rsidR="00F169ED">
        <w:rPr>
          <w:shd w:val="clear" w:color="auto" w:fill="FFFFFF"/>
        </w:rPr>
        <w:t xml:space="preserve">a criminal </w:t>
      </w:r>
      <w:r>
        <w:rPr>
          <w:shd w:val="clear" w:color="auto" w:fill="FFFFFF"/>
        </w:rPr>
        <w:t xml:space="preserve">trial. </w:t>
      </w:r>
      <w:r w:rsidR="004E5498">
        <w:rPr>
          <w:shd w:val="clear" w:color="auto" w:fill="FFFFFF"/>
        </w:rPr>
        <w:t xml:space="preserve">Australia’s criminal law and practice follows that </w:t>
      </w:r>
      <w:r w:rsidR="004E5498">
        <w:rPr>
          <w:shd w:val="clear" w:color="auto" w:fill="FFFFFF"/>
        </w:rPr>
        <w:lastRenderedPageBreak/>
        <w:t xml:space="preserve">of other common law jurisdictions in leaving victims to pursue non-trial avenues for compensation. The role of victims in adversarial prosecution processes is limited to acting as a witness during trial, having the right to be kept up to date on the proceedings, and the opportunity to make a victim impact statement during sentencing. </w:t>
      </w:r>
      <w:r w:rsidR="00EE0D3E">
        <w:rPr>
          <w:shd w:val="clear" w:color="auto" w:fill="FFFFFF"/>
        </w:rPr>
        <w:t>Victim</w:t>
      </w:r>
      <w:r w:rsidR="005F20ED">
        <w:rPr>
          <w:shd w:val="clear" w:color="auto" w:fill="FFFFFF"/>
        </w:rPr>
        <w:t>s and their</w:t>
      </w:r>
      <w:r w:rsidR="00EE0D3E">
        <w:rPr>
          <w:shd w:val="clear" w:color="auto" w:fill="FFFFFF"/>
        </w:rPr>
        <w:t xml:space="preserve"> advocates</w:t>
      </w:r>
      <w:r w:rsidR="005F20ED">
        <w:rPr>
          <w:shd w:val="clear" w:color="auto" w:fill="FFFFFF"/>
        </w:rPr>
        <w:t xml:space="preserve"> lack the o</w:t>
      </w:r>
      <w:r w:rsidR="00EE0D3E">
        <w:rPr>
          <w:shd w:val="clear" w:color="auto" w:fill="FFFFFF"/>
        </w:rPr>
        <w:t>pportunity to make claims against</w:t>
      </w:r>
      <w:r w:rsidR="00B35B01">
        <w:rPr>
          <w:shd w:val="clear" w:color="auto" w:fill="FFFFFF"/>
        </w:rPr>
        <w:t xml:space="preserve"> the</w:t>
      </w:r>
      <w:r w:rsidR="00EE0D3E">
        <w:rPr>
          <w:shd w:val="clear" w:color="auto" w:fill="FFFFFF"/>
        </w:rPr>
        <w:t xml:space="preserve"> assets of a convicted person</w:t>
      </w:r>
      <w:r w:rsidR="00B35B01">
        <w:rPr>
          <w:shd w:val="clear" w:color="auto" w:fill="FFFFFF"/>
        </w:rPr>
        <w:t>, or against the person’s employer (the Australian Department of Defence)</w:t>
      </w:r>
      <w:r w:rsidR="00F169ED">
        <w:rPr>
          <w:shd w:val="clear" w:color="auto" w:fill="FFFFFF"/>
        </w:rPr>
        <w:t xml:space="preserve"> in </w:t>
      </w:r>
      <w:r w:rsidR="005F20ED">
        <w:rPr>
          <w:shd w:val="clear" w:color="auto" w:fill="FFFFFF"/>
        </w:rPr>
        <w:t>criminal prosecutions</w:t>
      </w:r>
      <w:r w:rsidR="00B35B01">
        <w:rPr>
          <w:shd w:val="clear" w:color="auto" w:fill="FFFFFF"/>
        </w:rPr>
        <w:t xml:space="preserve">. </w:t>
      </w:r>
    </w:p>
    <w:p w:rsidR="00C5134E" w:rsidRDefault="00EE0D3E" w:rsidP="00FA4156">
      <w:pPr>
        <w:pStyle w:val="css-38z03z"/>
        <w:shd w:val="clear" w:color="auto" w:fill="FFFFFF"/>
        <w:spacing w:before="0" w:beforeAutospacing="0" w:after="240" w:afterAutospacing="0" w:line="360" w:lineRule="auto"/>
        <w:jc w:val="both"/>
        <w:textAlignment w:val="baseline"/>
        <w:rPr>
          <w:szCs w:val="18"/>
        </w:rPr>
      </w:pPr>
      <w:r>
        <w:rPr>
          <w:shd w:val="clear" w:color="auto" w:fill="FFFFFF"/>
        </w:rPr>
        <w:t>M</w:t>
      </w:r>
      <w:r w:rsidR="005E5FE8">
        <w:rPr>
          <w:shd w:val="clear" w:color="auto" w:fill="FFFFFF"/>
        </w:rPr>
        <w:t xml:space="preserve">oreover, it is likely that such trials are to be held in closed sessions not open to the public </w:t>
      </w:r>
      <w:proofErr w:type="gramStart"/>
      <w:r w:rsidR="005E5FE8">
        <w:rPr>
          <w:shd w:val="clear" w:color="auto" w:fill="FFFFFF"/>
        </w:rPr>
        <w:t>as a result of</w:t>
      </w:r>
      <w:proofErr w:type="gramEnd"/>
      <w:r w:rsidR="005E5FE8">
        <w:rPr>
          <w:shd w:val="clear" w:color="auto" w:fill="FFFFFF"/>
        </w:rPr>
        <w:t xml:space="preserve"> national security considerations</w:t>
      </w:r>
      <w:r w:rsidR="005E5FE8">
        <w:rPr>
          <w:rStyle w:val="FootnoteReference"/>
          <w:shd w:val="clear" w:color="auto" w:fill="FFFFFF"/>
        </w:rPr>
        <w:footnoteReference w:id="6"/>
      </w:r>
      <w:r w:rsidR="005F20ED">
        <w:rPr>
          <w:shd w:val="clear" w:color="auto" w:fill="FFFFFF"/>
        </w:rPr>
        <w:t>, meaning further difficulties in victims following the trial and participating in it. Already it is evident that substantial difficulties surround evidence-gathering and participation</w:t>
      </w:r>
      <w:r w:rsidR="004E5498">
        <w:rPr>
          <w:shd w:val="clear" w:color="auto" w:fill="FFFFFF"/>
        </w:rPr>
        <w:t xml:space="preserve"> of Afghan victims and witnesses</w:t>
      </w:r>
      <w:r w:rsidR="005F20ED">
        <w:rPr>
          <w:shd w:val="clear" w:color="auto" w:fill="FFFFFF"/>
        </w:rPr>
        <w:t>. Wh</w:t>
      </w:r>
      <w:r w:rsidR="00946634">
        <w:rPr>
          <w:shd w:val="clear" w:color="auto" w:fill="FFFFFF"/>
        </w:rPr>
        <w:t>en</w:t>
      </w:r>
      <w:r w:rsidR="005F20ED">
        <w:rPr>
          <w:shd w:val="clear" w:color="auto" w:fill="FFFFFF"/>
        </w:rPr>
        <w:t xml:space="preserve"> Brereton Inquiry investigators travelled to Afghanistan in July 2019 to hear evidence from a number of </w:t>
      </w:r>
      <w:r w:rsidR="005F20ED" w:rsidRPr="00A9335D">
        <w:rPr>
          <w:shd w:val="clear" w:color="auto" w:fill="FFFFFF"/>
        </w:rPr>
        <w:t xml:space="preserve">Afghans, the </w:t>
      </w:r>
      <w:r w:rsidR="005F20ED">
        <w:rPr>
          <w:shd w:val="clear" w:color="auto" w:fill="FFFFFF"/>
        </w:rPr>
        <w:t>trip was supported by the Australian Department of Foreign Affairs and Trade and the Australian Embassy</w:t>
      </w:r>
      <w:r w:rsidR="00C5134E">
        <w:rPr>
          <w:shd w:val="clear" w:color="auto" w:fill="FFFFFF"/>
        </w:rPr>
        <w:t xml:space="preserve"> </w:t>
      </w:r>
      <w:r w:rsidR="005F20ED" w:rsidRPr="004E5498">
        <w:rPr>
          <w:shd w:val="clear" w:color="auto" w:fill="FFFFFF"/>
        </w:rPr>
        <w:t>in Kabul.</w:t>
      </w:r>
      <w:r w:rsidR="00AA4EE5" w:rsidRPr="00A9335D">
        <w:rPr>
          <w:rStyle w:val="FootnoteReference"/>
          <w:szCs w:val="18"/>
        </w:rPr>
        <w:footnoteReference w:id="7"/>
      </w:r>
      <w:r w:rsidR="005F20ED" w:rsidRPr="004E5498">
        <w:rPr>
          <w:shd w:val="clear" w:color="auto" w:fill="FFFFFF"/>
        </w:rPr>
        <w:t xml:space="preserve"> Since the Taliban’s takeover of Afghanistan in 2021, no such local establishment is in place</w:t>
      </w:r>
      <w:r w:rsidR="00C9733A" w:rsidRPr="004E5498">
        <w:rPr>
          <w:shd w:val="clear" w:color="auto" w:fill="FFFFFF"/>
        </w:rPr>
        <w:t xml:space="preserve"> as </w:t>
      </w:r>
      <w:r w:rsidR="00946634">
        <w:rPr>
          <w:shd w:val="clear" w:color="auto" w:fill="FFFFFF"/>
        </w:rPr>
        <w:t xml:space="preserve">Australia and most other </w:t>
      </w:r>
      <w:r w:rsidR="00C9733A" w:rsidRPr="004E5498">
        <w:rPr>
          <w:shd w:val="clear" w:color="auto" w:fill="FFFFFF"/>
        </w:rPr>
        <w:t xml:space="preserve">Western governments </w:t>
      </w:r>
      <w:r w:rsidR="00946634">
        <w:rPr>
          <w:shd w:val="clear" w:color="auto" w:fill="FFFFFF"/>
        </w:rPr>
        <w:t xml:space="preserve">have </w:t>
      </w:r>
      <w:r w:rsidR="00AA4EE5">
        <w:rPr>
          <w:shd w:val="clear" w:color="auto" w:fill="FFFFFF"/>
        </w:rPr>
        <w:t>closed</w:t>
      </w:r>
      <w:r w:rsidR="00946634">
        <w:rPr>
          <w:shd w:val="clear" w:color="auto" w:fill="FFFFFF"/>
        </w:rPr>
        <w:t xml:space="preserve"> their representational offices and </w:t>
      </w:r>
      <w:r w:rsidR="00C9733A" w:rsidRPr="004E5498">
        <w:rPr>
          <w:shd w:val="clear" w:color="auto" w:fill="FFFFFF"/>
        </w:rPr>
        <w:t xml:space="preserve">refuse to work with an Afghan government committed to what the West regards as </w:t>
      </w:r>
      <w:r w:rsidR="004E5498" w:rsidRPr="004E5498">
        <w:rPr>
          <w:shd w:val="clear" w:color="auto" w:fill="FFFFFF"/>
        </w:rPr>
        <w:t>serious</w:t>
      </w:r>
      <w:r w:rsidR="00C9733A" w:rsidRPr="004E5498">
        <w:rPr>
          <w:shd w:val="clear" w:color="auto" w:fill="FFFFFF"/>
        </w:rPr>
        <w:t xml:space="preserve"> human rights abuses</w:t>
      </w:r>
      <w:r w:rsidR="005F20ED" w:rsidRPr="004E5498">
        <w:rPr>
          <w:shd w:val="clear" w:color="auto" w:fill="FFFFFF"/>
        </w:rPr>
        <w:t>.</w:t>
      </w:r>
      <w:r w:rsidR="004E5498" w:rsidRPr="004E5498">
        <w:rPr>
          <w:shd w:val="clear" w:color="auto" w:fill="FFFFFF"/>
        </w:rPr>
        <w:t xml:space="preserve"> This is despite </w:t>
      </w:r>
      <w:r w:rsidR="00946634">
        <w:rPr>
          <w:shd w:val="clear" w:color="auto" w:fill="FFFFFF"/>
        </w:rPr>
        <w:t>Brereton’s view</w:t>
      </w:r>
      <w:r w:rsidR="004E5498" w:rsidRPr="004E5498">
        <w:rPr>
          <w:shd w:val="clear" w:color="auto" w:fill="FFFFFF"/>
        </w:rPr>
        <w:t xml:space="preserve"> following discussions with the ICC’s Office of the Prosecutor </w:t>
      </w:r>
      <w:r w:rsidR="00946634">
        <w:rPr>
          <w:shd w:val="clear" w:color="auto" w:fill="FFFFFF"/>
        </w:rPr>
        <w:t xml:space="preserve">in 2019 </w:t>
      </w:r>
      <w:r w:rsidR="004E5498" w:rsidRPr="004E5498">
        <w:rPr>
          <w:shd w:val="clear" w:color="auto" w:fill="FFFFFF"/>
        </w:rPr>
        <w:t>that best practice for trials would involve Afghan participation.</w:t>
      </w:r>
      <w:r w:rsidR="004E5498" w:rsidRPr="004E5498">
        <w:rPr>
          <w:rStyle w:val="FootnoteReference"/>
          <w:szCs w:val="18"/>
        </w:rPr>
        <w:footnoteReference w:id="8"/>
      </w:r>
      <w:r w:rsidR="004E5498" w:rsidRPr="004E5498">
        <w:rPr>
          <w:shd w:val="clear" w:color="auto" w:fill="FFFFFF"/>
        </w:rPr>
        <w:t xml:space="preserve"> </w:t>
      </w:r>
      <w:r w:rsidR="004E5498" w:rsidRPr="004E5498">
        <w:rPr>
          <w:szCs w:val="18"/>
        </w:rPr>
        <w:t>Additionally, the Brereton Report stressed repeatedly how Afghan voices had been completely disregarded up to that point and that that is one of the reasons why initial Australian investigations were so poor</w:t>
      </w:r>
      <w:r w:rsidR="00C5134E">
        <w:rPr>
          <w:szCs w:val="18"/>
        </w:rPr>
        <w:t>. Indeed,</w:t>
      </w:r>
      <w:r w:rsidR="004E5498" w:rsidRPr="004E5498">
        <w:rPr>
          <w:szCs w:val="18"/>
        </w:rPr>
        <w:t xml:space="preserve"> Afghan witnesses and civil society </w:t>
      </w:r>
      <w:r w:rsidR="00946634">
        <w:rPr>
          <w:szCs w:val="18"/>
        </w:rPr>
        <w:t>had been</w:t>
      </w:r>
      <w:r w:rsidR="004E5498" w:rsidRPr="004E5498">
        <w:rPr>
          <w:szCs w:val="18"/>
        </w:rPr>
        <w:t xml:space="preserve"> presumed to be making things up.</w:t>
      </w:r>
      <w:r w:rsidR="004E5498" w:rsidRPr="004E5498">
        <w:rPr>
          <w:rStyle w:val="FootnoteReference"/>
          <w:szCs w:val="18"/>
        </w:rPr>
        <w:footnoteReference w:id="9"/>
      </w:r>
      <w:r w:rsidR="00A9335D">
        <w:rPr>
          <w:szCs w:val="18"/>
        </w:rPr>
        <w:t xml:space="preserve"> </w:t>
      </w:r>
    </w:p>
    <w:p w:rsidR="00C5134E" w:rsidRPr="00F955EF" w:rsidRDefault="00C5134E" w:rsidP="00FA4156">
      <w:pPr>
        <w:spacing w:after="120" w:line="360" w:lineRule="auto"/>
        <w:jc w:val="both"/>
        <w:rPr>
          <w:rFonts w:ascii="Times New Roman" w:hAnsi="Times New Roman" w:cs="Times New Roman"/>
          <w:sz w:val="24"/>
          <w:szCs w:val="24"/>
        </w:rPr>
      </w:pPr>
      <w:r w:rsidRPr="00F955EF">
        <w:rPr>
          <w:rFonts w:ascii="Times New Roman" w:hAnsi="Times New Roman" w:cs="Times New Roman"/>
          <w:sz w:val="24"/>
          <w:szCs w:val="24"/>
        </w:rPr>
        <w:t xml:space="preserve">The Head of the OSI (Chris </w:t>
      </w:r>
      <w:proofErr w:type="spellStart"/>
      <w:r w:rsidRPr="00F955EF">
        <w:rPr>
          <w:rFonts w:ascii="Times New Roman" w:hAnsi="Times New Roman" w:cs="Times New Roman"/>
          <w:sz w:val="24"/>
          <w:szCs w:val="24"/>
        </w:rPr>
        <w:t>Moraitis</w:t>
      </w:r>
      <w:proofErr w:type="spellEnd"/>
      <w:r w:rsidRPr="00F955EF">
        <w:rPr>
          <w:rFonts w:ascii="Times New Roman" w:hAnsi="Times New Roman" w:cs="Times New Roman"/>
          <w:sz w:val="24"/>
          <w:szCs w:val="24"/>
        </w:rPr>
        <w:t xml:space="preserve">) fielded a question about its victim liaison and public outreach when he was giving evidence to the </w:t>
      </w:r>
      <w:r w:rsidR="00F955EF">
        <w:rPr>
          <w:rFonts w:ascii="Times New Roman" w:hAnsi="Times New Roman" w:cs="Times New Roman"/>
          <w:sz w:val="24"/>
          <w:szCs w:val="24"/>
        </w:rPr>
        <w:t xml:space="preserve">Australian </w:t>
      </w:r>
      <w:r w:rsidRPr="00F955EF">
        <w:rPr>
          <w:rFonts w:ascii="Times New Roman" w:hAnsi="Times New Roman" w:cs="Times New Roman"/>
          <w:sz w:val="24"/>
          <w:szCs w:val="24"/>
        </w:rPr>
        <w:t>Senate Estimates hearing in March 2021; he said that victim and witness liaison will form a part of OSI’s approach in line with standard criminal investigation processes.</w:t>
      </w:r>
      <w:r w:rsidRPr="00F955EF">
        <w:rPr>
          <w:rStyle w:val="FootnoteReference"/>
          <w:rFonts w:ascii="Times New Roman" w:hAnsi="Times New Roman" w:cs="Times New Roman"/>
          <w:sz w:val="24"/>
          <w:szCs w:val="24"/>
        </w:rPr>
        <w:footnoteReference w:id="10"/>
      </w:r>
      <w:r w:rsidRPr="00F955EF">
        <w:rPr>
          <w:rFonts w:ascii="Times New Roman" w:hAnsi="Times New Roman" w:cs="Times New Roman"/>
          <w:sz w:val="24"/>
          <w:szCs w:val="24"/>
        </w:rPr>
        <w:t xml:space="preserve"> Indeed, the OSI appears to be focusing not on </w:t>
      </w:r>
      <w:r w:rsidRPr="00F955EF">
        <w:rPr>
          <w:rFonts w:ascii="Times New Roman" w:hAnsi="Times New Roman" w:cs="Times New Roman"/>
          <w:sz w:val="24"/>
          <w:szCs w:val="24"/>
        </w:rPr>
        <w:lastRenderedPageBreak/>
        <w:t>gathering information from people in Afghanistan, but on gathering other evidence.</w:t>
      </w:r>
      <w:r w:rsidRPr="00F955EF">
        <w:rPr>
          <w:rStyle w:val="FootnoteReference"/>
          <w:rFonts w:ascii="Times New Roman" w:hAnsi="Times New Roman" w:cs="Times New Roman"/>
          <w:sz w:val="24"/>
          <w:szCs w:val="24"/>
        </w:rPr>
        <w:footnoteReference w:id="11"/>
      </w:r>
      <w:r w:rsidRPr="00F955EF">
        <w:rPr>
          <w:rFonts w:ascii="Times New Roman" w:hAnsi="Times New Roman" w:cs="Times New Roman"/>
          <w:sz w:val="24"/>
          <w:szCs w:val="24"/>
        </w:rPr>
        <w:t xml:space="preserve"> In October 2021 </w:t>
      </w:r>
      <w:proofErr w:type="spellStart"/>
      <w:r w:rsidRPr="00F955EF">
        <w:rPr>
          <w:rFonts w:ascii="Times New Roman" w:hAnsi="Times New Roman" w:cs="Times New Roman"/>
          <w:sz w:val="24"/>
          <w:szCs w:val="24"/>
        </w:rPr>
        <w:t>Moraitis</w:t>
      </w:r>
      <w:proofErr w:type="spellEnd"/>
      <w:r w:rsidRPr="00F955EF">
        <w:rPr>
          <w:rFonts w:ascii="Times New Roman" w:hAnsi="Times New Roman" w:cs="Times New Roman"/>
          <w:sz w:val="24"/>
          <w:szCs w:val="24"/>
        </w:rPr>
        <w:t xml:space="preserve"> told </w:t>
      </w:r>
      <w:r w:rsidR="00F955EF">
        <w:rPr>
          <w:rFonts w:ascii="Times New Roman" w:hAnsi="Times New Roman" w:cs="Times New Roman"/>
          <w:sz w:val="24"/>
          <w:szCs w:val="24"/>
        </w:rPr>
        <w:t xml:space="preserve">representatives of </w:t>
      </w:r>
      <w:r w:rsidRPr="00F955EF">
        <w:rPr>
          <w:rFonts w:ascii="Times New Roman" w:hAnsi="Times New Roman" w:cs="Times New Roman"/>
          <w:sz w:val="24"/>
          <w:szCs w:val="24"/>
        </w:rPr>
        <w:t xml:space="preserve">the </w:t>
      </w:r>
      <w:r w:rsidR="00F955EF">
        <w:rPr>
          <w:rFonts w:ascii="Times New Roman" w:hAnsi="Times New Roman" w:cs="Times New Roman"/>
          <w:sz w:val="24"/>
          <w:szCs w:val="24"/>
        </w:rPr>
        <w:t xml:space="preserve">Australian </w:t>
      </w:r>
      <w:r w:rsidRPr="00F955EF">
        <w:rPr>
          <w:rFonts w:ascii="Times New Roman" w:hAnsi="Times New Roman" w:cs="Times New Roman"/>
          <w:sz w:val="24"/>
          <w:szCs w:val="24"/>
        </w:rPr>
        <w:t xml:space="preserve">Senate in </w:t>
      </w:r>
      <w:r w:rsidR="00ED4699" w:rsidRPr="00F955EF">
        <w:rPr>
          <w:rFonts w:ascii="Times New Roman" w:hAnsi="Times New Roman" w:cs="Times New Roman"/>
          <w:sz w:val="24"/>
          <w:szCs w:val="24"/>
        </w:rPr>
        <w:t>S</w:t>
      </w:r>
      <w:r w:rsidRPr="00F955EF">
        <w:rPr>
          <w:rFonts w:ascii="Times New Roman" w:hAnsi="Times New Roman" w:cs="Times New Roman"/>
          <w:sz w:val="24"/>
          <w:szCs w:val="24"/>
        </w:rPr>
        <w:t xml:space="preserve">upplementary </w:t>
      </w:r>
      <w:r w:rsidR="00ED4699" w:rsidRPr="00F955EF">
        <w:rPr>
          <w:rFonts w:ascii="Times New Roman" w:hAnsi="Times New Roman" w:cs="Times New Roman"/>
          <w:sz w:val="24"/>
          <w:szCs w:val="24"/>
        </w:rPr>
        <w:t>E</w:t>
      </w:r>
      <w:r w:rsidRPr="00F955EF">
        <w:rPr>
          <w:rFonts w:ascii="Times New Roman" w:hAnsi="Times New Roman" w:cs="Times New Roman"/>
          <w:sz w:val="24"/>
          <w:szCs w:val="24"/>
        </w:rPr>
        <w:t>stimates hearings</w:t>
      </w:r>
      <w:r w:rsidR="00ED4699" w:rsidRPr="00F955EF">
        <w:rPr>
          <w:rFonts w:ascii="Times New Roman" w:hAnsi="Times New Roman" w:cs="Times New Roman"/>
          <w:sz w:val="24"/>
          <w:szCs w:val="24"/>
        </w:rPr>
        <w:t xml:space="preserve"> that he thought it would be difficult to envisage that Afghan witnesses would come to Australia to give evidence in future</w:t>
      </w:r>
      <w:r w:rsidRPr="00F955EF">
        <w:rPr>
          <w:rStyle w:val="FootnoteReference"/>
          <w:rFonts w:ascii="Times New Roman" w:hAnsi="Times New Roman" w:cs="Times New Roman"/>
          <w:sz w:val="24"/>
          <w:szCs w:val="24"/>
        </w:rPr>
        <w:footnoteReference w:id="12"/>
      </w:r>
      <w:r w:rsidR="00ED4699" w:rsidRPr="00F955EF">
        <w:rPr>
          <w:rFonts w:ascii="Times New Roman" w:hAnsi="Times New Roman" w:cs="Times New Roman"/>
          <w:sz w:val="24"/>
          <w:szCs w:val="24"/>
        </w:rPr>
        <w:t>, although he</w:t>
      </w:r>
      <w:r w:rsidRPr="00F955EF">
        <w:rPr>
          <w:rFonts w:ascii="Times New Roman" w:hAnsi="Times New Roman" w:cs="Times New Roman"/>
          <w:sz w:val="24"/>
          <w:szCs w:val="24"/>
        </w:rPr>
        <w:t xml:space="preserve"> did concede that there would be certain advantages to being able to gather evidence in person.</w:t>
      </w:r>
    </w:p>
    <w:p w:rsidR="00AB3D99" w:rsidRDefault="00ED4699" w:rsidP="00FA4156">
      <w:pPr>
        <w:spacing w:after="120" w:line="360" w:lineRule="auto"/>
        <w:jc w:val="both"/>
        <w:rPr>
          <w:rFonts w:ascii="Times New Roman" w:hAnsi="Times New Roman" w:cs="Times New Roman"/>
          <w:color w:val="FF0000"/>
          <w:sz w:val="24"/>
          <w:szCs w:val="18"/>
        </w:rPr>
      </w:pPr>
      <w:r w:rsidRPr="00F955EF">
        <w:rPr>
          <w:rFonts w:ascii="Times New Roman" w:hAnsi="Times New Roman" w:cs="Times New Roman"/>
          <w:sz w:val="24"/>
          <w:szCs w:val="24"/>
        </w:rPr>
        <w:t xml:space="preserve">As Nelson has observed, it is important for the OSI/DPP to realise that </w:t>
      </w:r>
      <w:r w:rsidR="00C5134E" w:rsidRPr="00F955EF">
        <w:rPr>
          <w:rFonts w:ascii="Times New Roman" w:hAnsi="Times New Roman" w:cs="Times New Roman"/>
          <w:sz w:val="24"/>
          <w:szCs w:val="24"/>
        </w:rPr>
        <w:t xml:space="preserve">investigations of international crimes, even those carried out domestically, bring with them a heightened need for victim outreach and participation. This includes ensuring that victims and witnesses from another country are sufficiently familiar with court processes and what to expect from them. These </w:t>
      </w:r>
      <w:proofErr w:type="gramStart"/>
      <w:r w:rsidR="00C5134E" w:rsidRPr="00F955EF">
        <w:rPr>
          <w:rFonts w:ascii="Times New Roman" w:hAnsi="Times New Roman" w:cs="Times New Roman"/>
          <w:sz w:val="24"/>
          <w:szCs w:val="24"/>
        </w:rPr>
        <w:t>are things that are</w:t>
      </w:r>
      <w:proofErr w:type="gramEnd"/>
      <w:r w:rsidR="00C5134E" w:rsidRPr="00F955EF">
        <w:rPr>
          <w:rFonts w:ascii="Times New Roman" w:hAnsi="Times New Roman" w:cs="Times New Roman"/>
          <w:sz w:val="24"/>
          <w:szCs w:val="24"/>
        </w:rPr>
        <w:t xml:space="preserve"> difficult for many witnesses anyway</w:t>
      </w:r>
      <w:r w:rsidRPr="00F955EF">
        <w:rPr>
          <w:rFonts w:ascii="Times New Roman" w:hAnsi="Times New Roman" w:cs="Times New Roman"/>
          <w:sz w:val="24"/>
          <w:szCs w:val="24"/>
        </w:rPr>
        <w:t>,</w:t>
      </w:r>
      <w:r w:rsidR="00C5134E" w:rsidRPr="00F955EF">
        <w:rPr>
          <w:rFonts w:ascii="Times New Roman" w:hAnsi="Times New Roman" w:cs="Times New Roman"/>
          <w:sz w:val="24"/>
          <w:szCs w:val="24"/>
        </w:rPr>
        <w:t xml:space="preserve"> and these difficulties are exacerbated where there are cultural and linguistic barriers.</w:t>
      </w:r>
      <w:r w:rsidR="00F943C1" w:rsidRPr="00F955EF">
        <w:rPr>
          <w:rStyle w:val="FootnoteReference"/>
          <w:rFonts w:ascii="Times New Roman" w:hAnsi="Times New Roman" w:cs="Times New Roman"/>
          <w:sz w:val="24"/>
          <w:szCs w:val="24"/>
        </w:rPr>
        <w:footnoteReference w:id="13"/>
      </w:r>
      <w:r w:rsidR="00C5134E" w:rsidRPr="00F955EF">
        <w:rPr>
          <w:rFonts w:ascii="Times New Roman" w:hAnsi="Times New Roman" w:cs="Times New Roman"/>
          <w:sz w:val="24"/>
          <w:szCs w:val="24"/>
        </w:rPr>
        <w:t xml:space="preserve"> </w:t>
      </w:r>
      <w:r w:rsidR="00906EC6" w:rsidRPr="00455C6E">
        <w:rPr>
          <w:rFonts w:ascii="Times New Roman" w:hAnsi="Times New Roman" w:cs="Times New Roman"/>
          <w:sz w:val="24"/>
          <w:szCs w:val="18"/>
        </w:rPr>
        <w:t xml:space="preserve">There are rights victims have in accordance with internal guidelines and policies of the AFP. The DPP </w:t>
      </w:r>
      <w:r w:rsidR="00F943C1" w:rsidRPr="00455C6E">
        <w:rPr>
          <w:rFonts w:ascii="Times New Roman" w:hAnsi="Times New Roman" w:cs="Times New Roman"/>
          <w:sz w:val="24"/>
          <w:szCs w:val="18"/>
        </w:rPr>
        <w:t>(</w:t>
      </w:r>
      <w:proofErr w:type="spellStart"/>
      <w:r w:rsidR="00F943C1" w:rsidRPr="00455C6E">
        <w:rPr>
          <w:rFonts w:ascii="Times New Roman" w:hAnsi="Times New Roman" w:cs="Times New Roman"/>
          <w:sz w:val="24"/>
          <w:szCs w:val="18"/>
        </w:rPr>
        <w:t>Cth</w:t>
      </w:r>
      <w:proofErr w:type="spellEnd"/>
      <w:r w:rsidR="00F943C1" w:rsidRPr="00455C6E">
        <w:rPr>
          <w:rFonts w:ascii="Times New Roman" w:hAnsi="Times New Roman" w:cs="Times New Roman"/>
          <w:sz w:val="24"/>
          <w:szCs w:val="18"/>
        </w:rPr>
        <w:t xml:space="preserve">) </w:t>
      </w:r>
      <w:r w:rsidR="00906EC6" w:rsidRPr="00455C6E">
        <w:rPr>
          <w:rFonts w:ascii="Times New Roman" w:hAnsi="Times New Roman" w:cs="Times New Roman"/>
          <w:sz w:val="24"/>
          <w:szCs w:val="18"/>
        </w:rPr>
        <w:t>also gives victims the right to be kept up to date with where proceedings are at, to be consulted on decisions about which charges to proceed with</w:t>
      </w:r>
      <w:r w:rsidR="00F943C1" w:rsidRPr="00455C6E">
        <w:rPr>
          <w:rFonts w:ascii="Times New Roman" w:hAnsi="Times New Roman" w:cs="Times New Roman"/>
          <w:sz w:val="24"/>
          <w:szCs w:val="18"/>
        </w:rPr>
        <w:t xml:space="preserve"> </w:t>
      </w:r>
      <w:r w:rsidR="00906EC6" w:rsidRPr="00455C6E">
        <w:rPr>
          <w:rFonts w:ascii="Times New Roman" w:hAnsi="Times New Roman" w:cs="Times New Roman"/>
          <w:sz w:val="24"/>
          <w:szCs w:val="18"/>
        </w:rPr>
        <w:t>and</w:t>
      </w:r>
      <w:r w:rsidR="00455C6E">
        <w:rPr>
          <w:rFonts w:ascii="Times New Roman" w:hAnsi="Times New Roman" w:cs="Times New Roman"/>
          <w:sz w:val="24"/>
          <w:szCs w:val="18"/>
        </w:rPr>
        <w:t xml:space="preserve"> the</w:t>
      </w:r>
      <w:r w:rsidR="00906EC6" w:rsidRPr="00455C6E">
        <w:rPr>
          <w:rFonts w:ascii="Times New Roman" w:hAnsi="Times New Roman" w:cs="Times New Roman"/>
          <w:sz w:val="24"/>
          <w:szCs w:val="18"/>
        </w:rPr>
        <w:t xml:space="preserve"> right to give victim impact statements.</w:t>
      </w:r>
      <w:r w:rsidR="00906EC6" w:rsidRPr="00455C6E">
        <w:rPr>
          <w:rFonts w:ascii="Times New Roman" w:hAnsi="Times New Roman" w:cs="Times New Roman"/>
          <w:sz w:val="24"/>
          <w:szCs w:val="24"/>
        </w:rPr>
        <w:t xml:space="preserve"> </w:t>
      </w:r>
      <w:r w:rsidR="00455C6E">
        <w:rPr>
          <w:rFonts w:ascii="Times New Roman" w:hAnsi="Times New Roman" w:cs="Times New Roman"/>
          <w:sz w:val="24"/>
          <w:szCs w:val="18"/>
        </w:rPr>
        <w:t>T</w:t>
      </w:r>
      <w:r w:rsidR="00AB3D99" w:rsidRPr="00455C6E">
        <w:rPr>
          <w:rFonts w:ascii="Times New Roman" w:hAnsi="Times New Roman" w:cs="Times New Roman"/>
          <w:sz w:val="24"/>
          <w:szCs w:val="18"/>
        </w:rPr>
        <w:t>he Witness Assistance Service</w:t>
      </w:r>
      <w:r w:rsidR="00455C6E">
        <w:rPr>
          <w:rFonts w:ascii="Times New Roman" w:hAnsi="Times New Roman" w:cs="Times New Roman"/>
          <w:sz w:val="24"/>
          <w:szCs w:val="18"/>
        </w:rPr>
        <w:t xml:space="preserve"> (WAS) is available to</w:t>
      </w:r>
      <w:r w:rsidR="00AB3D99" w:rsidRPr="00455C6E">
        <w:rPr>
          <w:rFonts w:ascii="Times New Roman" w:hAnsi="Times New Roman" w:cs="Times New Roman"/>
          <w:sz w:val="24"/>
          <w:szCs w:val="18"/>
        </w:rPr>
        <w:t xml:space="preserve"> guide witnesses and offer them support, including support during the potentially traumatic process of giving evidence</w:t>
      </w:r>
      <w:r w:rsidR="00455C6E">
        <w:rPr>
          <w:rFonts w:ascii="Times New Roman" w:hAnsi="Times New Roman" w:cs="Times New Roman"/>
          <w:sz w:val="24"/>
          <w:szCs w:val="18"/>
        </w:rPr>
        <w:t>, but t</w:t>
      </w:r>
      <w:r w:rsidR="00F943C1" w:rsidRPr="00455C6E">
        <w:rPr>
          <w:rFonts w:ascii="Times New Roman" w:hAnsi="Times New Roman" w:cs="Times New Roman"/>
          <w:sz w:val="24"/>
          <w:szCs w:val="18"/>
        </w:rPr>
        <w:t>his</w:t>
      </w:r>
      <w:r w:rsidR="00AB3D99" w:rsidRPr="00455C6E">
        <w:rPr>
          <w:rFonts w:ascii="Times New Roman" w:hAnsi="Times New Roman" w:cs="Times New Roman"/>
          <w:sz w:val="24"/>
          <w:szCs w:val="18"/>
        </w:rPr>
        <w:t xml:space="preserve"> is available </w:t>
      </w:r>
      <w:r w:rsidR="00455C6E">
        <w:rPr>
          <w:rFonts w:ascii="Times New Roman" w:hAnsi="Times New Roman" w:cs="Times New Roman"/>
          <w:sz w:val="24"/>
          <w:szCs w:val="18"/>
        </w:rPr>
        <w:t xml:space="preserve">only </w:t>
      </w:r>
      <w:r w:rsidR="00AB3D99" w:rsidRPr="00455C6E">
        <w:rPr>
          <w:rFonts w:ascii="Times New Roman" w:hAnsi="Times New Roman" w:cs="Times New Roman"/>
          <w:sz w:val="24"/>
          <w:szCs w:val="18"/>
        </w:rPr>
        <w:t xml:space="preserve">to a limited number of people – children and victims of sexual assault </w:t>
      </w:r>
      <w:r w:rsidR="00864C34">
        <w:rPr>
          <w:rFonts w:ascii="Times New Roman" w:hAnsi="Times New Roman" w:cs="Times New Roman"/>
          <w:sz w:val="24"/>
          <w:szCs w:val="18"/>
        </w:rPr>
        <w:t>(</w:t>
      </w:r>
      <w:r w:rsidR="00AB3D99" w:rsidRPr="00455C6E">
        <w:rPr>
          <w:rFonts w:ascii="Times New Roman" w:hAnsi="Times New Roman" w:cs="Times New Roman"/>
          <w:sz w:val="24"/>
          <w:szCs w:val="18"/>
        </w:rPr>
        <w:t>some jurisdictions</w:t>
      </w:r>
      <w:r w:rsidR="00864C34">
        <w:rPr>
          <w:rFonts w:ascii="Times New Roman" w:hAnsi="Times New Roman" w:cs="Times New Roman"/>
          <w:sz w:val="24"/>
          <w:szCs w:val="18"/>
        </w:rPr>
        <w:t>)</w:t>
      </w:r>
      <w:r w:rsidR="00D55646">
        <w:rPr>
          <w:rFonts w:ascii="Times New Roman" w:hAnsi="Times New Roman" w:cs="Times New Roman"/>
          <w:sz w:val="24"/>
          <w:szCs w:val="18"/>
        </w:rPr>
        <w:t xml:space="preserve">, and </w:t>
      </w:r>
      <w:r w:rsidR="00AB3D99" w:rsidRPr="00455C6E">
        <w:rPr>
          <w:rFonts w:ascii="Times New Roman" w:hAnsi="Times New Roman" w:cs="Times New Roman"/>
          <w:sz w:val="24"/>
          <w:szCs w:val="18"/>
        </w:rPr>
        <w:t>victims of certain international-type crimes like slavery</w:t>
      </w:r>
      <w:r w:rsidR="00455C6E">
        <w:rPr>
          <w:rFonts w:ascii="Times New Roman" w:hAnsi="Times New Roman" w:cs="Times New Roman"/>
          <w:sz w:val="24"/>
          <w:szCs w:val="18"/>
        </w:rPr>
        <w:t>. It</w:t>
      </w:r>
      <w:r w:rsidR="00AB3D99" w:rsidRPr="00455C6E">
        <w:rPr>
          <w:rFonts w:ascii="Times New Roman" w:hAnsi="Times New Roman" w:cs="Times New Roman"/>
          <w:sz w:val="24"/>
          <w:szCs w:val="18"/>
        </w:rPr>
        <w:t xml:space="preserve"> is unclear whether </w:t>
      </w:r>
      <w:r w:rsidR="00F943C1" w:rsidRPr="00455C6E">
        <w:rPr>
          <w:rFonts w:ascii="Times New Roman" w:hAnsi="Times New Roman" w:cs="Times New Roman"/>
          <w:sz w:val="24"/>
          <w:szCs w:val="18"/>
        </w:rPr>
        <w:t>it</w:t>
      </w:r>
      <w:r w:rsidR="00AB3D99" w:rsidRPr="00455C6E">
        <w:rPr>
          <w:rFonts w:ascii="Times New Roman" w:hAnsi="Times New Roman" w:cs="Times New Roman"/>
          <w:sz w:val="24"/>
          <w:szCs w:val="18"/>
        </w:rPr>
        <w:t xml:space="preserve"> might be available to victims of war crimes</w:t>
      </w:r>
      <w:r w:rsidR="00F943C1" w:rsidRPr="00455C6E">
        <w:rPr>
          <w:rFonts w:ascii="Times New Roman" w:hAnsi="Times New Roman" w:cs="Times New Roman"/>
          <w:sz w:val="24"/>
          <w:szCs w:val="18"/>
        </w:rPr>
        <w:t xml:space="preserve"> or other offences against the Rome Statute</w:t>
      </w:r>
      <w:r w:rsidR="00AB3D99" w:rsidRPr="00455C6E">
        <w:rPr>
          <w:rFonts w:ascii="Times New Roman" w:hAnsi="Times New Roman" w:cs="Times New Roman"/>
          <w:sz w:val="24"/>
          <w:szCs w:val="18"/>
        </w:rPr>
        <w:t>.</w:t>
      </w:r>
    </w:p>
    <w:p w:rsidR="00AB3D99" w:rsidRDefault="00ED4699" w:rsidP="00FA4156">
      <w:pPr>
        <w:spacing w:after="120" w:line="360" w:lineRule="auto"/>
        <w:jc w:val="both"/>
        <w:rPr>
          <w:rFonts w:ascii="Times New Roman" w:hAnsi="Times New Roman" w:cs="Times New Roman"/>
          <w:sz w:val="24"/>
          <w:szCs w:val="24"/>
        </w:rPr>
      </w:pPr>
      <w:r w:rsidRPr="00F955EF">
        <w:rPr>
          <w:rFonts w:ascii="Times New Roman" w:hAnsi="Times New Roman" w:cs="Times New Roman"/>
          <w:sz w:val="24"/>
          <w:szCs w:val="24"/>
        </w:rPr>
        <w:t xml:space="preserve">There is no information </w:t>
      </w:r>
      <w:r w:rsidR="001069D7">
        <w:rPr>
          <w:rFonts w:ascii="Times New Roman" w:hAnsi="Times New Roman" w:cs="Times New Roman"/>
          <w:sz w:val="24"/>
          <w:szCs w:val="24"/>
        </w:rPr>
        <w:t xml:space="preserve">as to </w:t>
      </w:r>
      <w:r w:rsidRPr="00F955EF">
        <w:rPr>
          <w:rFonts w:ascii="Times New Roman" w:hAnsi="Times New Roman" w:cs="Times New Roman"/>
          <w:sz w:val="24"/>
          <w:szCs w:val="24"/>
        </w:rPr>
        <w:t>whether the OSI/DPP have included evidence from Afghan witnesses in their charging brief</w:t>
      </w:r>
      <w:r w:rsidR="00946634" w:rsidRPr="00F955EF">
        <w:rPr>
          <w:rFonts w:ascii="Times New Roman" w:hAnsi="Times New Roman" w:cs="Times New Roman"/>
          <w:sz w:val="24"/>
          <w:szCs w:val="24"/>
        </w:rPr>
        <w:t xml:space="preserve"> for </w:t>
      </w:r>
      <w:r w:rsidR="007217DE">
        <w:rPr>
          <w:rFonts w:ascii="Times New Roman" w:hAnsi="Times New Roman" w:cs="Times New Roman"/>
          <w:sz w:val="24"/>
          <w:szCs w:val="24"/>
        </w:rPr>
        <w:t>Schulz</w:t>
      </w:r>
      <w:r w:rsidR="00D55646">
        <w:rPr>
          <w:rFonts w:ascii="Times New Roman" w:hAnsi="Times New Roman" w:cs="Times New Roman"/>
          <w:sz w:val="24"/>
          <w:szCs w:val="24"/>
        </w:rPr>
        <w:t xml:space="preserve"> (or will do for </w:t>
      </w:r>
      <w:r w:rsidR="00DC237C">
        <w:rPr>
          <w:rFonts w:ascii="Times New Roman" w:hAnsi="Times New Roman" w:cs="Times New Roman"/>
          <w:sz w:val="24"/>
          <w:szCs w:val="24"/>
        </w:rPr>
        <w:t xml:space="preserve">any </w:t>
      </w:r>
      <w:r w:rsidR="00D55646">
        <w:rPr>
          <w:rFonts w:ascii="Times New Roman" w:hAnsi="Times New Roman" w:cs="Times New Roman"/>
          <w:sz w:val="24"/>
          <w:szCs w:val="24"/>
        </w:rPr>
        <w:t xml:space="preserve">future </w:t>
      </w:r>
      <w:proofErr w:type="spellStart"/>
      <w:r w:rsidR="00D55646">
        <w:rPr>
          <w:rFonts w:ascii="Times New Roman" w:hAnsi="Times New Roman" w:cs="Times New Roman"/>
          <w:sz w:val="24"/>
          <w:szCs w:val="24"/>
        </w:rPr>
        <w:t>accuseds</w:t>
      </w:r>
      <w:proofErr w:type="spellEnd"/>
      <w:r w:rsidR="00D55646">
        <w:rPr>
          <w:rFonts w:ascii="Times New Roman" w:hAnsi="Times New Roman" w:cs="Times New Roman"/>
          <w:sz w:val="24"/>
          <w:szCs w:val="24"/>
        </w:rPr>
        <w:t>)</w:t>
      </w:r>
      <w:r w:rsidRPr="00F955EF">
        <w:rPr>
          <w:rFonts w:ascii="Times New Roman" w:hAnsi="Times New Roman" w:cs="Times New Roman"/>
          <w:sz w:val="24"/>
          <w:szCs w:val="24"/>
        </w:rPr>
        <w:t xml:space="preserve">, or </w:t>
      </w:r>
      <w:r w:rsidR="00946634" w:rsidRPr="00F955EF">
        <w:rPr>
          <w:rFonts w:ascii="Times New Roman" w:hAnsi="Times New Roman" w:cs="Times New Roman"/>
          <w:sz w:val="24"/>
          <w:szCs w:val="24"/>
        </w:rPr>
        <w:t>whether they</w:t>
      </w:r>
      <w:r w:rsidRPr="00F955EF">
        <w:rPr>
          <w:rFonts w:ascii="Times New Roman" w:hAnsi="Times New Roman" w:cs="Times New Roman"/>
          <w:sz w:val="24"/>
          <w:szCs w:val="24"/>
        </w:rPr>
        <w:t xml:space="preserve"> plan to integrate witnesses into the trial in some respect.</w:t>
      </w:r>
      <w:r w:rsidR="00F955EF">
        <w:rPr>
          <w:rFonts w:ascii="Times New Roman" w:hAnsi="Times New Roman" w:cs="Times New Roman"/>
          <w:sz w:val="24"/>
          <w:szCs w:val="24"/>
        </w:rPr>
        <w:t xml:space="preserve"> </w:t>
      </w:r>
      <w:r w:rsidR="00A91C84">
        <w:rPr>
          <w:rFonts w:ascii="Times New Roman" w:hAnsi="Times New Roman" w:cs="Times New Roman"/>
          <w:sz w:val="24"/>
          <w:szCs w:val="24"/>
        </w:rPr>
        <w:t xml:space="preserve">It is already known that in </w:t>
      </w:r>
      <w:r w:rsidR="001069D7">
        <w:rPr>
          <w:rFonts w:ascii="Times New Roman" w:hAnsi="Times New Roman" w:cs="Times New Roman"/>
          <w:sz w:val="24"/>
          <w:szCs w:val="24"/>
        </w:rPr>
        <w:t>relation to</w:t>
      </w:r>
      <w:r w:rsidR="00A91C84">
        <w:rPr>
          <w:rFonts w:ascii="Times New Roman" w:hAnsi="Times New Roman" w:cs="Times New Roman"/>
          <w:sz w:val="24"/>
          <w:szCs w:val="24"/>
        </w:rPr>
        <w:t xml:space="preserve"> New Zealand’s inquiry, victim groups pulled out of the process </w:t>
      </w:r>
      <w:r w:rsidR="001069D7">
        <w:rPr>
          <w:rFonts w:ascii="Times New Roman" w:hAnsi="Times New Roman" w:cs="Times New Roman"/>
          <w:sz w:val="24"/>
          <w:szCs w:val="24"/>
        </w:rPr>
        <w:t xml:space="preserve">due to </w:t>
      </w:r>
      <w:r w:rsidR="00A91C84">
        <w:rPr>
          <w:rFonts w:ascii="Times New Roman" w:hAnsi="Times New Roman" w:cs="Times New Roman"/>
          <w:sz w:val="24"/>
          <w:szCs w:val="24"/>
        </w:rPr>
        <w:t>frustrat</w:t>
      </w:r>
      <w:r w:rsidR="001069D7">
        <w:rPr>
          <w:rFonts w:ascii="Times New Roman" w:hAnsi="Times New Roman" w:cs="Times New Roman"/>
          <w:sz w:val="24"/>
          <w:szCs w:val="24"/>
        </w:rPr>
        <w:t>ion</w:t>
      </w:r>
      <w:r w:rsidR="00A91C84">
        <w:rPr>
          <w:rFonts w:ascii="Times New Roman" w:hAnsi="Times New Roman" w:cs="Times New Roman"/>
          <w:sz w:val="24"/>
          <w:szCs w:val="24"/>
        </w:rPr>
        <w:t xml:space="preserve"> </w:t>
      </w:r>
      <w:r w:rsidR="001069D7">
        <w:rPr>
          <w:rFonts w:ascii="Times New Roman" w:hAnsi="Times New Roman" w:cs="Times New Roman"/>
          <w:sz w:val="24"/>
          <w:szCs w:val="24"/>
        </w:rPr>
        <w:t>about being</w:t>
      </w:r>
      <w:r w:rsidR="00A91C84">
        <w:rPr>
          <w:rFonts w:ascii="Times New Roman" w:hAnsi="Times New Roman" w:cs="Times New Roman"/>
          <w:sz w:val="24"/>
          <w:szCs w:val="24"/>
        </w:rPr>
        <w:t xml:space="preserve"> denied access to key information </w:t>
      </w:r>
      <w:r w:rsidR="001069D7">
        <w:rPr>
          <w:rFonts w:ascii="Times New Roman" w:hAnsi="Times New Roman" w:cs="Times New Roman"/>
          <w:sz w:val="24"/>
          <w:szCs w:val="24"/>
        </w:rPr>
        <w:t>about</w:t>
      </w:r>
      <w:r w:rsidR="00A91C84">
        <w:rPr>
          <w:rFonts w:ascii="Times New Roman" w:hAnsi="Times New Roman" w:cs="Times New Roman"/>
          <w:sz w:val="24"/>
          <w:szCs w:val="24"/>
        </w:rPr>
        <w:t xml:space="preserve"> the incident, such as the gun tape footage that would have showed what had happened.</w:t>
      </w:r>
      <w:r w:rsidR="00A91C84">
        <w:rPr>
          <w:rStyle w:val="FootnoteReference"/>
          <w:rFonts w:ascii="Times New Roman" w:hAnsi="Times New Roman" w:cs="Times New Roman"/>
          <w:sz w:val="24"/>
          <w:szCs w:val="24"/>
        </w:rPr>
        <w:footnoteReference w:id="14"/>
      </w:r>
      <w:r w:rsidR="00A91C84">
        <w:rPr>
          <w:rFonts w:ascii="Times New Roman" w:hAnsi="Times New Roman" w:cs="Times New Roman"/>
          <w:sz w:val="24"/>
          <w:szCs w:val="24"/>
        </w:rPr>
        <w:t xml:space="preserve"> </w:t>
      </w:r>
      <w:r w:rsidR="005B17EF" w:rsidRPr="005B17EF">
        <w:rPr>
          <w:rFonts w:ascii="Times New Roman" w:hAnsi="Times New Roman" w:cs="Times New Roman"/>
          <w:sz w:val="24"/>
          <w:szCs w:val="18"/>
        </w:rPr>
        <w:t xml:space="preserve">The final Brereton Report stressed repeatedly how Afghan voices had been completely disregarded up to that point and that that is one of the reasons why the initial Australian investigations were so poor, namely, Afghan witnesses and civil society </w:t>
      </w:r>
      <w:r w:rsidR="005B17EF" w:rsidRPr="005B17EF">
        <w:rPr>
          <w:rFonts w:ascii="Times New Roman" w:hAnsi="Times New Roman" w:cs="Times New Roman"/>
          <w:sz w:val="24"/>
          <w:szCs w:val="18"/>
        </w:rPr>
        <w:lastRenderedPageBreak/>
        <w:t xml:space="preserve">were presumed to be making </w:t>
      </w:r>
      <w:r w:rsidR="005B17EF">
        <w:rPr>
          <w:rFonts w:ascii="Times New Roman" w:hAnsi="Times New Roman" w:cs="Times New Roman"/>
          <w:sz w:val="24"/>
          <w:szCs w:val="18"/>
        </w:rPr>
        <w:t>it all</w:t>
      </w:r>
      <w:r w:rsidR="005B17EF" w:rsidRPr="005B17EF">
        <w:rPr>
          <w:rFonts w:ascii="Times New Roman" w:hAnsi="Times New Roman" w:cs="Times New Roman"/>
          <w:sz w:val="24"/>
          <w:szCs w:val="18"/>
        </w:rPr>
        <w:t xml:space="preserve"> up.</w:t>
      </w:r>
      <w:r w:rsidR="005B17EF" w:rsidRPr="005B17EF">
        <w:rPr>
          <w:rStyle w:val="FootnoteReference"/>
          <w:rFonts w:ascii="Times New Roman" w:hAnsi="Times New Roman" w:cs="Times New Roman"/>
          <w:sz w:val="24"/>
          <w:szCs w:val="18"/>
        </w:rPr>
        <w:footnoteReference w:id="15"/>
      </w:r>
      <w:r w:rsidR="008E708E" w:rsidRPr="008E708E">
        <w:rPr>
          <w:rFonts w:ascii="Times New Roman" w:hAnsi="Times New Roman" w:cs="Times New Roman"/>
          <w:sz w:val="24"/>
          <w:szCs w:val="24"/>
        </w:rPr>
        <w:t xml:space="preserve"> </w:t>
      </w:r>
      <w:r w:rsidR="008E708E">
        <w:rPr>
          <w:rFonts w:ascii="Times New Roman" w:hAnsi="Times New Roman" w:cs="Times New Roman"/>
          <w:sz w:val="24"/>
          <w:szCs w:val="24"/>
        </w:rPr>
        <w:t>Thus it is vital that</w:t>
      </w:r>
      <w:r w:rsidR="008E708E" w:rsidRPr="00F955EF">
        <w:rPr>
          <w:rFonts w:ascii="Times New Roman" w:hAnsi="Times New Roman" w:cs="Times New Roman"/>
          <w:sz w:val="24"/>
          <w:szCs w:val="24"/>
        </w:rPr>
        <w:t xml:space="preserve"> plans for </w:t>
      </w:r>
      <w:r w:rsidR="008E708E">
        <w:rPr>
          <w:rFonts w:ascii="Times New Roman" w:hAnsi="Times New Roman" w:cs="Times New Roman"/>
          <w:sz w:val="24"/>
          <w:szCs w:val="24"/>
        </w:rPr>
        <w:t xml:space="preserve">meaningful </w:t>
      </w:r>
      <w:r w:rsidR="008E708E" w:rsidRPr="00F955EF">
        <w:rPr>
          <w:rFonts w:ascii="Times New Roman" w:hAnsi="Times New Roman" w:cs="Times New Roman"/>
          <w:sz w:val="24"/>
          <w:szCs w:val="24"/>
        </w:rPr>
        <w:t xml:space="preserve">victim participation </w:t>
      </w:r>
      <w:r w:rsidR="008E708E">
        <w:rPr>
          <w:rFonts w:ascii="Times New Roman" w:hAnsi="Times New Roman" w:cs="Times New Roman"/>
          <w:sz w:val="24"/>
          <w:szCs w:val="24"/>
        </w:rPr>
        <w:t xml:space="preserve">are made </w:t>
      </w:r>
      <w:r w:rsidR="008E708E" w:rsidRPr="00F955EF">
        <w:rPr>
          <w:rFonts w:ascii="Times New Roman" w:hAnsi="Times New Roman" w:cs="Times New Roman"/>
          <w:sz w:val="24"/>
          <w:szCs w:val="24"/>
        </w:rPr>
        <w:t>at an early stage</w:t>
      </w:r>
      <w:r w:rsidR="008E708E">
        <w:rPr>
          <w:rFonts w:ascii="Times New Roman" w:hAnsi="Times New Roman" w:cs="Times New Roman"/>
          <w:sz w:val="24"/>
          <w:szCs w:val="24"/>
        </w:rPr>
        <w:t>, not least because i</w:t>
      </w:r>
      <w:r w:rsidR="008E708E" w:rsidRPr="00F955EF">
        <w:rPr>
          <w:rFonts w:ascii="Times New Roman" w:hAnsi="Times New Roman" w:cs="Times New Roman"/>
          <w:sz w:val="24"/>
          <w:szCs w:val="24"/>
        </w:rPr>
        <w:t>ncreasingly in domestic</w:t>
      </w:r>
      <w:r w:rsidR="008E708E">
        <w:rPr>
          <w:rFonts w:ascii="Times New Roman" w:hAnsi="Times New Roman" w:cs="Times New Roman"/>
          <w:sz w:val="24"/>
          <w:szCs w:val="24"/>
        </w:rPr>
        <w:t xml:space="preserve"> (and </w:t>
      </w:r>
      <w:r w:rsidR="008E708E" w:rsidRPr="00F955EF">
        <w:rPr>
          <w:rFonts w:ascii="Times New Roman" w:hAnsi="Times New Roman" w:cs="Times New Roman"/>
          <w:sz w:val="24"/>
          <w:szCs w:val="24"/>
        </w:rPr>
        <w:t>in international</w:t>
      </w:r>
      <w:r w:rsidR="008E708E">
        <w:rPr>
          <w:rFonts w:ascii="Times New Roman" w:hAnsi="Times New Roman" w:cs="Times New Roman"/>
          <w:sz w:val="24"/>
          <w:szCs w:val="24"/>
        </w:rPr>
        <w:t>)</w:t>
      </w:r>
      <w:r w:rsidR="008E708E" w:rsidRPr="00F955EF">
        <w:rPr>
          <w:rFonts w:ascii="Times New Roman" w:hAnsi="Times New Roman" w:cs="Times New Roman"/>
          <w:sz w:val="24"/>
          <w:szCs w:val="24"/>
        </w:rPr>
        <w:t xml:space="preserve"> criminal law there is an understanding that secondary victimisation</w:t>
      </w:r>
      <w:r w:rsidR="008E708E">
        <w:rPr>
          <w:rFonts w:ascii="Times New Roman" w:hAnsi="Times New Roman" w:cs="Times New Roman"/>
          <w:sz w:val="24"/>
          <w:szCs w:val="24"/>
        </w:rPr>
        <w:t xml:space="preserve"> may occur </w:t>
      </w:r>
      <w:r w:rsidR="008E708E" w:rsidRPr="00F955EF">
        <w:rPr>
          <w:rFonts w:ascii="Times New Roman" w:hAnsi="Times New Roman" w:cs="Times New Roman"/>
          <w:sz w:val="24"/>
          <w:szCs w:val="24"/>
        </w:rPr>
        <w:t xml:space="preserve">if victims are not properly involved in </w:t>
      </w:r>
      <w:r w:rsidR="008E708E">
        <w:rPr>
          <w:rFonts w:ascii="Times New Roman" w:hAnsi="Times New Roman" w:cs="Times New Roman"/>
          <w:sz w:val="24"/>
          <w:szCs w:val="24"/>
        </w:rPr>
        <w:t>a prosecution</w:t>
      </w:r>
      <w:r w:rsidR="008E708E" w:rsidRPr="00F955EF">
        <w:rPr>
          <w:rFonts w:ascii="Times New Roman" w:hAnsi="Times New Roman" w:cs="Times New Roman"/>
          <w:sz w:val="24"/>
          <w:szCs w:val="24"/>
        </w:rPr>
        <w:t xml:space="preserve"> process.</w:t>
      </w:r>
      <w:r w:rsidR="008E708E">
        <w:rPr>
          <w:rStyle w:val="FootnoteReference"/>
          <w:rFonts w:ascii="Times New Roman" w:hAnsi="Times New Roman" w:cs="Times New Roman"/>
          <w:sz w:val="24"/>
          <w:szCs w:val="24"/>
        </w:rPr>
        <w:footnoteReference w:id="16"/>
      </w:r>
    </w:p>
    <w:p w:rsidR="00856C41" w:rsidRPr="00E93E56" w:rsidRDefault="00D55646" w:rsidP="00FA4156">
      <w:pPr>
        <w:pStyle w:val="css-38z03z"/>
        <w:shd w:val="clear" w:color="auto" w:fill="FFFFFF"/>
        <w:spacing w:before="0" w:beforeAutospacing="0" w:after="240" w:afterAutospacing="0" w:line="360" w:lineRule="auto"/>
        <w:jc w:val="both"/>
        <w:textAlignment w:val="baseline"/>
      </w:pPr>
      <w:r>
        <w:rPr>
          <w:shd w:val="clear" w:color="auto" w:fill="FFFFFF"/>
        </w:rPr>
        <w:t>This is even more so</w:t>
      </w:r>
      <w:r w:rsidR="004F2EB0">
        <w:rPr>
          <w:shd w:val="clear" w:color="auto" w:fill="FFFFFF"/>
        </w:rPr>
        <w:t xml:space="preserve"> </w:t>
      </w:r>
      <w:r w:rsidR="00F00D91">
        <w:rPr>
          <w:shd w:val="clear" w:color="auto" w:fill="FFFFFF"/>
        </w:rPr>
        <w:t xml:space="preserve">because </w:t>
      </w:r>
      <w:r>
        <w:rPr>
          <w:shd w:val="clear" w:color="auto" w:fill="FFFFFF"/>
        </w:rPr>
        <w:t>even</w:t>
      </w:r>
      <w:r w:rsidR="004F2EB0">
        <w:rPr>
          <w:shd w:val="clear" w:color="auto" w:fill="FFFFFF"/>
        </w:rPr>
        <w:t xml:space="preserve"> assuming they had the evidence required to </w:t>
      </w:r>
      <w:r w:rsidR="00F00D91">
        <w:rPr>
          <w:shd w:val="clear" w:color="auto" w:fill="FFFFFF"/>
        </w:rPr>
        <w:t xml:space="preserve">meet </w:t>
      </w:r>
      <w:r w:rsidR="004F2EB0">
        <w:rPr>
          <w:shd w:val="clear" w:color="auto" w:fill="FFFFFF"/>
        </w:rPr>
        <w:t>the criminal standard, it</w:t>
      </w:r>
      <w:r w:rsidR="00AB2AB3">
        <w:rPr>
          <w:shd w:val="clear" w:color="auto" w:fill="FFFFFF"/>
        </w:rPr>
        <w:t xml:space="preserve"> would not be possible for victim</w:t>
      </w:r>
      <w:r>
        <w:rPr>
          <w:shd w:val="clear" w:color="auto" w:fill="FFFFFF"/>
        </w:rPr>
        <w:t>s</w:t>
      </w:r>
      <w:r w:rsidR="00AB2AB3">
        <w:rPr>
          <w:shd w:val="clear" w:color="auto" w:fill="FFFFFF"/>
        </w:rPr>
        <w:t xml:space="preserve"> to launch a criminal case against an </w:t>
      </w:r>
      <w:r w:rsidR="004F2EB0" w:rsidRPr="00E93E56">
        <w:rPr>
          <w:shd w:val="clear" w:color="auto" w:fill="FFFFFF"/>
        </w:rPr>
        <w:t>accused</w:t>
      </w:r>
      <w:r w:rsidR="00AB2AB3" w:rsidRPr="00E93E56">
        <w:rPr>
          <w:shd w:val="clear" w:color="auto" w:fill="FFFFFF"/>
        </w:rPr>
        <w:t xml:space="preserve"> in an Australian court.</w:t>
      </w:r>
      <w:r w:rsidR="00BE0869" w:rsidRPr="00E93E56">
        <w:rPr>
          <w:rStyle w:val="FootnoteReference"/>
          <w:shd w:val="clear" w:color="auto" w:fill="FFFFFF"/>
        </w:rPr>
        <w:footnoteReference w:id="17"/>
      </w:r>
      <w:r w:rsidR="00AB2AB3" w:rsidRPr="00E93E56">
        <w:rPr>
          <w:shd w:val="clear" w:color="auto" w:fill="FFFFFF"/>
        </w:rPr>
        <w:t xml:space="preserve"> Section 268.121(1) of the </w:t>
      </w:r>
      <w:r w:rsidR="00AB2AB3" w:rsidRPr="00E93E56">
        <w:rPr>
          <w:i/>
          <w:shd w:val="clear" w:color="auto" w:fill="FFFFFF"/>
        </w:rPr>
        <w:t xml:space="preserve">Criminal Code </w:t>
      </w:r>
      <w:r w:rsidR="00AB2AB3" w:rsidRPr="00E93E56">
        <w:rPr>
          <w:shd w:val="clear" w:color="auto" w:fill="FFFFFF"/>
        </w:rPr>
        <w:t xml:space="preserve">provides that prosecutions under </w:t>
      </w:r>
      <w:proofErr w:type="spellStart"/>
      <w:r w:rsidR="00AB2AB3" w:rsidRPr="00E93E56">
        <w:rPr>
          <w:shd w:val="clear" w:color="auto" w:fill="FFFFFF"/>
        </w:rPr>
        <w:t>Div</w:t>
      </w:r>
      <w:proofErr w:type="spellEnd"/>
      <w:r w:rsidR="00AB2AB3" w:rsidRPr="00E93E56">
        <w:rPr>
          <w:shd w:val="clear" w:color="auto" w:fill="FFFFFF"/>
        </w:rPr>
        <w:t xml:space="preserve"> 268 require the approval of the Attorney-General, and there is no other legislation that would support such an action. </w:t>
      </w:r>
      <w:r w:rsidRPr="00E93E56">
        <w:rPr>
          <w:shd w:val="clear" w:color="auto" w:fill="FFFFFF"/>
        </w:rPr>
        <w:t>Further, s</w:t>
      </w:r>
      <w:r w:rsidR="00AB2AB3" w:rsidRPr="00E93E56">
        <w:rPr>
          <w:shd w:val="clear" w:color="auto" w:fill="FFFFFF"/>
        </w:rPr>
        <w:t>268.122 renders the Minister’s decision immune to challenge</w:t>
      </w:r>
      <w:r w:rsidRPr="00E93E56">
        <w:rPr>
          <w:shd w:val="clear" w:color="auto" w:fill="FFFFFF"/>
        </w:rPr>
        <w:t xml:space="preserve">, and </w:t>
      </w:r>
      <w:r w:rsidR="00AB2AB3" w:rsidRPr="00E93E56">
        <w:rPr>
          <w:shd w:val="clear" w:color="auto" w:fill="FFFFFF"/>
        </w:rPr>
        <w:t>the High Court (by a narrow majority)</w:t>
      </w:r>
      <w:r w:rsidRPr="00E93E56">
        <w:rPr>
          <w:shd w:val="clear" w:color="auto" w:fill="FFFFFF"/>
        </w:rPr>
        <w:t xml:space="preserve"> has</w:t>
      </w:r>
      <w:r w:rsidR="00AB2AB3" w:rsidRPr="00E93E56">
        <w:rPr>
          <w:shd w:val="clear" w:color="auto" w:fill="FFFFFF"/>
        </w:rPr>
        <w:t xml:space="preserve"> ruled in </w:t>
      </w:r>
      <w:r w:rsidR="00AB2AB3" w:rsidRPr="00E93E56">
        <w:rPr>
          <w:i/>
        </w:rPr>
        <w:t>Taylor v Attorney-General (</w:t>
      </w:r>
      <w:proofErr w:type="spellStart"/>
      <w:r w:rsidR="00AB2AB3" w:rsidRPr="00E93E56">
        <w:rPr>
          <w:i/>
        </w:rPr>
        <w:t>Cth</w:t>
      </w:r>
      <w:proofErr w:type="spellEnd"/>
      <w:r w:rsidR="00AB2AB3" w:rsidRPr="00E93E56">
        <w:rPr>
          <w:i/>
        </w:rPr>
        <w:t>)</w:t>
      </w:r>
      <w:r w:rsidR="00AB2AB3" w:rsidRPr="00E93E56">
        <w:t xml:space="preserve"> (2019)</w:t>
      </w:r>
      <w:r w:rsidR="00AB2AB3" w:rsidRPr="00E93E56">
        <w:rPr>
          <w:rStyle w:val="FootnoteReference"/>
        </w:rPr>
        <w:footnoteReference w:id="18"/>
      </w:r>
      <w:r w:rsidR="00AB2AB3" w:rsidRPr="00E93E56">
        <w:t xml:space="preserve"> that s13(a) of the </w:t>
      </w:r>
      <w:r w:rsidR="00AB2AB3" w:rsidRPr="00E93E56">
        <w:rPr>
          <w:i/>
        </w:rPr>
        <w:t>Crimes Act</w:t>
      </w:r>
      <w:r w:rsidR="00AB2AB3" w:rsidRPr="00E93E56">
        <w:t xml:space="preserve"> 1914 (</w:t>
      </w:r>
      <w:proofErr w:type="spellStart"/>
      <w:r w:rsidR="00AB2AB3" w:rsidRPr="00E93E56">
        <w:t>Cth</w:t>
      </w:r>
      <w:proofErr w:type="spellEnd"/>
      <w:r w:rsidR="00AB2AB3" w:rsidRPr="00E93E56">
        <w:t xml:space="preserve">) cannot be used by a private individual to launch a prosecution under </w:t>
      </w:r>
      <w:proofErr w:type="spellStart"/>
      <w:r w:rsidR="00AB2AB3" w:rsidRPr="00E93E56">
        <w:t>Div</w:t>
      </w:r>
      <w:proofErr w:type="spellEnd"/>
      <w:r w:rsidR="00AB2AB3" w:rsidRPr="00E93E56">
        <w:t xml:space="preserve"> 268. </w:t>
      </w:r>
    </w:p>
    <w:p w:rsidR="00F169ED" w:rsidRPr="00E93E56" w:rsidRDefault="0072257C" w:rsidP="00FA4156">
      <w:pPr>
        <w:pStyle w:val="css-38z03z"/>
        <w:shd w:val="clear" w:color="auto" w:fill="FFFFFF"/>
        <w:spacing w:before="0" w:beforeAutospacing="0" w:after="240" w:afterAutospacing="0" w:line="360" w:lineRule="auto"/>
        <w:jc w:val="both"/>
        <w:textAlignment w:val="baseline"/>
        <w:rPr>
          <w:b/>
          <w:shd w:val="clear" w:color="auto" w:fill="FFFFFF"/>
        </w:rPr>
      </w:pPr>
      <w:r w:rsidRPr="00E93E56">
        <w:rPr>
          <w:b/>
          <w:shd w:val="clear" w:color="auto" w:fill="FFFFFF"/>
        </w:rPr>
        <w:t xml:space="preserve">Australia’s Practice on Afghan Compensation </w:t>
      </w:r>
    </w:p>
    <w:p w:rsidR="00D37320" w:rsidRDefault="0072257C" w:rsidP="00E93E56">
      <w:pPr>
        <w:spacing w:line="360" w:lineRule="auto"/>
        <w:jc w:val="both"/>
        <w:rPr>
          <w:rFonts w:ascii="Times New Roman" w:hAnsi="Times New Roman" w:cs="Times New Roman"/>
          <w:color w:val="121212"/>
          <w:sz w:val="24"/>
          <w:szCs w:val="24"/>
          <w:shd w:val="clear" w:color="auto" w:fill="FFFFFF"/>
        </w:rPr>
      </w:pPr>
      <w:r w:rsidRPr="00E93E56">
        <w:rPr>
          <w:rFonts w:ascii="Times New Roman" w:hAnsi="Times New Roman" w:cs="Times New Roman"/>
          <w:sz w:val="24"/>
          <w:szCs w:val="24"/>
          <w:shd w:val="clear" w:color="auto" w:fill="FFFFFF"/>
        </w:rPr>
        <w:t xml:space="preserve">To date the </w:t>
      </w:r>
      <w:r w:rsidR="00E93E56">
        <w:rPr>
          <w:rFonts w:ascii="Times New Roman" w:hAnsi="Times New Roman" w:cs="Times New Roman"/>
          <w:sz w:val="24"/>
          <w:szCs w:val="24"/>
          <w:shd w:val="clear" w:color="auto" w:fill="FFFFFF"/>
        </w:rPr>
        <w:t>Government</w:t>
      </w:r>
      <w:r w:rsidRPr="00E93E56">
        <w:rPr>
          <w:rFonts w:ascii="Times New Roman" w:hAnsi="Times New Roman" w:cs="Times New Roman"/>
          <w:sz w:val="24"/>
          <w:szCs w:val="24"/>
          <w:shd w:val="clear" w:color="auto" w:fill="FFFFFF"/>
        </w:rPr>
        <w:t xml:space="preserve"> has made </w:t>
      </w:r>
      <w:r w:rsidR="00200A24" w:rsidRPr="00E93E56">
        <w:rPr>
          <w:rFonts w:ascii="Times New Roman" w:hAnsi="Times New Roman" w:cs="Times New Roman"/>
          <w:sz w:val="24"/>
          <w:szCs w:val="24"/>
          <w:shd w:val="clear" w:color="auto" w:fill="FFFFFF"/>
        </w:rPr>
        <w:t>some</w:t>
      </w:r>
      <w:r w:rsidRPr="00E93E56">
        <w:rPr>
          <w:rFonts w:ascii="Times New Roman" w:hAnsi="Times New Roman" w:cs="Times New Roman"/>
          <w:sz w:val="24"/>
          <w:szCs w:val="24"/>
          <w:shd w:val="clear" w:color="auto" w:fill="FFFFFF"/>
        </w:rPr>
        <w:t xml:space="preserve"> statements ab</w:t>
      </w:r>
      <w:r w:rsidR="00200A24" w:rsidRPr="00E93E56">
        <w:rPr>
          <w:rFonts w:ascii="Times New Roman" w:hAnsi="Times New Roman" w:cs="Times New Roman"/>
          <w:sz w:val="24"/>
          <w:szCs w:val="24"/>
          <w:shd w:val="clear" w:color="auto" w:fill="FFFFFF"/>
        </w:rPr>
        <w:t>out</w:t>
      </w:r>
      <w:r w:rsidRPr="00E93E56">
        <w:rPr>
          <w:rFonts w:ascii="Times New Roman" w:hAnsi="Times New Roman" w:cs="Times New Roman"/>
          <w:sz w:val="24"/>
          <w:szCs w:val="24"/>
          <w:shd w:val="clear" w:color="auto" w:fill="FFFFFF"/>
        </w:rPr>
        <w:t xml:space="preserve"> compensat</w:t>
      </w:r>
      <w:r w:rsidR="00200A24" w:rsidRPr="00E93E56">
        <w:rPr>
          <w:rFonts w:ascii="Times New Roman" w:hAnsi="Times New Roman" w:cs="Times New Roman"/>
          <w:sz w:val="24"/>
          <w:szCs w:val="24"/>
          <w:shd w:val="clear" w:color="auto" w:fill="FFFFFF"/>
        </w:rPr>
        <w:t>ing</w:t>
      </w:r>
      <w:r w:rsidRPr="00E93E56">
        <w:rPr>
          <w:rFonts w:ascii="Times New Roman" w:hAnsi="Times New Roman" w:cs="Times New Roman"/>
          <w:sz w:val="24"/>
          <w:szCs w:val="24"/>
          <w:shd w:val="clear" w:color="auto" w:fill="FFFFFF"/>
        </w:rPr>
        <w:t xml:space="preserve"> Afghan victims and their </w:t>
      </w:r>
      <w:r w:rsidR="00F00D91" w:rsidRPr="00E93E56">
        <w:rPr>
          <w:rFonts w:ascii="Times New Roman" w:hAnsi="Times New Roman" w:cs="Times New Roman"/>
          <w:sz w:val="24"/>
          <w:szCs w:val="24"/>
          <w:shd w:val="clear" w:color="auto" w:fill="FFFFFF"/>
        </w:rPr>
        <w:t>families</w:t>
      </w:r>
      <w:r w:rsidRPr="00E93E56">
        <w:rPr>
          <w:rFonts w:ascii="Times New Roman" w:hAnsi="Times New Roman" w:cs="Times New Roman"/>
          <w:sz w:val="24"/>
          <w:szCs w:val="24"/>
          <w:shd w:val="clear" w:color="auto" w:fill="FFFFFF"/>
        </w:rPr>
        <w:t xml:space="preserve">. </w:t>
      </w:r>
      <w:r w:rsidR="001E6453" w:rsidRPr="00E93E56">
        <w:rPr>
          <w:rFonts w:ascii="Times New Roman" w:hAnsi="Times New Roman" w:cs="Times New Roman"/>
          <w:sz w:val="24"/>
          <w:szCs w:val="24"/>
        </w:rPr>
        <w:t xml:space="preserve">The Brereton Report had found that </w:t>
      </w:r>
      <w:r w:rsidR="001E6453" w:rsidRPr="00E93E56">
        <w:rPr>
          <w:rFonts w:ascii="Times New Roman" w:hAnsi="Times New Roman" w:cs="Times New Roman"/>
          <w:color w:val="121212"/>
          <w:sz w:val="24"/>
          <w:szCs w:val="24"/>
          <w:shd w:val="clear" w:color="auto" w:fill="FFFFFF"/>
        </w:rPr>
        <w:t>payments should be offered quickly to restore “Australia’s standing”</w:t>
      </w:r>
      <w:r w:rsidR="00056C6D" w:rsidRPr="00E93E56">
        <w:rPr>
          <w:rFonts w:ascii="Times New Roman" w:hAnsi="Times New Roman" w:cs="Times New Roman"/>
          <w:color w:val="121212"/>
          <w:sz w:val="24"/>
          <w:szCs w:val="24"/>
          <w:shd w:val="clear" w:color="auto" w:fill="FFFFFF"/>
        </w:rPr>
        <w:t xml:space="preserve"> and this be done </w:t>
      </w:r>
      <w:r w:rsidR="00D37320">
        <w:rPr>
          <w:rFonts w:ascii="Times New Roman" w:hAnsi="Times New Roman" w:cs="Times New Roman"/>
          <w:color w:val="121212"/>
          <w:sz w:val="24"/>
          <w:szCs w:val="24"/>
          <w:shd w:val="clear" w:color="auto" w:fill="FFFFFF"/>
        </w:rPr>
        <w:t xml:space="preserve">immediately and </w:t>
      </w:r>
      <w:r w:rsidR="00056C6D" w:rsidRPr="00E93E56">
        <w:rPr>
          <w:rFonts w:ascii="Times New Roman" w:hAnsi="Times New Roman" w:cs="Times New Roman"/>
          <w:color w:val="121212"/>
          <w:sz w:val="24"/>
          <w:szCs w:val="24"/>
          <w:shd w:val="clear" w:color="auto" w:fill="FFFFFF"/>
        </w:rPr>
        <w:t xml:space="preserve">irrespective of the outcome of any </w:t>
      </w:r>
      <w:r w:rsidR="00D37320">
        <w:rPr>
          <w:rFonts w:ascii="Times New Roman" w:hAnsi="Times New Roman" w:cs="Times New Roman"/>
          <w:color w:val="121212"/>
          <w:sz w:val="24"/>
          <w:szCs w:val="24"/>
          <w:shd w:val="clear" w:color="auto" w:fill="FFFFFF"/>
        </w:rPr>
        <w:t xml:space="preserve">subsequent </w:t>
      </w:r>
      <w:r w:rsidR="00056C6D" w:rsidRPr="00E93E56">
        <w:rPr>
          <w:rFonts w:ascii="Times New Roman" w:hAnsi="Times New Roman" w:cs="Times New Roman"/>
          <w:color w:val="121212"/>
          <w:sz w:val="24"/>
          <w:szCs w:val="24"/>
          <w:shd w:val="clear" w:color="auto" w:fill="FFFFFF"/>
        </w:rPr>
        <w:t>criminal prosecutions.</w:t>
      </w:r>
      <w:r w:rsidR="001E6453" w:rsidRPr="00E93E56">
        <w:rPr>
          <w:rStyle w:val="FootnoteReference"/>
          <w:rFonts w:ascii="Times New Roman" w:hAnsi="Times New Roman" w:cs="Times New Roman"/>
          <w:color w:val="121212"/>
          <w:sz w:val="24"/>
          <w:szCs w:val="24"/>
          <w:shd w:val="clear" w:color="auto" w:fill="FFFFFF"/>
        </w:rPr>
        <w:footnoteReference w:id="19"/>
      </w:r>
      <w:r w:rsidR="00056C6D" w:rsidRPr="00E93E56">
        <w:rPr>
          <w:rFonts w:ascii="Times New Roman" w:hAnsi="Times New Roman" w:cs="Times New Roman"/>
          <w:color w:val="121212"/>
          <w:sz w:val="24"/>
          <w:szCs w:val="24"/>
          <w:shd w:val="clear" w:color="auto" w:fill="FFFFFF"/>
        </w:rPr>
        <w:t xml:space="preserve"> I</w:t>
      </w:r>
      <w:r w:rsidR="00425AC6" w:rsidRPr="00E93E56">
        <w:rPr>
          <w:rFonts w:ascii="Times New Roman" w:hAnsi="Times New Roman" w:cs="Times New Roman"/>
          <w:sz w:val="24"/>
          <w:szCs w:val="24"/>
          <w:shd w:val="clear" w:color="auto" w:fill="FFFFFF"/>
        </w:rPr>
        <w:t xml:space="preserve">n </w:t>
      </w:r>
      <w:r w:rsidR="008B62D6" w:rsidRPr="00E93E56">
        <w:rPr>
          <w:rFonts w:ascii="Times New Roman" w:hAnsi="Times New Roman" w:cs="Times New Roman"/>
          <w:sz w:val="24"/>
          <w:szCs w:val="24"/>
        </w:rPr>
        <w:t>the wake of the public release of the Report Australia’s Chief of the Defence Force</w:t>
      </w:r>
      <w:r w:rsidR="007556C5" w:rsidRPr="00E93E56">
        <w:rPr>
          <w:rFonts w:ascii="Times New Roman" w:hAnsi="Times New Roman" w:cs="Times New Roman"/>
          <w:sz w:val="24"/>
          <w:szCs w:val="24"/>
        </w:rPr>
        <w:t xml:space="preserve"> </w:t>
      </w:r>
      <w:r w:rsidR="008B62D6" w:rsidRPr="00E93E56">
        <w:rPr>
          <w:rFonts w:ascii="Times New Roman" w:hAnsi="Times New Roman" w:cs="Times New Roman"/>
          <w:sz w:val="24"/>
          <w:szCs w:val="24"/>
        </w:rPr>
        <w:t>made</w:t>
      </w:r>
      <w:r w:rsidR="007556C5" w:rsidRPr="00E93E56">
        <w:rPr>
          <w:rFonts w:ascii="Times New Roman" w:hAnsi="Times New Roman" w:cs="Times New Roman"/>
          <w:sz w:val="24"/>
          <w:szCs w:val="24"/>
        </w:rPr>
        <w:t xml:space="preserve"> </w:t>
      </w:r>
      <w:r w:rsidR="008B62D6" w:rsidRPr="00E93E56">
        <w:rPr>
          <w:rFonts w:ascii="Times New Roman" w:hAnsi="Times New Roman" w:cs="Times New Roman"/>
          <w:sz w:val="24"/>
          <w:szCs w:val="24"/>
        </w:rPr>
        <w:t>an</w:t>
      </w:r>
      <w:r w:rsidR="007556C5" w:rsidRPr="00E93E56">
        <w:rPr>
          <w:rFonts w:ascii="Times New Roman" w:hAnsi="Times New Roman" w:cs="Times New Roman"/>
          <w:sz w:val="24"/>
          <w:szCs w:val="24"/>
        </w:rPr>
        <w:t xml:space="preserve"> apology to the people of Afghanistan </w:t>
      </w:r>
      <w:r w:rsidR="001E6453" w:rsidRPr="00E93E56">
        <w:rPr>
          <w:rFonts w:ascii="Times New Roman" w:hAnsi="Times New Roman" w:cs="Times New Roman"/>
          <w:sz w:val="24"/>
          <w:szCs w:val="24"/>
        </w:rPr>
        <w:t>which</w:t>
      </w:r>
      <w:r w:rsidR="007556C5" w:rsidRPr="00E93E56">
        <w:rPr>
          <w:rFonts w:ascii="Times New Roman" w:hAnsi="Times New Roman" w:cs="Times New Roman"/>
          <w:sz w:val="24"/>
          <w:szCs w:val="24"/>
        </w:rPr>
        <w:t xml:space="preserve"> was translated into Dari and Pashto.</w:t>
      </w:r>
      <w:r w:rsidR="007556C5" w:rsidRPr="00E93E56">
        <w:rPr>
          <w:rStyle w:val="FootnoteReference"/>
          <w:rFonts w:ascii="Times New Roman" w:hAnsi="Times New Roman" w:cs="Times New Roman"/>
          <w:sz w:val="24"/>
          <w:szCs w:val="24"/>
        </w:rPr>
        <w:footnoteReference w:id="20"/>
      </w:r>
      <w:r w:rsidR="007556C5" w:rsidRPr="00E93E56">
        <w:rPr>
          <w:rFonts w:ascii="Times New Roman" w:hAnsi="Times New Roman" w:cs="Times New Roman"/>
          <w:sz w:val="24"/>
          <w:szCs w:val="24"/>
        </w:rPr>
        <w:t xml:space="preserve"> </w:t>
      </w:r>
      <w:r w:rsidR="00425AC6" w:rsidRPr="00E93E56">
        <w:rPr>
          <w:rFonts w:ascii="Times New Roman" w:hAnsi="Times New Roman" w:cs="Times New Roman"/>
          <w:sz w:val="24"/>
          <w:szCs w:val="24"/>
        </w:rPr>
        <w:t xml:space="preserve">However, the then Prime Minister Morrison, while acknowledging that the alleged war crimes were “disturbing and distressing”, denied that compensation was owed and stated that the then </w:t>
      </w:r>
      <w:r w:rsidR="00E93E56">
        <w:rPr>
          <w:rFonts w:ascii="Times New Roman" w:hAnsi="Times New Roman" w:cs="Times New Roman"/>
          <w:sz w:val="24"/>
          <w:szCs w:val="24"/>
        </w:rPr>
        <w:t>Government</w:t>
      </w:r>
      <w:r w:rsidR="00425AC6" w:rsidRPr="00E93E56">
        <w:rPr>
          <w:rFonts w:ascii="Times New Roman" w:hAnsi="Times New Roman" w:cs="Times New Roman"/>
          <w:sz w:val="24"/>
          <w:szCs w:val="24"/>
        </w:rPr>
        <w:t xml:space="preserve"> was not considering any.</w:t>
      </w:r>
      <w:r w:rsidR="00425AC6" w:rsidRPr="00E93E56">
        <w:rPr>
          <w:rStyle w:val="FootnoteReference"/>
          <w:rFonts w:ascii="Times New Roman" w:hAnsi="Times New Roman" w:cs="Times New Roman"/>
          <w:sz w:val="24"/>
          <w:szCs w:val="24"/>
        </w:rPr>
        <w:footnoteReference w:id="21"/>
      </w:r>
      <w:r w:rsidR="00425AC6" w:rsidRPr="00E93E56">
        <w:rPr>
          <w:rFonts w:ascii="Times New Roman" w:hAnsi="Times New Roman" w:cs="Times New Roman"/>
          <w:sz w:val="24"/>
          <w:szCs w:val="24"/>
        </w:rPr>
        <w:t xml:space="preserve"> </w:t>
      </w:r>
      <w:r w:rsidR="001E6453" w:rsidRPr="00E93E56">
        <w:rPr>
          <w:rFonts w:ascii="Times New Roman" w:hAnsi="Times New Roman" w:cs="Times New Roman"/>
          <w:sz w:val="24"/>
          <w:szCs w:val="24"/>
        </w:rPr>
        <w:t>However, b</w:t>
      </w:r>
      <w:r w:rsidR="0052558F" w:rsidRPr="00E93E56">
        <w:rPr>
          <w:rFonts w:ascii="Times New Roman" w:hAnsi="Times New Roman" w:cs="Times New Roman"/>
          <w:sz w:val="24"/>
          <w:szCs w:val="24"/>
        </w:rPr>
        <w:t xml:space="preserve">y the end of 2022 and the election of a </w:t>
      </w:r>
      <w:proofErr w:type="spellStart"/>
      <w:r w:rsidR="0052558F" w:rsidRPr="00E93E56">
        <w:rPr>
          <w:rFonts w:ascii="Times New Roman" w:hAnsi="Times New Roman" w:cs="Times New Roman"/>
          <w:sz w:val="24"/>
          <w:szCs w:val="24"/>
        </w:rPr>
        <w:t>Labor</w:t>
      </w:r>
      <w:proofErr w:type="spellEnd"/>
      <w:r w:rsidR="0052558F" w:rsidRPr="00E93E56">
        <w:rPr>
          <w:rFonts w:ascii="Times New Roman" w:hAnsi="Times New Roman" w:cs="Times New Roman"/>
          <w:sz w:val="24"/>
          <w:szCs w:val="24"/>
        </w:rPr>
        <w:t xml:space="preserve"> </w:t>
      </w:r>
      <w:r w:rsidR="00E93E56">
        <w:rPr>
          <w:rFonts w:ascii="Times New Roman" w:hAnsi="Times New Roman" w:cs="Times New Roman"/>
          <w:sz w:val="24"/>
          <w:szCs w:val="24"/>
        </w:rPr>
        <w:t>Government</w:t>
      </w:r>
      <w:r w:rsidR="0052558F" w:rsidRPr="00E93E56">
        <w:rPr>
          <w:rFonts w:ascii="Times New Roman" w:hAnsi="Times New Roman" w:cs="Times New Roman"/>
          <w:sz w:val="24"/>
          <w:szCs w:val="24"/>
        </w:rPr>
        <w:t xml:space="preserve"> the narrative had changed, and </w:t>
      </w:r>
      <w:r w:rsidR="00F00D91" w:rsidRPr="00E93E56">
        <w:rPr>
          <w:rFonts w:ascii="Times New Roman" w:hAnsi="Times New Roman" w:cs="Times New Roman"/>
          <w:sz w:val="24"/>
          <w:szCs w:val="24"/>
        </w:rPr>
        <w:t xml:space="preserve">new </w:t>
      </w:r>
      <w:r w:rsidR="0052558F" w:rsidRPr="00E93E56">
        <w:rPr>
          <w:rFonts w:ascii="Times New Roman" w:hAnsi="Times New Roman" w:cs="Times New Roman"/>
          <w:sz w:val="24"/>
          <w:szCs w:val="24"/>
        </w:rPr>
        <w:t xml:space="preserve">Defence Minister </w:t>
      </w:r>
      <w:r w:rsidR="00E93E56" w:rsidRPr="00E93E56">
        <w:rPr>
          <w:rFonts w:ascii="Times New Roman" w:hAnsi="Times New Roman" w:cs="Times New Roman"/>
          <w:sz w:val="24"/>
          <w:szCs w:val="24"/>
        </w:rPr>
        <w:t xml:space="preserve">Richard </w:t>
      </w:r>
      <w:proofErr w:type="spellStart"/>
      <w:r w:rsidR="0052558F" w:rsidRPr="00E93E56">
        <w:rPr>
          <w:rFonts w:ascii="Times New Roman" w:hAnsi="Times New Roman" w:cs="Times New Roman"/>
          <w:sz w:val="24"/>
          <w:szCs w:val="24"/>
        </w:rPr>
        <w:t>Marles</w:t>
      </w:r>
      <w:proofErr w:type="spellEnd"/>
      <w:r w:rsidR="0052558F" w:rsidRPr="00E93E56">
        <w:rPr>
          <w:rFonts w:ascii="Times New Roman" w:hAnsi="Times New Roman" w:cs="Times New Roman"/>
          <w:sz w:val="24"/>
          <w:szCs w:val="24"/>
        </w:rPr>
        <w:t xml:space="preserve"> </w:t>
      </w:r>
      <w:r w:rsidR="00200A24" w:rsidRPr="00E93E56">
        <w:rPr>
          <w:rFonts w:ascii="Times New Roman" w:hAnsi="Times New Roman" w:cs="Times New Roman"/>
          <w:sz w:val="24"/>
          <w:szCs w:val="24"/>
        </w:rPr>
        <w:t xml:space="preserve">announced that the </w:t>
      </w:r>
      <w:r w:rsidR="00E93E56">
        <w:rPr>
          <w:rFonts w:ascii="Times New Roman" w:hAnsi="Times New Roman" w:cs="Times New Roman"/>
          <w:sz w:val="24"/>
          <w:szCs w:val="24"/>
        </w:rPr>
        <w:t>Government</w:t>
      </w:r>
      <w:r w:rsidR="00200A24" w:rsidRPr="00E93E56">
        <w:rPr>
          <w:rFonts w:ascii="Times New Roman" w:hAnsi="Times New Roman" w:cs="Times New Roman"/>
          <w:sz w:val="24"/>
          <w:szCs w:val="24"/>
        </w:rPr>
        <w:t xml:space="preserve"> </w:t>
      </w:r>
      <w:r w:rsidR="00200A24" w:rsidRPr="00E93E56">
        <w:rPr>
          <w:rFonts w:ascii="Times New Roman" w:hAnsi="Times New Roman" w:cs="Times New Roman"/>
          <w:i/>
          <w:sz w:val="24"/>
          <w:szCs w:val="24"/>
        </w:rPr>
        <w:t>was</w:t>
      </w:r>
      <w:r w:rsidR="00200A24" w:rsidRPr="00E93E56">
        <w:rPr>
          <w:rFonts w:ascii="Times New Roman" w:hAnsi="Times New Roman" w:cs="Times New Roman"/>
          <w:sz w:val="24"/>
          <w:szCs w:val="24"/>
        </w:rPr>
        <w:t xml:space="preserve"> planning to compensate the f</w:t>
      </w:r>
      <w:r w:rsidR="0052558F" w:rsidRPr="00E93E56">
        <w:rPr>
          <w:rFonts w:ascii="Times New Roman" w:hAnsi="Times New Roman" w:cs="Times New Roman"/>
          <w:color w:val="121212"/>
          <w:sz w:val="24"/>
          <w:szCs w:val="24"/>
          <w:shd w:val="clear" w:color="auto" w:fill="FFFFFF"/>
        </w:rPr>
        <w:t>amilies of victims of alleged</w:t>
      </w:r>
      <w:r w:rsidR="001E6453" w:rsidRPr="00E93E56">
        <w:rPr>
          <w:rFonts w:ascii="Times New Roman" w:hAnsi="Times New Roman" w:cs="Times New Roman"/>
          <w:color w:val="121212"/>
          <w:sz w:val="24"/>
          <w:szCs w:val="24"/>
          <w:shd w:val="clear" w:color="auto" w:fill="FFFFFF"/>
        </w:rPr>
        <w:t xml:space="preserve"> Afghanistan</w:t>
      </w:r>
      <w:r w:rsidR="0052558F" w:rsidRPr="00E93E56">
        <w:rPr>
          <w:rFonts w:ascii="Times New Roman" w:hAnsi="Times New Roman" w:cs="Times New Roman"/>
          <w:color w:val="121212"/>
          <w:sz w:val="24"/>
          <w:szCs w:val="24"/>
          <w:shd w:val="clear" w:color="auto" w:fill="FFFFFF"/>
        </w:rPr>
        <w:t> war crimes</w:t>
      </w:r>
      <w:r w:rsidR="001E6453" w:rsidRPr="00E93E56">
        <w:rPr>
          <w:rFonts w:ascii="Times New Roman" w:hAnsi="Times New Roman" w:cs="Times New Roman"/>
          <w:color w:val="121212"/>
          <w:sz w:val="24"/>
          <w:szCs w:val="24"/>
          <w:shd w:val="clear" w:color="auto" w:fill="FFFFFF"/>
        </w:rPr>
        <w:t xml:space="preserve">. Further, a </w:t>
      </w:r>
      <w:r w:rsidR="001E6453" w:rsidRPr="00E93E56">
        <w:rPr>
          <w:rFonts w:ascii="Times New Roman" w:hAnsi="Times New Roman" w:cs="Times New Roman"/>
          <w:color w:val="121212"/>
          <w:sz w:val="24"/>
          <w:szCs w:val="24"/>
          <w:shd w:val="clear" w:color="auto" w:fill="FFFFFF"/>
        </w:rPr>
        <w:lastRenderedPageBreak/>
        <w:t xml:space="preserve">spokesman for </w:t>
      </w:r>
      <w:proofErr w:type="spellStart"/>
      <w:r w:rsidR="001E6453" w:rsidRPr="00E93E56">
        <w:rPr>
          <w:rFonts w:ascii="Times New Roman" w:hAnsi="Times New Roman" w:cs="Times New Roman"/>
          <w:color w:val="121212"/>
          <w:sz w:val="24"/>
          <w:szCs w:val="24"/>
          <w:shd w:val="clear" w:color="auto" w:fill="FFFFFF"/>
        </w:rPr>
        <w:t>Marles</w:t>
      </w:r>
      <w:proofErr w:type="spellEnd"/>
      <w:r w:rsidR="001E6453" w:rsidRPr="00E93E56">
        <w:rPr>
          <w:rFonts w:ascii="Times New Roman" w:hAnsi="Times New Roman" w:cs="Times New Roman"/>
          <w:color w:val="121212"/>
          <w:sz w:val="24"/>
          <w:szCs w:val="24"/>
          <w:shd w:val="clear" w:color="auto" w:fill="FFFFFF"/>
        </w:rPr>
        <w:t xml:space="preserve"> noted that “[w]</w:t>
      </w:r>
      <w:proofErr w:type="spellStart"/>
      <w:r w:rsidR="001E6453" w:rsidRPr="00E93E56">
        <w:rPr>
          <w:rFonts w:ascii="Times New Roman" w:hAnsi="Times New Roman" w:cs="Times New Roman"/>
          <w:color w:val="121212"/>
          <w:sz w:val="24"/>
          <w:szCs w:val="24"/>
          <w:shd w:val="clear" w:color="auto" w:fill="FFFFFF"/>
        </w:rPr>
        <w:t>hilst</w:t>
      </w:r>
      <w:proofErr w:type="spellEnd"/>
      <w:r w:rsidR="001E6453" w:rsidRPr="00E93E56">
        <w:rPr>
          <w:rFonts w:ascii="Times New Roman" w:hAnsi="Times New Roman" w:cs="Times New Roman"/>
          <w:color w:val="121212"/>
          <w:sz w:val="24"/>
          <w:szCs w:val="24"/>
          <w:shd w:val="clear" w:color="auto" w:fill="FFFFFF"/>
        </w:rPr>
        <w:t xml:space="preserve"> there are a number of complexities associated with this, the </w:t>
      </w:r>
      <w:r w:rsidR="00E93E56">
        <w:rPr>
          <w:rFonts w:ascii="Times New Roman" w:hAnsi="Times New Roman" w:cs="Times New Roman"/>
          <w:color w:val="121212"/>
          <w:sz w:val="24"/>
          <w:szCs w:val="24"/>
          <w:shd w:val="clear" w:color="auto" w:fill="FFFFFF"/>
        </w:rPr>
        <w:t>G</w:t>
      </w:r>
      <w:r w:rsidR="001E6453" w:rsidRPr="00E93E56">
        <w:rPr>
          <w:rFonts w:ascii="Times New Roman" w:hAnsi="Times New Roman" w:cs="Times New Roman"/>
          <w:color w:val="121212"/>
          <w:sz w:val="24"/>
          <w:szCs w:val="24"/>
          <w:shd w:val="clear" w:color="auto" w:fill="FFFFFF"/>
        </w:rPr>
        <w:t xml:space="preserve">overnment remains committed to implementing, to the extent that it can, the </w:t>
      </w:r>
      <w:r w:rsidR="001E6453" w:rsidRPr="00E93E56">
        <w:rPr>
          <w:rFonts w:ascii="Times New Roman" w:hAnsi="Times New Roman" w:cs="Times New Roman"/>
          <w:i/>
          <w:color w:val="121212"/>
          <w:sz w:val="24"/>
          <w:szCs w:val="24"/>
          <w:shd w:val="clear" w:color="auto" w:fill="FFFFFF"/>
        </w:rPr>
        <w:t xml:space="preserve">Brereton </w:t>
      </w:r>
      <w:r w:rsidR="00E93E56" w:rsidRPr="00E93E56">
        <w:rPr>
          <w:rFonts w:ascii="Times New Roman" w:hAnsi="Times New Roman" w:cs="Times New Roman"/>
          <w:i/>
          <w:color w:val="121212"/>
          <w:sz w:val="24"/>
          <w:szCs w:val="24"/>
          <w:shd w:val="clear" w:color="auto" w:fill="FFFFFF"/>
        </w:rPr>
        <w:t>R</w:t>
      </w:r>
      <w:r w:rsidR="001E6453" w:rsidRPr="00E93E56">
        <w:rPr>
          <w:rFonts w:ascii="Times New Roman" w:hAnsi="Times New Roman" w:cs="Times New Roman"/>
          <w:i/>
          <w:color w:val="121212"/>
          <w:sz w:val="24"/>
          <w:szCs w:val="24"/>
          <w:shd w:val="clear" w:color="auto" w:fill="FFFFFF"/>
        </w:rPr>
        <w:t>eport</w:t>
      </w:r>
      <w:r w:rsidR="001E6453" w:rsidRPr="00E93E56">
        <w:rPr>
          <w:rFonts w:ascii="Times New Roman" w:hAnsi="Times New Roman" w:cs="Times New Roman"/>
          <w:color w:val="121212"/>
          <w:sz w:val="24"/>
          <w:szCs w:val="24"/>
          <w:shd w:val="clear" w:color="auto" w:fill="FFFFFF"/>
        </w:rPr>
        <w:t>”</w:t>
      </w:r>
      <w:r w:rsidR="00200A24" w:rsidRPr="00E93E56">
        <w:rPr>
          <w:rFonts w:ascii="Times New Roman" w:hAnsi="Times New Roman" w:cs="Times New Roman"/>
          <w:color w:val="121212"/>
          <w:sz w:val="24"/>
          <w:szCs w:val="24"/>
          <w:shd w:val="clear" w:color="auto" w:fill="FFFFFF"/>
        </w:rPr>
        <w:t>.</w:t>
      </w:r>
      <w:r w:rsidR="00200A24" w:rsidRPr="00E93E56">
        <w:rPr>
          <w:rStyle w:val="FootnoteReference"/>
          <w:rFonts w:ascii="Times New Roman" w:hAnsi="Times New Roman" w:cs="Times New Roman"/>
          <w:color w:val="121212"/>
          <w:sz w:val="24"/>
          <w:szCs w:val="24"/>
          <w:shd w:val="clear" w:color="auto" w:fill="FFFFFF"/>
        </w:rPr>
        <w:footnoteReference w:id="22"/>
      </w:r>
      <w:r w:rsidR="00200A24" w:rsidRPr="00E93E56">
        <w:rPr>
          <w:rFonts w:ascii="Times New Roman" w:hAnsi="Times New Roman" w:cs="Times New Roman"/>
          <w:color w:val="121212"/>
          <w:sz w:val="24"/>
          <w:szCs w:val="24"/>
          <w:shd w:val="clear" w:color="auto" w:fill="FFFFFF"/>
        </w:rPr>
        <w:t xml:space="preserve"> </w:t>
      </w:r>
    </w:p>
    <w:p w:rsidR="00E93E56" w:rsidRDefault="001E6453" w:rsidP="00E93E56">
      <w:pPr>
        <w:spacing w:line="360" w:lineRule="auto"/>
        <w:jc w:val="both"/>
        <w:rPr>
          <w:rFonts w:ascii="Times New Roman" w:hAnsi="Times New Roman" w:cs="Times New Roman"/>
          <w:sz w:val="24"/>
          <w:szCs w:val="24"/>
        </w:rPr>
      </w:pPr>
      <w:r w:rsidRPr="00E93E56">
        <w:rPr>
          <w:rFonts w:ascii="Times New Roman" w:hAnsi="Times New Roman" w:cs="Times New Roman"/>
          <w:sz w:val="24"/>
          <w:szCs w:val="24"/>
          <w:shd w:val="clear" w:color="auto" w:fill="FFFFFF"/>
        </w:rPr>
        <w:t>The ready</w:t>
      </w:r>
      <w:r w:rsidR="007556C5" w:rsidRPr="00E93E56">
        <w:rPr>
          <w:rFonts w:ascii="Times New Roman" w:hAnsi="Times New Roman" w:cs="Times New Roman"/>
          <w:sz w:val="24"/>
          <w:szCs w:val="24"/>
        </w:rPr>
        <w:t xml:space="preserve"> acknowledgment by the Australian </w:t>
      </w:r>
      <w:r w:rsidR="00E93E56" w:rsidRPr="00E93E56">
        <w:rPr>
          <w:rFonts w:ascii="Times New Roman" w:hAnsi="Times New Roman" w:cs="Times New Roman"/>
          <w:sz w:val="24"/>
          <w:szCs w:val="24"/>
        </w:rPr>
        <w:t>G</w:t>
      </w:r>
      <w:r w:rsidR="007556C5" w:rsidRPr="00E93E56">
        <w:rPr>
          <w:rFonts w:ascii="Times New Roman" w:hAnsi="Times New Roman" w:cs="Times New Roman"/>
          <w:sz w:val="24"/>
          <w:szCs w:val="24"/>
        </w:rPr>
        <w:t>overnment that crimes were committed</w:t>
      </w:r>
      <w:r w:rsidR="00425AC6" w:rsidRPr="00E93E56">
        <w:rPr>
          <w:rFonts w:ascii="Times New Roman" w:hAnsi="Times New Roman" w:cs="Times New Roman"/>
          <w:sz w:val="24"/>
          <w:szCs w:val="24"/>
        </w:rPr>
        <w:t xml:space="preserve"> </w:t>
      </w:r>
      <w:r w:rsidR="00012477" w:rsidRPr="00E93E56">
        <w:rPr>
          <w:rFonts w:ascii="Times New Roman" w:hAnsi="Times New Roman" w:cs="Times New Roman"/>
          <w:sz w:val="24"/>
          <w:szCs w:val="24"/>
        </w:rPr>
        <w:t>is</w:t>
      </w:r>
      <w:r w:rsidR="007556C5" w:rsidRPr="00E93E56">
        <w:rPr>
          <w:rFonts w:ascii="Times New Roman" w:hAnsi="Times New Roman" w:cs="Times New Roman"/>
          <w:sz w:val="24"/>
          <w:szCs w:val="24"/>
        </w:rPr>
        <w:t xml:space="preserve"> an important first step for victims to start the healing process</w:t>
      </w:r>
      <w:r w:rsidR="00425AC6" w:rsidRPr="00E93E56">
        <w:rPr>
          <w:rFonts w:ascii="Times New Roman" w:hAnsi="Times New Roman" w:cs="Times New Roman"/>
          <w:sz w:val="24"/>
          <w:szCs w:val="24"/>
        </w:rPr>
        <w:t xml:space="preserve">, but clearly much </w:t>
      </w:r>
      <w:r w:rsidRPr="00E93E56">
        <w:rPr>
          <w:rFonts w:ascii="Times New Roman" w:hAnsi="Times New Roman" w:cs="Times New Roman"/>
          <w:sz w:val="24"/>
          <w:szCs w:val="24"/>
        </w:rPr>
        <w:t>remains</w:t>
      </w:r>
      <w:r w:rsidR="00425AC6" w:rsidRPr="00E93E56">
        <w:rPr>
          <w:rFonts w:ascii="Times New Roman" w:hAnsi="Times New Roman" w:cs="Times New Roman"/>
          <w:sz w:val="24"/>
          <w:szCs w:val="24"/>
        </w:rPr>
        <w:t xml:space="preserve"> to be done</w:t>
      </w:r>
      <w:r w:rsidRPr="00E93E56">
        <w:rPr>
          <w:rFonts w:ascii="Times New Roman" w:hAnsi="Times New Roman" w:cs="Times New Roman"/>
          <w:sz w:val="24"/>
          <w:szCs w:val="24"/>
        </w:rPr>
        <w:t xml:space="preserve"> on reparations</w:t>
      </w:r>
      <w:r w:rsidR="00D55646" w:rsidRPr="00E93E56">
        <w:rPr>
          <w:rFonts w:ascii="Times New Roman" w:hAnsi="Times New Roman" w:cs="Times New Roman"/>
          <w:sz w:val="24"/>
          <w:szCs w:val="24"/>
        </w:rPr>
        <w:t xml:space="preserve"> </w:t>
      </w:r>
      <w:r w:rsidR="00E51473" w:rsidRPr="00E93E56">
        <w:rPr>
          <w:rFonts w:ascii="Times New Roman" w:hAnsi="Times New Roman" w:cs="Times New Roman"/>
          <w:sz w:val="24"/>
          <w:szCs w:val="24"/>
        </w:rPr>
        <w:t>to bring Australia</w:t>
      </w:r>
      <w:r w:rsidR="00DB2FAA" w:rsidRPr="00E93E56">
        <w:rPr>
          <w:rFonts w:ascii="Times New Roman" w:hAnsi="Times New Roman" w:cs="Times New Roman"/>
          <w:sz w:val="24"/>
          <w:szCs w:val="24"/>
        </w:rPr>
        <w:t>n practice</w:t>
      </w:r>
      <w:r w:rsidR="00E51473" w:rsidRPr="00E93E56">
        <w:rPr>
          <w:rFonts w:ascii="Times New Roman" w:hAnsi="Times New Roman" w:cs="Times New Roman"/>
          <w:sz w:val="24"/>
          <w:szCs w:val="24"/>
        </w:rPr>
        <w:t xml:space="preserve"> in line with the UN </w:t>
      </w:r>
      <w:r w:rsidR="00E51473" w:rsidRPr="00E93E56">
        <w:rPr>
          <w:rFonts w:ascii="Times New Roman" w:hAnsi="Times New Roman" w:cs="Times New Roman"/>
          <w:i/>
          <w:iCs/>
          <w:color w:val="000000"/>
          <w:sz w:val="24"/>
          <w:szCs w:val="24"/>
        </w:rPr>
        <w:t>Basic Principles and Guidelines on the Right to a Remedy and Reparation for Victims of Gross Violations of International Human Rights Law and Serious Violations of International Humanitarian Law</w:t>
      </w:r>
      <w:r w:rsidR="00E51473" w:rsidRPr="00E93E56">
        <w:rPr>
          <w:rFonts w:ascii="Times New Roman" w:hAnsi="Times New Roman" w:cs="Times New Roman"/>
          <w:iCs/>
          <w:color w:val="000000"/>
          <w:sz w:val="24"/>
          <w:szCs w:val="24"/>
        </w:rPr>
        <w:t>.</w:t>
      </w:r>
      <w:r w:rsidR="00E51473" w:rsidRPr="00E93E56">
        <w:rPr>
          <w:rStyle w:val="FootnoteReference"/>
          <w:rFonts w:ascii="Times New Roman" w:hAnsi="Times New Roman" w:cs="Times New Roman"/>
          <w:iCs/>
          <w:color w:val="000000"/>
          <w:sz w:val="24"/>
          <w:szCs w:val="24"/>
        </w:rPr>
        <w:footnoteReference w:id="23"/>
      </w:r>
      <w:r w:rsidR="00E51473" w:rsidRPr="00E93E56">
        <w:rPr>
          <w:rFonts w:ascii="Times New Roman" w:hAnsi="Times New Roman" w:cs="Times New Roman"/>
          <w:iCs/>
          <w:color w:val="000000"/>
          <w:sz w:val="24"/>
          <w:szCs w:val="24"/>
        </w:rPr>
        <w:t xml:space="preserve"> </w:t>
      </w:r>
      <w:r w:rsidR="00E93E56" w:rsidRPr="00E93E56">
        <w:rPr>
          <w:rFonts w:ascii="Times New Roman" w:hAnsi="Times New Roman" w:cs="Times New Roman"/>
          <w:iCs/>
          <w:color w:val="000000"/>
          <w:sz w:val="24"/>
          <w:szCs w:val="24"/>
        </w:rPr>
        <w:t>Australia has already missed its target of ‘end 2021’ to formulate a reparations plan</w:t>
      </w:r>
      <w:r w:rsidR="00A61E91">
        <w:rPr>
          <w:rFonts w:ascii="Times New Roman" w:hAnsi="Times New Roman" w:cs="Times New Roman"/>
          <w:iCs/>
          <w:color w:val="000000"/>
          <w:sz w:val="24"/>
          <w:szCs w:val="24"/>
        </w:rPr>
        <w:t>.</w:t>
      </w:r>
      <w:r w:rsidR="00A61E91">
        <w:rPr>
          <w:rStyle w:val="FootnoteReference"/>
          <w:rFonts w:ascii="Times New Roman" w:hAnsi="Times New Roman" w:cs="Times New Roman"/>
          <w:iCs/>
          <w:color w:val="000000"/>
          <w:sz w:val="24"/>
          <w:szCs w:val="24"/>
        </w:rPr>
        <w:footnoteReference w:id="24"/>
      </w:r>
      <w:r w:rsidR="00E93E56" w:rsidRPr="00E93E56">
        <w:rPr>
          <w:rFonts w:ascii="Times New Roman" w:hAnsi="Times New Roman" w:cs="Times New Roman"/>
          <w:iCs/>
          <w:color w:val="000000"/>
          <w:sz w:val="24"/>
          <w:szCs w:val="24"/>
        </w:rPr>
        <w:t xml:space="preserve"> </w:t>
      </w:r>
      <w:r w:rsidR="00A61E91" w:rsidRPr="00A61E91">
        <w:rPr>
          <w:rFonts w:ascii="Times New Roman" w:hAnsi="Times New Roman" w:cs="Times New Roman"/>
          <w:sz w:val="24"/>
          <w:szCs w:val="24"/>
        </w:rPr>
        <w:t xml:space="preserve">Had that been done, say, at the beginning of 2021, then it would have been more straightforward, as Australia </w:t>
      </w:r>
      <w:r w:rsidR="00A61E91">
        <w:rPr>
          <w:rFonts w:ascii="Times New Roman" w:hAnsi="Times New Roman" w:cs="Times New Roman"/>
          <w:sz w:val="24"/>
          <w:szCs w:val="24"/>
        </w:rPr>
        <w:t xml:space="preserve">still </w:t>
      </w:r>
      <w:r w:rsidR="00A61E91" w:rsidRPr="00A61E91">
        <w:rPr>
          <w:rFonts w:ascii="Times New Roman" w:hAnsi="Times New Roman" w:cs="Times New Roman"/>
          <w:sz w:val="24"/>
          <w:szCs w:val="24"/>
        </w:rPr>
        <w:t>had a military and diplomatic presence in Afghanistan</w:t>
      </w:r>
      <w:r w:rsidR="00A61E91">
        <w:rPr>
          <w:rFonts w:ascii="Times New Roman" w:hAnsi="Times New Roman" w:cs="Times New Roman"/>
          <w:sz w:val="24"/>
          <w:szCs w:val="24"/>
        </w:rPr>
        <w:t xml:space="preserve"> at that time</w:t>
      </w:r>
      <w:r w:rsidR="00A61E91" w:rsidRPr="00A61E91">
        <w:rPr>
          <w:rFonts w:ascii="Times New Roman" w:hAnsi="Times New Roman" w:cs="Times New Roman"/>
          <w:sz w:val="24"/>
          <w:szCs w:val="24"/>
        </w:rPr>
        <w:t xml:space="preserve">. That delay in acting has made things a lot more complicated, and </w:t>
      </w:r>
      <w:proofErr w:type="gramStart"/>
      <w:r w:rsidR="00A61E91" w:rsidRPr="00A61E91">
        <w:rPr>
          <w:rFonts w:ascii="Times New Roman" w:hAnsi="Times New Roman" w:cs="Times New Roman"/>
          <w:sz w:val="24"/>
          <w:szCs w:val="24"/>
        </w:rPr>
        <w:t>it is clear that</w:t>
      </w:r>
      <w:r w:rsidR="00E93E56" w:rsidRPr="00A61E91">
        <w:rPr>
          <w:rFonts w:ascii="Times New Roman" w:hAnsi="Times New Roman" w:cs="Times New Roman"/>
          <w:iCs/>
          <w:color w:val="000000"/>
          <w:sz w:val="24"/>
          <w:szCs w:val="24"/>
        </w:rPr>
        <w:t xml:space="preserve"> </w:t>
      </w:r>
      <w:r w:rsidR="00E93E56" w:rsidRPr="00A61E91">
        <w:rPr>
          <w:rFonts w:ascii="Times New Roman" w:hAnsi="Times New Roman" w:cs="Times New Roman"/>
          <w:sz w:val="24"/>
          <w:szCs w:val="24"/>
        </w:rPr>
        <w:t>the</w:t>
      </w:r>
      <w:proofErr w:type="gramEnd"/>
      <w:r w:rsidR="00E93E56" w:rsidRPr="00A61E91">
        <w:rPr>
          <w:rFonts w:ascii="Times New Roman" w:hAnsi="Times New Roman" w:cs="Times New Roman"/>
          <w:sz w:val="24"/>
          <w:szCs w:val="24"/>
        </w:rPr>
        <w:t xml:space="preserve"> issue need</w:t>
      </w:r>
      <w:r w:rsidR="00B755DB" w:rsidRPr="00A61E91">
        <w:rPr>
          <w:rFonts w:ascii="Times New Roman" w:hAnsi="Times New Roman" w:cs="Times New Roman"/>
          <w:sz w:val="24"/>
          <w:szCs w:val="24"/>
        </w:rPr>
        <w:t>s</w:t>
      </w:r>
      <w:r w:rsidR="00E93E56" w:rsidRPr="00A61E91">
        <w:rPr>
          <w:rFonts w:ascii="Times New Roman" w:hAnsi="Times New Roman" w:cs="Times New Roman"/>
          <w:sz w:val="24"/>
          <w:szCs w:val="24"/>
        </w:rPr>
        <w:t xml:space="preserve"> to be given much more priority and attention than it has </w:t>
      </w:r>
      <w:r w:rsidR="00321E91" w:rsidRPr="00A61E91">
        <w:rPr>
          <w:rFonts w:ascii="Times New Roman" w:hAnsi="Times New Roman" w:cs="Times New Roman"/>
          <w:sz w:val="24"/>
          <w:szCs w:val="24"/>
        </w:rPr>
        <w:t>had</w:t>
      </w:r>
      <w:r w:rsidR="00E93E56" w:rsidRPr="00A61E91">
        <w:rPr>
          <w:rFonts w:ascii="Times New Roman" w:hAnsi="Times New Roman" w:cs="Times New Roman"/>
          <w:sz w:val="24"/>
          <w:szCs w:val="24"/>
        </w:rPr>
        <w:t xml:space="preserve"> to date.</w:t>
      </w:r>
    </w:p>
    <w:p w:rsidR="00DA2801" w:rsidRDefault="00DA2801" w:rsidP="00E93E56">
      <w:pPr>
        <w:spacing w:line="360" w:lineRule="auto"/>
        <w:jc w:val="both"/>
        <w:rPr>
          <w:rFonts w:ascii="Times New Roman" w:hAnsi="Times New Roman" w:cs="Times New Roman"/>
          <w:sz w:val="24"/>
          <w:szCs w:val="24"/>
        </w:rPr>
      </w:pPr>
    </w:p>
    <w:p w:rsidR="00DA2801" w:rsidRDefault="00DA2801" w:rsidP="00E93E56">
      <w:pPr>
        <w:spacing w:line="360" w:lineRule="auto"/>
        <w:jc w:val="both"/>
        <w:rPr>
          <w:rFonts w:ascii="Times New Roman" w:hAnsi="Times New Roman" w:cs="Times New Roman"/>
          <w:sz w:val="24"/>
          <w:szCs w:val="24"/>
        </w:rPr>
      </w:pPr>
    </w:p>
    <w:p w:rsidR="00DA2801" w:rsidRPr="00E93E56" w:rsidRDefault="00DA2801" w:rsidP="00DA2801">
      <w:pPr>
        <w:spacing w:line="360" w:lineRule="auto"/>
        <w:jc w:val="center"/>
        <w:rPr>
          <w:rFonts w:ascii="Times New Roman" w:hAnsi="Times New Roman" w:cs="Times New Roman"/>
          <w:sz w:val="24"/>
          <w:szCs w:val="24"/>
        </w:rPr>
      </w:pPr>
      <w:r>
        <w:rPr>
          <w:rFonts w:ascii="Times New Roman" w:hAnsi="Times New Roman" w:cs="Times New Roman"/>
          <w:sz w:val="24"/>
          <w:szCs w:val="24"/>
        </w:rPr>
        <w:t>___</w:t>
      </w:r>
    </w:p>
    <w:p w:rsidR="00794E81" w:rsidRPr="00E93E56" w:rsidRDefault="008844B7" w:rsidP="00FA4156">
      <w:pPr>
        <w:pStyle w:val="sed0aeb9c"/>
        <w:shd w:val="clear" w:color="auto" w:fill="FFFFFF"/>
        <w:spacing w:before="0" w:beforeAutospacing="0" w:after="0" w:afterAutospacing="0" w:line="360" w:lineRule="auto"/>
        <w:jc w:val="both"/>
        <w:rPr>
          <w:iCs/>
          <w:color w:val="000000"/>
        </w:rPr>
      </w:pPr>
      <w:r>
        <w:rPr>
          <w:iCs/>
          <w:color w:val="000000"/>
        </w:rPr>
        <w:t xml:space="preserve">Published on 5 May 2023 at: </w:t>
      </w:r>
      <w:hyperlink r:id="rId8" w:history="1">
        <w:r w:rsidRPr="00732317">
          <w:rPr>
            <w:rStyle w:val="Hyperlink"/>
            <w:iCs/>
          </w:rPr>
          <w:t>https://www.newcastle.edu.au/research/centre/law-and-social-justice/news-and-events/tab-news-and-events/past-recordings/compensation-owed-to-victims-of-alleged-australian-war-crimes</w:t>
        </w:r>
      </w:hyperlink>
      <w:r>
        <w:rPr>
          <w:iCs/>
          <w:color w:val="000000"/>
        </w:rPr>
        <w:t xml:space="preserve"> </w:t>
      </w:r>
    </w:p>
    <w:p w:rsidR="008E708E" w:rsidRPr="0032528B" w:rsidRDefault="008E708E" w:rsidP="00FA4156">
      <w:pPr>
        <w:pStyle w:val="ListParagraph"/>
        <w:spacing w:line="360" w:lineRule="auto"/>
        <w:ind w:left="0"/>
        <w:rPr>
          <w:rFonts w:ascii="Times New Roman" w:hAnsi="Times New Roman" w:cs="Times New Roman"/>
          <w:sz w:val="24"/>
          <w:szCs w:val="24"/>
          <w:shd w:val="clear" w:color="auto" w:fill="FFFFFF"/>
        </w:rPr>
      </w:pPr>
      <w:bookmarkStart w:id="0" w:name="_GoBack"/>
      <w:bookmarkEnd w:id="0"/>
    </w:p>
    <w:sectPr w:rsidR="008E708E" w:rsidRPr="003252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860" w:rsidRDefault="00F47860" w:rsidP="00406975">
      <w:pPr>
        <w:spacing w:after="0" w:line="240" w:lineRule="auto"/>
      </w:pPr>
      <w:r>
        <w:separator/>
      </w:r>
    </w:p>
  </w:endnote>
  <w:endnote w:type="continuationSeparator" w:id="0">
    <w:p w:rsidR="00F47860" w:rsidRDefault="00F47860" w:rsidP="0040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860" w:rsidRDefault="00F47860" w:rsidP="00406975">
      <w:pPr>
        <w:spacing w:after="0" w:line="240" w:lineRule="auto"/>
      </w:pPr>
      <w:r>
        <w:separator/>
      </w:r>
    </w:p>
  </w:footnote>
  <w:footnote w:type="continuationSeparator" w:id="0">
    <w:p w:rsidR="00F47860" w:rsidRDefault="00F47860" w:rsidP="00406975">
      <w:pPr>
        <w:spacing w:after="0" w:line="240" w:lineRule="auto"/>
      </w:pPr>
      <w:r>
        <w:continuationSeparator/>
      </w:r>
    </w:p>
  </w:footnote>
  <w:footnote w:id="1">
    <w:p w:rsidR="00307946" w:rsidRDefault="00307946" w:rsidP="00307946">
      <w:pPr>
        <w:pStyle w:val="FootnoteText"/>
        <w:numPr>
          <w:ilvl w:val="0"/>
          <w:numId w:val="6"/>
        </w:numPr>
        <w:ind w:left="142" w:hanging="142"/>
        <w:rPr>
          <w:rFonts w:asciiTheme="majorHAnsi" w:hAnsiTheme="majorHAnsi"/>
          <w:sz w:val="22"/>
          <w:szCs w:val="22"/>
        </w:rPr>
      </w:pPr>
      <w:r>
        <w:rPr>
          <w:rFonts w:asciiTheme="majorHAnsi" w:hAnsiTheme="majorHAnsi"/>
          <w:sz w:val="22"/>
          <w:szCs w:val="22"/>
        </w:rPr>
        <w:t xml:space="preserve"> Dr Alexandra Fowler is Lecturer in Public and International Law at the University of Westminster, London. Email: </w:t>
      </w:r>
      <w:hyperlink r:id="rId1" w:history="1">
        <w:r w:rsidRPr="001C0D66">
          <w:rPr>
            <w:rStyle w:val="Hyperlink"/>
            <w:rFonts w:asciiTheme="majorHAnsi" w:hAnsiTheme="majorHAnsi"/>
            <w:sz w:val="22"/>
            <w:szCs w:val="22"/>
          </w:rPr>
          <w:t>a.fowler@westminster.ac.uk</w:t>
        </w:r>
      </w:hyperlink>
      <w:r>
        <w:rPr>
          <w:rFonts w:asciiTheme="majorHAnsi" w:hAnsiTheme="majorHAnsi"/>
          <w:sz w:val="22"/>
          <w:szCs w:val="22"/>
        </w:rPr>
        <w:t xml:space="preserve">. </w:t>
      </w:r>
    </w:p>
    <w:p w:rsidR="008B5DD4" w:rsidRPr="009112E3" w:rsidRDefault="008B5DD4">
      <w:pPr>
        <w:pStyle w:val="FootnoteText"/>
        <w:rPr>
          <w:rFonts w:asciiTheme="majorHAnsi" w:hAnsiTheme="majorHAnsi"/>
          <w:sz w:val="22"/>
          <w:szCs w:val="22"/>
        </w:rPr>
      </w:pPr>
      <w:r w:rsidRPr="009112E3">
        <w:rPr>
          <w:rStyle w:val="FootnoteReference"/>
          <w:rFonts w:asciiTheme="majorHAnsi" w:hAnsiTheme="majorHAnsi"/>
          <w:sz w:val="22"/>
          <w:szCs w:val="22"/>
        </w:rPr>
        <w:footnoteRef/>
      </w:r>
      <w:r w:rsidRPr="009112E3">
        <w:rPr>
          <w:rFonts w:asciiTheme="majorHAnsi" w:hAnsiTheme="majorHAnsi"/>
          <w:sz w:val="22"/>
          <w:szCs w:val="22"/>
        </w:rPr>
        <w:t xml:space="preserve">  Inspector-General of the Australian Defence Force, </w:t>
      </w:r>
      <w:r w:rsidRPr="009112E3">
        <w:rPr>
          <w:rFonts w:asciiTheme="majorHAnsi" w:hAnsiTheme="majorHAnsi"/>
          <w:i/>
          <w:sz w:val="22"/>
          <w:szCs w:val="22"/>
        </w:rPr>
        <w:t>Afghanistan Inquiry Report</w:t>
      </w:r>
      <w:r w:rsidRPr="009112E3">
        <w:rPr>
          <w:rFonts w:asciiTheme="majorHAnsi" w:hAnsiTheme="majorHAnsi"/>
          <w:sz w:val="22"/>
          <w:szCs w:val="22"/>
        </w:rPr>
        <w:t xml:space="preserve"> (‘Brereton Report’), </w:t>
      </w:r>
      <w:hyperlink r:id="rId2" w:history="1">
        <w:r w:rsidRPr="009112E3">
          <w:rPr>
            <w:rStyle w:val="Hyperlink"/>
            <w:rFonts w:asciiTheme="majorHAnsi" w:hAnsiTheme="majorHAnsi"/>
            <w:sz w:val="22"/>
            <w:szCs w:val="22"/>
          </w:rPr>
          <w:t>https://www.defence.gov.au/sites/default/files/2021-10/IGADF-Afghanistan-Inquiry-Public-Release-Version.pdf</w:t>
        </w:r>
      </w:hyperlink>
      <w:r w:rsidRPr="009112E3">
        <w:rPr>
          <w:rFonts w:asciiTheme="majorHAnsi" w:hAnsiTheme="majorHAnsi"/>
          <w:sz w:val="22"/>
          <w:szCs w:val="22"/>
        </w:rPr>
        <w:t>.</w:t>
      </w:r>
    </w:p>
  </w:footnote>
  <w:footnote w:id="2">
    <w:p w:rsidR="008B5DD4" w:rsidRPr="009112E3" w:rsidRDefault="008B5DD4">
      <w:pPr>
        <w:pStyle w:val="FootnoteText"/>
        <w:rPr>
          <w:rFonts w:asciiTheme="majorHAnsi" w:hAnsiTheme="majorHAnsi"/>
          <w:sz w:val="22"/>
          <w:szCs w:val="22"/>
        </w:rPr>
      </w:pPr>
      <w:r w:rsidRPr="009112E3">
        <w:rPr>
          <w:rStyle w:val="FootnoteReference"/>
          <w:rFonts w:asciiTheme="majorHAnsi" w:hAnsiTheme="majorHAnsi"/>
          <w:sz w:val="22"/>
          <w:szCs w:val="22"/>
        </w:rPr>
        <w:footnoteRef/>
      </w:r>
      <w:r w:rsidRPr="009112E3">
        <w:rPr>
          <w:rFonts w:asciiTheme="majorHAnsi" w:hAnsiTheme="majorHAnsi"/>
          <w:sz w:val="22"/>
          <w:szCs w:val="22"/>
        </w:rPr>
        <w:t xml:space="preserve"> Id., </w:t>
      </w:r>
      <w:r w:rsidRPr="009112E3">
        <w:rPr>
          <w:rFonts w:asciiTheme="majorHAnsi" w:hAnsiTheme="majorHAnsi" w:cs="Times New Roman"/>
          <w:sz w:val="22"/>
          <w:szCs w:val="22"/>
        </w:rPr>
        <w:t>Chapter 1.01 at</w:t>
      </w:r>
      <w:r w:rsidRPr="009112E3">
        <w:rPr>
          <w:rFonts w:asciiTheme="majorHAnsi" w:hAnsiTheme="majorHAnsi"/>
          <w:sz w:val="22"/>
          <w:szCs w:val="22"/>
        </w:rPr>
        <w:t xml:space="preserve"> [</w:t>
      </w:r>
      <w:r w:rsidRPr="009112E3">
        <w:rPr>
          <w:rFonts w:asciiTheme="majorHAnsi" w:hAnsiTheme="majorHAnsi" w:cs="Times New Roman"/>
          <w:sz w:val="22"/>
          <w:szCs w:val="22"/>
        </w:rPr>
        <w:t>15-16].</w:t>
      </w:r>
    </w:p>
  </w:footnote>
  <w:footnote w:id="3">
    <w:p w:rsidR="008B5DD4" w:rsidRPr="009112E3" w:rsidRDefault="008B5DD4">
      <w:pPr>
        <w:pStyle w:val="FootnoteText"/>
        <w:rPr>
          <w:rFonts w:asciiTheme="majorHAnsi" w:hAnsiTheme="majorHAnsi"/>
          <w:sz w:val="22"/>
          <w:szCs w:val="22"/>
        </w:rPr>
      </w:pPr>
      <w:r w:rsidRPr="009112E3">
        <w:rPr>
          <w:rStyle w:val="FootnoteReference"/>
          <w:rFonts w:asciiTheme="majorHAnsi" w:hAnsiTheme="majorHAnsi"/>
          <w:sz w:val="22"/>
          <w:szCs w:val="22"/>
        </w:rPr>
        <w:footnoteRef/>
      </w:r>
      <w:r w:rsidRPr="009112E3">
        <w:rPr>
          <w:rFonts w:asciiTheme="majorHAnsi" w:hAnsiTheme="majorHAnsi"/>
          <w:sz w:val="22"/>
          <w:szCs w:val="22"/>
        </w:rPr>
        <w:t xml:space="preserve"> Brereton Report n1, </w:t>
      </w:r>
      <w:r w:rsidRPr="009112E3">
        <w:rPr>
          <w:rFonts w:asciiTheme="majorHAnsi" w:hAnsiTheme="majorHAnsi" w:cs="Times New Roman"/>
          <w:sz w:val="22"/>
          <w:szCs w:val="22"/>
        </w:rPr>
        <w:t xml:space="preserve">Chapter 1.01 at </w:t>
      </w:r>
      <w:r w:rsidRPr="009112E3">
        <w:rPr>
          <w:rFonts w:asciiTheme="majorHAnsi" w:hAnsiTheme="majorHAnsi"/>
          <w:sz w:val="22"/>
          <w:szCs w:val="22"/>
        </w:rPr>
        <w:t>[</w:t>
      </w:r>
      <w:r w:rsidRPr="009112E3">
        <w:rPr>
          <w:rFonts w:asciiTheme="majorHAnsi" w:hAnsiTheme="majorHAnsi" w:cs="Times New Roman"/>
          <w:sz w:val="22"/>
          <w:szCs w:val="22"/>
        </w:rPr>
        <w:t>322-349], and Chapter 3.03.</w:t>
      </w:r>
    </w:p>
  </w:footnote>
  <w:footnote w:id="4">
    <w:p w:rsidR="008B5DD4" w:rsidRPr="009112E3" w:rsidRDefault="008B5DD4">
      <w:pPr>
        <w:pStyle w:val="FootnoteText"/>
        <w:rPr>
          <w:rFonts w:asciiTheme="majorHAnsi" w:hAnsiTheme="majorHAnsi"/>
          <w:sz w:val="22"/>
          <w:szCs w:val="22"/>
        </w:rPr>
      </w:pPr>
      <w:r w:rsidRPr="009112E3">
        <w:rPr>
          <w:rStyle w:val="FootnoteReference"/>
          <w:rFonts w:asciiTheme="majorHAnsi" w:hAnsiTheme="majorHAnsi"/>
          <w:sz w:val="22"/>
          <w:szCs w:val="22"/>
        </w:rPr>
        <w:footnoteRef/>
      </w:r>
      <w:r w:rsidRPr="009112E3">
        <w:rPr>
          <w:rFonts w:asciiTheme="majorHAnsi" w:hAnsiTheme="majorHAnsi"/>
          <w:sz w:val="22"/>
          <w:szCs w:val="22"/>
        </w:rPr>
        <w:t xml:space="preserve"> Brereton Report n1, </w:t>
      </w:r>
      <w:r w:rsidRPr="009112E3">
        <w:rPr>
          <w:rFonts w:asciiTheme="majorHAnsi" w:hAnsiTheme="majorHAnsi" w:cs="Times New Roman"/>
          <w:sz w:val="22"/>
          <w:szCs w:val="22"/>
        </w:rPr>
        <w:t>Chapter 1.01 at [21].</w:t>
      </w:r>
    </w:p>
  </w:footnote>
  <w:footnote w:id="5">
    <w:p w:rsidR="008B5DD4" w:rsidRPr="009112E3" w:rsidRDefault="008B5DD4" w:rsidP="00730FB0">
      <w:pPr>
        <w:pStyle w:val="Heading1"/>
        <w:shd w:val="clear" w:color="auto" w:fill="FFFFFF"/>
        <w:spacing w:before="0" w:beforeAutospacing="0" w:after="0" w:afterAutospacing="0"/>
        <w:textAlignment w:val="baseline"/>
        <w:rPr>
          <w:rFonts w:asciiTheme="majorHAnsi" w:hAnsiTheme="majorHAnsi" w:cstheme="majorHAnsi"/>
          <w:b w:val="0"/>
          <w:bCs w:val="0"/>
          <w:color w:val="121212"/>
          <w:sz w:val="22"/>
          <w:szCs w:val="22"/>
        </w:rPr>
      </w:pPr>
      <w:r w:rsidRPr="009112E3">
        <w:rPr>
          <w:rStyle w:val="FootnoteReference"/>
          <w:rFonts w:asciiTheme="majorHAnsi" w:hAnsiTheme="majorHAnsi" w:cstheme="minorHAnsi"/>
          <w:sz w:val="22"/>
          <w:szCs w:val="22"/>
        </w:rPr>
        <w:footnoteRef/>
      </w:r>
      <w:r w:rsidRPr="009112E3">
        <w:rPr>
          <w:rFonts w:asciiTheme="majorHAnsi" w:hAnsiTheme="majorHAnsi" w:cstheme="minorHAnsi"/>
          <w:sz w:val="22"/>
          <w:szCs w:val="22"/>
        </w:rPr>
        <w:t xml:space="preserve"> </w:t>
      </w:r>
      <w:r w:rsidRPr="009112E3">
        <w:rPr>
          <w:rFonts w:asciiTheme="majorHAnsi" w:hAnsiTheme="majorHAnsi" w:cstheme="majorHAnsi"/>
          <w:b w:val="0"/>
          <w:sz w:val="22"/>
          <w:szCs w:val="22"/>
        </w:rPr>
        <w:t xml:space="preserve">OSI, “Former Australian Soldier Charged with War Crime”, </w:t>
      </w:r>
      <w:hyperlink r:id="rId3" w:history="1">
        <w:r w:rsidRPr="009112E3">
          <w:rPr>
            <w:rStyle w:val="Hyperlink"/>
            <w:rFonts w:asciiTheme="majorHAnsi" w:hAnsiTheme="majorHAnsi" w:cstheme="majorHAnsi"/>
            <w:b w:val="0"/>
            <w:sz w:val="22"/>
            <w:szCs w:val="22"/>
          </w:rPr>
          <w:t>https://www.osi.gov.au/news-resources/former-australian-soldier-charged-war-crime.</w:t>
        </w:r>
      </w:hyperlink>
      <w:r w:rsidRPr="009112E3">
        <w:rPr>
          <w:rFonts w:asciiTheme="majorHAnsi" w:hAnsiTheme="majorHAnsi" w:cstheme="majorHAnsi"/>
          <w:sz w:val="22"/>
          <w:szCs w:val="22"/>
        </w:rPr>
        <w:t xml:space="preserve"> </w:t>
      </w:r>
      <w:r w:rsidRPr="009112E3">
        <w:rPr>
          <w:rFonts w:asciiTheme="majorHAnsi" w:hAnsiTheme="majorHAnsi" w:cstheme="majorHAnsi"/>
          <w:b w:val="0"/>
          <w:sz w:val="22"/>
          <w:szCs w:val="22"/>
        </w:rPr>
        <w:t>See also B. Doherty, “</w:t>
      </w:r>
      <w:r w:rsidRPr="009112E3">
        <w:rPr>
          <w:rFonts w:asciiTheme="majorHAnsi" w:hAnsiTheme="majorHAnsi" w:cstheme="majorHAnsi"/>
          <w:b w:val="0"/>
          <w:bCs w:val="0"/>
          <w:color w:val="121212"/>
          <w:sz w:val="22"/>
          <w:szCs w:val="22"/>
        </w:rPr>
        <w:t xml:space="preserve">Australian Defence Chief Warns Further Criminal Charges could be Laid over Alleged War Crimes in Afghanistan”, </w:t>
      </w:r>
      <w:r w:rsidRPr="009112E3">
        <w:rPr>
          <w:rFonts w:asciiTheme="majorHAnsi" w:hAnsiTheme="majorHAnsi" w:cstheme="majorHAnsi"/>
          <w:b w:val="0"/>
          <w:bCs w:val="0"/>
          <w:i/>
          <w:color w:val="121212"/>
          <w:sz w:val="22"/>
          <w:szCs w:val="22"/>
        </w:rPr>
        <w:t>The Guardian online</w:t>
      </w:r>
      <w:r w:rsidRPr="009112E3">
        <w:rPr>
          <w:rFonts w:asciiTheme="majorHAnsi" w:hAnsiTheme="majorHAnsi" w:cstheme="majorHAnsi"/>
          <w:b w:val="0"/>
          <w:bCs w:val="0"/>
          <w:color w:val="121212"/>
          <w:sz w:val="22"/>
          <w:szCs w:val="22"/>
        </w:rPr>
        <w:t xml:space="preserve"> (11 April 2023), </w:t>
      </w:r>
      <w:hyperlink r:id="rId4" w:history="1">
        <w:r w:rsidRPr="009112E3">
          <w:rPr>
            <w:rStyle w:val="Hyperlink"/>
            <w:rFonts w:asciiTheme="majorHAnsi" w:hAnsiTheme="majorHAnsi" w:cstheme="majorHAnsi"/>
            <w:b w:val="0"/>
            <w:bCs w:val="0"/>
            <w:sz w:val="22"/>
            <w:szCs w:val="22"/>
          </w:rPr>
          <w:t>https://www.theguardian.com/australia-news/2023/apr/11/defence-chief-flags-more-allegations-of-afghanistan-war-crimes-made-against-australian-soldiers</w:t>
        </w:r>
      </w:hyperlink>
      <w:r w:rsidRPr="009112E3">
        <w:rPr>
          <w:rFonts w:asciiTheme="majorHAnsi" w:hAnsiTheme="majorHAnsi" w:cstheme="majorHAnsi"/>
          <w:b w:val="0"/>
          <w:bCs w:val="0"/>
          <w:color w:val="121212"/>
          <w:sz w:val="22"/>
          <w:szCs w:val="22"/>
        </w:rPr>
        <w:t xml:space="preserve">; </w:t>
      </w:r>
    </w:p>
    <w:p w:rsidR="008B5DD4" w:rsidRPr="009112E3" w:rsidRDefault="008B5DD4" w:rsidP="00730FB0">
      <w:pPr>
        <w:pStyle w:val="FootnoteText"/>
        <w:rPr>
          <w:rFonts w:asciiTheme="majorHAnsi" w:hAnsiTheme="majorHAnsi" w:cstheme="majorHAnsi"/>
          <w:sz w:val="22"/>
          <w:szCs w:val="22"/>
        </w:rPr>
      </w:pPr>
      <w:r w:rsidRPr="009112E3">
        <w:rPr>
          <w:rFonts w:asciiTheme="majorHAnsi" w:hAnsiTheme="majorHAnsi" w:cstheme="majorHAnsi"/>
          <w:sz w:val="22"/>
          <w:szCs w:val="22"/>
        </w:rPr>
        <w:t xml:space="preserve">D. </w:t>
      </w:r>
      <w:proofErr w:type="spellStart"/>
      <w:r w:rsidRPr="009112E3">
        <w:rPr>
          <w:rFonts w:asciiTheme="majorHAnsi" w:hAnsiTheme="majorHAnsi" w:cstheme="majorHAnsi"/>
          <w:sz w:val="22"/>
          <w:szCs w:val="22"/>
        </w:rPr>
        <w:t>Gavshon</w:t>
      </w:r>
      <w:proofErr w:type="spellEnd"/>
      <w:r w:rsidRPr="009112E3">
        <w:rPr>
          <w:rFonts w:asciiTheme="majorHAnsi" w:hAnsiTheme="majorHAnsi" w:cstheme="majorHAnsi"/>
          <w:sz w:val="22"/>
          <w:szCs w:val="22"/>
        </w:rPr>
        <w:t xml:space="preserve"> (Human Rights Watch), “First Australian Soldier Charged over Alleged War Crime in Afghanistan” (21 March 2023), </w:t>
      </w:r>
      <w:hyperlink r:id="rId5" w:history="1">
        <w:r w:rsidRPr="009112E3">
          <w:rPr>
            <w:rStyle w:val="Hyperlink"/>
            <w:rFonts w:asciiTheme="majorHAnsi" w:hAnsiTheme="majorHAnsi" w:cstheme="majorHAnsi"/>
            <w:sz w:val="22"/>
            <w:szCs w:val="22"/>
          </w:rPr>
          <w:t>https://www.hrw.org/news/2023/03/22/first-australian-soldier-charged-over-alleged-war-crime-afghanistan</w:t>
        </w:r>
      </w:hyperlink>
      <w:r w:rsidRPr="009112E3">
        <w:rPr>
          <w:rFonts w:asciiTheme="majorHAnsi" w:hAnsiTheme="majorHAnsi" w:cstheme="majorHAnsi"/>
          <w:sz w:val="22"/>
          <w:szCs w:val="22"/>
        </w:rPr>
        <w:t xml:space="preserve">. </w:t>
      </w:r>
    </w:p>
  </w:footnote>
  <w:footnote w:id="6">
    <w:p w:rsidR="008B5DD4" w:rsidRPr="009112E3" w:rsidRDefault="008B5DD4" w:rsidP="00C5134E">
      <w:pPr>
        <w:pStyle w:val="ListParagraph"/>
        <w:ind w:left="0" w:right="804"/>
        <w:rPr>
          <w:rFonts w:asciiTheme="majorHAnsi" w:hAnsiTheme="majorHAnsi" w:cstheme="majorHAnsi"/>
        </w:rPr>
      </w:pPr>
      <w:r w:rsidRPr="009112E3">
        <w:rPr>
          <w:rStyle w:val="FootnoteReference"/>
          <w:rFonts w:asciiTheme="majorHAnsi" w:hAnsiTheme="majorHAnsi"/>
        </w:rPr>
        <w:footnoteRef/>
      </w:r>
      <w:r w:rsidRPr="009112E3">
        <w:rPr>
          <w:rFonts w:asciiTheme="majorHAnsi" w:hAnsiTheme="majorHAnsi"/>
        </w:rPr>
        <w:t xml:space="preserve"> </w:t>
      </w:r>
      <w:r w:rsidRPr="009112E3">
        <w:rPr>
          <w:rFonts w:asciiTheme="majorHAnsi" w:hAnsiTheme="majorHAnsi" w:cstheme="majorHAnsi"/>
          <w:color w:val="1A1A1A"/>
          <w:bdr w:val="none" w:sz="0" w:space="0" w:color="auto" w:frame="1"/>
          <w:shd w:val="clear" w:color="auto" w:fill="FFFFFF"/>
        </w:rPr>
        <w:t>A. Fowler, ‘Australian war crimes in Afghanistan: Prosecutions face an uncertain road ahead’ in </w:t>
      </w:r>
      <w:r w:rsidRPr="009112E3">
        <w:rPr>
          <w:rStyle w:val="Emphasis"/>
          <w:rFonts w:asciiTheme="majorHAnsi" w:hAnsiTheme="majorHAnsi" w:cstheme="majorHAnsi"/>
          <w:color w:val="1A1A1A"/>
          <w:shd w:val="clear" w:color="auto" w:fill="FFFFFF"/>
        </w:rPr>
        <w:t>ILA Reporter</w:t>
      </w:r>
      <w:r w:rsidRPr="009112E3">
        <w:rPr>
          <w:rFonts w:asciiTheme="majorHAnsi" w:hAnsiTheme="majorHAnsi" w:cstheme="majorHAnsi"/>
          <w:color w:val="1A1A1A"/>
          <w:bdr w:val="none" w:sz="0" w:space="0" w:color="auto" w:frame="1"/>
          <w:shd w:val="clear" w:color="auto" w:fill="FFFFFF"/>
        </w:rPr>
        <w:t xml:space="preserve"> (4 June 2021), </w:t>
      </w:r>
      <w:hyperlink r:id="rId6" w:history="1">
        <w:r w:rsidRPr="009112E3">
          <w:rPr>
            <w:rStyle w:val="Hyperlink"/>
            <w:rFonts w:asciiTheme="majorHAnsi" w:hAnsiTheme="majorHAnsi" w:cstheme="majorHAnsi"/>
            <w:bdr w:val="none" w:sz="0" w:space="0" w:color="auto" w:frame="1"/>
            <w:shd w:val="clear" w:color="auto" w:fill="FFFFFF"/>
          </w:rPr>
          <w:t>http://ilareporter.org.au/2021/06/australian-war-crimes-in-afghanistan-prosecutions-face-an-uncertain-road-ahead-alexandra-fowler/</w:t>
        </w:r>
      </w:hyperlink>
    </w:p>
  </w:footnote>
  <w:footnote w:id="7">
    <w:p w:rsidR="008B5DD4" w:rsidRPr="009112E3" w:rsidRDefault="008B5DD4" w:rsidP="00AA4EE5">
      <w:pPr>
        <w:pStyle w:val="FootnoteText"/>
        <w:spacing w:after="120" w:line="200" w:lineRule="exact"/>
        <w:rPr>
          <w:rFonts w:asciiTheme="majorHAnsi" w:hAnsiTheme="majorHAnsi" w:cstheme="majorHAnsi"/>
          <w:sz w:val="22"/>
          <w:szCs w:val="22"/>
          <w:lang w:val="en-US"/>
        </w:rPr>
      </w:pPr>
      <w:r w:rsidRPr="009112E3">
        <w:rPr>
          <w:rStyle w:val="FootnoteReference"/>
          <w:rFonts w:asciiTheme="majorHAnsi" w:hAnsiTheme="majorHAnsi" w:cstheme="majorHAnsi"/>
          <w:sz w:val="22"/>
          <w:szCs w:val="22"/>
        </w:rPr>
        <w:footnoteRef/>
      </w:r>
      <w:r w:rsidRPr="009112E3">
        <w:rPr>
          <w:rFonts w:asciiTheme="majorHAnsi" w:hAnsiTheme="majorHAnsi" w:cstheme="majorHAnsi"/>
          <w:sz w:val="22"/>
          <w:szCs w:val="22"/>
        </w:rPr>
        <w:t xml:space="preserve"> </w:t>
      </w:r>
      <w:r w:rsidRPr="009112E3">
        <w:rPr>
          <w:rFonts w:asciiTheme="majorHAnsi" w:hAnsiTheme="majorHAnsi" w:cstheme="majorHAnsi"/>
          <w:iCs/>
          <w:sz w:val="22"/>
          <w:szCs w:val="22"/>
          <w:lang w:val="en-US"/>
        </w:rPr>
        <w:t>Brereton Report</w:t>
      </w:r>
      <w:r w:rsidRPr="009112E3">
        <w:rPr>
          <w:rFonts w:asciiTheme="majorHAnsi" w:hAnsiTheme="majorHAnsi" w:cstheme="majorHAnsi"/>
          <w:sz w:val="22"/>
          <w:szCs w:val="22"/>
          <w:lang w:val="en-US"/>
        </w:rPr>
        <w:t xml:space="preserve"> (n</w:t>
      </w:r>
      <w:r w:rsidRPr="009112E3">
        <w:rPr>
          <w:rFonts w:asciiTheme="majorHAnsi" w:hAnsiTheme="majorHAnsi" w:cstheme="majorHAnsi"/>
          <w:sz w:val="22"/>
          <w:szCs w:val="22"/>
          <w:lang w:val="en-US"/>
        </w:rPr>
        <w:fldChar w:fldCharType="begin"/>
      </w:r>
      <w:r w:rsidRPr="009112E3">
        <w:rPr>
          <w:rFonts w:asciiTheme="majorHAnsi" w:hAnsiTheme="majorHAnsi" w:cstheme="majorHAnsi"/>
          <w:sz w:val="22"/>
          <w:szCs w:val="22"/>
          <w:lang w:val="en-US"/>
        </w:rPr>
        <w:instrText xml:space="preserve"> NOTEREF _Ref104316559 \h  \* MERGEFORMAT </w:instrText>
      </w:r>
      <w:r w:rsidRPr="009112E3">
        <w:rPr>
          <w:rFonts w:asciiTheme="majorHAnsi" w:hAnsiTheme="majorHAnsi" w:cstheme="majorHAnsi"/>
          <w:sz w:val="22"/>
          <w:szCs w:val="22"/>
          <w:lang w:val="en-US"/>
        </w:rPr>
      </w:r>
      <w:r w:rsidRPr="009112E3">
        <w:rPr>
          <w:rFonts w:asciiTheme="majorHAnsi" w:hAnsiTheme="majorHAnsi" w:cstheme="majorHAnsi"/>
          <w:sz w:val="22"/>
          <w:szCs w:val="22"/>
          <w:lang w:val="en-US"/>
        </w:rPr>
        <w:fldChar w:fldCharType="separate"/>
      </w:r>
      <w:r w:rsidRPr="009112E3">
        <w:rPr>
          <w:rFonts w:asciiTheme="majorHAnsi" w:hAnsiTheme="majorHAnsi" w:cstheme="majorHAnsi"/>
          <w:sz w:val="22"/>
          <w:szCs w:val="22"/>
          <w:lang w:val="en-US"/>
        </w:rPr>
        <w:t>1</w:t>
      </w:r>
      <w:r w:rsidRPr="009112E3">
        <w:rPr>
          <w:rFonts w:asciiTheme="majorHAnsi" w:hAnsiTheme="majorHAnsi" w:cstheme="majorHAnsi"/>
          <w:sz w:val="22"/>
          <w:szCs w:val="22"/>
          <w:lang w:val="en-US"/>
        </w:rPr>
        <w:fldChar w:fldCharType="end"/>
      </w:r>
      <w:r w:rsidRPr="009112E3">
        <w:rPr>
          <w:rFonts w:asciiTheme="majorHAnsi" w:hAnsiTheme="majorHAnsi" w:cstheme="majorHAnsi"/>
          <w:sz w:val="22"/>
          <w:szCs w:val="22"/>
          <w:lang w:val="en-US"/>
        </w:rPr>
        <w:t>), Chapter 1.03 at [49].</w:t>
      </w:r>
    </w:p>
  </w:footnote>
  <w:footnote w:id="8">
    <w:p w:rsidR="008B5DD4" w:rsidRPr="009112E3" w:rsidRDefault="008B5DD4" w:rsidP="004E5498">
      <w:pPr>
        <w:pStyle w:val="FootnoteText"/>
        <w:spacing w:after="120" w:line="200" w:lineRule="exact"/>
        <w:ind w:left="301" w:hanging="301"/>
        <w:rPr>
          <w:rFonts w:asciiTheme="majorHAnsi" w:hAnsiTheme="majorHAnsi" w:cstheme="majorHAnsi"/>
          <w:sz w:val="22"/>
          <w:szCs w:val="22"/>
          <w:lang w:val="en-US"/>
        </w:rPr>
      </w:pPr>
      <w:r w:rsidRPr="009112E3">
        <w:rPr>
          <w:rStyle w:val="FootnoteReference"/>
          <w:rFonts w:asciiTheme="majorHAnsi" w:hAnsiTheme="majorHAnsi" w:cstheme="majorHAnsi"/>
          <w:sz w:val="22"/>
          <w:szCs w:val="22"/>
        </w:rPr>
        <w:footnoteRef/>
      </w:r>
      <w:r w:rsidRPr="009112E3">
        <w:rPr>
          <w:rFonts w:asciiTheme="majorHAnsi" w:hAnsiTheme="majorHAnsi" w:cstheme="majorHAnsi"/>
          <w:sz w:val="22"/>
          <w:szCs w:val="22"/>
        </w:rPr>
        <w:t xml:space="preserve"> </w:t>
      </w:r>
      <w:r w:rsidRPr="009112E3">
        <w:rPr>
          <w:rFonts w:asciiTheme="majorHAnsi" w:hAnsiTheme="majorHAnsi" w:cstheme="majorHAnsi"/>
          <w:iCs/>
          <w:sz w:val="22"/>
          <w:szCs w:val="22"/>
          <w:lang w:val="en-US"/>
        </w:rPr>
        <w:t>Brereton Report</w:t>
      </w:r>
      <w:r w:rsidRPr="009112E3">
        <w:rPr>
          <w:rFonts w:asciiTheme="majorHAnsi" w:hAnsiTheme="majorHAnsi" w:cstheme="majorHAnsi"/>
          <w:sz w:val="22"/>
          <w:szCs w:val="22"/>
          <w:lang w:val="en-US"/>
        </w:rPr>
        <w:t xml:space="preserve"> (n</w:t>
      </w:r>
      <w:r w:rsidRPr="009112E3">
        <w:rPr>
          <w:rFonts w:asciiTheme="majorHAnsi" w:hAnsiTheme="majorHAnsi" w:cstheme="majorHAnsi"/>
          <w:sz w:val="22"/>
          <w:szCs w:val="22"/>
          <w:lang w:val="en-US"/>
        </w:rPr>
        <w:fldChar w:fldCharType="begin"/>
      </w:r>
      <w:r w:rsidRPr="009112E3">
        <w:rPr>
          <w:rFonts w:asciiTheme="majorHAnsi" w:hAnsiTheme="majorHAnsi" w:cstheme="majorHAnsi"/>
          <w:sz w:val="22"/>
          <w:szCs w:val="22"/>
          <w:lang w:val="en-US"/>
        </w:rPr>
        <w:instrText xml:space="preserve"> NOTEREF _Ref104316559 \h  \* MERGEFORMAT </w:instrText>
      </w:r>
      <w:r w:rsidRPr="009112E3">
        <w:rPr>
          <w:rFonts w:asciiTheme="majorHAnsi" w:hAnsiTheme="majorHAnsi" w:cstheme="majorHAnsi"/>
          <w:sz w:val="22"/>
          <w:szCs w:val="22"/>
          <w:lang w:val="en-US"/>
        </w:rPr>
      </w:r>
      <w:r w:rsidRPr="009112E3">
        <w:rPr>
          <w:rFonts w:asciiTheme="majorHAnsi" w:hAnsiTheme="majorHAnsi" w:cstheme="majorHAnsi"/>
          <w:sz w:val="22"/>
          <w:szCs w:val="22"/>
          <w:lang w:val="en-US"/>
        </w:rPr>
        <w:fldChar w:fldCharType="separate"/>
      </w:r>
      <w:r w:rsidRPr="009112E3">
        <w:rPr>
          <w:rFonts w:asciiTheme="majorHAnsi" w:hAnsiTheme="majorHAnsi" w:cstheme="majorHAnsi"/>
          <w:sz w:val="22"/>
          <w:szCs w:val="22"/>
          <w:lang w:val="en-US"/>
        </w:rPr>
        <w:t>1</w:t>
      </w:r>
      <w:r w:rsidRPr="009112E3">
        <w:rPr>
          <w:rFonts w:asciiTheme="majorHAnsi" w:hAnsiTheme="majorHAnsi" w:cstheme="majorHAnsi"/>
          <w:sz w:val="22"/>
          <w:szCs w:val="22"/>
          <w:lang w:val="en-US"/>
        </w:rPr>
        <w:fldChar w:fldCharType="end"/>
      </w:r>
      <w:r w:rsidRPr="009112E3">
        <w:rPr>
          <w:rFonts w:asciiTheme="majorHAnsi" w:hAnsiTheme="majorHAnsi" w:cstheme="majorHAnsi"/>
          <w:sz w:val="22"/>
          <w:szCs w:val="22"/>
          <w:lang w:val="en-US"/>
        </w:rPr>
        <w:t xml:space="preserve">), Chapter 1.03 at [32]. </w:t>
      </w:r>
    </w:p>
  </w:footnote>
  <w:footnote w:id="9">
    <w:p w:rsidR="008B5DD4" w:rsidRPr="009112E3" w:rsidRDefault="008B5DD4" w:rsidP="004E5498">
      <w:pPr>
        <w:pStyle w:val="FootnoteText"/>
        <w:spacing w:after="120" w:line="200" w:lineRule="exact"/>
        <w:ind w:left="301" w:hanging="301"/>
        <w:rPr>
          <w:rFonts w:asciiTheme="majorHAnsi" w:hAnsiTheme="majorHAnsi" w:cs="Times New Roman"/>
          <w:sz w:val="22"/>
          <w:szCs w:val="22"/>
          <w:lang w:val="en-US"/>
        </w:rPr>
      </w:pPr>
      <w:r w:rsidRPr="009112E3">
        <w:rPr>
          <w:rStyle w:val="FootnoteReference"/>
          <w:rFonts w:asciiTheme="majorHAnsi" w:hAnsiTheme="majorHAnsi" w:cstheme="majorHAnsi"/>
          <w:sz w:val="22"/>
          <w:szCs w:val="22"/>
        </w:rPr>
        <w:footnoteRef/>
      </w:r>
      <w:r w:rsidRPr="009112E3">
        <w:rPr>
          <w:rFonts w:asciiTheme="majorHAnsi" w:hAnsiTheme="majorHAnsi" w:cstheme="majorHAnsi"/>
          <w:sz w:val="22"/>
          <w:szCs w:val="22"/>
        </w:rPr>
        <w:t xml:space="preserve"> </w:t>
      </w:r>
      <w:r w:rsidRPr="009112E3">
        <w:rPr>
          <w:rFonts w:asciiTheme="majorHAnsi" w:hAnsiTheme="majorHAnsi" w:cstheme="majorHAnsi"/>
          <w:iCs/>
          <w:sz w:val="22"/>
          <w:szCs w:val="22"/>
          <w:lang w:val="en-US"/>
        </w:rPr>
        <w:t>Brereton Report</w:t>
      </w:r>
      <w:r w:rsidRPr="009112E3">
        <w:rPr>
          <w:rFonts w:asciiTheme="majorHAnsi" w:hAnsiTheme="majorHAnsi" w:cstheme="majorHAnsi"/>
          <w:sz w:val="22"/>
          <w:szCs w:val="22"/>
          <w:lang w:val="en-US"/>
        </w:rPr>
        <w:t xml:space="preserve"> (n</w:t>
      </w:r>
      <w:r w:rsidRPr="009112E3">
        <w:rPr>
          <w:rFonts w:asciiTheme="majorHAnsi" w:hAnsiTheme="majorHAnsi" w:cstheme="majorHAnsi"/>
          <w:sz w:val="22"/>
          <w:szCs w:val="22"/>
          <w:lang w:val="en-US"/>
        </w:rPr>
        <w:fldChar w:fldCharType="begin"/>
      </w:r>
      <w:r w:rsidRPr="009112E3">
        <w:rPr>
          <w:rFonts w:asciiTheme="majorHAnsi" w:hAnsiTheme="majorHAnsi" w:cstheme="majorHAnsi"/>
          <w:sz w:val="22"/>
          <w:szCs w:val="22"/>
          <w:lang w:val="en-US"/>
        </w:rPr>
        <w:instrText xml:space="preserve"> NOTEREF _Ref104316559 \h  \* MERGEFORMAT </w:instrText>
      </w:r>
      <w:r w:rsidRPr="009112E3">
        <w:rPr>
          <w:rFonts w:asciiTheme="majorHAnsi" w:hAnsiTheme="majorHAnsi" w:cstheme="majorHAnsi"/>
          <w:sz w:val="22"/>
          <w:szCs w:val="22"/>
          <w:lang w:val="en-US"/>
        </w:rPr>
      </w:r>
      <w:r w:rsidRPr="009112E3">
        <w:rPr>
          <w:rFonts w:asciiTheme="majorHAnsi" w:hAnsiTheme="majorHAnsi" w:cstheme="majorHAnsi"/>
          <w:sz w:val="22"/>
          <w:szCs w:val="22"/>
          <w:lang w:val="en-US"/>
        </w:rPr>
        <w:fldChar w:fldCharType="separate"/>
      </w:r>
      <w:r w:rsidRPr="009112E3">
        <w:rPr>
          <w:rFonts w:asciiTheme="majorHAnsi" w:hAnsiTheme="majorHAnsi" w:cstheme="majorHAnsi"/>
          <w:sz w:val="22"/>
          <w:szCs w:val="22"/>
          <w:lang w:val="en-US"/>
        </w:rPr>
        <w:t>1</w:t>
      </w:r>
      <w:r w:rsidRPr="009112E3">
        <w:rPr>
          <w:rFonts w:asciiTheme="majorHAnsi" w:hAnsiTheme="majorHAnsi" w:cstheme="majorHAnsi"/>
          <w:sz w:val="22"/>
          <w:szCs w:val="22"/>
          <w:lang w:val="en-US"/>
        </w:rPr>
        <w:fldChar w:fldCharType="end"/>
      </w:r>
      <w:r w:rsidRPr="009112E3">
        <w:rPr>
          <w:rFonts w:asciiTheme="majorHAnsi" w:hAnsiTheme="majorHAnsi" w:cstheme="majorHAnsi"/>
          <w:sz w:val="22"/>
          <w:szCs w:val="22"/>
          <w:lang w:val="en-US"/>
        </w:rPr>
        <w:t>), Chapter 1.01 at [42]; at 112 and 359; and Chapter 3.02 at [279] and [295].</w:t>
      </w:r>
      <w:r w:rsidRPr="009112E3">
        <w:rPr>
          <w:rFonts w:asciiTheme="majorHAnsi" w:hAnsiTheme="majorHAnsi" w:cs="Times New Roman"/>
          <w:sz w:val="22"/>
          <w:szCs w:val="22"/>
          <w:lang w:val="en-US"/>
        </w:rPr>
        <w:t xml:space="preserve"> </w:t>
      </w:r>
    </w:p>
  </w:footnote>
  <w:footnote w:id="10">
    <w:p w:rsidR="008B5DD4" w:rsidRPr="009112E3" w:rsidRDefault="008B5DD4" w:rsidP="00ED4699">
      <w:pPr>
        <w:pStyle w:val="FootnoteText"/>
        <w:spacing w:after="120" w:line="200" w:lineRule="exact"/>
        <w:ind w:left="142" w:hanging="142"/>
        <w:rPr>
          <w:rFonts w:asciiTheme="majorHAnsi" w:hAnsiTheme="majorHAnsi" w:cstheme="majorHAnsi"/>
          <w:sz w:val="22"/>
          <w:szCs w:val="22"/>
          <w:lang w:val="en-US"/>
        </w:rPr>
      </w:pPr>
      <w:r w:rsidRPr="009112E3">
        <w:rPr>
          <w:rStyle w:val="FootnoteReference"/>
          <w:rFonts w:asciiTheme="majorHAnsi" w:hAnsiTheme="majorHAnsi" w:cs="Times New Roman"/>
          <w:sz w:val="22"/>
          <w:szCs w:val="22"/>
        </w:rPr>
        <w:footnoteRef/>
      </w:r>
      <w:r w:rsidRPr="009112E3">
        <w:rPr>
          <w:rFonts w:asciiTheme="majorHAnsi" w:hAnsiTheme="majorHAnsi" w:cs="Times New Roman"/>
          <w:sz w:val="22"/>
          <w:szCs w:val="22"/>
        </w:rPr>
        <w:t xml:space="preserve"> </w:t>
      </w:r>
      <w:r w:rsidRPr="009112E3">
        <w:rPr>
          <w:rFonts w:asciiTheme="majorHAnsi" w:hAnsiTheme="majorHAnsi" w:cstheme="majorHAnsi"/>
          <w:sz w:val="22"/>
          <w:szCs w:val="22"/>
        </w:rPr>
        <w:t xml:space="preserve">Question from Jordon Steele-John (Senator for Western Australia) to the OSI regarding Australian Special Forces War Crimes in Afghanistan – Victims’ Liaison Unit (AE21-204, Senate Standing Committee on Legal and Constitutional Affairs, 22 March 2021). </w:t>
      </w:r>
    </w:p>
  </w:footnote>
  <w:footnote w:id="11">
    <w:p w:rsidR="008B5DD4" w:rsidRPr="009112E3" w:rsidRDefault="008B5DD4" w:rsidP="00ED4699">
      <w:pPr>
        <w:pStyle w:val="FootnoteText"/>
        <w:spacing w:after="120" w:line="200" w:lineRule="exact"/>
        <w:ind w:left="142" w:hanging="142"/>
        <w:rPr>
          <w:rFonts w:asciiTheme="majorHAnsi" w:hAnsiTheme="majorHAnsi" w:cstheme="majorHAnsi"/>
          <w:sz w:val="22"/>
          <w:szCs w:val="22"/>
        </w:rPr>
      </w:pPr>
      <w:r w:rsidRPr="009112E3">
        <w:rPr>
          <w:rStyle w:val="FootnoteReference"/>
          <w:rFonts w:asciiTheme="majorHAnsi" w:hAnsiTheme="majorHAnsi" w:cstheme="majorHAnsi"/>
          <w:sz w:val="22"/>
          <w:szCs w:val="22"/>
        </w:rPr>
        <w:footnoteRef/>
      </w:r>
      <w:r w:rsidRPr="009112E3">
        <w:rPr>
          <w:rFonts w:asciiTheme="majorHAnsi" w:hAnsiTheme="majorHAnsi" w:cstheme="majorHAnsi"/>
          <w:sz w:val="22"/>
          <w:szCs w:val="22"/>
        </w:rPr>
        <w:t xml:space="preserve"> See also D. Hurst "Investigation of Alleged Australian War Crimes could be Hindered by Fall of Afghan Government" </w:t>
      </w:r>
      <w:r w:rsidRPr="009112E3">
        <w:rPr>
          <w:rFonts w:asciiTheme="majorHAnsi" w:hAnsiTheme="majorHAnsi" w:cstheme="majorHAnsi"/>
          <w:i/>
          <w:iCs/>
          <w:sz w:val="22"/>
          <w:szCs w:val="22"/>
        </w:rPr>
        <w:t>The Guardian</w:t>
      </w:r>
      <w:r w:rsidRPr="009112E3">
        <w:rPr>
          <w:rFonts w:asciiTheme="majorHAnsi" w:hAnsiTheme="majorHAnsi" w:cstheme="majorHAnsi"/>
          <w:sz w:val="22"/>
          <w:szCs w:val="22"/>
        </w:rPr>
        <w:t xml:space="preserve"> (online ed, London, 21 August 2021).</w:t>
      </w:r>
    </w:p>
  </w:footnote>
  <w:footnote w:id="12">
    <w:p w:rsidR="008B5DD4" w:rsidRPr="009112E3" w:rsidRDefault="008B5DD4" w:rsidP="008B5DD4">
      <w:pPr>
        <w:pStyle w:val="FootnoteText"/>
        <w:spacing w:line="200" w:lineRule="exact"/>
        <w:ind w:left="142" w:hanging="142"/>
        <w:rPr>
          <w:rFonts w:asciiTheme="majorHAnsi" w:hAnsiTheme="majorHAnsi" w:cstheme="majorHAnsi"/>
          <w:sz w:val="22"/>
          <w:szCs w:val="22"/>
        </w:rPr>
      </w:pPr>
      <w:r w:rsidRPr="009112E3">
        <w:rPr>
          <w:rStyle w:val="FootnoteReference"/>
          <w:rFonts w:asciiTheme="majorHAnsi" w:hAnsiTheme="majorHAnsi" w:cstheme="majorHAnsi"/>
          <w:sz w:val="22"/>
          <w:szCs w:val="22"/>
        </w:rPr>
        <w:footnoteRef/>
      </w:r>
      <w:r w:rsidRPr="009112E3">
        <w:rPr>
          <w:rFonts w:asciiTheme="majorHAnsi" w:hAnsiTheme="majorHAnsi" w:cstheme="majorHAnsi"/>
          <w:sz w:val="22"/>
          <w:szCs w:val="22"/>
        </w:rPr>
        <w:t xml:space="preserve"> Senate Legal and Constitutional Affairs Legislation Committee </w:t>
      </w:r>
      <w:r w:rsidRPr="009112E3">
        <w:rPr>
          <w:rFonts w:asciiTheme="majorHAnsi" w:hAnsiTheme="majorHAnsi" w:cstheme="majorHAnsi"/>
          <w:i/>
          <w:iCs/>
          <w:sz w:val="22"/>
          <w:szCs w:val="22"/>
        </w:rPr>
        <w:t xml:space="preserve">Estimates: Home Affairs Portfolio </w:t>
      </w:r>
      <w:r w:rsidRPr="009112E3">
        <w:rPr>
          <w:rFonts w:asciiTheme="majorHAnsi" w:hAnsiTheme="majorHAnsi" w:cstheme="majorHAnsi"/>
          <w:sz w:val="22"/>
          <w:szCs w:val="22"/>
        </w:rPr>
        <w:t xml:space="preserve">(Official Committee Hansard, 25 October 2021) at </w:t>
      </w:r>
      <w:r w:rsidR="00DB2FAA">
        <w:rPr>
          <w:rFonts w:asciiTheme="majorHAnsi" w:hAnsiTheme="majorHAnsi" w:cstheme="majorHAnsi"/>
          <w:sz w:val="22"/>
          <w:szCs w:val="22"/>
        </w:rPr>
        <w:t>[</w:t>
      </w:r>
      <w:r w:rsidRPr="009112E3">
        <w:rPr>
          <w:rFonts w:asciiTheme="majorHAnsi" w:hAnsiTheme="majorHAnsi" w:cstheme="majorHAnsi"/>
          <w:sz w:val="22"/>
          <w:szCs w:val="22"/>
        </w:rPr>
        <w:t>54</w:t>
      </w:r>
      <w:r w:rsidR="00DB2FAA">
        <w:rPr>
          <w:rFonts w:asciiTheme="majorHAnsi" w:hAnsiTheme="majorHAnsi" w:cstheme="majorHAnsi"/>
          <w:sz w:val="22"/>
          <w:szCs w:val="22"/>
        </w:rPr>
        <w:t>]</w:t>
      </w:r>
      <w:r w:rsidRPr="009112E3">
        <w:rPr>
          <w:rFonts w:asciiTheme="majorHAnsi" w:hAnsiTheme="majorHAnsi" w:cstheme="majorHAnsi"/>
          <w:sz w:val="22"/>
          <w:szCs w:val="22"/>
        </w:rPr>
        <w:t xml:space="preserve"> and following. </w:t>
      </w:r>
    </w:p>
  </w:footnote>
  <w:footnote w:id="13">
    <w:p w:rsidR="008B5DD4" w:rsidRPr="009112E3" w:rsidRDefault="008B5DD4" w:rsidP="00F943C1">
      <w:pPr>
        <w:pStyle w:val="FootnoteText"/>
        <w:rPr>
          <w:rFonts w:asciiTheme="majorHAnsi" w:hAnsiTheme="majorHAnsi" w:cstheme="majorHAnsi"/>
          <w:sz w:val="22"/>
          <w:szCs w:val="22"/>
        </w:rPr>
      </w:pPr>
      <w:r w:rsidRPr="009112E3">
        <w:rPr>
          <w:rStyle w:val="FootnoteReference"/>
          <w:rFonts w:asciiTheme="majorHAnsi" w:hAnsiTheme="majorHAnsi" w:cstheme="majorHAnsi"/>
          <w:sz w:val="22"/>
          <w:szCs w:val="22"/>
        </w:rPr>
        <w:footnoteRef/>
      </w:r>
      <w:r w:rsidRPr="009112E3">
        <w:rPr>
          <w:rFonts w:asciiTheme="majorHAnsi" w:hAnsiTheme="majorHAnsi" w:cstheme="majorHAnsi"/>
          <w:sz w:val="22"/>
          <w:szCs w:val="22"/>
        </w:rPr>
        <w:t xml:space="preserve"> See n8 at [19]-[20].</w:t>
      </w:r>
    </w:p>
  </w:footnote>
  <w:footnote w:id="14">
    <w:p w:rsidR="008B5DD4" w:rsidRPr="009112E3" w:rsidRDefault="008B5DD4" w:rsidP="008E708E">
      <w:pPr>
        <w:pStyle w:val="FootnoteText"/>
        <w:rPr>
          <w:rFonts w:asciiTheme="majorHAnsi" w:hAnsiTheme="majorHAnsi" w:cstheme="majorHAnsi"/>
          <w:sz w:val="22"/>
          <w:szCs w:val="22"/>
        </w:rPr>
      </w:pPr>
      <w:r w:rsidRPr="009112E3">
        <w:rPr>
          <w:rStyle w:val="FootnoteReference"/>
          <w:rFonts w:asciiTheme="majorHAnsi" w:hAnsiTheme="majorHAnsi"/>
          <w:sz w:val="22"/>
          <w:szCs w:val="22"/>
        </w:rPr>
        <w:footnoteRef/>
      </w:r>
      <w:r w:rsidRPr="009112E3">
        <w:rPr>
          <w:rFonts w:asciiTheme="majorHAnsi" w:hAnsiTheme="majorHAnsi"/>
          <w:sz w:val="22"/>
          <w:szCs w:val="22"/>
        </w:rPr>
        <w:t xml:space="preserve"> </w:t>
      </w:r>
      <w:r w:rsidRPr="009112E3">
        <w:rPr>
          <w:rFonts w:asciiTheme="majorHAnsi" w:hAnsiTheme="majorHAnsi" w:cstheme="majorHAnsi"/>
          <w:sz w:val="22"/>
          <w:szCs w:val="22"/>
        </w:rPr>
        <w:t xml:space="preserve">T. Arnold and G. Palmer, </w:t>
      </w:r>
      <w:r w:rsidRPr="009112E3">
        <w:rPr>
          <w:rFonts w:asciiTheme="majorHAnsi" w:hAnsiTheme="majorHAnsi" w:cstheme="majorHAnsi"/>
          <w:i/>
          <w:iCs/>
          <w:sz w:val="22"/>
          <w:szCs w:val="22"/>
        </w:rPr>
        <w:t>Report of the Government Inquiry into Operation Burnham and related matters</w:t>
      </w:r>
      <w:r w:rsidRPr="009112E3">
        <w:rPr>
          <w:rFonts w:asciiTheme="majorHAnsi" w:hAnsiTheme="majorHAnsi" w:cstheme="majorHAnsi"/>
          <w:sz w:val="22"/>
          <w:szCs w:val="22"/>
        </w:rPr>
        <w:t xml:space="preserve"> (July 2020) [Burnham Inquiry Report]. Chapter 1 at [46]; and "Afghan villagers pull out of Operation Burnham inquiry" </w:t>
      </w:r>
      <w:r w:rsidR="00DB2FAA" w:rsidRPr="009112E3">
        <w:rPr>
          <w:rFonts w:asciiTheme="majorHAnsi" w:hAnsiTheme="majorHAnsi" w:cstheme="majorHAnsi"/>
          <w:sz w:val="22"/>
          <w:szCs w:val="22"/>
        </w:rPr>
        <w:t xml:space="preserve">Radio New Zealand </w:t>
      </w:r>
      <w:r w:rsidRPr="009112E3">
        <w:rPr>
          <w:rFonts w:asciiTheme="majorHAnsi" w:hAnsiTheme="majorHAnsi" w:cstheme="majorHAnsi"/>
          <w:sz w:val="22"/>
          <w:szCs w:val="22"/>
        </w:rPr>
        <w:t>(18 June 2019)</w:t>
      </w:r>
      <w:r w:rsidR="00DB2FAA">
        <w:rPr>
          <w:rFonts w:asciiTheme="majorHAnsi" w:hAnsiTheme="majorHAnsi" w:cstheme="majorHAnsi"/>
          <w:sz w:val="22"/>
          <w:szCs w:val="22"/>
        </w:rPr>
        <w:t>,</w:t>
      </w:r>
      <w:r w:rsidRPr="009112E3">
        <w:rPr>
          <w:rFonts w:asciiTheme="majorHAnsi" w:hAnsiTheme="majorHAnsi" w:cstheme="majorHAnsi"/>
          <w:sz w:val="22"/>
          <w:szCs w:val="22"/>
        </w:rPr>
        <w:t xml:space="preserve"> </w:t>
      </w:r>
      <w:hyperlink r:id="rId7" w:history="1">
        <w:r w:rsidR="00DB2FAA" w:rsidRPr="001C0D66">
          <w:rPr>
            <w:rStyle w:val="Hyperlink"/>
            <w:rFonts w:asciiTheme="majorHAnsi" w:hAnsiTheme="majorHAnsi" w:cstheme="majorHAnsi"/>
            <w:sz w:val="22"/>
            <w:szCs w:val="22"/>
          </w:rPr>
          <w:t>www.rnz.co.nz</w:t>
        </w:r>
      </w:hyperlink>
      <w:r w:rsidRPr="009112E3">
        <w:rPr>
          <w:rFonts w:asciiTheme="majorHAnsi" w:hAnsiTheme="majorHAnsi" w:cstheme="majorHAnsi"/>
          <w:sz w:val="22"/>
          <w:szCs w:val="22"/>
        </w:rPr>
        <w:t>.</w:t>
      </w:r>
    </w:p>
  </w:footnote>
  <w:footnote w:id="15">
    <w:p w:rsidR="008B5DD4" w:rsidRPr="009112E3" w:rsidRDefault="008B5DD4" w:rsidP="008B5DD4">
      <w:pPr>
        <w:pStyle w:val="FootnoteText"/>
        <w:spacing w:line="200" w:lineRule="exact"/>
        <w:ind w:left="301" w:hanging="301"/>
        <w:rPr>
          <w:rFonts w:asciiTheme="majorHAnsi" w:hAnsiTheme="majorHAnsi" w:cstheme="majorHAnsi"/>
          <w:sz w:val="22"/>
          <w:szCs w:val="22"/>
          <w:lang w:val="en-US"/>
        </w:rPr>
      </w:pPr>
      <w:r w:rsidRPr="009112E3">
        <w:rPr>
          <w:rStyle w:val="FootnoteReference"/>
          <w:rFonts w:asciiTheme="majorHAnsi" w:hAnsiTheme="majorHAnsi" w:cstheme="majorHAnsi"/>
          <w:sz w:val="22"/>
          <w:szCs w:val="22"/>
        </w:rPr>
        <w:footnoteRef/>
      </w:r>
      <w:r w:rsidRPr="009112E3">
        <w:rPr>
          <w:rFonts w:asciiTheme="majorHAnsi" w:hAnsiTheme="majorHAnsi" w:cstheme="majorHAnsi"/>
          <w:sz w:val="22"/>
          <w:szCs w:val="22"/>
        </w:rPr>
        <w:t xml:space="preserve"> </w:t>
      </w:r>
      <w:r w:rsidRPr="009112E3">
        <w:rPr>
          <w:rFonts w:asciiTheme="majorHAnsi" w:hAnsiTheme="majorHAnsi" w:cstheme="majorHAnsi"/>
          <w:sz w:val="22"/>
          <w:szCs w:val="22"/>
          <w:lang w:val="en-US"/>
        </w:rPr>
        <w:t xml:space="preserve">Chapter 1.01 at [42]; at 112 and 359; and Chapter 3.02 at [279] and [295]. </w:t>
      </w:r>
    </w:p>
  </w:footnote>
  <w:footnote w:id="16">
    <w:p w:rsidR="008B5DD4" w:rsidRPr="009112E3" w:rsidRDefault="008B5DD4" w:rsidP="008B5DD4">
      <w:pPr>
        <w:shd w:val="clear" w:color="auto" w:fill="FFFFFF"/>
        <w:spacing w:after="0" w:line="240" w:lineRule="auto"/>
        <w:rPr>
          <w:rFonts w:asciiTheme="majorHAnsi" w:hAnsiTheme="majorHAnsi"/>
        </w:rPr>
      </w:pPr>
      <w:r w:rsidRPr="009112E3">
        <w:rPr>
          <w:rStyle w:val="FootnoteReference"/>
          <w:rFonts w:asciiTheme="majorHAnsi" w:hAnsiTheme="majorHAnsi"/>
        </w:rPr>
        <w:footnoteRef/>
      </w:r>
      <w:r w:rsidRPr="009112E3">
        <w:rPr>
          <w:rFonts w:asciiTheme="majorHAnsi" w:hAnsiTheme="majorHAnsi"/>
        </w:rPr>
        <w:t xml:space="preserve"> </w:t>
      </w:r>
      <w:r w:rsidRPr="009112E3">
        <w:rPr>
          <w:rFonts w:asciiTheme="majorHAnsi" w:hAnsiTheme="majorHAnsi" w:cstheme="majorHAnsi"/>
        </w:rPr>
        <w:t xml:space="preserve">U. Orth, “Secondary Victimization of Crime Victims by Criminal Proceedings”, 15(4) </w:t>
      </w:r>
      <w:r w:rsidRPr="009112E3">
        <w:rPr>
          <w:rFonts w:asciiTheme="majorHAnsi" w:eastAsia="Times New Roman" w:hAnsiTheme="majorHAnsi" w:cstheme="majorHAnsi"/>
          <w:i/>
          <w:color w:val="000000"/>
          <w:lang w:eastAsia="en-GB"/>
        </w:rPr>
        <w:t>Social Justice Research</w:t>
      </w:r>
      <w:r w:rsidRPr="009112E3">
        <w:rPr>
          <w:rFonts w:asciiTheme="majorHAnsi" w:eastAsia="Times New Roman" w:hAnsiTheme="majorHAnsi" w:cstheme="majorHAnsi"/>
          <w:color w:val="000000"/>
          <w:lang w:eastAsia="en-GB"/>
        </w:rPr>
        <w:t xml:space="preserve"> (December 2002) 313.</w:t>
      </w:r>
    </w:p>
  </w:footnote>
  <w:footnote w:id="17">
    <w:p w:rsidR="00BE0869" w:rsidRPr="009112E3" w:rsidRDefault="00BE0869" w:rsidP="00BE0869">
      <w:pPr>
        <w:pStyle w:val="FootnoteText"/>
        <w:rPr>
          <w:rFonts w:asciiTheme="majorHAnsi" w:hAnsiTheme="majorHAnsi"/>
          <w:sz w:val="22"/>
          <w:szCs w:val="22"/>
        </w:rPr>
      </w:pPr>
      <w:r w:rsidRPr="009112E3">
        <w:rPr>
          <w:rStyle w:val="FootnoteReference"/>
          <w:rFonts w:asciiTheme="majorHAnsi" w:hAnsiTheme="majorHAnsi" w:cstheme="majorHAnsi"/>
          <w:sz w:val="22"/>
          <w:szCs w:val="22"/>
        </w:rPr>
        <w:footnoteRef/>
      </w:r>
      <w:r w:rsidRPr="009112E3">
        <w:rPr>
          <w:rFonts w:asciiTheme="majorHAnsi" w:hAnsiTheme="majorHAnsi" w:cstheme="majorHAnsi"/>
          <w:sz w:val="22"/>
          <w:szCs w:val="22"/>
        </w:rPr>
        <w:t xml:space="preserve"> See n6.</w:t>
      </w:r>
    </w:p>
  </w:footnote>
  <w:footnote w:id="18">
    <w:p w:rsidR="008B5DD4" w:rsidRPr="009112E3" w:rsidRDefault="008B5DD4" w:rsidP="00AB2AB3">
      <w:pPr>
        <w:pStyle w:val="FootnoteText"/>
        <w:rPr>
          <w:rFonts w:asciiTheme="majorHAnsi" w:hAnsiTheme="majorHAnsi" w:cstheme="majorHAnsi"/>
          <w:sz w:val="22"/>
          <w:szCs w:val="22"/>
        </w:rPr>
      </w:pPr>
      <w:r w:rsidRPr="009112E3">
        <w:rPr>
          <w:rStyle w:val="FootnoteReference"/>
          <w:rFonts w:asciiTheme="majorHAnsi" w:hAnsiTheme="majorHAnsi" w:cstheme="majorHAnsi"/>
          <w:sz w:val="22"/>
          <w:szCs w:val="22"/>
        </w:rPr>
        <w:footnoteRef/>
      </w:r>
      <w:r w:rsidRPr="009112E3">
        <w:rPr>
          <w:rFonts w:asciiTheme="majorHAnsi" w:hAnsiTheme="majorHAnsi" w:cstheme="majorHAnsi"/>
          <w:sz w:val="22"/>
          <w:szCs w:val="22"/>
        </w:rPr>
        <w:t xml:space="preserve"> </w:t>
      </w:r>
      <w:r w:rsidRPr="009112E3">
        <w:rPr>
          <w:rFonts w:asciiTheme="majorHAnsi" w:hAnsiTheme="majorHAnsi" w:cstheme="majorHAnsi"/>
          <w:i/>
          <w:sz w:val="22"/>
          <w:szCs w:val="22"/>
        </w:rPr>
        <w:t>Taylor v Attorney-General (</w:t>
      </w:r>
      <w:proofErr w:type="spellStart"/>
      <w:r w:rsidRPr="009112E3">
        <w:rPr>
          <w:rFonts w:asciiTheme="majorHAnsi" w:hAnsiTheme="majorHAnsi" w:cstheme="majorHAnsi"/>
          <w:i/>
          <w:sz w:val="22"/>
          <w:szCs w:val="22"/>
        </w:rPr>
        <w:t>Cth</w:t>
      </w:r>
      <w:proofErr w:type="spellEnd"/>
      <w:r w:rsidRPr="009112E3">
        <w:rPr>
          <w:rFonts w:asciiTheme="majorHAnsi" w:hAnsiTheme="majorHAnsi" w:cstheme="majorHAnsi"/>
          <w:i/>
          <w:sz w:val="22"/>
          <w:szCs w:val="22"/>
        </w:rPr>
        <w:t>)</w:t>
      </w:r>
      <w:r w:rsidRPr="009112E3">
        <w:rPr>
          <w:rFonts w:asciiTheme="majorHAnsi" w:hAnsiTheme="majorHAnsi" w:cstheme="majorHAnsi"/>
          <w:sz w:val="22"/>
          <w:szCs w:val="22"/>
        </w:rPr>
        <w:t xml:space="preserve"> [2019] HCA 30.</w:t>
      </w:r>
    </w:p>
  </w:footnote>
  <w:footnote w:id="19">
    <w:p w:rsidR="008B5DD4" w:rsidRPr="009112E3" w:rsidRDefault="008B5DD4" w:rsidP="001E6453">
      <w:pPr>
        <w:pStyle w:val="FootnoteText"/>
        <w:rPr>
          <w:rFonts w:asciiTheme="majorHAnsi" w:hAnsiTheme="majorHAnsi" w:cstheme="majorHAnsi"/>
          <w:sz w:val="22"/>
          <w:szCs w:val="22"/>
        </w:rPr>
      </w:pPr>
      <w:r w:rsidRPr="009112E3">
        <w:rPr>
          <w:rStyle w:val="FootnoteReference"/>
          <w:rFonts w:asciiTheme="majorHAnsi" w:hAnsiTheme="majorHAnsi" w:cstheme="majorHAnsi"/>
          <w:sz w:val="22"/>
          <w:szCs w:val="22"/>
        </w:rPr>
        <w:footnoteRef/>
      </w:r>
      <w:r w:rsidRPr="009112E3">
        <w:rPr>
          <w:rFonts w:asciiTheme="majorHAnsi" w:hAnsiTheme="majorHAnsi" w:cstheme="majorHAnsi"/>
          <w:sz w:val="22"/>
          <w:szCs w:val="22"/>
        </w:rPr>
        <w:t xml:space="preserve"> </w:t>
      </w:r>
      <w:r w:rsidR="00056C6D" w:rsidRPr="009112E3">
        <w:rPr>
          <w:rFonts w:asciiTheme="majorHAnsi" w:hAnsiTheme="majorHAnsi" w:cstheme="majorHAnsi"/>
          <w:sz w:val="22"/>
          <w:szCs w:val="22"/>
        </w:rPr>
        <w:t>Brereton Report n1, Chapter 1.01 at [76].</w:t>
      </w:r>
    </w:p>
  </w:footnote>
  <w:footnote w:id="20">
    <w:p w:rsidR="008B5DD4" w:rsidRPr="009112E3" w:rsidRDefault="008B5DD4" w:rsidP="00425AC6">
      <w:pPr>
        <w:pStyle w:val="FootnoteText"/>
        <w:spacing w:after="120" w:line="200" w:lineRule="exact"/>
        <w:rPr>
          <w:rFonts w:asciiTheme="majorHAnsi" w:hAnsiTheme="majorHAnsi" w:cstheme="majorHAnsi"/>
          <w:sz w:val="22"/>
          <w:szCs w:val="22"/>
        </w:rPr>
      </w:pPr>
      <w:r w:rsidRPr="009112E3">
        <w:rPr>
          <w:rStyle w:val="FootnoteReference"/>
          <w:rFonts w:asciiTheme="majorHAnsi" w:hAnsiTheme="majorHAnsi" w:cstheme="majorHAnsi"/>
          <w:sz w:val="22"/>
          <w:szCs w:val="22"/>
        </w:rPr>
        <w:footnoteRef/>
      </w:r>
      <w:r w:rsidRPr="009112E3">
        <w:rPr>
          <w:rFonts w:asciiTheme="majorHAnsi" w:hAnsiTheme="majorHAnsi" w:cstheme="majorHAnsi"/>
          <w:sz w:val="22"/>
          <w:szCs w:val="22"/>
        </w:rPr>
        <w:t xml:space="preserve"> "Defence Response: Afghan Inquiry Reform Plan" </w:t>
      </w:r>
      <w:hyperlink w:history="1"/>
      <w:r w:rsidRPr="009112E3">
        <w:rPr>
          <w:rFonts w:asciiTheme="majorHAnsi" w:hAnsiTheme="majorHAnsi" w:cstheme="majorHAnsi"/>
          <w:sz w:val="22"/>
          <w:szCs w:val="22"/>
        </w:rPr>
        <w:t>(February 2022)</w:t>
      </w:r>
      <w:r w:rsidR="00E93E56">
        <w:rPr>
          <w:rFonts w:asciiTheme="majorHAnsi" w:hAnsiTheme="majorHAnsi" w:cstheme="majorHAnsi"/>
          <w:sz w:val="22"/>
          <w:szCs w:val="22"/>
        </w:rPr>
        <w:t>,</w:t>
      </w:r>
      <w:r w:rsidRPr="009112E3">
        <w:rPr>
          <w:rFonts w:asciiTheme="majorHAnsi" w:hAnsiTheme="majorHAnsi" w:cstheme="majorHAnsi"/>
          <w:sz w:val="22"/>
          <w:szCs w:val="22"/>
        </w:rPr>
        <w:t xml:space="preserve"> Inspector-General of the Australian Defence Force Afghanistan Inquiry, </w:t>
      </w:r>
      <w:hyperlink r:id="rId8" w:history="1">
        <w:r w:rsidRPr="009112E3">
          <w:rPr>
            <w:rStyle w:val="Hyperlink"/>
            <w:rFonts w:asciiTheme="majorHAnsi" w:hAnsiTheme="majorHAnsi" w:cstheme="majorHAnsi"/>
            <w:sz w:val="22"/>
            <w:szCs w:val="22"/>
          </w:rPr>
          <w:t>http://afghanistaninquiry.defence.gov.au</w:t>
        </w:r>
      </w:hyperlink>
      <w:r w:rsidRPr="009112E3">
        <w:rPr>
          <w:rFonts w:asciiTheme="majorHAnsi" w:hAnsiTheme="majorHAnsi" w:cstheme="majorHAnsi"/>
          <w:sz w:val="22"/>
          <w:szCs w:val="22"/>
        </w:rPr>
        <w:t>.</w:t>
      </w:r>
    </w:p>
  </w:footnote>
  <w:footnote w:id="21">
    <w:p w:rsidR="008B5DD4" w:rsidRPr="009112E3" w:rsidRDefault="008B5DD4" w:rsidP="00425AC6">
      <w:pPr>
        <w:pStyle w:val="FootnoteText"/>
        <w:tabs>
          <w:tab w:val="left" w:pos="1790"/>
        </w:tabs>
        <w:rPr>
          <w:rFonts w:asciiTheme="majorHAnsi" w:hAnsiTheme="majorHAnsi" w:cstheme="majorHAnsi"/>
          <w:sz w:val="22"/>
          <w:szCs w:val="22"/>
        </w:rPr>
      </w:pPr>
      <w:r w:rsidRPr="009112E3">
        <w:rPr>
          <w:rStyle w:val="FootnoteReference"/>
          <w:rFonts w:asciiTheme="majorHAnsi" w:hAnsiTheme="majorHAnsi" w:cstheme="majorHAnsi"/>
          <w:sz w:val="22"/>
          <w:szCs w:val="22"/>
        </w:rPr>
        <w:footnoteRef/>
      </w:r>
      <w:r w:rsidRPr="009112E3">
        <w:rPr>
          <w:rFonts w:asciiTheme="majorHAnsi" w:hAnsiTheme="majorHAnsi" w:cstheme="majorHAnsi"/>
          <w:sz w:val="22"/>
          <w:szCs w:val="22"/>
        </w:rPr>
        <w:t xml:space="preserve"> G. Fernando, “Scott Morrison Condemns Alleged War Crimes in Afghanistan as ‘Disturbing and Distressing’”, </w:t>
      </w:r>
      <w:r w:rsidRPr="00E93E56">
        <w:rPr>
          <w:rFonts w:asciiTheme="majorHAnsi" w:hAnsiTheme="majorHAnsi" w:cstheme="majorHAnsi"/>
          <w:i/>
          <w:sz w:val="22"/>
          <w:szCs w:val="22"/>
        </w:rPr>
        <w:t>SBS online</w:t>
      </w:r>
      <w:r w:rsidRPr="009112E3">
        <w:rPr>
          <w:rFonts w:asciiTheme="majorHAnsi" w:hAnsiTheme="majorHAnsi" w:cstheme="majorHAnsi"/>
          <w:sz w:val="22"/>
          <w:szCs w:val="22"/>
        </w:rPr>
        <w:t xml:space="preserve"> (21 November 2020); Human Rights Watch, “Australia: Ensure Justice for Alleged War Crimes” (8 December 2020). </w:t>
      </w:r>
    </w:p>
  </w:footnote>
  <w:footnote w:id="22">
    <w:p w:rsidR="008B5DD4" w:rsidRPr="009112E3" w:rsidRDefault="008B5DD4">
      <w:pPr>
        <w:pStyle w:val="FootnoteText"/>
        <w:rPr>
          <w:rFonts w:asciiTheme="majorHAnsi" w:hAnsiTheme="majorHAnsi" w:cstheme="majorHAnsi"/>
          <w:sz w:val="22"/>
          <w:szCs w:val="22"/>
        </w:rPr>
      </w:pPr>
      <w:r w:rsidRPr="009112E3">
        <w:rPr>
          <w:rStyle w:val="FootnoteReference"/>
          <w:rFonts w:asciiTheme="majorHAnsi" w:hAnsiTheme="majorHAnsi" w:cstheme="majorHAnsi"/>
          <w:sz w:val="22"/>
          <w:szCs w:val="22"/>
        </w:rPr>
        <w:footnoteRef/>
      </w:r>
      <w:r w:rsidRPr="009112E3">
        <w:rPr>
          <w:rFonts w:asciiTheme="majorHAnsi" w:hAnsiTheme="majorHAnsi" w:cstheme="majorHAnsi"/>
          <w:sz w:val="22"/>
          <w:szCs w:val="22"/>
        </w:rPr>
        <w:t xml:space="preserve"> D. Hurst, “Australia Looking to Compensate Afghanistan War Crime Victims’ Families”, </w:t>
      </w:r>
      <w:r w:rsidRPr="009112E3">
        <w:rPr>
          <w:rFonts w:asciiTheme="majorHAnsi" w:hAnsiTheme="majorHAnsi" w:cstheme="majorHAnsi"/>
          <w:i/>
          <w:sz w:val="22"/>
          <w:szCs w:val="22"/>
        </w:rPr>
        <w:t>The Guardian online</w:t>
      </w:r>
      <w:r w:rsidRPr="009112E3">
        <w:rPr>
          <w:rFonts w:asciiTheme="majorHAnsi" w:hAnsiTheme="majorHAnsi" w:cstheme="majorHAnsi"/>
          <w:sz w:val="22"/>
          <w:szCs w:val="22"/>
        </w:rPr>
        <w:t xml:space="preserve"> (4 December 2022).</w:t>
      </w:r>
    </w:p>
  </w:footnote>
  <w:footnote w:id="23">
    <w:p w:rsidR="008B5DD4" w:rsidRPr="009112E3" w:rsidRDefault="008B5DD4" w:rsidP="00E51473">
      <w:pPr>
        <w:pStyle w:val="FootnoteText"/>
        <w:rPr>
          <w:rFonts w:asciiTheme="majorHAnsi" w:hAnsiTheme="majorHAnsi"/>
          <w:sz w:val="22"/>
          <w:szCs w:val="22"/>
        </w:rPr>
      </w:pPr>
      <w:r w:rsidRPr="009112E3">
        <w:rPr>
          <w:rStyle w:val="FootnoteReference"/>
          <w:rFonts w:asciiTheme="majorHAnsi" w:hAnsiTheme="majorHAnsi"/>
          <w:sz w:val="22"/>
          <w:szCs w:val="22"/>
        </w:rPr>
        <w:footnoteRef/>
      </w:r>
      <w:r w:rsidRPr="009112E3">
        <w:rPr>
          <w:rFonts w:asciiTheme="majorHAnsi" w:hAnsiTheme="majorHAnsi"/>
          <w:sz w:val="22"/>
          <w:szCs w:val="22"/>
        </w:rPr>
        <w:t xml:space="preserve"> </w:t>
      </w:r>
      <w:r w:rsidRPr="009112E3">
        <w:rPr>
          <w:rFonts w:asciiTheme="majorHAnsi" w:hAnsiTheme="majorHAnsi"/>
          <w:i/>
          <w:iCs/>
          <w:color w:val="000000"/>
          <w:sz w:val="22"/>
          <w:szCs w:val="22"/>
        </w:rPr>
        <w:t>Basic Principles and Guidelines on the Right to a Remedy and Reparation for Victims of Gross Violations of International Human Rights Law and Serious Violations of International Humanitarian Law</w:t>
      </w:r>
      <w:r w:rsidRPr="009112E3">
        <w:rPr>
          <w:rStyle w:val="s68f5eaef"/>
          <w:rFonts w:asciiTheme="majorHAnsi" w:hAnsiTheme="majorHAnsi" w:cstheme="majorHAnsi"/>
          <w:color w:val="000000"/>
          <w:sz w:val="22"/>
          <w:szCs w:val="22"/>
        </w:rPr>
        <w:t>, adopted by United Nations General Assembly Resolution 60/147 of 16 December 2005 (A/RES/60/147).</w:t>
      </w:r>
    </w:p>
  </w:footnote>
  <w:footnote w:id="24">
    <w:p w:rsidR="00A61E91" w:rsidRPr="00A61E91" w:rsidRDefault="00A61E91">
      <w:pPr>
        <w:pStyle w:val="FootnoteText"/>
        <w:rPr>
          <w:rFonts w:asciiTheme="majorHAnsi" w:hAnsiTheme="majorHAnsi" w:cstheme="majorHAnsi"/>
          <w:sz w:val="22"/>
          <w:szCs w:val="22"/>
        </w:rPr>
      </w:pPr>
      <w:r w:rsidRPr="00A61E91">
        <w:rPr>
          <w:rStyle w:val="FootnoteReference"/>
          <w:rFonts w:asciiTheme="majorHAnsi" w:hAnsiTheme="majorHAnsi" w:cstheme="majorHAnsi"/>
          <w:sz w:val="22"/>
          <w:szCs w:val="22"/>
        </w:rPr>
        <w:footnoteRef/>
      </w:r>
      <w:r w:rsidRPr="00A61E91">
        <w:rPr>
          <w:rFonts w:asciiTheme="majorHAnsi" w:hAnsiTheme="majorHAnsi" w:cstheme="majorHAnsi"/>
          <w:sz w:val="22"/>
          <w:szCs w:val="22"/>
        </w:rPr>
        <w:t xml:space="preserve"> See Department of Defence </w:t>
      </w:r>
      <w:r w:rsidRPr="00A61E91">
        <w:rPr>
          <w:rFonts w:asciiTheme="majorHAnsi" w:hAnsiTheme="majorHAnsi" w:cstheme="majorHAnsi"/>
          <w:i/>
          <w:iCs/>
          <w:sz w:val="22"/>
          <w:szCs w:val="22"/>
        </w:rPr>
        <w:t>Afghanistan Inquiry Reform Plan: Delivering the Defence Response to the IGADF Afghanistan Inquiry</w:t>
      </w:r>
      <w:r w:rsidRPr="00A61E91">
        <w:rPr>
          <w:rFonts w:asciiTheme="majorHAnsi" w:hAnsiTheme="majorHAnsi" w:cstheme="majorHAnsi"/>
          <w:sz w:val="22"/>
          <w:szCs w:val="22"/>
        </w:rPr>
        <w:t xml:space="preserve"> (Australian Government, 30 July 2021) [</w:t>
      </w:r>
      <w:r w:rsidRPr="00A61E91">
        <w:rPr>
          <w:rFonts w:asciiTheme="majorHAnsi" w:hAnsiTheme="majorHAnsi" w:cstheme="majorHAnsi"/>
          <w:i/>
          <w:iCs/>
          <w:sz w:val="22"/>
          <w:szCs w:val="22"/>
        </w:rPr>
        <w:t>Afghanistan Inquiry Reform Plan</w:t>
      </w:r>
      <w:r w:rsidRPr="00A61E91">
        <w:rPr>
          <w:rFonts w:asciiTheme="majorHAnsi" w:hAnsiTheme="majorHAnsi" w:cstheme="majorHAnsi"/>
          <w:sz w:val="22"/>
          <w:szCs w:val="22"/>
        </w:rPr>
        <w:t>], 2</w:t>
      </w:r>
      <w:r>
        <w:rPr>
          <w:rFonts w:asciiTheme="majorHAnsi" w:hAnsiTheme="majorHAnsi" w:cstheme="majorHAnsi"/>
          <w:sz w:val="22"/>
          <w:szCs w:val="22"/>
        </w:rPr>
        <w:t xml:space="preserve">. Also </w:t>
      </w:r>
      <w:r w:rsidR="00D37320">
        <w:rPr>
          <w:rFonts w:asciiTheme="majorHAnsi" w:hAnsiTheme="majorHAnsi" w:cstheme="majorHAnsi"/>
          <w:sz w:val="22"/>
          <w:szCs w:val="22"/>
        </w:rPr>
        <w:t xml:space="preserve">D. Hurst, “Australian Government Misses Compensation Deadline for Victims of Alleged War Crimes”, </w:t>
      </w:r>
      <w:r w:rsidR="00D37320" w:rsidRPr="00D37320">
        <w:rPr>
          <w:rFonts w:asciiTheme="majorHAnsi" w:hAnsiTheme="majorHAnsi" w:cstheme="majorHAnsi"/>
          <w:i/>
          <w:sz w:val="22"/>
          <w:szCs w:val="22"/>
        </w:rPr>
        <w:t>The Guardian online</w:t>
      </w:r>
      <w:r w:rsidR="00D37320">
        <w:rPr>
          <w:rFonts w:asciiTheme="majorHAnsi" w:hAnsiTheme="majorHAnsi" w:cstheme="majorHAnsi"/>
          <w:sz w:val="22"/>
          <w:szCs w:val="22"/>
        </w:rPr>
        <w:t xml:space="preserve"> (23 April 2022), </w:t>
      </w:r>
      <w:hyperlink r:id="rId9" w:history="1">
        <w:r w:rsidR="00D37320" w:rsidRPr="00AD4C0E">
          <w:rPr>
            <w:rStyle w:val="Hyperlink"/>
            <w:rFonts w:asciiTheme="majorHAnsi" w:hAnsiTheme="majorHAnsi" w:cstheme="majorHAnsi"/>
            <w:sz w:val="22"/>
            <w:szCs w:val="22"/>
          </w:rPr>
          <w:t>https://www.theguardian.com/australia-news/2022/apr/24/australian-government-misses-compensation-deadline-for-victims-of-alleged-war-crimes</w:t>
        </w:r>
      </w:hyperlink>
      <w:r w:rsidR="00D37320">
        <w:rPr>
          <w:rFonts w:asciiTheme="majorHAnsi" w:hAnsiTheme="majorHAnsi" w:cstheme="majorHAnsi"/>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0F23"/>
    <w:multiLevelType w:val="hybridMultilevel"/>
    <w:tmpl w:val="AC360214"/>
    <w:lvl w:ilvl="0" w:tplc="F168D9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8303F"/>
    <w:multiLevelType w:val="hybridMultilevel"/>
    <w:tmpl w:val="4934DC4C"/>
    <w:lvl w:ilvl="0" w:tplc="26EE02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B3D80"/>
    <w:multiLevelType w:val="hybridMultilevel"/>
    <w:tmpl w:val="71B0E9D0"/>
    <w:lvl w:ilvl="0" w:tplc="632AD4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D0647"/>
    <w:multiLevelType w:val="hybridMultilevel"/>
    <w:tmpl w:val="9E7C6830"/>
    <w:lvl w:ilvl="0" w:tplc="A4A023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E1BEA"/>
    <w:multiLevelType w:val="multilevel"/>
    <w:tmpl w:val="22821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B80721"/>
    <w:multiLevelType w:val="hybridMultilevel"/>
    <w:tmpl w:val="9560EB68"/>
    <w:lvl w:ilvl="0" w:tplc="A210BC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81"/>
    <w:rsid w:val="00012477"/>
    <w:rsid w:val="000153E1"/>
    <w:rsid w:val="00056C6D"/>
    <w:rsid w:val="00070529"/>
    <w:rsid w:val="0008279D"/>
    <w:rsid w:val="000A5EBD"/>
    <w:rsid w:val="000F6E24"/>
    <w:rsid w:val="00102F24"/>
    <w:rsid w:val="001058DA"/>
    <w:rsid w:val="001069D7"/>
    <w:rsid w:val="00126BFE"/>
    <w:rsid w:val="00152590"/>
    <w:rsid w:val="0017531D"/>
    <w:rsid w:val="0018435B"/>
    <w:rsid w:val="001874A2"/>
    <w:rsid w:val="00196732"/>
    <w:rsid w:val="0019747A"/>
    <w:rsid w:val="001A021F"/>
    <w:rsid w:val="001A5FB6"/>
    <w:rsid w:val="001B378B"/>
    <w:rsid w:val="001E6453"/>
    <w:rsid w:val="001F17EE"/>
    <w:rsid w:val="00200A24"/>
    <w:rsid w:val="002466D5"/>
    <w:rsid w:val="002A28F7"/>
    <w:rsid w:val="002A6E64"/>
    <w:rsid w:val="002B7873"/>
    <w:rsid w:val="00307946"/>
    <w:rsid w:val="0031562E"/>
    <w:rsid w:val="00315871"/>
    <w:rsid w:val="00321E91"/>
    <w:rsid w:val="003B797C"/>
    <w:rsid w:val="003E4CFD"/>
    <w:rsid w:val="003E5660"/>
    <w:rsid w:val="00406975"/>
    <w:rsid w:val="00411DA7"/>
    <w:rsid w:val="00424393"/>
    <w:rsid w:val="00425AC6"/>
    <w:rsid w:val="004325C8"/>
    <w:rsid w:val="00455C6E"/>
    <w:rsid w:val="00475C69"/>
    <w:rsid w:val="00482EA6"/>
    <w:rsid w:val="0048798C"/>
    <w:rsid w:val="00494D0B"/>
    <w:rsid w:val="004A4F88"/>
    <w:rsid w:val="004B48A4"/>
    <w:rsid w:val="004D49FB"/>
    <w:rsid w:val="004E1F41"/>
    <w:rsid w:val="004E5498"/>
    <w:rsid w:val="004F2EB0"/>
    <w:rsid w:val="004F67BA"/>
    <w:rsid w:val="00522C81"/>
    <w:rsid w:val="0052558F"/>
    <w:rsid w:val="00533579"/>
    <w:rsid w:val="0058348F"/>
    <w:rsid w:val="005A1A98"/>
    <w:rsid w:val="005B17EF"/>
    <w:rsid w:val="005B6EBB"/>
    <w:rsid w:val="005E5FE8"/>
    <w:rsid w:val="005F20ED"/>
    <w:rsid w:val="005F46FB"/>
    <w:rsid w:val="006232F4"/>
    <w:rsid w:val="00623482"/>
    <w:rsid w:val="00624E17"/>
    <w:rsid w:val="00684AF2"/>
    <w:rsid w:val="006A2553"/>
    <w:rsid w:val="006B1B90"/>
    <w:rsid w:val="006B2C5F"/>
    <w:rsid w:val="006C4AAB"/>
    <w:rsid w:val="006D53CE"/>
    <w:rsid w:val="006E18B1"/>
    <w:rsid w:val="006F5028"/>
    <w:rsid w:val="007121A3"/>
    <w:rsid w:val="00713CA7"/>
    <w:rsid w:val="00714082"/>
    <w:rsid w:val="007217DE"/>
    <w:rsid w:val="00721CB2"/>
    <w:rsid w:val="0072257C"/>
    <w:rsid w:val="00730FB0"/>
    <w:rsid w:val="007556C5"/>
    <w:rsid w:val="00777B7C"/>
    <w:rsid w:val="00780FD1"/>
    <w:rsid w:val="00794E81"/>
    <w:rsid w:val="007A12BF"/>
    <w:rsid w:val="007A6B27"/>
    <w:rsid w:val="007C7B43"/>
    <w:rsid w:val="007D163C"/>
    <w:rsid w:val="007D741F"/>
    <w:rsid w:val="0081204A"/>
    <w:rsid w:val="00830F4F"/>
    <w:rsid w:val="008326B7"/>
    <w:rsid w:val="00841375"/>
    <w:rsid w:val="00856C41"/>
    <w:rsid w:val="00864C34"/>
    <w:rsid w:val="008844B7"/>
    <w:rsid w:val="008B2BF6"/>
    <w:rsid w:val="008B30F1"/>
    <w:rsid w:val="008B5DD4"/>
    <w:rsid w:val="008B62D6"/>
    <w:rsid w:val="008C362E"/>
    <w:rsid w:val="008C5C0D"/>
    <w:rsid w:val="008E708E"/>
    <w:rsid w:val="008F7EA4"/>
    <w:rsid w:val="00906EC6"/>
    <w:rsid w:val="009112E3"/>
    <w:rsid w:val="009164C3"/>
    <w:rsid w:val="009304E4"/>
    <w:rsid w:val="009319E6"/>
    <w:rsid w:val="0093721B"/>
    <w:rsid w:val="00946634"/>
    <w:rsid w:val="0097555B"/>
    <w:rsid w:val="009C52A4"/>
    <w:rsid w:val="009D28E5"/>
    <w:rsid w:val="009F4F3C"/>
    <w:rsid w:val="00A44527"/>
    <w:rsid w:val="00A46FEE"/>
    <w:rsid w:val="00A51771"/>
    <w:rsid w:val="00A5405A"/>
    <w:rsid w:val="00A61E91"/>
    <w:rsid w:val="00A771E5"/>
    <w:rsid w:val="00A91C84"/>
    <w:rsid w:val="00A9335D"/>
    <w:rsid w:val="00A93B0E"/>
    <w:rsid w:val="00AA4EE5"/>
    <w:rsid w:val="00AB11EF"/>
    <w:rsid w:val="00AB2AB3"/>
    <w:rsid w:val="00AB3D99"/>
    <w:rsid w:val="00AD10C4"/>
    <w:rsid w:val="00AD2C29"/>
    <w:rsid w:val="00AE51A5"/>
    <w:rsid w:val="00B26A22"/>
    <w:rsid w:val="00B35B01"/>
    <w:rsid w:val="00B36FA2"/>
    <w:rsid w:val="00B6390C"/>
    <w:rsid w:val="00B755DB"/>
    <w:rsid w:val="00B81117"/>
    <w:rsid w:val="00B90E4F"/>
    <w:rsid w:val="00BC1FB8"/>
    <w:rsid w:val="00BC7593"/>
    <w:rsid w:val="00BD242C"/>
    <w:rsid w:val="00BE0869"/>
    <w:rsid w:val="00BE6D0B"/>
    <w:rsid w:val="00BF2506"/>
    <w:rsid w:val="00BF5923"/>
    <w:rsid w:val="00C06443"/>
    <w:rsid w:val="00C34AEF"/>
    <w:rsid w:val="00C5134E"/>
    <w:rsid w:val="00C55319"/>
    <w:rsid w:val="00C8695E"/>
    <w:rsid w:val="00C9733A"/>
    <w:rsid w:val="00CB106B"/>
    <w:rsid w:val="00CB48F8"/>
    <w:rsid w:val="00CB53E4"/>
    <w:rsid w:val="00CF1CB8"/>
    <w:rsid w:val="00D232FE"/>
    <w:rsid w:val="00D34800"/>
    <w:rsid w:val="00D37320"/>
    <w:rsid w:val="00D41E6A"/>
    <w:rsid w:val="00D527D3"/>
    <w:rsid w:val="00D55646"/>
    <w:rsid w:val="00D63A1E"/>
    <w:rsid w:val="00D67C58"/>
    <w:rsid w:val="00D9131D"/>
    <w:rsid w:val="00DA2801"/>
    <w:rsid w:val="00DB2FAA"/>
    <w:rsid w:val="00DB400F"/>
    <w:rsid w:val="00DC237C"/>
    <w:rsid w:val="00E018ED"/>
    <w:rsid w:val="00E42911"/>
    <w:rsid w:val="00E51473"/>
    <w:rsid w:val="00E63CD2"/>
    <w:rsid w:val="00E82E1D"/>
    <w:rsid w:val="00E93E56"/>
    <w:rsid w:val="00EB1F58"/>
    <w:rsid w:val="00EB5771"/>
    <w:rsid w:val="00EB5805"/>
    <w:rsid w:val="00ED4699"/>
    <w:rsid w:val="00EE0D3E"/>
    <w:rsid w:val="00F00D91"/>
    <w:rsid w:val="00F169ED"/>
    <w:rsid w:val="00F33A9E"/>
    <w:rsid w:val="00F417B2"/>
    <w:rsid w:val="00F47860"/>
    <w:rsid w:val="00F479EC"/>
    <w:rsid w:val="00F631EB"/>
    <w:rsid w:val="00F6738A"/>
    <w:rsid w:val="00F943C1"/>
    <w:rsid w:val="00F955EF"/>
    <w:rsid w:val="00FA4156"/>
    <w:rsid w:val="00FE685B"/>
    <w:rsid w:val="00FF6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62964"/>
  <w15:chartTrackingRefBased/>
  <w15:docId w15:val="{83BFB060-F8FC-48B4-8EE2-0E4F3235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E81"/>
  </w:style>
  <w:style w:type="paragraph" w:styleId="Heading1">
    <w:name w:val="heading 1"/>
    <w:basedOn w:val="Normal"/>
    <w:link w:val="Heading1Char"/>
    <w:uiPriority w:val="9"/>
    <w:qFormat/>
    <w:rsid w:val="00730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E81"/>
    <w:pPr>
      <w:spacing w:line="252" w:lineRule="auto"/>
      <w:ind w:left="720"/>
      <w:contextualSpacing/>
      <w:jc w:val="both"/>
    </w:pPr>
    <w:rPr>
      <w:rFonts w:eastAsiaTheme="minorEastAsia"/>
      <w:lang w:val="en-AU"/>
    </w:rPr>
  </w:style>
  <w:style w:type="paragraph" w:customStyle="1" w:styleId="css-38z03z">
    <w:name w:val="css-38z03z"/>
    <w:basedOn w:val="Normal"/>
    <w:rsid w:val="00794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4E81"/>
    <w:rPr>
      <w:color w:val="0000FF"/>
      <w:u w:val="single"/>
    </w:rPr>
  </w:style>
  <w:style w:type="character" w:styleId="Emphasis">
    <w:name w:val="Emphasis"/>
    <w:basedOn w:val="DefaultParagraphFont"/>
    <w:uiPriority w:val="20"/>
    <w:qFormat/>
    <w:rsid w:val="00794E81"/>
    <w:rPr>
      <w:i/>
      <w:iCs/>
    </w:rPr>
  </w:style>
  <w:style w:type="paragraph" w:styleId="FootnoteText">
    <w:name w:val="footnote text"/>
    <w:basedOn w:val="Normal"/>
    <w:link w:val="FootnoteTextChar"/>
    <w:uiPriority w:val="99"/>
    <w:semiHidden/>
    <w:unhideWhenUsed/>
    <w:rsid w:val="004069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975"/>
    <w:rPr>
      <w:sz w:val="20"/>
      <w:szCs w:val="20"/>
    </w:rPr>
  </w:style>
  <w:style w:type="character" w:styleId="FootnoteReference">
    <w:name w:val="footnote reference"/>
    <w:basedOn w:val="DefaultParagraphFont"/>
    <w:uiPriority w:val="99"/>
    <w:semiHidden/>
    <w:unhideWhenUsed/>
    <w:rsid w:val="00406975"/>
    <w:rPr>
      <w:vertAlign w:val="superscript"/>
    </w:rPr>
  </w:style>
  <w:style w:type="character" w:styleId="UnresolvedMention">
    <w:name w:val="Unresolved Mention"/>
    <w:basedOn w:val="DefaultParagraphFont"/>
    <w:uiPriority w:val="99"/>
    <w:semiHidden/>
    <w:unhideWhenUsed/>
    <w:rsid w:val="009D28E5"/>
    <w:rPr>
      <w:color w:val="605E5C"/>
      <w:shd w:val="clear" w:color="auto" w:fill="E1DFDD"/>
    </w:rPr>
  </w:style>
  <w:style w:type="character" w:customStyle="1" w:styleId="Heading1Char">
    <w:name w:val="Heading 1 Char"/>
    <w:basedOn w:val="DefaultParagraphFont"/>
    <w:link w:val="Heading1"/>
    <w:uiPriority w:val="9"/>
    <w:rsid w:val="00730FB0"/>
    <w:rPr>
      <w:rFonts w:ascii="Times New Roman" w:eastAsia="Times New Roman" w:hAnsi="Times New Roman" w:cs="Times New Roman"/>
      <w:b/>
      <w:bCs/>
      <w:kern w:val="36"/>
      <w:sz w:val="48"/>
      <w:szCs w:val="48"/>
      <w:lang w:eastAsia="en-GB"/>
    </w:rPr>
  </w:style>
  <w:style w:type="character" w:customStyle="1" w:styleId="a">
    <w:name w:val="_"/>
    <w:basedOn w:val="DefaultParagraphFont"/>
    <w:rsid w:val="00DC237C"/>
  </w:style>
  <w:style w:type="character" w:customStyle="1" w:styleId="s68f5eaef">
    <w:name w:val="s68f5eaef"/>
    <w:basedOn w:val="DefaultParagraphFont"/>
    <w:rsid w:val="00CB106B"/>
  </w:style>
  <w:style w:type="character" w:customStyle="1" w:styleId="sbc73225d">
    <w:name w:val="sbc73225d"/>
    <w:basedOn w:val="DefaultParagraphFont"/>
    <w:rsid w:val="00CB106B"/>
  </w:style>
  <w:style w:type="paragraph" w:customStyle="1" w:styleId="sed0aeb9c">
    <w:name w:val="sed0aeb9c"/>
    <w:basedOn w:val="Normal"/>
    <w:rsid w:val="008B2B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899b3e47">
    <w:name w:val="s899b3e47"/>
    <w:basedOn w:val="Normal"/>
    <w:rsid w:val="008B2B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2477"/>
    <w:rPr>
      <w:color w:val="954F72" w:themeColor="followedHyperlink"/>
      <w:u w:val="single"/>
    </w:rPr>
  </w:style>
  <w:style w:type="paragraph" w:styleId="NormalWeb">
    <w:name w:val="Normal (Web)"/>
    <w:basedOn w:val="Normal"/>
    <w:uiPriority w:val="99"/>
    <w:unhideWhenUsed/>
    <w:rsid w:val="001874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5923"/>
    <w:rPr>
      <w:b/>
      <w:bCs/>
    </w:rPr>
  </w:style>
  <w:style w:type="paragraph" w:customStyle="1" w:styleId="FreeFormB">
    <w:name w:val="Free Form B"/>
    <w:rsid w:val="00E018ED"/>
    <w:rPr>
      <w:rFonts w:ascii="Times New Roman" w:eastAsia="ヒラギノ角ゴ Pro W3" w:hAnsi="Times New Roman" w:cs="Times New Roman"/>
      <w:color w:val="000000"/>
      <w:sz w:val="20"/>
      <w:szCs w:val="20"/>
      <w:lang w:val="en-AU" w:eastAsia="en-AU"/>
    </w:rPr>
  </w:style>
  <w:style w:type="paragraph" w:customStyle="1" w:styleId="FootnoteText3">
    <w:name w:val="Footnote Text3"/>
    <w:rsid w:val="00E018ED"/>
    <w:rPr>
      <w:rFonts w:ascii="Helvetica" w:eastAsia="ヒラギノ角ゴ Pro W3" w:hAnsi="Helvetica" w:cs="Times New Roman"/>
      <w:color w:val="000000"/>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4953">
      <w:bodyDiv w:val="1"/>
      <w:marLeft w:val="0"/>
      <w:marRight w:val="0"/>
      <w:marTop w:val="0"/>
      <w:marBottom w:val="0"/>
      <w:divBdr>
        <w:top w:val="none" w:sz="0" w:space="0" w:color="auto"/>
        <w:left w:val="none" w:sz="0" w:space="0" w:color="auto"/>
        <w:bottom w:val="none" w:sz="0" w:space="0" w:color="auto"/>
        <w:right w:val="none" w:sz="0" w:space="0" w:color="auto"/>
      </w:divBdr>
      <w:divsChild>
        <w:div w:id="1545749552">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427777445">
      <w:bodyDiv w:val="1"/>
      <w:marLeft w:val="0"/>
      <w:marRight w:val="0"/>
      <w:marTop w:val="0"/>
      <w:marBottom w:val="0"/>
      <w:divBdr>
        <w:top w:val="none" w:sz="0" w:space="0" w:color="auto"/>
        <w:left w:val="none" w:sz="0" w:space="0" w:color="auto"/>
        <w:bottom w:val="none" w:sz="0" w:space="0" w:color="auto"/>
        <w:right w:val="none" w:sz="0" w:space="0" w:color="auto"/>
      </w:divBdr>
    </w:div>
    <w:div w:id="548347514">
      <w:bodyDiv w:val="1"/>
      <w:marLeft w:val="0"/>
      <w:marRight w:val="0"/>
      <w:marTop w:val="0"/>
      <w:marBottom w:val="0"/>
      <w:divBdr>
        <w:top w:val="none" w:sz="0" w:space="0" w:color="auto"/>
        <w:left w:val="none" w:sz="0" w:space="0" w:color="auto"/>
        <w:bottom w:val="none" w:sz="0" w:space="0" w:color="auto"/>
        <w:right w:val="none" w:sz="0" w:space="0" w:color="auto"/>
      </w:divBdr>
    </w:div>
    <w:div w:id="943265756">
      <w:bodyDiv w:val="1"/>
      <w:marLeft w:val="0"/>
      <w:marRight w:val="0"/>
      <w:marTop w:val="0"/>
      <w:marBottom w:val="0"/>
      <w:divBdr>
        <w:top w:val="none" w:sz="0" w:space="0" w:color="auto"/>
        <w:left w:val="none" w:sz="0" w:space="0" w:color="auto"/>
        <w:bottom w:val="none" w:sz="0" w:space="0" w:color="auto"/>
        <w:right w:val="none" w:sz="0" w:space="0" w:color="auto"/>
      </w:divBdr>
      <w:divsChild>
        <w:div w:id="1547639867">
          <w:marLeft w:val="0"/>
          <w:marRight w:val="0"/>
          <w:marTop w:val="0"/>
          <w:marBottom w:val="0"/>
          <w:divBdr>
            <w:top w:val="none" w:sz="0" w:space="0" w:color="auto"/>
            <w:left w:val="none" w:sz="0" w:space="0" w:color="auto"/>
            <w:bottom w:val="none" w:sz="0" w:space="0" w:color="auto"/>
            <w:right w:val="none" w:sz="0" w:space="0" w:color="auto"/>
          </w:divBdr>
          <w:divsChild>
            <w:div w:id="174616239">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151416060">
          <w:marLeft w:val="0"/>
          <w:marRight w:val="0"/>
          <w:marTop w:val="0"/>
          <w:marBottom w:val="0"/>
          <w:divBdr>
            <w:top w:val="none" w:sz="0" w:space="0" w:color="auto"/>
            <w:left w:val="none" w:sz="0" w:space="0" w:color="auto"/>
            <w:bottom w:val="none" w:sz="0" w:space="0" w:color="auto"/>
            <w:right w:val="none" w:sz="0" w:space="0" w:color="auto"/>
          </w:divBdr>
          <w:divsChild>
            <w:div w:id="310404103">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 w:id="13287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edu.au/research/centre/law-and-social-justice/news-and-events/tab-news-and-events/past-recordings/compensation-owed-to-victims-of-alleged-australian-war-cri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fghanistaninquiry.defence.gov.au" TargetMode="External"/><Relationship Id="rId3" Type="http://schemas.openxmlformats.org/officeDocument/2006/relationships/hyperlink" Target="https://www.osi.gov.au/news-resources/former-australian-soldier-charged-war-crime." TargetMode="External"/><Relationship Id="rId7" Type="http://schemas.openxmlformats.org/officeDocument/2006/relationships/hyperlink" Target="http://www.rnz.co.nz" TargetMode="External"/><Relationship Id="rId2" Type="http://schemas.openxmlformats.org/officeDocument/2006/relationships/hyperlink" Target="https://www.defence.gov.au/sites/default/files/2021-10/IGADF-Afghanistan-Inquiry-Public-Release-Version.pdf" TargetMode="External"/><Relationship Id="rId1" Type="http://schemas.openxmlformats.org/officeDocument/2006/relationships/hyperlink" Target="mailto:a.fowler@westminster.ac.uk" TargetMode="External"/><Relationship Id="rId6" Type="http://schemas.openxmlformats.org/officeDocument/2006/relationships/hyperlink" Target="http://ilareporter.org.au/2021/06/australian-war-crimes-in-afghanistan-prosecutions-face-an-uncertain-road-ahead-alexandra-fowler/" TargetMode="External"/><Relationship Id="rId5" Type="http://schemas.openxmlformats.org/officeDocument/2006/relationships/hyperlink" Target="https://www.hrw.org/news/2023/03/22/first-australian-soldier-charged-over-alleged-war-crime-afghanistan" TargetMode="External"/><Relationship Id="rId4" Type="http://schemas.openxmlformats.org/officeDocument/2006/relationships/hyperlink" Target="https://www.theguardian.com/australia-news/2023/apr/11/defence-chief-flags-more-allegations-of-afghanistan-war-crimes-made-against-australian-soldiers" TargetMode="External"/><Relationship Id="rId9" Type="http://schemas.openxmlformats.org/officeDocument/2006/relationships/hyperlink" Target="https://www.theguardian.com/australia-news/2022/apr/24/australian-government-misses-compensation-deadline-for-victims-of-alleged-war-cr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B727-0A00-4F39-A9D3-7DD483C6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19297</TotalTime>
  <Pages>6</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Fowler</dc:creator>
  <cp:keywords/>
  <dc:description/>
  <cp:lastModifiedBy>Alexandra Fowler</cp:lastModifiedBy>
  <cp:revision>130</cp:revision>
  <dcterms:created xsi:type="dcterms:W3CDTF">2023-04-05T20:58:00Z</dcterms:created>
  <dcterms:modified xsi:type="dcterms:W3CDTF">2023-05-05T09:24:00Z</dcterms:modified>
</cp:coreProperties>
</file>