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C1177" w14:textId="74112B23" w:rsidR="00386C1A" w:rsidRPr="002265E1" w:rsidRDefault="00386C1A">
      <w:pPr>
        <w:rPr>
          <w:rFonts w:asciiTheme="majorHAnsi" w:eastAsia="Arial" w:hAnsiTheme="majorHAnsi" w:cstheme="majorHAnsi"/>
          <w:b/>
          <w:bCs/>
          <w:sz w:val="24"/>
          <w:szCs w:val="24"/>
        </w:rPr>
      </w:pPr>
      <w:r w:rsidRPr="002265E1">
        <w:rPr>
          <w:rFonts w:asciiTheme="majorHAnsi" w:eastAsia="Arial" w:hAnsiTheme="majorHAnsi" w:cstheme="majorHAnsi"/>
          <w:b/>
          <w:bCs/>
          <w:sz w:val="24"/>
          <w:szCs w:val="24"/>
        </w:rPr>
        <w:t>FemIDEAS Conference 2026</w:t>
      </w:r>
    </w:p>
    <w:p w14:paraId="5C46C2E4" w14:textId="77777777" w:rsidR="00386C1A" w:rsidRPr="002265E1" w:rsidRDefault="00386C1A" w:rsidP="00386C1A">
      <w:pPr>
        <w:rPr>
          <w:rFonts w:asciiTheme="majorHAnsi" w:eastAsia="Arial" w:hAnsiTheme="majorHAnsi" w:cstheme="majorHAnsi"/>
          <w:b/>
          <w:bCs/>
          <w:sz w:val="24"/>
          <w:szCs w:val="24"/>
        </w:rPr>
      </w:pPr>
      <w:r w:rsidRPr="002265E1">
        <w:rPr>
          <w:rFonts w:asciiTheme="majorHAnsi" w:eastAsia="Arial" w:hAnsiTheme="majorHAnsi" w:cstheme="majorHAnsi"/>
          <w:b/>
          <w:bCs/>
          <w:sz w:val="24"/>
          <w:szCs w:val="24"/>
        </w:rPr>
        <w:t>Q&amp;A with Caitlin Babcock, Assistant Director of Sexual Misconduct &amp; Student Conduct Investigator at The College of New Jersey (USA), about crafting non-punitive responses to SGBV</w:t>
      </w:r>
    </w:p>
    <w:p w14:paraId="35FA8DA1" w14:textId="067FC142" w:rsidR="00386C1A" w:rsidRPr="002265E1" w:rsidRDefault="00386C1A">
      <w:pPr>
        <w:rPr>
          <w:rFonts w:asciiTheme="majorHAnsi" w:eastAsia="Arial" w:hAnsiTheme="majorHAnsi" w:cstheme="majorHAnsi"/>
          <w:sz w:val="24"/>
          <w:szCs w:val="24"/>
        </w:rPr>
      </w:pPr>
    </w:p>
    <w:p w14:paraId="7D4D10AB" w14:textId="39866659" w:rsidR="00386C1A" w:rsidRPr="002265E1" w:rsidRDefault="00386C1A">
      <w:pPr>
        <w:rPr>
          <w:rFonts w:asciiTheme="majorHAnsi" w:hAnsiTheme="majorHAnsi" w:cstheme="majorHAnsi"/>
          <w:sz w:val="24"/>
          <w:szCs w:val="24"/>
        </w:rPr>
      </w:pPr>
      <w:r w:rsidRPr="002265E1">
        <w:rPr>
          <w:rFonts w:asciiTheme="majorHAnsi" w:eastAsia="Arial" w:hAnsiTheme="majorHAnsi" w:cstheme="majorHAnsi"/>
          <w:b/>
          <w:bCs/>
          <w:sz w:val="24"/>
          <w:szCs w:val="24"/>
        </w:rPr>
        <w:t>To cite this podcast:</w:t>
      </w:r>
      <w:r w:rsidR="002265E1" w:rsidRPr="002265E1">
        <w:rPr>
          <w:rFonts w:asciiTheme="majorHAnsi" w:eastAsia="Arial" w:hAnsiTheme="majorHAnsi" w:cstheme="majorHAnsi"/>
          <w:sz w:val="24"/>
          <w:szCs w:val="24"/>
        </w:rPr>
        <w:t xml:space="preserve"> </w:t>
      </w:r>
      <w:r w:rsidR="002265E1" w:rsidRPr="002265E1">
        <w:rPr>
          <w:rFonts w:asciiTheme="majorHAnsi" w:eastAsia="Arial" w:hAnsiTheme="majorHAnsi" w:cstheme="majorHAnsi"/>
          <w:sz w:val="24"/>
          <w:szCs w:val="24"/>
        </w:rPr>
        <w:t>Babcock, C., Dey, A. and Shannon, E.R. 2026. </w:t>
      </w:r>
      <w:r w:rsidR="002265E1" w:rsidRPr="002265E1">
        <w:rPr>
          <w:rFonts w:asciiTheme="majorHAnsi" w:eastAsia="Arial" w:hAnsiTheme="majorHAnsi" w:cstheme="majorHAnsi"/>
          <w:i/>
          <w:iCs/>
          <w:sz w:val="24"/>
          <w:szCs w:val="24"/>
        </w:rPr>
        <w:t>FemIDEAS Conference 2026: Q&amp;A with Caitlin Babcock about crafting non-punitive responses to SGBV.</w:t>
      </w:r>
      <w:r w:rsidR="002265E1" w:rsidRPr="002265E1">
        <w:rPr>
          <w:rFonts w:asciiTheme="majorHAnsi" w:eastAsia="Arial" w:hAnsiTheme="majorHAnsi" w:cstheme="majorHAnsi"/>
          <w:sz w:val="24"/>
          <w:szCs w:val="24"/>
        </w:rPr>
        <w:t> </w:t>
      </w:r>
      <w:r w:rsidR="002265E1">
        <w:rPr>
          <w:rFonts w:asciiTheme="majorHAnsi" w:eastAsia="Arial" w:hAnsiTheme="majorHAnsi" w:cstheme="majorHAnsi"/>
          <w:sz w:val="24"/>
          <w:szCs w:val="24"/>
        </w:rPr>
        <w:t xml:space="preserve">In </w:t>
      </w:r>
      <w:r w:rsidR="002265E1" w:rsidRPr="00DE6F92">
        <w:rPr>
          <w:rFonts w:asciiTheme="majorHAnsi" w:eastAsia="Arial" w:hAnsiTheme="majorHAnsi" w:cstheme="majorHAnsi"/>
          <w:i/>
          <w:iCs/>
          <w:sz w:val="24"/>
          <w:szCs w:val="24"/>
        </w:rPr>
        <w:t>Pedagogies for Social Justice.</w:t>
      </w:r>
      <w:r w:rsidR="002265E1">
        <w:rPr>
          <w:rFonts w:asciiTheme="majorHAnsi" w:eastAsia="Arial" w:hAnsiTheme="majorHAnsi" w:cstheme="majorHAnsi"/>
          <w:sz w:val="24"/>
          <w:szCs w:val="24"/>
        </w:rPr>
        <w:t xml:space="preserve"> University of Westminster. Available at: </w:t>
      </w:r>
      <w:hyperlink r:id="rId7">
        <w:r w:rsidR="002265E1" w:rsidRPr="002265E1">
          <w:rPr>
            <w:rFonts w:asciiTheme="majorHAnsi" w:hAnsiTheme="majorHAnsi" w:cstheme="majorHAnsi"/>
            <w:color w:val="0070C0"/>
            <w:sz w:val="24"/>
            <w:szCs w:val="24"/>
            <w:u w:val="single"/>
          </w:rPr>
          <w:t>https://pca.st/4zhlqxh9</w:t>
        </w:r>
      </w:hyperlink>
      <w:r w:rsidR="002265E1">
        <w:rPr>
          <w:rFonts w:asciiTheme="majorHAnsi" w:hAnsiTheme="majorHAnsi" w:cstheme="majorHAnsi"/>
          <w:color w:val="0070C0"/>
          <w:sz w:val="24"/>
          <w:szCs w:val="24"/>
          <w:u w:val="single"/>
        </w:rPr>
        <w:t xml:space="preserve"> </w:t>
      </w:r>
      <w:r w:rsidR="002265E1">
        <w:rPr>
          <w:rFonts w:asciiTheme="majorHAnsi" w:eastAsia="Arial" w:hAnsiTheme="majorHAnsi" w:cstheme="majorHAnsi"/>
          <w:sz w:val="24"/>
          <w:szCs w:val="24"/>
        </w:rPr>
        <w:t xml:space="preserve">DOI: </w:t>
      </w:r>
      <w:hyperlink r:id="rId8" w:history="1">
        <w:r w:rsidR="002265E1" w:rsidRPr="00BE49EA">
          <w:rPr>
            <w:rStyle w:val="Hyperlink"/>
            <w:rFonts w:asciiTheme="majorHAnsi" w:eastAsia="Arial" w:hAnsiTheme="majorHAnsi" w:cstheme="majorHAnsi"/>
            <w:sz w:val="24"/>
            <w:szCs w:val="24"/>
          </w:rPr>
          <w:t>https://doi.org/10.34737/x70q8</w:t>
        </w:r>
      </w:hyperlink>
      <w:r w:rsidR="002265E1">
        <w:rPr>
          <w:rFonts w:asciiTheme="majorHAnsi" w:eastAsia="Arial" w:hAnsiTheme="majorHAnsi" w:cstheme="majorHAnsi"/>
          <w:sz w:val="24"/>
          <w:szCs w:val="24"/>
        </w:rPr>
        <w:t xml:space="preserve"> </w:t>
      </w:r>
    </w:p>
    <w:p w14:paraId="7F376012" w14:textId="77777777" w:rsidR="00386C1A" w:rsidRDefault="00386C1A">
      <w:pPr>
        <w:rPr>
          <w:rFonts w:ascii="Arial" w:eastAsia="Arial" w:hAnsi="Arial" w:cs="Arial"/>
          <w:b/>
          <w:bCs/>
          <w:sz w:val="18"/>
          <w:szCs w:val="18"/>
        </w:rPr>
      </w:pPr>
    </w:p>
    <w:p w14:paraId="00000001" w14:textId="68181701" w:rsidR="003325D3" w:rsidRPr="00386C1A" w:rsidRDefault="00000000">
      <w:pPr>
        <w:rPr>
          <w:rFonts w:asciiTheme="majorHAnsi" w:eastAsia="Arial" w:hAnsiTheme="majorHAnsi" w:cstheme="majorHAnsi"/>
          <w:b/>
          <w:bCs/>
          <w:sz w:val="24"/>
          <w:szCs w:val="24"/>
        </w:rPr>
      </w:pPr>
      <w:r w:rsidRPr="00386C1A">
        <w:rPr>
          <w:rFonts w:asciiTheme="majorHAnsi" w:eastAsia="Arial" w:hAnsiTheme="majorHAnsi" w:cstheme="majorHAnsi"/>
          <w:b/>
          <w:bCs/>
          <w:sz w:val="24"/>
          <w:szCs w:val="24"/>
        </w:rPr>
        <w:t>Introduction:</w:t>
      </w:r>
    </w:p>
    <w:p w14:paraId="00000002"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Welcome back to the Pedagogies for Social Justice podcast. In this takeover series, we're sharing selected panel recordings from the international conference </w:t>
      </w:r>
      <w:r w:rsidRPr="00386C1A">
        <w:rPr>
          <w:rFonts w:asciiTheme="majorHAnsi" w:eastAsia="Arial" w:hAnsiTheme="majorHAnsi" w:cstheme="majorHAnsi"/>
          <w:i/>
          <w:iCs/>
          <w:sz w:val="24"/>
          <w:szCs w:val="24"/>
        </w:rPr>
        <w:t>Transforming Theory, Policy and Practice to Decolonising Sexual and Gender-Based Violence in Higher Education</w:t>
      </w:r>
      <w:r w:rsidRPr="00386C1A">
        <w:rPr>
          <w:rFonts w:asciiTheme="majorHAnsi" w:eastAsia="Arial" w:hAnsiTheme="majorHAnsi" w:cstheme="majorHAns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br/>
      </w:r>
      <w:r w:rsidRPr="00386C1A">
        <w:rPr>
          <w:rFonts w:asciiTheme="majorHAnsi" w:eastAsia="Arial" w:hAnsiTheme="majorHAnsi" w:cstheme="majorHAnsi"/>
          <w:b/>
          <w:bCs/>
          <w:sz w:val="24"/>
          <w:szCs w:val="24"/>
        </w:rPr>
        <w:t>Erin Shannon:</w:t>
      </w:r>
      <w:r w:rsidRPr="00386C1A">
        <w:rPr>
          <w:rFonts w:asciiTheme="majorHAnsi" w:eastAsia="Arial" w:hAnsiTheme="majorHAnsi" w:cstheme="majorHAnsi"/>
          <w:sz w:val="24"/>
          <w:szCs w:val="24"/>
        </w:rPr>
        <w:br/>
        <w:t>Hi everyone, this is Erin Shannon from FemIDEAS, here today with Caitlin Babcock to talk about The College of New Jersey’s Alternative Resolution Program for sexual violence, harassment, and misconduct. Caitlin is the Assistant Director of Sexual Misconduct at The College of New Jersey, otherwise known as TCNJ, in the United States. She assists in the intake and assessment of reports, coordinates support and resources, and guides students and employees through available institutional processes. Her work centres on ensuring that individuals are informed of their rights, options, and resources while navigating experiences of sexual violence. A central focus of her role is providing trauma-informed support to those impacted by sexual violence and assisting them in identifying pathways to accountability and resolution that align with their needs and goals. Today, she is going to be discussing TCNJ’s alternative resolution process, which is grounded in restorative practices and emphasises accountability, education, and healing. Thank you so much for being with us today, Caitlin.</w:t>
      </w:r>
    </w:p>
    <w:p w14:paraId="00000005" w14:textId="77777777" w:rsidR="003325D3" w:rsidRPr="00386C1A" w:rsidRDefault="00000000">
      <w:pPr>
        <w:rPr>
          <w:rFonts w:asciiTheme="majorHAnsi" w:eastAsia="Arial" w:hAnsiTheme="majorHAnsi" w:cstheme="majorHAnsi"/>
          <w:b/>
          <w:bCs/>
          <w:sz w:val="24"/>
          <w:szCs w:val="24"/>
        </w:rPr>
      </w:pPr>
      <w:r w:rsidRPr="00386C1A">
        <w:rPr>
          <w:rFonts w:asciiTheme="majorHAnsi" w:eastAsia="Arial" w:hAnsiTheme="majorHAnsi" w:cstheme="majorHAnsi"/>
          <w:sz w:val="24"/>
          <w:szCs w:val="24"/>
        </w:rPr>
        <w:br/>
      </w:r>
      <w:r w:rsidRPr="00386C1A">
        <w:rPr>
          <w:rFonts w:asciiTheme="majorHAnsi" w:eastAsia="Arial" w:hAnsiTheme="majorHAnsi" w:cstheme="majorHAnsi"/>
          <w:b/>
          <w:bCs/>
          <w:sz w:val="24"/>
          <w:szCs w:val="24"/>
        </w:rPr>
        <w:t>Caitlin Babcock:</w:t>
      </w:r>
    </w:p>
    <w:p w14:paraId="00000006"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Thank you for having me. Today, I am going to be doing a Q&amp;A, but I will first go through a few key points before we get to that portion. First and foremost, I had a great introduction, so I do not need to go through all of that again. But again, my name is Caitlin Babcock. I am the Assistant Director at the College of New Jersey in the United States. Specifically, we are </w:t>
      </w:r>
      <w:r w:rsidRPr="00386C1A">
        <w:rPr>
          <w:rFonts w:asciiTheme="majorHAnsi" w:eastAsia="Arial" w:hAnsiTheme="majorHAnsi" w:cstheme="majorHAnsi"/>
          <w:sz w:val="24"/>
          <w:szCs w:val="24"/>
        </w:rPr>
        <w:lastRenderedPageBreak/>
        <w:t xml:space="preserve">going to </w:t>
      </w:r>
      <w:proofErr w:type="gramStart"/>
      <w:r w:rsidRPr="00386C1A">
        <w:rPr>
          <w:rFonts w:asciiTheme="majorHAnsi" w:eastAsia="Arial" w:hAnsiTheme="majorHAnsi" w:cstheme="majorHAnsi"/>
          <w:sz w:val="24"/>
          <w:szCs w:val="24"/>
        </w:rPr>
        <w:t>discuss:</w:t>
      </w:r>
      <w:proofErr w:type="gramEnd"/>
      <w:r w:rsidRPr="00386C1A">
        <w:rPr>
          <w:rFonts w:asciiTheme="majorHAnsi" w:eastAsia="Arial" w:hAnsiTheme="majorHAnsi" w:cstheme="majorHAnsi"/>
          <w:sz w:val="24"/>
          <w:szCs w:val="24"/>
        </w:rPr>
        <w:t xml:space="preserve"> what restorative justice is, what the alternative resolution process at TCNJ looks like, some challenges we have faced, feedback we have received, lessons learned, and advice for implementation. So, first and foremost, what exactly is restorative justice? Restorative justice is a philosophical approach to wrongdoing that emphasises the reparation of harm, the healing of trauma, the reconciliation of interpersonal conflict, the reduction of social inequality, and the reintegration of people who have been marginalised or outcast.</w:t>
      </w:r>
    </w:p>
    <w:p w14:paraId="00000007"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A restorative justice (RJ) approach focuses on who has been harmed, what their needs are, and how the person who caused harm can meet those needs. RJ specifically aims to help an individual who has caused harm </w:t>
      </w:r>
      <w:proofErr w:type="gramStart"/>
      <w:r w:rsidRPr="00386C1A">
        <w:rPr>
          <w:rFonts w:asciiTheme="majorHAnsi" w:eastAsia="Arial" w:hAnsiTheme="majorHAnsi" w:cstheme="majorHAnsi"/>
          <w:sz w:val="24"/>
          <w:szCs w:val="24"/>
        </w:rPr>
        <w:t>understand</w:t>
      </w:r>
      <w:proofErr w:type="gramEnd"/>
      <w:r w:rsidRPr="00386C1A">
        <w:rPr>
          <w:rFonts w:asciiTheme="majorHAnsi" w:eastAsia="Arial" w:hAnsiTheme="majorHAnsi" w:cstheme="majorHAnsi"/>
          <w:sz w:val="24"/>
          <w:szCs w:val="24"/>
        </w:rPr>
        <w:t xml:space="preserve"> the impact of their actions and take responsibility for them. A helpful way I often describe RJ is as an opportunity for education rather than a purely punitive outcome, particularly within a college context. The creation of our Title IX alternative resolution process began in 2017. In the United States, there is a federal law called Title IX, which mandates that institutions receiving federal funding must respond to and address sex-based discrimination. This includes anything </w:t>
      </w:r>
      <w:proofErr w:type="gramStart"/>
      <w:r w:rsidRPr="00386C1A">
        <w:rPr>
          <w:rFonts w:asciiTheme="majorHAnsi" w:eastAsia="Arial" w:hAnsiTheme="majorHAnsi" w:cstheme="majorHAnsi"/>
          <w:sz w:val="24"/>
          <w:szCs w:val="24"/>
        </w:rPr>
        <w:t>on the basis of</w:t>
      </w:r>
      <w:proofErr w:type="gramEnd"/>
      <w:r w:rsidRPr="00386C1A">
        <w:rPr>
          <w:rFonts w:asciiTheme="majorHAnsi" w:eastAsia="Arial" w:hAnsiTheme="majorHAnsi" w:cstheme="majorHAnsi"/>
          <w:sz w:val="24"/>
          <w:szCs w:val="24"/>
        </w:rPr>
        <w:t xml:space="preserve"> sex, and sexual violence has become a major focus in recent years. By 2017, the college was addressing sexual violence on </w:t>
      </w:r>
      <w:proofErr w:type="gramStart"/>
      <w:r w:rsidRPr="00386C1A">
        <w:rPr>
          <w:rFonts w:asciiTheme="majorHAnsi" w:eastAsia="Arial" w:hAnsiTheme="majorHAnsi" w:cstheme="majorHAnsi"/>
          <w:sz w:val="24"/>
          <w:szCs w:val="24"/>
        </w:rPr>
        <w:t>campus, but</w:t>
      </w:r>
      <w:proofErr w:type="gramEnd"/>
      <w:r w:rsidRPr="00386C1A">
        <w:rPr>
          <w:rFonts w:asciiTheme="majorHAnsi" w:eastAsia="Arial" w:hAnsiTheme="majorHAnsi" w:cstheme="majorHAnsi"/>
          <w:sz w:val="24"/>
          <w:szCs w:val="24"/>
        </w:rPr>
        <w:t xml:space="preserve"> recognised a gap. Some students were saying that while punitive options existed, they preferred educational outcomes. They did not necessarily want someone removed from campus or prevented from continuing their education. That is where our alternative resolution process began, grounded in restorative practices. At the time, we had several concerns. One was that it might seem too informal, given the seriousness of sexual violence. Would an educational approach fail to convey the gravity of the issue? We also wanted to ensure that participation was not coerced, since meaningful education cannot happen under pressure. There were concerns about the risk of further victimisation, potential power imbalances between participants, and disparities in justice, particularly given that marginalised communities are often underrepresented in traditional justice systems. </w:t>
      </w:r>
    </w:p>
    <w:p w14:paraId="00000008"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At the same time, we recognised potential benefits. The process gives the reporting party—whom we call the reporter—choice and voice. It prioritises healing, allows for accountability beyond punishment, and incorporates education and prevention, with the aim of reducing the likelihood of harm recurring.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what is the alternative resolution process? It is a voluntary process within the college’s policy. It allows a respondent in a prohibited conduct case to accept responsibility for their behaviour and/or the harm caused. By fully participating, they are not formally charged with a policy violation, which reflects the non-punitive nature of the process. The process is designed to eliminate the alleged conduct, prevent recurrence, and address its effects. It centres the needs of the reporter, aims to repair harm, and maintains overall community safety. In practice, we work with the reporter to identify what educational activities they want the respondent to engage in. We help define the harm, the goals of the process, and how those goals can be met. The agreement begins with clear language emphasising that participation is voluntary, and both parties acknowledge this. Educational activities vary and are not exhaustive. They can include workshops on consent and interpersonal interactions, reflection or research papers, online modules, restorative circles, impact statements, alcohol education, no-contact directives, and housing modifications where applicable. We conclude the process with a summative meeting, where participants reflect on their experience, discuss what they gained, and provide feedback to improve the process.</w:t>
      </w:r>
    </w:p>
    <w:p w14:paraId="00000009"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lastRenderedPageBreak/>
        <w:t>There are, of course, challenges. Ensuring true voluntariness is one—participants may feel pressured even when the process is optional. Managing expectations is another, particularly when reporters expect immediate healing. We also face time and capacity constraints, as well as the need for institutional buy-in and balancing accountability without punishment. We address these challenges through clear communication, transparency, and ongoing assessment. We gather feedback through meetings and surveys, allowing the process to evolve over time. Some key lessons we have learned include the importance of setting clear expectations, ensuring the process is trauma-informed, having strong facilitators, and remaining flexible—there is no one-size-fits-all approach. We also recognise that this process is the beginning of healing, not the end. In terms of advice for implementation: invest in training, design for flexibility, ensure voluntariness is genuine, centre both process and support, maintain transparency, document thoughtfully, and build in mechanisms for continuous feedback. Finally, there are many resources available, including our sample agreement on the college’s website, as well as books and training programmes on restorative justice in higher education.</w:t>
      </w:r>
    </w:p>
    <w:p w14:paraId="0000000A"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Thank you again. I really appreciate the opportunity to share this with you, and I will now hand things back to Erin for questions.</w:t>
      </w:r>
    </w:p>
    <w:p w14:paraId="0000000B"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b/>
          <w:bCs/>
          <w:sz w:val="24"/>
          <w:szCs w:val="24"/>
        </w:rPr>
        <w:t>Erin Shannon:</w:t>
      </w:r>
      <w:r w:rsidRPr="00386C1A">
        <w:rPr>
          <w:rFonts w:asciiTheme="majorHAnsi" w:eastAsia="Arial" w:hAnsiTheme="majorHAnsi" w:cstheme="majorHAnsi"/>
          <w:sz w:val="24"/>
          <w:szCs w:val="24"/>
        </w:rPr>
        <w:br/>
        <w:t xml:space="preserve">Thank you so much, Caitlin, for that </w:t>
      </w:r>
      <w:proofErr w:type="gramStart"/>
      <w:r w:rsidRPr="00386C1A">
        <w:rPr>
          <w:rFonts w:asciiTheme="majorHAnsi" w:eastAsia="Arial" w:hAnsiTheme="majorHAnsi" w:cstheme="majorHAnsi"/>
          <w:sz w:val="24"/>
          <w:szCs w:val="24"/>
        </w:rPr>
        <w:t>really comprehensive</w:t>
      </w:r>
      <w:proofErr w:type="gramEnd"/>
      <w:r w:rsidRPr="00386C1A">
        <w:rPr>
          <w:rFonts w:asciiTheme="majorHAnsi" w:eastAsia="Arial" w:hAnsiTheme="majorHAnsi" w:cstheme="majorHAnsi"/>
          <w:sz w:val="24"/>
          <w:szCs w:val="24"/>
        </w:rPr>
        <w:t xml:space="preserve"> presentation. I learned a lot, and it found it really fascinating, so thank you. I think the people listening to this will find it super useful in terms of implementing things in their own contexts. Okay, so I have some questions. As someone who is familiar with restorative justice—and I think some of our listeners are as well—we may know the answers to this. But I noticed in the agreement that the respondent and the reporter initial at the start, there was a clause stating that no mediation will be used for sexual assault. I was wondering if you could expand on that, and maybe give a brief overview of how you see restorative justice as being different from mediation, because I think some people confuse the two.</w:t>
      </w:r>
    </w:p>
    <w:p w14:paraId="0000000C"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br/>
      </w:r>
      <w:r w:rsidRPr="00386C1A">
        <w:rPr>
          <w:rFonts w:asciiTheme="majorHAnsi" w:eastAsia="Arial" w:hAnsiTheme="majorHAnsi" w:cstheme="majorHAnsi"/>
          <w:b/>
          <w:bCs/>
          <w:sz w:val="24"/>
          <w:szCs w:val="24"/>
        </w:rPr>
        <w:t>Caitlin Babcock:</w:t>
      </w:r>
      <w:r w:rsidRPr="00386C1A">
        <w:rPr>
          <w:rFonts w:asciiTheme="majorHAnsi" w:eastAsia="Arial" w:hAnsiTheme="majorHAnsi" w:cstheme="majorHAnsi"/>
          <w:sz w:val="24"/>
          <w:szCs w:val="24"/>
        </w:rPr>
        <w:br/>
        <w:t xml:space="preserve">Absolutely. Let me start with why they are different, because I think that is important. We see mediation as two parties coming together to talk about issues they might have. They are both coming to the table to mediate a problem. But when we are dealing with sexual assault, it is not two people coming together to mediate. It is one person who has been harmed and one person who has caused harm.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if we were to offer mediation, it would not really fit that model. It is not two parties with a shared dispute—it is one person bringing forward harm. Because of that, our approach is that mediation is not appropriate in these cases. In fact, we often do not offer mediation at the college at all, partly because students do not typically have mutual grievances they want to resolve in that way.</w:t>
      </w:r>
    </w:p>
    <w:p w14:paraId="0000000D"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Additionally, many students do not want to sit face-to-face with the person who has harmed them. That is another important layer—bringing people together in that way can be distressing and potentially re-traumatising.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when we talk about restorative processes at the college, we are usually talking about a situation where one person has been harmed. A mediation model could </w:t>
      </w:r>
      <w:proofErr w:type="gramStart"/>
      <w:r w:rsidRPr="00386C1A">
        <w:rPr>
          <w:rFonts w:asciiTheme="majorHAnsi" w:eastAsia="Arial" w:hAnsiTheme="majorHAnsi" w:cstheme="majorHAnsi"/>
          <w:sz w:val="24"/>
          <w:szCs w:val="24"/>
        </w:rPr>
        <w:t>actually exacerbate</w:t>
      </w:r>
      <w:proofErr w:type="gramEnd"/>
      <w:r w:rsidRPr="00386C1A">
        <w:rPr>
          <w:rFonts w:asciiTheme="majorHAnsi" w:eastAsia="Arial" w:hAnsiTheme="majorHAnsi" w:cstheme="majorHAnsi"/>
          <w:sz w:val="24"/>
          <w:szCs w:val="24"/>
        </w:rPr>
        <w:t xml:space="preserve"> the risk of further victimisation. Because of those concerns, we made the decision to include that clause in the agreement and to move away from mediation in these contexts. I hope that answers your question.</w:t>
      </w:r>
    </w:p>
    <w:p w14:paraId="0000000E"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b/>
          <w:bCs/>
          <w:sz w:val="24"/>
          <w:szCs w:val="24"/>
        </w:rPr>
        <w:lastRenderedPageBreak/>
        <w:t>Erin Shannon:</w:t>
      </w:r>
      <w:r w:rsidRPr="00386C1A">
        <w:rPr>
          <w:rFonts w:asciiTheme="majorHAnsi" w:eastAsia="Arial" w:hAnsiTheme="majorHAnsi" w:cstheme="majorHAnsi"/>
          <w:sz w:val="24"/>
          <w:szCs w:val="24"/>
        </w:rPr>
        <w:br/>
        <w:t xml:space="preserve">Yes, thank you so much—that is very clear and </w:t>
      </w:r>
      <w:proofErr w:type="gramStart"/>
      <w:r w:rsidRPr="00386C1A">
        <w:rPr>
          <w:rFonts w:asciiTheme="majorHAnsi" w:eastAsia="Arial" w:hAnsiTheme="majorHAnsi" w:cstheme="majorHAnsi"/>
          <w:sz w:val="24"/>
          <w:szCs w:val="24"/>
        </w:rPr>
        <w:t>really helpful</w:t>
      </w:r>
      <w:proofErr w:type="gramEnd"/>
      <w:r w:rsidRPr="00386C1A">
        <w:rPr>
          <w:rFonts w:asciiTheme="majorHAnsi" w:eastAsia="Arial" w:hAnsiTheme="majorHAnsi" w:cstheme="majorHAnsi"/>
          <w:sz w:val="24"/>
          <w:szCs w:val="24"/>
        </w:rPr>
        <w:t xml:space="preserve">. I was wondering if you could talk a little bit more about institutional buy-in. You mentioned that it is super important, and it sounds like TCNJ </w:t>
      </w:r>
      <w:proofErr w:type="gramStart"/>
      <w:r w:rsidRPr="00386C1A">
        <w:rPr>
          <w:rFonts w:asciiTheme="majorHAnsi" w:eastAsia="Arial" w:hAnsiTheme="majorHAnsi" w:cstheme="majorHAnsi"/>
          <w:sz w:val="24"/>
          <w:szCs w:val="24"/>
        </w:rPr>
        <w:t>definitely has</w:t>
      </w:r>
      <w:proofErr w:type="gramEnd"/>
      <w:r w:rsidRPr="00386C1A">
        <w:rPr>
          <w:rFonts w:asciiTheme="majorHAnsi" w:eastAsia="Arial" w:hAnsiTheme="majorHAnsi" w:cstheme="majorHAnsi"/>
          <w:sz w:val="24"/>
          <w:szCs w:val="24"/>
        </w:rPr>
        <w:t xml:space="preserve"> that for this process. But time and capacity also seem to be </w:t>
      </w:r>
      <w:proofErr w:type="gramStart"/>
      <w:r w:rsidRPr="00386C1A">
        <w:rPr>
          <w:rFonts w:asciiTheme="majorHAnsi" w:eastAsia="Arial" w:hAnsiTheme="majorHAnsi" w:cstheme="majorHAnsi"/>
          <w:sz w:val="24"/>
          <w:szCs w:val="24"/>
        </w:rPr>
        <w:t>really key</w:t>
      </w:r>
      <w:proofErr w:type="gramEnd"/>
      <w:r w:rsidRPr="00386C1A">
        <w:rPr>
          <w:rFonts w:asciiTheme="majorHAnsi" w:eastAsia="Arial" w:hAnsiTheme="majorHAnsi" w:cstheme="majorHAnsi"/>
          <w:sz w:val="24"/>
          <w:szCs w:val="24"/>
        </w:rPr>
        <w:t xml:space="preserve"> factors here. So, thinking about something like a restorative circle—which you mentioned as an option students may want to engage in—what was the process like in creating those, particularly in terms of capacity-building and time resourcing?</w:t>
      </w:r>
    </w:p>
    <w:p w14:paraId="0000000F" w14:textId="77777777" w:rsidR="003325D3" w:rsidRPr="00386C1A" w:rsidRDefault="003325D3">
      <w:pPr>
        <w:rPr>
          <w:rFonts w:asciiTheme="majorHAnsi" w:eastAsia="Arial" w:hAnsiTheme="majorHAnsi" w:cstheme="majorHAnsi"/>
          <w:sz w:val="24"/>
          <w:szCs w:val="24"/>
          <w:highlight w:val="yellow"/>
        </w:rPr>
      </w:pPr>
    </w:p>
    <w:p w14:paraId="00000010"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b/>
          <w:bCs/>
          <w:sz w:val="24"/>
          <w:szCs w:val="24"/>
        </w:rPr>
        <w:t>Caitlin Babcock:</w:t>
      </w:r>
      <w:r w:rsidRPr="00386C1A">
        <w:rPr>
          <w:rFonts w:asciiTheme="majorHAnsi" w:eastAsia="Arial" w:hAnsiTheme="majorHAnsi" w:cstheme="majorHAnsi"/>
          <w:sz w:val="24"/>
          <w:szCs w:val="24"/>
        </w:rPr>
        <w:br/>
        <w:t xml:space="preserve">So restorative circles are very lengthy and take a lot of time. And the reason for that is because you </w:t>
      </w:r>
      <w:proofErr w:type="gramStart"/>
      <w:r w:rsidRPr="00386C1A">
        <w:rPr>
          <w:rFonts w:asciiTheme="majorHAnsi" w:eastAsia="Arial" w:hAnsiTheme="majorHAnsi" w:cstheme="majorHAnsi"/>
          <w:sz w:val="24"/>
          <w:szCs w:val="24"/>
        </w:rPr>
        <w:t>have to</w:t>
      </w:r>
      <w:proofErr w:type="gramEnd"/>
      <w:r w:rsidRPr="00386C1A">
        <w:rPr>
          <w:rFonts w:asciiTheme="majorHAnsi" w:eastAsia="Arial" w:hAnsiTheme="majorHAnsi" w:cstheme="majorHAnsi"/>
          <w:sz w:val="24"/>
          <w:szCs w:val="24"/>
        </w:rPr>
        <w:t xml:space="preserve"> have meeting upon meeting prior to the restorative circle ever happening. And that is to make sure that everyone comes to that restorative circle knowing what that conversation is going to look like. Right. And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because of that, it takes a lot of training. And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we've pulled in specifically individuals who have provided training from UC San Diego. We've also worked with specific practitioners who can come in and </w:t>
      </w:r>
      <w:proofErr w:type="gramStart"/>
      <w:r w:rsidRPr="00386C1A">
        <w:rPr>
          <w:rFonts w:asciiTheme="majorHAnsi" w:eastAsia="Arial" w:hAnsiTheme="majorHAnsi" w:cstheme="majorHAnsi"/>
          <w:sz w:val="24"/>
          <w:szCs w:val="24"/>
        </w:rPr>
        <w:t>actually sit</w:t>
      </w:r>
      <w:proofErr w:type="gramEnd"/>
      <w:r w:rsidRPr="00386C1A">
        <w:rPr>
          <w:rFonts w:asciiTheme="majorHAnsi" w:eastAsia="Arial" w:hAnsiTheme="majorHAnsi" w:cstheme="majorHAnsi"/>
          <w:sz w:val="24"/>
          <w:szCs w:val="24"/>
        </w:rPr>
        <w:t xml:space="preserve"> us down and say, we're going to do a practice of a restorative circle to make sure that we understand the mechanisms, understand the process.</w:t>
      </w:r>
    </w:p>
    <w:p w14:paraId="00000011"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Secondary to that is we, because there's this buy-in, we also have a lot of individuals at the college who want to participate in these and be facilitators. So not only are, you know, is our office of two, but there </w:t>
      </w:r>
      <w:proofErr w:type="gramStart"/>
      <w:r w:rsidRPr="00386C1A">
        <w:rPr>
          <w:rFonts w:asciiTheme="majorHAnsi" w:eastAsia="Arial" w:hAnsiTheme="majorHAnsi" w:cstheme="majorHAnsi"/>
          <w:sz w:val="24"/>
          <w:szCs w:val="24"/>
        </w:rPr>
        <w:t>are</w:t>
      </w:r>
      <w:proofErr w:type="gramEnd"/>
      <w:r w:rsidRPr="00386C1A">
        <w:rPr>
          <w:rFonts w:asciiTheme="majorHAnsi" w:eastAsia="Arial" w:hAnsiTheme="majorHAnsi" w:cstheme="majorHAnsi"/>
          <w:sz w:val="24"/>
          <w:szCs w:val="24"/>
        </w:rPr>
        <w:t xml:space="preserve"> a plethora of different individuals at the college who are trained to facilitate these. And if they are available and willing, we'll kind of tap into them and say, hey, are you able to do a restorative circle? And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giving them that opportunity to kind of sit down and then really dive into, okay, we're going to start with meetings with all of the parties multiple times to figure out what those problems are that they need to kind of figure out. And then from there, we'll get to a restorative circle.</w:t>
      </w:r>
    </w:p>
    <w:p w14:paraId="00000012"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Sometimes those sorts of circles don't come to fruition because we're never able to kind of get to that </w:t>
      </w:r>
      <w:proofErr w:type="gramStart"/>
      <w:r w:rsidRPr="00386C1A">
        <w:rPr>
          <w:rFonts w:asciiTheme="majorHAnsi" w:eastAsia="Arial" w:hAnsiTheme="majorHAnsi" w:cstheme="majorHAnsi"/>
          <w:sz w:val="24"/>
          <w:szCs w:val="24"/>
        </w:rPr>
        <w:t>end result</w:t>
      </w:r>
      <w:proofErr w:type="gramEnd"/>
      <w:r w:rsidRPr="00386C1A">
        <w:rPr>
          <w:rFonts w:asciiTheme="majorHAnsi" w:eastAsia="Arial" w:hAnsiTheme="majorHAnsi" w:cstheme="majorHAnsi"/>
          <w:sz w:val="24"/>
          <w:szCs w:val="24"/>
        </w:rPr>
        <w:t xml:space="preserve">. But that, again, is still part of that process.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it is something that is available, and thankfully we have people at the college who are willing to volunteer, but it is very time-consuming. It takes a lot of resources. And, you know, again, with that buy-in from the institution, we've been able to get those trainings that were necessary, but there's always things that we can continue to grow and learn from.</w:t>
      </w:r>
    </w:p>
    <w:p w14:paraId="00000013"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b/>
          <w:bCs/>
          <w:sz w:val="24"/>
          <w:szCs w:val="24"/>
        </w:rPr>
        <w:t>Erin Shannon:</w:t>
      </w:r>
      <w:r w:rsidRPr="00386C1A">
        <w:rPr>
          <w:rFonts w:asciiTheme="majorHAnsi" w:eastAsia="Arial" w:hAnsiTheme="majorHAnsi" w:cstheme="majorHAnsi"/>
          <w:sz w:val="24"/>
          <w:szCs w:val="24"/>
        </w:rPr>
        <w:br/>
        <w:t>Great, thanks so much. And yeah, I guess related to that, but more broadly—not just about restorative circles, but in terms of time and capacity constraints—can you talk a little bit about what you and your team have done to kind of work around those challenges?</w:t>
      </w:r>
    </w:p>
    <w:p w14:paraId="00000014"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br/>
      </w:r>
      <w:r w:rsidRPr="00386C1A">
        <w:rPr>
          <w:rFonts w:asciiTheme="majorHAnsi" w:eastAsia="Arial" w:hAnsiTheme="majorHAnsi" w:cstheme="majorHAnsi"/>
          <w:b/>
          <w:bCs/>
          <w:sz w:val="24"/>
          <w:szCs w:val="24"/>
        </w:rPr>
        <w:t>Caitlin Babcock:</w:t>
      </w:r>
      <w:r w:rsidRPr="00386C1A">
        <w:rPr>
          <w:rFonts w:asciiTheme="majorHAnsi" w:eastAsia="Arial" w:hAnsiTheme="majorHAnsi" w:cstheme="majorHAnsi"/>
          <w:sz w:val="24"/>
          <w:szCs w:val="24"/>
        </w:rPr>
        <w:br/>
        <w:t xml:space="preserve">Yeah.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I think one of the things that we do is, when we do have downtime, we're always thinking about what are potential projects that we can work on to strengthen and update our processes. Whether that is creating templates of, like, okay, so we've got a template that we know we can utilise here and really make individualised as needed, but work around that to kind of figure out, okay, what does this look like? So that when we’re in the thick of it and things are </w:t>
      </w:r>
      <w:proofErr w:type="gramStart"/>
      <w:r w:rsidRPr="00386C1A">
        <w:rPr>
          <w:rFonts w:asciiTheme="majorHAnsi" w:eastAsia="Arial" w:hAnsiTheme="majorHAnsi" w:cstheme="majorHAnsi"/>
          <w:sz w:val="24"/>
          <w:szCs w:val="24"/>
        </w:rPr>
        <w:t>really busy</w:t>
      </w:r>
      <w:proofErr w:type="gramEnd"/>
      <w:r w:rsidRPr="00386C1A">
        <w:rPr>
          <w:rFonts w:asciiTheme="majorHAnsi" w:eastAsia="Arial" w:hAnsiTheme="majorHAnsi" w:cstheme="majorHAnsi"/>
          <w:sz w:val="24"/>
          <w:szCs w:val="24"/>
        </w:rPr>
        <w:t xml:space="preserve">, we actually have resources that are available to us.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I think the downtime is really imperative for us, and we’ve kind of structured our schedule around that.</w:t>
      </w:r>
    </w:p>
    <w:p w14:paraId="00000015" w14:textId="77777777" w:rsidR="003325D3" w:rsidRPr="00386C1A" w:rsidRDefault="003325D3">
      <w:pPr>
        <w:rPr>
          <w:rFonts w:asciiTheme="majorHAnsi" w:eastAsia="Arial" w:hAnsiTheme="majorHAnsi" w:cstheme="majorHAnsi"/>
          <w:sz w:val="24"/>
          <w:szCs w:val="24"/>
        </w:rPr>
      </w:pPr>
    </w:p>
    <w:p w14:paraId="00000016"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lastRenderedPageBreak/>
        <w:t xml:space="preserve">But secondary to that is, you know, communication—communicating what I might need. If I’ve got a lot on my caseload, I’m going to go to others who I can lean on and say, hey, how can you help me? What do we look like? And then third, I try to be as transparent with our students as possible. Hey, you know, I would love to get this out to you by the end of the day, but this might be something that gets out to you by the end of the week.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letting them know, hey, this might take longer than anticipated, and we’ll kind of work around that.</w:t>
      </w:r>
    </w:p>
    <w:p w14:paraId="00000017"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br/>
      </w:r>
      <w:r w:rsidRPr="00386C1A">
        <w:rPr>
          <w:rFonts w:asciiTheme="majorHAnsi" w:eastAsia="Arial" w:hAnsiTheme="majorHAnsi" w:cstheme="majorHAnsi"/>
          <w:b/>
          <w:bCs/>
          <w:sz w:val="24"/>
          <w:szCs w:val="24"/>
        </w:rPr>
        <w:t>Erin Shannon:</w:t>
      </w:r>
      <w:r w:rsidRPr="00386C1A">
        <w:rPr>
          <w:rFonts w:asciiTheme="majorHAnsi" w:eastAsia="Arial" w:hAnsiTheme="majorHAnsi" w:cstheme="majorHAnsi"/>
          <w:sz w:val="24"/>
          <w:szCs w:val="24"/>
        </w:rPr>
        <w:br/>
        <w:t xml:space="preserve">Excellent, yeah, that sounds </w:t>
      </w:r>
      <w:proofErr w:type="gramStart"/>
      <w:r w:rsidRPr="00386C1A">
        <w:rPr>
          <w:rFonts w:asciiTheme="majorHAnsi" w:eastAsia="Arial" w:hAnsiTheme="majorHAnsi" w:cstheme="majorHAnsi"/>
          <w:sz w:val="24"/>
          <w:szCs w:val="24"/>
        </w:rPr>
        <w:t>really helpful</w:t>
      </w:r>
      <w:proofErr w:type="gramEnd"/>
      <w:r w:rsidRPr="00386C1A">
        <w:rPr>
          <w:rFonts w:asciiTheme="majorHAnsi" w:eastAsia="Arial" w:hAnsiTheme="majorHAnsi" w:cstheme="majorHAnsi"/>
          <w:sz w:val="24"/>
          <w:szCs w:val="24"/>
        </w:rPr>
        <w:t xml:space="preserve">. I love the idea of a template as something that you can kind of mobilise in the future as well. And I think I just have one more question for you.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you mentioned that the process kind of began in 2017, so we’re now in, I guess, its ninth year, which is kind of wild to think about.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what are some of the changes, if any, that the process has undergone since it was created in 2017?</w:t>
      </w:r>
    </w:p>
    <w:p w14:paraId="00000018"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highlight w:val="yellow"/>
        </w:rPr>
        <w:t xml:space="preserve"> </w:t>
      </w:r>
      <w:r w:rsidRPr="00386C1A">
        <w:rPr>
          <w:rFonts w:asciiTheme="majorHAnsi" w:eastAsia="Arial" w:hAnsiTheme="majorHAnsi" w:cstheme="majorHAnsi"/>
          <w:sz w:val="24"/>
          <w:szCs w:val="24"/>
          <w:highlight w:val="yellow"/>
        </w:rPr>
        <w:br/>
      </w:r>
      <w:r w:rsidRPr="00386C1A">
        <w:rPr>
          <w:rFonts w:asciiTheme="majorHAnsi" w:eastAsia="Arial" w:hAnsiTheme="majorHAnsi" w:cstheme="majorHAnsi"/>
          <w:b/>
          <w:bCs/>
          <w:sz w:val="24"/>
          <w:szCs w:val="24"/>
        </w:rPr>
        <w:t>Caitlin Babcock:</w:t>
      </w:r>
      <w:r w:rsidRPr="00386C1A">
        <w:rPr>
          <w:rFonts w:asciiTheme="majorHAnsi" w:eastAsia="Arial" w:hAnsiTheme="majorHAnsi" w:cstheme="majorHAnsi"/>
          <w:sz w:val="24"/>
          <w:szCs w:val="24"/>
        </w:rPr>
        <w:br/>
        <w:t xml:space="preserve">So, well, one, I think that we’ve continued to get trainings and really broaden that out. I think we’ve also looked at the language that we have available to make sure—yes, it’s a contract, so it </w:t>
      </w:r>
      <w:proofErr w:type="gramStart"/>
      <w:r w:rsidRPr="00386C1A">
        <w:rPr>
          <w:rFonts w:asciiTheme="majorHAnsi" w:eastAsia="Arial" w:hAnsiTheme="majorHAnsi" w:cstheme="majorHAnsi"/>
          <w:sz w:val="24"/>
          <w:szCs w:val="24"/>
        </w:rPr>
        <w:t>has to</w:t>
      </w:r>
      <w:proofErr w:type="gramEnd"/>
      <w:r w:rsidRPr="00386C1A">
        <w:rPr>
          <w:rFonts w:asciiTheme="majorHAnsi" w:eastAsia="Arial" w:hAnsiTheme="majorHAnsi" w:cstheme="majorHAnsi"/>
          <w:sz w:val="24"/>
          <w:szCs w:val="24"/>
        </w:rPr>
        <w:t xml:space="preserve"> have some legalism to it—but we also need to make sure it is still readable and understandable to the individuals who are impacted. That’s kind of been an added component of how it’s transitioned.</w:t>
      </w:r>
    </w:p>
    <w:p w14:paraId="00000019"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I think the biggest area of transition for us, though, was what we offer. So, every single time that we are creating a new agreement, there might </w:t>
      </w:r>
      <w:proofErr w:type="gramStart"/>
      <w:r w:rsidRPr="00386C1A">
        <w:rPr>
          <w:rFonts w:asciiTheme="majorHAnsi" w:eastAsia="Arial" w:hAnsiTheme="majorHAnsi" w:cstheme="majorHAnsi"/>
          <w:sz w:val="24"/>
          <w:szCs w:val="24"/>
        </w:rPr>
        <w:t>be things that are</w:t>
      </w:r>
      <w:proofErr w:type="gramEnd"/>
      <w:r w:rsidRPr="00386C1A">
        <w:rPr>
          <w:rFonts w:asciiTheme="majorHAnsi" w:eastAsia="Arial" w:hAnsiTheme="majorHAnsi" w:cstheme="majorHAnsi"/>
          <w:sz w:val="24"/>
          <w:szCs w:val="24"/>
        </w:rPr>
        <w:t xml:space="preserve"> the same as previous agreements, but there also are probably new things. And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we actually add that to a long list of potential options.</w:t>
      </w:r>
    </w:p>
    <w:p w14:paraId="0000001A"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We do have templates that are available on our website that we previously weren’t using.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we try to make sure and prepare our students effectively—to say, you know, we’re going to have this meeting to talk about what you are going to want and need out of this, but here are some samples of previous options, and let us know what speaks to you. What do you like? “Oh, I really like this.” So that allows them—previously we would just say, “Come to a meeting with us and we’ll talk to </w:t>
      </w:r>
      <w:proofErr w:type="gramStart"/>
      <w:r w:rsidRPr="00386C1A">
        <w:rPr>
          <w:rFonts w:asciiTheme="majorHAnsi" w:eastAsia="Arial" w:hAnsiTheme="majorHAnsi" w:cstheme="majorHAnsi"/>
          <w:sz w:val="24"/>
          <w:szCs w:val="24"/>
        </w:rPr>
        <w:t>you</w:t>
      </w:r>
      <w:proofErr w:type="gramEnd"/>
      <w:r w:rsidRPr="00386C1A">
        <w:rPr>
          <w:rFonts w:asciiTheme="majorHAnsi" w:eastAsia="Arial" w:hAnsiTheme="majorHAnsi" w:cstheme="majorHAnsi"/>
          <w:sz w:val="24"/>
          <w:szCs w:val="24"/>
        </w:rPr>
        <w:t xml:space="preserve"> and we’ll try to put something together.” But we found that sometimes it’s helpful to prepare them a little bit more: “Okay, here are the options we’ve previously offered. Really think about these self-reflective questions and come prepared to answer those.”</w:t>
      </w:r>
    </w:p>
    <w:p w14:paraId="0000001B"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I think that has really transitioned us into a better understanding of what they need.</w:t>
      </w:r>
    </w:p>
    <w:p w14:paraId="0000001C"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In the process, I also think one of the areas that we are still struggling with is making sure that our students know that it’s available. The problem with college campuses is that every four years we have a new group of students, and so the knowledge base they had is now gone and we </w:t>
      </w:r>
      <w:proofErr w:type="gramStart"/>
      <w:r w:rsidRPr="00386C1A">
        <w:rPr>
          <w:rFonts w:asciiTheme="majorHAnsi" w:eastAsia="Arial" w:hAnsiTheme="majorHAnsi" w:cstheme="majorHAnsi"/>
          <w:sz w:val="24"/>
          <w:szCs w:val="24"/>
        </w:rPr>
        <w:t>have to</w:t>
      </w:r>
      <w:proofErr w:type="gramEnd"/>
      <w:r w:rsidRPr="00386C1A">
        <w:rPr>
          <w:rFonts w:asciiTheme="majorHAnsi" w:eastAsia="Arial" w:hAnsiTheme="majorHAnsi" w:cstheme="majorHAnsi"/>
          <w:sz w:val="24"/>
          <w:szCs w:val="24"/>
        </w:rPr>
        <w:t xml:space="preserve"> reteach every single year.</w:t>
      </w:r>
    </w:p>
    <w:p w14:paraId="0000001D" w14:textId="77777777" w:rsidR="003325D3" w:rsidRPr="00386C1A" w:rsidRDefault="00000000">
      <w:pPr>
        <w:spacing w:before="240" w:after="240"/>
        <w:rPr>
          <w:rFonts w:asciiTheme="majorHAnsi" w:eastAsia="Arial" w:hAnsiTheme="majorHAnsi" w:cstheme="majorHAnsi"/>
          <w:sz w:val="24"/>
          <w:szCs w:val="24"/>
        </w:rPr>
      </w:pP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we actually do tabling events where we’ll sit down with individuals and say, “Have you heard of the alternative resolution process? What do you think of it?” And a lot of times they’ll say, “I’ve actually never heard of that.” And we’ll say, “Oh, that’s unfortunate.” And then we’ll go through it.</w:t>
      </w:r>
    </w:p>
    <w:p w14:paraId="0000001E"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lastRenderedPageBreak/>
        <w:t>We’ll ask, “What do you think of this process?” and they’ll say, “I really like it.” And then we’ll ask, “Would you use it? Would you tell a friend that this is an option?” And nine out of ten times they say yes.</w:t>
      </w:r>
    </w:p>
    <w:p w14:paraId="0000001F" w14:textId="77777777" w:rsidR="003325D3" w:rsidRPr="00386C1A" w:rsidRDefault="00000000">
      <w:pPr>
        <w:spacing w:before="240" w:after="240"/>
        <w:rPr>
          <w:rFonts w:asciiTheme="majorHAnsi" w:eastAsia="Arial" w:hAnsiTheme="majorHAnsi" w:cstheme="majorHAnsi"/>
          <w:sz w:val="24"/>
          <w:szCs w:val="24"/>
        </w:rPr>
      </w:pP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the fact that our students like this option and know it’s available when we talk to them is great—but we still have to make sure we continue to market it, because our population is always changing.</w:t>
      </w:r>
    </w:p>
    <w:p w14:paraId="00000020"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One of our peer educators on campus this past year came up with a </w:t>
      </w:r>
      <w:proofErr w:type="gramStart"/>
      <w:r w:rsidRPr="00386C1A">
        <w:rPr>
          <w:rFonts w:asciiTheme="majorHAnsi" w:eastAsia="Arial" w:hAnsiTheme="majorHAnsi" w:cstheme="majorHAnsi"/>
          <w:sz w:val="24"/>
          <w:szCs w:val="24"/>
        </w:rPr>
        <w:t>really great</w:t>
      </w:r>
      <w:proofErr w:type="gramEnd"/>
      <w:r w:rsidRPr="00386C1A">
        <w:rPr>
          <w:rFonts w:asciiTheme="majorHAnsi" w:eastAsia="Arial" w:hAnsiTheme="majorHAnsi" w:cstheme="majorHAnsi"/>
          <w:sz w:val="24"/>
          <w:szCs w:val="24"/>
        </w:rPr>
        <w:t xml:space="preserve"> idea: ARP looks like “</w:t>
      </w:r>
      <w:proofErr w:type="spellStart"/>
      <w:r w:rsidRPr="00386C1A">
        <w:rPr>
          <w:rFonts w:asciiTheme="majorHAnsi" w:eastAsia="Arial" w:hAnsiTheme="majorHAnsi" w:cstheme="majorHAnsi"/>
          <w:sz w:val="24"/>
          <w:szCs w:val="24"/>
        </w:rPr>
        <w:t>arp</w:t>
      </w:r>
      <w:proofErr w:type="spellEnd"/>
      <w:r w:rsidRPr="00386C1A">
        <w:rPr>
          <w:rFonts w:asciiTheme="majorHAnsi" w:eastAsia="Arial" w:hAnsiTheme="majorHAnsi" w:cstheme="majorHAnsi"/>
          <w:sz w:val="24"/>
          <w:szCs w:val="24"/>
        </w:rPr>
        <w:t>,” like a seal. So now our new marketing campaign is the ARP campaign, with one of our students going around in a seal costume. I think that’s really genius, because hopefully it means more of our students will know about it. The more they know, the more they are likely to report to our office.</w:t>
      </w:r>
    </w:p>
    <w:p w14:paraId="00000021"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And I think that’s </w:t>
      </w:r>
      <w:proofErr w:type="gramStart"/>
      <w:r w:rsidRPr="00386C1A">
        <w:rPr>
          <w:rFonts w:asciiTheme="majorHAnsi" w:eastAsia="Arial" w:hAnsiTheme="majorHAnsi" w:cstheme="majorHAnsi"/>
          <w:sz w:val="24"/>
          <w:szCs w:val="24"/>
        </w:rPr>
        <w:t>really important</w:t>
      </w:r>
      <w:proofErr w:type="gramEnd"/>
      <w:r w:rsidRPr="00386C1A">
        <w:rPr>
          <w:rFonts w:asciiTheme="majorHAnsi" w:eastAsia="Arial" w:hAnsiTheme="majorHAnsi" w:cstheme="majorHAnsi"/>
          <w:sz w:val="24"/>
          <w:szCs w:val="24"/>
        </w:rPr>
        <w:t>, because some people don’t report because they don’t think there is an option available to them that meets their needs. If they knew these options were available and really took them in, they might feel more able to report and move forward.</w:t>
      </w:r>
    </w:p>
    <w:p w14:paraId="00000022" w14:textId="77777777" w:rsidR="003325D3" w:rsidRPr="00386C1A" w:rsidRDefault="00000000">
      <w:pPr>
        <w:spacing w:before="240" w:after="240"/>
        <w:rPr>
          <w:rFonts w:asciiTheme="majorHAnsi" w:eastAsia="Arial" w:hAnsiTheme="majorHAnsi" w:cstheme="majorHAnsi"/>
          <w:sz w:val="24"/>
          <w:szCs w:val="24"/>
        </w:rPr>
      </w:pP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to answer your question specifically, the transition over the years is really about, one, building on and expanding what we’ve previously created and improving those opportunities, and two, finding ways to market it to our campus so that students understand it is an option that is available to them.</w:t>
      </w:r>
    </w:p>
    <w:p w14:paraId="00000023"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b/>
          <w:bCs/>
          <w:sz w:val="24"/>
          <w:szCs w:val="24"/>
        </w:rPr>
        <w:t>Erin Shannon:</w:t>
      </w:r>
      <w:r w:rsidRPr="00386C1A">
        <w:rPr>
          <w:rFonts w:asciiTheme="majorHAnsi" w:eastAsia="Arial" w:hAnsiTheme="majorHAnsi" w:cstheme="majorHAnsi"/>
          <w:sz w:val="24"/>
          <w:szCs w:val="24"/>
        </w:rPr>
        <w:br/>
        <w:t xml:space="preserve">Wonderful. Thank you so much for those </w:t>
      </w:r>
      <w:proofErr w:type="gramStart"/>
      <w:r w:rsidRPr="00386C1A">
        <w:rPr>
          <w:rFonts w:asciiTheme="majorHAnsi" w:eastAsia="Arial" w:hAnsiTheme="majorHAnsi" w:cstheme="majorHAnsi"/>
          <w:sz w:val="24"/>
          <w:szCs w:val="24"/>
        </w:rPr>
        <w:t>really thoughtful</w:t>
      </w:r>
      <w:proofErr w:type="gramEnd"/>
      <w:r w:rsidRPr="00386C1A">
        <w:rPr>
          <w:rFonts w:asciiTheme="majorHAnsi" w:eastAsia="Arial" w:hAnsiTheme="majorHAnsi" w:cstheme="majorHAnsi"/>
          <w:sz w:val="24"/>
          <w:szCs w:val="24"/>
        </w:rPr>
        <w:t xml:space="preserve"> answers and for sharing so much about TCNJ's alternative resolution. It was </w:t>
      </w:r>
      <w:proofErr w:type="gramStart"/>
      <w:r w:rsidRPr="00386C1A">
        <w:rPr>
          <w:rFonts w:asciiTheme="majorHAnsi" w:eastAsia="Arial" w:hAnsiTheme="majorHAnsi" w:cstheme="majorHAnsi"/>
          <w:sz w:val="24"/>
          <w:szCs w:val="24"/>
        </w:rPr>
        <w:t>really special</w:t>
      </w:r>
      <w:proofErr w:type="gramEnd"/>
      <w:r w:rsidRPr="00386C1A">
        <w:rPr>
          <w:rFonts w:asciiTheme="majorHAnsi" w:eastAsia="Arial" w:hAnsiTheme="majorHAnsi" w:cstheme="majorHAnsi"/>
          <w:sz w:val="24"/>
          <w:szCs w:val="24"/>
        </w:rPr>
        <w:t xml:space="preserve"> for me because I'm an alumna of </w:t>
      </w:r>
      <w:proofErr w:type="spellStart"/>
      <w:r w:rsidRPr="00386C1A">
        <w:rPr>
          <w:rFonts w:asciiTheme="majorHAnsi" w:eastAsia="Arial" w:hAnsiTheme="majorHAnsi" w:cstheme="majorHAnsi"/>
          <w:sz w:val="24"/>
          <w:szCs w:val="24"/>
        </w:rPr>
        <w:t>tcnj</w:t>
      </w:r>
      <w:proofErr w:type="spellEnd"/>
      <w:r w:rsidRPr="00386C1A">
        <w:rPr>
          <w:rFonts w:asciiTheme="majorHAnsi" w:eastAsia="Arial" w:hAnsiTheme="majorHAnsi" w:cstheme="majorHAnsi"/>
          <w:sz w:val="24"/>
          <w:szCs w:val="24"/>
        </w:rPr>
        <w:t xml:space="preserve">.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this came into being after I graduated. But I'm </w:t>
      </w:r>
      <w:proofErr w:type="gramStart"/>
      <w:r w:rsidRPr="00386C1A">
        <w:rPr>
          <w:rFonts w:asciiTheme="majorHAnsi" w:eastAsia="Arial" w:hAnsiTheme="majorHAnsi" w:cstheme="majorHAnsi"/>
          <w:sz w:val="24"/>
          <w:szCs w:val="24"/>
        </w:rPr>
        <w:t>really proud</w:t>
      </w:r>
      <w:proofErr w:type="gramEnd"/>
      <w:r w:rsidRPr="00386C1A">
        <w:rPr>
          <w:rFonts w:asciiTheme="majorHAnsi" w:eastAsia="Arial" w:hAnsiTheme="majorHAnsi" w:cstheme="majorHAnsi"/>
          <w:sz w:val="24"/>
          <w:szCs w:val="24"/>
        </w:rPr>
        <w:t xml:space="preserve"> of the work that you're all doing, and I hope that our listeners will find it super useful.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thank you so much. </w:t>
      </w:r>
    </w:p>
    <w:p w14:paraId="00000024" w14:textId="77777777" w:rsidR="003325D3" w:rsidRPr="00386C1A" w:rsidRDefault="00000000">
      <w:pPr>
        <w:rPr>
          <w:rFonts w:asciiTheme="majorHAnsi" w:eastAsia="Arial" w:hAnsiTheme="majorHAnsi" w:cstheme="majorHAnsi"/>
          <w:sz w:val="24"/>
          <w:szCs w:val="24"/>
        </w:rPr>
      </w:pPr>
      <w:proofErr w:type="spellStart"/>
      <w:r w:rsidRPr="00386C1A">
        <w:rPr>
          <w:rFonts w:asciiTheme="majorHAnsi" w:eastAsia="Arial" w:hAnsiTheme="majorHAnsi" w:cstheme="majorHAnsi"/>
          <w:b/>
          <w:bCs/>
          <w:sz w:val="24"/>
          <w:szCs w:val="24"/>
        </w:rPr>
        <w:t>Adrija</w:t>
      </w:r>
      <w:proofErr w:type="spellEnd"/>
      <w:r w:rsidRPr="00386C1A">
        <w:rPr>
          <w:rFonts w:asciiTheme="majorHAnsi" w:eastAsia="Arial" w:hAnsiTheme="majorHAnsi" w:cstheme="majorHAnsi"/>
          <w:b/>
          <w:bCs/>
          <w:sz w:val="24"/>
          <w:szCs w:val="24"/>
        </w:rPr>
        <w:t xml:space="preserve"> Dey:</w:t>
      </w:r>
      <w:r w:rsidRPr="00386C1A">
        <w:rPr>
          <w:rFonts w:asciiTheme="majorHAnsi" w:eastAsia="Arial" w:hAnsiTheme="majorHAnsi" w:cstheme="majorHAnsi"/>
          <w:sz w:val="24"/>
          <w:szCs w:val="24"/>
        </w:rPr>
        <w:br/>
        <w:t>I’ve taken so many notes, so thank you, Caitlin, and thank you for being so detailed and so generous in sharing. But I had a question I’ve been thinking about since you were describing the processes. This is something we are struggling with in the UK as well: how to build community buy-in. You mentioned that it’s not only the people in your office, but a wider community of people who are generous with their time and volunteer in these circles. How have you managed to create that community buy-in, or build that community base that you can rely on, especially within this context?</w:t>
      </w:r>
    </w:p>
    <w:p w14:paraId="00000025"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br/>
        <w:t xml:space="preserve">Like, you know, you are again, like, </w:t>
      </w:r>
      <w:proofErr w:type="gramStart"/>
      <w:r w:rsidRPr="00386C1A">
        <w:rPr>
          <w:rFonts w:asciiTheme="majorHAnsi" w:eastAsia="Arial" w:hAnsiTheme="majorHAnsi" w:cstheme="majorHAnsi"/>
          <w:sz w:val="24"/>
          <w:szCs w:val="24"/>
        </w:rPr>
        <w:t>similar to</w:t>
      </w:r>
      <w:proofErr w:type="gramEnd"/>
      <w:r w:rsidRPr="00386C1A">
        <w:rPr>
          <w:rFonts w:asciiTheme="majorHAnsi" w:eastAsia="Arial" w:hAnsiTheme="majorHAnsi" w:cstheme="majorHAnsi"/>
          <w:sz w:val="24"/>
          <w:szCs w:val="24"/>
        </w:rPr>
        <w:t xml:space="preserve"> the UK within a neoliberal, </w:t>
      </w:r>
      <w:proofErr w:type="spellStart"/>
      <w:r w:rsidRPr="00386C1A">
        <w:rPr>
          <w:rFonts w:asciiTheme="majorHAnsi" w:eastAsia="Arial" w:hAnsiTheme="majorHAnsi" w:cstheme="majorHAnsi"/>
          <w:sz w:val="24"/>
          <w:szCs w:val="24"/>
        </w:rPr>
        <w:t>marketised</w:t>
      </w:r>
      <w:proofErr w:type="spellEnd"/>
      <w:r w:rsidRPr="00386C1A">
        <w:rPr>
          <w:rFonts w:asciiTheme="majorHAnsi" w:eastAsia="Arial" w:hAnsiTheme="majorHAnsi" w:cstheme="majorHAnsi"/>
          <w:sz w:val="24"/>
          <w:szCs w:val="24"/>
        </w:rPr>
        <w:t xml:space="preserve"> university context. And, you know, there’s constant pushback, like politically, you know, around the work that we are trying to do.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I’m really, really interested.</w:t>
      </w:r>
    </w:p>
    <w:p w14:paraId="00000026"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br/>
      </w:r>
      <w:r w:rsidRPr="00386C1A">
        <w:rPr>
          <w:rFonts w:asciiTheme="majorHAnsi" w:eastAsia="Arial" w:hAnsiTheme="majorHAnsi" w:cstheme="majorHAnsi"/>
          <w:b/>
          <w:bCs/>
          <w:sz w:val="24"/>
          <w:szCs w:val="24"/>
        </w:rPr>
        <w:t>Caitlin Babcock:</w:t>
      </w:r>
      <w:r w:rsidRPr="00386C1A">
        <w:rPr>
          <w:rFonts w:asciiTheme="majorHAnsi" w:eastAsia="Arial" w:hAnsiTheme="majorHAnsi" w:cstheme="majorHAnsi"/>
          <w:sz w:val="24"/>
          <w:szCs w:val="24"/>
        </w:rPr>
        <w:br/>
        <w:t xml:space="preserve">Yeah, so I think one is relationship building. I think that relationship building means that when other constituents on campus have activities or other things that you can volunteer your time for, that you should do that, because then they may be reciprocal with their time. I also think that creating relationships with individuals to say, “This is a really great way to </w:t>
      </w:r>
      <w:r w:rsidRPr="00386C1A">
        <w:rPr>
          <w:rFonts w:asciiTheme="majorHAnsi" w:eastAsia="Arial" w:hAnsiTheme="majorHAnsi" w:cstheme="majorHAnsi"/>
          <w:sz w:val="24"/>
          <w:szCs w:val="24"/>
        </w:rPr>
        <w:lastRenderedPageBreak/>
        <w:t xml:space="preserve">gain knowledge in a different area that might be helpful for your future career,” is </w:t>
      </w:r>
      <w:proofErr w:type="gramStart"/>
      <w:r w:rsidRPr="00386C1A">
        <w:rPr>
          <w:rFonts w:asciiTheme="majorHAnsi" w:eastAsia="Arial" w:hAnsiTheme="majorHAnsi" w:cstheme="majorHAnsi"/>
          <w:sz w:val="24"/>
          <w:szCs w:val="24"/>
        </w:rPr>
        <w:t>really useful</w:t>
      </w:r>
      <w:proofErr w:type="gramEnd"/>
      <w:r w:rsidRPr="00386C1A">
        <w:rPr>
          <w:rFonts w:asciiTheme="majorHAnsi" w:eastAsia="Arial" w:hAnsiTheme="majorHAnsi" w:cstheme="majorHAnsi"/>
          <w:sz w:val="24"/>
          <w:szCs w:val="24"/>
        </w:rPr>
        <w:t>. I think leveraging that is super helpful. But I also think that part of the buy-in is saying that when we do this, it helps the larger community. And so that is when you have individuals who go, “I want to be there, and I want to help people.”</w:t>
      </w:r>
    </w:p>
    <w:p w14:paraId="00000027"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At TCNJ specifically, we really have a lot of people who go into this work because they want to help. They want to be there and make sure that our students are successful.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I think if you can leverage that component—this is why we’re here, and this is an opportunity to do that—it allows people to say, “Actually, I want to do this. I want to gain that experience. I want to understand this.” And maybe they do it one time and then go, “I can’t do this again.” But that’s okay. You might have some of those, but you might also have some who say, “I would love to keep doing this. This is something that’s outside of my wheelhouse, and I want to continue because I saw the outcome and the impact that I had.”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I think that’s been really beneficial. But I also know it doesn’t work everywhere, and you may have to figure out what will speak to the people in your specific community. For example, I’ll be honest—there are some institutions where, when people volunteer, they are given a stipend. TCNJ does not have the ability to give a stipend. But if your institution does, that’s a </w:t>
      </w:r>
      <w:proofErr w:type="gramStart"/>
      <w:r w:rsidRPr="00386C1A">
        <w:rPr>
          <w:rFonts w:asciiTheme="majorHAnsi" w:eastAsia="Arial" w:hAnsiTheme="majorHAnsi" w:cstheme="majorHAnsi"/>
          <w:sz w:val="24"/>
          <w:szCs w:val="24"/>
        </w:rPr>
        <w:t>really great</w:t>
      </w:r>
      <w:proofErr w:type="gramEnd"/>
      <w:r w:rsidRPr="00386C1A">
        <w:rPr>
          <w:rFonts w:asciiTheme="majorHAnsi" w:eastAsia="Arial" w:hAnsiTheme="majorHAnsi" w:cstheme="majorHAnsi"/>
          <w:sz w:val="24"/>
          <w:szCs w:val="24"/>
        </w:rPr>
        <w:t xml:space="preserve"> incentive for people to participate and give their time.</w:t>
      </w:r>
    </w:p>
    <w:p w14:paraId="00000028" w14:textId="77777777" w:rsidR="003325D3" w:rsidRPr="00386C1A" w:rsidRDefault="00000000">
      <w:pPr>
        <w:spacing w:before="240" w:after="240"/>
        <w:rPr>
          <w:rFonts w:asciiTheme="majorHAnsi" w:eastAsia="Arial" w:hAnsiTheme="majorHAnsi" w:cstheme="majorHAnsi"/>
          <w:sz w:val="24"/>
          <w:szCs w:val="24"/>
        </w:rPr>
      </w:pPr>
      <w:r w:rsidRPr="00386C1A">
        <w:rPr>
          <w:rFonts w:asciiTheme="majorHAnsi" w:eastAsia="Arial" w:hAnsiTheme="majorHAnsi" w:cstheme="majorHAnsi"/>
          <w:sz w:val="24"/>
          <w:szCs w:val="24"/>
        </w:rPr>
        <w:t xml:space="preserve">Because of that, you sometimes </w:t>
      </w:r>
      <w:proofErr w:type="gramStart"/>
      <w:r w:rsidRPr="00386C1A">
        <w:rPr>
          <w:rFonts w:asciiTheme="majorHAnsi" w:eastAsia="Arial" w:hAnsiTheme="majorHAnsi" w:cstheme="majorHAnsi"/>
          <w:sz w:val="24"/>
          <w:szCs w:val="24"/>
        </w:rPr>
        <w:t>have to</w:t>
      </w:r>
      <w:proofErr w:type="gramEnd"/>
      <w:r w:rsidRPr="00386C1A">
        <w:rPr>
          <w:rFonts w:asciiTheme="majorHAnsi" w:eastAsia="Arial" w:hAnsiTheme="majorHAnsi" w:cstheme="majorHAnsi"/>
          <w:sz w:val="24"/>
          <w:szCs w:val="24"/>
        </w:rPr>
        <w:t xml:space="preserve"> work around it and think: how do I pull the heartstrings a bit? How do I get that buy-in in another way? It’s also </w:t>
      </w:r>
      <w:proofErr w:type="gramStart"/>
      <w:r w:rsidRPr="00386C1A">
        <w:rPr>
          <w:rFonts w:asciiTheme="majorHAnsi" w:eastAsia="Arial" w:hAnsiTheme="majorHAnsi" w:cstheme="majorHAnsi"/>
          <w:sz w:val="24"/>
          <w:szCs w:val="24"/>
        </w:rPr>
        <w:t>ever-evolving</w:t>
      </w:r>
      <w:proofErr w:type="gramEnd"/>
      <w:r w:rsidRPr="00386C1A">
        <w:rPr>
          <w:rFonts w:asciiTheme="majorHAnsi" w:eastAsia="Arial" w:hAnsiTheme="majorHAnsi" w:cstheme="majorHAnsi"/>
          <w:sz w:val="24"/>
          <w:szCs w:val="24"/>
        </w:rPr>
        <w:t xml:space="preserve">, and it comes from opening everything to the community and saying, “Who wants to be trained?” Because when you do that, you may find people you didn’t expect, and you can build connections with them that you didn’t already have. That then helps you continue the cycle of having people who can </w:t>
      </w:r>
      <w:proofErr w:type="gramStart"/>
      <w:r w:rsidRPr="00386C1A">
        <w:rPr>
          <w:rFonts w:asciiTheme="majorHAnsi" w:eastAsia="Arial" w:hAnsiTheme="majorHAnsi" w:cstheme="majorHAnsi"/>
          <w:sz w:val="24"/>
          <w:szCs w:val="24"/>
        </w:rPr>
        <w:t>facilitate,</w:t>
      </w:r>
      <w:proofErr w:type="gramEnd"/>
      <w:r w:rsidRPr="00386C1A">
        <w:rPr>
          <w:rFonts w:asciiTheme="majorHAnsi" w:eastAsia="Arial" w:hAnsiTheme="majorHAnsi" w:cstheme="majorHAnsi"/>
          <w:sz w:val="24"/>
          <w:szCs w:val="24"/>
        </w:rPr>
        <w:t xml:space="preserve"> people who are willing to help in some capacity. And that’s when you can really use those connections in the future when you need them.</w:t>
      </w:r>
    </w:p>
    <w:p w14:paraId="00000029" w14:textId="77777777" w:rsidR="003325D3" w:rsidRPr="00386C1A" w:rsidRDefault="00000000">
      <w:pPr>
        <w:rPr>
          <w:rFonts w:asciiTheme="majorHAnsi" w:eastAsia="Arial" w:hAnsiTheme="majorHAnsi" w:cstheme="majorHAnsi"/>
          <w:sz w:val="24"/>
          <w:szCs w:val="24"/>
        </w:rPr>
      </w:pPr>
      <w:proofErr w:type="spellStart"/>
      <w:r w:rsidRPr="00386C1A">
        <w:rPr>
          <w:rFonts w:asciiTheme="majorHAnsi" w:eastAsia="Arial" w:hAnsiTheme="majorHAnsi" w:cstheme="majorHAnsi"/>
          <w:b/>
          <w:bCs/>
          <w:sz w:val="24"/>
          <w:szCs w:val="24"/>
        </w:rPr>
        <w:t>Adrija</w:t>
      </w:r>
      <w:proofErr w:type="spellEnd"/>
      <w:r w:rsidRPr="00386C1A">
        <w:rPr>
          <w:rFonts w:asciiTheme="majorHAnsi" w:eastAsia="Arial" w:hAnsiTheme="majorHAnsi" w:cstheme="majorHAnsi"/>
          <w:b/>
          <w:bCs/>
          <w:sz w:val="24"/>
          <w:szCs w:val="24"/>
        </w:rPr>
        <w:t xml:space="preserve"> Dey:</w:t>
      </w:r>
      <w:r w:rsidRPr="00386C1A">
        <w:rPr>
          <w:rFonts w:asciiTheme="majorHAnsi" w:eastAsia="Arial" w:hAnsiTheme="majorHAnsi" w:cstheme="majorHAnsi"/>
          <w:sz w:val="24"/>
          <w:szCs w:val="24"/>
        </w:rPr>
        <w:br/>
        <w:t>Oh my God, thank you so much, Caitlin. And again, I think I have pages and pages of notes, and I’m sure all our listeners will really appreciate all the advice and resources that you have shared. We will pull out some of the resources you mentioned in your presentation as well. But again, if there are any links to things you have found helpful—like books or other resources—I know you mentioned some in your presentation already—if you could put them in the chat for us, we can curate that. For every panel, we are putting together a list of resources that we will shortly circulate as well. But thank you so much. I’ll let Erin wrap up.</w:t>
      </w:r>
    </w:p>
    <w:p w14:paraId="0000002A"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br/>
      </w:r>
      <w:r w:rsidRPr="00386C1A">
        <w:rPr>
          <w:rFonts w:asciiTheme="majorHAnsi" w:eastAsia="Arial" w:hAnsiTheme="majorHAnsi" w:cstheme="majorHAnsi"/>
          <w:b/>
          <w:bCs/>
          <w:sz w:val="24"/>
          <w:szCs w:val="24"/>
        </w:rPr>
        <w:t>Erin Shannon:</w:t>
      </w:r>
      <w:r w:rsidRPr="00386C1A">
        <w:rPr>
          <w:rFonts w:asciiTheme="majorHAnsi" w:eastAsia="Arial" w:hAnsiTheme="majorHAnsi" w:cstheme="majorHAnsi"/>
          <w:sz w:val="24"/>
          <w:szCs w:val="24"/>
        </w:rPr>
        <w:br/>
        <w:t xml:space="preserve">Yeah, just echoing </w:t>
      </w:r>
      <w:proofErr w:type="spellStart"/>
      <w:r w:rsidRPr="00386C1A">
        <w:rPr>
          <w:rFonts w:asciiTheme="majorHAnsi" w:eastAsia="Arial" w:hAnsiTheme="majorHAnsi" w:cstheme="majorHAnsi"/>
          <w:sz w:val="24"/>
          <w:szCs w:val="24"/>
        </w:rPr>
        <w:t>Adrija</w:t>
      </w:r>
      <w:proofErr w:type="spellEnd"/>
      <w:r w:rsidRPr="00386C1A">
        <w:rPr>
          <w:rFonts w:asciiTheme="majorHAnsi" w:eastAsia="Arial" w:hAnsiTheme="majorHAnsi" w:cstheme="majorHAnsi"/>
          <w:sz w:val="24"/>
          <w:szCs w:val="24"/>
        </w:rPr>
        <w:t xml:space="preserve">, really thank you so much again for sharing all of that with us. I’m sure people will find it </w:t>
      </w:r>
      <w:proofErr w:type="gramStart"/>
      <w:r w:rsidRPr="00386C1A">
        <w:rPr>
          <w:rFonts w:asciiTheme="majorHAnsi" w:eastAsia="Arial" w:hAnsiTheme="majorHAnsi" w:cstheme="majorHAnsi"/>
          <w:sz w:val="24"/>
          <w:szCs w:val="24"/>
        </w:rPr>
        <w:t>really helpful</w:t>
      </w:r>
      <w:proofErr w:type="gramEnd"/>
      <w:r w:rsidRPr="00386C1A">
        <w:rPr>
          <w:rFonts w:asciiTheme="majorHAnsi" w:eastAsia="Arial" w:hAnsiTheme="majorHAnsi" w:cstheme="majorHAnsi"/>
          <w:sz w:val="24"/>
          <w:szCs w:val="24"/>
        </w:rPr>
        <w:t xml:space="preserve">. There seems to be a growing appetite not only in England, where </w:t>
      </w:r>
      <w:proofErr w:type="spellStart"/>
      <w:r w:rsidRPr="00386C1A">
        <w:rPr>
          <w:rFonts w:asciiTheme="majorHAnsi" w:eastAsia="Arial" w:hAnsiTheme="majorHAnsi" w:cstheme="majorHAnsi"/>
          <w:sz w:val="24"/>
          <w:szCs w:val="24"/>
        </w:rPr>
        <w:t>Adrija</w:t>
      </w:r>
      <w:proofErr w:type="spellEnd"/>
      <w:r w:rsidRPr="00386C1A">
        <w:rPr>
          <w:rFonts w:asciiTheme="majorHAnsi" w:eastAsia="Arial" w:hAnsiTheme="majorHAnsi" w:cstheme="majorHAnsi"/>
          <w:sz w:val="24"/>
          <w:szCs w:val="24"/>
        </w:rPr>
        <w:t xml:space="preserve"> and I are based, but elsewhere around the world for finding non-punitive accountability options in universities, specifically in response to forms of sexual harm. </w:t>
      </w:r>
      <w:proofErr w:type="gramStart"/>
      <w:r w:rsidRPr="00386C1A">
        <w:rPr>
          <w:rFonts w:asciiTheme="majorHAnsi" w:eastAsia="Arial" w:hAnsiTheme="majorHAnsi" w:cstheme="majorHAnsi"/>
          <w:sz w:val="24"/>
          <w:szCs w:val="24"/>
        </w:rPr>
        <w:t>So</w:t>
      </w:r>
      <w:proofErr w:type="gramEnd"/>
      <w:r w:rsidRPr="00386C1A">
        <w:rPr>
          <w:rFonts w:asciiTheme="majorHAnsi" w:eastAsia="Arial" w:hAnsiTheme="majorHAnsi" w:cstheme="majorHAnsi"/>
          <w:sz w:val="24"/>
          <w:szCs w:val="24"/>
        </w:rPr>
        <w:t xml:space="preserve"> I think people will really get a lot out of this. And thank you once again for your time.</w:t>
      </w:r>
    </w:p>
    <w:p w14:paraId="0000002B" w14:textId="77777777" w:rsidR="003325D3" w:rsidRPr="00386C1A" w:rsidRDefault="00000000">
      <w:pPr>
        <w:rPr>
          <w:rFonts w:asciiTheme="majorHAnsi" w:eastAsia="Arial" w:hAnsiTheme="majorHAnsi" w:cstheme="majorHAnsi"/>
          <w:sz w:val="24"/>
          <w:szCs w:val="24"/>
        </w:rPr>
      </w:pPr>
      <w:r w:rsidRPr="00386C1A">
        <w:rPr>
          <w:rFonts w:asciiTheme="majorHAnsi" w:eastAsia="Arial" w:hAnsiTheme="majorHAnsi" w:cstheme="majorHAnsi"/>
          <w:sz w:val="24"/>
          <w:szCs w:val="24"/>
        </w:rPr>
        <w:br/>
      </w:r>
      <w:r w:rsidRPr="00386C1A">
        <w:rPr>
          <w:rFonts w:asciiTheme="majorHAnsi" w:eastAsia="Arial" w:hAnsiTheme="majorHAnsi" w:cstheme="majorHAnsi"/>
          <w:b/>
          <w:bCs/>
          <w:sz w:val="24"/>
          <w:szCs w:val="24"/>
        </w:rPr>
        <w:t>Caitlin Babcock:</w:t>
      </w:r>
      <w:r w:rsidRPr="00386C1A">
        <w:rPr>
          <w:rFonts w:asciiTheme="majorHAnsi" w:eastAsia="Arial" w:hAnsiTheme="majorHAnsi" w:cstheme="majorHAnsi"/>
          <w:sz w:val="24"/>
          <w:szCs w:val="24"/>
        </w:rPr>
        <w:br/>
        <w:t xml:space="preserve">Yeah, thank you. And again, feel free to reach out if there are any questions or anything else that comes up. I’m always happy to respond to an email as needed, or even chat through information as well. </w:t>
      </w:r>
    </w:p>
    <w:p w14:paraId="0000002C" w14:textId="77777777" w:rsidR="003325D3" w:rsidRDefault="00000000">
      <w:pPr>
        <w:rPr>
          <w:rFonts w:ascii="Arial" w:eastAsia="Arial" w:hAnsi="Arial" w:cs="Arial"/>
          <w:sz w:val="18"/>
          <w:szCs w:val="18"/>
        </w:rPr>
      </w:pPr>
      <w:r w:rsidRPr="00386C1A">
        <w:rPr>
          <w:rFonts w:asciiTheme="majorHAnsi" w:eastAsia="Arial" w:hAnsiTheme="majorHAnsi" w:cstheme="majorHAnsi"/>
          <w:sz w:val="24"/>
          <w:szCs w:val="24"/>
        </w:rPr>
        <w:lastRenderedPageBreak/>
        <w:br/>
      </w:r>
      <w:r w:rsidRPr="00386C1A">
        <w:rPr>
          <w:rFonts w:asciiTheme="majorHAnsi" w:eastAsia="Arial" w:hAnsiTheme="majorHAnsi" w:cstheme="majorHAnsi"/>
          <w:b/>
          <w:bCs/>
          <w:sz w:val="24"/>
          <w:szCs w:val="24"/>
        </w:rPr>
        <w:t>Outro:</w:t>
      </w:r>
      <w:r w:rsidRPr="00386C1A">
        <w:rPr>
          <w:rFonts w:asciiTheme="majorHAnsi" w:eastAsia="Arial" w:hAnsiTheme="majorHAnsi" w:cstheme="majorHAnsi"/>
          <w:sz w:val="24"/>
          <w:szCs w:val="24"/>
        </w:rPr>
        <w:br/>
        <w:t>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w:t>
      </w:r>
      <w:r>
        <w:rPr>
          <w:rFonts w:ascii="Arial" w:eastAsia="Arial" w:hAnsi="Arial" w:cs="Arial"/>
          <w:sz w:val="18"/>
          <w:szCs w:val="18"/>
        </w:rPr>
        <w:t xml:space="preserve">te, </w:t>
      </w:r>
      <w:hyperlink r:id="rId9">
        <w:r w:rsidR="003325D3">
          <w:rPr>
            <w:rFonts w:ascii="Arial" w:eastAsia="Arial" w:hAnsi="Arial" w:cs="Arial"/>
            <w:color w:val="1155CC"/>
            <w:sz w:val="18"/>
            <w:szCs w:val="18"/>
            <w:u w:val="single"/>
          </w:rPr>
          <w:t>femideas.com</w:t>
        </w:r>
      </w:hyperlink>
      <w:r>
        <w:rPr>
          <w:rFonts w:ascii="Arial" w:eastAsia="Arial" w:hAnsi="Arial" w:cs="Arial"/>
          <w:sz w:val="18"/>
          <w:szCs w:val="18"/>
        </w:rPr>
        <w:t>.</w:t>
      </w:r>
    </w:p>
    <w:sectPr w:rsidR="003325D3" w:rsidSect="009E47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7DBFE3" w14:textId="77777777" w:rsidR="00141CB3" w:rsidRDefault="00141CB3">
      <w:r>
        <w:separator/>
      </w:r>
    </w:p>
  </w:endnote>
  <w:endnote w:type="continuationSeparator" w:id="0">
    <w:p w14:paraId="67FEF16D" w14:textId="77777777" w:rsidR="00141CB3" w:rsidRDefault="00141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AAE49AA4-F542-4540-B6C2-B008928E1840}"/>
    <w:embedItalic r:id="rId2" w:fontKey="{CF7A64A8-FF14-A84F-B76A-5479DFD183F2}"/>
  </w:font>
  <w:font w:name="Georgia">
    <w:panose1 w:val="02040502050405020303"/>
    <w:charset w:val="00"/>
    <w:family w:val="roman"/>
    <w:pitch w:val="variable"/>
    <w:sig w:usb0="00000287" w:usb1="00000000" w:usb2="00000000" w:usb3="00000000" w:csb0="0000009F" w:csb1="00000000"/>
    <w:embedItalic r:id="rId3" w:fontKey="{77A580DD-F4A5-3B4E-A809-1370AF66676F}"/>
  </w:font>
  <w:font w:name="Calibri">
    <w:panose1 w:val="020F0502020204030204"/>
    <w:charset w:val="00"/>
    <w:family w:val="swiss"/>
    <w:pitch w:val="variable"/>
    <w:sig w:usb0="E4002EFF" w:usb1="C000247B" w:usb2="00000009" w:usb3="00000000" w:csb0="000001FF" w:csb1="00000000"/>
    <w:embedRegular r:id="rId4" w:fontKey="{D66A22FD-24C6-4545-9C1D-372027785F91}"/>
    <w:embedBold r:id="rId5" w:fontKey="{8B2F466B-8CDC-674D-81E7-9AA7A93D4E45}"/>
    <w:embedItalic r:id="rId6" w:fontKey="{389FA3AE-C876-3145-BA8B-1932F815EC38}"/>
  </w:font>
  <w:font w:name="Arial">
    <w:panose1 w:val="020B0604020202020204"/>
    <w:charset w:val="00"/>
    <w:family w:val="swiss"/>
    <w:pitch w:val="variable"/>
    <w:sig w:usb0="E0002EFF" w:usb1="C000785B" w:usb2="00000009" w:usb3="00000000" w:csb0="000001FF" w:csb1="00000000"/>
    <w:embedRegular r:id="rId7" w:fontKey="{4AC2ACCD-EC84-F34D-89C4-BA904D50B67E}"/>
    <w:embedBold r:id="rId8" w:fontKey="{F32190A6-9CB9-344A-A5E7-3E839A34C501}"/>
    <w:embedItalic r:id="rId9" w:fontKey="{2EDEFF05-FC65-3D4E-87C4-8203F53D0F16}"/>
  </w:font>
  <w:font w:name="Cambria">
    <w:panose1 w:val="02040503050406030204"/>
    <w:charset w:val="00"/>
    <w:family w:val="roman"/>
    <w:pitch w:val="variable"/>
    <w:sig w:usb0="E00002FF" w:usb1="400004FF" w:usb2="00000000" w:usb3="00000000" w:csb0="0000019F" w:csb1="00000000"/>
    <w:embedRegular r:id="rId10" w:fontKey="{1C4BEEBD-B688-0D48-804C-E6F90AE366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4F0FF" w14:textId="77777777" w:rsidR="005A5A9F" w:rsidRDefault="005A5A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C5183" w14:textId="77777777" w:rsidR="009E47B4" w:rsidRPr="00922FC4" w:rsidRDefault="009E47B4" w:rsidP="009E47B4">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25BD42E5" w14:textId="77777777" w:rsidR="009E47B4" w:rsidRDefault="009E47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1C3B1" w14:textId="77777777" w:rsidR="005A5A9F" w:rsidRDefault="005A5A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39A4A" w14:textId="77777777" w:rsidR="00141CB3" w:rsidRDefault="00141CB3">
      <w:r>
        <w:separator/>
      </w:r>
    </w:p>
  </w:footnote>
  <w:footnote w:type="continuationSeparator" w:id="0">
    <w:p w14:paraId="773F9B90" w14:textId="77777777" w:rsidR="00141CB3" w:rsidRDefault="00141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A86F3" w14:textId="77777777" w:rsidR="005A5A9F" w:rsidRDefault="005A5A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052EF" w14:textId="77777777" w:rsidR="005A5A9F" w:rsidRDefault="005A5A9F" w:rsidP="005A5A9F">
    <w:r>
      <w:rPr>
        <w:noProof/>
      </w:rPr>
      <w:drawing>
        <wp:anchor distT="0" distB="0" distL="114300" distR="114300" simplePos="0" relativeHeight="251660288" behindDoc="1" locked="0" layoutInCell="1" allowOverlap="1" wp14:anchorId="7FBA7D93" wp14:editId="3070800B">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6ECE16A" wp14:editId="28907AEC">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2D" w14:textId="77777777" w:rsidR="003325D3" w:rsidRDefault="003325D3">
    <w:pPr>
      <w:widowControl w:val="0"/>
      <w:pBdr>
        <w:top w:val="nil"/>
        <w:left w:val="nil"/>
        <w:bottom w:val="nil"/>
        <w:right w:val="nil"/>
        <w:between w:val="nil"/>
      </w:pBdr>
      <w:spacing w:line="276"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59543" w14:textId="77777777" w:rsidR="005A5A9F" w:rsidRDefault="005A5A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5D3"/>
    <w:rsid w:val="00054DD9"/>
    <w:rsid w:val="00141CB3"/>
    <w:rsid w:val="002265E1"/>
    <w:rsid w:val="003272B3"/>
    <w:rsid w:val="003325D3"/>
    <w:rsid w:val="00386C1A"/>
    <w:rsid w:val="005A5A9F"/>
    <w:rsid w:val="006314A8"/>
    <w:rsid w:val="009E47B4"/>
    <w:rsid w:val="00A76A7B"/>
    <w:rsid w:val="00D20989"/>
    <w:rsid w:val="00DE6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402A4D"/>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3272B3"/>
    <w:pPr>
      <w:tabs>
        <w:tab w:val="center" w:pos="4513"/>
        <w:tab w:val="right" w:pos="9026"/>
      </w:tabs>
    </w:pPr>
  </w:style>
  <w:style w:type="character" w:customStyle="1" w:styleId="HeaderChar">
    <w:name w:val="Header Char"/>
    <w:basedOn w:val="DefaultParagraphFont"/>
    <w:link w:val="Header"/>
    <w:uiPriority w:val="99"/>
    <w:rsid w:val="003272B3"/>
  </w:style>
  <w:style w:type="paragraph" w:styleId="Footer">
    <w:name w:val="footer"/>
    <w:basedOn w:val="Normal"/>
    <w:link w:val="FooterChar"/>
    <w:uiPriority w:val="99"/>
    <w:unhideWhenUsed/>
    <w:rsid w:val="003272B3"/>
    <w:pPr>
      <w:tabs>
        <w:tab w:val="center" w:pos="4513"/>
        <w:tab w:val="right" w:pos="9026"/>
      </w:tabs>
    </w:pPr>
  </w:style>
  <w:style w:type="character" w:customStyle="1" w:styleId="FooterChar">
    <w:name w:val="Footer Char"/>
    <w:basedOn w:val="DefaultParagraphFont"/>
    <w:link w:val="Footer"/>
    <w:uiPriority w:val="99"/>
    <w:rsid w:val="003272B3"/>
  </w:style>
  <w:style w:type="character" w:styleId="Hyperlink">
    <w:name w:val="Hyperlink"/>
    <w:basedOn w:val="DefaultParagraphFont"/>
    <w:uiPriority w:val="99"/>
    <w:unhideWhenUsed/>
    <w:rsid w:val="002265E1"/>
    <w:rPr>
      <w:color w:val="0000FF" w:themeColor="hyperlink"/>
      <w:u w:val="single"/>
    </w:rPr>
  </w:style>
  <w:style w:type="character" w:styleId="UnresolvedMention">
    <w:name w:val="Unresolved Mention"/>
    <w:basedOn w:val="DefaultParagraphFont"/>
    <w:uiPriority w:val="99"/>
    <w:semiHidden/>
    <w:unhideWhenUsed/>
    <w:rsid w:val="00226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q8"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ca.st/4zhlqxh9"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wEj2ll7pjQ3ahjO7QVXTvvIlMg==">CgMxLjA4AHIhMUhta1BBZHZMam9uaG1RY2ZnbVFOaXNiM0ZvdTBQWW9H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3655</Words>
  <Characters>20840</Characters>
  <Application>Microsoft Office Word</Application>
  <DocSecurity>0</DocSecurity>
  <Lines>173</Lines>
  <Paragraphs>48</Paragraphs>
  <ScaleCrop>false</ScaleCrop>
  <Company/>
  <LinksUpToDate>false</LinksUpToDate>
  <CharactersWithSpaces>24447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8</cp:revision>
  <dcterms:created xsi:type="dcterms:W3CDTF">2026-05-14T09:00:00Z</dcterms:created>
  <dcterms:modified xsi:type="dcterms:W3CDTF">2026-05-16T11:53:00Z</dcterms:modified>
</cp:coreProperties>
</file>