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B46AC" w14:textId="77777777" w:rsidR="000048BD" w:rsidRPr="000048BD" w:rsidRDefault="000048BD" w:rsidP="000048BD">
      <w:pPr>
        <w:pStyle w:val="Title"/>
        <w:spacing w:line="276" w:lineRule="auto"/>
        <w:jc w:val="center"/>
        <w:rPr>
          <w:rFonts w:ascii="Times New Roman" w:eastAsiaTheme="minorEastAsia" w:hAnsi="Times New Roman" w:cs="Times New Roman"/>
          <w:b/>
          <w:bCs/>
          <w:sz w:val="22"/>
          <w:szCs w:val="22"/>
          <w:lang w:eastAsia="en-GB"/>
        </w:rPr>
      </w:pPr>
      <w:r w:rsidRPr="000048BD">
        <w:rPr>
          <w:rFonts w:ascii="Times New Roman" w:eastAsiaTheme="minorEastAsia" w:hAnsi="Times New Roman" w:cs="Times New Roman"/>
          <w:b/>
          <w:bCs/>
          <w:sz w:val="24"/>
          <w:szCs w:val="24"/>
          <w:lang w:eastAsia="en-GB"/>
        </w:rPr>
        <w:t xml:space="preserve">Developing an “Insider Language Index” as a Composite Measure to Detect Insider Threat </w:t>
      </w:r>
    </w:p>
    <w:p w14:paraId="7C73064D" w14:textId="77777777" w:rsidR="000048BD" w:rsidRPr="000048BD" w:rsidRDefault="000048BD" w:rsidP="000048BD">
      <w:pPr>
        <w:jc w:val="center"/>
      </w:pPr>
    </w:p>
    <w:p w14:paraId="63C5C5A9" w14:textId="77777777" w:rsidR="000048BD" w:rsidRPr="000048BD" w:rsidRDefault="000048BD" w:rsidP="000048BD">
      <w:pPr>
        <w:jc w:val="center"/>
      </w:pPr>
    </w:p>
    <w:p w14:paraId="353CD0D1" w14:textId="7D190740" w:rsidR="000048BD" w:rsidRPr="000048BD" w:rsidRDefault="000048BD" w:rsidP="000048BD">
      <w:pPr>
        <w:spacing w:line="276" w:lineRule="auto"/>
        <w:jc w:val="center"/>
        <w:rPr>
          <w:rFonts w:eastAsiaTheme="minorEastAsia"/>
          <w:b/>
          <w:bCs/>
        </w:rPr>
      </w:pPr>
      <w:r w:rsidRPr="000048BD">
        <w:rPr>
          <w:rFonts w:eastAsiaTheme="minorEastAsia"/>
          <w:b/>
          <w:bCs/>
        </w:rPr>
        <w:t>Natasha G. Martlew</w:t>
      </w:r>
      <w:r w:rsidRPr="000048BD">
        <w:rPr>
          <w:rFonts w:eastAsiaTheme="minorEastAsia"/>
          <w:b/>
          <w:bCs/>
          <w:vertAlign w:val="superscript"/>
        </w:rPr>
        <w:t>1*</w:t>
      </w:r>
      <w:r w:rsidRPr="000048BD">
        <w:rPr>
          <w:rFonts w:eastAsiaTheme="minorEastAsia"/>
          <w:b/>
          <w:bCs/>
        </w:rPr>
        <w:t>, Linden J. Ball</w:t>
      </w:r>
      <w:r w:rsidRPr="000048BD">
        <w:rPr>
          <w:rFonts w:eastAsiaTheme="minorEastAsia"/>
          <w:b/>
          <w:bCs/>
          <w:vertAlign w:val="superscript"/>
        </w:rPr>
        <w:t>1</w:t>
      </w:r>
      <w:r w:rsidRPr="000048BD">
        <w:rPr>
          <w:rFonts w:eastAsiaTheme="minorEastAsia"/>
          <w:b/>
          <w:bCs/>
        </w:rPr>
        <w:t xml:space="preserve">, </w:t>
      </w:r>
    </w:p>
    <w:p w14:paraId="7923B565" w14:textId="1272D4A5" w:rsidR="000048BD" w:rsidRDefault="000048BD" w:rsidP="000048BD">
      <w:pPr>
        <w:spacing w:line="276" w:lineRule="auto"/>
        <w:jc w:val="center"/>
        <w:rPr>
          <w:rFonts w:eastAsiaTheme="minorEastAsia"/>
          <w:b/>
          <w:bCs/>
        </w:rPr>
      </w:pPr>
      <w:r w:rsidRPr="000048BD">
        <w:rPr>
          <w:rFonts w:eastAsiaTheme="minorEastAsia"/>
          <w:b/>
          <w:bCs/>
        </w:rPr>
        <w:t>Coral J. Dando</w:t>
      </w:r>
      <w:r w:rsidRPr="000048BD">
        <w:rPr>
          <w:rFonts w:eastAsiaTheme="minorEastAsia"/>
          <w:b/>
          <w:bCs/>
          <w:vertAlign w:val="superscript"/>
        </w:rPr>
        <w:t>2</w:t>
      </w:r>
      <w:r w:rsidRPr="000048BD">
        <w:rPr>
          <w:rFonts w:eastAsiaTheme="minorEastAsia"/>
          <w:b/>
          <w:bCs/>
        </w:rPr>
        <w:t>, Thomas C. Ormerod</w:t>
      </w:r>
      <w:r w:rsidRPr="000048BD">
        <w:rPr>
          <w:rFonts w:eastAsiaTheme="minorEastAsia"/>
          <w:b/>
          <w:bCs/>
          <w:vertAlign w:val="superscript"/>
        </w:rPr>
        <w:t>3</w:t>
      </w:r>
      <w:r w:rsidRPr="000048BD">
        <w:rPr>
          <w:rFonts w:eastAsia="Calibri"/>
        </w:rPr>
        <w:t>,</w:t>
      </w:r>
      <w:r w:rsidRPr="000048BD">
        <w:rPr>
          <w:rFonts w:eastAsiaTheme="minorEastAsia"/>
          <w:b/>
          <w:bCs/>
          <w:vertAlign w:val="superscript"/>
        </w:rPr>
        <w:t xml:space="preserve"> </w:t>
      </w:r>
      <w:r w:rsidRPr="000048BD">
        <w:rPr>
          <w:rFonts w:eastAsiaTheme="minorEastAsia"/>
          <w:b/>
          <w:bCs/>
        </w:rPr>
        <w:t>Paul J. Taylor</w:t>
      </w:r>
      <w:r w:rsidRPr="000048BD">
        <w:rPr>
          <w:rFonts w:eastAsiaTheme="minorEastAsia"/>
          <w:b/>
          <w:bCs/>
          <w:vertAlign w:val="superscript"/>
        </w:rPr>
        <w:t>4</w:t>
      </w:r>
      <w:r w:rsidRPr="000048BD">
        <w:rPr>
          <w:rFonts w:eastAsia="Calibri"/>
        </w:rPr>
        <w:t>,</w:t>
      </w:r>
      <w:r w:rsidRPr="000048BD">
        <w:rPr>
          <w:rFonts w:eastAsia="Calibri"/>
          <w:b/>
          <w:bCs/>
        </w:rPr>
        <w:t xml:space="preserve"> Tarek Menacere</w:t>
      </w:r>
      <w:r w:rsidRPr="000048BD">
        <w:rPr>
          <w:rFonts w:eastAsiaTheme="minorEastAsia"/>
          <w:b/>
          <w:bCs/>
          <w:vertAlign w:val="superscript"/>
        </w:rPr>
        <w:t>4</w:t>
      </w:r>
      <w:r w:rsidR="00302C57">
        <w:rPr>
          <w:rFonts w:eastAsia="Calibri"/>
          <w:b/>
          <w:bCs/>
        </w:rPr>
        <w:t xml:space="preserve">, </w:t>
      </w:r>
      <w:r w:rsidRPr="000048BD">
        <w:rPr>
          <w:rFonts w:eastAsia="Calibri"/>
          <w:b/>
          <w:bCs/>
        </w:rPr>
        <w:t>Alexandra L. Sandham</w:t>
      </w:r>
      <w:r w:rsidRPr="000048BD">
        <w:rPr>
          <w:rFonts w:eastAsiaTheme="minorEastAsia"/>
          <w:b/>
          <w:bCs/>
          <w:vertAlign w:val="superscript"/>
        </w:rPr>
        <w:t>5</w:t>
      </w:r>
      <w:r w:rsidR="00302C57">
        <w:rPr>
          <w:rFonts w:eastAsiaTheme="minorEastAsia"/>
          <w:b/>
          <w:bCs/>
          <w:vertAlign w:val="superscript"/>
        </w:rPr>
        <w:t xml:space="preserve"> </w:t>
      </w:r>
      <w:r w:rsidR="00302C57">
        <w:rPr>
          <w:rFonts w:eastAsiaTheme="minorEastAsia"/>
          <w:b/>
          <w:bCs/>
        </w:rPr>
        <w:t>and B</w:t>
      </w:r>
      <w:r w:rsidR="00302C57" w:rsidRPr="000048BD">
        <w:rPr>
          <w:rFonts w:eastAsiaTheme="minorEastAsia"/>
          <w:b/>
          <w:bCs/>
        </w:rPr>
        <w:t>eth H. Richardson</w:t>
      </w:r>
      <w:r w:rsidR="00302C57" w:rsidRPr="000048BD">
        <w:rPr>
          <w:rFonts w:eastAsiaTheme="minorEastAsia"/>
          <w:b/>
          <w:bCs/>
          <w:vertAlign w:val="superscript"/>
        </w:rPr>
        <w:t>1*</w:t>
      </w:r>
    </w:p>
    <w:p w14:paraId="56FDBFD9" w14:textId="77777777" w:rsidR="00302C57" w:rsidRPr="000048BD" w:rsidRDefault="00302C57" w:rsidP="000048BD">
      <w:pPr>
        <w:spacing w:line="276" w:lineRule="auto"/>
        <w:jc w:val="center"/>
        <w:rPr>
          <w:rFonts w:eastAsia="Calibri"/>
          <w:b/>
          <w:bCs/>
        </w:rPr>
      </w:pPr>
    </w:p>
    <w:p w14:paraId="69F2CADE" w14:textId="77777777" w:rsidR="000048BD" w:rsidRPr="000048BD" w:rsidRDefault="000048BD" w:rsidP="000048BD">
      <w:pPr>
        <w:spacing w:line="276" w:lineRule="auto"/>
        <w:jc w:val="center"/>
        <w:rPr>
          <w:rFonts w:eastAsiaTheme="minorEastAsia"/>
        </w:rPr>
      </w:pPr>
      <w:r w:rsidRPr="000048BD">
        <w:rPr>
          <w:rFonts w:eastAsiaTheme="minorEastAsia"/>
          <w:vertAlign w:val="superscript"/>
        </w:rPr>
        <w:t>1</w:t>
      </w:r>
      <w:r w:rsidRPr="000048BD">
        <w:rPr>
          <w:rFonts w:eastAsia="Calibri"/>
        </w:rPr>
        <w:t>School of Psychology &amp; Humanities, University of Central Lancashire, Preston, UK</w:t>
      </w:r>
    </w:p>
    <w:p w14:paraId="225D8523" w14:textId="77777777" w:rsidR="000048BD" w:rsidRPr="000048BD" w:rsidRDefault="000048BD" w:rsidP="000048BD">
      <w:pPr>
        <w:spacing w:line="276" w:lineRule="auto"/>
        <w:jc w:val="center"/>
        <w:rPr>
          <w:rFonts w:eastAsiaTheme="minorEastAsia"/>
          <w:vertAlign w:val="superscript"/>
        </w:rPr>
      </w:pPr>
      <w:r w:rsidRPr="000048BD">
        <w:rPr>
          <w:rFonts w:eastAsiaTheme="minorEastAsia"/>
          <w:vertAlign w:val="superscript"/>
        </w:rPr>
        <w:t>2</w:t>
      </w:r>
      <w:r w:rsidRPr="000048BD">
        <w:rPr>
          <w:rFonts w:eastAsia="Calibri"/>
        </w:rPr>
        <w:t xml:space="preserve">Department of Psychology, University of Westminster, London </w:t>
      </w:r>
    </w:p>
    <w:p w14:paraId="78C94510" w14:textId="77777777" w:rsidR="000048BD" w:rsidRPr="000048BD" w:rsidRDefault="000048BD" w:rsidP="000048BD">
      <w:pPr>
        <w:spacing w:line="276" w:lineRule="auto"/>
        <w:jc w:val="center"/>
        <w:rPr>
          <w:rFonts w:eastAsiaTheme="minorEastAsia"/>
          <w:b/>
          <w:bCs/>
          <w:vertAlign w:val="superscript"/>
        </w:rPr>
      </w:pPr>
      <w:r w:rsidRPr="000048BD">
        <w:rPr>
          <w:rFonts w:eastAsiaTheme="minorEastAsia"/>
          <w:b/>
          <w:bCs/>
          <w:vertAlign w:val="superscript"/>
        </w:rPr>
        <w:t>3</w:t>
      </w:r>
      <w:r w:rsidRPr="000048BD">
        <w:rPr>
          <w:rFonts w:eastAsia="Calibri"/>
        </w:rPr>
        <w:t>Thomas C. Ormerod, School of Psychology, University of Sussex, Falmer, UK</w:t>
      </w:r>
    </w:p>
    <w:p w14:paraId="5C6B5D3D" w14:textId="77777777" w:rsidR="000048BD" w:rsidRPr="000048BD" w:rsidRDefault="000048BD" w:rsidP="000048BD">
      <w:pPr>
        <w:spacing w:line="276" w:lineRule="auto"/>
        <w:jc w:val="center"/>
        <w:rPr>
          <w:rFonts w:eastAsiaTheme="minorEastAsia"/>
          <w:b/>
          <w:bCs/>
          <w:vertAlign w:val="superscript"/>
        </w:rPr>
      </w:pPr>
      <w:r w:rsidRPr="000048BD">
        <w:rPr>
          <w:rFonts w:eastAsiaTheme="minorEastAsia"/>
          <w:b/>
          <w:bCs/>
          <w:vertAlign w:val="superscript"/>
        </w:rPr>
        <w:t>4</w:t>
      </w:r>
      <w:r w:rsidRPr="000048BD">
        <w:rPr>
          <w:rFonts w:eastAsia="Calibri"/>
        </w:rPr>
        <w:t>Department of Psychology, Lancaster University, Lancaster, UK</w:t>
      </w:r>
    </w:p>
    <w:p w14:paraId="1DE4D2B1" w14:textId="77777777" w:rsidR="000048BD" w:rsidRPr="000048BD" w:rsidRDefault="000048BD" w:rsidP="000048BD">
      <w:pPr>
        <w:spacing w:line="276" w:lineRule="auto"/>
        <w:jc w:val="center"/>
        <w:rPr>
          <w:rFonts w:eastAsia="Calibri"/>
        </w:rPr>
      </w:pPr>
      <w:r w:rsidRPr="000048BD">
        <w:rPr>
          <w:rFonts w:eastAsiaTheme="minorEastAsia"/>
          <w:b/>
          <w:bCs/>
          <w:vertAlign w:val="superscript"/>
        </w:rPr>
        <w:t>5</w:t>
      </w:r>
      <w:r w:rsidRPr="000048BD">
        <w:rPr>
          <w:rFonts w:eastAsia="Calibri"/>
        </w:rPr>
        <w:t>Department of Psychology, University of Gloucestershire, Cheltenham, UK</w:t>
      </w:r>
    </w:p>
    <w:p w14:paraId="6E73887F" w14:textId="77777777" w:rsidR="000048BD" w:rsidRPr="000048BD" w:rsidRDefault="000048BD" w:rsidP="000048BD">
      <w:pPr>
        <w:spacing w:line="276" w:lineRule="auto"/>
        <w:jc w:val="center"/>
        <w:rPr>
          <w:rFonts w:eastAsia="Calibri"/>
        </w:rPr>
      </w:pPr>
    </w:p>
    <w:p w14:paraId="614852D1" w14:textId="77777777" w:rsidR="000048BD" w:rsidRPr="000048BD" w:rsidRDefault="000048BD" w:rsidP="000048BD">
      <w:pPr>
        <w:spacing w:line="276" w:lineRule="auto"/>
        <w:jc w:val="center"/>
        <w:rPr>
          <w:rFonts w:eastAsia="Calibri"/>
        </w:rPr>
      </w:pPr>
    </w:p>
    <w:p w14:paraId="2E9DFE4F" w14:textId="77777777" w:rsidR="000048BD" w:rsidRPr="000048BD" w:rsidRDefault="000048BD" w:rsidP="000048BD">
      <w:pPr>
        <w:spacing w:line="276" w:lineRule="auto"/>
        <w:jc w:val="center"/>
        <w:rPr>
          <w:rFonts w:eastAsia="Calibri"/>
        </w:rPr>
      </w:pPr>
    </w:p>
    <w:p w14:paraId="7E31E321" w14:textId="77777777" w:rsidR="000048BD" w:rsidRPr="000048BD" w:rsidRDefault="000048BD" w:rsidP="000048BD">
      <w:pPr>
        <w:spacing w:line="276" w:lineRule="auto"/>
        <w:jc w:val="center"/>
        <w:rPr>
          <w:rFonts w:eastAsia="Calibri"/>
        </w:rPr>
      </w:pPr>
    </w:p>
    <w:p w14:paraId="5AE35F4C" w14:textId="77777777" w:rsidR="000048BD" w:rsidRPr="000048BD" w:rsidRDefault="000048BD" w:rsidP="000048BD">
      <w:pPr>
        <w:spacing w:line="276" w:lineRule="auto"/>
        <w:jc w:val="center"/>
        <w:rPr>
          <w:rFonts w:eastAsia="Calibri"/>
        </w:rPr>
      </w:pPr>
    </w:p>
    <w:p w14:paraId="5FCBDF9E" w14:textId="77777777" w:rsidR="000048BD" w:rsidRPr="000048BD" w:rsidRDefault="000048BD" w:rsidP="000048BD">
      <w:pPr>
        <w:spacing w:line="276" w:lineRule="auto"/>
        <w:jc w:val="center"/>
        <w:rPr>
          <w:rFonts w:eastAsia="Calibri"/>
        </w:rPr>
      </w:pPr>
    </w:p>
    <w:p w14:paraId="2B4E97A7" w14:textId="77777777" w:rsidR="000048BD" w:rsidRPr="000048BD" w:rsidRDefault="000048BD" w:rsidP="000048BD">
      <w:pPr>
        <w:spacing w:line="276" w:lineRule="auto"/>
        <w:jc w:val="center"/>
        <w:rPr>
          <w:rFonts w:eastAsia="Calibri"/>
        </w:rPr>
      </w:pPr>
    </w:p>
    <w:p w14:paraId="011CA0B0" w14:textId="77777777" w:rsidR="000048BD" w:rsidRPr="000048BD" w:rsidRDefault="000048BD" w:rsidP="000048BD">
      <w:pPr>
        <w:spacing w:line="276" w:lineRule="auto"/>
        <w:rPr>
          <w:rFonts w:eastAsiaTheme="minorEastAsia"/>
          <w:vertAlign w:val="superscript"/>
        </w:rPr>
      </w:pPr>
      <w:r w:rsidRPr="000048BD">
        <w:rPr>
          <w:rFonts w:eastAsia="Calibri"/>
        </w:rPr>
        <w:t>-------------------------------------</w:t>
      </w:r>
    </w:p>
    <w:p w14:paraId="424D2A32" w14:textId="77777777" w:rsidR="000048BD" w:rsidRPr="000048BD" w:rsidRDefault="000048BD" w:rsidP="000048BD">
      <w:pPr>
        <w:spacing w:line="276" w:lineRule="auto"/>
        <w:rPr>
          <w:rFonts w:eastAsia="Calibri"/>
          <w:b/>
          <w:bCs/>
        </w:rPr>
      </w:pPr>
      <w:r w:rsidRPr="000048BD">
        <w:rPr>
          <w:rFonts w:eastAsia="Calibri"/>
          <w:b/>
          <w:bCs/>
        </w:rPr>
        <w:t>*Corresponding Author</w:t>
      </w:r>
    </w:p>
    <w:p w14:paraId="2558AB17" w14:textId="77777777" w:rsidR="000048BD" w:rsidRPr="000048BD" w:rsidRDefault="000048BD" w:rsidP="000048BD">
      <w:pPr>
        <w:spacing w:line="276" w:lineRule="auto"/>
        <w:rPr>
          <w:rStyle w:val="Hyperlink"/>
          <w:rFonts w:eastAsia="Calibri"/>
        </w:rPr>
      </w:pPr>
      <w:r w:rsidRPr="000048BD">
        <w:rPr>
          <w:rFonts w:eastAsia="Calibri"/>
        </w:rPr>
        <w:t xml:space="preserve">Natasha G. Martlew: </w:t>
      </w:r>
      <w:hyperlink r:id="rId11">
        <w:r w:rsidRPr="000048BD">
          <w:rPr>
            <w:rStyle w:val="Hyperlink"/>
            <w:rFonts w:eastAsia="Calibri"/>
          </w:rPr>
          <w:t>ngmartlew@uclan.ac.uk</w:t>
        </w:r>
      </w:hyperlink>
    </w:p>
    <w:p w14:paraId="263005E1" w14:textId="77777777" w:rsidR="000048BD" w:rsidRPr="000048BD" w:rsidRDefault="000048BD" w:rsidP="000048BD">
      <w:pPr>
        <w:spacing w:line="276" w:lineRule="auto"/>
        <w:rPr>
          <w:rStyle w:val="Hyperlink"/>
          <w:rFonts w:eastAsia="Calibri"/>
        </w:rPr>
      </w:pPr>
    </w:p>
    <w:p w14:paraId="09B47618" w14:textId="77777777" w:rsidR="000048BD" w:rsidRPr="000048BD" w:rsidRDefault="000048BD" w:rsidP="000048BD">
      <w:pPr>
        <w:spacing w:line="276" w:lineRule="auto"/>
        <w:rPr>
          <w:rStyle w:val="Hyperlink"/>
          <w:rFonts w:eastAsia="Calibri"/>
        </w:rPr>
      </w:pPr>
    </w:p>
    <w:p w14:paraId="4135D965" w14:textId="77777777" w:rsidR="000048BD" w:rsidRPr="000048BD" w:rsidRDefault="000048BD" w:rsidP="000048BD">
      <w:pPr>
        <w:spacing w:line="276" w:lineRule="auto"/>
        <w:rPr>
          <w:rStyle w:val="Hyperlink"/>
          <w:rFonts w:eastAsia="Calibri"/>
        </w:rPr>
      </w:pPr>
    </w:p>
    <w:p w14:paraId="756434C4" w14:textId="77777777" w:rsidR="000048BD" w:rsidRPr="000048BD" w:rsidRDefault="000048BD" w:rsidP="000048BD">
      <w:pPr>
        <w:spacing w:line="276" w:lineRule="auto"/>
        <w:rPr>
          <w:rStyle w:val="Hyperlink"/>
          <w:rFonts w:eastAsia="Calibri"/>
        </w:rPr>
      </w:pPr>
    </w:p>
    <w:p w14:paraId="63F5DF1B" w14:textId="77777777" w:rsidR="000048BD" w:rsidRPr="000048BD" w:rsidRDefault="000048BD" w:rsidP="000048BD">
      <w:pPr>
        <w:spacing w:line="276" w:lineRule="auto"/>
        <w:rPr>
          <w:rStyle w:val="Hyperlink"/>
          <w:rFonts w:eastAsia="Calibri"/>
        </w:rPr>
      </w:pPr>
    </w:p>
    <w:p w14:paraId="5800F6EE" w14:textId="77777777" w:rsidR="000048BD" w:rsidRPr="000048BD" w:rsidRDefault="000048BD" w:rsidP="000048BD">
      <w:pPr>
        <w:spacing w:line="276" w:lineRule="auto"/>
        <w:rPr>
          <w:rStyle w:val="Hyperlink"/>
          <w:rFonts w:eastAsia="Calibri"/>
        </w:rPr>
      </w:pPr>
    </w:p>
    <w:p w14:paraId="06FA5DCC" w14:textId="77777777" w:rsidR="000048BD" w:rsidRPr="000048BD" w:rsidRDefault="000048BD" w:rsidP="000048BD">
      <w:pPr>
        <w:spacing w:line="276" w:lineRule="auto"/>
        <w:rPr>
          <w:rStyle w:val="Hyperlink"/>
          <w:rFonts w:eastAsia="Calibri"/>
        </w:rPr>
      </w:pPr>
    </w:p>
    <w:p w14:paraId="18EE1255" w14:textId="77777777" w:rsidR="000048BD" w:rsidRPr="000048BD" w:rsidRDefault="000048BD" w:rsidP="000048BD">
      <w:pPr>
        <w:spacing w:line="276" w:lineRule="auto"/>
        <w:rPr>
          <w:rStyle w:val="Hyperlink"/>
          <w:rFonts w:eastAsia="Calibri"/>
        </w:rPr>
      </w:pPr>
    </w:p>
    <w:p w14:paraId="00928B30" w14:textId="77777777" w:rsidR="000048BD" w:rsidRPr="000048BD" w:rsidRDefault="000048BD" w:rsidP="000048BD">
      <w:pPr>
        <w:spacing w:line="276" w:lineRule="auto"/>
        <w:rPr>
          <w:rStyle w:val="Hyperlink"/>
          <w:rFonts w:eastAsia="Calibri"/>
        </w:rPr>
      </w:pPr>
    </w:p>
    <w:p w14:paraId="3E8E00F1" w14:textId="77777777" w:rsidR="000048BD" w:rsidRPr="000048BD" w:rsidRDefault="000048BD" w:rsidP="000048BD">
      <w:pPr>
        <w:spacing w:line="276" w:lineRule="auto"/>
        <w:rPr>
          <w:rStyle w:val="Hyperlink"/>
          <w:rFonts w:eastAsia="Calibri"/>
        </w:rPr>
      </w:pPr>
    </w:p>
    <w:p w14:paraId="32167FA2" w14:textId="77777777" w:rsidR="000048BD" w:rsidRPr="000048BD" w:rsidRDefault="000048BD" w:rsidP="000048BD">
      <w:pPr>
        <w:spacing w:line="276" w:lineRule="auto"/>
        <w:rPr>
          <w:rStyle w:val="Hyperlink"/>
          <w:rFonts w:eastAsia="Calibri"/>
        </w:rPr>
      </w:pPr>
    </w:p>
    <w:p w14:paraId="29975D12" w14:textId="77777777" w:rsidR="000048BD" w:rsidRPr="000048BD" w:rsidRDefault="000048BD" w:rsidP="000048BD">
      <w:pPr>
        <w:spacing w:line="276" w:lineRule="auto"/>
        <w:rPr>
          <w:rStyle w:val="Hyperlink"/>
          <w:rFonts w:eastAsia="Calibri"/>
        </w:rPr>
      </w:pPr>
    </w:p>
    <w:p w14:paraId="074CAFF6" w14:textId="77777777" w:rsidR="000048BD" w:rsidRPr="000048BD" w:rsidRDefault="000048BD" w:rsidP="000048BD">
      <w:pPr>
        <w:spacing w:line="276" w:lineRule="auto"/>
        <w:rPr>
          <w:rStyle w:val="Hyperlink"/>
          <w:rFonts w:eastAsia="Calibri"/>
        </w:rPr>
      </w:pPr>
    </w:p>
    <w:p w14:paraId="3EE31F11" w14:textId="77777777" w:rsidR="000048BD" w:rsidRPr="000048BD" w:rsidRDefault="000048BD" w:rsidP="000048BD">
      <w:pPr>
        <w:spacing w:line="276" w:lineRule="auto"/>
        <w:rPr>
          <w:rStyle w:val="Hyperlink"/>
          <w:rFonts w:eastAsia="Calibri"/>
        </w:rPr>
      </w:pPr>
    </w:p>
    <w:p w14:paraId="6733B94E" w14:textId="77777777" w:rsidR="000048BD" w:rsidRPr="000048BD" w:rsidRDefault="000048BD" w:rsidP="000048BD">
      <w:pPr>
        <w:spacing w:line="276" w:lineRule="auto"/>
        <w:rPr>
          <w:rStyle w:val="Hyperlink"/>
          <w:rFonts w:eastAsia="Calibri"/>
        </w:rPr>
      </w:pPr>
    </w:p>
    <w:p w14:paraId="59346A48" w14:textId="77777777" w:rsidR="000048BD" w:rsidRPr="000048BD" w:rsidRDefault="000048BD" w:rsidP="000048BD">
      <w:pPr>
        <w:spacing w:line="276" w:lineRule="auto"/>
        <w:rPr>
          <w:rStyle w:val="Hyperlink"/>
          <w:rFonts w:eastAsia="Calibri"/>
        </w:rPr>
      </w:pPr>
    </w:p>
    <w:p w14:paraId="4841CF5A" w14:textId="77777777" w:rsidR="000048BD" w:rsidRPr="000048BD" w:rsidRDefault="000048BD" w:rsidP="000048BD">
      <w:pPr>
        <w:spacing w:line="276" w:lineRule="auto"/>
        <w:rPr>
          <w:rStyle w:val="Hyperlink"/>
          <w:rFonts w:eastAsia="Calibri"/>
        </w:rPr>
      </w:pPr>
    </w:p>
    <w:p w14:paraId="1D545132" w14:textId="77777777" w:rsidR="000048BD" w:rsidRPr="000048BD" w:rsidRDefault="000048BD" w:rsidP="000048BD">
      <w:pPr>
        <w:spacing w:line="276" w:lineRule="auto"/>
        <w:rPr>
          <w:rStyle w:val="Hyperlink"/>
          <w:rFonts w:eastAsia="Calibri"/>
        </w:rPr>
      </w:pPr>
    </w:p>
    <w:p w14:paraId="5D7A5B8F" w14:textId="34F0E09C" w:rsidR="000048BD" w:rsidRPr="000048BD" w:rsidRDefault="00A56F5E" w:rsidP="000048BD">
      <w:pPr>
        <w:pStyle w:val="Title"/>
        <w:spacing w:line="276" w:lineRule="auto"/>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Total W</w:t>
      </w:r>
      <w:r w:rsidR="000048BD" w:rsidRPr="000048BD">
        <w:rPr>
          <w:rFonts w:ascii="Times New Roman" w:eastAsiaTheme="minorEastAsia" w:hAnsi="Times New Roman" w:cs="Times New Roman"/>
          <w:sz w:val="20"/>
          <w:szCs w:val="20"/>
          <w:lang w:eastAsia="en-GB"/>
        </w:rPr>
        <w:t xml:space="preserve">ord Count: </w:t>
      </w:r>
      <w:r w:rsidR="00236C01">
        <w:rPr>
          <w:rFonts w:ascii="Times New Roman" w:eastAsiaTheme="minorEastAsia" w:hAnsi="Times New Roman" w:cs="Times New Roman"/>
          <w:sz w:val="20"/>
          <w:szCs w:val="20"/>
          <w:lang w:eastAsia="en-GB"/>
        </w:rPr>
        <w:t>9,166</w:t>
      </w:r>
      <w:r>
        <w:rPr>
          <w:rFonts w:ascii="Times New Roman" w:eastAsiaTheme="minorEastAsia" w:hAnsi="Times New Roman" w:cs="Times New Roman"/>
          <w:sz w:val="20"/>
          <w:szCs w:val="20"/>
          <w:lang w:eastAsia="en-GB"/>
        </w:rPr>
        <w:t xml:space="preserve"> words</w:t>
      </w:r>
    </w:p>
    <w:p w14:paraId="475753E2" w14:textId="3B3733E3" w:rsidR="000048BD" w:rsidRPr="00451875" w:rsidRDefault="00C14585" w:rsidP="000048BD">
      <w:pPr>
        <w:pStyle w:val="Title"/>
        <w:spacing w:line="276" w:lineRule="auto"/>
        <w:jc w:val="center"/>
        <w:rPr>
          <w:rFonts w:ascii="Times New Roman" w:eastAsiaTheme="minorEastAsia" w:hAnsi="Times New Roman" w:cs="Times New Roman"/>
          <w:sz w:val="24"/>
          <w:szCs w:val="24"/>
          <w:vertAlign w:val="superscript"/>
          <w:lang w:eastAsia="en-GB"/>
        </w:rPr>
      </w:pPr>
      <w:r>
        <w:br w:type="page"/>
      </w:r>
      <w:r w:rsidR="000048BD" w:rsidRPr="00451875">
        <w:rPr>
          <w:rFonts w:ascii="Times New Roman" w:eastAsiaTheme="minorEastAsia" w:hAnsi="Times New Roman" w:cs="Times New Roman"/>
          <w:b/>
          <w:bCs/>
          <w:sz w:val="24"/>
          <w:szCs w:val="24"/>
          <w:lang w:eastAsia="en-GB"/>
        </w:rPr>
        <w:lastRenderedPageBreak/>
        <w:t>Developing an “Insider Language Index” as a Composite Measure to Detect Insider Threat</w:t>
      </w:r>
    </w:p>
    <w:p w14:paraId="7C39D38C" w14:textId="77777777" w:rsidR="000048BD" w:rsidRPr="00451875" w:rsidRDefault="000048BD" w:rsidP="000048BD">
      <w:pPr>
        <w:pStyle w:val="Heading1"/>
        <w:spacing w:line="276" w:lineRule="auto"/>
        <w:jc w:val="center"/>
        <w:rPr>
          <w:rFonts w:cs="Times New Roman"/>
          <w:b w:val="0"/>
          <w:bCs w:val="0"/>
          <w:szCs w:val="24"/>
        </w:rPr>
      </w:pPr>
      <w:r w:rsidRPr="00451875">
        <w:rPr>
          <w:rFonts w:cs="Times New Roman"/>
          <w:szCs w:val="24"/>
        </w:rPr>
        <w:t>Abstract</w:t>
      </w:r>
      <w:r w:rsidRPr="00451875">
        <w:rPr>
          <w:rFonts w:cs="Times New Roman"/>
          <w:szCs w:val="24"/>
        </w:rPr>
        <w:br/>
      </w:r>
    </w:p>
    <w:p w14:paraId="5175A8E1" w14:textId="3EB8B982" w:rsidR="000048BD" w:rsidRPr="00C62FA6" w:rsidRDefault="000048BD" w:rsidP="000048BD">
      <w:pPr>
        <w:jc w:val="both"/>
        <w:rPr>
          <w:color w:val="0070C0"/>
        </w:rPr>
      </w:pPr>
      <w:r w:rsidRPr="00451875">
        <w:rPr>
          <w:rFonts w:eastAsiaTheme="majorEastAsia"/>
          <w:color w:val="000000" w:themeColor="text1"/>
          <w:lang w:val="en-US"/>
        </w:rPr>
        <w:t xml:space="preserve">Of all the issues that confront modern organisations, insider threat is claimed to be one of the most challenging in terms of both impact and mitigation. </w:t>
      </w:r>
      <w:r w:rsidRPr="00451875">
        <w:rPr>
          <w:rStyle w:val="normaltextrun"/>
          <w:color w:val="000000"/>
          <w:shd w:val="clear" w:color="auto" w:fill="FFFFFF"/>
        </w:rPr>
        <w:t xml:space="preserve">Typically, research has focused on defining what insider threat is, as well as determining how such threats can be predicted, detected and prevented through technology (e.g., by tracking system-access and implementing countermeasures). </w:t>
      </w:r>
      <w:r w:rsidRPr="00BA1007">
        <w:rPr>
          <w:rStyle w:val="normaltextrun"/>
          <w:color w:val="0070C0"/>
          <w:shd w:val="clear" w:color="auto" w:fill="FFFFFF"/>
        </w:rPr>
        <w:t xml:space="preserve">We suggest </w:t>
      </w:r>
      <w:r w:rsidR="00E93596" w:rsidRPr="00BA1007">
        <w:rPr>
          <w:rStyle w:val="normaltextrun"/>
          <w:color w:val="0070C0"/>
          <w:shd w:val="clear" w:color="auto" w:fill="FFFFFF"/>
        </w:rPr>
        <w:t xml:space="preserve">that such technological approaches </w:t>
      </w:r>
      <w:r w:rsidR="00AD38C5" w:rsidRPr="00BA1007">
        <w:rPr>
          <w:rStyle w:val="normaltextrun"/>
          <w:color w:val="0070C0"/>
          <w:shd w:val="clear" w:color="auto" w:fill="FFFFFF"/>
        </w:rPr>
        <w:t>to the</w:t>
      </w:r>
      <w:r w:rsidR="00AD38C5" w:rsidRPr="00BA1007">
        <w:rPr>
          <w:rStyle w:val="normaltextrun"/>
          <w:color w:val="0070C0"/>
        </w:rPr>
        <w:t xml:space="preserve"> detection and mitigation</w:t>
      </w:r>
      <w:r w:rsidR="00AD38C5" w:rsidRPr="00BA1007">
        <w:rPr>
          <w:rStyle w:val="normaltextrun"/>
          <w:color w:val="0070C0"/>
          <w:shd w:val="clear" w:color="auto" w:fill="FFFFFF"/>
        </w:rPr>
        <w:t xml:space="preserve"> of insider attacks </w:t>
      </w:r>
      <w:r w:rsidR="00E93596" w:rsidRPr="00BA1007">
        <w:rPr>
          <w:rStyle w:val="normaltextrun"/>
          <w:color w:val="0070C0"/>
          <w:shd w:val="clear" w:color="auto" w:fill="FFFFFF"/>
        </w:rPr>
        <w:t>can be complemented through</w:t>
      </w:r>
      <w:r w:rsidRPr="00BA1007">
        <w:rPr>
          <w:rStyle w:val="normaltextrun"/>
          <w:color w:val="0070C0"/>
          <w:shd w:val="clear" w:color="auto" w:fill="FFFFFF"/>
        </w:rPr>
        <w:t xml:space="preserve"> a greater focus on </w:t>
      </w:r>
      <w:r w:rsidR="00AD38C5" w:rsidRPr="00BA1007">
        <w:rPr>
          <w:rStyle w:val="normaltextrun"/>
          <w:color w:val="0070C0"/>
          <w:shd w:val="clear" w:color="auto" w:fill="FFFFFF"/>
        </w:rPr>
        <w:t>investigating</w:t>
      </w:r>
      <w:r w:rsidRPr="00BA1007">
        <w:rPr>
          <w:color w:val="0070C0"/>
        </w:rPr>
        <w:t xml:space="preserve"> </w:t>
      </w:r>
      <w:r w:rsidR="00BA1007">
        <w:rPr>
          <w:color w:val="0070C0"/>
        </w:rPr>
        <w:t xml:space="preserve">the </w:t>
      </w:r>
      <w:r w:rsidRPr="00BA1007">
        <w:rPr>
          <w:color w:val="0070C0"/>
        </w:rPr>
        <w:t xml:space="preserve">linguistic </w:t>
      </w:r>
      <w:r w:rsidR="00BA1007" w:rsidRPr="00BA1007">
        <w:rPr>
          <w:color w:val="0070C0"/>
        </w:rPr>
        <w:t>behaviours</w:t>
      </w:r>
      <w:r w:rsidRPr="00BA1007">
        <w:rPr>
          <w:color w:val="0070C0"/>
        </w:rPr>
        <w:t xml:space="preserve"> associated with </w:t>
      </w:r>
      <w:r w:rsidR="002929AF" w:rsidRPr="00BA1007">
        <w:rPr>
          <w:color w:val="0070C0"/>
        </w:rPr>
        <w:t>insider</w:t>
      </w:r>
      <w:r w:rsidR="00DE7115" w:rsidRPr="00BA1007">
        <w:rPr>
          <w:color w:val="0070C0"/>
        </w:rPr>
        <w:t xml:space="preserve"> activity</w:t>
      </w:r>
      <w:r w:rsidRPr="00BA1007">
        <w:rPr>
          <w:color w:val="0070C0"/>
        </w:rPr>
        <w:t>.</w:t>
      </w:r>
      <w:r w:rsidRPr="00BA1007">
        <w:rPr>
          <w:rStyle w:val="normaltextrun"/>
          <w:color w:val="0070C0"/>
          <w:shd w:val="clear" w:color="auto" w:fill="FFFFFF"/>
        </w:rPr>
        <w:t xml:space="preserve"> </w:t>
      </w:r>
      <w:r w:rsidRPr="00451875">
        <w:rPr>
          <w:rStyle w:val="normaltextrun"/>
          <w:color w:val="000000"/>
          <w:shd w:val="clear" w:color="auto" w:fill="FFFFFF"/>
        </w:rPr>
        <w:t xml:space="preserve">Research has highlighted that an individual’s use of language </w:t>
      </w:r>
      <w:r w:rsidRPr="00451875">
        <w:rPr>
          <w:rStyle w:val="normaltextrun"/>
          <w:color w:val="000000" w:themeColor="text1"/>
        </w:rPr>
        <w:t xml:space="preserve">categories (e.g., personal pronouns), </w:t>
      </w:r>
      <w:r w:rsidRPr="00451875">
        <w:rPr>
          <w:rStyle w:val="normaltextrun"/>
          <w:color w:val="000000"/>
          <w:shd w:val="clear" w:color="auto" w:fill="FFFFFF"/>
        </w:rPr>
        <w:t>offers a potential means of identifying insiders. U</w:t>
      </w:r>
      <w:r w:rsidRPr="00451875">
        <w:rPr>
          <w:color w:val="000000" w:themeColor="text1"/>
        </w:rPr>
        <w:t xml:space="preserve">sing Linguistic Inquiry and Word Count, this study analysed the language used by insiders and non-insiders during workplace interviews. </w:t>
      </w:r>
      <w:r w:rsidRPr="00451875">
        <w:rPr>
          <w:color w:val="242424"/>
          <w:shd w:val="clear" w:color="auto" w:fill="FFFFFF"/>
        </w:rPr>
        <w:t>Results revealed that, compared to non-insiders, insiders used significantly more words relating to cognitive processing (e.g., expressions of thoughts or reasoning), significantly more self-referential terms (e.g., the pronoun “I”) and significantly more words relating to negative affect.</w:t>
      </w:r>
      <w:r w:rsidRPr="00451875">
        <w:rPr>
          <w:color w:val="000000" w:themeColor="text1"/>
        </w:rPr>
        <w:t xml:space="preserve"> </w:t>
      </w:r>
      <w:r w:rsidRPr="00C62FA6">
        <w:rPr>
          <w:color w:val="0070C0"/>
        </w:rPr>
        <w:t>Based on these findings, a generalisable Insider Language Index (ILI) was developed that has the potential to support insider detection and mitigation in organisational contexts.</w:t>
      </w:r>
    </w:p>
    <w:p w14:paraId="7D41C6AA" w14:textId="77777777" w:rsidR="000048BD" w:rsidRPr="00451875" w:rsidRDefault="000048BD" w:rsidP="000048BD">
      <w:pPr>
        <w:jc w:val="both"/>
        <w:rPr>
          <w:color w:val="000000" w:themeColor="text1"/>
        </w:rPr>
      </w:pPr>
    </w:p>
    <w:p w14:paraId="5008BE28" w14:textId="120D92B1" w:rsidR="00D5786E" w:rsidRDefault="000048BD" w:rsidP="000048BD">
      <w:pPr>
        <w:jc w:val="both"/>
        <w:rPr>
          <w:color w:val="000000" w:themeColor="text1"/>
        </w:rPr>
      </w:pPr>
      <w:r w:rsidRPr="00451875">
        <w:rPr>
          <w:b/>
          <w:bCs/>
          <w:color w:val="000000" w:themeColor="text1"/>
        </w:rPr>
        <w:t>Keywords</w:t>
      </w:r>
      <w:r w:rsidRPr="00451875">
        <w:rPr>
          <w:color w:val="000000" w:themeColor="text1"/>
        </w:rPr>
        <w:t>: insider threat, language use, threat detection, mitigation, deception, cognitive processing, negative emotion, pronoun use</w:t>
      </w:r>
    </w:p>
    <w:p w14:paraId="2DC14DF8" w14:textId="77777777" w:rsidR="00D5786E" w:rsidRDefault="00D5786E">
      <w:pPr>
        <w:spacing w:line="240" w:lineRule="auto"/>
        <w:rPr>
          <w:color w:val="000000" w:themeColor="text1"/>
        </w:rPr>
      </w:pPr>
      <w:r>
        <w:rPr>
          <w:color w:val="000000" w:themeColor="text1"/>
        </w:rPr>
        <w:br w:type="page"/>
      </w:r>
    </w:p>
    <w:p w14:paraId="61F52849" w14:textId="56D99097" w:rsidR="00997B0F" w:rsidRPr="00451875" w:rsidRDefault="000048BD" w:rsidP="000048BD">
      <w:pPr>
        <w:pStyle w:val="Articletitle"/>
        <w:rPr>
          <w:sz w:val="24"/>
        </w:rPr>
      </w:pPr>
      <w:r w:rsidRPr="00451875">
        <w:rPr>
          <w:sz w:val="24"/>
        </w:rPr>
        <w:lastRenderedPageBreak/>
        <w:t>Introduction</w:t>
      </w:r>
    </w:p>
    <w:p w14:paraId="2B1A80EB" w14:textId="6D1C260A" w:rsidR="000048BD" w:rsidRPr="00451875" w:rsidRDefault="000048BD" w:rsidP="000048BD">
      <w:pPr>
        <w:jc w:val="both"/>
        <w:rPr>
          <w:color w:val="000000" w:themeColor="text1"/>
        </w:rPr>
      </w:pPr>
      <w:r w:rsidRPr="00850DBE">
        <w:rPr>
          <w:color w:val="0070C0"/>
        </w:rPr>
        <w:t xml:space="preserve">Insiders are often current or former employees, business partners or service providers who have legitimate access to a company’s information and </w:t>
      </w:r>
      <w:r w:rsidR="00067E12" w:rsidRPr="00850DBE">
        <w:rPr>
          <w:color w:val="0070C0"/>
        </w:rPr>
        <w:t xml:space="preserve">steal or </w:t>
      </w:r>
      <w:r w:rsidRPr="00850DBE">
        <w:rPr>
          <w:color w:val="0070C0"/>
        </w:rPr>
        <w:t xml:space="preserve">compromise such information for malicious reasons, including </w:t>
      </w:r>
      <w:r w:rsidR="00671F75" w:rsidRPr="00850DBE">
        <w:rPr>
          <w:color w:val="0070C0"/>
        </w:rPr>
        <w:t xml:space="preserve">for </w:t>
      </w:r>
      <w:r w:rsidRPr="00850DBE">
        <w:rPr>
          <w:color w:val="0070C0"/>
        </w:rPr>
        <w:t>revenge and personal gain</w:t>
      </w:r>
      <w:r w:rsidR="00067E12" w:rsidRPr="00850DBE">
        <w:rPr>
          <w:color w:val="0070C0"/>
        </w:rPr>
        <w:t xml:space="preserve"> </w:t>
      </w:r>
      <w:r w:rsidRPr="00451875">
        <w:rPr>
          <w:color w:val="000000" w:themeColor="text1"/>
        </w:rPr>
        <w:t>(</w:t>
      </w:r>
      <w:bookmarkStart w:id="0" w:name="_Hlk128210311"/>
      <w:r w:rsidRPr="00451875">
        <w:rPr>
          <w:color w:val="000000" w:themeColor="text1"/>
        </w:rPr>
        <w:t>Duncan et al., 2015</w:t>
      </w:r>
      <w:bookmarkEnd w:id="0"/>
      <w:r w:rsidRPr="00451875">
        <w:rPr>
          <w:color w:val="000000" w:themeColor="text1"/>
        </w:rPr>
        <w:t>). The threat that insiders pose to organisations continues to be a significant concern (</w:t>
      </w:r>
      <w:bookmarkStart w:id="1" w:name="_Hlk128210317"/>
      <w:r w:rsidRPr="00451875">
        <w:rPr>
          <w:color w:val="000000" w:themeColor="text1"/>
        </w:rPr>
        <w:t>Schultz, 2002</w:t>
      </w:r>
      <w:bookmarkEnd w:id="1"/>
      <w:r w:rsidRPr="00451875">
        <w:rPr>
          <w:color w:val="000000" w:themeColor="text1"/>
        </w:rPr>
        <w:t xml:space="preserve">). For example, in 2016, a former employee at Google who became unhappy with his engineering role on Google’s self-driving car project (Waymo), stole 14,000 Google files relating to a $1.1 billion technology project, and provided these trade secrets to Uber, his new employer. This data breach demonstrates the extent to which undetected insider attacks can result in significant and detrimental losses to organisations, underscoring the need to develop effective detection and mitigation approaches. </w:t>
      </w:r>
    </w:p>
    <w:p w14:paraId="22B29EE2" w14:textId="2283219E" w:rsidR="007A0DB6" w:rsidRDefault="000048BD" w:rsidP="00000CD8">
      <w:pPr>
        <w:ind w:firstLine="720"/>
        <w:jc w:val="both"/>
        <w:rPr>
          <w:color w:val="0070C0"/>
        </w:rPr>
      </w:pPr>
      <w:r w:rsidRPr="00451875">
        <w:rPr>
          <w:color w:val="000000" w:themeColor="text1"/>
        </w:rPr>
        <w:t>To address the issue of insider threat detection, the present research sought to investigate the linguistic factors associated with an attack. Such knowledge can be used to inform the development of methods to assist employers to mitigate the potential damage that could be caused by insiders. One of the principal obstacles in researching the detection and prevention of insider attacks is that relatively few psychological studies in this field have been conducted. Of the studies that have been undertaken, most have been designed to solve specific problems within specific organisations, and thus there are very few studies to guide generic approaches to the wider problem of insider threat detection (</w:t>
      </w:r>
      <w:bookmarkStart w:id="2" w:name="_Hlk128210340"/>
      <w:r w:rsidRPr="00451875">
        <w:rPr>
          <w:color w:val="000000" w:themeColor="text1"/>
        </w:rPr>
        <w:t>Legg et al., 2015; Maloof &amp; Stephens, 2007</w:t>
      </w:r>
      <w:bookmarkEnd w:id="2"/>
      <w:r w:rsidRPr="00451875">
        <w:rPr>
          <w:color w:val="000000" w:themeColor="text1"/>
        </w:rPr>
        <w:t xml:space="preserve">). </w:t>
      </w:r>
      <w:r w:rsidRPr="00146D70">
        <w:rPr>
          <w:color w:val="0070C0"/>
        </w:rPr>
        <w:t xml:space="preserve">As such, </w:t>
      </w:r>
      <w:r w:rsidR="00661450">
        <w:rPr>
          <w:color w:val="0070C0"/>
        </w:rPr>
        <w:t xml:space="preserve">in </w:t>
      </w:r>
      <w:r w:rsidRPr="00146D70">
        <w:rPr>
          <w:color w:val="0070C0"/>
        </w:rPr>
        <w:t xml:space="preserve">the present research </w:t>
      </w:r>
      <w:r w:rsidR="00661450">
        <w:rPr>
          <w:color w:val="0070C0"/>
        </w:rPr>
        <w:t xml:space="preserve">we </w:t>
      </w:r>
      <w:r w:rsidRPr="00146D70">
        <w:rPr>
          <w:color w:val="0070C0"/>
        </w:rPr>
        <w:t xml:space="preserve">aimed to develop a generalisable Insider Language Index that could be deployed across many real-world contexts to </w:t>
      </w:r>
      <w:r w:rsidR="00641EDF" w:rsidRPr="00146D70">
        <w:rPr>
          <w:color w:val="0070C0"/>
        </w:rPr>
        <w:t xml:space="preserve">assist in </w:t>
      </w:r>
      <w:r w:rsidR="00F141ED" w:rsidRPr="00146D70">
        <w:rPr>
          <w:color w:val="0070C0"/>
        </w:rPr>
        <w:t xml:space="preserve">detecting insiders, reducing the potential damage that could occur </w:t>
      </w:r>
      <w:proofErr w:type="gramStart"/>
      <w:r w:rsidR="00F141ED" w:rsidRPr="00146D70">
        <w:rPr>
          <w:color w:val="0070C0"/>
        </w:rPr>
        <w:t>as a result of</w:t>
      </w:r>
      <w:proofErr w:type="gramEnd"/>
      <w:r w:rsidR="00F141ED" w:rsidRPr="00146D70">
        <w:rPr>
          <w:color w:val="0070C0"/>
        </w:rPr>
        <w:t xml:space="preserve"> an attack</w:t>
      </w:r>
      <w:r w:rsidRPr="00146D70">
        <w:rPr>
          <w:color w:val="0070C0"/>
        </w:rPr>
        <w:t>.</w:t>
      </w:r>
    </w:p>
    <w:p w14:paraId="63CA4F29" w14:textId="77777777" w:rsidR="00000CD8" w:rsidRDefault="00000CD8" w:rsidP="00000CD8">
      <w:pPr>
        <w:ind w:firstLine="720"/>
        <w:jc w:val="both"/>
        <w:rPr>
          <w:color w:val="0070C0"/>
        </w:rPr>
      </w:pPr>
    </w:p>
    <w:p w14:paraId="6C94AC72" w14:textId="77777777" w:rsidR="00000CD8" w:rsidRPr="00000CD8" w:rsidRDefault="00000CD8" w:rsidP="00000CD8">
      <w:pPr>
        <w:ind w:firstLine="720"/>
        <w:jc w:val="both"/>
        <w:rPr>
          <w:color w:val="0070C0"/>
        </w:rPr>
      </w:pPr>
    </w:p>
    <w:p w14:paraId="02DEBEA5" w14:textId="77777777" w:rsidR="000048BD" w:rsidRPr="00451875" w:rsidRDefault="000048BD" w:rsidP="000048BD">
      <w:pPr>
        <w:jc w:val="both"/>
        <w:rPr>
          <w:i/>
          <w:iCs/>
          <w:color w:val="000000" w:themeColor="text1"/>
        </w:rPr>
      </w:pPr>
      <w:r w:rsidRPr="00451875">
        <w:rPr>
          <w:b/>
          <w:bCs/>
          <w:i/>
          <w:iCs/>
          <w:color w:val="000000" w:themeColor="text1"/>
        </w:rPr>
        <w:lastRenderedPageBreak/>
        <w:t>Technological Approaches to Detecting and Mitigating Insider Threat</w:t>
      </w:r>
    </w:p>
    <w:p w14:paraId="36446063" w14:textId="77777777" w:rsidR="000048BD" w:rsidRPr="00451875" w:rsidRDefault="000048BD" w:rsidP="000048BD">
      <w:pPr>
        <w:ind w:firstLine="720"/>
        <w:jc w:val="both"/>
        <w:rPr>
          <w:color w:val="000000" w:themeColor="text1"/>
        </w:rPr>
      </w:pPr>
      <w:r w:rsidRPr="00451875">
        <w:rPr>
          <w:color w:val="000000" w:themeColor="text1"/>
        </w:rPr>
        <w:t>Typically, research has focused on defining what insider threat is, as well as determining how these types of threats can be predicted, detected and prevented through technology, such as by tracking system-access and implementing countermeasures (</w:t>
      </w:r>
      <w:bookmarkStart w:id="3" w:name="_Hlk128210422"/>
      <w:r w:rsidRPr="00451875">
        <w:rPr>
          <w:color w:val="000000" w:themeColor="text1"/>
        </w:rPr>
        <w:t>Nurse et al., 2014</w:t>
      </w:r>
      <w:bookmarkEnd w:id="3"/>
      <w:r w:rsidRPr="00451875">
        <w:rPr>
          <w:color w:val="000000" w:themeColor="text1"/>
        </w:rPr>
        <w:t xml:space="preserve">). For example, </w:t>
      </w:r>
      <w:bookmarkStart w:id="4" w:name="_Hlk128210430"/>
      <w:r w:rsidRPr="00451875">
        <w:rPr>
          <w:color w:val="000000" w:themeColor="text1"/>
        </w:rPr>
        <w:t xml:space="preserve">Salem and </w:t>
      </w:r>
      <w:proofErr w:type="spellStart"/>
      <w:r w:rsidRPr="00451875">
        <w:rPr>
          <w:color w:val="000000" w:themeColor="text1"/>
        </w:rPr>
        <w:t>Stolfo</w:t>
      </w:r>
      <w:proofErr w:type="spellEnd"/>
      <w:r w:rsidRPr="00451875">
        <w:rPr>
          <w:color w:val="000000" w:themeColor="text1"/>
        </w:rPr>
        <w:t xml:space="preserve"> (2009) </w:t>
      </w:r>
      <w:bookmarkEnd w:id="4"/>
      <w:r w:rsidRPr="00451875">
        <w:rPr>
          <w:color w:val="000000" w:themeColor="text1"/>
        </w:rPr>
        <w:t>used decoy documents to identify malicious intent during masquerade attacks (e.g., involving use of a stolen identity). The method for monitoring and detecting insiders carrying out such attacks used baited decoy documents to deceive, confuse and confound attackers, forcing them to expend much more effort to discern real from fabricated information. This approach made it difficult for insiders to avoid detection as the decoys were difficult to distinguish from authentic documents. Any alert generated by the decoy was an indication of insider activity. Although these system-based approaches are useful to aid our understanding of insider attacks, such technological approaches are usually only useful post-attack, once a system has been accessed (</w:t>
      </w:r>
      <w:bookmarkStart w:id="5" w:name="_Hlk128210437"/>
      <w:proofErr w:type="spellStart"/>
      <w:r w:rsidRPr="00451875">
        <w:rPr>
          <w:color w:val="000000" w:themeColor="text1"/>
        </w:rPr>
        <w:t>Brdiczka</w:t>
      </w:r>
      <w:proofErr w:type="spellEnd"/>
      <w:r w:rsidRPr="00451875">
        <w:rPr>
          <w:color w:val="000000" w:themeColor="text1"/>
        </w:rPr>
        <w:t xml:space="preserve"> et al., 2012</w:t>
      </w:r>
      <w:bookmarkEnd w:id="5"/>
      <w:r w:rsidRPr="00451875">
        <w:rPr>
          <w:color w:val="000000" w:themeColor="text1"/>
        </w:rPr>
        <w:t xml:space="preserve">). </w:t>
      </w:r>
    </w:p>
    <w:p w14:paraId="78328264" w14:textId="5028F6D9" w:rsidR="000048BD" w:rsidRPr="00451875" w:rsidRDefault="000048BD" w:rsidP="000048BD">
      <w:pPr>
        <w:ind w:firstLine="720"/>
        <w:jc w:val="both"/>
        <w:rPr>
          <w:color w:val="000000" w:themeColor="text1"/>
        </w:rPr>
      </w:pPr>
      <w:r w:rsidRPr="00451875">
        <w:rPr>
          <w:color w:val="000000" w:themeColor="text1"/>
        </w:rPr>
        <w:t xml:space="preserve">There are a handful of studies that have considered the human element of insider attacks. For example, </w:t>
      </w:r>
      <w:bookmarkStart w:id="6" w:name="_Hlk128210446"/>
      <w:proofErr w:type="spellStart"/>
      <w:r w:rsidRPr="00451875">
        <w:rPr>
          <w:color w:val="000000" w:themeColor="text1"/>
        </w:rPr>
        <w:t>Tugular</w:t>
      </w:r>
      <w:proofErr w:type="spellEnd"/>
      <w:r w:rsidRPr="00451875">
        <w:rPr>
          <w:color w:val="000000" w:themeColor="text1"/>
        </w:rPr>
        <w:t xml:space="preserve"> and Spafford (1997) </w:t>
      </w:r>
      <w:bookmarkEnd w:id="6"/>
      <w:r w:rsidRPr="00451875">
        <w:rPr>
          <w:color w:val="000000" w:themeColor="text1"/>
        </w:rPr>
        <w:t>proposed a model of insider attacks, which assumed that insider activity is a function of personal characteristics, knowledge, motivation, abilities, rights and responsibilities within an organisation. The authors noted that insider attacks are more likely to occur in the presence of a breakdown of authority within an organisation (</w:t>
      </w:r>
      <w:proofErr w:type="spellStart"/>
      <w:r w:rsidRPr="00451875">
        <w:rPr>
          <w:color w:val="000000" w:themeColor="text1"/>
        </w:rPr>
        <w:t>Tugular</w:t>
      </w:r>
      <w:proofErr w:type="spellEnd"/>
      <w:r w:rsidRPr="00451875">
        <w:rPr>
          <w:color w:val="000000" w:themeColor="text1"/>
        </w:rPr>
        <w:t xml:space="preserve"> &amp; Spafford, 1997). Although this model offers a useful starting point, it has little value in terms of helping organisations reduce the frequency or damage caused by insider attacks. </w:t>
      </w:r>
      <w:r w:rsidRPr="009855DC">
        <w:rPr>
          <w:color w:val="0070C0"/>
        </w:rPr>
        <w:t xml:space="preserve">Understanding the behavioural characteristics of insiders is arguably far more useful for </w:t>
      </w:r>
      <w:r w:rsidR="009855DC" w:rsidRPr="009855DC">
        <w:rPr>
          <w:color w:val="0070C0"/>
        </w:rPr>
        <w:t>detecting</w:t>
      </w:r>
      <w:r w:rsidRPr="009855DC">
        <w:rPr>
          <w:color w:val="0070C0"/>
        </w:rPr>
        <w:t xml:space="preserve"> an attack</w:t>
      </w:r>
      <w:r w:rsidR="0031737A">
        <w:rPr>
          <w:color w:val="0070C0"/>
        </w:rPr>
        <w:t xml:space="preserve">, including at an early stage </w:t>
      </w:r>
      <w:r w:rsidR="005C0E00">
        <w:rPr>
          <w:color w:val="0070C0"/>
        </w:rPr>
        <w:t xml:space="preserve">so </w:t>
      </w:r>
      <w:r w:rsidR="00C65C45">
        <w:rPr>
          <w:color w:val="0070C0"/>
        </w:rPr>
        <w:t xml:space="preserve"> </w:t>
      </w:r>
      <w:r w:rsidR="00B07013">
        <w:rPr>
          <w:color w:val="0070C0"/>
        </w:rPr>
        <w:t>as to curtail</w:t>
      </w:r>
      <w:r w:rsidR="00C65C45">
        <w:rPr>
          <w:color w:val="0070C0"/>
        </w:rPr>
        <w:t xml:space="preserve"> further </w:t>
      </w:r>
      <w:r w:rsidR="005C0E00">
        <w:rPr>
          <w:color w:val="0070C0"/>
        </w:rPr>
        <w:t>malicious</w:t>
      </w:r>
      <w:r w:rsidR="00C65C45">
        <w:rPr>
          <w:color w:val="0070C0"/>
        </w:rPr>
        <w:t xml:space="preserve"> activity</w:t>
      </w:r>
      <w:r w:rsidRPr="009855DC">
        <w:rPr>
          <w:color w:val="0070C0"/>
        </w:rPr>
        <w:t xml:space="preserve">. </w:t>
      </w:r>
      <w:r w:rsidRPr="00451875">
        <w:rPr>
          <w:color w:val="000000" w:themeColor="text1"/>
        </w:rPr>
        <w:t xml:space="preserve">However, because of a current lack of research in this area, countless insider attacks fail to be detected (Legg et al., 2015). Critically, </w:t>
      </w:r>
      <w:r w:rsidRPr="00451875">
        <w:rPr>
          <w:color w:val="000000" w:themeColor="text1"/>
        </w:rPr>
        <w:lastRenderedPageBreak/>
        <w:t>technological approaches typically overlook the central role of the human in insider activity, and more specifically, the linguistic, behavioural and psychological factors associated with an attack (</w:t>
      </w:r>
      <w:bookmarkStart w:id="7" w:name="_Hlk128210463"/>
      <w:r w:rsidR="00491D56" w:rsidRPr="00491D56">
        <w:rPr>
          <w:color w:val="000000" w:themeColor="text1"/>
        </w:rPr>
        <w:t>Taylor et al., 2013</w:t>
      </w:r>
      <w:bookmarkEnd w:id="7"/>
      <w:r w:rsidRPr="00451875">
        <w:rPr>
          <w:color w:val="000000" w:themeColor="text1"/>
        </w:rPr>
        <w:t xml:space="preserve">). </w:t>
      </w:r>
      <w:r w:rsidRPr="0066671B">
        <w:rPr>
          <w:color w:val="0070C0"/>
        </w:rPr>
        <w:t xml:space="preserve">Such factors need to be explored to broaden our understanding of how insiders think, act and behave, which can in turn aid in the </w:t>
      </w:r>
      <w:r w:rsidR="0066671B" w:rsidRPr="0066671B">
        <w:rPr>
          <w:color w:val="0070C0"/>
        </w:rPr>
        <w:t xml:space="preserve">early </w:t>
      </w:r>
      <w:r w:rsidR="009B2E49" w:rsidRPr="0066671B">
        <w:rPr>
          <w:color w:val="0070C0"/>
        </w:rPr>
        <w:t>detection</w:t>
      </w:r>
      <w:r w:rsidRPr="0066671B">
        <w:rPr>
          <w:color w:val="0070C0"/>
        </w:rPr>
        <w:t xml:space="preserve"> of attacks.</w:t>
      </w:r>
    </w:p>
    <w:p w14:paraId="44C131A9" w14:textId="77777777" w:rsidR="000048BD" w:rsidRPr="00451875" w:rsidRDefault="000048BD" w:rsidP="000048BD">
      <w:pPr>
        <w:jc w:val="both"/>
        <w:rPr>
          <w:b/>
          <w:bCs/>
          <w:i/>
          <w:iCs/>
          <w:lang w:val="en-US"/>
        </w:rPr>
      </w:pPr>
      <w:r w:rsidRPr="00451875">
        <w:rPr>
          <w:b/>
          <w:bCs/>
          <w:i/>
          <w:iCs/>
          <w:lang w:val="en-US"/>
        </w:rPr>
        <w:t>Language and Deception</w:t>
      </w:r>
    </w:p>
    <w:p w14:paraId="429AF9A2" w14:textId="59615593" w:rsidR="000048BD" w:rsidRPr="00451875" w:rsidRDefault="000048BD" w:rsidP="000048BD">
      <w:pPr>
        <w:ind w:firstLine="720"/>
        <w:jc w:val="both"/>
        <w:rPr>
          <w:color w:val="000000" w:themeColor="text1"/>
          <w:lang w:val="en-US"/>
        </w:rPr>
      </w:pPr>
      <w:r w:rsidRPr="00451875">
        <w:rPr>
          <w:lang w:val="en-US"/>
        </w:rPr>
        <w:t xml:space="preserve">Although there is a lack of research investigating the importance of language use in insider attacks, </w:t>
      </w:r>
      <w:r w:rsidRPr="00451875">
        <w:rPr>
          <w:color w:val="000000" w:themeColor="text1"/>
          <w:lang w:val="en-US"/>
        </w:rPr>
        <w:t xml:space="preserve">a broader literature suggests that language cues may be useful indicators of truth and lies in deception detection (e.g., </w:t>
      </w:r>
      <w:r w:rsidR="00D32285" w:rsidRPr="003657E1">
        <w:rPr>
          <w:color w:val="000000" w:themeColor="text1"/>
        </w:rPr>
        <w:t>Taylor et al., 2013</w:t>
      </w:r>
      <w:r w:rsidRPr="00451875">
        <w:rPr>
          <w:color w:val="000000" w:themeColor="text1"/>
        </w:rPr>
        <w:t xml:space="preserve">; </w:t>
      </w:r>
      <w:r w:rsidR="00146D01" w:rsidRPr="1FDB7749">
        <w:rPr>
          <w:rFonts w:cs="Arial"/>
          <w:color w:val="000000" w:themeColor="text1"/>
          <w:lang w:val="en-US"/>
        </w:rPr>
        <w:t>Dando et al., 202</w:t>
      </w:r>
      <w:r w:rsidR="00146D01">
        <w:rPr>
          <w:rFonts w:cs="Arial"/>
          <w:color w:val="000000" w:themeColor="text1"/>
          <w:lang w:val="en-US"/>
        </w:rPr>
        <w:t>4</w:t>
      </w:r>
      <w:r w:rsidRPr="00451875">
        <w:rPr>
          <w:color w:val="000000" w:themeColor="text1"/>
          <w:lang w:val="en-US"/>
        </w:rPr>
        <w:t>).</w:t>
      </w:r>
      <w:r w:rsidRPr="00451875">
        <w:rPr>
          <w:color w:val="FF0000"/>
          <w:lang w:val="en-US"/>
        </w:rPr>
        <w:t xml:space="preserve"> </w:t>
      </w:r>
      <w:r w:rsidRPr="00451875">
        <w:rPr>
          <w:color w:val="000000" w:themeColor="text1"/>
          <w:lang w:val="en-US"/>
        </w:rPr>
        <w:t xml:space="preserve">For example, </w:t>
      </w:r>
      <w:bookmarkStart w:id="8" w:name="_Hlk128210472"/>
      <w:r w:rsidRPr="00451875">
        <w:rPr>
          <w:color w:val="000000" w:themeColor="text1"/>
          <w:lang w:val="en-US"/>
        </w:rPr>
        <w:t>McCornack (1992</w:t>
      </w:r>
      <w:bookmarkEnd w:id="8"/>
      <w:r w:rsidRPr="00451875">
        <w:rPr>
          <w:color w:val="000000" w:themeColor="text1"/>
          <w:lang w:val="en-US"/>
        </w:rPr>
        <w:t xml:space="preserve">) proposed Information Manipulation Theory (IMT), which posits that in ordinary conversations, individuals monitor the information that they disclose across four dimensions: amount (the quantity of information provided), veracity (the quality of information presented), relevance (the relevance of information within conversational contributions) and clarity (the clarity of the information provided within messages). When engaging in deception, individuals covertly alter the information that is disclosed with regards to these four dimensions. In turn, listeners are misled by their belief that speakers are behaving in a cooperative manner (McCornack, 1992). IMT suggests that the information within deceptive messages varies in systematic and identifiable ways and thus can be detected through a focus on objective language cues. The claims of IMT were empirically tested by McCornack (1992). Results revealed that messages containing unclear language, short responses and irrelevant information significantly influenced their perceived veracity. This theory allows us to understand how an individual can manipulate the language they disclose during a conversation </w:t>
      </w:r>
      <w:proofErr w:type="gramStart"/>
      <w:r w:rsidRPr="00451875">
        <w:rPr>
          <w:color w:val="000000" w:themeColor="text1"/>
          <w:lang w:val="en-US"/>
        </w:rPr>
        <w:t>in order to</w:t>
      </w:r>
      <w:proofErr w:type="gramEnd"/>
      <w:r w:rsidRPr="00451875">
        <w:rPr>
          <w:color w:val="000000" w:themeColor="text1"/>
          <w:lang w:val="en-US"/>
        </w:rPr>
        <w:t xml:space="preserve"> accomplish deceit. In turn, such a theory begins to demonstrate the importance of focusing on the use of language when attempting to detect deception.  </w:t>
      </w:r>
    </w:p>
    <w:p w14:paraId="4E67A281" w14:textId="77777777" w:rsidR="000048BD" w:rsidRPr="00451875" w:rsidRDefault="000048BD" w:rsidP="000048BD">
      <w:pPr>
        <w:ind w:firstLine="720"/>
        <w:rPr>
          <w:rFonts w:eastAsiaTheme="minorEastAsia"/>
          <w:color w:val="000000" w:themeColor="text1"/>
          <w:lang w:val="en-US"/>
        </w:rPr>
      </w:pPr>
      <w:r w:rsidRPr="00451875">
        <w:rPr>
          <w:color w:val="000000" w:themeColor="text1"/>
          <w:lang w:val="en-US"/>
        </w:rPr>
        <w:lastRenderedPageBreak/>
        <w:t xml:space="preserve">Further evidence to demonstrate the potential benefits that a focus on language can have when attempting to detect deceivers can be found in research on Statement Validity Analysis (e.g., </w:t>
      </w:r>
      <w:bookmarkStart w:id="9" w:name="_Hlk128210495"/>
      <w:r w:rsidRPr="00451875">
        <w:rPr>
          <w:color w:val="000000" w:themeColor="text1"/>
          <w:lang w:val="en-US"/>
        </w:rPr>
        <w:t>Amado et al., 2016</w:t>
      </w:r>
      <w:bookmarkEnd w:id="9"/>
      <w:r w:rsidRPr="00451875">
        <w:rPr>
          <w:color w:val="000000" w:themeColor="text1"/>
          <w:lang w:val="en-US"/>
        </w:rPr>
        <w:t xml:space="preserve">), a tool that is used to evaluate the veracity of a testimony. </w:t>
      </w:r>
      <w:r w:rsidRPr="00451875">
        <w:rPr>
          <w:rFonts w:eastAsiaTheme="minorEastAsia"/>
          <w:lang w:val="en-US"/>
        </w:rPr>
        <w:t xml:space="preserve">Two of the most common approaches are Criteria Based Content Analysis (CBCA: Berliner &amp; Conte, 1995; </w:t>
      </w:r>
      <w:r w:rsidRPr="00451875">
        <w:rPr>
          <w:rFonts w:eastAsiaTheme="minorEastAsia"/>
          <w:color w:val="1A1A1A"/>
          <w:lang w:val="en-US"/>
        </w:rPr>
        <w:t>Vrij, 2005</w:t>
      </w:r>
      <w:r w:rsidRPr="00451875">
        <w:rPr>
          <w:rFonts w:eastAsiaTheme="minorEastAsia"/>
          <w:lang w:val="en-US"/>
        </w:rPr>
        <w:t xml:space="preserve">) and Reality Monitoring (RM; Johnson et al., 1993; </w:t>
      </w:r>
      <w:r w:rsidRPr="00451875">
        <w:rPr>
          <w:rFonts w:eastAsiaTheme="minorEastAsia"/>
          <w:color w:val="1A1A1A"/>
          <w:lang w:val="en-US"/>
        </w:rPr>
        <w:t>Masip et al., 2005).</w:t>
      </w:r>
      <w:r w:rsidRPr="00451875">
        <w:rPr>
          <w:rFonts w:eastAsiaTheme="minorEastAsia"/>
          <w:lang w:val="en-US"/>
        </w:rPr>
        <w:t xml:space="preserve"> A CBCA evaluation requires an analyst to determine the extent to which a statement shows evidence of 19 linguistic criteria. These include linguistic aspects such as logistical structure, use of emotive language and descriptions of perceptual details such as sights, sounds and smells</w:t>
      </w:r>
      <w:r w:rsidRPr="00451875">
        <w:rPr>
          <w:color w:val="000000" w:themeColor="text1"/>
          <w:lang w:val="en-US"/>
        </w:rPr>
        <w:t xml:space="preserve">. </w:t>
      </w:r>
      <w:r w:rsidRPr="00451875">
        <w:rPr>
          <w:rFonts w:eastAsiaTheme="minorEastAsia"/>
          <w:color w:val="000000" w:themeColor="text1"/>
          <w:lang w:val="en-US"/>
        </w:rPr>
        <w:t xml:space="preserve">Like CBCA, RM focuses on linguistic criteria that are more common in truthful than deceptive accounts, which also include perceptual details (e.g., tastes and smells), contextual information (e.g., information about objects or people), and reference to cognitive operations (e.g., thoughts and reasoning; Vrij, 2014).  </w:t>
      </w:r>
    </w:p>
    <w:p w14:paraId="78D202DB" w14:textId="77777777" w:rsidR="000048BD" w:rsidRPr="00451875" w:rsidRDefault="000048BD" w:rsidP="000048BD">
      <w:pPr>
        <w:ind w:firstLine="720"/>
        <w:rPr>
          <w:color w:val="000000" w:themeColor="text1"/>
          <w:lang w:val="en-US"/>
        </w:rPr>
      </w:pPr>
      <w:r w:rsidRPr="00451875">
        <w:rPr>
          <w:rFonts w:eastAsiaTheme="minorEastAsia"/>
          <w:color w:val="000000" w:themeColor="text1"/>
          <w:lang w:val="en-US"/>
        </w:rPr>
        <w:t xml:space="preserve">Research conducted by </w:t>
      </w:r>
      <w:bookmarkStart w:id="10" w:name="_Hlk128210503"/>
      <w:r w:rsidRPr="00451875">
        <w:rPr>
          <w:rFonts w:eastAsiaTheme="minorEastAsia"/>
          <w:color w:val="000000" w:themeColor="text1"/>
          <w:lang w:val="en-US"/>
        </w:rPr>
        <w:t xml:space="preserve">Porter and Yuille (1996) </w:t>
      </w:r>
      <w:bookmarkEnd w:id="10"/>
      <w:r w:rsidRPr="00451875">
        <w:rPr>
          <w:rFonts w:eastAsiaTheme="minorEastAsia"/>
          <w:color w:val="000000" w:themeColor="text1"/>
          <w:lang w:val="en-US"/>
        </w:rPr>
        <w:t>examined the hypoth</w:t>
      </w:r>
      <w:r w:rsidRPr="00451875">
        <w:rPr>
          <w:color w:val="000000" w:themeColor="text1"/>
          <w:lang w:val="en-US"/>
        </w:rPr>
        <w:t xml:space="preserve">esis that reliable verbal indicators of deception exist during interrogations. Within this study, participants were informed that they would be engaging in an investigation to address security </w:t>
      </w:r>
      <w:proofErr w:type="gramStart"/>
      <w:r w:rsidRPr="00451875">
        <w:rPr>
          <w:color w:val="000000" w:themeColor="text1"/>
          <w:lang w:val="en-US"/>
        </w:rPr>
        <w:t>effectiveness</w:t>
      </w:r>
      <w:proofErr w:type="gramEnd"/>
      <w:r w:rsidRPr="00451875">
        <w:rPr>
          <w:color w:val="000000" w:themeColor="text1"/>
          <w:lang w:val="en-US"/>
        </w:rPr>
        <w:t xml:space="preserve"> and they were instructed to commit an act such as a theft. They were then asked to provide either a truthful alibi, a partially deceptive account, a false alibi or a truthful confession regarding the theft, with a monetary incentive for convincing the interrogator of their veracity. Results revealed that three verbal cues (all CBCA criteria) were able to distinguish truthful from deceptive statements: amount of detail reported, information coherence, and admissions of lack of memory. Deceptive suspects were found to provide less detailed accounts, to give less cohesive descriptions and to be less likely to admit an inability to remember aspects of the target event during interview.  </w:t>
      </w:r>
    </w:p>
    <w:p w14:paraId="2BC47D27" w14:textId="77777777" w:rsidR="000048BD" w:rsidRPr="00451875" w:rsidRDefault="000048BD" w:rsidP="000048BD">
      <w:pPr>
        <w:ind w:firstLine="720"/>
        <w:jc w:val="both"/>
        <w:rPr>
          <w:color w:val="000000" w:themeColor="text1"/>
          <w:lang w:val="en-US"/>
        </w:rPr>
      </w:pPr>
      <w:r w:rsidRPr="00451875">
        <w:rPr>
          <w:color w:val="000000" w:themeColor="text1"/>
          <w:lang w:val="en-US"/>
        </w:rPr>
        <w:lastRenderedPageBreak/>
        <w:t xml:space="preserve">Earlier research conducted by </w:t>
      </w:r>
      <w:bookmarkStart w:id="11" w:name="_Hlk128210531"/>
      <w:r w:rsidRPr="00451875">
        <w:rPr>
          <w:color w:val="000000" w:themeColor="text1"/>
          <w:lang w:val="en-US"/>
        </w:rPr>
        <w:t xml:space="preserve">Landry and Brigham (1992) </w:t>
      </w:r>
      <w:bookmarkEnd w:id="11"/>
      <w:r w:rsidRPr="00451875">
        <w:rPr>
          <w:color w:val="000000" w:themeColor="text1"/>
          <w:lang w:val="en-US"/>
        </w:rPr>
        <w:t>examined the usefulness of CBCA to differentiate truthful from deceptive testimonies in interviews with adults. The study involved 114 students who estimated the veracity of 12 statements, six of which were truthful accounts and six of which involved adults who described a fabricated, traumatic personal experience. Participants viewed the statements via a video recording or a written transcript. Half of the participants were trained in CBCA and half were untrained. Results revealed that trained participants were able to differentiate between truthful and deceptive statements, with accuracy significantly greater than chance level. Trained participants were also significantly more accurate than untrained participants. Such findings from the CBCA literature again underscore that a focus on language may be beneficial when attempting to detect deceivers.</w:t>
      </w:r>
    </w:p>
    <w:p w14:paraId="2C0202BB" w14:textId="7DE1E015" w:rsidR="000048BD" w:rsidRPr="00451875" w:rsidRDefault="000048BD" w:rsidP="000048BD">
      <w:pPr>
        <w:ind w:firstLine="720"/>
        <w:jc w:val="both"/>
        <w:rPr>
          <w:color w:val="000000" w:themeColor="text1"/>
          <w:lang w:val="en-US"/>
        </w:rPr>
      </w:pPr>
      <w:r w:rsidRPr="00451875">
        <w:rPr>
          <w:color w:val="000000" w:themeColor="text1"/>
          <w:lang w:val="en-US"/>
        </w:rPr>
        <w:t xml:space="preserve">Researchers have additionally sought to detect deception through a focused analysis of the </w:t>
      </w:r>
      <w:r w:rsidRPr="00451875">
        <w:rPr>
          <w:i/>
          <w:iCs/>
          <w:color w:val="000000" w:themeColor="text1"/>
          <w:lang w:val="en-US"/>
        </w:rPr>
        <w:t xml:space="preserve">content </w:t>
      </w:r>
      <w:r w:rsidRPr="00451875">
        <w:rPr>
          <w:color w:val="000000" w:themeColor="text1"/>
          <w:lang w:val="en-US"/>
        </w:rPr>
        <w:t>of spoken or written language</w:t>
      </w:r>
      <w:r w:rsidR="00A079D4">
        <w:rPr>
          <w:color w:val="000000" w:themeColor="text1"/>
          <w:lang w:val="en-US"/>
        </w:rPr>
        <w:t xml:space="preserve"> –</w:t>
      </w:r>
      <w:r w:rsidRPr="00451875">
        <w:rPr>
          <w:color w:val="000000" w:themeColor="text1"/>
          <w:lang w:val="en-US"/>
        </w:rPr>
        <w:t xml:space="preserve"> for example, by looking for specific word cues or sentence structures that might indicate deception (e.g., Hauch et al., 2015). Some research of this type has shown that, when analysing truthful and deceitful written messages, accuracy rates are at chance level, which suggests that individuals are no better at detecting truth than deceit (</w:t>
      </w:r>
      <w:bookmarkStart w:id="12" w:name="_Hlk128210561"/>
      <w:r w:rsidRPr="00451875">
        <w:rPr>
          <w:color w:val="000000" w:themeColor="text1"/>
          <w:lang w:val="en-US"/>
        </w:rPr>
        <w:t>Masip et al., 2012</w:t>
      </w:r>
      <w:bookmarkEnd w:id="12"/>
      <w:r w:rsidRPr="00451875">
        <w:rPr>
          <w:color w:val="000000" w:themeColor="text1"/>
          <w:lang w:val="en-US"/>
        </w:rPr>
        <w:t xml:space="preserve">). However, when truthful and deceptive messages are analysed using Linguistic Inquiry and Word Count (LIWC; </w:t>
      </w:r>
      <w:bookmarkStart w:id="13" w:name="_Hlk128210571"/>
      <w:r w:rsidRPr="00451875">
        <w:t>Pennebaker et al., 2007</w:t>
      </w:r>
      <w:bookmarkEnd w:id="13"/>
      <w:r w:rsidRPr="00451875">
        <w:rPr>
          <w:color w:val="000000" w:themeColor="text1"/>
          <w:lang w:val="en-US"/>
        </w:rPr>
        <w:t xml:space="preserve">), </w:t>
      </w:r>
      <w:r w:rsidRPr="00451875">
        <w:t>which examines a text file on a word-by-word basis to calculate the total percentage of words that match a number of linguistic categories</w:t>
      </w:r>
      <w:r w:rsidRPr="00451875">
        <w:rPr>
          <w:color w:val="000000" w:themeColor="text1"/>
          <w:lang w:val="en-US"/>
        </w:rPr>
        <w:t xml:space="preserve">, evidence has emerged that certain linguistic characteristics, such as first-person singular pronouns and first-person plural pronouns, are present to a greater extent in deceitful messages. Furthermore, when participants are made aware of the importance of such language categories prior to reading messages, deception-detection accuracy rates have been found to improve from chance level to 68% (Masip et al., 2012). </w:t>
      </w:r>
      <w:r w:rsidRPr="00B063B0">
        <w:rPr>
          <w:color w:val="0070C0"/>
          <w:lang w:val="en-US"/>
        </w:rPr>
        <w:t xml:space="preserve">In another study, </w:t>
      </w:r>
      <w:bookmarkStart w:id="14" w:name="_Hlk128210585"/>
      <w:r w:rsidRPr="00B063B0">
        <w:rPr>
          <w:color w:val="0070C0"/>
          <w:lang w:val="en-US"/>
        </w:rPr>
        <w:t xml:space="preserve">Burns and </w:t>
      </w:r>
      <w:r w:rsidRPr="00B063B0">
        <w:rPr>
          <w:color w:val="0070C0"/>
          <w:lang w:val="en-US"/>
        </w:rPr>
        <w:lastRenderedPageBreak/>
        <w:t xml:space="preserve">Moffitt (2014) </w:t>
      </w:r>
      <w:bookmarkEnd w:id="14"/>
      <w:r w:rsidRPr="00B063B0">
        <w:rPr>
          <w:color w:val="0070C0"/>
          <w:lang w:val="en-US"/>
        </w:rPr>
        <w:t xml:space="preserve">used </w:t>
      </w:r>
      <w:r w:rsidR="008241A8" w:rsidRPr="00B063B0">
        <w:rPr>
          <w:color w:val="0070C0"/>
          <w:lang w:val="en-US"/>
        </w:rPr>
        <w:t xml:space="preserve">the </w:t>
      </w:r>
      <w:r w:rsidR="0004038B" w:rsidRPr="00B063B0">
        <w:rPr>
          <w:color w:val="0070C0"/>
          <w:lang w:val="en-US"/>
        </w:rPr>
        <w:t xml:space="preserve">LIWC </w:t>
      </w:r>
      <w:r w:rsidRPr="00B063B0">
        <w:rPr>
          <w:color w:val="0070C0"/>
          <w:lang w:val="en-US"/>
        </w:rPr>
        <w:t>automated text analysis software to classify 50 transcripts of truthful and fabricated emergency 911 calls</w:t>
      </w:r>
      <w:r w:rsidRPr="00B063B0">
        <w:rPr>
          <w:rFonts w:eastAsiaTheme="majorEastAsia"/>
          <w:b/>
          <w:bCs/>
          <w:color w:val="0070C0"/>
          <w:lang w:val="en-US"/>
        </w:rPr>
        <w:t xml:space="preserve">. </w:t>
      </w:r>
      <w:r w:rsidRPr="00B063B0">
        <w:rPr>
          <w:rFonts w:eastAsiaTheme="majorEastAsia"/>
          <w:color w:val="0070C0"/>
          <w:lang w:val="en-US"/>
        </w:rPr>
        <w:t xml:space="preserve">Results indicated that </w:t>
      </w:r>
      <w:r w:rsidR="00AC37B5" w:rsidRPr="00B063B0">
        <w:rPr>
          <w:rFonts w:eastAsiaTheme="majorEastAsia"/>
          <w:color w:val="0070C0"/>
          <w:lang w:val="en-US"/>
        </w:rPr>
        <w:t xml:space="preserve">for </w:t>
      </w:r>
      <w:r w:rsidRPr="00B063B0">
        <w:rPr>
          <w:rFonts w:eastAsiaTheme="majorEastAsia"/>
          <w:color w:val="0070C0"/>
          <w:lang w:val="en-US"/>
        </w:rPr>
        <w:t>deceivers</w:t>
      </w:r>
      <w:r w:rsidR="00AC37B5" w:rsidRPr="00B063B0">
        <w:rPr>
          <w:rFonts w:eastAsiaTheme="majorEastAsia"/>
          <w:color w:val="0070C0"/>
          <w:lang w:val="en-US"/>
        </w:rPr>
        <w:t xml:space="preserve">, their </w:t>
      </w:r>
      <w:r w:rsidR="004141C3" w:rsidRPr="00B063B0">
        <w:rPr>
          <w:rFonts w:eastAsiaTheme="majorEastAsia"/>
          <w:color w:val="0070C0"/>
          <w:lang w:val="en-US"/>
        </w:rPr>
        <w:t xml:space="preserve">attempt to </w:t>
      </w:r>
      <w:r w:rsidR="002F3D43" w:rsidRPr="00B063B0">
        <w:rPr>
          <w:rFonts w:eastAsiaTheme="majorEastAsia"/>
          <w:color w:val="0070C0"/>
          <w:lang w:val="en-US"/>
        </w:rPr>
        <w:t>evidence</w:t>
      </w:r>
      <w:r w:rsidR="004141C3" w:rsidRPr="00B063B0">
        <w:rPr>
          <w:rFonts w:eastAsiaTheme="majorEastAsia"/>
          <w:color w:val="0070C0"/>
          <w:lang w:val="en-US"/>
        </w:rPr>
        <w:t xml:space="preserve"> </w:t>
      </w:r>
      <w:r w:rsidR="007C01DC" w:rsidRPr="00B063B0">
        <w:rPr>
          <w:rFonts w:eastAsiaTheme="majorEastAsia"/>
          <w:color w:val="0070C0"/>
          <w:lang w:val="en-US"/>
        </w:rPr>
        <w:t xml:space="preserve">genuine </w:t>
      </w:r>
      <w:r w:rsidR="004141C3" w:rsidRPr="00B063B0">
        <w:rPr>
          <w:rFonts w:eastAsiaTheme="majorEastAsia"/>
          <w:color w:val="0070C0"/>
          <w:lang w:val="en-US"/>
        </w:rPr>
        <w:t xml:space="preserve">affect </w:t>
      </w:r>
      <w:r w:rsidR="00290D94" w:rsidRPr="00B063B0">
        <w:rPr>
          <w:rFonts w:eastAsiaTheme="majorEastAsia"/>
          <w:color w:val="0070C0"/>
          <w:lang w:val="en-US"/>
        </w:rPr>
        <w:t xml:space="preserve">resulted in an increased use of </w:t>
      </w:r>
      <w:r w:rsidRPr="00B063B0">
        <w:rPr>
          <w:rFonts w:eastAsiaTheme="majorEastAsia"/>
          <w:color w:val="0070C0"/>
          <w:lang w:val="en-US"/>
        </w:rPr>
        <w:t xml:space="preserve">negations </w:t>
      </w:r>
      <w:r w:rsidR="00B53C06">
        <w:rPr>
          <w:rFonts w:eastAsiaTheme="majorEastAsia"/>
          <w:color w:val="0070C0"/>
          <w:lang w:val="en-US"/>
        </w:rPr>
        <w:t>to</w:t>
      </w:r>
      <w:r w:rsidR="00126522" w:rsidRPr="00B063B0">
        <w:rPr>
          <w:rFonts w:eastAsiaTheme="majorEastAsia"/>
          <w:color w:val="0070C0"/>
          <w:lang w:val="en-US"/>
        </w:rPr>
        <w:t xml:space="preserve"> signal contradiction or denial </w:t>
      </w:r>
      <w:r w:rsidRPr="00B063B0">
        <w:rPr>
          <w:rFonts w:eastAsiaTheme="majorEastAsia"/>
          <w:color w:val="0070C0"/>
          <w:lang w:val="en-US"/>
        </w:rPr>
        <w:t>(e.g., no, not, never) and more expressions of assent (e.g., agree, approve)</w:t>
      </w:r>
      <w:r w:rsidR="00126522" w:rsidRPr="00B063B0">
        <w:rPr>
          <w:rFonts w:eastAsiaTheme="majorEastAsia"/>
          <w:color w:val="0070C0"/>
          <w:lang w:val="en-US"/>
        </w:rPr>
        <w:t xml:space="preserve">. In contrast to deceivers, </w:t>
      </w:r>
      <w:r w:rsidRPr="00B063B0">
        <w:rPr>
          <w:rFonts w:eastAsiaTheme="majorEastAsia"/>
          <w:color w:val="0070C0"/>
          <w:lang w:val="en-US"/>
        </w:rPr>
        <w:t xml:space="preserve">truthful callers </w:t>
      </w:r>
      <w:r w:rsidR="00126522" w:rsidRPr="00B063B0">
        <w:rPr>
          <w:rFonts w:eastAsiaTheme="majorEastAsia"/>
          <w:color w:val="0070C0"/>
          <w:lang w:val="en-US"/>
        </w:rPr>
        <w:t xml:space="preserve">actively </w:t>
      </w:r>
      <w:r w:rsidRPr="00B063B0">
        <w:rPr>
          <w:rFonts w:eastAsiaTheme="majorEastAsia"/>
          <w:color w:val="0070C0"/>
          <w:lang w:val="en-US"/>
        </w:rPr>
        <w:t xml:space="preserve">displayed </w:t>
      </w:r>
      <w:r w:rsidR="00661326" w:rsidRPr="00B063B0">
        <w:rPr>
          <w:rFonts w:eastAsiaTheme="majorEastAsia"/>
          <w:color w:val="0070C0"/>
          <w:lang w:val="en-US"/>
        </w:rPr>
        <w:t>their felt emotion</w:t>
      </w:r>
      <w:r w:rsidR="00126522" w:rsidRPr="00B063B0">
        <w:rPr>
          <w:rFonts w:eastAsiaTheme="majorEastAsia"/>
          <w:color w:val="0070C0"/>
          <w:lang w:val="en-US"/>
        </w:rPr>
        <w:t xml:space="preserve">, </w:t>
      </w:r>
      <w:r w:rsidR="00661326" w:rsidRPr="00B063B0">
        <w:rPr>
          <w:rFonts w:eastAsiaTheme="majorEastAsia"/>
          <w:color w:val="0070C0"/>
          <w:lang w:val="en-US"/>
        </w:rPr>
        <w:t xml:space="preserve">as shown </w:t>
      </w:r>
      <w:r w:rsidR="00AA5C06" w:rsidRPr="00B063B0">
        <w:rPr>
          <w:rFonts w:eastAsiaTheme="majorEastAsia"/>
          <w:color w:val="0070C0"/>
          <w:lang w:val="en-US"/>
        </w:rPr>
        <w:t>in</w:t>
      </w:r>
      <w:r w:rsidR="00661326" w:rsidRPr="00B063B0">
        <w:rPr>
          <w:rFonts w:eastAsiaTheme="majorEastAsia"/>
          <w:color w:val="0070C0"/>
          <w:lang w:val="en-US"/>
        </w:rPr>
        <w:t xml:space="preserve"> </w:t>
      </w:r>
      <w:r w:rsidR="00126522" w:rsidRPr="00B063B0">
        <w:rPr>
          <w:rFonts w:eastAsiaTheme="majorEastAsia"/>
          <w:color w:val="0070C0"/>
          <w:lang w:val="en-US"/>
        </w:rPr>
        <w:t xml:space="preserve">their use of </w:t>
      </w:r>
      <w:r w:rsidR="00BE5510" w:rsidRPr="00B063B0">
        <w:rPr>
          <w:rFonts w:eastAsiaTheme="majorEastAsia"/>
          <w:color w:val="0070C0"/>
          <w:lang w:val="en-US"/>
        </w:rPr>
        <w:t xml:space="preserve">words signaling </w:t>
      </w:r>
      <w:r w:rsidRPr="00B063B0">
        <w:rPr>
          <w:rFonts w:eastAsiaTheme="majorEastAsia"/>
          <w:color w:val="0070C0"/>
          <w:lang w:val="en-US"/>
        </w:rPr>
        <w:t xml:space="preserve">negative emotion </w:t>
      </w:r>
      <w:r w:rsidR="00311936" w:rsidRPr="00B063B0">
        <w:rPr>
          <w:rFonts w:eastAsiaTheme="majorEastAsia"/>
          <w:color w:val="0070C0"/>
          <w:lang w:val="en-US"/>
        </w:rPr>
        <w:t>(e.g., hate, worthless</w:t>
      </w:r>
      <w:r w:rsidR="00AA5C06" w:rsidRPr="00B063B0">
        <w:rPr>
          <w:rFonts w:eastAsiaTheme="majorEastAsia"/>
          <w:color w:val="0070C0"/>
          <w:lang w:val="en-US"/>
        </w:rPr>
        <w:t>, enemy</w:t>
      </w:r>
      <w:r w:rsidR="00311936" w:rsidRPr="00B063B0">
        <w:rPr>
          <w:rFonts w:eastAsiaTheme="majorEastAsia"/>
          <w:color w:val="0070C0"/>
          <w:lang w:val="en-US"/>
        </w:rPr>
        <w:t xml:space="preserve">) </w:t>
      </w:r>
      <w:r w:rsidR="00433CA2" w:rsidRPr="00B063B0">
        <w:rPr>
          <w:rFonts w:eastAsiaTheme="majorEastAsia"/>
          <w:color w:val="0070C0"/>
          <w:lang w:val="en-US"/>
        </w:rPr>
        <w:t xml:space="preserve">as well as </w:t>
      </w:r>
      <w:r w:rsidR="00C01419">
        <w:rPr>
          <w:rFonts w:eastAsiaTheme="majorEastAsia"/>
          <w:color w:val="0070C0"/>
          <w:lang w:val="en-US"/>
        </w:rPr>
        <w:t xml:space="preserve">in their use of </w:t>
      </w:r>
      <w:r w:rsidRPr="00B063B0">
        <w:rPr>
          <w:rFonts w:eastAsiaTheme="majorEastAsia"/>
          <w:color w:val="0070C0"/>
          <w:lang w:val="en-US"/>
        </w:rPr>
        <w:t xml:space="preserve">anxiety-related words (Burns &amp; Moffitt, 2014). </w:t>
      </w:r>
      <w:r w:rsidRPr="00451875">
        <w:rPr>
          <w:rFonts w:eastAsiaTheme="majorEastAsia"/>
          <w:color w:val="000000" w:themeColor="text1"/>
          <w:lang w:val="en-US"/>
        </w:rPr>
        <w:t xml:space="preserve">The overall performance of the analysis technique was as high as 84%, which illustrates the potential to use automated linguistic analysis in high-stake situations such as crime investigations. </w:t>
      </w:r>
    </w:p>
    <w:p w14:paraId="642F974C" w14:textId="77777777" w:rsidR="000048BD" w:rsidRPr="00451875" w:rsidRDefault="000048BD" w:rsidP="000048BD">
      <w:pPr>
        <w:ind w:firstLine="720"/>
        <w:jc w:val="both"/>
        <w:rPr>
          <w:rFonts w:eastAsiaTheme="majorEastAsia"/>
          <w:color w:val="000000" w:themeColor="text1"/>
          <w:lang w:val="en-US"/>
        </w:rPr>
      </w:pPr>
      <w:r w:rsidRPr="00451875">
        <w:rPr>
          <w:rFonts w:eastAsiaTheme="majorEastAsia"/>
          <w:color w:val="000000" w:themeColor="text1"/>
          <w:lang w:val="en-US"/>
        </w:rPr>
        <w:t>Although several studies have demonstrated the existence of linguistic differences between truthful and deceptive statements, such differences are not consistent across people and contexts (</w:t>
      </w:r>
      <w:r w:rsidRPr="00451875">
        <w:rPr>
          <w:rFonts w:eastAsiaTheme="majorEastAsia"/>
          <w:lang w:val="en-US"/>
        </w:rPr>
        <w:t>Levitan et al., 2018; Williams et al., 2014; Thompson &amp; Hartwig, 2023)</w:t>
      </w:r>
      <w:r w:rsidRPr="00451875">
        <w:rPr>
          <w:rFonts w:eastAsiaTheme="majorEastAsia"/>
          <w:color w:val="000000" w:themeColor="text1"/>
          <w:lang w:val="en-US"/>
        </w:rPr>
        <w:t xml:space="preserve">. To help determine the usefulness of linguistic cues for deception detection at the level of the individual, </w:t>
      </w:r>
      <w:bookmarkStart w:id="15" w:name="_Hlk128210604"/>
      <w:r w:rsidRPr="00451875">
        <w:rPr>
          <w:rFonts w:eastAsiaTheme="majorEastAsia"/>
          <w:color w:val="000000" w:themeColor="text1"/>
          <w:lang w:val="en-US"/>
        </w:rPr>
        <w:t xml:space="preserve">Van der Zee et al. (2022) </w:t>
      </w:r>
      <w:bookmarkEnd w:id="15"/>
      <w:r w:rsidRPr="00451875">
        <w:rPr>
          <w:rFonts w:eastAsiaTheme="majorEastAsia"/>
          <w:color w:val="000000" w:themeColor="text1"/>
          <w:lang w:val="en-US"/>
        </w:rPr>
        <w:t xml:space="preserve">developed a model tailored to a previous US president, Donald Trump. When analysing tweets that were checked by an independent third party for factuality, results revealed significant linguistic differences between factually correct and incorrect tweets. As a result of such differences, a quantitative model was developed. Using this model, the authors attempted to predict whether other tweets, not included in the original sample, were factually correct or incorrect. The findings revealed an accuracy rate of 73%. Such research demonstrates the benefit of linguistic analysis when detecting deception at the level of the </w:t>
      </w:r>
      <w:r w:rsidRPr="00451875">
        <w:rPr>
          <w:rFonts w:eastAsiaTheme="majorEastAsia"/>
          <w:i/>
          <w:iCs/>
          <w:color w:val="000000" w:themeColor="text1"/>
          <w:lang w:val="en-US"/>
        </w:rPr>
        <w:t>individual</w:t>
      </w:r>
      <w:r w:rsidRPr="00451875">
        <w:rPr>
          <w:rFonts w:eastAsiaTheme="majorEastAsia"/>
          <w:color w:val="000000" w:themeColor="text1"/>
          <w:lang w:val="en-US"/>
        </w:rPr>
        <w:t>, rather than at the group level.</w:t>
      </w:r>
    </w:p>
    <w:p w14:paraId="10CC36DF" w14:textId="77777777" w:rsidR="000048BD" w:rsidRPr="00451875" w:rsidRDefault="000048BD" w:rsidP="000048BD">
      <w:pPr>
        <w:ind w:firstLine="720"/>
        <w:jc w:val="both"/>
        <w:rPr>
          <w:color w:val="000000" w:themeColor="text1"/>
          <w:lang w:val="en-US"/>
        </w:rPr>
      </w:pPr>
      <w:r w:rsidRPr="00451875">
        <w:rPr>
          <w:color w:val="000000" w:themeColor="text1"/>
          <w:lang w:val="en-US"/>
        </w:rPr>
        <w:t>A focus on other language characteristics, such as an increased use of personal pronouns, has also been observed to benefit deception detection (</w:t>
      </w:r>
      <w:bookmarkStart w:id="16" w:name="_Hlk128210620"/>
      <w:r w:rsidRPr="00451875">
        <w:rPr>
          <w:color w:val="000000" w:themeColor="text1"/>
          <w:lang w:val="en-US"/>
        </w:rPr>
        <w:t>Cohn et al., 2004</w:t>
      </w:r>
      <w:bookmarkEnd w:id="16"/>
      <w:r w:rsidRPr="00451875">
        <w:rPr>
          <w:color w:val="000000" w:themeColor="text1"/>
          <w:lang w:val="en-US"/>
        </w:rPr>
        <w:t xml:space="preserve">). Evidence to support this proposal was found in research conducted by </w:t>
      </w:r>
      <w:bookmarkStart w:id="17" w:name="_Hlk128210627"/>
      <w:r w:rsidRPr="00451875">
        <w:rPr>
          <w:color w:val="000000" w:themeColor="text1"/>
          <w:lang w:val="en-US"/>
        </w:rPr>
        <w:t xml:space="preserve">Hancock et al. </w:t>
      </w:r>
      <w:r w:rsidRPr="00451875">
        <w:rPr>
          <w:color w:val="000000" w:themeColor="text1"/>
          <w:lang w:val="en-US"/>
        </w:rPr>
        <w:lastRenderedPageBreak/>
        <w:t xml:space="preserve">(2007), </w:t>
      </w:r>
      <w:bookmarkEnd w:id="17"/>
      <w:r w:rsidRPr="00451875">
        <w:rPr>
          <w:color w:val="000000" w:themeColor="text1"/>
          <w:lang w:val="en-US"/>
        </w:rPr>
        <w:t>which computed the percentage of different pronouns used in honest and fabricated conversational transcripts and revealed that fabricated transcripts contained a greater proportion of personal pronouns as compared to honest transcripts. However, not all findings support this trend. Research has suggested that deceptive individuals who are attempting to avoid detection may use fewer personal pronouns to distance themselves from their story (</w:t>
      </w:r>
      <w:bookmarkStart w:id="18" w:name="_Hlk128210638"/>
      <w:r w:rsidRPr="00451875">
        <w:rPr>
          <w:color w:val="000000" w:themeColor="text1"/>
          <w:lang w:val="en-US"/>
        </w:rPr>
        <w:t xml:space="preserve">Shapiro, 1996). </w:t>
      </w:r>
      <w:bookmarkEnd w:id="18"/>
      <w:r w:rsidRPr="00451875">
        <w:rPr>
          <w:color w:val="000000" w:themeColor="text1"/>
          <w:lang w:val="en-US"/>
        </w:rPr>
        <w:t>This “distancing strategy” minimizes personal involvement with the content of the message (</w:t>
      </w:r>
      <w:bookmarkStart w:id="19" w:name="_Hlk128210648"/>
      <w:r w:rsidRPr="00451875">
        <w:rPr>
          <w:color w:val="000000" w:themeColor="text1"/>
          <w:lang w:val="en-US"/>
        </w:rPr>
        <w:t>Newman et al., 2003</w:t>
      </w:r>
      <w:bookmarkEnd w:id="19"/>
      <w:r w:rsidRPr="00451875">
        <w:rPr>
          <w:color w:val="000000" w:themeColor="text1"/>
          <w:lang w:val="en-US"/>
        </w:rPr>
        <w:t xml:space="preserve">). </w:t>
      </w:r>
    </w:p>
    <w:p w14:paraId="07C01967" w14:textId="77777777" w:rsidR="000048BD" w:rsidRPr="00451875" w:rsidRDefault="000048BD" w:rsidP="000048BD">
      <w:pPr>
        <w:jc w:val="both"/>
        <w:rPr>
          <w:b/>
          <w:bCs/>
          <w:i/>
          <w:iCs/>
          <w:color w:val="000000" w:themeColor="text1"/>
          <w:lang w:val="en-US"/>
        </w:rPr>
      </w:pPr>
      <w:r w:rsidRPr="00451875">
        <w:rPr>
          <w:b/>
          <w:bCs/>
          <w:i/>
          <w:iCs/>
          <w:color w:val="000000" w:themeColor="text1"/>
          <w:lang w:val="en-US"/>
        </w:rPr>
        <w:t>Language and Insider Threat</w:t>
      </w:r>
    </w:p>
    <w:p w14:paraId="6F9B277B" w14:textId="77777777" w:rsidR="000048BD" w:rsidRPr="00451875" w:rsidRDefault="000048BD" w:rsidP="000048BD">
      <w:pPr>
        <w:ind w:firstLine="720"/>
        <w:jc w:val="both"/>
        <w:rPr>
          <w:color w:val="000000" w:themeColor="text1"/>
          <w:lang w:val="en-US"/>
        </w:rPr>
      </w:pPr>
      <w:r w:rsidRPr="00451875">
        <w:rPr>
          <w:color w:val="000000" w:themeColor="text1"/>
          <w:lang w:val="en-US"/>
        </w:rPr>
        <w:t xml:space="preserve">In the context of insider threat detection, there is limited yet growing research to suggest that linguistic characteristics could be used to identify insiders. Research has indicated that the use of first-person plural pronouns (e.g., “we”) are less indicative of self-focus and more indicative of a strong sense of community (Bond &amp; Pennebaker, 2012). For example, Cohn et al. (2004) found that, after the </w:t>
      </w:r>
      <w:proofErr w:type="gramStart"/>
      <w:r w:rsidRPr="00451875">
        <w:rPr>
          <w:color w:val="000000" w:themeColor="text1"/>
          <w:lang w:val="en-US"/>
        </w:rPr>
        <w:t>11</w:t>
      </w:r>
      <w:r w:rsidRPr="00451875">
        <w:rPr>
          <w:color w:val="000000" w:themeColor="text1"/>
          <w:vertAlign w:val="superscript"/>
          <w:lang w:val="en-US"/>
        </w:rPr>
        <w:t>th</w:t>
      </w:r>
      <w:proofErr w:type="gramEnd"/>
      <w:r w:rsidRPr="00451875">
        <w:rPr>
          <w:color w:val="000000" w:themeColor="text1"/>
          <w:lang w:val="en-US"/>
        </w:rPr>
        <w:t xml:space="preserve"> September 2001 attack of the Twin Towers, people used a greater proportion of plural pronouns as communities dealt with the incident together. Such findings suggest that a focus on pronoun use may be beneficial when detecting insider activity, as it has been shown to be associated with the self-focus often experienced by an insider. </w:t>
      </w:r>
    </w:p>
    <w:p w14:paraId="2E469A30" w14:textId="190E3C89" w:rsidR="000048BD" w:rsidRPr="00451875" w:rsidRDefault="000048BD" w:rsidP="000048BD">
      <w:pPr>
        <w:ind w:firstLine="720"/>
        <w:jc w:val="both"/>
        <w:rPr>
          <w:color w:val="000000" w:themeColor="text1"/>
          <w:lang w:val="en-US"/>
        </w:rPr>
      </w:pPr>
      <w:r w:rsidRPr="00451875">
        <w:rPr>
          <w:color w:val="000000" w:themeColor="text1"/>
          <w:lang w:val="en-US"/>
        </w:rPr>
        <w:t>Negative affect is another language characteristic that has been associated with insider activity. The presence of this characteristic stems from the idea that insiders are often current or former employees who have felt frustrated with their organisation after it has failed to acknowledge an employee’s accomplishments (</w:t>
      </w:r>
      <w:bookmarkStart w:id="20" w:name="_Hlk128210740"/>
      <w:proofErr w:type="spellStart"/>
      <w:r w:rsidRPr="00451875">
        <w:rPr>
          <w:color w:val="000000" w:themeColor="text1"/>
          <w:lang w:val="en-US"/>
        </w:rPr>
        <w:t>Giumetti</w:t>
      </w:r>
      <w:proofErr w:type="spellEnd"/>
      <w:r w:rsidRPr="00451875">
        <w:rPr>
          <w:color w:val="000000" w:themeColor="text1"/>
          <w:lang w:val="en-US"/>
        </w:rPr>
        <w:t xml:space="preserve"> et al., 20</w:t>
      </w:r>
      <w:bookmarkEnd w:id="20"/>
      <w:r w:rsidRPr="00451875">
        <w:rPr>
          <w:color w:val="000000" w:themeColor="text1"/>
          <w:lang w:val="en-US"/>
        </w:rPr>
        <w:t xml:space="preserve">13). As a result of such frustration, employees may seek to conduct an insider attack for the purpose of revenge or personal gain. This has been supported by research conducted by </w:t>
      </w:r>
      <w:bookmarkStart w:id="21" w:name="_Hlk128210751"/>
      <w:r w:rsidRPr="00451875">
        <w:rPr>
          <w:color w:val="000000" w:themeColor="text1"/>
          <w:lang w:val="en-US"/>
        </w:rPr>
        <w:t xml:space="preserve">Workman and </w:t>
      </w:r>
      <w:proofErr w:type="spellStart"/>
      <w:r w:rsidRPr="00451875">
        <w:rPr>
          <w:color w:val="000000" w:themeColor="text1"/>
          <w:lang w:val="en-US"/>
        </w:rPr>
        <w:t>Gathegi</w:t>
      </w:r>
      <w:proofErr w:type="spellEnd"/>
      <w:r w:rsidRPr="00451875">
        <w:rPr>
          <w:color w:val="000000" w:themeColor="text1"/>
          <w:lang w:val="en-US"/>
        </w:rPr>
        <w:t xml:space="preserve"> (2007), </w:t>
      </w:r>
      <w:bookmarkEnd w:id="21"/>
      <w:r w:rsidRPr="00451875">
        <w:rPr>
          <w:color w:val="000000" w:themeColor="text1"/>
          <w:lang w:val="en-US"/>
        </w:rPr>
        <w:t xml:space="preserve">who found that negative affect in the workplace was associated with </w:t>
      </w:r>
      <w:r w:rsidRPr="00451875">
        <w:rPr>
          <w:color w:val="000000" w:themeColor="text1"/>
          <w:lang w:val="en-US"/>
        </w:rPr>
        <w:lastRenderedPageBreak/>
        <w:t xml:space="preserve">negative work behaviours such as theft, </w:t>
      </w:r>
      <w:r w:rsidRPr="00D5204C">
        <w:rPr>
          <w:color w:val="0070C0"/>
          <w:lang w:val="en-US"/>
        </w:rPr>
        <w:t>which has similarities to that of an insider attack</w:t>
      </w:r>
      <w:r w:rsidR="009471C7">
        <w:rPr>
          <w:color w:val="0070C0"/>
          <w:lang w:val="en-US"/>
        </w:rPr>
        <w:t xml:space="preserve"> as this </w:t>
      </w:r>
      <w:r w:rsidR="00F2616D" w:rsidRPr="00D5204C">
        <w:rPr>
          <w:color w:val="0070C0"/>
          <w:lang w:val="en-US"/>
        </w:rPr>
        <w:t xml:space="preserve">can involve the individual stealing </w:t>
      </w:r>
      <w:r w:rsidR="00884BFD" w:rsidRPr="00D5204C">
        <w:rPr>
          <w:color w:val="0070C0"/>
          <w:lang w:val="en-US"/>
        </w:rPr>
        <w:t>company information for personal gain</w:t>
      </w:r>
      <w:r w:rsidRPr="00D5204C">
        <w:rPr>
          <w:color w:val="0070C0"/>
          <w:lang w:val="en-US"/>
        </w:rPr>
        <w:t xml:space="preserve">. </w:t>
      </w:r>
    </w:p>
    <w:p w14:paraId="6595EAB1" w14:textId="77777777" w:rsidR="000048BD" w:rsidRPr="00451875" w:rsidRDefault="000048BD" w:rsidP="000048BD">
      <w:pPr>
        <w:ind w:firstLine="720"/>
        <w:jc w:val="both"/>
        <w:rPr>
          <w:color w:val="000000" w:themeColor="text1"/>
          <w:lang w:val="en-US"/>
        </w:rPr>
      </w:pPr>
      <w:r w:rsidRPr="00451875">
        <w:rPr>
          <w:color w:val="000000" w:themeColor="text1"/>
          <w:lang w:val="en-US"/>
        </w:rPr>
        <w:t>A third linguistic difference between insiders and non-insiders relates to the cognitive load that insiders may experience when conducting an attack (</w:t>
      </w:r>
      <w:bookmarkStart w:id="22" w:name="_Hlk128210762"/>
      <w:r w:rsidRPr="00451875">
        <w:rPr>
          <w:color w:val="000000" w:themeColor="text1"/>
          <w:lang w:val="en-US"/>
        </w:rPr>
        <w:t>Vrij et al., 2008</w:t>
      </w:r>
      <w:bookmarkEnd w:id="22"/>
      <w:r w:rsidRPr="00451875">
        <w:rPr>
          <w:color w:val="000000" w:themeColor="text1"/>
          <w:lang w:val="en-US"/>
        </w:rPr>
        <w:t>). For example, insiders will likely have to exert additional mental effort to be able to maintain both their insider activity and their ordinary work activity. With the increased mental effort required to complete additional tasks, insiders may experience greater cognitive demand and, as such, may use a greater proportion of words relating to cognitive processing (</w:t>
      </w:r>
      <w:bookmarkStart w:id="23" w:name="_Hlk128210773"/>
      <w:r w:rsidRPr="00451875">
        <w:rPr>
          <w:color w:val="000000" w:themeColor="text1"/>
          <w:lang w:val="en-US"/>
        </w:rPr>
        <w:t>Walczyk et al., 2005</w:t>
      </w:r>
      <w:bookmarkEnd w:id="23"/>
      <w:r w:rsidRPr="00451875">
        <w:rPr>
          <w:color w:val="000000" w:themeColor="text1"/>
          <w:lang w:val="en-US"/>
        </w:rPr>
        <w:t xml:space="preserve">). Taken together, such evidence indicates that linguistic characteristics, such as pronoun use, negative affect and words relating to cognitive processing may be useful cues when attempting to discern insider activity.   </w:t>
      </w:r>
    </w:p>
    <w:p w14:paraId="43597E8A" w14:textId="55B1F3CC" w:rsidR="000048BD" w:rsidRPr="00451875" w:rsidRDefault="000048BD" w:rsidP="000048BD">
      <w:pPr>
        <w:ind w:firstLine="720"/>
        <w:jc w:val="both"/>
        <w:rPr>
          <w:color w:val="000000" w:themeColor="text1"/>
        </w:rPr>
      </w:pPr>
      <w:r w:rsidRPr="00451875">
        <w:rPr>
          <w:color w:val="000000" w:themeColor="text1"/>
          <w:lang w:val="en-US"/>
        </w:rPr>
        <w:t xml:space="preserve">Although computational processing systems, such </w:t>
      </w:r>
      <w:proofErr w:type="spellStart"/>
      <w:r w:rsidR="00D50A95">
        <w:rPr>
          <w:color w:val="000000" w:themeColor="text1"/>
          <w:lang w:val="en-US"/>
        </w:rPr>
        <w:t>theft</w:t>
      </w:r>
      <w:r w:rsidRPr="00451875">
        <w:rPr>
          <w:color w:val="000000" w:themeColor="text1"/>
          <w:lang w:val="en-US"/>
        </w:rPr>
        <w:t>as</w:t>
      </w:r>
      <w:proofErr w:type="spellEnd"/>
      <w:r w:rsidRPr="00451875">
        <w:rPr>
          <w:color w:val="000000" w:themeColor="text1"/>
          <w:lang w:val="en-US"/>
        </w:rPr>
        <w:t xml:space="preserve"> LIWC (</w:t>
      </w:r>
      <w:bookmarkStart w:id="24" w:name="_Hlk128210788"/>
      <w:proofErr w:type="spellStart"/>
      <w:r w:rsidRPr="00451875">
        <w:rPr>
          <w:color w:val="000000" w:themeColor="text1"/>
          <w:lang w:val="en-US"/>
        </w:rPr>
        <w:t>Tausczik</w:t>
      </w:r>
      <w:proofErr w:type="spellEnd"/>
      <w:r w:rsidRPr="00451875">
        <w:rPr>
          <w:color w:val="000000" w:themeColor="text1"/>
          <w:lang w:val="en-US"/>
        </w:rPr>
        <w:t xml:space="preserve"> &amp; Pennebaker, 2010</w:t>
      </w:r>
      <w:bookmarkEnd w:id="24"/>
      <w:r w:rsidRPr="00451875">
        <w:rPr>
          <w:color w:val="000000" w:themeColor="text1"/>
          <w:lang w:val="en-US"/>
        </w:rPr>
        <w:t xml:space="preserve">), have been used to explore linguistic cues to deception detection, such systems are yet to be extensively applied to insider threat detection. One of the few studies that has applied LIWC in insider threat detection was conducted by </w:t>
      </w:r>
      <w:r w:rsidR="009022AF" w:rsidRPr="4D5C29CA">
        <w:rPr>
          <w:rFonts w:cs="Arial"/>
          <w:color w:val="000000" w:themeColor="text1"/>
        </w:rPr>
        <w:t>Taylor et al.</w:t>
      </w:r>
      <w:r w:rsidR="009022AF">
        <w:rPr>
          <w:rFonts w:cs="Arial"/>
          <w:color w:val="000000" w:themeColor="text1"/>
        </w:rPr>
        <w:t xml:space="preserve"> (</w:t>
      </w:r>
      <w:r w:rsidR="009022AF" w:rsidRPr="4D5C29CA">
        <w:rPr>
          <w:rFonts w:cs="Arial"/>
          <w:color w:val="000000" w:themeColor="text1"/>
        </w:rPr>
        <w:t>2013</w:t>
      </w:r>
      <w:r w:rsidR="009022AF">
        <w:rPr>
          <w:rFonts w:cs="Arial"/>
          <w:color w:val="000000" w:themeColor="text1"/>
        </w:rPr>
        <w:t>)</w:t>
      </w:r>
      <w:r w:rsidR="009022AF" w:rsidRPr="00451875">
        <w:rPr>
          <w:color w:val="000000" w:themeColor="text1"/>
          <w:lang w:val="en-US"/>
        </w:rPr>
        <w:t>.</w:t>
      </w:r>
      <w:r w:rsidR="009022AF">
        <w:rPr>
          <w:color w:val="000000" w:themeColor="text1"/>
          <w:lang w:val="en-US"/>
        </w:rPr>
        <w:t xml:space="preserve"> </w:t>
      </w:r>
      <w:r w:rsidRPr="00451875">
        <w:rPr>
          <w:color w:val="000000" w:themeColor="text1"/>
          <w:lang w:val="en-US"/>
        </w:rPr>
        <w:t xml:space="preserve">They tested the hypothesis that conducting an insider attack can lead to cognitive and social challenges that may impact an insider’s daily behaviour at work. </w:t>
      </w:r>
      <w:proofErr w:type="gramStart"/>
      <w:r w:rsidRPr="00451875">
        <w:rPr>
          <w:color w:val="000000" w:themeColor="text1"/>
          <w:lang w:val="en-US"/>
        </w:rPr>
        <w:t>In light of</w:t>
      </w:r>
      <w:proofErr w:type="gramEnd"/>
      <w:r w:rsidRPr="00451875">
        <w:rPr>
          <w:color w:val="000000" w:themeColor="text1"/>
          <w:lang w:val="en-US"/>
        </w:rPr>
        <w:t xml:space="preserve"> previous research that has considered individual language use and insider threat, the authors predicted that insiders would use a greater number of first-person singular and second-person pronouns, and fewer first-person plural pronouns, compared to non-insider co-workers. They further predicted that insiders would show increased negative affect and use a greater number of words relating to cognitive processes when compared to non-insider co-workers. </w:t>
      </w:r>
      <w:r w:rsidR="00890001" w:rsidRPr="4D5C29CA">
        <w:rPr>
          <w:rFonts w:cs="Arial"/>
          <w:color w:val="000000" w:themeColor="text1"/>
        </w:rPr>
        <w:t>Taylor et al.</w:t>
      </w:r>
      <w:r w:rsidR="00890001">
        <w:rPr>
          <w:rFonts w:cs="Arial"/>
          <w:color w:val="000000" w:themeColor="text1"/>
        </w:rPr>
        <w:t>’s (</w:t>
      </w:r>
      <w:r w:rsidR="00890001" w:rsidRPr="4D5C29CA">
        <w:rPr>
          <w:rFonts w:cs="Arial"/>
          <w:color w:val="000000" w:themeColor="text1"/>
        </w:rPr>
        <w:t>2013</w:t>
      </w:r>
      <w:r w:rsidR="00890001">
        <w:rPr>
          <w:rFonts w:cs="Arial"/>
          <w:color w:val="000000" w:themeColor="text1"/>
        </w:rPr>
        <w:t>)</w:t>
      </w:r>
      <w:r w:rsidR="00890001">
        <w:rPr>
          <w:color w:val="000000" w:themeColor="text1"/>
          <w:lang w:val="en-US"/>
        </w:rPr>
        <w:t xml:space="preserve"> </w:t>
      </w:r>
      <w:r w:rsidRPr="00451875">
        <w:rPr>
          <w:color w:val="000000" w:themeColor="text1"/>
        </w:rPr>
        <w:t xml:space="preserve">research therefore explored the potential to detect insiders through their language use. Participants took part in a six-hour workplace simulation that required them to examine databases and exchange information as part of </w:t>
      </w:r>
      <w:r w:rsidRPr="00451875">
        <w:rPr>
          <w:color w:val="000000" w:themeColor="text1"/>
        </w:rPr>
        <w:lastRenderedPageBreak/>
        <w:t xml:space="preserve">an investigation into organised crime. A quarter of the participants were later incentivised to behave as an “insider”. During the simulation, participants communicated only via email and these emails were subsequently </w:t>
      </w:r>
      <w:r w:rsidRPr="00451875">
        <w:rPr>
          <w:color w:val="000000" w:themeColor="text1"/>
          <w:lang w:val="en-US"/>
        </w:rPr>
        <w:t xml:space="preserve">analysed using LIWC to derive measures of language use. These measures included words that related to current motivations such as the use of personal pronouns (‘I’), cognitive processes and affect.  </w:t>
      </w:r>
    </w:p>
    <w:p w14:paraId="5B583FBC" w14:textId="6C29FE94" w:rsidR="000048BD" w:rsidRPr="00451875" w:rsidRDefault="000048BD" w:rsidP="000048BD">
      <w:pPr>
        <w:ind w:firstLine="720"/>
        <w:jc w:val="both"/>
        <w:rPr>
          <w:rFonts w:eastAsia="Calibri"/>
          <w:highlight w:val="yellow"/>
        </w:rPr>
      </w:pPr>
      <w:r w:rsidRPr="00451875">
        <w:rPr>
          <w:color w:val="000000" w:themeColor="text1"/>
          <w:lang w:val="en-US"/>
        </w:rPr>
        <w:t xml:space="preserve">The results from </w:t>
      </w:r>
      <w:r w:rsidR="00781A08" w:rsidRPr="4D5C29CA">
        <w:rPr>
          <w:rFonts w:cs="Arial"/>
          <w:color w:val="000000" w:themeColor="text1"/>
        </w:rPr>
        <w:t>Taylor et al.</w:t>
      </w:r>
      <w:r w:rsidR="00781A08">
        <w:rPr>
          <w:rFonts w:cs="Arial"/>
          <w:color w:val="000000" w:themeColor="text1"/>
        </w:rPr>
        <w:t>’s (</w:t>
      </w:r>
      <w:r w:rsidR="00781A08" w:rsidRPr="4D5C29CA">
        <w:rPr>
          <w:rFonts w:cs="Arial"/>
          <w:color w:val="000000" w:themeColor="text1"/>
        </w:rPr>
        <w:t>2013</w:t>
      </w:r>
      <w:r w:rsidR="00781A08">
        <w:rPr>
          <w:rFonts w:cs="Arial"/>
          <w:color w:val="000000" w:themeColor="text1"/>
        </w:rPr>
        <w:t xml:space="preserve">) </w:t>
      </w:r>
      <w:r w:rsidRPr="00451875">
        <w:rPr>
          <w:color w:val="000000" w:themeColor="text1"/>
          <w:lang w:val="en-US"/>
        </w:rPr>
        <w:t xml:space="preserve">study revealed that insiders, compared to their non-insider counterparts, were more self-focused (signified by an increase in personal pronouns, such as “I” and “me”), showed greater negative affect (signified by an increase in words related to negations, such as “no”, “not” and “can’t”) and showed increased cognitive processing (signified by an increase in words related to cognitive mechanisms; in particular, an increase in the use of discrepancy words such as “ought” and “should”). </w:t>
      </w:r>
      <w:r w:rsidRPr="00451875">
        <w:rPr>
          <w:rFonts w:eastAsia="Calibri"/>
        </w:rPr>
        <w:t xml:space="preserve">These language changes were not matched by a significant change in the use of first-person plural pronouns. </w:t>
      </w:r>
      <w:r w:rsidRPr="00451875">
        <w:rPr>
          <w:color w:val="000000" w:themeColor="text1"/>
          <w:lang w:val="en-US"/>
        </w:rPr>
        <w:t>Increases in the use of cognitive processing words can be explained in terms of the cognitive load that is likely to be associated with an insider attack (</w:t>
      </w:r>
      <w:bookmarkStart w:id="25" w:name="_Hlk128210812"/>
      <w:r w:rsidRPr="00451875">
        <w:rPr>
          <w:color w:val="000000" w:themeColor="text1"/>
          <w:lang w:val="en-US"/>
        </w:rPr>
        <w:t>Spence et al., 2001</w:t>
      </w:r>
      <w:bookmarkEnd w:id="25"/>
      <w:r w:rsidRPr="00451875">
        <w:rPr>
          <w:color w:val="000000" w:themeColor="text1"/>
          <w:lang w:val="en-US"/>
        </w:rPr>
        <w:t xml:space="preserve">). This finding has been supported in the deception literature, which has suggested that lying may be more cognitively demanding than telling the truth (Vrij et al., 2008). </w:t>
      </w:r>
      <w:r w:rsidR="00781A08" w:rsidRPr="4D5C29CA">
        <w:rPr>
          <w:rFonts w:cs="Arial"/>
          <w:color w:val="000000" w:themeColor="text1"/>
        </w:rPr>
        <w:t>Taylor et al.</w:t>
      </w:r>
      <w:r w:rsidR="00781A08">
        <w:rPr>
          <w:rFonts w:cs="Arial"/>
          <w:color w:val="000000" w:themeColor="text1"/>
        </w:rPr>
        <w:t>’s (</w:t>
      </w:r>
      <w:r w:rsidR="00781A08" w:rsidRPr="4D5C29CA">
        <w:rPr>
          <w:rFonts w:cs="Arial"/>
          <w:color w:val="000000" w:themeColor="text1"/>
        </w:rPr>
        <w:t>2013</w:t>
      </w:r>
      <w:r w:rsidR="00781A08">
        <w:rPr>
          <w:rFonts w:cs="Arial"/>
          <w:color w:val="000000" w:themeColor="text1"/>
        </w:rPr>
        <w:t xml:space="preserve">) </w:t>
      </w:r>
      <w:r w:rsidRPr="00451875">
        <w:t>findings therefore support the idea that language variables can provide a mechanism for detecting potential insiders. For example, individuals who are looking to detect insider activity within a company could focus on the use of certain language features in employees’ communication.</w:t>
      </w:r>
    </w:p>
    <w:p w14:paraId="6391F3B3" w14:textId="77777777" w:rsidR="000048BD" w:rsidRPr="00451875" w:rsidRDefault="000048BD" w:rsidP="000048BD">
      <w:pPr>
        <w:jc w:val="both"/>
        <w:rPr>
          <w:b/>
          <w:bCs/>
          <w:i/>
          <w:iCs/>
        </w:rPr>
      </w:pPr>
      <w:r w:rsidRPr="00451875">
        <w:rPr>
          <w:b/>
          <w:bCs/>
          <w:i/>
          <w:iCs/>
        </w:rPr>
        <w:t>Aims of the Current Study</w:t>
      </w:r>
    </w:p>
    <w:p w14:paraId="713F0326" w14:textId="61771AD3" w:rsidR="000048BD" w:rsidRPr="00451875" w:rsidRDefault="000048BD" w:rsidP="000048BD">
      <w:pPr>
        <w:ind w:firstLine="720"/>
        <w:jc w:val="both"/>
        <w:rPr>
          <w:color w:val="000000" w:themeColor="text1"/>
          <w:lang w:val="en-US"/>
        </w:rPr>
      </w:pPr>
      <w:r w:rsidRPr="00451875">
        <w:t xml:space="preserve">Here, we aimed to test the generalisability of </w:t>
      </w:r>
      <w:r w:rsidR="00B23A91" w:rsidRPr="4D5C29CA">
        <w:rPr>
          <w:rFonts w:cs="Arial"/>
          <w:color w:val="000000" w:themeColor="text1"/>
        </w:rPr>
        <w:t>Taylor et al.</w:t>
      </w:r>
      <w:r w:rsidR="00B23A91">
        <w:rPr>
          <w:rFonts w:cs="Arial"/>
          <w:color w:val="000000" w:themeColor="text1"/>
        </w:rPr>
        <w:t>’s (</w:t>
      </w:r>
      <w:r w:rsidR="00B23A91" w:rsidRPr="4D5C29CA">
        <w:rPr>
          <w:rFonts w:cs="Arial"/>
          <w:color w:val="000000" w:themeColor="text1"/>
        </w:rPr>
        <w:t>2013</w:t>
      </w:r>
      <w:r w:rsidR="00B23A91">
        <w:rPr>
          <w:rFonts w:cs="Arial"/>
          <w:color w:val="000000" w:themeColor="text1"/>
        </w:rPr>
        <w:t xml:space="preserve">) </w:t>
      </w:r>
      <w:r w:rsidRPr="00451875">
        <w:t xml:space="preserve">findings that insiders might be identified through changes in their language use. </w:t>
      </w:r>
      <w:r w:rsidR="00B23A91" w:rsidRPr="4D5C29CA">
        <w:rPr>
          <w:rFonts w:cs="Arial"/>
          <w:color w:val="000000" w:themeColor="text1"/>
        </w:rPr>
        <w:t>Taylor et al.</w:t>
      </w:r>
      <w:r w:rsidR="00B23A91">
        <w:rPr>
          <w:rFonts w:cs="Arial"/>
          <w:color w:val="000000" w:themeColor="text1"/>
        </w:rPr>
        <w:t xml:space="preserve"> (</w:t>
      </w:r>
      <w:r w:rsidR="00B23A91" w:rsidRPr="4D5C29CA">
        <w:rPr>
          <w:rFonts w:cs="Arial"/>
          <w:color w:val="000000" w:themeColor="text1"/>
        </w:rPr>
        <w:t>2013</w:t>
      </w:r>
      <w:r w:rsidR="00B23A91">
        <w:rPr>
          <w:rFonts w:cs="Arial"/>
          <w:color w:val="000000" w:themeColor="text1"/>
        </w:rPr>
        <w:t xml:space="preserve">) </w:t>
      </w:r>
      <w:proofErr w:type="gramStart"/>
      <w:r w:rsidRPr="00451875">
        <w:t>were</w:t>
      </w:r>
      <w:proofErr w:type="gramEnd"/>
      <w:r w:rsidR="00B23A91">
        <w:t xml:space="preserve"> </w:t>
      </w:r>
      <w:r w:rsidRPr="00451875">
        <w:t xml:space="preserve">concerned only with the language of insiders and non-insiders during </w:t>
      </w:r>
      <w:r w:rsidRPr="00451875">
        <w:rPr>
          <w:i/>
          <w:iCs/>
        </w:rPr>
        <w:t>email</w:t>
      </w:r>
      <w:r w:rsidRPr="00451875">
        <w:t xml:space="preserve"> communication. Accordingly, several questions arise as to whether differences in </w:t>
      </w:r>
      <w:r w:rsidRPr="00451875">
        <w:lastRenderedPageBreak/>
        <w:t xml:space="preserve">language use extend to other communication contexts, such as face-to-face, in-person interactions. It is possible, for example, that the unique features and constraints of email-based communication accentuate the prevalence of certain language features associated with insiders that would not be displayed in other communication contexts. </w:t>
      </w:r>
    </w:p>
    <w:p w14:paraId="1968C2F1" w14:textId="466A9C67" w:rsidR="000048BD" w:rsidRPr="00451875" w:rsidRDefault="000048BD" w:rsidP="000048BD">
      <w:pPr>
        <w:ind w:firstLine="720"/>
        <w:jc w:val="both"/>
        <w:rPr>
          <w:color w:val="000000" w:themeColor="text1"/>
          <w:lang w:val="en-US"/>
        </w:rPr>
      </w:pPr>
      <w:r w:rsidRPr="00451875">
        <w:t xml:space="preserve">As a case in point, consider </w:t>
      </w:r>
      <w:r w:rsidR="00102156" w:rsidRPr="4D5C29CA">
        <w:rPr>
          <w:rFonts w:cs="Arial"/>
          <w:color w:val="000000" w:themeColor="text1"/>
        </w:rPr>
        <w:t>Taylor et al.</w:t>
      </w:r>
      <w:r w:rsidR="00102156">
        <w:rPr>
          <w:rFonts w:cs="Arial"/>
          <w:color w:val="000000" w:themeColor="text1"/>
        </w:rPr>
        <w:t>’s (</w:t>
      </w:r>
      <w:r w:rsidR="00102156" w:rsidRPr="4D5C29CA">
        <w:rPr>
          <w:rFonts w:cs="Arial"/>
          <w:color w:val="000000" w:themeColor="text1"/>
        </w:rPr>
        <w:t>2013</w:t>
      </w:r>
      <w:r w:rsidR="00102156">
        <w:rPr>
          <w:rFonts w:cs="Arial"/>
          <w:color w:val="000000" w:themeColor="text1"/>
        </w:rPr>
        <w:t xml:space="preserve">) </w:t>
      </w:r>
      <w:r w:rsidRPr="00451875">
        <w:t xml:space="preserve">observation of the increased use of </w:t>
      </w:r>
      <w:r w:rsidRPr="00451875">
        <w:rPr>
          <w:color w:val="000000" w:themeColor="text1"/>
          <w:lang w:val="en-US"/>
        </w:rPr>
        <w:t xml:space="preserve">discrepancy words (e.g., “ought” and “should”) by </w:t>
      </w:r>
      <w:r w:rsidRPr="00451875">
        <w:t xml:space="preserve">insiders relative to non-insiders </w:t>
      </w:r>
      <w:r w:rsidRPr="00451875">
        <w:rPr>
          <w:color w:val="000000" w:themeColor="text1"/>
          <w:lang w:val="en-US"/>
        </w:rPr>
        <w:t xml:space="preserve">in their email communication, which is assumed to be indicative of increased cognitive processing. </w:t>
      </w:r>
      <w:bookmarkStart w:id="26" w:name="_Hlk128210842"/>
      <w:r w:rsidR="00D154BF" w:rsidRPr="00223DB4">
        <w:rPr>
          <w:color w:val="000000" w:themeColor="text1"/>
          <w:lang w:val="en-US"/>
        </w:rPr>
        <w:t xml:space="preserve">Reid et al. (1997) </w:t>
      </w:r>
      <w:bookmarkEnd w:id="26"/>
      <w:r w:rsidRPr="00451875">
        <w:rPr>
          <w:color w:val="000000" w:themeColor="text1"/>
          <w:lang w:val="en-US"/>
        </w:rPr>
        <w:t>have shown how such discrepancy words can dominate email-based communication when people are trying to make complex decisions but are only in possession of partial information. Given that insiders might well be preoccupied with engaging in their insider activity (e.g., inappropriately accessing restricted, security-sensitive files) and therefore only be partly focused on the collaborative task at hand, it is possible that their increased use of words such as “ought” and “should” is solely linked to the email-driven nature of the ongoing communication and might not be observed when they are communicating face-to-face.</w:t>
      </w:r>
    </w:p>
    <w:p w14:paraId="630B4E06" w14:textId="5D6B0CD8" w:rsidR="000048BD" w:rsidRPr="00451875" w:rsidRDefault="000048BD" w:rsidP="000048BD">
      <w:pPr>
        <w:ind w:firstLine="720"/>
        <w:jc w:val="both"/>
      </w:pPr>
      <w:r w:rsidRPr="00451875">
        <w:t xml:space="preserve">Indeed, we suggest that there are numerous contexts beside team-based email communication (see </w:t>
      </w:r>
      <w:r w:rsidR="004649EE" w:rsidRPr="4D5C29CA">
        <w:rPr>
          <w:rFonts w:cs="Arial"/>
          <w:color w:val="000000" w:themeColor="text1"/>
        </w:rPr>
        <w:t>Taylor et al.</w:t>
      </w:r>
      <w:r w:rsidR="004649EE">
        <w:rPr>
          <w:rFonts w:cs="Arial"/>
          <w:color w:val="000000" w:themeColor="text1"/>
        </w:rPr>
        <w:t xml:space="preserve">, </w:t>
      </w:r>
      <w:r w:rsidR="004649EE" w:rsidRPr="4D5C29CA">
        <w:rPr>
          <w:rFonts w:cs="Arial"/>
          <w:color w:val="000000" w:themeColor="text1"/>
        </w:rPr>
        <w:t>2013</w:t>
      </w:r>
      <w:r w:rsidRPr="00451875">
        <w:t xml:space="preserve">) and computer-mediated communication (see </w:t>
      </w:r>
      <w:r w:rsidR="000C0B0C" w:rsidRPr="1FDB7749">
        <w:rPr>
          <w:rFonts w:cs="Arial"/>
          <w:color w:val="000000" w:themeColor="text1"/>
          <w:lang w:val="en-US"/>
        </w:rPr>
        <w:t>Dando et al., 202</w:t>
      </w:r>
      <w:r w:rsidR="000C0B0C">
        <w:rPr>
          <w:rFonts w:cs="Arial"/>
          <w:color w:val="000000" w:themeColor="text1"/>
          <w:lang w:val="en-US"/>
        </w:rPr>
        <w:t>4</w:t>
      </w:r>
      <w:r w:rsidRPr="00451875">
        <w:t xml:space="preserve">) where it is important to understand whether insiders show the changes in language features identified by </w:t>
      </w:r>
      <w:r w:rsidR="00D85FE3" w:rsidRPr="4D5C29CA">
        <w:rPr>
          <w:rFonts w:cs="Arial"/>
          <w:color w:val="000000" w:themeColor="text1"/>
        </w:rPr>
        <w:t>Taylor et al.</w:t>
      </w:r>
      <w:r w:rsidR="00D85FE3">
        <w:rPr>
          <w:rFonts w:cs="Arial"/>
          <w:color w:val="000000" w:themeColor="text1"/>
        </w:rPr>
        <w:t xml:space="preserve"> (</w:t>
      </w:r>
      <w:r w:rsidR="00D85FE3" w:rsidRPr="4D5C29CA">
        <w:rPr>
          <w:rFonts w:cs="Arial"/>
          <w:color w:val="000000" w:themeColor="text1"/>
        </w:rPr>
        <w:t>2013</w:t>
      </w:r>
      <w:r w:rsidR="00D85FE3">
        <w:rPr>
          <w:rFonts w:cs="Arial"/>
          <w:color w:val="000000" w:themeColor="text1"/>
        </w:rPr>
        <w:t>)</w:t>
      </w:r>
      <w:r w:rsidR="00D85FE3" w:rsidRPr="00451875">
        <w:t xml:space="preserve">. </w:t>
      </w:r>
      <w:r w:rsidRPr="00451875">
        <w:t xml:space="preserve">An example of one such context is an in-person information-gathering investigative interview, which might arise within an organisation or externally following an insider event. The workplace simulation that informed the research reported by </w:t>
      </w:r>
      <w:r w:rsidR="00483ECE" w:rsidRPr="1FDB7749">
        <w:rPr>
          <w:rFonts w:cs="Arial"/>
          <w:color w:val="000000" w:themeColor="text1"/>
          <w:lang w:val="en-US"/>
        </w:rPr>
        <w:t>Dando et al</w:t>
      </w:r>
      <w:r w:rsidR="00483ECE">
        <w:rPr>
          <w:rFonts w:cs="Arial"/>
          <w:color w:val="000000" w:themeColor="text1"/>
          <w:lang w:val="en-US"/>
        </w:rPr>
        <w:t>. (</w:t>
      </w:r>
      <w:r w:rsidR="00483ECE" w:rsidRPr="1FDB7749">
        <w:rPr>
          <w:rFonts w:cs="Arial"/>
          <w:color w:val="000000" w:themeColor="text1"/>
          <w:lang w:val="en-US"/>
        </w:rPr>
        <w:t>202</w:t>
      </w:r>
      <w:r w:rsidR="00483ECE">
        <w:rPr>
          <w:rFonts w:cs="Arial"/>
          <w:color w:val="000000" w:themeColor="text1"/>
          <w:lang w:val="en-US"/>
        </w:rPr>
        <w:t xml:space="preserve">4) </w:t>
      </w:r>
      <w:r w:rsidRPr="00451875">
        <w:t xml:space="preserve">of computer-mediated communication as well as that reported by </w:t>
      </w:r>
      <w:r w:rsidR="00D85FE3" w:rsidRPr="4D5C29CA">
        <w:rPr>
          <w:rFonts w:cs="Arial"/>
          <w:color w:val="000000" w:themeColor="text1"/>
        </w:rPr>
        <w:t>Taylor et al.</w:t>
      </w:r>
      <w:r w:rsidR="00D85FE3">
        <w:rPr>
          <w:rFonts w:cs="Arial"/>
          <w:color w:val="000000" w:themeColor="text1"/>
        </w:rPr>
        <w:t xml:space="preserve"> (</w:t>
      </w:r>
      <w:r w:rsidR="00D85FE3" w:rsidRPr="4D5C29CA">
        <w:rPr>
          <w:rFonts w:cs="Arial"/>
          <w:color w:val="000000" w:themeColor="text1"/>
        </w:rPr>
        <w:t>2013</w:t>
      </w:r>
      <w:r w:rsidR="00D85FE3">
        <w:rPr>
          <w:rFonts w:cs="Arial"/>
          <w:color w:val="000000" w:themeColor="text1"/>
        </w:rPr>
        <w:t>)</w:t>
      </w:r>
      <w:r w:rsidR="00D85FE3">
        <w:t xml:space="preserve"> </w:t>
      </w:r>
      <w:r w:rsidRPr="00451875">
        <w:t xml:space="preserve">of email-based communication, also produced face-to-face interview data with both insiders and non-insiders, which have not previously been analysed or published. These tactical interviews </w:t>
      </w:r>
      <w:r w:rsidRPr="00451875">
        <w:lastRenderedPageBreak/>
        <w:t>were conducted directly following the workplace simulation. Nine of the 54 interviews were with insiders who had been tasked to carry out various malicious activities during the simulation, whilst the remainder were with non-insiders. It is this set of interviews that forms the focus of the current research. More specifically, we consider whether language differences reported between insiders and non-insiders in email communication also arise in verbalisations during tactical information-gathering interviews.</w:t>
      </w:r>
    </w:p>
    <w:p w14:paraId="43BD180B" w14:textId="77777777" w:rsidR="000048BD" w:rsidRPr="00451875" w:rsidRDefault="000048BD" w:rsidP="000048BD">
      <w:pPr>
        <w:ind w:firstLine="720"/>
        <w:jc w:val="both"/>
        <w:rPr>
          <w:color w:val="000000" w:themeColor="text1"/>
        </w:rPr>
      </w:pPr>
      <w:r w:rsidRPr="00451875">
        <w:t xml:space="preserve">Here, we report an analysis of the </w:t>
      </w:r>
      <w:proofErr w:type="gramStart"/>
      <w:r w:rsidRPr="00451875">
        <w:t>aforementioned verbal</w:t>
      </w:r>
      <w:proofErr w:type="gramEnd"/>
      <w:r w:rsidRPr="00451875">
        <w:t xml:space="preserve"> interview data </w:t>
      </w:r>
      <w:r w:rsidRPr="00451875">
        <w:rPr>
          <w:color w:val="000000" w:themeColor="text1"/>
        </w:rPr>
        <w:t>using LIWC (</w:t>
      </w:r>
      <w:r w:rsidRPr="00451875">
        <w:t>Pennebaker et al., 2007</w:t>
      </w:r>
      <w:r w:rsidRPr="00451875">
        <w:rPr>
          <w:color w:val="000000" w:themeColor="text1"/>
        </w:rPr>
        <w:t xml:space="preserve">) in order to inform the development of an “Insider Language Index” (ILI) to support differentiating insiders from non-insiders based on patterns of language use. The development of an ILI has the potential to provide an objective and diagnostic method for the early identification of insider activity. Three key predictions that the present study aims to test were that, during interview, insiders will use a significantly greater frequency of the following words compared to non-insiders: first-person singular pronouns (H1); words relating to cognitive processes (H2); and words relating to negative affect (H3). A final prediction concerns temporal changes in language use with respect to the Game Part (Part 1, Part 2, Part 3, Part 4), whereby language differences between insiders and non-insiders will become significantly more pronounced when interviewees are talking about later Game Parts relative to earlier Game Parts, reflecting the fact that insiders are likely to have become increasingly immersed in their insider activities from Game Part 2 onwards (H4).  </w:t>
      </w:r>
    </w:p>
    <w:p w14:paraId="60A29129" w14:textId="0A2CC7C7" w:rsidR="000048BD" w:rsidRPr="00451875" w:rsidRDefault="000048BD" w:rsidP="000048BD">
      <w:pPr>
        <w:pStyle w:val="Heading1"/>
        <w:rPr>
          <w:rFonts w:cs="Times New Roman"/>
          <w:szCs w:val="24"/>
        </w:rPr>
      </w:pPr>
      <w:r w:rsidRPr="00451875">
        <w:rPr>
          <w:rFonts w:cs="Times New Roman"/>
          <w:szCs w:val="24"/>
        </w:rPr>
        <w:t>Method</w:t>
      </w:r>
    </w:p>
    <w:p w14:paraId="475F1363" w14:textId="77777777" w:rsidR="000048BD" w:rsidRPr="00451875" w:rsidRDefault="000048BD" w:rsidP="000048BD">
      <w:pPr>
        <w:jc w:val="both"/>
        <w:rPr>
          <w:b/>
          <w:bCs/>
          <w:i/>
          <w:iCs/>
        </w:rPr>
      </w:pPr>
      <w:r w:rsidRPr="00451875">
        <w:rPr>
          <w:b/>
          <w:bCs/>
          <w:i/>
          <w:iCs/>
        </w:rPr>
        <w:t>Design</w:t>
      </w:r>
    </w:p>
    <w:p w14:paraId="257792FC" w14:textId="77777777" w:rsidR="000048BD" w:rsidRPr="00451875" w:rsidRDefault="000048BD" w:rsidP="000048BD">
      <w:pPr>
        <w:ind w:firstLine="720"/>
        <w:jc w:val="both"/>
      </w:pPr>
      <w:r w:rsidRPr="00451875">
        <w:t xml:space="preserve">A 2 (Interviewee Type: insider, non-insider) x 4 (Game Part: Part 1, Part 2, Part 3, Part 4) mixed design was employed. The dependent variables were three language </w:t>
      </w:r>
      <w:r w:rsidRPr="00451875">
        <w:lastRenderedPageBreak/>
        <w:t xml:space="preserve">categories: the pronoun “I”; negative emotion words; and words relating to cognitive processes. </w:t>
      </w:r>
    </w:p>
    <w:p w14:paraId="774E951A" w14:textId="77777777" w:rsidR="000048BD" w:rsidRPr="00451875" w:rsidRDefault="000048BD" w:rsidP="000048BD">
      <w:pPr>
        <w:pStyle w:val="Heading2"/>
        <w:spacing w:before="0" w:line="480" w:lineRule="auto"/>
        <w:rPr>
          <w:rFonts w:cs="Times New Roman"/>
          <w:b w:val="0"/>
          <w:bCs w:val="0"/>
          <w:szCs w:val="24"/>
        </w:rPr>
      </w:pPr>
      <w:r w:rsidRPr="00451875">
        <w:rPr>
          <w:rFonts w:cs="Times New Roman"/>
          <w:szCs w:val="24"/>
        </w:rPr>
        <w:t>Data and Procedure</w:t>
      </w:r>
    </w:p>
    <w:p w14:paraId="1CBAF232" w14:textId="2C6D9F0F" w:rsidR="000048BD" w:rsidRPr="00451875" w:rsidRDefault="000048BD" w:rsidP="000048BD">
      <w:pPr>
        <w:ind w:firstLine="720"/>
        <w:jc w:val="both"/>
      </w:pPr>
      <w:r w:rsidRPr="00451875">
        <w:t xml:space="preserve">The data for the study took the form of verbatim transcripts of 54 audio-visual recordings of tactical information-gathering interviews, collected as part of the Confidential Operations Simulation (see </w:t>
      </w:r>
      <w:r w:rsidR="00483ECE" w:rsidRPr="1FDB7749">
        <w:rPr>
          <w:rFonts w:cs="Arial"/>
          <w:color w:val="000000" w:themeColor="text1"/>
          <w:lang w:val="en-US"/>
        </w:rPr>
        <w:t>Dando et al</w:t>
      </w:r>
      <w:r w:rsidR="00483ECE">
        <w:rPr>
          <w:rFonts w:cs="Arial"/>
          <w:color w:val="000000" w:themeColor="text1"/>
          <w:lang w:val="en-US"/>
        </w:rPr>
        <w:t>.</w:t>
      </w:r>
      <w:r w:rsidR="00B14379">
        <w:rPr>
          <w:rFonts w:cs="Arial"/>
          <w:color w:val="000000" w:themeColor="text1"/>
          <w:lang w:val="en-US"/>
        </w:rPr>
        <w:t xml:space="preserve">, </w:t>
      </w:r>
      <w:r w:rsidR="00483ECE" w:rsidRPr="1FDB7749">
        <w:rPr>
          <w:rFonts w:cs="Arial"/>
          <w:color w:val="000000" w:themeColor="text1"/>
          <w:lang w:val="en-US"/>
        </w:rPr>
        <w:t>202</w:t>
      </w:r>
      <w:r w:rsidR="00483ECE">
        <w:rPr>
          <w:rFonts w:cs="Arial"/>
          <w:color w:val="000000" w:themeColor="text1"/>
          <w:lang w:val="en-US"/>
        </w:rPr>
        <w:t>4</w:t>
      </w:r>
      <w:r w:rsidRPr="00451875">
        <w:t xml:space="preserve">, and </w:t>
      </w:r>
      <w:r w:rsidR="00B14379" w:rsidRPr="4D5C29CA">
        <w:rPr>
          <w:rFonts w:cs="Arial"/>
          <w:color w:val="000000" w:themeColor="text1"/>
        </w:rPr>
        <w:t>Taylor et al.</w:t>
      </w:r>
      <w:r w:rsidR="00B14379">
        <w:rPr>
          <w:rFonts w:cs="Arial"/>
          <w:color w:val="000000" w:themeColor="text1"/>
        </w:rPr>
        <w:t xml:space="preserve">, </w:t>
      </w:r>
      <w:r w:rsidR="00B14379" w:rsidRPr="4D5C29CA">
        <w:rPr>
          <w:rFonts w:cs="Arial"/>
          <w:color w:val="000000" w:themeColor="text1"/>
        </w:rPr>
        <w:t>2013</w:t>
      </w:r>
      <w:r w:rsidRPr="00451875">
        <w:t xml:space="preserve">). Dyadic interviews were conducted individually by one of four interviewers in a room in a university building. Interviews took place after the participants had completed all four parts of the simulation. </w:t>
      </w:r>
    </w:p>
    <w:p w14:paraId="4AEA236F" w14:textId="77777777" w:rsidR="000048BD" w:rsidRPr="00451875" w:rsidRDefault="000048BD" w:rsidP="000048BD">
      <w:pPr>
        <w:ind w:firstLine="720"/>
        <w:jc w:val="both"/>
      </w:pPr>
      <w:r w:rsidRPr="00451875">
        <w:t xml:space="preserve">In brief, the simulation involved individuals working in teams to solve crimes. Part 1 of the game was a familiarisation phase that allowed participants to acquaint themselves with the gameplay and develop working relationships with one another. In Part 2 of the game, nine individuals (one person from each team) were approached at random and incentivised to act as insiders throughout the remaining game parts. They were covertly asked to complete tasks and provide the information to a provocateur for an additional £20 monetary incentive. As the insiders progressed through the game periods, the investigative tasks increased in complexity. In Part 2, insiders were asked to obtain and provide information that related to a person under investigation (information that was task-relevant to them and their team). In Part 3, insiders were asked to provide information from a database that their team had legitimate access to, but to which they had no direct access (information that was task-relevant to the team, but not to them). In Part 4, insiders were tasked to retrieve information from another team’s database to which the insider did not have legitimate access. </w:t>
      </w:r>
    </w:p>
    <w:p w14:paraId="135E26CE" w14:textId="77777777" w:rsidR="000048BD" w:rsidRPr="00451875" w:rsidRDefault="000048BD" w:rsidP="000048BD">
      <w:pPr>
        <w:ind w:firstLine="720"/>
        <w:jc w:val="both"/>
      </w:pPr>
      <w:r w:rsidRPr="00451875">
        <w:t xml:space="preserve">After completing Part 4 of the simulation, all participants were informed that there had been a security breach and that they would each be questioned, in turn, about their </w:t>
      </w:r>
      <w:r w:rsidRPr="00451875">
        <w:lastRenderedPageBreak/>
        <w:t xml:space="preserve">gaming behaviour during an interview. Prior to the interview, insiders were incentivised to deceive the interviewer by hiding their malicious activity and were given time to formulate a deceptive account. All interviews took place within 2 hours of each simulation game finishing.  </w:t>
      </w:r>
    </w:p>
    <w:p w14:paraId="1E035945" w14:textId="77777777" w:rsidR="000048BD" w:rsidRPr="00451875" w:rsidRDefault="000048BD" w:rsidP="000048BD">
      <w:pPr>
        <w:spacing w:after="240" w:line="276" w:lineRule="auto"/>
        <w:jc w:val="both"/>
        <w:rPr>
          <w:b/>
          <w:bCs/>
          <w:i/>
          <w:iCs/>
        </w:rPr>
      </w:pPr>
      <w:r w:rsidRPr="00451875">
        <w:rPr>
          <w:b/>
          <w:bCs/>
          <w:i/>
          <w:iCs/>
        </w:rPr>
        <w:t>Interview Protocol</w:t>
      </w:r>
    </w:p>
    <w:p w14:paraId="01847AE5" w14:textId="53EABCA3" w:rsidR="000048BD" w:rsidRPr="00451875" w:rsidRDefault="000048BD" w:rsidP="000048BD">
      <w:pPr>
        <w:jc w:val="both"/>
        <w:rPr>
          <w:lang w:val="en-US"/>
        </w:rPr>
      </w:pPr>
      <w:r w:rsidRPr="00451875">
        <w:tab/>
      </w:r>
      <w:r w:rsidRPr="00451875">
        <w:rPr>
          <w:lang w:val="en-US"/>
        </w:rPr>
        <w:t xml:space="preserve">Irrespective of condition (insider; non-insider), all tactical interviews were similarly structured and comprised the same four phases, in the same order (see Table 1). In Phase 1, participants were given the four ground rules. In Phase 2, participants were asked a series of set questions all centered on gaming behaviours designed to capture each participant’s version of their gaming “truth”. Leveraging an account of participants’ gaming behaviours early in the interview process, allowed interviewers to use this account to accept or refute responses as the interview progressed and to note any inconsistencies across phases. In Phase 3, interviewees were asked four information-gathering questions. In Phase 4, interviewees were invited to ask questions and were offered the opportunity to alter anything they had previously said. At this point, the interview was drawn to a close (see </w:t>
      </w:r>
      <w:r w:rsidR="00937B86">
        <w:rPr>
          <w:lang w:val="en-US"/>
        </w:rPr>
        <w:t>Dando &amp; Bull, 2011</w:t>
      </w:r>
      <w:r w:rsidR="00937B86" w:rsidRPr="00451875">
        <w:rPr>
          <w:lang w:val="en-US"/>
        </w:rPr>
        <w:t xml:space="preserve">; </w:t>
      </w:r>
      <w:r w:rsidR="00937B86">
        <w:rPr>
          <w:lang w:val="en-US"/>
        </w:rPr>
        <w:t>Dando et al., 2018</w:t>
      </w:r>
      <w:r w:rsidR="00937B86" w:rsidRPr="00451875">
        <w:rPr>
          <w:lang w:val="en-US"/>
        </w:rPr>
        <w:t xml:space="preserve">; </w:t>
      </w:r>
      <w:r w:rsidR="00937B86">
        <w:rPr>
          <w:lang w:val="en-US"/>
        </w:rPr>
        <w:t>Sandham et al., 2017</w:t>
      </w:r>
      <w:r w:rsidRPr="00451875">
        <w:rPr>
          <w:lang w:val="en-US"/>
        </w:rPr>
        <w:t xml:space="preserve">). Although the protocol comprised 4 phases, interviewers moved through the phases in a seamless manner.  </w:t>
      </w:r>
    </w:p>
    <w:p w14:paraId="526B59F7" w14:textId="77777777" w:rsidR="000048BD" w:rsidRDefault="000048BD" w:rsidP="000048BD">
      <w:pPr>
        <w:ind w:firstLine="720"/>
        <w:jc w:val="both"/>
      </w:pPr>
      <w:r w:rsidRPr="00451875">
        <w:t>Throughout, the interviewer was able to access individual player’s game activity (i.e., movements, interactions and database access) via hand-held tablets as an aid to generate probing questions and signal inconsistencies between interviewee responses and automated game activity. Insider interviews ranged in length from 10.22 min to 52.00 min (</w:t>
      </w:r>
      <w:r w:rsidRPr="00451875">
        <w:rPr>
          <w:i/>
          <w:iCs/>
        </w:rPr>
        <w:t xml:space="preserve">M </w:t>
      </w:r>
      <w:r w:rsidRPr="00451875">
        <w:t xml:space="preserve">= 22.81 min, </w:t>
      </w:r>
      <w:r w:rsidRPr="00451875">
        <w:rPr>
          <w:i/>
          <w:iCs/>
        </w:rPr>
        <w:t xml:space="preserve">SD </w:t>
      </w:r>
      <w:r w:rsidRPr="00451875">
        <w:t>= 12.81) and the non-insider interviews ranged from 9.14 min to 38.31 min (</w:t>
      </w:r>
      <w:r w:rsidRPr="00451875">
        <w:rPr>
          <w:i/>
          <w:iCs/>
        </w:rPr>
        <w:t xml:space="preserve">M </w:t>
      </w:r>
      <w:r w:rsidRPr="00451875">
        <w:t xml:space="preserve">= 23.21 min, </w:t>
      </w:r>
      <w:r w:rsidRPr="00451875">
        <w:rPr>
          <w:i/>
          <w:iCs/>
        </w:rPr>
        <w:t xml:space="preserve">SD </w:t>
      </w:r>
      <w:r w:rsidRPr="00451875">
        <w:t xml:space="preserve">= 7.60). </w:t>
      </w:r>
    </w:p>
    <w:p w14:paraId="35635BEE" w14:textId="77777777" w:rsidR="00A44F4B" w:rsidRPr="00451875" w:rsidRDefault="00A44F4B" w:rsidP="000048BD">
      <w:pPr>
        <w:ind w:firstLine="720"/>
        <w:jc w:val="both"/>
      </w:pPr>
    </w:p>
    <w:p w14:paraId="7B672A1A" w14:textId="77777777" w:rsidR="000048BD" w:rsidRPr="00451875" w:rsidRDefault="000048BD" w:rsidP="000048BD">
      <w:pPr>
        <w:jc w:val="both"/>
        <w:rPr>
          <w:b/>
          <w:bCs/>
          <w:i/>
          <w:iCs/>
        </w:rPr>
      </w:pPr>
      <w:r w:rsidRPr="00451875">
        <w:rPr>
          <w:b/>
          <w:bCs/>
          <w:i/>
          <w:iCs/>
        </w:rPr>
        <w:lastRenderedPageBreak/>
        <w:t>Interviewers</w:t>
      </w:r>
    </w:p>
    <w:p w14:paraId="3FC716CA" w14:textId="77777777" w:rsidR="000048BD" w:rsidRPr="00451875" w:rsidRDefault="000048BD" w:rsidP="000048BD">
      <w:pPr>
        <w:jc w:val="both"/>
        <w:rPr>
          <w:highlight w:val="yellow"/>
        </w:rPr>
      </w:pPr>
      <w:r w:rsidRPr="00451875">
        <w:rPr>
          <w:b/>
          <w:bCs/>
        </w:rPr>
        <w:tab/>
      </w:r>
      <w:r w:rsidRPr="00451875">
        <w:t xml:space="preserve">Four interviewers took part in the research (3 male and 1 female) aged between 42 and 56 years. Interviewers were serving or ex-police investigators with a minimum of 10 years’ experience of conducting information-gathering investigative interviews in the UK. Although interview protocols used for this research were investigative interviewing best-practice compliant, all interviewers underwent bespoke training over a two-day period, designed for this research by the fourth author, adopting a collaborative pedagogical approach, comprising: (i) a two-hour long classroom-based introduction to the interview protocol behaviours; and (ii) a two-hour long practice session that included three practice interviews, which were digitally recorded to allow for feedback and evaluation. Once the interviewers had attended the classroom training sessions (Training Day 1) and completed the practice interviews to a required level of competency (Training Day 2), they were able to commence research interviews. Importantly, interviewers were naïve as to whether interviewees were insiders or non-insiders.  </w:t>
      </w:r>
    </w:p>
    <w:p w14:paraId="53C21A39" w14:textId="77777777" w:rsidR="000048BD" w:rsidRPr="00451875" w:rsidRDefault="000048BD" w:rsidP="000048BD">
      <w:pPr>
        <w:jc w:val="both"/>
        <w:rPr>
          <w:b/>
          <w:bCs/>
          <w:i/>
          <w:iCs/>
          <w:lang w:val="en-US"/>
        </w:rPr>
      </w:pPr>
      <w:r w:rsidRPr="00451875">
        <w:rPr>
          <w:b/>
          <w:bCs/>
          <w:i/>
          <w:iCs/>
          <w:lang w:val="en-US"/>
        </w:rPr>
        <w:t>Adherence to the Interview Protocol</w:t>
      </w:r>
    </w:p>
    <w:p w14:paraId="5874EA8D" w14:textId="79311815" w:rsidR="000048BD" w:rsidRPr="00451875" w:rsidRDefault="000048BD" w:rsidP="000048BD">
      <w:pPr>
        <w:ind w:firstLine="720"/>
        <w:jc w:val="both"/>
        <w:rPr>
          <w:lang w:val="en-US"/>
        </w:rPr>
      </w:pPr>
      <w:r w:rsidRPr="00451875">
        <w:rPr>
          <w:lang w:val="en-US"/>
        </w:rPr>
        <w:t xml:space="preserve">A random selection of 12 interviews (three conducted by each interviewer) were coded for interviewer adherence to the interview protocol (see </w:t>
      </w:r>
      <w:r w:rsidR="00495B91" w:rsidRPr="1FDB7749">
        <w:rPr>
          <w:rFonts w:cs="Arial"/>
          <w:color w:val="000000" w:themeColor="text1"/>
          <w:lang w:val="en-US"/>
        </w:rPr>
        <w:t>Dando et al., 202</w:t>
      </w:r>
      <w:r w:rsidR="00495B91">
        <w:rPr>
          <w:rFonts w:cs="Arial"/>
          <w:color w:val="000000" w:themeColor="text1"/>
          <w:lang w:val="en-US"/>
        </w:rPr>
        <w:t>4</w:t>
      </w:r>
      <w:r w:rsidR="00495B91" w:rsidRPr="00451875">
        <w:rPr>
          <w:lang w:val="en-US"/>
        </w:rPr>
        <w:t xml:space="preserve">; </w:t>
      </w:r>
      <w:proofErr w:type="spellStart"/>
      <w:r w:rsidR="00495B91">
        <w:rPr>
          <w:lang w:val="en-US"/>
        </w:rPr>
        <w:t>Nahouli</w:t>
      </w:r>
      <w:proofErr w:type="spellEnd"/>
      <w:r w:rsidR="00495B91">
        <w:rPr>
          <w:lang w:val="en-US"/>
        </w:rPr>
        <w:t xml:space="preserve"> et al., 2022</w:t>
      </w:r>
      <w:r w:rsidRPr="00451875">
        <w:rPr>
          <w:lang w:val="en-US"/>
        </w:rPr>
        <w:t xml:space="preserve">). Each interview was coded by two independent coders blind to the aims and hypotheses of the research. Coders scored each interview for presence of: (i) the four phases of the interview protocol; (ii) the ground rules from Phase 1; (iii) the 20 </w:t>
      </w:r>
      <w:r w:rsidRPr="00451875">
        <w:t>gaming-behaviour questions from Phase 2</w:t>
      </w:r>
      <w:r w:rsidRPr="00451875">
        <w:rPr>
          <w:lang w:val="en-US"/>
        </w:rPr>
        <w:t xml:space="preserve">; and (iv) the four information-gathering questions from Phase 3. Each behaviour was coded as absent (scored 0), partially present (scored 1) and fully present (scored 2). </w:t>
      </w:r>
    </w:p>
    <w:p w14:paraId="18570801" w14:textId="77777777" w:rsidR="000048BD" w:rsidRPr="00451875" w:rsidRDefault="000048BD" w:rsidP="000048BD">
      <w:pPr>
        <w:ind w:firstLine="720"/>
        <w:jc w:val="both"/>
      </w:pPr>
      <w:r w:rsidRPr="00451875">
        <w:rPr>
          <w:lang w:val="en-US"/>
        </w:rPr>
        <w:t xml:space="preserve">Prior to coding, coders participated in a training session held by the fourth author during which the interview protocols and the coding system were explained. Coders then </w:t>
      </w:r>
      <w:r w:rsidRPr="00451875">
        <w:rPr>
          <w:lang w:val="en-US"/>
        </w:rPr>
        <w:lastRenderedPageBreak/>
        <w:t xml:space="preserve">practiced coding and discussed any disagreements/misunderstandings with the trainer to reach a consensus using a series of exemplar training interviews. Two-way mixed effects Intraclass Correlation Coefficient (ICC) analysis testing for absolute agreement between coders indicated very good inter-rater reliability for all interviewer behaviours: (i) the four phases, </w:t>
      </w:r>
      <w:r w:rsidRPr="00451875">
        <w:t>ICC = 1.000 (95% CI: 1.00; 1.00)</w:t>
      </w:r>
      <w:r w:rsidRPr="00451875">
        <w:rPr>
          <w:lang w:val="en-US"/>
        </w:rPr>
        <w:t xml:space="preserve">; (ii) the ground rules, ICC = .920 (95% CI: -.449; .362); (iii) the 20 </w:t>
      </w:r>
      <w:r w:rsidRPr="00451875">
        <w:t xml:space="preserve">gaming-behaviour </w:t>
      </w:r>
      <w:r w:rsidRPr="00451875">
        <w:rPr>
          <w:lang w:val="en-US"/>
        </w:rPr>
        <w:t>questions,</w:t>
      </w:r>
      <w:r w:rsidRPr="00451875">
        <w:t xml:space="preserve"> ICC = </w:t>
      </w:r>
      <w:r w:rsidRPr="00451875">
        <w:rPr>
          <w:lang w:val="en-US"/>
        </w:rPr>
        <w:t xml:space="preserve"> </w:t>
      </w:r>
      <w:r w:rsidRPr="00451875">
        <w:t>0.944 (95% CI: 0.889; 0.972)</w:t>
      </w:r>
      <w:r w:rsidRPr="00451875">
        <w:rPr>
          <w:lang w:val="en-US"/>
        </w:rPr>
        <w:t xml:space="preserve">; and (iv) the information-gathering questions, </w:t>
      </w:r>
      <w:r w:rsidRPr="00451875">
        <w:t>ICC = 1.000 (95% CI: 1.00; 1.00)</w:t>
      </w:r>
      <w:r w:rsidRPr="00451875">
        <w:rPr>
          <w:lang w:val="en-US"/>
        </w:rPr>
        <w:t>. Table 2 displays the mean adherence scores with respect to the interview protocol for each interviewer.</w:t>
      </w:r>
      <w:r w:rsidRPr="00451875">
        <w:rPr>
          <w:color w:val="282828"/>
          <w:shd w:val="clear" w:color="auto" w:fill="F7F7F7"/>
        </w:rPr>
        <w:t xml:space="preserve"> </w:t>
      </w:r>
      <w:r w:rsidRPr="00451875">
        <w:t>Mean scores for each behaviour as a function of interviewer revealed a very high level of adherence to the interview protocol, with no significant differences across interviewers for each behaviour, all </w:t>
      </w:r>
      <w:r w:rsidRPr="00451875">
        <w:rPr>
          <w:i/>
          <w:iCs/>
        </w:rPr>
        <w:t>F</w:t>
      </w:r>
      <w:r w:rsidRPr="00451875">
        <w:t>s &lt; 1.099, all </w:t>
      </w:r>
      <w:proofErr w:type="spellStart"/>
      <w:r w:rsidRPr="00451875">
        <w:rPr>
          <w:i/>
          <w:iCs/>
        </w:rPr>
        <w:t>p</w:t>
      </w:r>
      <w:r w:rsidRPr="00451875">
        <w:t>s</w:t>
      </w:r>
      <w:proofErr w:type="spellEnd"/>
      <w:r w:rsidRPr="00451875">
        <w:t> &gt; .879.</w:t>
      </w:r>
    </w:p>
    <w:p w14:paraId="5DDACD9A" w14:textId="77777777" w:rsidR="000048BD" w:rsidRPr="00451875" w:rsidRDefault="000048BD" w:rsidP="000048BD">
      <w:pPr>
        <w:jc w:val="both"/>
        <w:rPr>
          <w:b/>
          <w:bCs/>
          <w:i/>
          <w:iCs/>
        </w:rPr>
      </w:pPr>
      <w:r w:rsidRPr="00451875">
        <w:rPr>
          <w:b/>
          <w:bCs/>
          <w:i/>
          <w:iCs/>
        </w:rPr>
        <w:t xml:space="preserve">Data Transcription </w:t>
      </w:r>
    </w:p>
    <w:p w14:paraId="7B4A6A83" w14:textId="6A05044A" w:rsidR="000048BD" w:rsidRPr="00451875" w:rsidRDefault="000048BD" w:rsidP="00274C7D">
      <w:pPr>
        <w:ind w:firstLine="720"/>
        <w:jc w:val="both"/>
      </w:pPr>
      <w:r w:rsidRPr="00451875">
        <w:t>Each of the interviews was transcribed verbatim using an online transcription service, Otter (https://otter.ai/welcome)</w:t>
      </w:r>
      <w:r w:rsidRPr="00451875">
        <w:rPr>
          <w:i/>
          <w:iCs/>
        </w:rPr>
        <w:t xml:space="preserve">. </w:t>
      </w:r>
      <w:r w:rsidRPr="00451875">
        <w:t xml:space="preserve">Once transcribed, transcripts were checked against the original audio-visual clips for consistency and correctness. Each transcript followed a script-like format, organised by speaker (i.e., “interviewer” and “interviewee” followed by their speech). The time at which each speaker vocalized during the interview was indicated in minutes and seconds next to their label; for example, “Interviewer (09 min and 33 sec)”. Each transcription was subsequently split into four documents, categorised by each individual Game Part (Parts 1 to 4). </w:t>
      </w:r>
    </w:p>
    <w:p w14:paraId="70E52CA2" w14:textId="77777777" w:rsidR="000048BD" w:rsidRPr="00451875" w:rsidRDefault="000048BD" w:rsidP="000048BD">
      <w:pPr>
        <w:spacing w:after="240" w:line="276" w:lineRule="auto"/>
        <w:jc w:val="both"/>
        <w:rPr>
          <w:b/>
          <w:bCs/>
          <w:i/>
          <w:iCs/>
        </w:rPr>
      </w:pPr>
      <w:r w:rsidRPr="00451875">
        <w:rPr>
          <w:b/>
          <w:bCs/>
          <w:i/>
          <w:iCs/>
        </w:rPr>
        <w:t>Linguistic Inquiry and Word Count (LIWC)</w:t>
      </w:r>
    </w:p>
    <w:p w14:paraId="22EE253C" w14:textId="5E875092" w:rsidR="000048BD" w:rsidRPr="00451875" w:rsidRDefault="000048BD" w:rsidP="000048BD">
      <w:pPr>
        <w:ind w:firstLine="720"/>
        <w:jc w:val="both"/>
      </w:pPr>
      <w:r w:rsidRPr="00451875">
        <w:t>Consistent with previous research (</w:t>
      </w:r>
      <w:r w:rsidR="00201C25">
        <w:t>Richardson et al., 2014</w:t>
      </w:r>
      <w:r w:rsidR="00201C25" w:rsidRPr="00451875">
        <w:t xml:space="preserve">; </w:t>
      </w:r>
      <w:r w:rsidR="00201C25">
        <w:t>Richardson &amp; Nash, 2022</w:t>
      </w:r>
      <w:r w:rsidR="00201C25" w:rsidRPr="00451875">
        <w:t xml:space="preserve">; </w:t>
      </w:r>
      <w:proofErr w:type="spellStart"/>
      <w:r w:rsidR="00201C25" w:rsidRPr="00451875">
        <w:t>Tausczik</w:t>
      </w:r>
      <w:proofErr w:type="spellEnd"/>
      <w:r w:rsidR="00201C25" w:rsidRPr="00451875">
        <w:t xml:space="preserve"> &amp; Pennebaker, 2010; </w:t>
      </w:r>
      <w:r w:rsidR="00201C25" w:rsidRPr="4D5C29CA">
        <w:rPr>
          <w:rFonts w:cs="Arial"/>
          <w:color w:val="000000" w:themeColor="text1"/>
        </w:rPr>
        <w:t>Taylor et al.</w:t>
      </w:r>
      <w:r w:rsidR="00201C25">
        <w:rPr>
          <w:rFonts w:cs="Arial"/>
          <w:color w:val="000000" w:themeColor="text1"/>
        </w:rPr>
        <w:t xml:space="preserve">, </w:t>
      </w:r>
      <w:r w:rsidR="00201C25" w:rsidRPr="4D5C29CA">
        <w:rPr>
          <w:rFonts w:cs="Arial"/>
          <w:color w:val="000000" w:themeColor="text1"/>
        </w:rPr>
        <w:t>2013</w:t>
      </w:r>
      <w:r w:rsidRPr="00451875">
        <w:t xml:space="preserve">), individual language use was examined by means of the computer software program LIWC (Pennebaker et al., 2007). LIWC analyses a text file on a word-by-word basis to calculate the total percentage of </w:t>
      </w:r>
      <w:r w:rsidRPr="00451875">
        <w:lastRenderedPageBreak/>
        <w:t>words that match various linguistic categories. The three categories of interest in this study were: the pronoun “I”, negative emotion words, and words relating to cognitive processes (</w:t>
      </w:r>
      <w:r w:rsidR="00C81D47" w:rsidRPr="4D5C29CA">
        <w:rPr>
          <w:rFonts w:cs="Arial"/>
          <w:color w:val="000000" w:themeColor="text1"/>
        </w:rPr>
        <w:t>Taylor et al.</w:t>
      </w:r>
      <w:r w:rsidR="00C81D47">
        <w:rPr>
          <w:rFonts w:cs="Arial"/>
          <w:color w:val="000000" w:themeColor="text1"/>
        </w:rPr>
        <w:t xml:space="preserve">, </w:t>
      </w:r>
      <w:r w:rsidR="00C81D47" w:rsidRPr="4D5C29CA">
        <w:rPr>
          <w:rFonts w:cs="Arial"/>
          <w:color w:val="000000" w:themeColor="text1"/>
        </w:rPr>
        <w:t>2013</w:t>
      </w:r>
      <w:r w:rsidRPr="00451875">
        <w:t>). The 54 interview transcripts were split by Game Part (Part 1, Part 2, Part 3, Part 4), which resulted in 216 transcripts being produced (54 transcripts for each Game Part). Next, these 216 transcripts were split by speaker, namely interviewer and interviewee, to produce a total of 432 transcripts (216 interviewee transcripts and 216 interviewer transcripts). All 216 interviewee transcripts were then submitted to LIWC and analysed by Game Part. The resulting LIWC scores for each of the three categories present in Part 1 were compiled. This process was repeated for Parts 2, 3 and 4 and subsequently analysed in SPSS.</w:t>
      </w:r>
    </w:p>
    <w:p w14:paraId="2517354E" w14:textId="77777777" w:rsidR="000048BD" w:rsidRPr="00451875" w:rsidRDefault="000048BD" w:rsidP="000048BD">
      <w:pPr>
        <w:jc w:val="both"/>
        <w:rPr>
          <w:b/>
          <w:bCs/>
          <w:i/>
          <w:iCs/>
        </w:rPr>
      </w:pPr>
      <w:r w:rsidRPr="00451875">
        <w:rPr>
          <w:b/>
          <w:bCs/>
          <w:i/>
          <w:iCs/>
        </w:rPr>
        <w:t>Transparency and Openness</w:t>
      </w:r>
    </w:p>
    <w:p w14:paraId="0664C842" w14:textId="77777777" w:rsidR="000048BD" w:rsidRPr="00451875" w:rsidRDefault="000048BD" w:rsidP="000048BD">
      <w:pPr>
        <w:shd w:val="clear" w:color="auto" w:fill="FFFFFF"/>
        <w:ind w:firstLine="720"/>
        <w:jc w:val="both"/>
        <w:textAlignment w:val="top"/>
        <w:rPr>
          <w:color w:val="222222"/>
        </w:rPr>
      </w:pPr>
      <w:r w:rsidRPr="00451875">
        <w:rPr>
          <w:color w:val="222222"/>
        </w:rPr>
        <w:t>We describe our sampling plan, all data exclusions (if any), all manipulations, and all measures in the study, and we adhered to the </w:t>
      </w:r>
      <w:r w:rsidRPr="00451875">
        <w:rPr>
          <w:i/>
          <w:iCs/>
          <w:color w:val="222222"/>
          <w:bdr w:val="none" w:sz="0" w:space="0" w:color="auto" w:frame="1"/>
        </w:rPr>
        <w:t>Journal of Applied Psychology</w:t>
      </w:r>
      <w:r w:rsidRPr="00451875">
        <w:rPr>
          <w:color w:val="222222"/>
        </w:rPr>
        <w:t> methodological checklist. All data are available at [https://osf.io/jkbpm/?view_only=fc263915fb1c420db35bd8330b6006ce]. Data were analysed using SPSS Statistics, version 29.0. This study’s design and its analysis were not preregistered.</w:t>
      </w:r>
    </w:p>
    <w:p w14:paraId="3898491E" w14:textId="7307B6EF" w:rsidR="000048BD" w:rsidRPr="00451875" w:rsidRDefault="000048BD" w:rsidP="000048BD">
      <w:pPr>
        <w:pStyle w:val="Paragraph"/>
        <w:rPr>
          <w:b/>
          <w:bCs/>
        </w:rPr>
      </w:pPr>
      <w:r w:rsidRPr="00451875">
        <w:rPr>
          <w:b/>
          <w:bCs/>
        </w:rPr>
        <w:t>Results and Discussion</w:t>
      </w:r>
    </w:p>
    <w:p w14:paraId="10F67700" w14:textId="77777777" w:rsidR="000048BD" w:rsidRPr="00451875" w:rsidRDefault="000048BD" w:rsidP="00A44F4B">
      <w:pPr>
        <w:ind w:firstLine="720"/>
        <w:jc w:val="both"/>
      </w:pPr>
      <w:r w:rsidRPr="00451875">
        <w:t>Descriptive statistics are presented in Table 3, which shows the frequency of occurrence of the pronoun “I”, negative emotion words and words relating to cognitive processing across Interviewee Type (insider, non-insider) and Game Part (Part 1, Part 2, Part 3, Part 4).</w:t>
      </w:r>
    </w:p>
    <w:p w14:paraId="5A400451" w14:textId="77777777" w:rsidR="000048BD" w:rsidRPr="00451875" w:rsidRDefault="000048BD" w:rsidP="000048BD">
      <w:pPr>
        <w:jc w:val="both"/>
        <w:rPr>
          <w:b/>
          <w:bCs/>
          <w:i/>
          <w:iCs/>
          <w:color w:val="000000" w:themeColor="text1"/>
        </w:rPr>
      </w:pPr>
      <w:r w:rsidRPr="00451875">
        <w:rPr>
          <w:b/>
          <w:bCs/>
          <w:i/>
          <w:iCs/>
          <w:color w:val="000000" w:themeColor="text1"/>
        </w:rPr>
        <w:t>First-Person Singular Pronouns</w:t>
      </w:r>
    </w:p>
    <w:p w14:paraId="64F27A4B" w14:textId="77777777" w:rsidR="000048BD" w:rsidRPr="00451875" w:rsidRDefault="000048BD" w:rsidP="000048BD">
      <w:pPr>
        <w:ind w:firstLine="720"/>
        <w:jc w:val="both"/>
        <w:rPr>
          <w:color w:val="000000" w:themeColor="text1"/>
          <w:lang w:val="en-US"/>
        </w:rPr>
      </w:pPr>
      <w:r w:rsidRPr="00451875">
        <w:rPr>
          <w:lang w:val="en-US"/>
        </w:rPr>
        <w:t>A 2 x 4 mixed design ANOVA, with Interviewee Type (insider vs. non-insider) as the between-participants factor and Game Part (</w:t>
      </w:r>
      <w:r w:rsidRPr="00451875">
        <w:t>Part 1, Part 2, Part 3, Part 4</w:t>
      </w:r>
      <w:r w:rsidRPr="00451875">
        <w:rPr>
          <w:lang w:val="en-US"/>
        </w:rPr>
        <w:t xml:space="preserve">) as the </w:t>
      </w:r>
      <w:r w:rsidRPr="00451875">
        <w:rPr>
          <w:lang w:val="en-US"/>
        </w:rPr>
        <w:lastRenderedPageBreak/>
        <w:t xml:space="preserve">within-participants factor, was conducted to test H1, that </w:t>
      </w:r>
      <w:r w:rsidRPr="00451875">
        <w:rPr>
          <w:color w:val="000000" w:themeColor="text1"/>
        </w:rPr>
        <w:t>insiders will use a significantly greater frequency of first-person singular pronouns when compared to non-insiders,</w:t>
      </w:r>
      <w:r w:rsidRPr="00451875">
        <w:rPr>
          <w:lang w:val="en-US"/>
        </w:rPr>
        <w:t xml:space="preserve"> and H4, that </w:t>
      </w:r>
      <w:r w:rsidRPr="00451875">
        <w:rPr>
          <w:color w:val="000000" w:themeColor="text1"/>
        </w:rPr>
        <w:t>the language differences that are associated with insiders compared to non-insiders will become significantly more pronounced over time.</w:t>
      </w:r>
    </w:p>
    <w:p w14:paraId="454A6FC1" w14:textId="77777777" w:rsidR="000048BD" w:rsidRPr="00451875" w:rsidRDefault="000048BD" w:rsidP="000048BD">
      <w:pPr>
        <w:ind w:firstLine="720"/>
        <w:jc w:val="both"/>
        <w:rPr>
          <w:color w:val="000000" w:themeColor="text1"/>
        </w:rPr>
      </w:pPr>
      <w:r w:rsidRPr="00451875">
        <w:rPr>
          <w:color w:val="000000" w:themeColor="text1"/>
        </w:rPr>
        <w:t xml:space="preserve">In relation to the use of first-person singular pronouns, </w:t>
      </w:r>
      <w:r w:rsidRPr="00451875">
        <w:rPr>
          <w:lang w:val="en-US"/>
        </w:rPr>
        <w:t xml:space="preserve">there was a significant main effect </w:t>
      </w:r>
      <w:r w:rsidRPr="00451875">
        <w:t xml:space="preserve">of Interviewee Type </w:t>
      </w:r>
      <w:r w:rsidRPr="00451875">
        <w:rPr>
          <w:lang w:val="en-US"/>
        </w:rPr>
        <w:t xml:space="preserve">on the number of times that “I” was used by interviewees. </w:t>
      </w:r>
      <w:r w:rsidRPr="00451875">
        <w:t>Insiders (</w:t>
      </w:r>
      <w:r w:rsidRPr="00451875">
        <w:rPr>
          <w:i/>
          <w:iCs/>
        </w:rPr>
        <w:t xml:space="preserve">M = </w:t>
      </w:r>
      <w:r w:rsidRPr="00451875">
        <w:t xml:space="preserve">9.13, </w:t>
      </w:r>
      <w:r w:rsidRPr="00451875">
        <w:rPr>
          <w:i/>
          <w:iCs/>
        </w:rPr>
        <w:t>SD</w:t>
      </w:r>
      <w:r w:rsidRPr="00451875">
        <w:t xml:space="preserve"> = 0.53) used “I” more frequently than non-insiders (</w:t>
      </w:r>
      <w:r w:rsidRPr="00451875">
        <w:rPr>
          <w:i/>
          <w:iCs/>
          <w:color w:val="000000" w:themeColor="text1"/>
        </w:rPr>
        <w:t xml:space="preserve">M = </w:t>
      </w:r>
      <w:r w:rsidRPr="00451875">
        <w:rPr>
          <w:color w:val="000000" w:themeColor="text1"/>
        </w:rPr>
        <w:t xml:space="preserve">5.28, SD = </w:t>
      </w:r>
      <w:r w:rsidRPr="00451875">
        <w:t xml:space="preserve">0.24), </w:t>
      </w:r>
      <w:r w:rsidRPr="00451875">
        <w:rPr>
          <w:i/>
          <w:iCs/>
          <w:color w:val="000000" w:themeColor="text1"/>
          <w:lang w:val="en-US"/>
        </w:rPr>
        <w:t>F</w:t>
      </w:r>
      <w:r w:rsidRPr="00451875">
        <w:rPr>
          <w:color w:val="000000" w:themeColor="text1"/>
          <w:lang w:val="en-US"/>
        </w:rPr>
        <w:t xml:space="preserve">(1, 50) = 43.36, </w:t>
      </w:r>
      <w:r w:rsidRPr="00451875">
        <w:rPr>
          <w:i/>
          <w:iCs/>
          <w:color w:val="000000" w:themeColor="text1"/>
          <w:lang w:val="en-US"/>
        </w:rPr>
        <w:t>p</w:t>
      </w:r>
      <w:r w:rsidRPr="00451875">
        <w:rPr>
          <w:color w:val="000000" w:themeColor="text1"/>
          <w:lang w:val="en-US"/>
        </w:rPr>
        <w:t xml:space="preserve"> &lt; .001, </w:t>
      </w:r>
      <w:r w:rsidRPr="00451875">
        <w:t>ηp² = 0.46</w:t>
      </w:r>
      <w:r w:rsidRPr="00451875">
        <w:rPr>
          <w:lang w:val="en-US"/>
        </w:rPr>
        <w:t>, supporting H1. The main effect of Game Part was also significant; when participants were describing Part 4 (</w:t>
      </w:r>
      <w:r w:rsidRPr="00451875">
        <w:rPr>
          <w:i/>
          <w:iCs/>
          <w:lang w:val="en-US"/>
        </w:rPr>
        <w:t>M =</w:t>
      </w:r>
      <w:r w:rsidRPr="00451875">
        <w:rPr>
          <w:lang w:val="en-US"/>
        </w:rPr>
        <w:t xml:space="preserve"> 6.41, </w:t>
      </w:r>
      <w:r w:rsidRPr="00451875">
        <w:rPr>
          <w:i/>
          <w:iCs/>
          <w:lang w:val="en-US"/>
        </w:rPr>
        <w:t>SD</w:t>
      </w:r>
      <w:r w:rsidRPr="00451875">
        <w:rPr>
          <w:lang w:val="en-US"/>
        </w:rPr>
        <w:t xml:space="preserve"> = </w:t>
      </w:r>
      <w:r w:rsidRPr="00451875">
        <w:t>4.30</w:t>
      </w:r>
      <w:r w:rsidRPr="00451875">
        <w:rPr>
          <w:lang w:val="en-US"/>
        </w:rPr>
        <w:t>) they used the word “I” more often than they did when describing Part 1 (</w:t>
      </w:r>
      <w:r w:rsidRPr="00451875">
        <w:rPr>
          <w:i/>
          <w:iCs/>
          <w:lang w:val="en-US"/>
        </w:rPr>
        <w:t xml:space="preserve">M = </w:t>
      </w:r>
      <w:r w:rsidRPr="00451875">
        <w:rPr>
          <w:lang w:val="en-US"/>
        </w:rPr>
        <w:t xml:space="preserve">6.05, </w:t>
      </w:r>
      <w:r w:rsidRPr="00451875">
        <w:rPr>
          <w:i/>
          <w:iCs/>
          <w:lang w:val="en-US"/>
        </w:rPr>
        <w:t>SD</w:t>
      </w:r>
      <w:r w:rsidRPr="00451875">
        <w:rPr>
          <w:lang w:val="en-US"/>
        </w:rPr>
        <w:t xml:space="preserve"> = </w:t>
      </w:r>
      <w:r w:rsidRPr="00451875">
        <w:t>3.21</w:t>
      </w:r>
      <w:r w:rsidRPr="00451875">
        <w:rPr>
          <w:lang w:val="en-US"/>
        </w:rPr>
        <w:t>), Part 2 (</w:t>
      </w:r>
      <w:r w:rsidRPr="00451875">
        <w:rPr>
          <w:i/>
          <w:iCs/>
          <w:lang w:val="en-US"/>
        </w:rPr>
        <w:t>M =</w:t>
      </w:r>
      <w:r w:rsidRPr="00451875">
        <w:rPr>
          <w:lang w:val="en-US"/>
        </w:rPr>
        <w:t xml:space="preserve"> 5.53, SD = </w:t>
      </w:r>
      <w:r w:rsidRPr="00451875">
        <w:t>2.63</w:t>
      </w:r>
      <w:r w:rsidRPr="00451875">
        <w:rPr>
          <w:lang w:val="en-US"/>
        </w:rPr>
        <w:t>) and Part 3 (</w:t>
      </w:r>
      <w:r w:rsidRPr="00451875">
        <w:rPr>
          <w:i/>
          <w:iCs/>
          <w:lang w:val="en-US"/>
        </w:rPr>
        <w:t>M =</w:t>
      </w:r>
      <w:r w:rsidRPr="00451875">
        <w:rPr>
          <w:lang w:val="en-US"/>
        </w:rPr>
        <w:t xml:space="preserve"> 5.80, SD = </w:t>
      </w:r>
      <w:r w:rsidRPr="00451875">
        <w:t>2.98</w:t>
      </w:r>
      <w:r w:rsidRPr="00451875">
        <w:rPr>
          <w:lang w:val="en-US"/>
        </w:rPr>
        <w:t xml:space="preserve">), </w:t>
      </w:r>
      <w:r w:rsidRPr="00451875">
        <w:rPr>
          <w:i/>
          <w:iCs/>
          <w:color w:val="000000" w:themeColor="text1"/>
          <w:lang w:val="en-US"/>
        </w:rPr>
        <w:t>F</w:t>
      </w:r>
      <w:r w:rsidRPr="00451875">
        <w:rPr>
          <w:color w:val="000000" w:themeColor="text1"/>
          <w:lang w:val="en-US"/>
        </w:rPr>
        <w:t xml:space="preserve">(3, 150) = 13.82, </w:t>
      </w:r>
      <w:r w:rsidRPr="00451875">
        <w:rPr>
          <w:i/>
          <w:iCs/>
          <w:color w:val="000000" w:themeColor="text1"/>
          <w:lang w:val="en-US"/>
        </w:rPr>
        <w:t>p</w:t>
      </w:r>
      <w:r w:rsidRPr="00451875">
        <w:rPr>
          <w:color w:val="000000" w:themeColor="text1"/>
          <w:lang w:val="en-US"/>
        </w:rPr>
        <w:t xml:space="preserve"> &lt; .001, </w:t>
      </w:r>
      <w:r w:rsidRPr="00451875">
        <w:t>ηp² = 0.21.</w:t>
      </w:r>
      <w:r w:rsidRPr="00451875">
        <w:rPr>
          <w:lang w:val="en-US"/>
        </w:rPr>
        <w:t xml:space="preserve"> </w:t>
      </w:r>
      <w:r w:rsidRPr="00451875">
        <w:t xml:space="preserve">A significant interaction also emerged between Interviewee Type and Game Part, </w:t>
      </w:r>
      <w:r w:rsidRPr="00451875">
        <w:rPr>
          <w:i/>
          <w:iCs/>
          <w:color w:val="000000" w:themeColor="text1"/>
          <w:lang w:val="en-US"/>
        </w:rPr>
        <w:t>F</w:t>
      </w:r>
      <w:r w:rsidRPr="00451875">
        <w:rPr>
          <w:color w:val="000000" w:themeColor="text1"/>
          <w:lang w:val="en-US"/>
        </w:rPr>
        <w:t xml:space="preserve">(3, 150) = 19.75, </w:t>
      </w:r>
      <w:r w:rsidRPr="00451875">
        <w:rPr>
          <w:i/>
          <w:iCs/>
          <w:color w:val="000000" w:themeColor="text1"/>
          <w:lang w:val="en-US"/>
        </w:rPr>
        <w:t>p</w:t>
      </w:r>
      <w:r w:rsidRPr="00451875">
        <w:rPr>
          <w:color w:val="000000" w:themeColor="text1"/>
          <w:lang w:val="en-US"/>
        </w:rPr>
        <w:t xml:space="preserve"> &lt; .001, </w:t>
      </w:r>
      <w:r w:rsidRPr="00451875">
        <w:t xml:space="preserve">ηp² = 0.28, </w:t>
      </w:r>
      <w:r w:rsidRPr="00451875">
        <w:rPr>
          <w:color w:val="000000" w:themeColor="text1"/>
        </w:rPr>
        <w:t>with the data (see Figure 1) giving some indication that changes in the use of “I” between insiders and non-insiders became more pronounced as insiders described Game Parts during which they had become increasingly immersed in insider activity, in line with H4.</w:t>
      </w:r>
    </w:p>
    <w:p w14:paraId="53AE1727" w14:textId="77777777" w:rsidR="000048BD" w:rsidRPr="00451875" w:rsidRDefault="000048BD" w:rsidP="000048BD">
      <w:pPr>
        <w:ind w:firstLine="720"/>
        <w:jc w:val="both"/>
        <w:rPr>
          <w:color w:val="000000" w:themeColor="text1"/>
        </w:rPr>
      </w:pPr>
      <w:r w:rsidRPr="00451875">
        <w:rPr>
          <w:color w:val="000000" w:themeColor="text1"/>
          <w:lang w:val="en-US"/>
        </w:rPr>
        <w:t xml:space="preserve">To unpack this interaction, we first undertook simple main effects analyses of the data split by Interviewee Type (i.e., insiders vs. non-insiders). For the insiders’ use of the pronoun “I”, the simple main effect of Game Part was statistically significant, </w:t>
      </w:r>
      <w:r w:rsidRPr="00451875">
        <w:rPr>
          <w:i/>
          <w:iCs/>
          <w:color w:val="000000" w:themeColor="text1"/>
          <w:lang w:val="en-US"/>
        </w:rPr>
        <w:t>F</w:t>
      </w:r>
      <w:r w:rsidRPr="00451875">
        <w:rPr>
          <w:color w:val="000000" w:themeColor="text1"/>
          <w:lang w:val="en-US"/>
        </w:rPr>
        <w:t xml:space="preserve">(3, 24) = 9.69, </w:t>
      </w:r>
      <w:r w:rsidRPr="00451875">
        <w:rPr>
          <w:i/>
          <w:iCs/>
          <w:color w:val="000000" w:themeColor="text1"/>
          <w:lang w:val="en-US"/>
        </w:rPr>
        <w:t>p</w:t>
      </w:r>
      <w:r w:rsidRPr="00451875">
        <w:rPr>
          <w:color w:val="000000" w:themeColor="text1"/>
          <w:lang w:val="en-US"/>
        </w:rPr>
        <w:t xml:space="preserve"> &lt; .001, </w:t>
      </w:r>
      <w:r w:rsidRPr="00451875">
        <w:t>ηp² = 0.55, whereas for non-</w:t>
      </w:r>
      <w:proofErr w:type="gramStart"/>
      <w:r w:rsidRPr="00451875">
        <w:t>insiders</w:t>
      </w:r>
      <w:proofErr w:type="gramEnd"/>
      <w:r w:rsidRPr="00451875">
        <w:rPr>
          <w:color w:val="000000" w:themeColor="text1"/>
          <w:lang w:val="en-US"/>
        </w:rPr>
        <w:t xml:space="preserve"> use of the pronoun “I”, </w:t>
      </w:r>
      <w:r w:rsidRPr="00451875">
        <w:t xml:space="preserve"> the simple main effect of Game Part was </w:t>
      </w:r>
      <w:r w:rsidRPr="00451875">
        <w:rPr>
          <w:color w:val="000000" w:themeColor="text1"/>
          <w:lang w:val="en-US"/>
        </w:rPr>
        <w:t xml:space="preserve">not reliable, </w:t>
      </w:r>
      <w:r w:rsidRPr="00451875">
        <w:rPr>
          <w:i/>
          <w:iCs/>
          <w:color w:val="000000" w:themeColor="text1"/>
          <w:lang w:val="en-US"/>
        </w:rPr>
        <w:t>F</w:t>
      </w:r>
      <w:r w:rsidRPr="00451875">
        <w:rPr>
          <w:color w:val="000000" w:themeColor="text1"/>
          <w:lang w:val="en-US"/>
        </w:rPr>
        <w:t xml:space="preserve">(3, 126) = 0.97, </w:t>
      </w:r>
      <w:r w:rsidRPr="00451875">
        <w:rPr>
          <w:i/>
          <w:iCs/>
          <w:color w:val="000000" w:themeColor="text1"/>
          <w:lang w:val="en-US"/>
        </w:rPr>
        <w:t>p</w:t>
      </w:r>
      <w:r w:rsidRPr="00451875">
        <w:rPr>
          <w:color w:val="000000" w:themeColor="text1"/>
          <w:lang w:val="en-US"/>
        </w:rPr>
        <w:t xml:space="preserve"> = .408, </w:t>
      </w:r>
      <w:r w:rsidRPr="00451875">
        <w:t xml:space="preserve">ηp² = 0.02. </w:t>
      </w:r>
      <w:r w:rsidRPr="00451875">
        <w:rPr>
          <w:color w:val="000000" w:themeColor="text1"/>
          <w:lang w:val="en-US"/>
        </w:rPr>
        <w:t>To understand the simple main effect of Game Part on insiders’ use of the word “I”, we conducted six paired-samples t-tests with a Bonferroni correction (corrected alpha = .008). Results revealed a significant difference between Part 1 and Part 2,</w:t>
      </w:r>
      <w:r w:rsidRPr="00451875">
        <w:rPr>
          <w:i/>
          <w:iCs/>
          <w:color w:val="000000" w:themeColor="text1"/>
          <w:lang w:val="en-US"/>
        </w:rPr>
        <w:t xml:space="preserve"> t</w:t>
      </w:r>
      <w:r w:rsidRPr="00451875">
        <w:rPr>
          <w:color w:val="000000" w:themeColor="text1"/>
        </w:rPr>
        <w:t xml:space="preserve">(8) = 3.59, </w:t>
      </w:r>
      <w:r w:rsidRPr="00451875">
        <w:rPr>
          <w:i/>
          <w:iCs/>
          <w:color w:val="000000" w:themeColor="text1"/>
        </w:rPr>
        <w:t>p</w:t>
      </w:r>
      <w:r w:rsidRPr="00451875">
        <w:rPr>
          <w:color w:val="000000" w:themeColor="text1"/>
        </w:rPr>
        <w:t xml:space="preserve"> = .007, with insiders who were talking about Part 1 </w:t>
      </w:r>
      <w:r w:rsidRPr="00451875">
        <w:rPr>
          <w:color w:val="000000" w:themeColor="text1"/>
          <w:lang w:val="en-US"/>
        </w:rPr>
        <w:t>(</w:t>
      </w:r>
      <w:r w:rsidRPr="00451875">
        <w:rPr>
          <w:i/>
          <w:iCs/>
          <w:color w:val="000000" w:themeColor="text1"/>
          <w:lang w:val="en-US"/>
        </w:rPr>
        <w:t>M =</w:t>
      </w:r>
      <w:r w:rsidRPr="00451875">
        <w:rPr>
          <w:color w:val="000000" w:themeColor="text1"/>
          <w:lang w:val="en-US"/>
        </w:rPr>
        <w:t xml:space="preserve"> 10.27, </w:t>
      </w:r>
      <w:r w:rsidRPr="00451875">
        <w:rPr>
          <w:i/>
          <w:iCs/>
          <w:color w:val="000000" w:themeColor="text1"/>
          <w:lang w:val="en-US"/>
        </w:rPr>
        <w:t>SD =</w:t>
      </w:r>
      <w:r w:rsidRPr="00451875">
        <w:rPr>
          <w:color w:val="000000" w:themeColor="text1"/>
          <w:lang w:val="en-US"/>
        </w:rPr>
        <w:t xml:space="preserve"> 3.12) using “I” </w:t>
      </w:r>
      <w:r w:rsidRPr="00451875">
        <w:rPr>
          <w:color w:val="000000" w:themeColor="text1"/>
          <w:lang w:val="en-US"/>
        </w:rPr>
        <w:lastRenderedPageBreak/>
        <w:t>pronouns more than when they were describing Part 2 (</w:t>
      </w:r>
      <w:r w:rsidRPr="00451875">
        <w:rPr>
          <w:i/>
          <w:iCs/>
          <w:color w:val="000000" w:themeColor="text1"/>
          <w:lang w:val="en-US"/>
        </w:rPr>
        <w:t>M =</w:t>
      </w:r>
      <w:r w:rsidRPr="00451875">
        <w:rPr>
          <w:color w:val="000000" w:themeColor="text1"/>
          <w:lang w:val="en-US"/>
        </w:rPr>
        <w:t xml:space="preserve"> 4.60, </w:t>
      </w:r>
      <w:r w:rsidRPr="00451875">
        <w:rPr>
          <w:i/>
          <w:iCs/>
          <w:color w:val="000000" w:themeColor="text1"/>
          <w:lang w:val="en-US"/>
        </w:rPr>
        <w:t>SD =</w:t>
      </w:r>
      <w:r w:rsidRPr="00451875">
        <w:rPr>
          <w:color w:val="000000" w:themeColor="text1"/>
          <w:lang w:val="en-US"/>
        </w:rPr>
        <w:t xml:space="preserve"> 2.62). A significant difference was also found between Part 2 and Part 4,</w:t>
      </w:r>
      <w:r w:rsidRPr="00451875">
        <w:rPr>
          <w:i/>
          <w:iCs/>
          <w:color w:val="000000" w:themeColor="text1"/>
          <w:lang w:val="en-US"/>
        </w:rPr>
        <w:t xml:space="preserve"> t</w:t>
      </w:r>
      <w:r w:rsidRPr="00451875">
        <w:rPr>
          <w:color w:val="000000" w:themeColor="text1"/>
        </w:rPr>
        <w:t xml:space="preserve">(8) = -4.97, </w:t>
      </w:r>
      <w:r w:rsidRPr="00451875">
        <w:rPr>
          <w:i/>
          <w:iCs/>
          <w:color w:val="000000" w:themeColor="text1"/>
        </w:rPr>
        <w:t>p</w:t>
      </w:r>
      <w:r w:rsidRPr="00451875">
        <w:rPr>
          <w:color w:val="000000" w:themeColor="text1"/>
        </w:rPr>
        <w:t xml:space="preserve"> &lt; .001, with insiders who were talking about Part 2 (</w:t>
      </w:r>
      <w:r w:rsidRPr="00451875">
        <w:rPr>
          <w:i/>
          <w:iCs/>
          <w:color w:val="000000" w:themeColor="text1"/>
        </w:rPr>
        <w:t>M =</w:t>
      </w:r>
      <w:r w:rsidRPr="00451875">
        <w:rPr>
          <w:color w:val="000000" w:themeColor="text1"/>
        </w:rPr>
        <w:t xml:space="preserve"> 4.60, </w:t>
      </w:r>
      <w:r w:rsidRPr="00451875">
        <w:rPr>
          <w:i/>
          <w:iCs/>
          <w:color w:val="000000" w:themeColor="text1"/>
        </w:rPr>
        <w:t>SD =</w:t>
      </w:r>
      <w:r w:rsidRPr="00451875">
        <w:rPr>
          <w:color w:val="000000" w:themeColor="text1"/>
        </w:rPr>
        <w:t xml:space="preserve"> 2.62) using “I” less than when talking about Part 4 (</w:t>
      </w:r>
      <w:r w:rsidRPr="00451875">
        <w:rPr>
          <w:i/>
          <w:iCs/>
          <w:color w:val="000000" w:themeColor="text1"/>
        </w:rPr>
        <w:t>M =</w:t>
      </w:r>
      <w:r w:rsidRPr="00451875">
        <w:rPr>
          <w:color w:val="000000" w:themeColor="text1"/>
        </w:rPr>
        <w:t xml:space="preserve"> 13.56, </w:t>
      </w:r>
      <w:r w:rsidRPr="00451875">
        <w:rPr>
          <w:i/>
          <w:iCs/>
          <w:color w:val="000000" w:themeColor="text1"/>
        </w:rPr>
        <w:t>SD =</w:t>
      </w:r>
      <w:r w:rsidRPr="00451875">
        <w:rPr>
          <w:color w:val="000000" w:themeColor="text1"/>
        </w:rPr>
        <w:t xml:space="preserve"> 5.08). </w:t>
      </w:r>
      <w:r w:rsidRPr="00451875">
        <w:rPr>
          <w:color w:val="000000" w:themeColor="text1"/>
          <w:lang w:val="en-US"/>
        </w:rPr>
        <w:t xml:space="preserve">No significant difference was found for data relating to Part 1 versus Part 3, </w:t>
      </w:r>
      <w:r w:rsidRPr="00451875">
        <w:rPr>
          <w:i/>
          <w:iCs/>
          <w:color w:val="000000" w:themeColor="text1"/>
          <w:lang w:val="en-US"/>
        </w:rPr>
        <w:t>t</w:t>
      </w:r>
      <w:r w:rsidRPr="00451875">
        <w:rPr>
          <w:color w:val="000000" w:themeColor="text1"/>
        </w:rPr>
        <w:t xml:space="preserve">(8) = 1.48, </w:t>
      </w:r>
      <w:r w:rsidRPr="00451875">
        <w:rPr>
          <w:i/>
          <w:iCs/>
          <w:color w:val="000000" w:themeColor="text1"/>
        </w:rPr>
        <w:t>p</w:t>
      </w:r>
      <w:r w:rsidRPr="00451875">
        <w:rPr>
          <w:color w:val="000000" w:themeColor="text1"/>
        </w:rPr>
        <w:t xml:space="preserve"> = .178, </w:t>
      </w:r>
      <w:r w:rsidRPr="00451875">
        <w:rPr>
          <w:color w:val="000000" w:themeColor="text1"/>
          <w:lang w:val="en-US"/>
        </w:rPr>
        <w:t xml:space="preserve">Part 1 versus Part 4, </w:t>
      </w:r>
      <w:r w:rsidRPr="00451875">
        <w:rPr>
          <w:i/>
          <w:iCs/>
          <w:color w:val="000000" w:themeColor="text1"/>
          <w:lang w:val="en-US"/>
        </w:rPr>
        <w:t>t</w:t>
      </w:r>
      <w:r w:rsidRPr="00451875">
        <w:rPr>
          <w:color w:val="000000" w:themeColor="text1"/>
        </w:rPr>
        <w:t xml:space="preserve">(8) = -1.45, </w:t>
      </w:r>
      <w:r w:rsidRPr="00451875">
        <w:rPr>
          <w:i/>
          <w:iCs/>
          <w:color w:val="000000" w:themeColor="text1"/>
        </w:rPr>
        <w:t>p</w:t>
      </w:r>
      <w:r w:rsidRPr="00451875">
        <w:rPr>
          <w:color w:val="000000" w:themeColor="text1"/>
        </w:rPr>
        <w:t xml:space="preserve"> = .185, </w:t>
      </w:r>
      <w:r w:rsidRPr="00451875">
        <w:rPr>
          <w:color w:val="000000" w:themeColor="text1"/>
          <w:lang w:val="en-US"/>
        </w:rPr>
        <w:t xml:space="preserve">Part 2 versus Part 3, </w:t>
      </w:r>
      <w:r w:rsidRPr="00451875">
        <w:rPr>
          <w:i/>
          <w:iCs/>
          <w:color w:val="000000" w:themeColor="text1"/>
          <w:lang w:val="en-US"/>
        </w:rPr>
        <w:t>t</w:t>
      </w:r>
      <w:r w:rsidRPr="00451875">
        <w:rPr>
          <w:color w:val="000000" w:themeColor="text1"/>
        </w:rPr>
        <w:t xml:space="preserve">(8) = -3.05, </w:t>
      </w:r>
      <w:r w:rsidRPr="00451875">
        <w:rPr>
          <w:i/>
          <w:iCs/>
          <w:color w:val="000000" w:themeColor="text1"/>
        </w:rPr>
        <w:t>p</w:t>
      </w:r>
      <w:r w:rsidRPr="00451875">
        <w:rPr>
          <w:color w:val="000000" w:themeColor="text1"/>
        </w:rPr>
        <w:t xml:space="preserve"> = .016, or </w:t>
      </w:r>
      <w:r w:rsidRPr="00451875">
        <w:rPr>
          <w:color w:val="000000" w:themeColor="text1"/>
          <w:lang w:val="en-US"/>
        </w:rPr>
        <w:t xml:space="preserve">Part 3 versus Part 4, </w:t>
      </w:r>
      <w:r w:rsidRPr="00451875">
        <w:rPr>
          <w:i/>
          <w:iCs/>
          <w:color w:val="000000" w:themeColor="text1"/>
          <w:lang w:val="en-US"/>
        </w:rPr>
        <w:t>t</w:t>
      </w:r>
      <w:r w:rsidRPr="00451875">
        <w:rPr>
          <w:color w:val="000000" w:themeColor="text1"/>
        </w:rPr>
        <w:t xml:space="preserve">(8) = -3.05, </w:t>
      </w:r>
      <w:r w:rsidRPr="00451875">
        <w:rPr>
          <w:i/>
          <w:iCs/>
          <w:color w:val="000000" w:themeColor="text1"/>
        </w:rPr>
        <w:t>p</w:t>
      </w:r>
      <w:r w:rsidRPr="00451875">
        <w:rPr>
          <w:color w:val="000000" w:themeColor="text1"/>
        </w:rPr>
        <w:t xml:space="preserve"> = .016. These analyses provide some support for H4, </w:t>
      </w:r>
      <w:proofErr w:type="gramStart"/>
      <w:r w:rsidRPr="00451875">
        <w:rPr>
          <w:color w:val="000000" w:themeColor="text1"/>
        </w:rPr>
        <w:t>inasmuch as</w:t>
      </w:r>
      <w:proofErr w:type="gramEnd"/>
      <w:r w:rsidRPr="00451875">
        <w:rPr>
          <w:color w:val="000000" w:themeColor="text1"/>
        </w:rPr>
        <w:t xml:space="preserve"> there was evidence for insiders’ use of the pronoun “I” being significantly heightened when they were referring to Game Part 4 (i.e., the point in the game when they had been immersed in complex insider activity), relative to when they were referring to Game Part 2 (i.e., when they had first engaged in low-level insider activity).</w:t>
      </w:r>
    </w:p>
    <w:p w14:paraId="58BB1D6A" w14:textId="77777777" w:rsidR="000048BD" w:rsidRDefault="000048BD" w:rsidP="000048BD">
      <w:pPr>
        <w:spacing w:after="160"/>
        <w:ind w:firstLine="720"/>
        <w:jc w:val="both"/>
        <w:rPr>
          <w:color w:val="000000" w:themeColor="text1"/>
        </w:rPr>
      </w:pPr>
      <w:r w:rsidRPr="00451875">
        <w:rPr>
          <w:color w:val="000000" w:themeColor="text1"/>
        </w:rPr>
        <w:t xml:space="preserve">To unpack fully the interaction between </w:t>
      </w:r>
      <w:r w:rsidRPr="00451875">
        <w:t xml:space="preserve">Interviewee Type and Game Part, </w:t>
      </w:r>
      <w:r w:rsidRPr="00451875">
        <w:rPr>
          <w:color w:val="000000" w:themeColor="text1"/>
        </w:rPr>
        <w:t xml:space="preserve">four independent samples t-tests with a Bonferroni correction (corrected alpha = .0125) were also conducted to compare the use of the word “I” by insiders and non-insiders when they were referring to each Game Part. There was a significant difference in the number of times the word “I” was used by interviewees when referring to Part 1 of the game, </w:t>
      </w:r>
      <w:r w:rsidRPr="00451875">
        <w:rPr>
          <w:i/>
          <w:iCs/>
          <w:color w:val="000000" w:themeColor="text1"/>
          <w:lang w:val="en-US"/>
        </w:rPr>
        <w:t>t</w:t>
      </w:r>
      <w:r w:rsidRPr="00451875">
        <w:rPr>
          <w:color w:val="000000" w:themeColor="text1"/>
        </w:rPr>
        <w:t xml:space="preserve">(50) = -5.40, </w:t>
      </w:r>
      <w:r w:rsidRPr="00451875">
        <w:rPr>
          <w:i/>
          <w:iCs/>
          <w:color w:val="000000" w:themeColor="text1"/>
        </w:rPr>
        <w:t>p</w:t>
      </w:r>
      <w:r w:rsidRPr="00451875">
        <w:rPr>
          <w:color w:val="000000" w:themeColor="text1"/>
        </w:rPr>
        <w:t xml:space="preserve"> &lt; .001, with insiders (</w:t>
      </w:r>
      <w:r w:rsidRPr="00451875">
        <w:rPr>
          <w:i/>
          <w:iCs/>
          <w:color w:val="000000" w:themeColor="text1"/>
        </w:rPr>
        <w:t>M =</w:t>
      </w:r>
      <w:r w:rsidRPr="00451875">
        <w:rPr>
          <w:color w:val="000000" w:themeColor="text1"/>
        </w:rPr>
        <w:t xml:space="preserve"> </w:t>
      </w:r>
      <w:r w:rsidRPr="00451875">
        <w:t>10.27</w:t>
      </w:r>
      <w:r w:rsidRPr="00451875">
        <w:rPr>
          <w:color w:val="000000" w:themeColor="text1"/>
        </w:rPr>
        <w:t xml:space="preserve">, </w:t>
      </w:r>
      <w:r w:rsidRPr="00451875">
        <w:rPr>
          <w:i/>
          <w:iCs/>
          <w:color w:val="000000" w:themeColor="text1"/>
        </w:rPr>
        <w:t>SD =</w:t>
      </w:r>
      <w:r w:rsidRPr="00451875">
        <w:rPr>
          <w:color w:val="000000" w:themeColor="text1"/>
        </w:rPr>
        <w:t xml:space="preserve"> </w:t>
      </w:r>
      <w:r w:rsidRPr="00451875">
        <w:t>3.12</w:t>
      </w:r>
      <w:r w:rsidRPr="00451875">
        <w:rPr>
          <w:color w:val="000000" w:themeColor="text1"/>
        </w:rPr>
        <w:t>) using the word “I” more than non-insiders (</w:t>
      </w:r>
      <w:r w:rsidRPr="00451875">
        <w:rPr>
          <w:i/>
          <w:iCs/>
          <w:color w:val="000000" w:themeColor="text1"/>
        </w:rPr>
        <w:t>M =</w:t>
      </w:r>
      <w:r w:rsidRPr="00451875">
        <w:rPr>
          <w:color w:val="000000" w:themeColor="text1"/>
        </w:rPr>
        <w:t xml:space="preserve"> 5.17, </w:t>
      </w:r>
      <w:r w:rsidRPr="00451875">
        <w:rPr>
          <w:i/>
          <w:iCs/>
          <w:color w:val="000000" w:themeColor="text1"/>
        </w:rPr>
        <w:t>SD =</w:t>
      </w:r>
      <w:r w:rsidRPr="00451875">
        <w:rPr>
          <w:color w:val="000000" w:themeColor="text1"/>
        </w:rPr>
        <w:t xml:space="preserve"> 2.46). There was also a significant difference between insiders and non-insiders when referring to Part 3, </w:t>
      </w:r>
      <w:r w:rsidRPr="00451875">
        <w:rPr>
          <w:i/>
          <w:iCs/>
          <w:color w:val="000000" w:themeColor="text1"/>
        </w:rPr>
        <w:t>t</w:t>
      </w:r>
      <w:r w:rsidRPr="00451875">
        <w:rPr>
          <w:color w:val="000000" w:themeColor="text1"/>
        </w:rPr>
        <w:t xml:space="preserve">(50) = -2.70, </w:t>
      </w:r>
      <w:r w:rsidRPr="00451875">
        <w:rPr>
          <w:i/>
          <w:iCs/>
          <w:color w:val="000000" w:themeColor="text1"/>
        </w:rPr>
        <w:t>p</w:t>
      </w:r>
      <w:r w:rsidRPr="00451875">
        <w:rPr>
          <w:color w:val="000000" w:themeColor="text1"/>
        </w:rPr>
        <w:t xml:space="preserve"> = .005, with insiders (</w:t>
      </w:r>
      <w:r w:rsidRPr="00451875">
        <w:rPr>
          <w:i/>
          <w:iCs/>
          <w:color w:val="000000" w:themeColor="text1"/>
        </w:rPr>
        <w:t>M =</w:t>
      </w:r>
      <w:r w:rsidRPr="00451875">
        <w:rPr>
          <w:color w:val="000000" w:themeColor="text1"/>
        </w:rPr>
        <w:t xml:space="preserve"> 8.10, </w:t>
      </w:r>
      <w:r w:rsidRPr="00451875">
        <w:rPr>
          <w:i/>
          <w:iCs/>
          <w:color w:val="000000" w:themeColor="text1"/>
        </w:rPr>
        <w:t xml:space="preserve">SD = </w:t>
      </w:r>
      <w:r w:rsidRPr="00451875">
        <w:rPr>
          <w:color w:val="000000" w:themeColor="text1"/>
        </w:rPr>
        <w:t>3.87) using the word “I” more than non-insiders (</w:t>
      </w:r>
      <w:r w:rsidRPr="00451875">
        <w:rPr>
          <w:i/>
          <w:iCs/>
          <w:color w:val="000000" w:themeColor="text1"/>
        </w:rPr>
        <w:t xml:space="preserve">M = </w:t>
      </w:r>
      <w:r w:rsidRPr="00451875">
        <w:rPr>
          <w:color w:val="000000" w:themeColor="text1"/>
        </w:rPr>
        <w:t xml:space="preserve">5.32, </w:t>
      </w:r>
      <w:r w:rsidRPr="00451875">
        <w:rPr>
          <w:i/>
          <w:iCs/>
          <w:color w:val="000000" w:themeColor="text1"/>
        </w:rPr>
        <w:t>SD =</w:t>
      </w:r>
      <w:r w:rsidRPr="00451875">
        <w:rPr>
          <w:color w:val="000000" w:themeColor="text1"/>
        </w:rPr>
        <w:t xml:space="preserve"> 2.56). A further significant difference was revealed for interviewees referring to Part 4, </w:t>
      </w:r>
      <w:r w:rsidRPr="00451875">
        <w:rPr>
          <w:i/>
          <w:iCs/>
          <w:color w:val="000000" w:themeColor="text1"/>
        </w:rPr>
        <w:t>t</w:t>
      </w:r>
      <w:r w:rsidRPr="00451875">
        <w:rPr>
          <w:color w:val="000000" w:themeColor="text1"/>
        </w:rPr>
        <w:t xml:space="preserve">(50) = -8.46, </w:t>
      </w:r>
      <w:r w:rsidRPr="00451875">
        <w:rPr>
          <w:i/>
          <w:iCs/>
          <w:color w:val="000000" w:themeColor="text1"/>
        </w:rPr>
        <w:t>p</w:t>
      </w:r>
      <w:r w:rsidRPr="00451875">
        <w:rPr>
          <w:color w:val="000000" w:themeColor="text1"/>
        </w:rPr>
        <w:t xml:space="preserve"> &lt; .001, with insiders (</w:t>
      </w:r>
      <w:r w:rsidRPr="00451875">
        <w:rPr>
          <w:i/>
          <w:iCs/>
          <w:color w:val="000000" w:themeColor="text1"/>
        </w:rPr>
        <w:t>M =</w:t>
      </w:r>
      <w:r w:rsidRPr="00451875">
        <w:rPr>
          <w:color w:val="000000" w:themeColor="text1"/>
        </w:rPr>
        <w:t xml:space="preserve"> 13.56, </w:t>
      </w:r>
      <w:r w:rsidRPr="00451875">
        <w:rPr>
          <w:i/>
          <w:iCs/>
          <w:color w:val="000000" w:themeColor="text1"/>
        </w:rPr>
        <w:t>SD =</w:t>
      </w:r>
      <w:r w:rsidRPr="00451875">
        <w:rPr>
          <w:color w:val="000000" w:themeColor="text1"/>
        </w:rPr>
        <w:t xml:space="preserve"> 5.08) using the word “I” more than non-insiders (</w:t>
      </w:r>
      <w:r w:rsidRPr="00451875">
        <w:rPr>
          <w:i/>
          <w:iCs/>
          <w:color w:val="000000" w:themeColor="text1"/>
        </w:rPr>
        <w:t>M =</w:t>
      </w:r>
      <w:r w:rsidRPr="00451875">
        <w:rPr>
          <w:color w:val="000000" w:themeColor="text1"/>
        </w:rPr>
        <w:t xml:space="preserve"> 4.91, </w:t>
      </w:r>
      <w:r w:rsidRPr="00451875">
        <w:rPr>
          <w:i/>
          <w:iCs/>
          <w:color w:val="000000" w:themeColor="text1"/>
        </w:rPr>
        <w:t xml:space="preserve">SD = </w:t>
      </w:r>
      <w:r w:rsidRPr="00451875">
        <w:rPr>
          <w:color w:val="000000" w:themeColor="text1"/>
        </w:rPr>
        <w:t xml:space="preserve">2.08). There was no significant difference in the use of the word “I” between insiders and non-insiders when referring to Part 2 of the game, </w:t>
      </w:r>
      <w:r w:rsidRPr="00451875">
        <w:rPr>
          <w:i/>
          <w:iCs/>
          <w:color w:val="000000" w:themeColor="text1"/>
        </w:rPr>
        <w:t>t</w:t>
      </w:r>
      <w:r w:rsidRPr="00451875">
        <w:rPr>
          <w:color w:val="000000" w:themeColor="text1"/>
        </w:rPr>
        <w:t xml:space="preserve">(50) = 1.17, </w:t>
      </w:r>
      <w:r w:rsidRPr="00451875">
        <w:rPr>
          <w:i/>
          <w:iCs/>
          <w:color w:val="000000" w:themeColor="text1"/>
        </w:rPr>
        <w:t>p</w:t>
      </w:r>
      <w:r w:rsidRPr="00451875">
        <w:rPr>
          <w:color w:val="000000" w:themeColor="text1"/>
        </w:rPr>
        <w:t xml:space="preserve"> = .124. These results provide further support for H1.</w:t>
      </w:r>
    </w:p>
    <w:p w14:paraId="1D645B14" w14:textId="77777777" w:rsidR="000048BD" w:rsidRPr="00451875" w:rsidRDefault="000048BD" w:rsidP="000048BD">
      <w:pPr>
        <w:spacing w:line="276" w:lineRule="auto"/>
        <w:jc w:val="both"/>
        <w:rPr>
          <w:b/>
          <w:bCs/>
          <w:color w:val="000000" w:themeColor="text1"/>
          <w:lang w:val="en-US"/>
        </w:rPr>
      </w:pPr>
      <w:r w:rsidRPr="00451875">
        <w:rPr>
          <w:b/>
          <w:bCs/>
          <w:i/>
          <w:iCs/>
          <w:color w:val="000000" w:themeColor="text1"/>
        </w:rPr>
        <w:lastRenderedPageBreak/>
        <w:t xml:space="preserve">Negative Emotion Words </w:t>
      </w:r>
    </w:p>
    <w:p w14:paraId="2E06D380" w14:textId="77777777" w:rsidR="000048BD" w:rsidRPr="00451875" w:rsidRDefault="000048BD" w:rsidP="000048BD">
      <w:pPr>
        <w:spacing w:line="276" w:lineRule="auto"/>
        <w:jc w:val="both"/>
        <w:rPr>
          <w:i/>
          <w:iCs/>
          <w:color w:val="000000" w:themeColor="text1"/>
        </w:rPr>
      </w:pPr>
    </w:p>
    <w:p w14:paraId="56ECA90B" w14:textId="77777777" w:rsidR="000048BD" w:rsidRPr="00451875" w:rsidRDefault="000048BD" w:rsidP="000048BD">
      <w:pPr>
        <w:ind w:firstLine="720"/>
        <w:jc w:val="both"/>
        <w:rPr>
          <w:color w:val="000000" w:themeColor="text1"/>
          <w:lang w:val="en-US"/>
        </w:rPr>
      </w:pPr>
      <w:r w:rsidRPr="00451875">
        <w:rPr>
          <w:lang w:val="en-US"/>
        </w:rPr>
        <w:t xml:space="preserve">A 2 x 4 mixed design ANOVA, with Interviewee Type (insider vs. non-insider) as the between-participants factor and Game Part (Part 1, Part 2, Part 3, Part 4) as the within-participants factor, was conducted to test H2, that  </w:t>
      </w:r>
      <w:r w:rsidRPr="00451875">
        <w:rPr>
          <w:color w:val="000000" w:themeColor="text1"/>
        </w:rPr>
        <w:t xml:space="preserve">insiders will use a significantly greater frequency of negative emotion words than non-insiders, </w:t>
      </w:r>
      <w:r w:rsidRPr="00451875">
        <w:rPr>
          <w:lang w:val="en-US"/>
        </w:rPr>
        <w:t>and H4, that t</w:t>
      </w:r>
      <w:r w:rsidRPr="00451875">
        <w:rPr>
          <w:color w:val="000000" w:themeColor="text1"/>
        </w:rPr>
        <w:t xml:space="preserve">he language differences that are associated with insiders compared to non-insiders will become significantly more pronounced when they are referencing later versus earlier Game Parts. This analysis </w:t>
      </w:r>
      <w:r w:rsidRPr="00451875">
        <w:rPr>
          <w:lang w:val="en-US"/>
        </w:rPr>
        <w:t xml:space="preserve">revealed a significant main effect of Interviewee Type on the number of negative emotion words used by interviewees, </w:t>
      </w:r>
      <w:r w:rsidRPr="00451875">
        <w:t>with insiders (</w:t>
      </w:r>
      <w:r w:rsidRPr="00451875">
        <w:rPr>
          <w:i/>
          <w:iCs/>
        </w:rPr>
        <w:t>M =</w:t>
      </w:r>
      <w:r w:rsidRPr="00451875">
        <w:t xml:space="preserve"> 0.77,</w:t>
      </w:r>
      <w:r w:rsidRPr="00451875">
        <w:rPr>
          <w:i/>
          <w:iCs/>
        </w:rPr>
        <w:t xml:space="preserve"> SD</w:t>
      </w:r>
      <w:r w:rsidRPr="00451875">
        <w:t xml:space="preserve"> = 0.11) using negative emotion words more than non-insiders (</w:t>
      </w:r>
      <w:r w:rsidRPr="00451875">
        <w:rPr>
          <w:i/>
          <w:iCs/>
        </w:rPr>
        <w:t>M =</w:t>
      </w:r>
      <w:r w:rsidRPr="00451875">
        <w:t xml:space="preserve"> 0.44, </w:t>
      </w:r>
      <w:r w:rsidRPr="00451875">
        <w:rPr>
          <w:i/>
          <w:iCs/>
        </w:rPr>
        <w:t>SD</w:t>
      </w:r>
      <w:r w:rsidRPr="00451875">
        <w:t xml:space="preserve"> = 0.05), </w:t>
      </w:r>
      <w:r w:rsidRPr="00451875">
        <w:rPr>
          <w:i/>
          <w:iCs/>
          <w:color w:val="000000" w:themeColor="text1"/>
          <w:lang w:val="en-US"/>
        </w:rPr>
        <w:t>F</w:t>
      </w:r>
      <w:r w:rsidRPr="00451875">
        <w:rPr>
          <w:color w:val="000000" w:themeColor="text1"/>
          <w:lang w:val="en-US"/>
        </w:rPr>
        <w:t xml:space="preserve">(1, 50) = 7.18, </w:t>
      </w:r>
      <w:r w:rsidRPr="00451875">
        <w:rPr>
          <w:i/>
          <w:iCs/>
          <w:color w:val="000000" w:themeColor="text1"/>
          <w:lang w:val="en-US"/>
        </w:rPr>
        <w:t>p</w:t>
      </w:r>
      <w:r w:rsidRPr="00451875">
        <w:rPr>
          <w:color w:val="000000" w:themeColor="text1"/>
          <w:lang w:val="en-US"/>
        </w:rPr>
        <w:t xml:space="preserve"> = .010, </w:t>
      </w:r>
      <w:r w:rsidRPr="00451875">
        <w:t xml:space="preserve">ηp² = 0.13, supporting H2. The main effect of Game Part was also significant; </w:t>
      </w:r>
      <w:r w:rsidRPr="00451875">
        <w:rPr>
          <w:lang w:val="en-US"/>
        </w:rPr>
        <w:t>participants who were referring to Part 4 (</w:t>
      </w:r>
      <w:r w:rsidRPr="00451875">
        <w:rPr>
          <w:i/>
          <w:iCs/>
          <w:lang w:val="en-US"/>
        </w:rPr>
        <w:t>M =</w:t>
      </w:r>
      <w:r w:rsidRPr="00451875">
        <w:rPr>
          <w:lang w:val="en-US"/>
        </w:rPr>
        <w:t xml:space="preserve"> 0.79, </w:t>
      </w:r>
      <w:r w:rsidRPr="00451875">
        <w:rPr>
          <w:i/>
          <w:iCs/>
          <w:lang w:val="en-US"/>
        </w:rPr>
        <w:t xml:space="preserve">SD </w:t>
      </w:r>
      <w:r w:rsidRPr="00451875">
        <w:rPr>
          <w:lang w:val="en-US"/>
        </w:rPr>
        <w:t xml:space="preserve">= </w:t>
      </w:r>
      <w:r w:rsidRPr="00451875">
        <w:t>1.14</w:t>
      </w:r>
      <w:r w:rsidRPr="00451875">
        <w:rPr>
          <w:lang w:val="en-US"/>
        </w:rPr>
        <w:t>) used words that related to negative emotions more frequently than when they were referring to Part 1 (</w:t>
      </w:r>
      <w:r w:rsidRPr="00451875">
        <w:rPr>
          <w:i/>
          <w:iCs/>
          <w:lang w:val="en-US"/>
        </w:rPr>
        <w:t>M =</w:t>
      </w:r>
      <w:r w:rsidRPr="00451875">
        <w:rPr>
          <w:lang w:val="en-US"/>
        </w:rPr>
        <w:t xml:space="preserve"> 0.42, </w:t>
      </w:r>
      <w:r w:rsidRPr="00451875">
        <w:rPr>
          <w:i/>
          <w:iCs/>
          <w:lang w:val="en-US"/>
        </w:rPr>
        <w:t>SD</w:t>
      </w:r>
      <w:r w:rsidRPr="00451875">
        <w:rPr>
          <w:lang w:val="en-US"/>
        </w:rPr>
        <w:t xml:space="preserve"> = </w:t>
      </w:r>
      <w:r w:rsidRPr="00451875">
        <w:t>0.39</w:t>
      </w:r>
      <w:r w:rsidRPr="00451875">
        <w:rPr>
          <w:lang w:val="en-US"/>
        </w:rPr>
        <w:t>), Part 2 (</w:t>
      </w:r>
      <w:r w:rsidRPr="00451875">
        <w:rPr>
          <w:i/>
          <w:iCs/>
          <w:lang w:val="en-US"/>
        </w:rPr>
        <w:t>M =</w:t>
      </w:r>
      <w:r w:rsidRPr="00451875">
        <w:rPr>
          <w:lang w:val="en-US"/>
        </w:rPr>
        <w:t xml:space="preserve"> 0.39, </w:t>
      </w:r>
      <w:r w:rsidRPr="00451875">
        <w:rPr>
          <w:i/>
          <w:iCs/>
          <w:lang w:val="en-US"/>
        </w:rPr>
        <w:t xml:space="preserve">SD </w:t>
      </w:r>
      <w:r w:rsidRPr="00451875">
        <w:rPr>
          <w:lang w:val="en-US"/>
        </w:rPr>
        <w:t xml:space="preserve">= </w:t>
      </w:r>
      <w:r w:rsidRPr="00451875">
        <w:t>0.49</w:t>
      </w:r>
      <w:r w:rsidRPr="00451875">
        <w:rPr>
          <w:lang w:val="en-US"/>
        </w:rPr>
        <w:t>) and Part 3 (</w:t>
      </w:r>
      <w:r w:rsidRPr="00451875">
        <w:rPr>
          <w:i/>
          <w:iCs/>
          <w:lang w:val="en-US"/>
        </w:rPr>
        <w:t>M =</w:t>
      </w:r>
      <w:r w:rsidRPr="00451875">
        <w:rPr>
          <w:lang w:val="en-US"/>
        </w:rPr>
        <w:t xml:space="preserve"> 0.37, </w:t>
      </w:r>
      <w:r w:rsidRPr="00451875">
        <w:rPr>
          <w:i/>
          <w:iCs/>
          <w:lang w:val="en-US"/>
        </w:rPr>
        <w:t xml:space="preserve">SD </w:t>
      </w:r>
      <w:r w:rsidRPr="00451875">
        <w:rPr>
          <w:lang w:val="en-US"/>
        </w:rPr>
        <w:t xml:space="preserve">= </w:t>
      </w:r>
      <w:r w:rsidRPr="00451875">
        <w:t>0.45</w:t>
      </w:r>
      <w:r w:rsidRPr="00451875">
        <w:rPr>
          <w:lang w:val="en-US"/>
        </w:rPr>
        <w:t xml:space="preserve">), </w:t>
      </w:r>
      <w:r w:rsidRPr="00451875">
        <w:rPr>
          <w:i/>
          <w:iCs/>
          <w:color w:val="000000" w:themeColor="text1"/>
          <w:lang w:val="en-US"/>
        </w:rPr>
        <w:t>F</w:t>
      </w:r>
      <w:r w:rsidRPr="00451875">
        <w:rPr>
          <w:color w:val="000000" w:themeColor="text1"/>
          <w:lang w:val="en-US"/>
        </w:rPr>
        <w:t xml:space="preserve">(3, 150) = 9.14, </w:t>
      </w:r>
      <w:r w:rsidRPr="00451875">
        <w:rPr>
          <w:i/>
          <w:iCs/>
          <w:color w:val="000000" w:themeColor="text1"/>
          <w:lang w:val="en-US"/>
        </w:rPr>
        <w:t>p</w:t>
      </w:r>
      <w:r w:rsidRPr="00451875">
        <w:rPr>
          <w:color w:val="000000" w:themeColor="text1"/>
          <w:lang w:val="en-US"/>
        </w:rPr>
        <w:t xml:space="preserve"> &lt; .001, </w:t>
      </w:r>
      <w:r w:rsidRPr="00451875">
        <w:t xml:space="preserve">ηp² = 0.16. </w:t>
      </w:r>
    </w:p>
    <w:p w14:paraId="501DF924" w14:textId="77777777" w:rsidR="000048BD" w:rsidRPr="00451875" w:rsidRDefault="000048BD" w:rsidP="000048BD">
      <w:pPr>
        <w:ind w:firstLine="720"/>
        <w:jc w:val="both"/>
        <w:rPr>
          <w:color w:val="000000" w:themeColor="text1"/>
        </w:rPr>
      </w:pPr>
      <w:r w:rsidRPr="00451875">
        <w:t xml:space="preserve">A significant interaction also emerged between Interviewee Type and Game Part, </w:t>
      </w:r>
      <w:r w:rsidRPr="00451875">
        <w:rPr>
          <w:i/>
          <w:iCs/>
          <w:color w:val="000000" w:themeColor="text1"/>
          <w:lang w:val="en-US"/>
        </w:rPr>
        <w:t>F</w:t>
      </w:r>
      <w:r w:rsidRPr="00451875">
        <w:rPr>
          <w:color w:val="000000" w:themeColor="text1"/>
          <w:lang w:val="en-US"/>
        </w:rPr>
        <w:t xml:space="preserve">(3, 150) = 4.98, </w:t>
      </w:r>
      <w:r w:rsidRPr="00451875">
        <w:rPr>
          <w:i/>
          <w:iCs/>
          <w:color w:val="000000" w:themeColor="text1"/>
          <w:lang w:val="en-US"/>
        </w:rPr>
        <w:t>p</w:t>
      </w:r>
      <w:r w:rsidRPr="00451875">
        <w:rPr>
          <w:color w:val="000000" w:themeColor="text1"/>
          <w:lang w:val="en-US"/>
        </w:rPr>
        <w:t xml:space="preserve"> = .011, </w:t>
      </w:r>
      <w:r w:rsidRPr="00451875">
        <w:t xml:space="preserve">ηp² = 0.09, with the pattern of descriptive data again supporting H4 </w:t>
      </w:r>
      <w:r w:rsidRPr="00451875">
        <w:rPr>
          <w:color w:val="000000" w:themeColor="text1"/>
        </w:rPr>
        <w:t>(see Figure 2)</w:t>
      </w:r>
      <w:r w:rsidRPr="00451875">
        <w:t xml:space="preserve">. </w:t>
      </w:r>
      <w:r w:rsidRPr="00451875">
        <w:rPr>
          <w:color w:val="000000" w:themeColor="text1"/>
          <w:lang w:val="en-US"/>
        </w:rPr>
        <w:t xml:space="preserve">Two repeated-measures ANOVAs were conducted to investigate the interaction between Interviewee Type and Game Part, with data split by Interviewee Type. For insiders, there was no significant simple main effect of Game Part for the frequency of use of negative emotion words, </w:t>
      </w:r>
      <w:r w:rsidRPr="00451875">
        <w:rPr>
          <w:i/>
          <w:iCs/>
          <w:color w:val="000000" w:themeColor="text1"/>
          <w:lang w:val="en-US"/>
        </w:rPr>
        <w:t>F</w:t>
      </w:r>
      <w:r w:rsidRPr="00451875">
        <w:rPr>
          <w:color w:val="000000" w:themeColor="text1"/>
          <w:lang w:val="en-US"/>
        </w:rPr>
        <w:t xml:space="preserve">(3, 24) = 2.59, </w:t>
      </w:r>
      <w:r w:rsidRPr="00451875">
        <w:rPr>
          <w:i/>
          <w:iCs/>
          <w:color w:val="000000" w:themeColor="text1"/>
          <w:lang w:val="en-US"/>
        </w:rPr>
        <w:t>p</w:t>
      </w:r>
      <w:r w:rsidRPr="00451875">
        <w:rPr>
          <w:color w:val="000000" w:themeColor="text1"/>
          <w:lang w:val="en-US"/>
        </w:rPr>
        <w:t xml:space="preserve"> = .141, </w:t>
      </w:r>
      <w:r w:rsidRPr="00451875">
        <w:t>ηp² = 0.24. Likewise, the</w:t>
      </w:r>
      <w:r w:rsidRPr="00451875">
        <w:rPr>
          <w:color w:val="000000" w:themeColor="text1"/>
          <w:lang w:val="en-US"/>
        </w:rPr>
        <w:t xml:space="preserve"> simple main effect for non-insiders was not significant, </w:t>
      </w:r>
      <w:r w:rsidRPr="00451875">
        <w:rPr>
          <w:i/>
          <w:iCs/>
          <w:color w:val="000000" w:themeColor="text1"/>
          <w:lang w:val="en-US"/>
        </w:rPr>
        <w:t>F</w:t>
      </w:r>
      <w:r w:rsidRPr="00451875">
        <w:rPr>
          <w:color w:val="000000" w:themeColor="text1"/>
          <w:lang w:val="en-US"/>
        </w:rPr>
        <w:t xml:space="preserve">(3, 126) = 2.64, </w:t>
      </w:r>
      <w:r w:rsidRPr="00451875">
        <w:rPr>
          <w:i/>
          <w:iCs/>
          <w:color w:val="000000" w:themeColor="text1"/>
          <w:lang w:val="en-US"/>
        </w:rPr>
        <w:t>p</w:t>
      </w:r>
      <w:r w:rsidRPr="00451875">
        <w:rPr>
          <w:color w:val="000000" w:themeColor="text1"/>
          <w:lang w:val="en-US"/>
        </w:rPr>
        <w:t xml:space="preserve"> = .063, </w:t>
      </w:r>
      <w:r w:rsidRPr="00451875">
        <w:t xml:space="preserve">ηp² = 0.06. </w:t>
      </w:r>
      <w:r w:rsidRPr="00451875">
        <w:rPr>
          <w:color w:val="000000" w:themeColor="text1"/>
        </w:rPr>
        <w:t xml:space="preserve">To explore further the basis of the significant interaction, we conducted independent samples t-tests with a Bonferroni correction (corrected alpha = .0125). There was no significant difference in the number of times negative emotion words were used </w:t>
      </w:r>
      <w:r w:rsidRPr="00451875">
        <w:rPr>
          <w:color w:val="000000" w:themeColor="text1"/>
        </w:rPr>
        <w:lastRenderedPageBreak/>
        <w:t xml:space="preserve">by interviewees when referring to Part 1, </w:t>
      </w:r>
      <w:r w:rsidRPr="00451875">
        <w:rPr>
          <w:i/>
          <w:iCs/>
          <w:color w:val="000000" w:themeColor="text1"/>
        </w:rPr>
        <w:t>t</w:t>
      </w:r>
      <w:r w:rsidRPr="00451875">
        <w:rPr>
          <w:color w:val="000000" w:themeColor="text1"/>
        </w:rPr>
        <w:t xml:space="preserve">(50) = 0.47, </w:t>
      </w:r>
      <w:r w:rsidRPr="00451875">
        <w:rPr>
          <w:i/>
          <w:iCs/>
          <w:color w:val="000000" w:themeColor="text1"/>
        </w:rPr>
        <w:t>p</w:t>
      </w:r>
      <w:r w:rsidRPr="00451875">
        <w:rPr>
          <w:color w:val="000000" w:themeColor="text1"/>
        </w:rPr>
        <w:t xml:space="preserve"> = 0.321, or Part 2 of the game, </w:t>
      </w:r>
      <w:r w:rsidRPr="00451875">
        <w:rPr>
          <w:i/>
          <w:iCs/>
          <w:color w:val="000000" w:themeColor="text1"/>
        </w:rPr>
        <w:t>t</w:t>
      </w:r>
      <w:r w:rsidRPr="00451875">
        <w:rPr>
          <w:color w:val="000000" w:themeColor="text1"/>
        </w:rPr>
        <w:t xml:space="preserve">(50) = 0.27, </w:t>
      </w:r>
      <w:r w:rsidRPr="00451875">
        <w:rPr>
          <w:i/>
          <w:iCs/>
          <w:color w:val="000000" w:themeColor="text1"/>
        </w:rPr>
        <w:t>p</w:t>
      </w:r>
      <w:r w:rsidRPr="00451875">
        <w:rPr>
          <w:color w:val="000000" w:themeColor="text1"/>
        </w:rPr>
        <w:t xml:space="preserve"> = .393. However, when referring to Parts 3 and 4, insiders used significantly more negative emotion words than non-insiders, thereby supporting H4: Part 3, </w:t>
      </w:r>
      <w:r w:rsidRPr="00451875">
        <w:rPr>
          <w:i/>
          <w:iCs/>
          <w:color w:val="000000" w:themeColor="text1"/>
        </w:rPr>
        <w:t>t</w:t>
      </w:r>
      <w:r w:rsidRPr="00451875">
        <w:rPr>
          <w:color w:val="000000" w:themeColor="text1"/>
        </w:rPr>
        <w:t xml:space="preserve">(50) = -2.34, </w:t>
      </w:r>
      <w:r w:rsidRPr="00451875">
        <w:rPr>
          <w:i/>
          <w:iCs/>
          <w:color w:val="000000" w:themeColor="text1"/>
        </w:rPr>
        <w:t>p</w:t>
      </w:r>
      <w:r w:rsidRPr="00451875">
        <w:rPr>
          <w:color w:val="000000" w:themeColor="text1"/>
        </w:rPr>
        <w:t xml:space="preserve"> = .012; Part 4, </w:t>
      </w:r>
      <w:r w:rsidRPr="00451875">
        <w:rPr>
          <w:i/>
          <w:iCs/>
          <w:color w:val="000000" w:themeColor="text1"/>
        </w:rPr>
        <w:t>t</w:t>
      </w:r>
      <w:r w:rsidRPr="00451875">
        <w:rPr>
          <w:color w:val="000000" w:themeColor="text1"/>
        </w:rPr>
        <w:t xml:space="preserve">(50) = -2.73, </w:t>
      </w:r>
      <w:r w:rsidRPr="00451875">
        <w:rPr>
          <w:i/>
          <w:iCs/>
          <w:color w:val="000000" w:themeColor="text1"/>
        </w:rPr>
        <w:t>p</w:t>
      </w:r>
      <w:r w:rsidRPr="00451875">
        <w:rPr>
          <w:color w:val="000000" w:themeColor="text1"/>
        </w:rPr>
        <w:t xml:space="preserve"> = .004.</w:t>
      </w:r>
    </w:p>
    <w:p w14:paraId="28EBB45E" w14:textId="77777777" w:rsidR="000048BD" w:rsidRPr="00451875" w:rsidRDefault="000048BD" w:rsidP="000048BD">
      <w:pPr>
        <w:spacing w:after="240" w:line="276" w:lineRule="auto"/>
        <w:jc w:val="both"/>
        <w:rPr>
          <w:b/>
          <w:bCs/>
          <w:i/>
          <w:iCs/>
          <w:color w:val="000000" w:themeColor="text1"/>
        </w:rPr>
      </w:pPr>
      <w:r w:rsidRPr="00451875">
        <w:rPr>
          <w:b/>
          <w:bCs/>
          <w:i/>
          <w:iCs/>
          <w:color w:val="000000" w:themeColor="text1"/>
        </w:rPr>
        <w:t xml:space="preserve">Words Relating to Cognitive Processes </w:t>
      </w:r>
    </w:p>
    <w:p w14:paraId="75734F44" w14:textId="77777777" w:rsidR="000048BD" w:rsidRPr="00451875" w:rsidRDefault="000048BD" w:rsidP="000048BD">
      <w:pPr>
        <w:ind w:firstLine="720"/>
        <w:jc w:val="both"/>
      </w:pPr>
      <w:r w:rsidRPr="00451875">
        <w:rPr>
          <w:lang w:val="en-US"/>
        </w:rPr>
        <w:t xml:space="preserve">To test H3, that </w:t>
      </w:r>
      <w:r w:rsidRPr="00451875">
        <w:rPr>
          <w:color w:val="000000" w:themeColor="text1"/>
        </w:rPr>
        <w:t xml:space="preserve">insiders will use a significantly greater frequency of words relating to cognitive processes than non-insiders, </w:t>
      </w:r>
      <w:r w:rsidRPr="00451875">
        <w:rPr>
          <w:lang w:val="en-US"/>
        </w:rPr>
        <w:t xml:space="preserve">as well as H4, a 2 x 4 mixed design ANOVA was conducted, with Interviewee Type (insider vs. non-insider) as the between-participants factor and Game Part (Part 1, Part 2, Part 3, Part 4) as the within-participants factor. This revealed no significant main effect of Interviewee Type on the number of times words related to cognitive processing were used by interviewees, </w:t>
      </w:r>
      <w:r w:rsidRPr="00451875">
        <w:rPr>
          <w:i/>
          <w:iCs/>
          <w:color w:val="000000" w:themeColor="text1"/>
          <w:lang w:val="en-US"/>
        </w:rPr>
        <w:t>F</w:t>
      </w:r>
      <w:r w:rsidRPr="00451875">
        <w:rPr>
          <w:color w:val="000000" w:themeColor="text1"/>
          <w:lang w:val="en-US"/>
        </w:rPr>
        <w:t xml:space="preserve">(1, 50) = 1.28, </w:t>
      </w:r>
      <w:r w:rsidRPr="00451875">
        <w:rPr>
          <w:i/>
          <w:iCs/>
          <w:color w:val="000000" w:themeColor="text1"/>
          <w:lang w:val="en-US"/>
        </w:rPr>
        <w:t>p</w:t>
      </w:r>
      <w:r w:rsidRPr="00451875">
        <w:rPr>
          <w:color w:val="000000" w:themeColor="text1"/>
          <w:lang w:val="en-US"/>
        </w:rPr>
        <w:t xml:space="preserve"> = .263, </w:t>
      </w:r>
      <w:r w:rsidRPr="00451875">
        <w:t>ηp² = 0.03. However, the main effect of Game Part was not significant</w:t>
      </w:r>
      <w:r w:rsidRPr="00451875">
        <w:rPr>
          <w:lang w:val="en-US"/>
        </w:rPr>
        <w:t xml:space="preserve">, </w:t>
      </w:r>
      <w:r w:rsidRPr="00451875">
        <w:rPr>
          <w:i/>
          <w:iCs/>
          <w:color w:val="000000" w:themeColor="text1"/>
          <w:lang w:val="en-US"/>
        </w:rPr>
        <w:t>F</w:t>
      </w:r>
      <w:r w:rsidRPr="00451875">
        <w:rPr>
          <w:color w:val="000000" w:themeColor="text1"/>
          <w:lang w:val="en-US"/>
        </w:rPr>
        <w:t xml:space="preserve">(3, 150) = 13.21, </w:t>
      </w:r>
      <w:r w:rsidRPr="00451875">
        <w:rPr>
          <w:i/>
          <w:iCs/>
          <w:color w:val="000000" w:themeColor="text1"/>
          <w:lang w:val="en-US"/>
        </w:rPr>
        <w:t>p</w:t>
      </w:r>
      <w:r w:rsidRPr="00451875">
        <w:rPr>
          <w:color w:val="000000" w:themeColor="text1"/>
          <w:lang w:val="en-US"/>
        </w:rPr>
        <w:t xml:space="preserve"> &lt; .001, </w:t>
      </w:r>
      <w:r w:rsidRPr="00451875">
        <w:t>ηp² = 0.21.</w:t>
      </w:r>
    </w:p>
    <w:p w14:paraId="63B4CABA" w14:textId="77777777" w:rsidR="000048BD" w:rsidRPr="00451875" w:rsidRDefault="000048BD" w:rsidP="000048BD">
      <w:pPr>
        <w:ind w:firstLine="720"/>
        <w:jc w:val="both"/>
        <w:rPr>
          <w:b/>
          <w:bCs/>
          <w:lang w:val="en-US"/>
        </w:rPr>
      </w:pPr>
      <w:r w:rsidRPr="00451875">
        <w:t xml:space="preserve">A significant interaction also emerged between Interviewee Type and Game Part, </w:t>
      </w:r>
      <w:r w:rsidRPr="00451875">
        <w:rPr>
          <w:i/>
          <w:iCs/>
          <w:color w:val="000000" w:themeColor="text1"/>
          <w:lang w:val="en-US"/>
        </w:rPr>
        <w:t>F</w:t>
      </w:r>
      <w:r w:rsidRPr="00451875">
        <w:rPr>
          <w:color w:val="000000" w:themeColor="text1"/>
          <w:lang w:val="en-US"/>
        </w:rPr>
        <w:t xml:space="preserve">(3, 150) = 6.91, </w:t>
      </w:r>
      <w:r w:rsidRPr="00451875">
        <w:rPr>
          <w:i/>
          <w:iCs/>
          <w:color w:val="000000" w:themeColor="text1"/>
          <w:lang w:val="en-US"/>
        </w:rPr>
        <w:t>p</w:t>
      </w:r>
      <w:r w:rsidRPr="00451875">
        <w:rPr>
          <w:color w:val="000000" w:themeColor="text1"/>
          <w:lang w:val="en-US"/>
        </w:rPr>
        <w:t xml:space="preserve"> &lt; .001, </w:t>
      </w:r>
      <w:r w:rsidRPr="00451875">
        <w:t xml:space="preserve">ηp² = 0.12. The pattern of data (Figure 3) provides some support for H4, in that the use of words referring to cognitive processing was heightened for insiders relative to non-insiders from Part 2 of the game onward, that is, from the first point at which insiders were tasked with engaging in insider activity. </w:t>
      </w:r>
      <w:r w:rsidRPr="00451875">
        <w:rPr>
          <w:color w:val="000000" w:themeColor="text1"/>
          <w:lang w:val="en-US"/>
        </w:rPr>
        <w:t xml:space="preserve">Two repeated measures ANOVAs were conducted to investigate the interaction between Interviewee Type and Game Part, with data split by Interviewee Type. For insiders, there was a significant simple main effect of Game Part on the number of times cognitive processing words were used, </w:t>
      </w:r>
      <w:r w:rsidRPr="00451875">
        <w:rPr>
          <w:i/>
          <w:iCs/>
          <w:color w:val="000000" w:themeColor="text1"/>
          <w:lang w:val="en-US"/>
        </w:rPr>
        <w:t>F</w:t>
      </w:r>
      <w:r w:rsidRPr="00451875">
        <w:rPr>
          <w:color w:val="000000" w:themeColor="text1"/>
          <w:lang w:val="en-US"/>
        </w:rPr>
        <w:t xml:space="preserve">(3, 24) = 8.20, </w:t>
      </w:r>
      <w:r w:rsidRPr="00451875">
        <w:rPr>
          <w:i/>
          <w:iCs/>
          <w:color w:val="000000" w:themeColor="text1"/>
          <w:lang w:val="en-US"/>
        </w:rPr>
        <w:t>p</w:t>
      </w:r>
      <w:r w:rsidRPr="00451875">
        <w:rPr>
          <w:color w:val="000000" w:themeColor="text1"/>
          <w:lang w:val="en-US"/>
        </w:rPr>
        <w:t xml:space="preserve"> = .004, </w:t>
      </w:r>
      <w:r w:rsidRPr="00451875">
        <w:t xml:space="preserve">ηp² = 0.51. For non-insiders, the simple </w:t>
      </w:r>
      <w:r w:rsidRPr="00451875">
        <w:rPr>
          <w:color w:val="000000" w:themeColor="text1"/>
          <w:lang w:val="en-US"/>
        </w:rPr>
        <w:t xml:space="preserve">main effect of Game Part was not significant, </w:t>
      </w:r>
      <w:r w:rsidRPr="00451875">
        <w:rPr>
          <w:i/>
          <w:iCs/>
          <w:color w:val="000000" w:themeColor="text1"/>
          <w:lang w:val="en-US"/>
        </w:rPr>
        <w:t>F</w:t>
      </w:r>
      <w:r w:rsidRPr="00451875">
        <w:rPr>
          <w:color w:val="000000" w:themeColor="text1"/>
          <w:lang w:val="en-US"/>
        </w:rPr>
        <w:t xml:space="preserve">(3, 126) = 2.40, </w:t>
      </w:r>
      <w:r w:rsidRPr="00451875">
        <w:rPr>
          <w:i/>
          <w:iCs/>
          <w:color w:val="000000" w:themeColor="text1"/>
          <w:lang w:val="en-US"/>
        </w:rPr>
        <w:t>p</w:t>
      </w:r>
      <w:r w:rsidRPr="00451875">
        <w:rPr>
          <w:color w:val="000000" w:themeColor="text1"/>
          <w:lang w:val="en-US"/>
        </w:rPr>
        <w:t xml:space="preserve"> = .071, </w:t>
      </w:r>
      <w:r w:rsidRPr="00451875">
        <w:t>ηp² = 0.05.</w:t>
      </w:r>
    </w:p>
    <w:p w14:paraId="29D2387C" w14:textId="77777777" w:rsidR="000048BD" w:rsidRPr="00451875" w:rsidRDefault="000048BD" w:rsidP="000048BD">
      <w:pPr>
        <w:ind w:firstLine="720"/>
        <w:jc w:val="both"/>
        <w:rPr>
          <w:color w:val="000000" w:themeColor="text1"/>
          <w:lang w:val="en-US"/>
        </w:rPr>
      </w:pPr>
      <w:r w:rsidRPr="00451875">
        <w:rPr>
          <w:color w:val="000000" w:themeColor="text1"/>
          <w:lang w:val="en-US"/>
        </w:rPr>
        <w:t xml:space="preserve">To further understand the simple main effect of Game Part on insiders’ use of words relating to cognitive processing, we conducted six paired-samples t-tests with a </w:t>
      </w:r>
      <w:r w:rsidRPr="00451875">
        <w:rPr>
          <w:color w:val="000000" w:themeColor="text1"/>
          <w:lang w:val="en-US"/>
        </w:rPr>
        <w:lastRenderedPageBreak/>
        <w:t xml:space="preserve">Bonferroni correction (corrected alpha = .008). Results revealed a significant difference in the number of times cognitive processing words were used by insiders when referring to Part 1 versus Part 2 of the game, </w:t>
      </w:r>
      <w:r w:rsidRPr="00451875">
        <w:rPr>
          <w:i/>
          <w:iCs/>
          <w:color w:val="000000" w:themeColor="text1"/>
        </w:rPr>
        <w:t>t</w:t>
      </w:r>
      <w:r w:rsidRPr="00451875">
        <w:rPr>
          <w:color w:val="000000" w:themeColor="text1"/>
        </w:rPr>
        <w:t xml:space="preserve">(8) = -4.75, </w:t>
      </w:r>
      <w:r w:rsidRPr="00451875">
        <w:rPr>
          <w:i/>
          <w:iCs/>
          <w:color w:val="000000" w:themeColor="text1"/>
        </w:rPr>
        <w:t>p</w:t>
      </w:r>
      <w:r w:rsidRPr="00451875">
        <w:rPr>
          <w:color w:val="000000" w:themeColor="text1"/>
        </w:rPr>
        <w:t xml:space="preserve"> &lt; .001, with insiders who were talking about Part 1 (</w:t>
      </w:r>
      <w:r w:rsidRPr="00451875">
        <w:rPr>
          <w:i/>
          <w:iCs/>
          <w:color w:val="000000" w:themeColor="text1"/>
        </w:rPr>
        <w:t>M =</w:t>
      </w:r>
      <w:r w:rsidRPr="00451875">
        <w:rPr>
          <w:color w:val="000000" w:themeColor="text1"/>
        </w:rPr>
        <w:t xml:space="preserve"> 12.10, </w:t>
      </w:r>
      <w:r w:rsidRPr="00451875">
        <w:rPr>
          <w:i/>
          <w:iCs/>
          <w:color w:val="000000" w:themeColor="text1"/>
        </w:rPr>
        <w:t xml:space="preserve">SD </w:t>
      </w:r>
      <w:r w:rsidRPr="00451875">
        <w:rPr>
          <w:color w:val="000000" w:themeColor="text1"/>
        </w:rPr>
        <w:t xml:space="preserve">= 3.18) using words relating to cognitive processing less than when they were talking about Part 2 </w:t>
      </w:r>
      <w:r w:rsidRPr="00451875">
        <w:rPr>
          <w:i/>
          <w:iCs/>
          <w:color w:val="000000" w:themeColor="text1"/>
        </w:rPr>
        <w:t xml:space="preserve">(M </w:t>
      </w:r>
      <w:r w:rsidRPr="00451875">
        <w:rPr>
          <w:color w:val="000000" w:themeColor="text1"/>
        </w:rPr>
        <w:t xml:space="preserve">= 19.49, </w:t>
      </w:r>
      <w:r w:rsidRPr="00451875">
        <w:rPr>
          <w:i/>
          <w:iCs/>
          <w:color w:val="000000" w:themeColor="text1"/>
        </w:rPr>
        <w:t xml:space="preserve">SD </w:t>
      </w:r>
      <w:r w:rsidRPr="00451875">
        <w:rPr>
          <w:color w:val="000000" w:themeColor="text1"/>
        </w:rPr>
        <w:t>= 6.92).</w:t>
      </w:r>
      <w:r w:rsidRPr="00451875">
        <w:rPr>
          <w:color w:val="000000" w:themeColor="text1"/>
          <w:lang w:val="en-US"/>
        </w:rPr>
        <w:t xml:space="preserve"> Similarly, significant differences were also found between Part 1 and Part 3 </w:t>
      </w:r>
      <w:r w:rsidRPr="00451875">
        <w:rPr>
          <w:color w:val="000000" w:themeColor="text1"/>
        </w:rPr>
        <w:t>(</w:t>
      </w:r>
      <w:r w:rsidRPr="00451875">
        <w:rPr>
          <w:i/>
          <w:iCs/>
          <w:color w:val="000000" w:themeColor="text1"/>
        </w:rPr>
        <w:t>M =</w:t>
      </w:r>
      <w:r w:rsidRPr="00451875">
        <w:rPr>
          <w:color w:val="000000" w:themeColor="text1"/>
        </w:rPr>
        <w:t xml:space="preserve"> 19.89, </w:t>
      </w:r>
      <w:r w:rsidRPr="00451875">
        <w:rPr>
          <w:i/>
          <w:iCs/>
          <w:color w:val="000000" w:themeColor="text1"/>
        </w:rPr>
        <w:t xml:space="preserve">SD </w:t>
      </w:r>
      <w:r w:rsidRPr="00451875">
        <w:rPr>
          <w:color w:val="000000" w:themeColor="text1"/>
        </w:rPr>
        <w:t>= 5.58)</w:t>
      </w:r>
      <w:r w:rsidRPr="00451875">
        <w:rPr>
          <w:color w:val="000000" w:themeColor="text1"/>
          <w:lang w:val="en-US"/>
        </w:rPr>
        <w:t xml:space="preserve">, </w:t>
      </w:r>
      <w:r w:rsidRPr="00451875">
        <w:rPr>
          <w:i/>
          <w:iCs/>
          <w:color w:val="000000" w:themeColor="text1"/>
        </w:rPr>
        <w:t>t</w:t>
      </w:r>
      <w:r w:rsidRPr="00451875">
        <w:rPr>
          <w:color w:val="000000" w:themeColor="text1"/>
        </w:rPr>
        <w:t xml:space="preserve">(8) = -4.33, </w:t>
      </w:r>
      <w:r w:rsidRPr="00451875">
        <w:rPr>
          <w:i/>
          <w:iCs/>
          <w:color w:val="000000" w:themeColor="text1"/>
        </w:rPr>
        <w:t>p</w:t>
      </w:r>
      <w:r w:rsidRPr="00451875">
        <w:rPr>
          <w:color w:val="000000" w:themeColor="text1"/>
        </w:rPr>
        <w:t xml:space="preserve"> = .002, and between </w:t>
      </w:r>
      <w:r w:rsidRPr="00451875">
        <w:rPr>
          <w:color w:val="000000" w:themeColor="text1"/>
          <w:lang w:val="en-US"/>
        </w:rPr>
        <w:t>Part 1 and Part 4 (</w:t>
      </w:r>
      <w:r w:rsidRPr="00451875">
        <w:rPr>
          <w:i/>
          <w:iCs/>
          <w:color w:val="000000" w:themeColor="text1"/>
        </w:rPr>
        <w:t>M =</w:t>
      </w:r>
      <w:r w:rsidRPr="00451875">
        <w:rPr>
          <w:color w:val="000000" w:themeColor="text1"/>
        </w:rPr>
        <w:t xml:space="preserve"> 19.95, </w:t>
      </w:r>
      <w:r w:rsidRPr="00451875">
        <w:rPr>
          <w:i/>
          <w:iCs/>
          <w:color w:val="000000" w:themeColor="text1"/>
        </w:rPr>
        <w:t xml:space="preserve">SD = </w:t>
      </w:r>
      <w:r w:rsidRPr="00451875">
        <w:rPr>
          <w:color w:val="000000" w:themeColor="text1"/>
        </w:rPr>
        <w:t>3.29</w:t>
      </w:r>
      <w:r w:rsidRPr="00451875">
        <w:rPr>
          <w:color w:val="000000" w:themeColor="text1"/>
          <w:lang w:val="en-US"/>
        </w:rPr>
        <w:t xml:space="preserve">), </w:t>
      </w:r>
      <w:r w:rsidRPr="00451875">
        <w:rPr>
          <w:i/>
          <w:iCs/>
          <w:color w:val="000000" w:themeColor="text1"/>
        </w:rPr>
        <w:t>t</w:t>
      </w:r>
      <w:r w:rsidRPr="00451875">
        <w:rPr>
          <w:color w:val="000000" w:themeColor="text1"/>
        </w:rPr>
        <w:t xml:space="preserve">(8) = -6.56, </w:t>
      </w:r>
      <w:r w:rsidRPr="00451875">
        <w:rPr>
          <w:i/>
          <w:iCs/>
          <w:color w:val="000000" w:themeColor="text1"/>
        </w:rPr>
        <w:t>p</w:t>
      </w:r>
      <w:r w:rsidRPr="00451875">
        <w:rPr>
          <w:color w:val="000000" w:themeColor="text1"/>
        </w:rPr>
        <w:t xml:space="preserve"> &lt; .001. However, paired-samples t-tests revealed</w:t>
      </w:r>
      <w:r w:rsidRPr="00451875">
        <w:rPr>
          <w:color w:val="000000" w:themeColor="text1"/>
          <w:lang w:val="en-US"/>
        </w:rPr>
        <w:t xml:space="preserve"> no significant difference between Part 2 and Part 3</w:t>
      </w:r>
      <w:r w:rsidRPr="00451875">
        <w:rPr>
          <w:i/>
          <w:iCs/>
          <w:color w:val="000000" w:themeColor="text1"/>
          <w:lang w:val="en-US"/>
        </w:rPr>
        <w:t xml:space="preserve">, </w:t>
      </w:r>
      <w:r w:rsidRPr="00451875">
        <w:rPr>
          <w:i/>
          <w:iCs/>
          <w:color w:val="000000" w:themeColor="text1"/>
        </w:rPr>
        <w:t>t</w:t>
      </w:r>
      <w:r w:rsidRPr="00451875">
        <w:rPr>
          <w:color w:val="000000" w:themeColor="text1"/>
        </w:rPr>
        <w:t xml:space="preserve">(8) = -0.21, </w:t>
      </w:r>
      <w:r w:rsidRPr="00451875">
        <w:rPr>
          <w:i/>
          <w:iCs/>
          <w:color w:val="000000" w:themeColor="text1"/>
        </w:rPr>
        <w:t>p</w:t>
      </w:r>
      <w:r w:rsidRPr="00451875">
        <w:rPr>
          <w:color w:val="000000" w:themeColor="text1"/>
        </w:rPr>
        <w:t xml:space="preserve"> = .841, between </w:t>
      </w:r>
      <w:r w:rsidRPr="00451875">
        <w:rPr>
          <w:color w:val="000000" w:themeColor="text1"/>
          <w:lang w:val="en-US"/>
        </w:rPr>
        <w:t xml:space="preserve">Part 2 and Part 4, </w:t>
      </w:r>
      <w:r w:rsidRPr="00451875">
        <w:rPr>
          <w:i/>
          <w:iCs/>
          <w:color w:val="000000" w:themeColor="text1"/>
        </w:rPr>
        <w:t>t</w:t>
      </w:r>
      <w:r w:rsidRPr="00451875">
        <w:rPr>
          <w:color w:val="000000" w:themeColor="text1"/>
        </w:rPr>
        <w:t xml:space="preserve">(8) = -0.18, </w:t>
      </w:r>
      <w:r w:rsidRPr="00451875">
        <w:rPr>
          <w:i/>
          <w:iCs/>
          <w:color w:val="000000" w:themeColor="text1"/>
        </w:rPr>
        <w:t>p</w:t>
      </w:r>
      <w:r w:rsidRPr="00451875">
        <w:rPr>
          <w:color w:val="000000" w:themeColor="text1"/>
        </w:rPr>
        <w:t xml:space="preserve"> = .861, or</w:t>
      </w:r>
      <w:r w:rsidRPr="00451875">
        <w:rPr>
          <w:color w:val="000000" w:themeColor="text1"/>
          <w:lang w:val="en-US"/>
        </w:rPr>
        <w:t xml:space="preserve"> between Part 3 and Part 4, </w:t>
      </w:r>
      <w:r w:rsidRPr="00451875">
        <w:rPr>
          <w:i/>
          <w:iCs/>
          <w:color w:val="000000" w:themeColor="text1"/>
        </w:rPr>
        <w:t>t</w:t>
      </w:r>
      <w:r w:rsidRPr="00451875">
        <w:rPr>
          <w:color w:val="000000" w:themeColor="text1"/>
        </w:rPr>
        <w:t xml:space="preserve">(8) = -0.03, </w:t>
      </w:r>
      <w:r w:rsidRPr="00451875">
        <w:rPr>
          <w:i/>
          <w:iCs/>
          <w:color w:val="000000" w:themeColor="text1"/>
        </w:rPr>
        <w:t>p</w:t>
      </w:r>
      <w:r w:rsidRPr="00451875">
        <w:rPr>
          <w:color w:val="000000" w:themeColor="text1"/>
        </w:rPr>
        <w:t xml:space="preserve"> = .981. </w:t>
      </w:r>
    </w:p>
    <w:p w14:paraId="00CDAAA4" w14:textId="77777777" w:rsidR="000048BD" w:rsidRPr="00451875" w:rsidRDefault="000048BD" w:rsidP="000048BD">
      <w:pPr>
        <w:ind w:firstLine="720"/>
        <w:jc w:val="both"/>
        <w:rPr>
          <w:color w:val="000000" w:themeColor="text1"/>
          <w:lang w:val="en-US"/>
        </w:rPr>
      </w:pPr>
      <w:r w:rsidRPr="00451875">
        <w:rPr>
          <w:color w:val="000000" w:themeColor="text1"/>
        </w:rPr>
        <w:t xml:space="preserve">To unpack fully the interaction between </w:t>
      </w:r>
      <w:r w:rsidRPr="00451875">
        <w:t xml:space="preserve">Interviewee Type and Game Part, </w:t>
      </w:r>
      <w:r w:rsidRPr="00451875">
        <w:rPr>
          <w:color w:val="000000" w:themeColor="text1"/>
        </w:rPr>
        <w:t xml:space="preserve">four independent samples t-tests with a Bonferroni correction (corrected alpha = .0125) were conducted to compare the use of words relating to cognitive processing by insiders and non-insiders when referring to each Game Part. There was no significant difference in the number of times cognitive processing words were used by insiders and non-insiders when talking about Part 1 of the game, </w:t>
      </w:r>
      <w:r w:rsidRPr="00451875">
        <w:rPr>
          <w:i/>
          <w:iCs/>
          <w:color w:val="000000" w:themeColor="text1"/>
        </w:rPr>
        <w:t>t</w:t>
      </w:r>
      <w:r w:rsidRPr="00451875">
        <w:rPr>
          <w:color w:val="000000" w:themeColor="text1"/>
        </w:rPr>
        <w:t xml:space="preserve">(50) = 1.07, </w:t>
      </w:r>
      <w:r w:rsidRPr="00451875">
        <w:rPr>
          <w:i/>
          <w:iCs/>
          <w:color w:val="000000" w:themeColor="text1"/>
        </w:rPr>
        <w:t>p</w:t>
      </w:r>
      <w:r w:rsidRPr="00451875">
        <w:rPr>
          <w:color w:val="000000" w:themeColor="text1"/>
        </w:rPr>
        <w:t xml:space="preserve"> = .146. However, significant differences between insiders and non-insiders were observed in relation to Part 2, </w:t>
      </w:r>
      <w:r w:rsidRPr="00451875">
        <w:rPr>
          <w:i/>
          <w:iCs/>
          <w:color w:val="000000" w:themeColor="text1"/>
        </w:rPr>
        <w:t>t</w:t>
      </w:r>
      <w:r w:rsidRPr="00451875">
        <w:rPr>
          <w:color w:val="000000" w:themeColor="text1"/>
        </w:rPr>
        <w:t xml:space="preserve">(50) = -3.14, </w:t>
      </w:r>
      <w:r w:rsidRPr="00451875">
        <w:rPr>
          <w:i/>
          <w:iCs/>
          <w:color w:val="000000" w:themeColor="text1"/>
        </w:rPr>
        <w:t>p</w:t>
      </w:r>
      <w:r w:rsidRPr="00451875">
        <w:rPr>
          <w:color w:val="000000" w:themeColor="text1"/>
        </w:rPr>
        <w:t xml:space="preserve"> = .001, Part 3, </w:t>
      </w:r>
      <w:r w:rsidRPr="00451875">
        <w:rPr>
          <w:i/>
          <w:iCs/>
          <w:color w:val="000000" w:themeColor="text1"/>
        </w:rPr>
        <w:t>t</w:t>
      </w:r>
      <w:r w:rsidRPr="00451875">
        <w:rPr>
          <w:color w:val="000000" w:themeColor="text1"/>
        </w:rPr>
        <w:t xml:space="preserve">(50) = -3.71, </w:t>
      </w:r>
      <w:r w:rsidRPr="00451875">
        <w:rPr>
          <w:i/>
          <w:iCs/>
          <w:color w:val="000000" w:themeColor="text1"/>
        </w:rPr>
        <w:t>p</w:t>
      </w:r>
      <w:r w:rsidRPr="00451875">
        <w:rPr>
          <w:color w:val="000000" w:themeColor="text1"/>
        </w:rPr>
        <w:t xml:space="preserve"> &lt; .001, and Part 4, </w:t>
      </w:r>
      <w:r w:rsidRPr="00451875">
        <w:rPr>
          <w:i/>
          <w:iCs/>
          <w:color w:val="000000" w:themeColor="text1"/>
        </w:rPr>
        <w:t>t</w:t>
      </w:r>
      <w:r w:rsidRPr="00451875">
        <w:rPr>
          <w:color w:val="000000" w:themeColor="text1"/>
        </w:rPr>
        <w:t xml:space="preserve">(50) = -4.07, </w:t>
      </w:r>
      <w:r w:rsidRPr="00451875">
        <w:rPr>
          <w:i/>
          <w:iCs/>
          <w:color w:val="000000" w:themeColor="text1"/>
        </w:rPr>
        <w:t>p</w:t>
      </w:r>
      <w:r w:rsidRPr="00451875">
        <w:rPr>
          <w:color w:val="000000" w:themeColor="text1"/>
        </w:rPr>
        <w:t xml:space="preserve"> &lt; .001, with insiders (Part 2: </w:t>
      </w:r>
      <w:r w:rsidRPr="00451875">
        <w:rPr>
          <w:i/>
          <w:iCs/>
          <w:color w:val="000000" w:themeColor="text1"/>
        </w:rPr>
        <w:t>M =</w:t>
      </w:r>
      <w:r w:rsidRPr="00451875">
        <w:rPr>
          <w:color w:val="000000" w:themeColor="text1"/>
        </w:rPr>
        <w:t xml:space="preserve"> 19.49, </w:t>
      </w:r>
      <w:r w:rsidRPr="00451875">
        <w:rPr>
          <w:i/>
          <w:iCs/>
          <w:color w:val="000000" w:themeColor="text1"/>
        </w:rPr>
        <w:t>SD =</w:t>
      </w:r>
      <w:r w:rsidRPr="00451875">
        <w:rPr>
          <w:color w:val="000000" w:themeColor="text1"/>
        </w:rPr>
        <w:t xml:space="preserve"> 6.92; Part 3: </w:t>
      </w:r>
      <w:r w:rsidRPr="00451875">
        <w:rPr>
          <w:i/>
          <w:iCs/>
          <w:color w:val="000000" w:themeColor="text1"/>
        </w:rPr>
        <w:t>M =</w:t>
      </w:r>
      <w:r w:rsidRPr="00451875">
        <w:rPr>
          <w:color w:val="000000" w:themeColor="text1"/>
        </w:rPr>
        <w:t xml:space="preserve"> 19.89, </w:t>
      </w:r>
      <w:r w:rsidRPr="00451875">
        <w:rPr>
          <w:i/>
          <w:iCs/>
          <w:color w:val="000000" w:themeColor="text1"/>
        </w:rPr>
        <w:t>SD =</w:t>
      </w:r>
      <w:r w:rsidRPr="00451875">
        <w:rPr>
          <w:color w:val="000000" w:themeColor="text1"/>
        </w:rPr>
        <w:t xml:space="preserve"> 5.58; Part 4: </w:t>
      </w:r>
      <w:r w:rsidRPr="00451875">
        <w:rPr>
          <w:i/>
          <w:iCs/>
          <w:color w:val="000000" w:themeColor="text1"/>
        </w:rPr>
        <w:t>M =</w:t>
      </w:r>
      <w:r w:rsidRPr="00451875">
        <w:rPr>
          <w:color w:val="000000" w:themeColor="text1"/>
        </w:rPr>
        <w:t xml:space="preserve"> 19.95, </w:t>
      </w:r>
      <w:r w:rsidRPr="00451875">
        <w:rPr>
          <w:i/>
          <w:iCs/>
          <w:color w:val="000000" w:themeColor="text1"/>
        </w:rPr>
        <w:t>SD =</w:t>
      </w:r>
      <w:r w:rsidRPr="00451875">
        <w:rPr>
          <w:color w:val="000000" w:themeColor="text1"/>
        </w:rPr>
        <w:t xml:space="preserve"> 3.29) using words relating to cognitive processing more than non-insiders (Part 2: </w:t>
      </w:r>
      <w:r w:rsidRPr="00451875">
        <w:rPr>
          <w:i/>
          <w:iCs/>
          <w:color w:val="000000" w:themeColor="text1"/>
        </w:rPr>
        <w:t>M =</w:t>
      </w:r>
      <w:r w:rsidRPr="00451875">
        <w:rPr>
          <w:color w:val="000000" w:themeColor="text1"/>
        </w:rPr>
        <w:t xml:space="preserve"> 14.38, </w:t>
      </w:r>
      <w:r w:rsidRPr="00451875">
        <w:rPr>
          <w:i/>
          <w:iCs/>
          <w:color w:val="000000" w:themeColor="text1"/>
        </w:rPr>
        <w:t>SD =</w:t>
      </w:r>
      <w:r w:rsidRPr="00451875">
        <w:rPr>
          <w:color w:val="000000" w:themeColor="text1"/>
        </w:rPr>
        <w:t xml:space="preserve"> 3.79; Part 3: </w:t>
      </w:r>
      <w:r w:rsidRPr="00451875">
        <w:rPr>
          <w:i/>
          <w:iCs/>
          <w:color w:val="000000" w:themeColor="text1"/>
        </w:rPr>
        <w:t>M =</w:t>
      </w:r>
      <w:r w:rsidRPr="00451875">
        <w:rPr>
          <w:color w:val="000000" w:themeColor="text1"/>
        </w:rPr>
        <w:t xml:space="preserve"> 14.36, </w:t>
      </w:r>
      <w:r w:rsidRPr="00451875">
        <w:rPr>
          <w:i/>
          <w:iCs/>
          <w:color w:val="000000" w:themeColor="text1"/>
        </w:rPr>
        <w:t>SD =</w:t>
      </w:r>
      <w:r w:rsidRPr="00451875">
        <w:rPr>
          <w:color w:val="000000" w:themeColor="text1"/>
        </w:rPr>
        <w:t xml:space="preserve"> 3.72; Part 4: </w:t>
      </w:r>
      <w:r w:rsidRPr="00451875">
        <w:rPr>
          <w:i/>
          <w:iCs/>
          <w:color w:val="000000" w:themeColor="text1"/>
        </w:rPr>
        <w:t>M =</w:t>
      </w:r>
      <w:r w:rsidRPr="00451875">
        <w:rPr>
          <w:color w:val="000000" w:themeColor="text1"/>
        </w:rPr>
        <w:t xml:space="preserve"> 14.85, </w:t>
      </w:r>
      <w:r w:rsidRPr="00451875">
        <w:rPr>
          <w:i/>
          <w:iCs/>
          <w:color w:val="000000" w:themeColor="text1"/>
        </w:rPr>
        <w:t>SD =</w:t>
      </w:r>
      <w:r w:rsidRPr="00451875">
        <w:rPr>
          <w:color w:val="000000" w:themeColor="text1"/>
        </w:rPr>
        <w:t xml:space="preserve"> 3.44). </w:t>
      </w:r>
    </w:p>
    <w:p w14:paraId="6D1814E4" w14:textId="77777777" w:rsidR="000048BD" w:rsidRPr="00451875" w:rsidRDefault="000048BD" w:rsidP="000048BD">
      <w:pPr>
        <w:jc w:val="both"/>
        <w:rPr>
          <w:b/>
          <w:bCs/>
          <w:i/>
          <w:iCs/>
          <w:lang w:val="en-US"/>
        </w:rPr>
      </w:pPr>
      <w:r w:rsidRPr="00451875">
        <w:rPr>
          <w:b/>
          <w:bCs/>
          <w:i/>
          <w:iCs/>
          <w:lang w:val="en-US"/>
        </w:rPr>
        <w:t>Insider Language Index</w:t>
      </w:r>
    </w:p>
    <w:p w14:paraId="4FE65B53" w14:textId="77777777" w:rsidR="000048BD" w:rsidRPr="00451875" w:rsidRDefault="000048BD" w:rsidP="000048BD">
      <w:pPr>
        <w:ind w:firstLine="720"/>
        <w:jc w:val="both"/>
        <w:rPr>
          <w:lang w:val="en-US"/>
        </w:rPr>
      </w:pPr>
      <w:r w:rsidRPr="00451875">
        <w:rPr>
          <w:lang w:val="en-US"/>
        </w:rPr>
        <w:t xml:space="preserve">The findings that these three language categories (pronoun use, negative affect, and cognitive processing) can differentiate insiders from their non-insider counterparts, suggest that language analysis could offer a useful means of detecting insider activity. To </w:t>
      </w:r>
      <w:r w:rsidRPr="00451875">
        <w:rPr>
          <w:lang w:val="en-US"/>
        </w:rPr>
        <w:lastRenderedPageBreak/>
        <w:t xml:space="preserve">explore this idea, we created a composite measure to detect insider threat through language change, in the form of an Insider Language Index (ILI) for each participant for each Game Part. We did this by first calculating a standardized </w:t>
      </w:r>
      <w:r w:rsidRPr="00451875">
        <w:rPr>
          <w:i/>
          <w:iCs/>
          <w:lang w:val="en-US"/>
        </w:rPr>
        <w:t>Z</w:t>
      </w:r>
      <w:r w:rsidRPr="00451875">
        <w:rPr>
          <w:lang w:val="en-US"/>
        </w:rPr>
        <w:t>-score for each participant’s language measure in each category. Next, these scores were aggregated into a composite ILI for each participant at each Game Part. Higher ILI scores are interpretable as reflecting a greater overall use of “insider language” by an interviewee when describing their activity. As a composite language measure, we anticipated that the ILI would have the potential to distinguish insiders from non-insiders with a high degree of reliability.</w:t>
      </w:r>
    </w:p>
    <w:p w14:paraId="534A6521" w14:textId="77777777" w:rsidR="000048BD" w:rsidRPr="00451875" w:rsidRDefault="000048BD" w:rsidP="000048BD">
      <w:pPr>
        <w:ind w:firstLine="720"/>
        <w:jc w:val="both"/>
        <w:rPr>
          <w:color w:val="000000" w:themeColor="text1"/>
          <w:lang w:val="en-US"/>
        </w:rPr>
      </w:pPr>
      <w:r w:rsidRPr="00451875">
        <w:rPr>
          <w:lang w:val="en-US"/>
        </w:rPr>
        <w:t xml:space="preserve">To test the capacity of the ILI to identify insiders relative to non-insiders, we conducted a 2 x 4 mixed design ANOVA with ILI scores as the dependent measure, Interviewee Type (insider, non-insider) as the between-participants factor and Game Part (Part 1, Part 2, Part 3, Part 4) as the within-participants factor. This analysis revealed a significant main effect of Interviewee Type on ILI scores, </w:t>
      </w:r>
      <w:r w:rsidRPr="00451875">
        <w:rPr>
          <w:i/>
          <w:iCs/>
          <w:color w:val="000000" w:themeColor="text1"/>
          <w:lang w:val="en-US"/>
        </w:rPr>
        <w:t>F</w:t>
      </w:r>
      <w:r w:rsidRPr="00451875">
        <w:rPr>
          <w:color w:val="000000" w:themeColor="text1"/>
          <w:lang w:val="en-US"/>
        </w:rPr>
        <w:t xml:space="preserve">(1, 50) = 23.14, </w:t>
      </w:r>
      <w:r w:rsidRPr="00451875">
        <w:rPr>
          <w:i/>
          <w:iCs/>
          <w:color w:val="000000" w:themeColor="text1"/>
          <w:lang w:val="en-US"/>
        </w:rPr>
        <w:t>p</w:t>
      </w:r>
      <w:r w:rsidRPr="00451875">
        <w:rPr>
          <w:color w:val="000000" w:themeColor="text1"/>
          <w:lang w:val="en-US"/>
        </w:rPr>
        <w:t xml:space="preserve"> &lt; .001, </w:t>
      </w:r>
      <w:r w:rsidRPr="00451875">
        <w:t>ηp² = 0.32, with insiders (</w:t>
      </w:r>
      <w:r w:rsidRPr="00451875">
        <w:rPr>
          <w:i/>
          <w:iCs/>
        </w:rPr>
        <w:t xml:space="preserve">M </w:t>
      </w:r>
      <w:r w:rsidRPr="00451875">
        <w:t>= 1.82) demonstrating higher ILI scores than non-insiders (</w:t>
      </w:r>
      <w:r w:rsidRPr="00451875">
        <w:rPr>
          <w:i/>
          <w:iCs/>
        </w:rPr>
        <w:t xml:space="preserve">M </w:t>
      </w:r>
      <w:r w:rsidRPr="00451875">
        <w:t xml:space="preserve">= -0.38). The main effect of Game Part was also significant, </w:t>
      </w:r>
      <w:r w:rsidRPr="00451875">
        <w:rPr>
          <w:i/>
          <w:iCs/>
          <w:color w:val="000000" w:themeColor="text1"/>
          <w:lang w:val="en-US"/>
        </w:rPr>
        <w:t>F</w:t>
      </w:r>
      <w:r w:rsidRPr="00451875">
        <w:rPr>
          <w:color w:val="000000" w:themeColor="text1"/>
          <w:lang w:val="en-US"/>
        </w:rPr>
        <w:t xml:space="preserve">(3, 150) = 4.00, </w:t>
      </w:r>
      <w:r w:rsidRPr="00451875">
        <w:rPr>
          <w:i/>
          <w:iCs/>
          <w:color w:val="000000" w:themeColor="text1"/>
          <w:lang w:val="en-US"/>
        </w:rPr>
        <w:t>p</w:t>
      </w:r>
      <w:r w:rsidRPr="00451875">
        <w:rPr>
          <w:color w:val="000000" w:themeColor="text1"/>
          <w:lang w:val="en-US"/>
        </w:rPr>
        <w:t xml:space="preserve"> = .009, </w:t>
      </w:r>
      <w:r w:rsidRPr="00451875">
        <w:t xml:space="preserve">ηp² = 0.07. Additionally, a significant interaction was observed between Interviewee Type and Game Part, </w:t>
      </w:r>
      <w:r w:rsidRPr="00451875">
        <w:rPr>
          <w:i/>
          <w:iCs/>
          <w:color w:val="000000" w:themeColor="text1"/>
          <w:lang w:val="en-US"/>
        </w:rPr>
        <w:t>F</w:t>
      </w:r>
      <w:r w:rsidRPr="00451875">
        <w:rPr>
          <w:color w:val="000000" w:themeColor="text1"/>
          <w:lang w:val="en-US"/>
        </w:rPr>
        <w:t xml:space="preserve">(3, 150) = 9.35, </w:t>
      </w:r>
      <w:r w:rsidRPr="00451875">
        <w:rPr>
          <w:i/>
          <w:iCs/>
          <w:color w:val="000000" w:themeColor="text1"/>
          <w:lang w:val="en-US"/>
        </w:rPr>
        <w:t>p</w:t>
      </w:r>
      <w:r w:rsidRPr="00451875">
        <w:rPr>
          <w:color w:val="000000" w:themeColor="text1"/>
          <w:lang w:val="en-US"/>
        </w:rPr>
        <w:t xml:space="preserve"> &lt; .001, </w:t>
      </w:r>
      <w:r w:rsidRPr="00451875">
        <w:t>ηp² = 0.16.</w:t>
      </w:r>
    </w:p>
    <w:p w14:paraId="681684FE" w14:textId="77777777" w:rsidR="000048BD" w:rsidRPr="00451875" w:rsidRDefault="000048BD" w:rsidP="000048BD">
      <w:pPr>
        <w:ind w:firstLine="720"/>
        <w:jc w:val="both"/>
        <w:rPr>
          <w:color w:val="000000" w:themeColor="text1"/>
        </w:rPr>
      </w:pPr>
      <w:r w:rsidRPr="00451875">
        <w:rPr>
          <w:color w:val="000000" w:themeColor="text1"/>
          <w:lang w:val="en-US"/>
        </w:rPr>
        <w:t xml:space="preserve">Two repeated-measures ANOVAs were conducted to investigate the interaction between Game Part and interviewee type when measuring ILI scores, with data split by Interviewee Type (Figure 4). These analyses revealed a significant simple main effect of Game Part on ILI scores for insiders, </w:t>
      </w:r>
      <w:r w:rsidRPr="00451875">
        <w:rPr>
          <w:i/>
          <w:iCs/>
          <w:color w:val="000000" w:themeColor="text1"/>
          <w:lang w:val="en-US"/>
        </w:rPr>
        <w:t>F</w:t>
      </w:r>
      <w:r w:rsidRPr="00451875">
        <w:rPr>
          <w:color w:val="000000" w:themeColor="text1"/>
          <w:lang w:val="en-US"/>
        </w:rPr>
        <w:t xml:space="preserve">(3, 24) = 7.55, </w:t>
      </w:r>
      <w:r w:rsidRPr="00451875">
        <w:rPr>
          <w:i/>
          <w:iCs/>
          <w:color w:val="000000" w:themeColor="text1"/>
          <w:lang w:val="en-US"/>
        </w:rPr>
        <w:t>p</w:t>
      </w:r>
      <w:r w:rsidRPr="00451875">
        <w:rPr>
          <w:color w:val="000000" w:themeColor="text1"/>
          <w:lang w:val="en-US"/>
        </w:rPr>
        <w:t xml:space="preserve"> &lt; .001, </w:t>
      </w:r>
      <w:r w:rsidRPr="00451875">
        <w:t xml:space="preserve">ηp² = 0.49, but no </w:t>
      </w:r>
      <w:r w:rsidRPr="00451875">
        <w:rPr>
          <w:color w:val="000000" w:themeColor="text1"/>
          <w:lang w:val="en-US"/>
        </w:rPr>
        <w:t xml:space="preserve">significant simple main effect for non-insiders, </w:t>
      </w:r>
      <w:r w:rsidRPr="00451875">
        <w:rPr>
          <w:i/>
          <w:iCs/>
          <w:color w:val="000000" w:themeColor="text1"/>
          <w:lang w:val="en-US"/>
        </w:rPr>
        <w:t>F</w:t>
      </w:r>
      <w:r w:rsidRPr="00451875">
        <w:rPr>
          <w:color w:val="000000" w:themeColor="text1"/>
          <w:lang w:val="en-US"/>
        </w:rPr>
        <w:t xml:space="preserve">(3, 126) = 1.63, </w:t>
      </w:r>
      <w:r w:rsidRPr="00451875">
        <w:rPr>
          <w:i/>
          <w:iCs/>
          <w:color w:val="000000" w:themeColor="text1"/>
          <w:lang w:val="en-US"/>
        </w:rPr>
        <w:t>p</w:t>
      </w:r>
      <w:r w:rsidRPr="00451875">
        <w:rPr>
          <w:color w:val="000000" w:themeColor="text1"/>
          <w:lang w:val="en-US"/>
        </w:rPr>
        <w:t xml:space="preserve"> = .187, </w:t>
      </w:r>
      <w:r w:rsidRPr="00451875">
        <w:t>ηp² = 0.04.</w:t>
      </w:r>
      <w:r w:rsidRPr="00451875">
        <w:rPr>
          <w:color w:val="000000" w:themeColor="text1"/>
          <w:lang w:val="en-US"/>
        </w:rPr>
        <w:t xml:space="preserve"> Six paired-samples t-tests with a Bonferroni correction (corrected alpha = .008) were conducted to compare insiders’ ILI scores across different Game Parts. There was no </w:t>
      </w:r>
      <w:r w:rsidRPr="00451875">
        <w:rPr>
          <w:color w:val="000000" w:themeColor="text1"/>
          <w:lang w:val="en-US"/>
        </w:rPr>
        <w:lastRenderedPageBreak/>
        <w:t xml:space="preserve">significant difference in insiders’ ILI scores for Part 1 versus Part 2, </w:t>
      </w:r>
      <w:r w:rsidRPr="00451875">
        <w:rPr>
          <w:i/>
          <w:iCs/>
          <w:color w:val="000000" w:themeColor="text1"/>
        </w:rPr>
        <w:t>t</w:t>
      </w:r>
      <w:r w:rsidRPr="00451875">
        <w:rPr>
          <w:color w:val="000000" w:themeColor="text1"/>
        </w:rPr>
        <w:t xml:space="preserve">(8) = 0.92, </w:t>
      </w:r>
      <w:r w:rsidRPr="00451875">
        <w:rPr>
          <w:i/>
          <w:iCs/>
          <w:color w:val="000000" w:themeColor="text1"/>
        </w:rPr>
        <w:t>p</w:t>
      </w:r>
      <w:r w:rsidRPr="00451875">
        <w:rPr>
          <w:color w:val="000000" w:themeColor="text1"/>
        </w:rPr>
        <w:t xml:space="preserve"> = .387, or</w:t>
      </w:r>
      <w:r w:rsidRPr="00451875">
        <w:rPr>
          <w:color w:val="000000" w:themeColor="text1"/>
          <w:lang w:val="en-US"/>
        </w:rPr>
        <w:t xml:space="preserve"> for Part 1 versus Part 3, </w:t>
      </w:r>
      <w:r w:rsidRPr="00451875">
        <w:rPr>
          <w:i/>
          <w:iCs/>
          <w:color w:val="000000" w:themeColor="text1"/>
        </w:rPr>
        <w:t>t</w:t>
      </w:r>
      <w:r w:rsidRPr="00451875">
        <w:rPr>
          <w:color w:val="000000" w:themeColor="text1"/>
        </w:rPr>
        <w:t xml:space="preserve">(8) = -42.52, </w:t>
      </w:r>
      <w:r w:rsidRPr="00451875">
        <w:rPr>
          <w:i/>
          <w:iCs/>
          <w:color w:val="000000" w:themeColor="text1"/>
        </w:rPr>
        <w:t>p</w:t>
      </w:r>
      <w:r w:rsidRPr="00451875">
        <w:rPr>
          <w:color w:val="000000" w:themeColor="text1"/>
        </w:rPr>
        <w:t xml:space="preserve"> = .036. </w:t>
      </w:r>
      <w:r w:rsidRPr="00451875">
        <w:rPr>
          <w:color w:val="000000" w:themeColor="text1"/>
          <w:lang w:val="en-US"/>
        </w:rPr>
        <w:t xml:space="preserve">There was, however, a significant difference in insiders’ ILI scores for Part 1 versus Part 4, </w:t>
      </w:r>
      <w:r w:rsidRPr="00451875">
        <w:rPr>
          <w:i/>
          <w:iCs/>
          <w:color w:val="000000" w:themeColor="text1"/>
        </w:rPr>
        <w:t>t</w:t>
      </w:r>
      <w:r w:rsidRPr="00451875">
        <w:rPr>
          <w:color w:val="000000" w:themeColor="text1"/>
        </w:rPr>
        <w:t xml:space="preserve">(8) = -3.47, </w:t>
      </w:r>
      <w:r w:rsidRPr="00451875">
        <w:rPr>
          <w:i/>
          <w:iCs/>
          <w:color w:val="000000" w:themeColor="text1"/>
        </w:rPr>
        <w:t>p</w:t>
      </w:r>
      <w:r w:rsidRPr="00451875">
        <w:rPr>
          <w:color w:val="000000" w:themeColor="text1"/>
        </w:rPr>
        <w:t xml:space="preserve"> = .008, with insiders who were describing Part 1 of the game demonstrating lower ILI scores (</w:t>
      </w:r>
      <w:r w:rsidRPr="00451875">
        <w:rPr>
          <w:i/>
          <w:iCs/>
          <w:color w:val="000000" w:themeColor="text1"/>
        </w:rPr>
        <w:t>M =</w:t>
      </w:r>
      <w:r w:rsidRPr="00451875">
        <w:rPr>
          <w:color w:val="000000" w:themeColor="text1"/>
        </w:rPr>
        <w:t xml:space="preserve"> 0.85, </w:t>
      </w:r>
      <w:r w:rsidRPr="00451875">
        <w:rPr>
          <w:i/>
          <w:iCs/>
          <w:color w:val="000000" w:themeColor="text1"/>
        </w:rPr>
        <w:t xml:space="preserve">SD = </w:t>
      </w:r>
      <w:r w:rsidRPr="00451875">
        <w:rPr>
          <w:color w:val="000000" w:themeColor="text1"/>
        </w:rPr>
        <w:t>1.74) than when they were describing Part 4 (</w:t>
      </w:r>
      <w:r w:rsidRPr="00451875">
        <w:rPr>
          <w:i/>
          <w:iCs/>
          <w:color w:val="000000" w:themeColor="text1"/>
        </w:rPr>
        <w:t>M =</w:t>
      </w:r>
      <w:r w:rsidRPr="00451875">
        <w:rPr>
          <w:color w:val="000000" w:themeColor="text1"/>
        </w:rPr>
        <w:t xml:space="preserve"> 3.52, </w:t>
      </w:r>
      <w:r w:rsidRPr="00451875">
        <w:rPr>
          <w:i/>
          <w:iCs/>
          <w:color w:val="000000" w:themeColor="text1"/>
        </w:rPr>
        <w:t>SD =</w:t>
      </w:r>
      <w:r w:rsidRPr="00451875">
        <w:rPr>
          <w:color w:val="000000" w:themeColor="text1"/>
        </w:rPr>
        <w:t xml:space="preserve"> 2.50). </w:t>
      </w:r>
      <w:r w:rsidRPr="00451875">
        <w:rPr>
          <w:color w:val="000000" w:themeColor="text1"/>
          <w:lang w:val="en-US"/>
        </w:rPr>
        <w:t xml:space="preserve">A significant difference in insiders’ ILI scores was also found between Part 2 and Part 3, </w:t>
      </w:r>
      <w:r w:rsidRPr="00451875">
        <w:rPr>
          <w:i/>
          <w:iCs/>
          <w:color w:val="000000" w:themeColor="text1"/>
        </w:rPr>
        <w:t>t</w:t>
      </w:r>
      <w:r w:rsidRPr="00451875">
        <w:rPr>
          <w:color w:val="000000" w:themeColor="text1"/>
        </w:rPr>
        <w:t xml:space="preserve">(8) = -4.39, </w:t>
      </w:r>
      <w:r w:rsidRPr="00451875">
        <w:rPr>
          <w:i/>
          <w:iCs/>
          <w:color w:val="000000" w:themeColor="text1"/>
        </w:rPr>
        <w:t>p</w:t>
      </w:r>
      <w:r w:rsidRPr="00451875">
        <w:rPr>
          <w:color w:val="000000" w:themeColor="text1"/>
        </w:rPr>
        <w:t xml:space="preserve"> = .002, with insiders who were describing Part 2 of the game (</w:t>
      </w:r>
      <w:r w:rsidRPr="00451875">
        <w:rPr>
          <w:i/>
          <w:iCs/>
          <w:color w:val="000000" w:themeColor="text1"/>
        </w:rPr>
        <w:t xml:space="preserve">M </w:t>
      </w:r>
      <w:r w:rsidRPr="00451875">
        <w:rPr>
          <w:color w:val="000000" w:themeColor="text1"/>
        </w:rPr>
        <w:t xml:space="preserve">= 0.44, </w:t>
      </w:r>
      <w:r w:rsidRPr="00451875">
        <w:rPr>
          <w:i/>
          <w:iCs/>
          <w:color w:val="000000" w:themeColor="text1"/>
        </w:rPr>
        <w:t xml:space="preserve">SD </w:t>
      </w:r>
      <w:r w:rsidRPr="00451875">
        <w:rPr>
          <w:color w:val="000000" w:themeColor="text1"/>
        </w:rPr>
        <w:t>= 2.27) demonstrating lower ILI scores than when they were describing Part 3 (</w:t>
      </w:r>
      <w:r w:rsidRPr="00451875">
        <w:rPr>
          <w:i/>
          <w:iCs/>
          <w:color w:val="000000" w:themeColor="text1"/>
        </w:rPr>
        <w:t xml:space="preserve">M = </w:t>
      </w:r>
      <w:r w:rsidRPr="00451875">
        <w:rPr>
          <w:color w:val="000000" w:themeColor="text1"/>
        </w:rPr>
        <w:t xml:space="preserve">2.46, </w:t>
      </w:r>
      <w:r w:rsidRPr="00451875">
        <w:rPr>
          <w:i/>
          <w:iCs/>
          <w:color w:val="000000" w:themeColor="text1"/>
        </w:rPr>
        <w:t xml:space="preserve">SD </w:t>
      </w:r>
      <w:r w:rsidRPr="00451875">
        <w:rPr>
          <w:color w:val="000000" w:themeColor="text1"/>
        </w:rPr>
        <w:t xml:space="preserve">= 3.04). A further </w:t>
      </w:r>
      <w:r w:rsidRPr="00451875">
        <w:rPr>
          <w:color w:val="000000" w:themeColor="text1"/>
          <w:lang w:val="en-US"/>
        </w:rPr>
        <w:t xml:space="preserve">paired-samples t-test also revealed a significant difference between insiders’ ILI scores for Part 2 versus Part 4 of the game, </w:t>
      </w:r>
      <w:r w:rsidRPr="00451875">
        <w:rPr>
          <w:i/>
          <w:iCs/>
          <w:color w:val="000000" w:themeColor="text1"/>
        </w:rPr>
        <w:t>t</w:t>
      </w:r>
      <w:r w:rsidRPr="00451875">
        <w:rPr>
          <w:color w:val="000000" w:themeColor="text1"/>
        </w:rPr>
        <w:t xml:space="preserve">(8) = -3.67, </w:t>
      </w:r>
      <w:r w:rsidRPr="00451875">
        <w:rPr>
          <w:i/>
          <w:iCs/>
          <w:color w:val="000000" w:themeColor="text1"/>
        </w:rPr>
        <w:t>p</w:t>
      </w:r>
      <w:r w:rsidRPr="00451875">
        <w:rPr>
          <w:color w:val="000000" w:themeColor="text1"/>
        </w:rPr>
        <w:t xml:space="preserve"> =.006, with insiders demonstrating lower ILI scores when describing Part 2 of the game (</w:t>
      </w:r>
      <w:r w:rsidRPr="00451875">
        <w:rPr>
          <w:i/>
          <w:iCs/>
          <w:color w:val="000000" w:themeColor="text1"/>
        </w:rPr>
        <w:t xml:space="preserve">M </w:t>
      </w:r>
      <w:r w:rsidRPr="00451875">
        <w:rPr>
          <w:color w:val="000000" w:themeColor="text1"/>
        </w:rPr>
        <w:t xml:space="preserve">= 0.44, </w:t>
      </w:r>
      <w:r w:rsidRPr="00451875">
        <w:rPr>
          <w:i/>
          <w:iCs/>
          <w:color w:val="000000" w:themeColor="text1"/>
        </w:rPr>
        <w:t xml:space="preserve">SD </w:t>
      </w:r>
      <w:r w:rsidRPr="00451875">
        <w:rPr>
          <w:color w:val="000000" w:themeColor="text1"/>
        </w:rPr>
        <w:t>= 2.27) than when describing Part 4 (</w:t>
      </w:r>
      <w:r w:rsidRPr="00451875">
        <w:rPr>
          <w:i/>
          <w:iCs/>
          <w:color w:val="000000" w:themeColor="text1"/>
        </w:rPr>
        <w:t>M =</w:t>
      </w:r>
      <w:r w:rsidRPr="00451875">
        <w:rPr>
          <w:color w:val="000000" w:themeColor="text1"/>
        </w:rPr>
        <w:t xml:space="preserve"> 3.52, </w:t>
      </w:r>
      <w:r w:rsidRPr="00451875">
        <w:rPr>
          <w:i/>
          <w:iCs/>
          <w:color w:val="000000" w:themeColor="text1"/>
        </w:rPr>
        <w:t>SD =</w:t>
      </w:r>
      <w:r w:rsidRPr="00451875">
        <w:rPr>
          <w:color w:val="000000" w:themeColor="text1"/>
        </w:rPr>
        <w:t xml:space="preserve"> 2.50). A final </w:t>
      </w:r>
      <w:r w:rsidRPr="00451875">
        <w:rPr>
          <w:color w:val="000000" w:themeColor="text1"/>
          <w:lang w:val="en-US"/>
        </w:rPr>
        <w:t xml:space="preserve">paired-samples t-test revealed no significant difference between insiders ILI scores for Part 3 versus Part 4, </w:t>
      </w:r>
      <w:r w:rsidRPr="00451875">
        <w:rPr>
          <w:i/>
          <w:iCs/>
          <w:color w:val="000000" w:themeColor="text1"/>
        </w:rPr>
        <w:t>t</w:t>
      </w:r>
      <w:r w:rsidRPr="00451875">
        <w:rPr>
          <w:color w:val="000000" w:themeColor="text1"/>
        </w:rPr>
        <w:t xml:space="preserve">(8) = -1.00, </w:t>
      </w:r>
      <w:r w:rsidRPr="00451875">
        <w:rPr>
          <w:i/>
          <w:iCs/>
          <w:color w:val="000000" w:themeColor="text1"/>
        </w:rPr>
        <w:t>p</w:t>
      </w:r>
      <w:r w:rsidRPr="00451875">
        <w:rPr>
          <w:color w:val="000000" w:themeColor="text1"/>
        </w:rPr>
        <w:t xml:space="preserve"> = .349.</w:t>
      </w:r>
    </w:p>
    <w:p w14:paraId="42F8F497" w14:textId="77777777" w:rsidR="000048BD" w:rsidRPr="00451875" w:rsidRDefault="000048BD" w:rsidP="000048BD">
      <w:pPr>
        <w:ind w:firstLine="720"/>
        <w:jc w:val="both"/>
        <w:rPr>
          <w:color w:val="000000" w:themeColor="text1"/>
        </w:rPr>
      </w:pPr>
      <w:r w:rsidRPr="00451875">
        <w:rPr>
          <w:color w:val="000000" w:themeColor="text1"/>
        </w:rPr>
        <w:t xml:space="preserve">To explore fully the interaction between </w:t>
      </w:r>
      <w:r w:rsidRPr="00451875">
        <w:t xml:space="preserve">Interviewee Type and Game Part, </w:t>
      </w:r>
      <w:r w:rsidRPr="00451875">
        <w:rPr>
          <w:color w:val="000000" w:themeColor="text1"/>
        </w:rPr>
        <w:t xml:space="preserve">four independent samples t-tests with a Bonferroni correction (corrected alpha = .0125) were conducted to compare the ILI scores of insiders and non-insiders in relation to each Game Part. There were no significant differences between the ILI scores of insiders and non-insiders in relation to Part 1 of the game, </w:t>
      </w:r>
      <w:r w:rsidRPr="00451875">
        <w:rPr>
          <w:i/>
          <w:iCs/>
          <w:color w:val="000000" w:themeColor="text1"/>
        </w:rPr>
        <w:t>t</w:t>
      </w:r>
      <w:r w:rsidRPr="00451875">
        <w:rPr>
          <w:color w:val="000000" w:themeColor="text1"/>
        </w:rPr>
        <w:t xml:space="preserve">(50) = -1.64, </w:t>
      </w:r>
      <w:r w:rsidRPr="00451875">
        <w:rPr>
          <w:i/>
          <w:iCs/>
          <w:color w:val="000000" w:themeColor="text1"/>
        </w:rPr>
        <w:t>p</w:t>
      </w:r>
      <w:r w:rsidRPr="00451875">
        <w:rPr>
          <w:color w:val="000000" w:themeColor="text1"/>
        </w:rPr>
        <w:t xml:space="preserve"> = .107, or Part 2, </w:t>
      </w:r>
      <w:r w:rsidRPr="00451875">
        <w:rPr>
          <w:i/>
          <w:iCs/>
          <w:color w:val="000000" w:themeColor="text1"/>
        </w:rPr>
        <w:t>t</w:t>
      </w:r>
      <w:r w:rsidRPr="00451875">
        <w:rPr>
          <w:color w:val="000000" w:themeColor="text1"/>
        </w:rPr>
        <w:t xml:space="preserve">(50) = -0.77, </w:t>
      </w:r>
      <w:r w:rsidRPr="00451875">
        <w:rPr>
          <w:i/>
          <w:iCs/>
          <w:color w:val="000000" w:themeColor="text1"/>
        </w:rPr>
        <w:t>p</w:t>
      </w:r>
      <w:r w:rsidRPr="00451875">
        <w:rPr>
          <w:color w:val="000000" w:themeColor="text1"/>
        </w:rPr>
        <w:t xml:space="preserve"> = .445. However, there was a significant difference between the ILI scores of insiders and non-insiders in relation to Part 3 of the game, </w:t>
      </w:r>
      <w:r w:rsidRPr="00451875">
        <w:rPr>
          <w:i/>
          <w:iCs/>
          <w:color w:val="000000" w:themeColor="text1"/>
        </w:rPr>
        <w:t>t</w:t>
      </w:r>
      <w:r w:rsidRPr="00451875">
        <w:rPr>
          <w:color w:val="000000" w:themeColor="text1"/>
        </w:rPr>
        <w:t xml:space="preserve">(50) = -2.82, </w:t>
      </w:r>
      <w:r w:rsidRPr="00451875">
        <w:rPr>
          <w:i/>
          <w:iCs/>
          <w:color w:val="000000" w:themeColor="text1"/>
        </w:rPr>
        <w:t>p</w:t>
      </w:r>
      <w:r w:rsidRPr="00451875">
        <w:rPr>
          <w:color w:val="000000" w:themeColor="text1"/>
        </w:rPr>
        <w:t xml:space="preserve"> = .019, with insiders (</w:t>
      </w:r>
      <w:r w:rsidRPr="00451875">
        <w:rPr>
          <w:i/>
          <w:iCs/>
          <w:color w:val="000000" w:themeColor="text1"/>
        </w:rPr>
        <w:t>M =</w:t>
      </w:r>
      <w:r w:rsidRPr="00451875">
        <w:rPr>
          <w:color w:val="000000" w:themeColor="text1"/>
        </w:rPr>
        <w:t xml:space="preserve"> 2.46, </w:t>
      </w:r>
      <w:r w:rsidRPr="00451875">
        <w:rPr>
          <w:i/>
          <w:iCs/>
          <w:color w:val="000000" w:themeColor="text1"/>
        </w:rPr>
        <w:t xml:space="preserve">SD = </w:t>
      </w:r>
      <w:r w:rsidRPr="00451875">
        <w:rPr>
          <w:color w:val="000000" w:themeColor="text1"/>
        </w:rPr>
        <w:t>3.04) demonstrating higher ILI scores than non-insiders (</w:t>
      </w:r>
      <w:r w:rsidRPr="00451875">
        <w:rPr>
          <w:i/>
          <w:iCs/>
          <w:color w:val="000000" w:themeColor="text1"/>
        </w:rPr>
        <w:t>M =</w:t>
      </w:r>
      <w:r w:rsidRPr="00451875">
        <w:rPr>
          <w:color w:val="000000" w:themeColor="text1"/>
        </w:rPr>
        <w:t xml:space="preserve"> -0.51, </w:t>
      </w:r>
      <w:r w:rsidRPr="00451875">
        <w:rPr>
          <w:i/>
          <w:iCs/>
          <w:color w:val="000000" w:themeColor="text1"/>
        </w:rPr>
        <w:t>SD =</w:t>
      </w:r>
      <w:r w:rsidRPr="00451875">
        <w:rPr>
          <w:color w:val="000000" w:themeColor="text1"/>
        </w:rPr>
        <w:t xml:space="preserve"> 1.93). There was also a significant difference between the ILI scores of insiders and non-insiders in relation to Part 4 of the game, </w:t>
      </w:r>
      <w:r w:rsidRPr="00451875">
        <w:rPr>
          <w:i/>
          <w:iCs/>
          <w:color w:val="000000" w:themeColor="text1"/>
        </w:rPr>
        <w:t>t</w:t>
      </w:r>
      <w:r w:rsidRPr="00451875">
        <w:rPr>
          <w:color w:val="000000" w:themeColor="text1"/>
        </w:rPr>
        <w:t xml:space="preserve">(50) = -4.99, </w:t>
      </w:r>
      <w:r w:rsidRPr="00451875">
        <w:rPr>
          <w:i/>
          <w:iCs/>
          <w:color w:val="000000" w:themeColor="text1"/>
        </w:rPr>
        <w:t>p</w:t>
      </w:r>
      <w:r w:rsidRPr="00451875">
        <w:rPr>
          <w:color w:val="000000" w:themeColor="text1"/>
        </w:rPr>
        <w:t xml:space="preserve"> &lt; .001, again with insiders </w:t>
      </w:r>
      <w:r w:rsidRPr="00451875">
        <w:rPr>
          <w:color w:val="000000" w:themeColor="text1"/>
        </w:rPr>
        <w:lastRenderedPageBreak/>
        <w:t>(</w:t>
      </w:r>
      <w:r w:rsidRPr="00451875">
        <w:rPr>
          <w:i/>
          <w:iCs/>
          <w:color w:val="000000" w:themeColor="text1"/>
        </w:rPr>
        <w:t>M =</w:t>
      </w:r>
      <w:r w:rsidRPr="00451875">
        <w:rPr>
          <w:color w:val="000000" w:themeColor="text1"/>
        </w:rPr>
        <w:t xml:space="preserve"> 3.52, </w:t>
      </w:r>
      <w:r w:rsidRPr="00451875">
        <w:rPr>
          <w:i/>
          <w:iCs/>
          <w:color w:val="000000" w:themeColor="text1"/>
        </w:rPr>
        <w:t>SD =</w:t>
      </w:r>
      <w:r w:rsidRPr="00451875">
        <w:rPr>
          <w:color w:val="000000" w:themeColor="text1"/>
        </w:rPr>
        <w:t xml:space="preserve"> 2.50) demonstrating higher ILI scores than non-insiders (</w:t>
      </w:r>
      <w:r w:rsidRPr="00451875">
        <w:rPr>
          <w:i/>
          <w:iCs/>
          <w:color w:val="000000" w:themeColor="text1"/>
        </w:rPr>
        <w:t>M =</w:t>
      </w:r>
      <w:r w:rsidRPr="00451875">
        <w:rPr>
          <w:color w:val="000000" w:themeColor="text1"/>
        </w:rPr>
        <w:t xml:space="preserve"> -0.74, </w:t>
      </w:r>
      <w:r w:rsidRPr="00451875">
        <w:rPr>
          <w:i/>
          <w:iCs/>
          <w:color w:val="000000" w:themeColor="text1"/>
        </w:rPr>
        <w:t>SD =</w:t>
      </w:r>
      <w:r w:rsidRPr="00451875">
        <w:rPr>
          <w:color w:val="000000" w:themeColor="text1"/>
        </w:rPr>
        <w:t xml:space="preserve"> 1.23).</w:t>
      </w:r>
    </w:p>
    <w:p w14:paraId="652A887F" w14:textId="77777777" w:rsidR="00451875" w:rsidRPr="00451875" w:rsidRDefault="00451875" w:rsidP="00451875">
      <w:pPr>
        <w:jc w:val="both"/>
        <w:rPr>
          <w:b/>
          <w:bCs/>
          <w:color w:val="000000" w:themeColor="text1"/>
        </w:rPr>
      </w:pPr>
      <w:r w:rsidRPr="00451875">
        <w:rPr>
          <w:b/>
          <w:bCs/>
          <w:color w:val="000000" w:themeColor="text1"/>
        </w:rPr>
        <w:t>General Discussion</w:t>
      </w:r>
    </w:p>
    <w:p w14:paraId="6BA065A8" w14:textId="47089789" w:rsidR="00451875" w:rsidRPr="00451875" w:rsidRDefault="00451875" w:rsidP="00050900">
      <w:pPr>
        <w:ind w:firstLine="567"/>
        <w:jc w:val="both"/>
        <w:rPr>
          <w:b/>
          <w:bCs/>
          <w:color w:val="000000" w:themeColor="text1"/>
        </w:rPr>
      </w:pPr>
      <w:r w:rsidRPr="00E40157">
        <w:rPr>
          <w:rFonts w:eastAsiaTheme="minorEastAsia"/>
          <w:color w:val="0070C0"/>
        </w:rPr>
        <w:t xml:space="preserve">To date, most of the research into insider threat detection has used technological approaches </w:t>
      </w:r>
      <w:r w:rsidR="00E40157" w:rsidRPr="00E40157">
        <w:rPr>
          <w:rFonts w:eastAsiaTheme="minorEastAsia"/>
          <w:color w:val="0070C0"/>
        </w:rPr>
        <w:t xml:space="preserve">to reduce the direct impact (e.g., financial loss, compromised data, damage to critical infrastructure) that an organisation may encounter because of an attack </w:t>
      </w:r>
      <w:r w:rsidRPr="00E40157">
        <w:rPr>
          <w:rFonts w:eastAsiaTheme="minorEastAsia"/>
          <w:color w:val="0070C0"/>
        </w:rPr>
        <w:t>(</w:t>
      </w:r>
      <w:proofErr w:type="spellStart"/>
      <w:r w:rsidRPr="00E40157">
        <w:rPr>
          <w:rFonts w:eastAsiaTheme="minorEastAsia"/>
          <w:color w:val="0070C0"/>
        </w:rPr>
        <w:t>Fenstermacher</w:t>
      </w:r>
      <w:proofErr w:type="spellEnd"/>
      <w:r w:rsidRPr="00E40157">
        <w:rPr>
          <w:rFonts w:eastAsiaTheme="minorEastAsia"/>
          <w:color w:val="0070C0"/>
        </w:rPr>
        <w:t xml:space="preserve"> et al., 2022). </w:t>
      </w:r>
      <w:r w:rsidR="00227554" w:rsidRPr="00C1212C">
        <w:rPr>
          <w:rFonts w:eastAsiaTheme="minorEastAsia"/>
          <w:color w:val="0070C0"/>
        </w:rPr>
        <w:t>These</w:t>
      </w:r>
      <w:r w:rsidRPr="00C1212C">
        <w:rPr>
          <w:rFonts w:eastAsiaTheme="minorEastAsia"/>
          <w:color w:val="0070C0"/>
        </w:rPr>
        <w:t xml:space="preserve"> techniques </w:t>
      </w:r>
      <w:r w:rsidR="00227554" w:rsidRPr="00C1212C">
        <w:rPr>
          <w:rFonts w:eastAsiaTheme="minorEastAsia"/>
          <w:color w:val="0070C0"/>
        </w:rPr>
        <w:t xml:space="preserve">typically identify </w:t>
      </w:r>
      <w:r w:rsidR="00E8756D" w:rsidRPr="00C1212C">
        <w:rPr>
          <w:rFonts w:eastAsiaTheme="minorEastAsia"/>
          <w:color w:val="0070C0"/>
        </w:rPr>
        <w:t xml:space="preserve">insider activity </w:t>
      </w:r>
      <w:r w:rsidR="00A60BB4" w:rsidRPr="00C1212C">
        <w:rPr>
          <w:rFonts w:eastAsiaTheme="minorEastAsia"/>
          <w:color w:val="0070C0"/>
        </w:rPr>
        <w:t>based on</w:t>
      </w:r>
      <w:r w:rsidR="00E8756D" w:rsidRPr="00C1212C">
        <w:rPr>
          <w:rFonts w:eastAsiaTheme="minorEastAsia"/>
          <w:color w:val="0070C0"/>
        </w:rPr>
        <w:t xml:space="preserve"> access to unauthorised system information</w:t>
      </w:r>
      <w:r w:rsidR="00C1212C" w:rsidRPr="00C1212C">
        <w:rPr>
          <w:rFonts w:eastAsiaTheme="minorEastAsia"/>
          <w:color w:val="0070C0"/>
        </w:rPr>
        <w:t xml:space="preserve">, which </w:t>
      </w:r>
      <w:r w:rsidR="0069784C">
        <w:rPr>
          <w:rFonts w:eastAsiaTheme="minorEastAsia"/>
          <w:color w:val="0070C0"/>
        </w:rPr>
        <w:t xml:space="preserve">can </w:t>
      </w:r>
      <w:r w:rsidR="00C1212C" w:rsidRPr="00C1212C">
        <w:rPr>
          <w:rFonts w:eastAsiaTheme="minorEastAsia"/>
          <w:color w:val="0070C0"/>
        </w:rPr>
        <w:t>limit their applicability</w:t>
      </w:r>
      <w:r w:rsidR="0069784C">
        <w:rPr>
          <w:rFonts w:eastAsiaTheme="minorEastAsia"/>
          <w:color w:val="0070C0"/>
        </w:rPr>
        <w:t xml:space="preserve"> to other situations</w:t>
      </w:r>
      <w:r w:rsidR="00C1212C" w:rsidRPr="00C1212C">
        <w:rPr>
          <w:rFonts w:eastAsiaTheme="minorEastAsia"/>
          <w:color w:val="0070C0"/>
        </w:rPr>
        <w:t xml:space="preserve">. </w:t>
      </w:r>
      <w:r w:rsidRPr="00451875">
        <w:rPr>
          <w:rFonts w:eastAsiaTheme="minorEastAsia"/>
        </w:rPr>
        <w:t xml:space="preserve">The present research instead took a behaviour-centric approach to the identification of insiders, by focusing on the human at the heart of insider activity. In adopting this approach, the key aim was to determine the potential value of analysing language use as a means of supporting the early detection of insider activity as part of a defensive strategy against these threats. Specifically, we build on the proposal advanced by </w:t>
      </w:r>
      <w:r w:rsidR="00300E57" w:rsidRPr="4D5C29CA">
        <w:rPr>
          <w:rFonts w:cs="Arial"/>
          <w:color w:val="000000" w:themeColor="text1"/>
        </w:rPr>
        <w:t>Taylor et al.</w:t>
      </w:r>
      <w:r w:rsidR="00300E57">
        <w:rPr>
          <w:rFonts w:cs="Arial"/>
          <w:color w:val="000000" w:themeColor="text1"/>
        </w:rPr>
        <w:t xml:space="preserve"> (</w:t>
      </w:r>
      <w:r w:rsidR="00300E57" w:rsidRPr="4D5C29CA">
        <w:rPr>
          <w:rFonts w:cs="Arial"/>
          <w:color w:val="000000" w:themeColor="text1"/>
        </w:rPr>
        <w:t>2013</w:t>
      </w:r>
      <w:r w:rsidR="00300E57">
        <w:rPr>
          <w:rFonts w:cs="Arial"/>
          <w:color w:val="000000" w:themeColor="text1"/>
        </w:rPr>
        <w:t xml:space="preserve">) </w:t>
      </w:r>
      <w:r w:rsidRPr="00451875">
        <w:rPr>
          <w:rFonts w:eastAsiaTheme="minorEastAsia"/>
        </w:rPr>
        <w:t xml:space="preserve">that the language used by insiders and non-insiders is different, and that this difference can be helpful in the detection of insider attacks. </w:t>
      </w:r>
    </w:p>
    <w:p w14:paraId="0368C8BC" w14:textId="0379A2DD" w:rsidR="00451875" w:rsidRPr="00451875" w:rsidRDefault="00300E57" w:rsidP="00050900">
      <w:pPr>
        <w:pStyle w:val="NormalWeb"/>
        <w:spacing w:before="0" w:beforeAutospacing="0" w:after="0" w:afterAutospacing="0" w:line="480" w:lineRule="auto"/>
        <w:ind w:firstLine="567"/>
        <w:jc w:val="both"/>
        <w:rPr>
          <w:rFonts w:eastAsia="Calibri"/>
        </w:rPr>
      </w:pPr>
      <w:r w:rsidRPr="4D5C29CA">
        <w:rPr>
          <w:rFonts w:cs="Arial"/>
          <w:color w:val="000000" w:themeColor="text1"/>
        </w:rPr>
        <w:t>Taylor et al.</w:t>
      </w:r>
      <w:r>
        <w:rPr>
          <w:rFonts w:cs="Arial"/>
          <w:color w:val="000000" w:themeColor="text1"/>
        </w:rPr>
        <w:t xml:space="preserve"> (</w:t>
      </w:r>
      <w:r w:rsidRPr="4D5C29CA">
        <w:rPr>
          <w:rFonts w:cs="Arial"/>
          <w:color w:val="000000" w:themeColor="text1"/>
        </w:rPr>
        <w:t>2013</w:t>
      </w:r>
      <w:r>
        <w:rPr>
          <w:rFonts w:cs="Arial"/>
          <w:color w:val="000000" w:themeColor="text1"/>
        </w:rPr>
        <w:t xml:space="preserve">) </w:t>
      </w:r>
      <w:r w:rsidR="00451875" w:rsidRPr="00451875">
        <w:rPr>
          <w:rFonts w:eastAsiaTheme="minorEastAsia"/>
        </w:rPr>
        <w:t xml:space="preserve">investigated the language used by insiders and non-insiders during email communication when participants were engaged in a team-based workplace simulation. They observed that, over time, insiders tended to become more self-focused, distancing themselves from their co-workers. This was reflected in their greater use of the “I” pronoun. Insiders also showed increased use of negative emotion words and words related to cognitive processing. As we noted earlier, however, one concern with this evidence arises from the narrow focus of this previous study on the email communication between team members, which may have demonstrated language differences between insiders and non-insiders that do not extend to other situations, such as face-to-face investigative questioning. This kind of tactical interviewing might arise in an </w:t>
      </w:r>
      <w:r w:rsidR="00451875" w:rsidRPr="00451875">
        <w:rPr>
          <w:rFonts w:eastAsiaTheme="minorEastAsia"/>
        </w:rPr>
        <w:lastRenderedPageBreak/>
        <w:t>organisational context when a suspected insider is being asked by a company manager or IT security officer about suspicious behaviours. To test whether these language patterns hold across different contexts, we analysed</w:t>
      </w:r>
      <w:r w:rsidR="00451875" w:rsidRPr="00451875">
        <w:rPr>
          <w:rFonts w:eastAsia="Calibri"/>
        </w:rPr>
        <w:t xml:space="preserve"> post-simulation interview data from </w:t>
      </w:r>
      <w:r w:rsidR="002461A9" w:rsidRPr="4D5C29CA">
        <w:rPr>
          <w:rFonts w:cs="Arial"/>
          <w:color w:val="000000" w:themeColor="text1"/>
        </w:rPr>
        <w:t>Taylor et al.</w:t>
      </w:r>
      <w:r w:rsidR="002461A9">
        <w:rPr>
          <w:rFonts w:cs="Arial"/>
          <w:color w:val="000000" w:themeColor="text1"/>
        </w:rPr>
        <w:t xml:space="preserve"> (</w:t>
      </w:r>
      <w:r w:rsidR="002461A9" w:rsidRPr="4D5C29CA">
        <w:rPr>
          <w:rFonts w:cs="Arial"/>
          <w:color w:val="000000" w:themeColor="text1"/>
        </w:rPr>
        <w:t>2013</w:t>
      </w:r>
      <w:r w:rsidR="002461A9">
        <w:rPr>
          <w:rFonts w:cs="Arial"/>
          <w:color w:val="000000" w:themeColor="text1"/>
        </w:rPr>
        <w:t>)</w:t>
      </w:r>
      <w:r w:rsidR="00451875" w:rsidRPr="00451875">
        <w:rPr>
          <w:rFonts w:eastAsiaTheme="minorEastAsia"/>
        </w:rPr>
        <w:t xml:space="preserve"> </w:t>
      </w:r>
      <w:r w:rsidR="00451875" w:rsidRPr="00451875">
        <w:rPr>
          <w:rFonts w:eastAsia="Calibri"/>
        </w:rPr>
        <w:t xml:space="preserve">that has not previously been analysed. </w:t>
      </w:r>
    </w:p>
    <w:p w14:paraId="65E991A9" w14:textId="2E22BBAD" w:rsidR="00451875" w:rsidRPr="00451875" w:rsidRDefault="00451875" w:rsidP="00451875">
      <w:pPr>
        <w:ind w:firstLine="567"/>
        <w:jc w:val="both"/>
        <w:rPr>
          <w:color w:val="000000" w:themeColor="text1"/>
        </w:rPr>
      </w:pPr>
      <w:r w:rsidRPr="00451875">
        <w:rPr>
          <w:color w:val="000000" w:themeColor="text1"/>
        </w:rPr>
        <w:t xml:space="preserve">Using LIWC, we analysed the language used by insiders and non-insiders across our three language categories of interest, first identified by </w:t>
      </w:r>
      <w:r w:rsidR="002461A9" w:rsidRPr="4D5C29CA">
        <w:rPr>
          <w:rFonts w:cs="Arial"/>
          <w:color w:val="000000" w:themeColor="text1"/>
        </w:rPr>
        <w:t>Taylor et al.</w:t>
      </w:r>
      <w:r w:rsidR="002461A9">
        <w:rPr>
          <w:rFonts w:cs="Arial"/>
          <w:color w:val="000000" w:themeColor="text1"/>
        </w:rPr>
        <w:t xml:space="preserve"> (</w:t>
      </w:r>
      <w:r w:rsidR="002461A9" w:rsidRPr="4D5C29CA">
        <w:rPr>
          <w:rFonts w:cs="Arial"/>
          <w:color w:val="000000" w:themeColor="text1"/>
        </w:rPr>
        <w:t>2013</w:t>
      </w:r>
      <w:r w:rsidR="002461A9">
        <w:rPr>
          <w:rFonts w:cs="Arial"/>
          <w:color w:val="000000" w:themeColor="text1"/>
        </w:rPr>
        <w:t>)</w:t>
      </w:r>
      <w:r w:rsidRPr="00451875">
        <w:t xml:space="preserve">, </w:t>
      </w:r>
      <w:r w:rsidRPr="00451875">
        <w:rPr>
          <w:color w:val="000000" w:themeColor="text1"/>
        </w:rPr>
        <w:t xml:space="preserve">namely, personal pronouns, negative affect and cognitive processing. Our findings offer empirical support for H1; </w:t>
      </w:r>
      <w:r w:rsidRPr="00451875">
        <w:t xml:space="preserve">insiders used the word “I” significantly more often than their non-insider counterparts in the post-simulation investigative interviews. Similar findings have also been reported by </w:t>
      </w:r>
      <w:proofErr w:type="spellStart"/>
      <w:r w:rsidRPr="00451875">
        <w:t>Kacewicz</w:t>
      </w:r>
      <w:proofErr w:type="spellEnd"/>
      <w:r w:rsidRPr="00451875">
        <w:t xml:space="preserve"> et al. (2014), who showed that individuals who are self-focused tend to use a greater proportion of personal pronouns, as compared with individuals who are more collectively orientated and externally focused. The association between language use and a change in self-focus can be applied to the context of insider activity, where there is a shift from collaborative work to individual activity that is linked to the insider attack. The current findings indicate that even after an attack has occurred, the language of insiders remains more self-focused and less team-orientated than their co-workers in an interview context.</w:t>
      </w:r>
    </w:p>
    <w:p w14:paraId="4C85F788" w14:textId="5DF810C7" w:rsidR="00451875" w:rsidRPr="00451875" w:rsidRDefault="00451875" w:rsidP="00451875">
      <w:pPr>
        <w:ind w:firstLine="567"/>
        <w:jc w:val="both"/>
        <w:rPr>
          <w:color w:val="000000" w:themeColor="text1"/>
        </w:rPr>
      </w:pPr>
      <w:r w:rsidRPr="00451875">
        <w:t>The findings of the current study also provide empirical support for H2; insiders used significantly more negative emotion words than their non-insider counterparts during the post-simulation interviews. Such findings are consistent with research on verbal cues to deceit, which has shown that deception is often associated with an increase in negative emotion words (Newman et al., 2003). Research suggests that this increase occurs because deceivers feel guilty (</w:t>
      </w:r>
      <w:proofErr w:type="spellStart"/>
      <w:r w:rsidRPr="00451875">
        <w:t>Vrjj</w:t>
      </w:r>
      <w:proofErr w:type="spellEnd"/>
      <w:r w:rsidRPr="00451875">
        <w:t xml:space="preserve">, 2000). The idea that deceivers use more words related to negative emotion aligns with </w:t>
      </w:r>
      <w:r w:rsidR="002461A9" w:rsidRPr="4D5C29CA">
        <w:rPr>
          <w:rFonts w:cs="Arial"/>
          <w:color w:val="000000" w:themeColor="text1"/>
        </w:rPr>
        <w:t>Taylor et al.</w:t>
      </w:r>
      <w:r w:rsidR="002461A9">
        <w:rPr>
          <w:rFonts w:cs="Arial"/>
          <w:color w:val="000000" w:themeColor="text1"/>
        </w:rPr>
        <w:t>’s (</w:t>
      </w:r>
      <w:r w:rsidR="002461A9" w:rsidRPr="4D5C29CA">
        <w:rPr>
          <w:rFonts w:cs="Arial"/>
          <w:color w:val="000000" w:themeColor="text1"/>
        </w:rPr>
        <w:t>2013</w:t>
      </w:r>
      <w:r w:rsidR="002461A9">
        <w:rPr>
          <w:rFonts w:cs="Arial"/>
          <w:color w:val="000000" w:themeColor="text1"/>
        </w:rPr>
        <w:t xml:space="preserve">) </w:t>
      </w:r>
      <w:r w:rsidRPr="00451875">
        <w:t xml:space="preserve">findings that during an insider attack, insiders expressed more negative emotion than non-insiders. Again, the </w:t>
      </w:r>
      <w:r w:rsidRPr="00451875">
        <w:lastRenderedPageBreak/>
        <w:t>current study extends this research and indicates that such language differences relating to negative affect remain present even after an attack has occurred.</w:t>
      </w:r>
    </w:p>
    <w:p w14:paraId="4A75EEE7" w14:textId="77777777" w:rsidR="00451875" w:rsidRPr="00451875" w:rsidRDefault="00451875" w:rsidP="00451875">
      <w:pPr>
        <w:ind w:firstLine="567"/>
        <w:jc w:val="both"/>
      </w:pPr>
      <w:r w:rsidRPr="00451875">
        <w:t>Additionally, the findings from the current study demonstrate support for H3; insiders used words related to cognitive processing significantly more often than their non-insider counterparts when being interviewed. Such findings are again consistent with the literature on deception detection, which has found that deceivers show increased signs of cognitive load compared to their honest counterparts (</w:t>
      </w:r>
      <w:r w:rsidRPr="00451875">
        <w:rPr>
          <w:color w:val="222222"/>
          <w:shd w:val="clear" w:color="auto" w:fill="FFFFFF"/>
        </w:rPr>
        <w:t>Blandón-Gitlin et al., 2014</w:t>
      </w:r>
      <w:r w:rsidRPr="00451875">
        <w:t>) and this can manifest as an increase in words related to cognitive processing. This research indicates that deceivers experience increased cognitive effort because they must simultaneously monitor the interviewer’s reaction to their deception to assess the extent to which they are believed (Vrij et al., 2008). Additionally, research suggests that when individuals engage in deception, they engage in impression management to avoid displaying cues to deceit, which requires extra cognitive effort (Vrij et al., 2008).</w:t>
      </w:r>
    </w:p>
    <w:p w14:paraId="295AED3C" w14:textId="77777777" w:rsidR="00451875" w:rsidRPr="00451875" w:rsidRDefault="00451875" w:rsidP="00451875">
      <w:pPr>
        <w:ind w:firstLine="567"/>
        <w:jc w:val="both"/>
      </w:pPr>
      <w:r w:rsidRPr="00451875">
        <w:t xml:space="preserve">Finally, the present findings also support H4, whereby we find that the language differences that we have identified between insiders and non-insiders become significantly more pronounced when interviewees are questioned about the activities that they engaged in during later parts of the simulation (i.e., Game Parts 3 and 4) compared to the earlier parts. In Game Parts 3 and 4, insiders had been tasked to complete increasingly complex insider activities (e.g., to access another employee’s database for information). They received a further monetary incentive during these game parts for engaging in additional insider tasks. Our findings based on the analysis of the post-simulation interviews indicate that when insiders were questioned about their previous activities in each game part, they demonstrated a change in language use that mirrored that found in their email communication during the simulation itself. This finding presumably reflects the fact that when answering interview questions about their activities </w:t>
      </w:r>
      <w:r w:rsidRPr="00451875">
        <w:lastRenderedPageBreak/>
        <w:t xml:space="preserve">in Game Parts 3 and 4, insiders were likewise engaged in heightened levels of deception to conceal from the interviewer what their true intentions had been during these points in the simulation, where they were increasingly immersed in the attack. </w:t>
      </w:r>
    </w:p>
    <w:p w14:paraId="204BDE0E" w14:textId="77777777" w:rsidR="00451875" w:rsidRPr="00451875" w:rsidRDefault="00451875" w:rsidP="00451875">
      <w:pPr>
        <w:ind w:firstLine="567"/>
        <w:jc w:val="both"/>
      </w:pPr>
      <w:r w:rsidRPr="00451875">
        <w:t xml:space="preserve">Overall, our results suggest that insiders have a distinctive language pattern that differs from non-insiders and that knowledge of this might be useful in aiding the detection of insider threat. The unique language pattern shown in our results (i.e., increased use of personal </w:t>
      </w:r>
      <w:r w:rsidRPr="00451875">
        <w:rPr>
          <w:rFonts w:eastAsia="Calibri"/>
          <w:lang w:val="en-US"/>
        </w:rPr>
        <w:t>pronouns and words relating to negative affect and cognitive processing), encouraged us to develop an Insider Language Index (ILI) as a composite measure of language change for use in insider threat detection. As predicted, insiders had a higher ILI score than non-insiders, signifying the potential value of the ILI to distinguish between insiders and non-insiders with a high degree of reliability. The way that the ILI is calculated through the standardization of language scores across three linguistic categories and the subsequent aggregation of these scores for each person, meant that it provided a unique index of the overall use of “insider language” by an interviewee when describing their activity. The finding that even during a post-attack interview the ILI can differentiate between insiders and non-insiders suggests that this measure</w:t>
      </w:r>
      <w:r w:rsidRPr="00451875">
        <w:t xml:space="preserve"> could be generalisable and valuable for assisting organisations in detecting insiders to prevent additional attacks from being conducted. This would be particularly helpful given that insiders often conduct multiple attacks prior to being detected (</w:t>
      </w:r>
      <w:proofErr w:type="spellStart"/>
      <w:r w:rsidRPr="00451875">
        <w:t>Pfleeger</w:t>
      </w:r>
      <w:proofErr w:type="spellEnd"/>
      <w:r w:rsidRPr="00451875">
        <w:t xml:space="preserve">, 2008). </w:t>
      </w:r>
    </w:p>
    <w:p w14:paraId="19928EF6" w14:textId="77777777" w:rsidR="00451875" w:rsidRPr="00451875" w:rsidRDefault="00451875" w:rsidP="00451875">
      <w:pPr>
        <w:jc w:val="both"/>
        <w:rPr>
          <w:b/>
          <w:bCs/>
          <w:i/>
          <w:iCs/>
        </w:rPr>
      </w:pPr>
      <w:r w:rsidRPr="00451875">
        <w:rPr>
          <w:b/>
          <w:bCs/>
          <w:i/>
          <w:iCs/>
        </w:rPr>
        <w:t>Limitations and Future Directions</w:t>
      </w:r>
    </w:p>
    <w:p w14:paraId="26833EF9" w14:textId="00E8A8CB" w:rsidR="00451875" w:rsidRPr="00451875" w:rsidRDefault="00451875" w:rsidP="00451875">
      <w:pPr>
        <w:ind w:firstLine="567"/>
        <w:jc w:val="both"/>
      </w:pPr>
      <w:r w:rsidRPr="00451875">
        <w:t xml:space="preserve">To understand more fully the validity of our ILI measure, we need to consider whether patterns of language use are transferable to real-world organisational contexts. Therefore, analysing findings from multiple insider threat studies, perhaps utilising a similar methodology across a greater number of contexts, would give a more generalisable picture of the language used by insiders and how this could be identified by </w:t>
      </w:r>
      <w:r w:rsidRPr="00451875">
        <w:lastRenderedPageBreak/>
        <w:t>employers early on to mitigate the financial loss and disruption that can be caused because of an insider attack. It is encouraging to note that the language differences that we have identified are found both during an attack (</w:t>
      </w:r>
      <w:r w:rsidR="002461A9" w:rsidRPr="4D5C29CA">
        <w:rPr>
          <w:rFonts w:cs="Arial"/>
          <w:color w:val="000000" w:themeColor="text1"/>
        </w:rPr>
        <w:t>Taylor et al.</w:t>
      </w:r>
      <w:r w:rsidR="002461A9">
        <w:rPr>
          <w:rFonts w:cs="Arial"/>
          <w:color w:val="000000" w:themeColor="text1"/>
        </w:rPr>
        <w:t xml:space="preserve">, </w:t>
      </w:r>
      <w:r w:rsidR="002461A9" w:rsidRPr="4D5C29CA">
        <w:rPr>
          <w:rFonts w:cs="Arial"/>
          <w:color w:val="000000" w:themeColor="text1"/>
        </w:rPr>
        <w:t>2013</w:t>
      </w:r>
      <w:r w:rsidRPr="00451875">
        <w:t>) and in post-attack interviews. ILI patterns in our research were also found to be present across different interviewers, suggesting that language changes are stable to the individual conducting the insider attack, rather than being a feature of the dynamic interaction between interviewer and interviewee (</w:t>
      </w:r>
      <w:r w:rsidR="00E43218" w:rsidRPr="0078368B">
        <w:rPr>
          <w:rFonts w:cstheme="minorHAnsi"/>
        </w:rPr>
        <w:t>Richardson et al., 2018</w:t>
      </w:r>
      <w:r w:rsidRPr="00451875">
        <w:t>).</w:t>
      </w:r>
    </w:p>
    <w:p w14:paraId="14139480" w14:textId="77777777" w:rsidR="00451875" w:rsidRPr="00451875" w:rsidRDefault="00451875" w:rsidP="00050900">
      <w:pPr>
        <w:ind w:firstLine="567"/>
        <w:jc w:val="both"/>
      </w:pPr>
      <w:r w:rsidRPr="00451875">
        <w:t>It is also important, however, to treat our ILI measure with caution in terms of its application within real-world organisations. The ILI should not be viewed as a diagnostic tool to identify insiders with certainty, but rather as an approach to alert managers or security staff to the possibility that an employee is showing a distinctive pattern of language use that could warrant further investigation. It may be the case, for example, that insiders show similar patterns of language use to disgruntled employees (e.g., ones who have failed to receive an expected promotion) but who have not engaged in malicious insider activity. The similarities, or differences, between the language of such disgruntled employees and insiders remain to be tested, as well as the nature of the language changes that arise if an increasingly disgruntled individual transitions over time to become an insider by engaging in malicious activities aimed at damaging a company.</w:t>
      </w:r>
    </w:p>
    <w:p w14:paraId="4E34B543" w14:textId="77777777" w:rsidR="00451875" w:rsidRPr="00451875" w:rsidRDefault="00451875" w:rsidP="00451875">
      <w:pPr>
        <w:ind w:firstLine="567"/>
        <w:jc w:val="both"/>
      </w:pPr>
      <w:r w:rsidRPr="00451875">
        <w:t xml:space="preserve">Although our results suggest the potential importance of language use </w:t>
      </w:r>
      <w:proofErr w:type="gramStart"/>
      <w:r w:rsidRPr="00451875">
        <w:t>as a means to</w:t>
      </w:r>
      <w:proofErr w:type="gramEnd"/>
      <w:r w:rsidRPr="00451875">
        <w:t xml:space="preserve"> detect insider threat, there is much scope for further research to explore these effects to a greater extent. For example, it is not yet clear whether these language differences could help in the identification of insiders by human observers (e.g., by an interviewer) in the absence of a formal language analysis using LIWC. In addition, only the interview transcripts were analysed in the current study. These transcripts allowed us to test our hypotheses relating to language use, but we may have missed other important insider </w:t>
      </w:r>
      <w:r w:rsidRPr="00451875">
        <w:lastRenderedPageBreak/>
        <w:t>behaviours that are only identifiable through different types of interview recordings. For example, audio and visual formats may contribute to a focus on potentially significant non-verbal cues, such as tone of voice or fidgeting, which could be perceived by an observer to signal deception (Driskell, 2012) and, in turn may prove to be important when attempting to identify suspicious activity (</w:t>
      </w:r>
      <w:bookmarkStart w:id="27" w:name="_Hlk128211126"/>
      <w:r w:rsidRPr="00451875">
        <w:t>Bond &amp; DePaulo, 2006</w:t>
      </w:r>
      <w:bookmarkEnd w:id="27"/>
      <w:r w:rsidRPr="00451875">
        <w:t xml:space="preserve">). Therefore, future research should aim to investigate insider threat detection further by employing multiple interview formats to explore how accurate individuals are at detecting insider activity across different media. </w:t>
      </w:r>
    </w:p>
    <w:p w14:paraId="571A9F1C" w14:textId="77777777" w:rsidR="00451875" w:rsidRPr="00451875" w:rsidRDefault="00451875" w:rsidP="00451875">
      <w:pPr>
        <w:jc w:val="both"/>
        <w:rPr>
          <w:b/>
          <w:bCs/>
          <w:i/>
          <w:iCs/>
        </w:rPr>
      </w:pPr>
      <w:r w:rsidRPr="00451875">
        <w:rPr>
          <w:b/>
          <w:bCs/>
          <w:i/>
          <w:iCs/>
        </w:rPr>
        <w:t>Conclusion</w:t>
      </w:r>
    </w:p>
    <w:p w14:paraId="3356D1DC" w14:textId="77777777" w:rsidR="00451875" w:rsidRPr="00451875" w:rsidRDefault="00451875" w:rsidP="00451875">
      <w:pPr>
        <w:ind w:firstLine="720"/>
        <w:jc w:val="both"/>
      </w:pPr>
      <w:r w:rsidRPr="00451875">
        <w:t xml:space="preserve">This study provides further support for the notion that individual language use is a crucial factor in the detection of insider activity. This research significantly extends the previous literature by developing the first index that measures language features unique to insider activity. Theoretically, this advances our understanding of the extent to which language can tell us important things about individual cognition and motivation. Practically, it </w:t>
      </w:r>
      <w:proofErr w:type="gramStart"/>
      <w:r w:rsidRPr="00451875">
        <w:t>opens up</w:t>
      </w:r>
      <w:proofErr w:type="gramEnd"/>
      <w:r w:rsidRPr="00451875">
        <w:t xml:space="preserve"> the potential for the development of language-based models of malintent that can be used in early-detection of insider threat. This early detection will help organisations prevent further losses.</w:t>
      </w:r>
    </w:p>
    <w:p w14:paraId="24BDB2D9" w14:textId="77777777" w:rsidR="00451875" w:rsidRDefault="00451875" w:rsidP="00451875">
      <w:pPr>
        <w:ind w:firstLine="720"/>
        <w:jc w:val="both"/>
      </w:pPr>
    </w:p>
    <w:p w14:paraId="1C830514" w14:textId="77777777" w:rsidR="00451875" w:rsidRDefault="00451875" w:rsidP="00451875">
      <w:pPr>
        <w:ind w:firstLine="720"/>
        <w:jc w:val="both"/>
      </w:pPr>
    </w:p>
    <w:p w14:paraId="3C55E3B8" w14:textId="77777777" w:rsidR="00451875" w:rsidRDefault="00451875" w:rsidP="00451875">
      <w:pPr>
        <w:ind w:firstLine="720"/>
        <w:jc w:val="both"/>
      </w:pPr>
    </w:p>
    <w:p w14:paraId="1F06D530" w14:textId="77777777" w:rsidR="00451875" w:rsidRDefault="00451875" w:rsidP="00451875">
      <w:pPr>
        <w:ind w:firstLine="720"/>
        <w:jc w:val="both"/>
      </w:pPr>
    </w:p>
    <w:p w14:paraId="38AC0A80" w14:textId="77777777" w:rsidR="00451875" w:rsidRDefault="00451875" w:rsidP="00451875">
      <w:pPr>
        <w:ind w:firstLine="720"/>
        <w:jc w:val="both"/>
      </w:pPr>
    </w:p>
    <w:p w14:paraId="2BB6A792" w14:textId="77777777" w:rsidR="00451875" w:rsidRDefault="00451875" w:rsidP="00451875">
      <w:pPr>
        <w:ind w:firstLine="720"/>
        <w:jc w:val="both"/>
      </w:pPr>
    </w:p>
    <w:p w14:paraId="5E0614FE" w14:textId="77777777" w:rsidR="00451875" w:rsidRDefault="00451875" w:rsidP="00451875">
      <w:pPr>
        <w:ind w:firstLine="720"/>
        <w:jc w:val="both"/>
      </w:pPr>
    </w:p>
    <w:p w14:paraId="3F27E0BE" w14:textId="77777777" w:rsidR="00050900" w:rsidRDefault="00050900">
      <w:pPr>
        <w:spacing w:line="240" w:lineRule="auto"/>
      </w:pPr>
      <w:r>
        <w:br w:type="page"/>
      </w:r>
    </w:p>
    <w:p w14:paraId="36BD2E7D" w14:textId="560CABCE" w:rsidR="00716EF8" w:rsidRPr="00451875" w:rsidRDefault="00716EF8" w:rsidP="00716EF8">
      <w:pPr>
        <w:jc w:val="both"/>
        <w:rPr>
          <w:b/>
          <w:bCs/>
          <w:i/>
          <w:iCs/>
        </w:rPr>
      </w:pPr>
      <w:r w:rsidRPr="00451875">
        <w:rPr>
          <w:b/>
          <w:bCs/>
          <w:i/>
          <w:iCs/>
        </w:rPr>
        <w:lastRenderedPageBreak/>
        <w:t>Disclosure and Ethical Standards Statement</w:t>
      </w:r>
    </w:p>
    <w:p w14:paraId="12AD31B4" w14:textId="77777777" w:rsidR="00716EF8" w:rsidRPr="00451875" w:rsidRDefault="00716EF8" w:rsidP="00716EF8">
      <w:pPr>
        <w:ind w:firstLine="720"/>
        <w:jc w:val="both"/>
        <w:rPr>
          <w:color w:val="333333"/>
        </w:rPr>
      </w:pPr>
      <w:r w:rsidRPr="00451875">
        <w:t xml:space="preserve">All authors have declared no conflicts of interest. </w:t>
      </w:r>
      <w:r w:rsidRPr="00451875">
        <w:rPr>
          <w:color w:val="333333"/>
        </w:rPr>
        <w:t>All procedures performed in studies involving human participants were in accordance with the ethical standards of the institutional research committee [University of Central Lancashire (ethics committee, SCIENCE0129)], and with the 1964 Declaration of Helsinki and its later amendments or comparable ethical standards. Informed consent was obtained from all individual participants included in the original Taylor et al. (2013) study which included consent for the data to be used in future studies.</w:t>
      </w:r>
    </w:p>
    <w:p w14:paraId="12B7F84C" w14:textId="77777777" w:rsidR="00716EF8" w:rsidRDefault="00716EF8" w:rsidP="00716EF8">
      <w:pPr>
        <w:jc w:val="both"/>
      </w:pPr>
    </w:p>
    <w:p w14:paraId="10D543BD" w14:textId="77777777" w:rsidR="00451875" w:rsidRDefault="00451875" w:rsidP="00451875">
      <w:pPr>
        <w:ind w:firstLine="720"/>
        <w:jc w:val="both"/>
      </w:pPr>
    </w:p>
    <w:p w14:paraId="37CE4D7D" w14:textId="77777777" w:rsidR="00451875" w:rsidRDefault="00451875" w:rsidP="00451875">
      <w:pPr>
        <w:ind w:firstLine="720"/>
        <w:jc w:val="both"/>
      </w:pPr>
    </w:p>
    <w:p w14:paraId="391C37F0" w14:textId="77777777" w:rsidR="00451875" w:rsidRPr="00451875" w:rsidRDefault="00451875" w:rsidP="00451875">
      <w:pPr>
        <w:ind w:firstLine="720"/>
        <w:jc w:val="both"/>
      </w:pPr>
    </w:p>
    <w:p w14:paraId="70A5F943" w14:textId="77777777" w:rsidR="00451875" w:rsidRPr="00451875" w:rsidRDefault="00451875" w:rsidP="00451875">
      <w:pPr>
        <w:ind w:firstLine="720"/>
        <w:jc w:val="both"/>
      </w:pPr>
    </w:p>
    <w:p w14:paraId="1D110CA0" w14:textId="77777777" w:rsidR="00451875" w:rsidRPr="00451875" w:rsidRDefault="00451875" w:rsidP="00451875">
      <w:pPr>
        <w:ind w:firstLine="720"/>
        <w:jc w:val="both"/>
      </w:pPr>
    </w:p>
    <w:p w14:paraId="49489DBE" w14:textId="77777777" w:rsidR="00451875" w:rsidRPr="00451875" w:rsidRDefault="00451875" w:rsidP="00451875">
      <w:pPr>
        <w:ind w:firstLine="720"/>
        <w:jc w:val="both"/>
      </w:pPr>
    </w:p>
    <w:p w14:paraId="62A271F7" w14:textId="77777777" w:rsidR="00451875" w:rsidRPr="00451875" w:rsidRDefault="00451875" w:rsidP="00451875">
      <w:pPr>
        <w:ind w:firstLine="720"/>
        <w:jc w:val="both"/>
      </w:pPr>
    </w:p>
    <w:p w14:paraId="1580B81E" w14:textId="77777777" w:rsidR="00451875" w:rsidRPr="00451875" w:rsidRDefault="00451875" w:rsidP="00451875">
      <w:pPr>
        <w:ind w:firstLine="720"/>
        <w:jc w:val="both"/>
      </w:pPr>
    </w:p>
    <w:p w14:paraId="1B396D32" w14:textId="77777777" w:rsidR="00451875" w:rsidRDefault="00451875" w:rsidP="00451875">
      <w:pPr>
        <w:ind w:firstLine="720"/>
        <w:jc w:val="both"/>
      </w:pPr>
    </w:p>
    <w:p w14:paraId="43CB1315" w14:textId="77777777" w:rsidR="00716EF8" w:rsidRDefault="00716EF8" w:rsidP="00451875">
      <w:pPr>
        <w:ind w:firstLine="720"/>
        <w:jc w:val="both"/>
      </w:pPr>
    </w:p>
    <w:p w14:paraId="21C8F7B8" w14:textId="77777777" w:rsidR="00716EF8" w:rsidRDefault="00716EF8" w:rsidP="00451875">
      <w:pPr>
        <w:ind w:firstLine="720"/>
        <w:jc w:val="both"/>
      </w:pPr>
    </w:p>
    <w:p w14:paraId="24D58F56" w14:textId="77777777" w:rsidR="00716EF8" w:rsidRDefault="00716EF8" w:rsidP="00451875">
      <w:pPr>
        <w:ind w:firstLine="720"/>
        <w:jc w:val="both"/>
      </w:pPr>
    </w:p>
    <w:p w14:paraId="0BBAF2AF" w14:textId="77777777" w:rsidR="00716EF8" w:rsidRDefault="00716EF8" w:rsidP="00451875">
      <w:pPr>
        <w:ind w:firstLine="720"/>
        <w:jc w:val="both"/>
      </w:pPr>
    </w:p>
    <w:p w14:paraId="0A5C822C" w14:textId="77777777" w:rsidR="00716EF8" w:rsidRPr="00451875" w:rsidRDefault="00716EF8" w:rsidP="00451875">
      <w:pPr>
        <w:ind w:firstLine="720"/>
        <w:jc w:val="both"/>
      </w:pPr>
    </w:p>
    <w:p w14:paraId="320CAFEE" w14:textId="77777777" w:rsidR="00451875" w:rsidRPr="00451875" w:rsidRDefault="00451875" w:rsidP="00451875">
      <w:pPr>
        <w:pStyle w:val="Heading2"/>
        <w:spacing w:after="160"/>
        <w:jc w:val="center"/>
        <w:rPr>
          <w:b w:val="0"/>
          <w:bCs w:val="0"/>
        </w:rPr>
      </w:pPr>
      <w:r w:rsidRPr="00451875">
        <w:lastRenderedPageBreak/>
        <w:t>References</w:t>
      </w:r>
    </w:p>
    <w:p w14:paraId="2BC5F908" w14:textId="77777777" w:rsidR="00451875" w:rsidRPr="002F671C" w:rsidRDefault="00451875" w:rsidP="00451875">
      <w:pPr>
        <w:ind w:left="284" w:hanging="284"/>
        <w:rPr>
          <w:rFonts w:ascii="Arial" w:eastAsia="Arial" w:hAnsi="Arial" w:cs="Arial"/>
        </w:rPr>
      </w:pPr>
      <w:r w:rsidRPr="002F671C">
        <w:rPr>
          <w:shd w:val="clear" w:color="auto" w:fill="FFFFFF"/>
        </w:rPr>
        <w:t xml:space="preserve">Amado, B. G., Arce, R., Farina, F., &amp; </w:t>
      </w:r>
      <w:proofErr w:type="spellStart"/>
      <w:r w:rsidRPr="002F671C">
        <w:rPr>
          <w:shd w:val="clear" w:color="auto" w:fill="FFFFFF"/>
        </w:rPr>
        <w:t>Vilarino</w:t>
      </w:r>
      <w:proofErr w:type="spellEnd"/>
      <w:r w:rsidRPr="002F671C">
        <w:rPr>
          <w:shd w:val="clear" w:color="auto" w:fill="FFFFFF"/>
        </w:rPr>
        <w:t>, M. (2016). Criteria-Based Content Analysis (CBCA) reality criteria in adults: A meta-analytic review. </w:t>
      </w:r>
      <w:r w:rsidRPr="002F671C">
        <w:rPr>
          <w:i/>
          <w:shd w:val="clear" w:color="auto" w:fill="FFFFFF"/>
        </w:rPr>
        <w:t>International Journal of Clinical and Health Psychology</w:t>
      </w:r>
      <w:r w:rsidRPr="002F671C">
        <w:rPr>
          <w:shd w:val="clear" w:color="auto" w:fill="FFFFFF"/>
        </w:rPr>
        <w:t>, </w:t>
      </w:r>
      <w:r w:rsidRPr="002F671C">
        <w:rPr>
          <w:i/>
          <w:shd w:val="clear" w:color="auto" w:fill="FFFFFF"/>
        </w:rPr>
        <w:t>16</w:t>
      </w:r>
      <w:r w:rsidRPr="002F671C">
        <w:rPr>
          <w:shd w:val="clear" w:color="auto" w:fill="FFFFFF"/>
        </w:rPr>
        <w:t xml:space="preserve">(2), 201-210. </w:t>
      </w:r>
      <w:hyperlink r:id="rId12" w:tgtFrame="_blank" w:tooltip="Persistent link using digital object identifier" w:history="1">
        <w:r w:rsidRPr="002F671C">
          <w:rPr>
            <w:rStyle w:val="Hyperlink"/>
            <w:color w:val="auto"/>
            <w:u w:val="none"/>
            <w:shd w:val="clear" w:color="auto" w:fill="FFFFFF"/>
          </w:rPr>
          <w:t>https://doi.org/10.1016/j.ijchp.2016.01.002</w:t>
        </w:r>
      </w:hyperlink>
    </w:p>
    <w:p w14:paraId="64EF6AE4" w14:textId="77777777" w:rsidR="00451875" w:rsidRPr="002F671C" w:rsidRDefault="00451875" w:rsidP="00451875">
      <w:pPr>
        <w:ind w:left="284" w:hanging="284"/>
        <w:rPr>
          <w:rFonts w:ascii="Arial" w:eastAsia="Arial" w:hAnsi="Arial" w:cs="Arial"/>
        </w:rPr>
      </w:pPr>
      <w:r w:rsidRPr="002F671C">
        <w:rPr>
          <w:rFonts w:eastAsiaTheme="minorEastAsia"/>
        </w:rPr>
        <w:t xml:space="preserve">Berliner, L., &amp; Conte, J. R. (1995). The effects of disclosure and intervention on sexually abused children. </w:t>
      </w:r>
      <w:r w:rsidRPr="002F671C">
        <w:rPr>
          <w:rFonts w:eastAsiaTheme="minorEastAsia"/>
          <w:i/>
          <w:iCs/>
        </w:rPr>
        <w:t>Child Abuse &amp; Neglect</w:t>
      </w:r>
      <w:r w:rsidRPr="002F671C">
        <w:rPr>
          <w:rFonts w:eastAsiaTheme="minorEastAsia"/>
        </w:rPr>
        <w:t xml:space="preserve">, </w:t>
      </w:r>
      <w:r w:rsidRPr="002F671C">
        <w:rPr>
          <w:rFonts w:eastAsiaTheme="minorEastAsia"/>
          <w:i/>
          <w:iCs/>
        </w:rPr>
        <w:t>19</w:t>
      </w:r>
      <w:r w:rsidRPr="002F671C">
        <w:rPr>
          <w:rFonts w:eastAsiaTheme="minorEastAsia"/>
        </w:rPr>
        <w:t xml:space="preserve">(3), 371-384. </w:t>
      </w:r>
      <w:hyperlink r:id="rId13">
        <w:r w:rsidRPr="002F671C">
          <w:rPr>
            <w:rStyle w:val="Hyperlink"/>
            <w:rFonts w:eastAsiaTheme="minorEastAsia"/>
            <w:color w:val="auto"/>
            <w:u w:val="none"/>
          </w:rPr>
          <w:t>https://doi.org/10.1016/S0145-2134(94)00138-3</w:t>
        </w:r>
      </w:hyperlink>
    </w:p>
    <w:p w14:paraId="4FE49581" w14:textId="77777777" w:rsidR="00451875" w:rsidRPr="002F671C" w:rsidRDefault="00451875" w:rsidP="00451875">
      <w:pPr>
        <w:ind w:left="284" w:hanging="284"/>
        <w:rPr>
          <w:shd w:val="clear" w:color="auto" w:fill="FFFFFF"/>
        </w:rPr>
      </w:pPr>
      <w:r w:rsidRPr="002F671C">
        <w:rPr>
          <w:shd w:val="clear" w:color="auto" w:fill="FFFFFF"/>
        </w:rPr>
        <w:t>Blandón-Gitlin, I., Fenn, E., Masip, J., &amp; Yoo, A. H. (2014). Cognitive-load approaches to detect deception: Searching for cognitive mechanisms. </w:t>
      </w:r>
      <w:r w:rsidRPr="002F671C">
        <w:rPr>
          <w:i/>
          <w:shd w:val="clear" w:color="auto" w:fill="FFFFFF"/>
        </w:rPr>
        <w:t>Trends in Cognitive Sciences</w:t>
      </w:r>
      <w:r w:rsidRPr="002F671C">
        <w:rPr>
          <w:shd w:val="clear" w:color="auto" w:fill="FFFFFF"/>
        </w:rPr>
        <w:t>, </w:t>
      </w:r>
      <w:r w:rsidRPr="002F671C">
        <w:rPr>
          <w:i/>
          <w:shd w:val="clear" w:color="auto" w:fill="FFFFFF"/>
        </w:rPr>
        <w:t>18</w:t>
      </w:r>
      <w:r w:rsidRPr="002F671C">
        <w:rPr>
          <w:shd w:val="clear" w:color="auto" w:fill="FFFFFF"/>
        </w:rPr>
        <w:t>(9), 441-444. https://doi.org/10.1016/j.tics.2014.05.004</w:t>
      </w:r>
    </w:p>
    <w:p w14:paraId="0F484631" w14:textId="77777777" w:rsidR="00451875" w:rsidRPr="002F671C" w:rsidRDefault="00451875" w:rsidP="00451875">
      <w:pPr>
        <w:ind w:left="284" w:hanging="284"/>
        <w:rPr>
          <w:rFonts w:cstheme="minorHAnsi"/>
        </w:rPr>
      </w:pPr>
      <w:r w:rsidRPr="002F671C">
        <w:rPr>
          <w:rFonts w:cstheme="minorHAnsi"/>
          <w:shd w:val="clear" w:color="auto" w:fill="FFFFFF"/>
        </w:rPr>
        <w:t>Bond, C. F., &amp; DePaulo, B. M. (2006). Accuracy of deception judgments. </w:t>
      </w:r>
      <w:r w:rsidRPr="002F671C">
        <w:rPr>
          <w:rFonts w:cstheme="minorHAnsi"/>
          <w:i/>
          <w:iCs/>
          <w:shd w:val="clear" w:color="auto" w:fill="FFFFFF"/>
        </w:rPr>
        <w:t>Personality and Social Psychology Review</w:t>
      </w:r>
      <w:r w:rsidRPr="002F671C">
        <w:rPr>
          <w:rFonts w:cstheme="minorHAnsi"/>
          <w:shd w:val="clear" w:color="auto" w:fill="FFFFFF"/>
        </w:rPr>
        <w:t>, </w:t>
      </w:r>
      <w:r w:rsidRPr="002F671C">
        <w:rPr>
          <w:rFonts w:cstheme="minorHAnsi"/>
          <w:i/>
          <w:iCs/>
          <w:shd w:val="clear" w:color="auto" w:fill="FFFFFF"/>
        </w:rPr>
        <w:t>10</w:t>
      </w:r>
      <w:r w:rsidRPr="002F671C">
        <w:rPr>
          <w:rFonts w:cstheme="minorHAnsi"/>
          <w:shd w:val="clear" w:color="auto" w:fill="FFFFFF"/>
        </w:rPr>
        <w:t xml:space="preserve">(3), 214-234. </w:t>
      </w:r>
      <w:hyperlink r:id="rId14" w:history="1">
        <w:r w:rsidRPr="002F671C">
          <w:rPr>
            <w:rStyle w:val="Hyperlink"/>
            <w:rFonts w:cstheme="minorHAnsi"/>
            <w:color w:val="auto"/>
            <w:u w:val="none"/>
            <w:shd w:val="clear" w:color="auto" w:fill="FFFFFF"/>
          </w:rPr>
          <w:t>https://doi.org/10.1207/s15327957pspr1003_2</w:t>
        </w:r>
      </w:hyperlink>
    </w:p>
    <w:p w14:paraId="62B96E7C" w14:textId="77777777" w:rsidR="00451875" w:rsidRPr="002F671C" w:rsidRDefault="00451875" w:rsidP="00451875">
      <w:pPr>
        <w:ind w:left="284" w:hanging="284"/>
        <w:rPr>
          <w:rFonts w:cstheme="minorHAnsi"/>
        </w:rPr>
      </w:pPr>
      <w:r w:rsidRPr="002F671C">
        <w:rPr>
          <w:rFonts w:cstheme="minorHAnsi"/>
          <w:shd w:val="clear" w:color="auto" w:fill="FFFFFF"/>
        </w:rPr>
        <w:t>Bond, M., &amp; Pennebaker, J. W. (2012). Automated computer-based feedback in expressive writing. </w:t>
      </w:r>
      <w:r w:rsidRPr="002F671C">
        <w:rPr>
          <w:rFonts w:cstheme="minorHAnsi"/>
          <w:i/>
          <w:iCs/>
          <w:shd w:val="clear" w:color="auto" w:fill="FFFFFF"/>
        </w:rPr>
        <w:t>Computers in Human Behavior</w:t>
      </w:r>
      <w:r w:rsidRPr="002F671C">
        <w:rPr>
          <w:rFonts w:cstheme="minorHAnsi"/>
          <w:shd w:val="clear" w:color="auto" w:fill="FFFFFF"/>
        </w:rPr>
        <w:t>, </w:t>
      </w:r>
      <w:r w:rsidRPr="002F671C">
        <w:rPr>
          <w:rFonts w:cstheme="minorHAnsi"/>
          <w:i/>
          <w:iCs/>
          <w:shd w:val="clear" w:color="auto" w:fill="FFFFFF"/>
        </w:rPr>
        <w:t>28</w:t>
      </w:r>
      <w:r w:rsidRPr="002F671C">
        <w:rPr>
          <w:rFonts w:cstheme="minorHAnsi"/>
          <w:shd w:val="clear" w:color="auto" w:fill="FFFFFF"/>
        </w:rPr>
        <w:t xml:space="preserve">(3), 1014-1018. </w:t>
      </w:r>
      <w:hyperlink r:id="rId15" w:tgtFrame="_blank" w:tooltip="Persistent link using digital object identifier" w:history="1">
        <w:r w:rsidRPr="002F671C">
          <w:rPr>
            <w:rStyle w:val="anchor-text"/>
            <w:rFonts w:cstheme="minorHAnsi"/>
          </w:rPr>
          <w:t>https://doi.org/10.1016/j.chb.2012.01.003</w:t>
        </w:r>
      </w:hyperlink>
    </w:p>
    <w:p w14:paraId="7ED07D16" w14:textId="77777777" w:rsidR="00451875" w:rsidRPr="002F671C" w:rsidRDefault="00451875" w:rsidP="00451875">
      <w:pPr>
        <w:ind w:left="284" w:hanging="284"/>
        <w:rPr>
          <w:rFonts w:cstheme="minorHAnsi"/>
          <w:shd w:val="clear" w:color="auto" w:fill="FFFFFF"/>
        </w:rPr>
      </w:pPr>
      <w:proofErr w:type="spellStart"/>
      <w:r w:rsidRPr="002F671C">
        <w:rPr>
          <w:rFonts w:cstheme="minorHAnsi"/>
          <w:shd w:val="clear" w:color="auto" w:fill="FFFFFF"/>
        </w:rPr>
        <w:t>Brdiczka</w:t>
      </w:r>
      <w:proofErr w:type="spellEnd"/>
      <w:r w:rsidRPr="002F671C">
        <w:rPr>
          <w:rFonts w:cstheme="minorHAnsi"/>
          <w:shd w:val="clear" w:color="auto" w:fill="FFFFFF"/>
        </w:rPr>
        <w:t xml:space="preserve">, O., Liu, J., Price, B., Shen, J., Patil, A., Chow, R., &amp; </w:t>
      </w:r>
      <w:proofErr w:type="spellStart"/>
      <w:r w:rsidRPr="002F671C">
        <w:rPr>
          <w:rFonts w:cstheme="minorHAnsi"/>
          <w:shd w:val="clear" w:color="auto" w:fill="FFFFFF"/>
        </w:rPr>
        <w:t>Ducheneaut</w:t>
      </w:r>
      <w:proofErr w:type="spellEnd"/>
      <w:r w:rsidRPr="002F671C">
        <w:rPr>
          <w:rFonts w:cstheme="minorHAnsi"/>
          <w:shd w:val="clear" w:color="auto" w:fill="FFFFFF"/>
        </w:rPr>
        <w:t xml:space="preserve">, N. (2012). Proactive insider threat detection through graph learning and psychological context. </w:t>
      </w:r>
      <w:r w:rsidRPr="002F671C">
        <w:rPr>
          <w:rFonts w:cstheme="minorHAnsi"/>
          <w:i/>
          <w:iCs/>
          <w:shd w:val="clear" w:color="auto" w:fill="FFFFFF"/>
        </w:rPr>
        <w:t>Symposium on Security and Privacy Workshops</w:t>
      </w:r>
      <w:r w:rsidRPr="002F671C">
        <w:rPr>
          <w:rFonts w:cstheme="minorHAnsi"/>
          <w:shd w:val="clear" w:color="auto" w:fill="FFFFFF"/>
        </w:rPr>
        <w:t xml:space="preserve">, </w:t>
      </w:r>
      <w:r w:rsidRPr="002F671C">
        <w:rPr>
          <w:rFonts w:cstheme="minorHAnsi"/>
          <w:i/>
          <w:iCs/>
          <w:shd w:val="clear" w:color="auto" w:fill="FFFFFF"/>
        </w:rPr>
        <w:t>7</w:t>
      </w:r>
      <w:r w:rsidRPr="002F671C">
        <w:rPr>
          <w:rFonts w:cstheme="minorHAnsi"/>
          <w:shd w:val="clear" w:color="auto" w:fill="FFFFFF"/>
        </w:rPr>
        <w:t>(4), 142-149. https://doi.org/</w:t>
      </w:r>
      <w:hyperlink r:id="rId16" w:tgtFrame="_blank" w:history="1">
        <w:r w:rsidRPr="002F671C">
          <w:rPr>
            <w:rStyle w:val="Hyperlink"/>
            <w:rFonts w:cstheme="minorHAnsi"/>
            <w:color w:val="auto"/>
            <w:u w:val="none"/>
            <w:bdr w:val="none" w:sz="0" w:space="0" w:color="auto" w:frame="1"/>
            <w:shd w:val="clear" w:color="auto" w:fill="FFFFFF"/>
          </w:rPr>
          <w:t>10.1109/SPW.2012.29</w:t>
        </w:r>
      </w:hyperlink>
    </w:p>
    <w:p w14:paraId="1F5BA05E" w14:textId="77777777" w:rsidR="00451875" w:rsidRPr="002F671C" w:rsidRDefault="00451875" w:rsidP="00451875">
      <w:pPr>
        <w:ind w:left="284" w:hanging="284"/>
        <w:rPr>
          <w:rFonts w:cstheme="minorHAnsi"/>
          <w:shd w:val="clear" w:color="auto" w:fill="FFFFFF"/>
        </w:rPr>
      </w:pPr>
      <w:r w:rsidRPr="002F671C">
        <w:rPr>
          <w:rFonts w:cstheme="minorHAnsi"/>
          <w:shd w:val="clear" w:color="auto" w:fill="FFFFFF"/>
        </w:rPr>
        <w:t>Burns, M. B., &amp; Moffitt, K. C. (2014). Automated deception detection of 911 call transcripts. </w:t>
      </w:r>
      <w:r w:rsidRPr="002F671C">
        <w:rPr>
          <w:rFonts w:cstheme="minorHAnsi"/>
          <w:i/>
          <w:iCs/>
          <w:shd w:val="clear" w:color="auto" w:fill="FFFFFF"/>
        </w:rPr>
        <w:t>Security Informatics</w:t>
      </w:r>
      <w:r w:rsidRPr="002F671C">
        <w:rPr>
          <w:rFonts w:cstheme="minorHAnsi"/>
          <w:shd w:val="clear" w:color="auto" w:fill="FFFFFF"/>
        </w:rPr>
        <w:t>, </w:t>
      </w:r>
      <w:r w:rsidRPr="002F671C">
        <w:rPr>
          <w:rFonts w:cstheme="minorHAnsi"/>
          <w:i/>
          <w:iCs/>
          <w:shd w:val="clear" w:color="auto" w:fill="FFFFFF"/>
        </w:rPr>
        <w:t>3</w:t>
      </w:r>
      <w:r w:rsidRPr="002F671C">
        <w:rPr>
          <w:rFonts w:cstheme="minorHAnsi"/>
          <w:shd w:val="clear" w:color="auto" w:fill="FFFFFF"/>
        </w:rPr>
        <w:t>(1), 1-9. https://doi.org/</w:t>
      </w:r>
      <w:hyperlink r:id="rId17" w:tgtFrame="_blank" w:history="1">
        <w:r w:rsidRPr="002F671C">
          <w:rPr>
            <w:rStyle w:val="Hyperlink"/>
            <w:rFonts w:cstheme="minorHAnsi"/>
            <w:color w:val="auto"/>
            <w:u w:val="none"/>
            <w:bdr w:val="none" w:sz="0" w:space="0" w:color="auto" w:frame="1"/>
            <w:shd w:val="clear" w:color="auto" w:fill="FFFFFF"/>
          </w:rPr>
          <w:t>10.1186/s13388-014-0008-2</w:t>
        </w:r>
      </w:hyperlink>
    </w:p>
    <w:p w14:paraId="1923F4DE" w14:textId="77777777" w:rsidR="00451875" w:rsidRPr="002F671C" w:rsidRDefault="00451875" w:rsidP="00451875">
      <w:pPr>
        <w:ind w:left="284" w:hanging="284"/>
        <w:rPr>
          <w:rFonts w:cstheme="minorHAnsi"/>
          <w:shd w:val="clear" w:color="auto" w:fill="FFFFFF"/>
        </w:rPr>
      </w:pPr>
      <w:r w:rsidRPr="002F671C">
        <w:rPr>
          <w:rFonts w:cstheme="minorHAnsi"/>
          <w:shd w:val="clear" w:color="auto" w:fill="FFFFFF"/>
        </w:rPr>
        <w:lastRenderedPageBreak/>
        <w:t xml:space="preserve">Cohn, M. A., </w:t>
      </w:r>
      <w:proofErr w:type="spellStart"/>
      <w:r w:rsidRPr="002F671C">
        <w:rPr>
          <w:rFonts w:cstheme="minorHAnsi"/>
          <w:shd w:val="clear" w:color="auto" w:fill="FFFFFF"/>
        </w:rPr>
        <w:t>Mehl</w:t>
      </w:r>
      <w:proofErr w:type="spellEnd"/>
      <w:r w:rsidRPr="002F671C">
        <w:rPr>
          <w:rFonts w:cstheme="minorHAnsi"/>
          <w:shd w:val="clear" w:color="auto" w:fill="FFFFFF"/>
        </w:rPr>
        <w:t>, M. R., &amp; Pennebaker, J. W. (2004). Linguistic markers of psychological change surrounding September 11, 2001. </w:t>
      </w:r>
      <w:r w:rsidRPr="002F671C">
        <w:rPr>
          <w:rFonts w:cstheme="minorHAnsi"/>
          <w:i/>
          <w:iCs/>
          <w:shd w:val="clear" w:color="auto" w:fill="FFFFFF"/>
        </w:rPr>
        <w:t>Psychological Science</w:t>
      </w:r>
      <w:r w:rsidRPr="002F671C">
        <w:rPr>
          <w:rFonts w:cstheme="minorHAnsi"/>
          <w:shd w:val="clear" w:color="auto" w:fill="FFFFFF"/>
        </w:rPr>
        <w:t>, </w:t>
      </w:r>
      <w:r w:rsidRPr="002F671C">
        <w:rPr>
          <w:rFonts w:cstheme="minorHAnsi"/>
          <w:i/>
          <w:iCs/>
          <w:shd w:val="clear" w:color="auto" w:fill="FFFFFF"/>
        </w:rPr>
        <w:t>15</w:t>
      </w:r>
      <w:r w:rsidRPr="002F671C">
        <w:rPr>
          <w:rFonts w:cstheme="minorHAnsi"/>
          <w:shd w:val="clear" w:color="auto" w:fill="FFFFFF"/>
        </w:rPr>
        <w:t xml:space="preserve">(10), 687-693. </w:t>
      </w:r>
      <w:hyperlink r:id="rId18" w:history="1">
        <w:r w:rsidRPr="002F671C">
          <w:rPr>
            <w:rStyle w:val="Hyperlink"/>
            <w:rFonts w:cstheme="minorHAnsi"/>
            <w:color w:val="auto"/>
            <w:u w:val="none"/>
            <w:shd w:val="clear" w:color="auto" w:fill="FFFFFF"/>
          </w:rPr>
          <w:t>https://doi.org/10.1111/j.0956-7976.2004.00741.x</w:t>
        </w:r>
      </w:hyperlink>
    </w:p>
    <w:p w14:paraId="3254B499" w14:textId="77777777" w:rsidR="00F25972" w:rsidRPr="00F25972" w:rsidRDefault="00F25972" w:rsidP="00F25972">
      <w:pPr>
        <w:ind w:left="284" w:hanging="284"/>
        <w:rPr>
          <w:rFonts w:cstheme="minorHAnsi"/>
          <w:shd w:val="clear" w:color="auto" w:fill="FFFFFF"/>
        </w:rPr>
      </w:pPr>
      <w:r w:rsidRPr="00F25972">
        <w:rPr>
          <w:rFonts w:cstheme="minorHAnsi"/>
          <w:shd w:val="clear" w:color="auto" w:fill="FFFFFF"/>
        </w:rPr>
        <w:t xml:space="preserve">Dando, C. J., &amp; Bull, R. (2011). Maximising opportunities to detect verbal deception: Training police officers to interview tactically. </w:t>
      </w:r>
      <w:r w:rsidRPr="00F25972">
        <w:rPr>
          <w:rFonts w:cstheme="minorHAnsi"/>
          <w:i/>
          <w:iCs/>
          <w:shd w:val="clear" w:color="auto" w:fill="FFFFFF"/>
        </w:rPr>
        <w:t>Journal of Investigative Psychology and Offender Profiling, 8</w:t>
      </w:r>
      <w:r w:rsidRPr="00F25972">
        <w:rPr>
          <w:rFonts w:cstheme="minorHAnsi"/>
          <w:shd w:val="clear" w:color="auto" w:fill="FFFFFF"/>
        </w:rPr>
        <w:t xml:space="preserve">, 189-202. </w:t>
      </w:r>
      <w:hyperlink r:id="rId19" w:history="1">
        <w:r w:rsidRPr="00F25972">
          <w:rPr>
            <w:rStyle w:val="Hyperlink"/>
            <w:rFonts w:cstheme="minorHAnsi"/>
            <w:color w:val="auto"/>
            <w:u w:val="none"/>
            <w:shd w:val="clear" w:color="auto" w:fill="FFFFFF"/>
          </w:rPr>
          <w:t>https://doi.org/10.1002/jip.145</w:t>
        </w:r>
      </w:hyperlink>
    </w:p>
    <w:p w14:paraId="76A12247" w14:textId="77777777" w:rsidR="00F25972" w:rsidRPr="00F25972" w:rsidRDefault="00F25972" w:rsidP="00F25972">
      <w:pPr>
        <w:ind w:left="284" w:hanging="284"/>
        <w:rPr>
          <w:rFonts w:cstheme="minorHAnsi"/>
          <w:shd w:val="clear" w:color="auto" w:fill="FFFFFF"/>
        </w:rPr>
      </w:pPr>
      <w:r w:rsidRPr="00F25972">
        <w:rPr>
          <w:rFonts w:cstheme="minorHAnsi"/>
          <w:shd w:val="clear" w:color="auto" w:fill="FFFFFF"/>
        </w:rPr>
        <w:t xml:space="preserve">Dando, C. J., Bull, R., Ormerod, T. C., &amp; Sandham, A. L. (2018). Helping to sort the liars from the truth-tellers: The gradual revelation of information during investigative interviews. In R. Bull (Ed)., </w:t>
      </w:r>
      <w:r w:rsidRPr="00F25972">
        <w:rPr>
          <w:rFonts w:cstheme="minorHAnsi"/>
          <w:i/>
          <w:iCs/>
          <w:shd w:val="clear" w:color="auto" w:fill="FFFFFF"/>
        </w:rPr>
        <w:t>Investigating the truth</w:t>
      </w:r>
      <w:r w:rsidRPr="00F25972">
        <w:rPr>
          <w:rFonts w:cstheme="minorHAnsi"/>
          <w:shd w:val="clear" w:color="auto" w:fill="FFFFFF"/>
        </w:rPr>
        <w:t> (pp. 173-189). Routledge.</w:t>
      </w:r>
    </w:p>
    <w:p w14:paraId="1EACEFB0" w14:textId="77777777" w:rsidR="00F25972" w:rsidRPr="00F25972" w:rsidRDefault="00F25972" w:rsidP="00F25972">
      <w:pPr>
        <w:ind w:left="284" w:hanging="284"/>
        <w:rPr>
          <w:rFonts w:cstheme="minorHAnsi"/>
          <w:shd w:val="clear" w:color="auto" w:fill="FFFFFF"/>
        </w:rPr>
      </w:pPr>
      <w:r w:rsidRPr="00F25972">
        <w:rPr>
          <w:rFonts w:cstheme="minorHAnsi"/>
          <w:shd w:val="clear" w:color="auto" w:fill="FFFFFF"/>
        </w:rPr>
        <w:t>Dando, C. J., Taylor, P. J., Menacere, T., Ormerod, T. C., Ball, L. J., &amp; Sandham, A. L. (2024). Sorting Insiders from Co-workers: Remote synchronous computer-mediated triage for investigating insider attacks. </w:t>
      </w:r>
      <w:r w:rsidRPr="00F25972">
        <w:rPr>
          <w:rFonts w:cstheme="minorHAnsi"/>
          <w:i/>
          <w:iCs/>
          <w:shd w:val="clear" w:color="auto" w:fill="FFFFFF"/>
        </w:rPr>
        <w:t>Human Factors</w:t>
      </w:r>
      <w:r w:rsidRPr="00F25972">
        <w:rPr>
          <w:rFonts w:cstheme="minorHAnsi"/>
          <w:shd w:val="clear" w:color="auto" w:fill="FFFFFF"/>
        </w:rPr>
        <w:t xml:space="preserve">, </w:t>
      </w:r>
      <w:r w:rsidRPr="00F25972">
        <w:rPr>
          <w:rFonts w:cstheme="minorHAnsi"/>
          <w:i/>
          <w:iCs/>
          <w:shd w:val="clear" w:color="auto" w:fill="FFFFFF"/>
        </w:rPr>
        <w:t>66</w:t>
      </w:r>
      <w:r w:rsidRPr="00F25972">
        <w:rPr>
          <w:rFonts w:cstheme="minorHAnsi"/>
          <w:shd w:val="clear" w:color="auto" w:fill="FFFFFF"/>
        </w:rPr>
        <w:t>(1), 145-157.</w:t>
      </w:r>
      <w:r w:rsidRPr="00F25972">
        <w:rPr>
          <w:rFonts w:cstheme="minorHAnsi"/>
          <w:i/>
          <w:iCs/>
          <w:shd w:val="clear" w:color="auto" w:fill="FFFFFF"/>
        </w:rPr>
        <w:t xml:space="preserve"> </w:t>
      </w:r>
      <w:hyperlink r:id="rId20" w:history="1">
        <w:r w:rsidRPr="00F25972">
          <w:rPr>
            <w:rStyle w:val="Hyperlink"/>
            <w:rFonts w:cstheme="minorHAnsi"/>
            <w:color w:val="auto"/>
            <w:u w:val="none"/>
            <w:shd w:val="clear" w:color="auto" w:fill="FFFFFF"/>
          </w:rPr>
          <w:t>https://doi.org/10.1177/00187208211068292</w:t>
        </w:r>
      </w:hyperlink>
    </w:p>
    <w:p w14:paraId="2224271A" w14:textId="77777777" w:rsidR="00451875" w:rsidRPr="002F671C" w:rsidRDefault="00451875" w:rsidP="00451875">
      <w:pPr>
        <w:ind w:left="284" w:hanging="284"/>
        <w:rPr>
          <w:rFonts w:cstheme="minorHAnsi"/>
          <w:shd w:val="clear" w:color="auto" w:fill="FFFFFF"/>
        </w:rPr>
      </w:pPr>
      <w:r w:rsidRPr="002F671C">
        <w:rPr>
          <w:rFonts w:cstheme="minorHAnsi"/>
          <w:shd w:val="clear" w:color="auto" w:fill="FFFFFF"/>
        </w:rPr>
        <w:t>Driskell, J. E. (2012). Effectiveness of deception detection training: A meta-analysis. </w:t>
      </w:r>
      <w:r w:rsidRPr="002F671C">
        <w:rPr>
          <w:rFonts w:cstheme="minorHAnsi"/>
          <w:i/>
          <w:iCs/>
          <w:shd w:val="clear" w:color="auto" w:fill="FFFFFF"/>
        </w:rPr>
        <w:t>Psychology, Crime &amp; Law</w:t>
      </w:r>
      <w:r w:rsidRPr="002F671C">
        <w:rPr>
          <w:rFonts w:cstheme="minorHAnsi"/>
          <w:shd w:val="clear" w:color="auto" w:fill="FFFFFF"/>
        </w:rPr>
        <w:t>, </w:t>
      </w:r>
      <w:r w:rsidRPr="002F671C">
        <w:rPr>
          <w:rFonts w:cstheme="minorHAnsi"/>
          <w:i/>
          <w:iCs/>
          <w:shd w:val="clear" w:color="auto" w:fill="FFFFFF"/>
        </w:rPr>
        <w:t>18</w:t>
      </w:r>
      <w:r w:rsidRPr="002F671C">
        <w:rPr>
          <w:rFonts w:cstheme="minorHAnsi"/>
          <w:shd w:val="clear" w:color="auto" w:fill="FFFFFF"/>
        </w:rPr>
        <w:t xml:space="preserve">(8), 713-731. </w:t>
      </w:r>
      <w:hyperlink r:id="rId21" w:tgtFrame="_blank" w:history="1">
        <w:r w:rsidRPr="002F671C">
          <w:rPr>
            <w:rStyle w:val="Hyperlink"/>
            <w:rFonts w:cstheme="minorHAnsi"/>
            <w:color w:val="auto"/>
            <w:u w:val="none"/>
            <w:shd w:val="clear" w:color="auto" w:fill="FFFFFF"/>
          </w:rPr>
          <w:t>https://doi.org/10.1080/1068316X.2010.535820</w:t>
        </w:r>
      </w:hyperlink>
    </w:p>
    <w:p w14:paraId="5FFCCA23" w14:textId="77777777" w:rsidR="00451875" w:rsidRPr="002F671C" w:rsidRDefault="00451875" w:rsidP="00451875">
      <w:pPr>
        <w:ind w:left="284" w:hanging="284"/>
        <w:rPr>
          <w:rStyle w:val="Hyperlink"/>
          <w:rFonts w:cstheme="minorHAnsi"/>
          <w:color w:val="auto"/>
          <w:u w:val="none"/>
          <w:shd w:val="clear" w:color="auto" w:fill="FFFFFF"/>
        </w:rPr>
      </w:pPr>
      <w:r w:rsidRPr="002F671C">
        <w:rPr>
          <w:rFonts w:cstheme="minorHAnsi"/>
          <w:shd w:val="clear" w:color="auto" w:fill="FFFFFF"/>
        </w:rPr>
        <w:t>Duncan, A., Creese, S., &amp; Goldsmith, M. (2015). An overview of insider attacks in cloud computing. </w:t>
      </w:r>
      <w:r w:rsidRPr="002F671C">
        <w:rPr>
          <w:rFonts w:cstheme="minorHAnsi"/>
          <w:i/>
          <w:iCs/>
          <w:shd w:val="clear" w:color="auto" w:fill="FFFFFF"/>
        </w:rPr>
        <w:t>Concurrency and Computation: Practice and Experience</w:t>
      </w:r>
      <w:r w:rsidRPr="002F671C">
        <w:rPr>
          <w:rFonts w:cstheme="minorHAnsi"/>
          <w:shd w:val="clear" w:color="auto" w:fill="FFFFFF"/>
        </w:rPr>
        <w:t>, </w:t>
      </w:r>
      <w:r w:rsidRPr="002F671C">
        <w:rPr>
          <w:rFonts w:cstheme="minorHAnsi"/>
          <w:i/>
          <w:iCs/>
          <w:shd w:val="clear" w:color="auto" w:fill="FFFFFF"/>
        </w:rPr>
        <w:t>27</w:t>
      </w:r>
      <w:r w:rsidRPr="002F671C">
        <w:rPr>
          <w:rFonts w:cstheme="minorHAnsi"/>
          <w:shd w:val="clear" w:color="auto" w:fill="FFFFFF"/>
        </w:rPr>
        <w:t xml:space="preserve">(12), 2964-2981. </w:t>
      </w:r>
      <w:hyperlink r:id="rId22" w:history="1">
        <w:r w:rsidRPr="002F671C">
          <w:rPr>
            <w:rStyle w:val="Hyperlink"/>
            <w:rFonts w:cstheme="minorHAnsi"/>
            <w:color w:val="auto"/>
            <w:u w:val="none"/>
            <w:shd w:val="clear" w:color="auto" w:fill="FFFFFF"/>
          </w:rPr>
          <w:t>https://doi.org/10.1002/cpe.3243</w:t>
        </w:r>
      </w:hyperlink>
    </w:p>
    <w:p w14:paraId="7FE39BAB" w14:textId="77777777" w:rsidR="00451875" w:rsidRPr="002F671C" w:rsidRDefault="00451875" w:rsidP="00451875">
      <w:pPr>
        <w:ind w:left="284" w:hanging="284"/>
        <w:rPr>
          <w:rFonts w:cstheme="minorHAnsi"/>
          <w:shd w:val="clear" w:color="auto" w:fill="FFFFFF"/>
        </w:rPr>
      </w:pPr>
      <w:proofErr w:type="spellStart"/>
      <w:r w:rsidRPr="002F671C">
        <w:rPr>
          <w:rFonts w:cstheme="minorHAnsi"/>
          <w:shd w:val="clear" w:color="auto" w:fill="FFFFFF"/>
        </w:rPr>
        <w:t>Fenstermacher</w:t>
      </w:r>
      <w:proofErr w:type="spellEnd"/>
      <w:r w:rsidRPr="002F671C">
        <w:rPr>
          <w:rFonts w:cstheme="minorHAnsi"/>
          <w:shd w:val="clear" w:color="auto" w:fill="FFFFFF"/>
        </w:rPr>
        <w:t xml:space="preserve">, L., Larson, K., </w:t>
      </w:r>
      <w:proofErr w:type="spellStart"/>
      <w:r w:rsidRPr="002F671C">
        <w:rPr>
          <w:rFonts w:cstheme="minorHAnsi"/>
          <w:shd w:val="clear" w:color="auto" w:fill="FFFFFF"/>
        </w:rPr>
        <w:t>Vitiello</w:t>
      </w:r>
      <w:proofErr w:type="spellEnd"/>
      <w:r w:rsidRPr="002F671C">
        <w:rPr>
          <w:rFonts w:cstheme="minorHAnsi"/>
          <w:shd w:val="clear" w:color="auto" w:fill="FFFFFF"/>
        </w:rPr>
        <w:t xml:space="preserve">, C., </w:t>
      </w:r>
      <w:proofErr w:type="spellStart"/>
      <w:r w:rsidRPr="002F671C">
        <w:rPr>
          <w:rFonts w:cstheme="minorHAnsi"/>
          <w:shd w:val="clear" w:color="auto" w:fill="FFFFFF"/>
        </w:rPr>
        <w:t>Shellman</w:t>
      </w:r>
      <w:proofErr w:type="spellEnd"/>
      <w:r w:rsidRPr="002F671C">
        <w:rPr>
          <w:rFonts w:cstheme="minorHAnsi"/>
          <w:shd w:val="clear" w:color="auto" w:fill="FFFFFF"/>
        </w:rPr>
        <w:t xml:space="preserve">, S., &amp; Levey, B. (2022). Analytics for early detection of insider threat. </w:t>
      </w:r>
      <w:r w:rsidRPr="002F671C">
        <w:rPr>
          <w:rFonts w:cstheme="minorHAnsi"/>
          <w:i/>
          <w:iCs/>
          <w:shd w:val="clear" w:color="auto" w:fill="FFFFFF"/>
        </w:rPr>
        <w:t>Signal Processing, Sensor/Information Fusion, and Target Recognition, 12</w:t>
      </w:r>
      <w:r w:rsidRPr="002F671C">
        <w:rPr>
          <w:rFonts w:cstheme="minorHAnsi"/>
          <w:shd w:val="clear" w:color="auto" w:fill="FFFFFF"/>
        </w:rPr>
        <w:t>(22), 172-187. https://doi.org/10.1117/12.2624111</w:t>
      </w:r>
    </w:p>
    <w:p w14:paraId="59D7F218" w14:textId="77777777" w:rsidR="00451875" w:rsidRPr="002F671C" w:rsidRDefault="00451875" w:rsidP="00451875">
      <w:pPr>
        <w:ind w:left="284" w:hanging="284"/>
        <w:rPr>
          <w:rFonts w:cstheme="minorHAnsi"/>
        </w:rPr>
      </w:pPr>
      <w:proofErr w:type="spellStart"/>
      <w:r w:rsidRPr="002F671C">
        <w:rPr>
          <w:rFonts w:cstheme="minorHAnsi"/>
          <w:shd w:val="clear" w:color="auto" w:fill="FFFFFF"/>
        </w:rPr>
        <w:t>Giumetti</w:t>
      </w:r>
      <w:proofErr w:type="spellEnd"/>
      <w:r w:rsidRPr="002F671C">
        <w:rPr>
          <w:rFonts w:cstheme="minorHAnsi"/>
          <w:shd w:val="clear" w:color="auto" w:fill="FFFFFF"/>
        </w:rPr>
        <w:t xml:space="preserve">, G. W., Hatfield, A. L., </w:t>
      </w:r>
      <w:proofErr w:type="spellStart"/>
      <w:r w:rsidRPr="002F671C">
        <w:rPr>
          <w:rFonts w:cstheme="minorHAnsi"/>
          <w:shd w:val="clear" w:color="auto" w:fill="FFFFFF"/>
        </w:rPr>
        <w:t>Scisco</w:t>
      </w:r>
      <w:proofErr w:type="spellEnd"/>
      <w:r w:rsidRPr="002F671C">
        <w:rPr>
          <w:rFonts w:cstheme="minorHAnsi"/>
          <w:shd w:val="clear" w:color="auto" w:fill="FFFFFF"/>
        </w:rPr>
        <w:t xml:space="preserve">, J. L., Schroeder, A. N., </w:t>
      </w:r>
      <w:proofErr w:type="spellStart"/>
      <w:r w:rsidRPr="002F671C">
        <w:rPr>
          <w:rFonts w:cstheme="minorHAnsi"/>
          <w:shd w:val="clear" w:color="auto" w:fill="FFFFFF"/>
        </w:rPr>
        <w:t>Muth</w:t>
      </w:r>
      <w:proofErr w:type="spellEnd"/>
      <w:r w:rsidRPr="002F671C">
        <w:rPr>
          <w:rFonts w:cstheme="minorHAnsi"/>
          <w:shd w:val="clear" w:color="auto" w:fill="FFFFFF"/>
        </w:rPr>
        <w:t xml:space="preserve">, E. R., &amp; Kowalski, R. M. (2013). What a rude e-mail! Examining the differential effects of incivility versus support on mood, energy, engagement, and performance in an online </w:t>
      </w:r>
      <w:r w:rsidRPr="002F671C">
        <w:rPr>
          <w:rFonts w:cstheme="minorHAnsi"/>
          <w:shd w:val="clear" w:color="auto" w:fill="FFFFFF"/>
        </w:rPr>
        <w:lastRenderedPageBreak/>
        <w:t>context. </w:t>
      </w:r>
      <w:r w:rsidRPr="002F671C">
        <w:rPr>
          <w:rFonts w:cstheme="minorHAnsi"/>
          <w:i/>
          <w:iCs/>
          <w:shd w:val="clear" w:color="auto" w:fill="FFFFFF"/>
        </w:rPr>
        <w:t>Journal of Occupational Health Psychology</w:t>
      </w:r>
      <w:r w:rsidRPr="002F671C">
        <w:rPr>
          <w:rFonts w:cstheme="minorHAnsi"/>
          <w:shd w:val="clear" w:color="auto" w:fill="FFFFFF"/>
        </w:rPr>
        <w:t>, </w:t>
      </w:r>
      <w:r w:rsidRPr="002F671C">
        <w:rPr>
          <w:rFonts w:cstheme="minorHAnsi"/>
          <w:i/>
          <w:iCs/>
          <w:shd w:val="clear" w:color="auto" w:fill="FFFFFF"/>
        </w:rPr>
        <w:t>18</w:t>
      </w:r>
      <w:r w:rsidRPr="002F671C">
        <w:rPr>
          <w:rFonts w:cstheme="minorHAnsi"/>
          <w:shd w:val="clear" w:color="auto" w:fill="FFFFFF"/>
        </w:rPr>
        <w:t xml:space="preserve">(3), 297-309. </w:t>
      </w:r>
      <w:hyperlink r:id="rId23" w:tgtFrame="_blank" w:history="1">
        <w:r w:rsidRPr="002F671C">
          <w:rPr>
            <w:rStyle w:val="Hyperlink"/>
            <w:rFonts w:cstheme="minorHAnsi"/>
            <w:color w:val="auto"/>
            <w:u w:val="none"/>
            <w:shd w:val="clear" w:color="auto" w:fill="FFFFFF"/>
          </w:rPr>
          <w:t>https://doi.org/10.1037/a0032851</w:t>
        </w:r>
      </w:hyperlink>
    </w:p>
    <w:p w14:paraId="4C6F700A" w14:textId="77777777" w:rsidR="00451875" w:rsidRPr="002F671C" w:rsidRDefault="00451875" w:rsidP="00451875">
      <w:pPr>
        <w:ind w:left="284" w:hanging="284"/>
        <w:rPr>
          <w:rFonts w:cstheme="minorHAnsi"/>
          <w:shd w:val="clear" w:color="auto" w:fill="FFFFFF"/>
        </w:rPr>
      </w:pPr>
      <w:r w:rsidRPr="002F671C">
        <w:rPr>
          <w:rFonts w:cstheme="minorHAnsi"/>
          <w:shd w:val="clear" w:color="auto" w:fill="FFFFFF"/>
        </w:rPr>
        <w:t xml:space="preserve">Hancock, J. T., Curry, L. E., </w:t>
      </w:r>
      <w:proofErr w:type="spellStart"/>
      <w:r w:rsidRPr="002F671C">
        <w:rPr>
          <w:rFonts w:cstheme="minorHAnsi"/>
          <w:shd w:val="clear" w:color="auto" w:fill="FFFFFF"/>
        </w:rPr>
        <w:t>Goorha</w:t>
      </w:r>
      <w:proofErr w:type="spellEnd"/>
      <w:r w:rsidRPr="002F671C">
        <w:rPr>
          <w:rFonts w:cstheme="minorHAnsi"/>
          <w:shd w:val="clear" w:color="auto" w:fill="FFFFFF"/>
        </w:rPr>
        <w:t>, S., &amp; Woodworth, M. (2007). On lying and being lied to: A linguistic analysis of deception in computer-mediated communication. </w:t>
      </w:r>
      <w:r w:rsidRPr="002F671C">
        <w:rPr>
          <w:rFonts w:cstheme="minorHAnsi"/>
          <w:i/>
          <w:iCs/>
          <w:shd w:val="clear" w:color="auto" w:fill="FFFFFF"/>
        </w:rPr>
        <w:t>Discourse Processes</w:t>
      </w:r>
      <w:r w:rsidRPr="002F671C">
        <w:rPr>
          <w:rFonts w:cstheme="minorHAnsi"/>
          <w:shd w:val="clear" w:color="auto" w:fill="FFFFFF"/>
        </w:rPr>
        <w:t>, </w:t>
      </w:r>
      <w:r w:rsidRPr="002F671C">
        <w:rPr>
          <w:rFonts w:cstheme="minorHAnsi"/>
          <w:i/>
          <w:iCs/>
          <w:shd w:val="clear" w:color="auto" w:fill="FFFFFF"/>
        </w:rPr>
        <w:t>45</w:t>
      </w:r>
      <w:r w:rsidRPr="002F671C">
        <w:rPr>
          <w:rFonts w:cstheme="minorHAnsi"/>
          <w:shd w:val="clear" w:color="auto" w:fill="FFFFFF"/>
        </w:rPr>
        <w:t xml:space="preserve">(1), 1-23. </w:t>
      </w:r>
      <w:hyperlink r:id="rId24" w:history="1">
        <w:r w:rsidRPr="002F671C">
          <w:rPr>
            <w:rStyle w:val="Hyperlink"/>
            <w:rFonts w:cstheme="minorHAnsi"/>
            <w:color w:val="auto"/>
            <w:u w:val="none"/>
          </w:rPr>
          <w:t>https://doi.org/10.1080/01638530701739181</w:t>
        </w:r>
      </w:hyperlink>
    </w:p>
    <w:p w14:paraId="6A2A09FE" w14:textId="77777777" w:rsidR="00451875" w:rsidRPr="002F671C" w:rsidRDefault="00451875" w:rsidP="00451875">
      <w:pPr>
        <w:ind w:left="284" w:hanging="284"/>
        <w:rPr>
          <w:rFonts w:cstheme="minorHAnsi"/>
        </w:rPr>
      </w:pPr>
      <w:r w:rsidRPr="002F671C">
        <w:rPr>
          <w:rFonts w:cstheme="minorHAnsi"/>
          <w:shd w:val="clear" w:color="auto" w:fill="FFFFFF"/>
        </w:rPr>
        <w:t>Hauch, V., Blandón-Gitlin, I., Masip, J., &amp; Sporer, S. L. (2015). Are computers effective lie detectors? A meta-analysis of linguistic cues to deception. </w:t>
      </w:r>
      <w:r w:rsidRPr="002F671C">
        <w:rPr>
          <w:rFonts w:cstheme="minorHAnsi"/>
          <w:i/>
          <w:iCs/>
          <w:shd w:val="clear" w:color="auto" w:fill="FFFFFF"/>
        </w:rPr>
        <w:t>Personality and social psychology Review</w:t>
      </w:r>
      <w:r w:rsidRPr="002F671C">
        <w:rPr>
          <w:rFonts w:cstheme="minorHAnsi"/>
          <w:shd w:val="clear" w:color="auto" w:fill="FFFFFF"/>
        </w:rPr>
        <w:t>, </w:t>
      </w:r>
      <w:r w:rsidRPr="002F671C">
        <w:rPr>
          <w:rFonts w:cstheme="minorHAnsi"/>
          <w:i/>
          <w:iCs/>
          <w:shd w:val="clear" w:color="auto" w:fill="FFFFFF"/>
        </w:rPr>
        <w:t>19</w:t>
      </w:r>
      <w:r w:rsidRPr="002F671C">
        <w:rPr>
          <w:rFonts w:cstheme="minorHAnsi"/>
          <w:shd w:val="clear" w:color="auto" w:fill="FFFFFF"/>
        </w:rPr>
        <w:t xml:space="preserve">(4), 307-342. </w:t>
      </w:r>
      <w:r w:rsidRPr="002F671C">
        <w:rPr>
          <w:rFonts w:cstheme="minorHAnsi"/>
          <w:iCs/>
          <w:shd w:val="clear" w:color="auto" w:fill="FFFFFF"/>
        </w:rPr>
        <w:t>https://doi.org/</w:t>
      </w:r>
      <w:hyperlink r:id="rId25" w:tgtFrame="_blank" w:history="1">
        <w:r w:rsidRPr="002F671C">
          <w:rPr>
            <w:rStyle w:val="Hyperlink"/>
            <w:rFonts w:cstheme="minorHAnsi"/>
            <w:color w:val="auto"/>
            <w:u w:val="none"/>
            <w:shd w:val="clear" w:color="auto" w:fill="FFFFFF"/>
          </w:rPr>
          <w:t>10.1177/1088868314556539</w:t>
        </w:r>
      </w:hyperlink>
    </w:p>
    <w:p w14:paraId="2C08371D" w14:textId="77777777" w:rsidR="00451875" w:rsidRPr="002F671C" w:rsidRDefault="00451875" w:rsidP="00451875">
      <w:pPr>
        <w:ind w:left="284" w:hanging="284"/>
        <w:rPr>
          <w:rFonts w:eastAsiaTheme="minorEastAsia"/>
        </w:rPr>
      </w:pPr>
      <w:r w:rsidRPr="002F671C">
        <w:rPr>
          <w:rFonts w:eastAsiaTheme="minorEastAsia"/>
        </w:rPr>
        <w:t xml:space="preserve">Johnson, M. K., </w:t>
      </w:r>
      <w:proofErr w:type="spellStart"/>
      <w:r w:rsidRPr="002F671C">
        <w:rPr>
          <w:rFonts w:eastAsiaTheme="minorEastAsia"/>
        </w:rPr>
        <w:t>Hashtroudi</w:t>
      </w:r>
      <w:proofErr w:type="spellEnd"/>
      <w:r w:rsidRPr="002F671C">
        <w:rPr>
          <w:rFonts w:eastAsiaTheme="minorEastAsia"/>
        </w:rPr>
        <w:t xml:space="preserve">, S., &amp; Lindsay, D. S. (1993). Source monitoring. </w:t>
      </w:r>
      <w:r w:rsidRPr="002F671C">
        <w:rPr>
          <w:rFonts w:eastAsiaTheme="minorEastAsia"/>
          <w:i/>
        </w:rPr>
        <w:t>Psychological Bulletin</w:t>
      </w:r>
      <w:r w:rsidRPr="002F671C">
        <w:rPr>
          <w:rFonts w:eastAsiaTheme="minorEastAsia"/>
        </w:rPr>
        <w:t xml:space="preserve">, </w:t>
      </w:r>
      <w:r w:rsidRPr="002F671C">
        <w:rPr>
          <w:rFonts w:eastAsiaTheme="minorEastAsia"/>
          <w:i/>
        </w:rPr>
        <w:t>114</w:t>
      </w:r>
      <w:r w:rsidRPr="002F671C">
        <w:rPr>
          <w:rFonts w:eastAsiaTheme="minorEastAsia"/>
        </w:rPr>
        <w:t xml:space="preserve">(1), 3. </w:t>
      </w:r>
      <w:hyperlink r:id="rId26">
        <w:r w:rsidRPr="002F671C">
          <w:rPr>
            <w:rStyle w:val="Hyperlink"/>
            <w:rFonts w:eastAsiaTheme="minorEastAsia"/>
            <w:color w:val="auto"/>
            <w:u w:val="none"/>
          </w:rPr>
          <w:t>https://doi.org/10.1037/0033-2909.114.1.3</w:t>
        </w:r>
      </w:hyperlink>
    </w:p>
    <w:p w14:paraId="52372462" w14:textId="77777777" w:rsidR="00451875" w:rsidRPr="002F671C" w:rsidRDefault="00451875" w:rsidP="00451875">
      <w:pPr>
        <w:ind w:left="284" w:hanging="284"/>
        <w:rPr>
          <w:rFonts w:cstheme="minorHAnsi"/>
          <w:shd w:val="clear" w:color="auto" w:fill="FFFFFF"/>
        </w:rPr>
      </w:pPr>
      <w:proofErr w:type="spellStart"/>
      <w:r w:rsidRPr="002F671C">
        <w:rPr>
          <w:rFonts w:cstheme="minorHAnsi"/>
          <w:shd w:val="clear" w:color="auto" w:fill="FFFFFF"/>
        </w:rPr>
        <w:t>Kacewicz</w:t>
      </w:r>
      <w:proofErr w:type="spellEnd"/>
      <w:r w:rsidRPr="002F671C">
        <w:rPr>
          <w:rFonts w:cstheme="minorHAnsi"/>
          <w:shd w:val="clear" w:color="auto" w:fill="FFFFFF"/>
        </w:rPr>
        <w:t xml:space="preserve">, E., Pennebaker, J. W., Davis, M., Jeon, M., &amp; </w:t>
      </w:r>
      <w:proofErr w:type="spellStart"/>
      <w:r w:rsidRPr="002F671C">
        <w:rPr>
          <w:rFonts w:cstheme="minorHAnsi"/>
          <w:shd w:val="clear" w:color="auto" w:fill="FFFFFF"/>
        </w:rPr>
        <w:t>Graesser</w:t>
      </w:r>
      <w:proofErr w:type="spellEnd"/>
      <w:r w:rsidRPr="002F671C">
        <w:rPr>
          <w:rFonts w:cstheme="minorHAnsi"/>
          <w:shd w:val="clear" w:color="auto" w:fill="FFFFFF"/>
        </w:rPr>
        <w:t>, A. C. (2014). Pronoun use reflects standings in social hierarchies. </w:t>
      </w:r>
      <w:r w:rsidRPr="002F671C">
        <w:rPr>
          <w:rFonts w:cstheme="minorHAnsi"/>
          <w:i/>
          <w:iCs/>
          <w:shd w:val="clear" w:color="auto" w:fill="FFFFFF"/>
        </w:rPr>
        <w:t>Journal of Language and Social Psychology</w:t>
      </w:r>
      <w:r w:rsidRPr="002F671C">
        <w:rPr>
          <w:rFonts w:cstheme="minorHAnsi"/>
          <w:shd w:val="clear" w:color="auto" w:fill="FFFFFF"/>
        </w:rPr>
        <w:t>, </w:t>
      </w:r>
      <w:r w:rsidRPr="002F671C">
        <w:rPr>
          <w:rFonts w:cstheme="minorHAnsi"/>
          <w:i/>
          <w:iCs/>
          <w:shd w:val="clear" w:color="auto" w:fill="FFFFFF"/>
        </w:rPr>
        <w:t>33</w:t>
      </w:r>
      <w:r w:rsidRPr="002F671C">
        <w:rPr>
          <w:rFonts w:cstheme="minorHAnsi"/>
          <w:shd w:val="clear" w:color="auto" w:fill="FFFFFF"/>
        </w:rPr>
        <w:t xml:space="preserve">(2), 125-143. </w:t>
      </w:r>
      <w:hyperlink r:id="rId27" w:history="1">
        <w:r w:rsidRPr="002F671C">
          <w:rPr>
            <w:rStyle w:val="Hyperlink"/>
            <w:rFonts w:cstheme="minorHAnsi"/>
            <w:color w:val="auto"/>
            <w:u w:val="none"/>
            <w:shd w:val="clear" w:color="auto" w:fill="FFFFFF"/>
          </w:rPr>
          <w:t>https://doi.org/10.1177/0261927X13502654</w:t>
        </w:r>
      </w:hyperlink>
    </w:p>
    <w:p w14:paraId="287B9D11" w14:textId="77777777" w:rsidR="00451875" w:rsidRPr="002F671C" w:rsidRDefault="00451875" w:rsidP="00451875">
      <w:pPr>
        <w:ind w:left="284" w:hanging="284"/>
        <w:rPr>
          <w:rFonts w:cstheme="minorHAnsi"/>
          <w:shd w:val="clear" w:color="auto" w:fill="FFFFFF"/>
        </w:rPr>
      </w:pPr>
      <w:r w:rsidRPr="002F671C">
        <w:rPr>
          <w:rFonts w:cstheme="minorHAnsi"/>
          <w:shd w:val="clear" w:color="auto" w:fill="FFFFFF"/>
        </w:rPr>
        <w:t>Landry, K. L., &amp; Brigham, J. C. (1992). The effect of training in criteria-based content analysis on the ability to detect deception in adults. </w:t>
      </w:r>
      <w:r w:rsidRPr="002F671C">
        <w:rPr>
          <w:rFonts w:cstheme="minorHAnsi"/>
          <w:i/>
          <w:iCs/>
          <w:shd w:val="clear" w:color="auto" w:fill="FFFFFF"/>
        </w:rPr>
        <w:t>Law and Human Behavior</w:t>
      </w:r>
      <w:r w:rsidRPr="002F671C">
        <w:rPr>
          <w:rFonts w:cstheme="minorHAnsi"/>
          <w:shd w:val="clear" w:color="auto" w:fill="FFFFFF"/>
        </w:rPr>
        <w:t>, </w:t>
      </w:r>
      <w:r w:rsidRPr="002F671C">
        <w:rPr>
          <w:rFonts w:cstheme="minorHAnsi"/>
          <w:i/>
          <w:iCs/>
          <w:shd w:val="clear" w:color="auto" w:fill="FFFFFF"/>
        </w:rPr>
        <w:t>16</w:t>
      </w:r>
      <w:r w:rsidRPr="002F671C">
        <w:rPr>
          <w:rFonts w:cstheme="minorHAnsi"/>
          <w:shd w:val="clear" w:color="auto" w:fill="FFFFFF"/>
        </w:rPr>
        <w:t xml:space="preserve">(6), 663-676. </w:t>
      </w:r>
      <w:hyperlink r:id="rId28" w:history="1">
        <w:r w:rsidRPr="002F671C">
          <w:rPr>
            <w:rStyle w:val="Hyperlink"/>
            <w:rFonts w:cstheme="minorHAnsi"/>
            <w:color w:val="auto"/>
            <w:u w:val="none"/>
            <w:shd w:val="clear" w:color="auto" w:fill="FFFFFF"/>
          </w:rPr>
          <w:t>https://doi.org/10.1007/BF01884022</w:t>
        </w:r>
      </w:hyperlink>
    </w:p>
    <w:p w14:paraId="29456A5F" w14:textId="77777777" w:rsidR="00451875" w:rsidRPr="002F671C" w:rsidRDefault="00451875" w:rsidP="00451875">
      <w:pPr>
        <w:ind w:left="284" w:hanging="284"/>
        <w:rPr>
          <w:rFonts w:cstheme="minorHAnsi"/>
          <w:shd w:val="clear" w:color="auto" w:fill="FFFFFF"/>
        </w:rPr>
      </w:pPr>
      <w:r w:rsidRPr="002F671C">
        <w:rPr>
          <w:rFonts w:cstheme="minorHAnsi"/>
          <w:shd w:val="clear" w:color="auto" w:fill="FFFFFF"/>
        </w:rPr>
        <w:t xml:space="preserve">Legg, P. A., Buckley, O., Goldsmith, M., &amp; Creese, S. (2015). Caught in the act of an insider attack: detection and assessment of insider threat. </w:t>
      </w:r>
      <w:r w:rsidRPr="002F671C">
        <w:rPr>
          <w:rFonts w:cstheme="minorHAnsi"/>
          <w:i/>
          <w:iCs/>
          <w:shd w:val="clear" w:color="auto" w:fill="FFFFFF"/>
        </w:rPr>
        <w:t>International Symposium on Technologies for Homeland Security</w:t>
      </w:r>
      <w:r w:rsidRPr="002F671C">
        <w:rPr>
          <w:rFonts w:cstheme="minorHAnsi"/>
          <w:shd w:val="clear" w:color="auto" w:fill="FFFFFF"/>
        </w:rPr>
        <w:t xml:space="preserve">, </w:t>
      </w:r>
      <w:r w:rsidRPr="002F671C">
        <w:rPr>
          <w:rFonts w:cstheme="minorHAnsi"/>
          <w:i/>
          <w:iCs/>
          <w:shd w:val="clear" w:color="auto" w:fill="FFFFFF"/>
        </w:rPr>
        <w:t>4</w:t>
      </w:r>
      <w:r w:rsidRPr="002F671C">
        <w:rPr>
          <w:rFonts w:cstheme="minorHAnsi"/>
          <w:shd w:val="clear" w:color="auto" w:fill="FFFFFF"/>
        </w:rPr>
        <w:t xml:space="preserve">(1), 1-6. </w:t>
      </w:r>
      <w:hyperlink r:id="rId29" w:history="1">
        <w:r w:rsidRPr="002F671C">
          <w:rPr>
            <w:rStyle w:val="Hyperlink"/>
            <w:rFonts w:cstheme="minorHAnsi"/>
            <w:color w:val="auto"/>
            <w:u w:val="none"/>
          </w:rPr>
          <w:t>10.1109/THS.2015.7446229</w:t>
        </w:r>
      </w:hyperlink>
    </w:p>
    <w:p w14:paraId="670E8624" w14:textId="77777777" w:rsidR="00451875" w:rsidRPr="002F671C" w:rsidRDefault="00451875" w:rsidP="00451875">
      <w:pPr>
        <w:ind w:left="284" w:hanging="284"/>
        <w:rPr>
          <w:shd w:val="clear" w:color="auto" w:fill="FFFFFF"/>
        </w:rPr>
      </w:pPr>
      <w:bookmarkStart w:id="28" w:name="_Hlk128211219"/>
      <w:r w:rsidRPr="002F671C">
        <w:rPr>
          <w:shd w:val="clear" w:color="auto" w:fill="FFFFFF"/>
        </w:rPr>
        <w:t xml:space="preserve">Levitan, S. I., </w:t>
      </w:r>
      <w:proofErr w:type="spellStart"/>
      <w:r w:rsidRPr="002F671C">
        <w:rPr>
          <w:shd w:val="clear" w:color="auto" w:fill="FFFFFF"/>
        </w:rPr>
        <w:t>Maredia</w:t>
      </w:r>
      <w:proofErr w:type="spellEnd"/>
      <w:r w:rsidRPr="002F671C">
        <w:rPr>
          <w:shd w:val="clear" w:color="auto" w:fill="FFFFFF"/>
        </w:rPr>
        <w:t xml:space="preserve">, A., &amp; Hirschberg, J. (2018). </w:t>
      </w:r>
      <w:bookmarkEnd w:id="28"/>
      <w:r w:rsidRPr="002F671C">
        <w:rPr>
          <w:shd w:val="clear" w:color="auto" w:fill="FFFFFF"/>
        </w:rPr>
        <w:t>Linguistic cues to deception and perceived deception in interview dialogues. In </w:t>
      </w:r>
      <w:r w:rsidRPr="002F671C">
        <w:rPr>
          <w:i/>
          <w:shd w:val="clear" w:color="auto" w:fill="FFFFFF"/>
        </w:rPr>
        <w:t xml:space="preserve">Proceedings of the 2018 Conference of the North American Chapter of the Association for Computational Linguistics: </w:t>
      </w:r>
      <w:r w:rsidRPr="002F671C">
        <w:rPr>
          <w:i/>
          <w:shd w:val="clear" w:color="auto" w:fill="FFFFFF"/>
        </w:rPr>
        <w:lastRenderedPageBreak/>
        <w:t>Human Language Technologies, 1</w:t>
      </w:r>
      <w:r w:rsidRPr="002F671C">
        <w:rPr>
          <w:shd w:val="clear" w:color="auto" w:fill="FFFFFF"/>
        </w:rPr>
        <w:t>(4)</w:t>
      </w:r>
      <w:r w:rsidRPr="002F671C">
        <w:rPr>
          <w:i/>
          <w:shd w:val="clear" w:color="auto" w:fill="FFFFFF"/>
        </w:rPr>
        <w:t xml:space="preserve">, </w:t>
      </w:r>
      <w:r w:rsidRPr="002F671C">
        <w:rPr>
          <w:shd w:val="clear" w:color="auto" w:fill="FFFFFF"/>
        </w:rPr>
        <w:t xml:space="preserve">1941-1950. </w:t>
      </w:r>
      <w:r w:rsidRPr="002F671C">
        <w:rPr>
          <w:rFonts w:cstheme="minorHAnsi"/>
          <w:shd w:val="clear" w:color="auto" w:fill="FFFFFF"/>
        </w:rPr>
        <w:t>https://doi.org/</w:t>
      </w:r>
      <w:hyperlink r:id="rId30" w:tooltip="To the current version of the paper by DOI" w:history="1">
        <w:r w:rsidRPr="002F671C">
          <w:rPr>
            <w:rStyle w:val="Hyperlink"/>
            <w:color w:val="auto"/>
            <w:u w:val="none"/>
            <w:shd w:val="clear" w:color="auto" w:fill="FFFFFF"/>
          </w:rPr>
          <w:t>10.18653/v1/N18-1176</w:t>
        </w:r>
      </w:hyperlink>
    </w:p>
    <w:p w14:paraId="333D05CB" w14:textId="77777777" w:rsidR="00451875" w:rsidRPr="002F671C" w:rsidRDefault="00451875" w:rsidP="00451875">
      <w:pPr>
        <w:ind w:left="284" w:hanging="284"/>
        <w:rPr>
          <w:rFonts w:ascii="Open Sans" w:eastAsia="Open Sans" w:hAnsi="Open Sans" w:cs="Open Sans"/>
        </w:rPr>
      </w:pPr>
      <w:r w:rsidRPr="002F671C">
        <w:rPr>
          <w:shd w:val="clear" w:color="auto" w:fill="FFFFFF"/>
        </w:rPr>
        <w:t xml:space="preserve">Maloof, M. A., &amp; Stephens, G. D. (2007). Elicit: A system for detecting insiders who violate need-to-know. </w:t>
      </w:r>
      <w:r w:rsidRPr="002F671C">
        <w:rPr>
          <w:i/>
          <w:shd w:val="clear" w:color="auto" w:fill="FFFFFF"/>
        </w:rPr>
        <w:t>International Workshop on Recent Advances in Intrusion Detection</w:t>
      </w:r>
      <w:r w:rsidRPr="002F671C">
        <w:rPr>
          <w:shd w:val="clear" w:color="auto" w:fill="FFFFFF"/>
        </w:rPr>
        <w:t xml:space="preserve">, </w:t>
      </w:r>
      <w:r w:rsidRPr="002F671C">
        <w:rPr>
          <w:i/>
          <w:shd w:val="clear" w:color="auto" w:fill="FFFFFF"/>
        </w:rPr>
        <w:t>14</w:t>
      </w:r>
      <w:r w:rsidRPr="002F671C">
        <w:rPr>
          <w:shd w:val="clear" w:color="auto" w:fill="FFFFFF"/>
        </w:rPr>
        <w:t xml:space="preserve">(10), 146-166. </w:t>
      </w:r>
      <w:hyperlink r:id="rId31" w:tgtFrame="_blank" w:history="1">
        <w:r w:rsidRPr="002F671C">
          <w:rPr>
            <w:rStyle w:val="Hyperlink"/>
            <w:color w:val="auto"/>
            <w:u w:val="none"/>
            <w:bdr w:val="none" w:sz="0" w:space="0" w:color="auto" w:frame="1"/>
            <w:shd w:val="clear" w:color="auto" w:fill="FFFFFF"/>
          </w:rPr>
          <w:t>10.1007/978-3-540-74320-0_8</w:t>
        </w:r>
      </w:hyperlink>
      <w:r w:rsidRPr="002F671C">
        <w:rPr>
          <w:shd w:val="clear" w:color="auto" w:fill="FFFFFF"/>
        </w:rPr>
        <w:t xml:space="preserve"> </w:t>
      </w:r>
    </w:p>
    <w:p w14:paraId="47141A1B" w14:textId="77777777" w:rsidR="00451875" w:rsidRPr="002F671C" w:rsidRDefault="00451875" w:rsidP="00451875">
      <w:pPr>
        <w:ind w:left="284" w:hanging="284"/>
        <w:rPr>
          <w:rFonts w:eastAsiaTheme="minorEastAsia"/>
          <w:shd w:val="clear" w:color="auto" w:fill="FFFFFF"/>
        </w:rPr>
      </w:pPr>
      <w:r w:rsidRPr="002F671C">
        <w:rPr>
          <w:rFonts w:eastAsiaTheme="minorEastAsia"/>
        </w:rPr>
        <w:t xml:space="preserve">Masip, J., Sporer, S. L., Garrido, E., &amp; Herrero, C. (2005). The detection of deception with the reality monitoring approach: A review of the empirical evidence. </w:t>
      </w:r>
      <w:r w:rsidRPr="002F671C">
        <w:rPr>
          <w:rFonts w:eastAsiaTheme="minorEastAsia"/>
          <w:i/>
        </w:rPr>
        <w:t>Psychology, Crime &amp; Law</w:t>
      </w:r>
      <w:r w:rsidRPr="002F671C">
        <w:rPr>
          <w:rFonts w:eastAsiaTheme="minorEastAsia"/>
        </w:rPr>
        <w:t xml:space="preserve">, </w:t>
      </w:r>
      <w:r w:rsidRPr="002F671C">
        <w:rPr>
          <w:rFonts w:eastAsiaTheme="minorEastAsia"/>
          <w:i/>
        </w:rPr>
        <w:t>11</w:t>
      </w:r>
      <w:r w:rsidRPr="002F671C">
        <w:rPr>
          <w:rFonts w:eastAsiaTheme="minorEastAsia"/>
        </w:rPr>
        <w:t xml:space="preserve">(1), 99-122.  </w:t>
      </w:r>
      <w:hyperlink r:id="rId32">
        <w:r w:rsidRPr="002F671C">
          <w:rPr>
            <w:rStyle w:val="Hyperlink"/>
            <w:rFonts w:eastAsiaTheme="minorEastAsia"/>
            <w:color w:val="auto"/>
            <w:u w:val="none"/>
          </w:rPr>
          <w:t>https://doi.org/10.1080/10683160410001726356</w:t>
        </w:r>
      </w:hyperlink>
    </w:p>
    <w:p w14:paraId="693A6415" w14:textId="77777777" w:rsidR="00451875" w:rsidRPr="002F671C" w:rsidRDefault="00451875" w:rsidP="00451875">
      <w:pPr>
        <w:ind w:left="284" w:hanging="284"/>
        <w:rPr>
          <w:rFonts w:cstheme="minorHAnsi"/>
          <w:shd w:val="clear" w:color="auto" w:fill="FFFFFF"/>
        </w:rPr>
      </w:pPr>
      <w:r w:rsidRPr="002F671C">
        <w:rPr>
          <w:rFonts w:cstheme="minorHAnsi"/>
          <w:shd w:val="clear" w:color="auto" w:fill="FFFFFF"/>
        </w:rPr>
        <w:t xml:space="preserve">Masip, J., </w:t>
      </w:r>
      <w:proofErr w:type="spellStart"/>
      <w:r w:rsidRPr="002F671C">
        <w:rPr>
          <w:rFonts w:cstheme="minorHAnsi"/>
          <w:shd w:val="clear" w:color="auto" w:fill="FFFFFF"/>
        </w:rPr>
        <w:t>Bethencourt</w:t>
      </w:r>
      <w:proofErr w:type="spellEnd"/>
      <w:r w:rsidRPr="002F671C">
        <w:rPr>
          <w:rFonts w:cstheme="minorHAnsi"/>
          <w:shd w:val="clear" w:color="auto" w:fill="FFFFFF"/>
        </w:rPr>
        <w:t xml:space="preserve">, M., Lucas, G., Segundo, M., &amp; Herrero, C. (2012). Deception detection from written accounts. </w:t>
      </w:r>
      <w:r w:rsidRPr="002F671C">
        <w:rPr>
          <w:rFonts w:cstheme="minorHAnsi"/>
          <w:i/>
          <w:iCs/>
          <w:shd w:val="clear" w:color="auto" w:fill="FFFFFF"/>
        </w:rPr>
        <w:t>Scandinavian Journal of Psychology</w:t>
      </w:r>
      <w:r w:rsidRPr="002F671C">
        <w:rPr>
          <w:rFonts w:cstheme="minorHAnsi"/>
          <w:shd w:val="clear" w:color="auto" w:fill="FFFFFF"/>
        </w:rPr>
        <w:t>, </w:t>
      </w:r>
      <w:r w:rsidRPr="002F671C">
        <w:rPr>
          <w:rFonts w:cstheme="minorHAnsi"/>
          <w:i/>
          <w:iCs/>
          <w:shd w:val="clear" w:color="auto" w:fill="FFFFFF"/>
        </w:rPr>
        <w:t>53</w:t>
      </w:r>
      <w:r w:rsidRPr="002F671C">
        <w:rPr>
          <w:rFonts w:cstheme="minorHAnsi"/>
          <w:shd w:val="clear" w:color="auto" w:fill="FFFFFF"/>
        </w:rPr>
        <w:t xml:space="preserve">(2), 103-111. </w:t>
      </w:r>
      <w:hyperlink r:id="rId33" w:history="1">
        <w:r w:rsidRPr="002F671C">
          <w:rPr>
            <w:rStyle w:val="Hyperlink"/>
            <w:rFonts w:cstheme="minorHAnsi"/>
            <w:color w:val="auto"/>
            <w:u w:val="none"/>
            <w:shd w:val="clear" w:color="auto" w:fill="FFFFFF"/>
          </w:rPr>
          <w:t>https://doi.org/10.1111/j.1467-9450.2011.00931.x</w:t>
        </w:r>
      </w:hyperlink>
    </w:p>
    <w:p w14:paraId="001E7783" w14:textId="77777777" w:rsidR="00451875" w:rsidRPr="002F671C" w:rsidRDefault="00451875" w:rsidP="00451875">
      <w:pPr>
        <w:ind w:left="284" w:hanging="284"/>
        <w:rPr>
          <w:rFonts w:cstheme="minorHAnsi"/>
          <w:shd w:val="clear" w:color="auto" w:fill="FFFFFF"/>
        </w:rPr>
      </w:pPr>
      <w:r w:rsidRPr="002F671C">
        <w:rPr>
          <w:rFonts w:cstheme="minorHAnsi"/>
          <w:shd w:val="clear" w:color="auto" w:fill="FFFFFF"/>
        </w:rPr>
        <w:t>McCornack, S. A. (1992). Information manipulation theory. </w:t>
      </w:r>
      <w:r w:rsidRPr="002F671C">
        <w:rPr>
          <w:rFonts w:cstheme="minorHAnsi"/>
          <w:i/>
          <w:iCs/>
          <w:shd w:val="clear" w:color="auto" w:fill="FFFFFF"/>
        </w:rPr>
        <w:t>Communications Monographs</w:t>
      </w:r>
      <w:r w:rsidRPr="002F671C">
        <w:rPr>
          <w:rFonts w:cstheme="minorHAnsi"/>
          <w:shd w:val="clear" w:color="auto" w:fill="FFFFFF"/>
        </w:rPr>
        <w:t>, </w:t>
      </w:r>
      <w:r w:rsidRPr="002F671C">
        <w:rPr>
          <w:rFonts w:cstheme="minorHAnsi"/>
          <w:i/>
          <w:iCs/>
          <w:shd w:val="clear" w:color="auto" w:fill="FFFFFF"/>
        </w:rPr>
        <w:t>59</w:t>
      </w:r>
      <w:r w:rsidRPr="002F671C">
        <w:rPr>
          <w:rFonts w:cstheme="minorHAnsi"/>
          <w:shd w:val="clear" w:color="auto" w:fill="FFFFFF"/>
        </w:rPr>
        <w:t xml:space="preserve">(1), 1-16. </w:t>
      </w:r>
      <w:hyperlink r:id="rId34" w:tgtFrame="_blank" w:history="1">
        <w:r w:rsidRPr="002F671C">
          <w:rPr>
            <w:rStyle w:val="Hyperlink"/>
            <w:rFonts w:cstheme="minorHAnsi"/>
            <w:color w:val="auto"/>
            <w:u w:val="none"/>
            <w:shd w:val="clear" w:color="auto" w:fill="FFFFFF"/>
          </w:rPr>
          <w:t>https://doi.org/10.1080/03637759209376245</w:t>
        </w:r>
      </w:hyperlink>
    </w:p>
    <w:p w14:paraId="296D62BB" w14:textId="12E9B035" w:rsidR="0037020A" w:rsidRPr="0037020A" w:rsidRDefault="0037020A" w:rsidP="0037020A">
      <w:pPr>
        <w:ind w:left="284" w:hanging="284"/>
        <w:rPr>
          <w:rFonts w:cstheme="minorHAnsi"/>
          <w:shd w:val="clear" w:color="auto" w:fill="FFFFFF"/>
        </w:rPr>
      </w:pPr>
      <w:proofErr w:type="spellStart"/>
      <w:r w:rsidRPr="0037020A">
        <w:rPr>
          <w:rFonts w:cstheme="minorHAnsi"/>
          <w:shd w:val="clear" w:color="auto" w:fill="FFFFFF"/>
        </w:rPr>
        <w:t>Nahouli</w:t>
      </w:r>
      <w:proofErr w:type="spellEnd"/>
      <w:r w:rsidRPr="0037020A">
        <w:rPr>
          <w:rFonts w:cstheme="minorHAnsi"/>
          <w:shd w:val="clear" w:color="auto" w:fill="FFFFFF"/>
        </w:rPr>
        <w:t xml:space="preserve">, Z., Mackenzie, J. M., </w:t>
      </w:r>
      <w:proofErr w:type="spellStart"/>
      <w:r w:rsidRPr="0037020A">
        <w:rPr>
          <w:rFonts w:cstheme="minorHAnsi"/>
          <w:shd w:val="clear" w:color="auto" w:fill="FFFFFF"/>
        </w:rPr>
        <w:t>Aresti</w:t>
      </w:r>
      <w:proofErr w:type="spellEnd"/>
      <w:r w:rsidRPr="0037020A">
        <w:rPr>
          <w:rFonts w:cstheme="minorHAnsi"/>
          <w:shd w:val="clear" w:color="auto" w:fill="FFFFFF"/>
        </w:rPr>
        <w:t>, A., &amp; Dando, C. (2023). Rapport building with offenders in probation supervision: The views of English probatio</w:t>
      </w:r>
      <w:r w:rsidRPr="002F671C">
        <w:rPr>
          <w:rFonts w:cstheme="minorHAnsi"/>
          <w:shd w:val="clear" w:color="auto" w:fill="FFFFFF"/>
        </w:rPr>
        <w:t xml:space="preserve">n </w:t>
      </w:r>
      <w:r w:rsidRPr="0037020A">
        <w:rPr>
          <w:rFonts w:cstheme="minorHAnsi"/>
          <w:shd w:val="clear" w:color="auto" w:fill="FFFFFF"/>
        </w:rPr>
        <w:t>practitioners. </w:t>
      </w:r>
      <w:r w:rsidRPr="0037020A">
        <w:rPr>
          <w:rFonts w:cstheme="minorHAnsi"/>
          <w:i/>
          <w:iCs/>
          <w:shd w:val="clear" w:color="auto" w:fill="FFFFFF"/>
        </w:rPr>
        <w:t>Probation Journal</w:t>
      </w:r>
      <w:r w:rsidRPr="0037020A">
        <w:rPr>
          <w:rFonts w:cstheme="minorHAnsi"/>
          <w:shd w:val="clear" w:color="auto" w:fill="FFFFFF"/>
        </w:rPr>
        <w:t>, </w:t>
      </w:r>
      <w:r w:rsidRPr="0037020A">
        <w:rPr>
          <w:rFonts w:cstheme="minorHAnsi"/>
          <w:i/>
          <w:iCs/>
          <w:shd w:val="clear" w:color="auto" w:fill="FFFFFF"/>
        </w:rPr>
        <w:t>70</w:t>
      </w:r>
      <w:r w:rsidRPr="0037020A">
        <w:rPr>
          <w:rFonts w:cstheme="minorHAnsi"/>
          <w:shd w:val="clear" w:color="auto" w:fill="FFFFFF"/>
        </w:rPr>
        <w:t>(2), 104-123. https://doi.org/10.1177/02645505221137448</w:t>
      </w:r>
    </w:p>
    <w:p w14:paraId="2BDB9610" w14:textId="55F7F538" w:rsidR="00451875" w:rsidRPr="002F671C" w:rsidRDefault="00451875" w:rsidP="00451875">
      <w:pPr>
        <w:ind w:left="284" w:hanging="284"/>
        <w:rPr>
          <w:rFonts w:cstheme="minorHAnsi"/>
          <w:shd w:val="clear" w:color="auto" w:fill="FFFFFF"/>
        </w:rPr>
      </w:pPr>
      <w:r w:rsidRPr="002F671C">
        <w:rPr>
          <w:rFonts w:cstheme="minorHAnsi"/>
          <w:shd w:val="clear" w:color="auto" w:fill="FFFFFF"/>
        </w:rPr>
        <w:t>Newman, M. L., Pennebaker, J. W., Berry, D. S., &amp; Richards, J. M. (2003). Lying words: Predicting deception from linguistic styles. </w:t>
      </w:r>
      <w:r w:rsidRPr="002F671C">
        <w:rPr>
          <w:rFonts w:cstheme="minorHAnsi"/>
          <w:i/>
          <w:iCs/>
          <w:shd w:val="clear" w:color="auto" w:fill="FFFFFF"/>
        </w:rPr>
        <w:t>Personality and Social Psychology Bulletin</w:t>
      </w:r>
      <w:r w:rsidRPr="002F671C">
        <w:rPr>
          <w:rFonts w:cstheme="minorHAnsi"/>
          <w:shd w:val="clear" w:color="auto" w:fill="FFFFFF"/>
        </w:rPr>
        <w:t>, </w:t>
      </w:r>
      <w:r w:rsidRPr="002F671C">
        <w:rPr>
          <w:rFonts w:cstheme="minorHAnsi"/>
          <w:i/>
          <w:iCs/>
          <w:shd w:val="clear" w:color="auto" w:fill="FFFFFF"/>
        </w:rPr>
        <w:t>29</w:t>
      </w:r>
      <w:r w:rsidRPr="002F671C">
        <w:rPr>
          <w:rFonts w:cstheme="minorHAnsi"/>
          <w:shd w:val="clear" w:color="auto" w:fill="FFFFFF"/>
        </w:rPr>
        <w:t>(5), 665-675. htpps://doi.org/10.1177/0146167203029005010</w:t>
      </w:r>
    </w:p>
    <w:p w14:paraId="2218A381" w14:textId="77777777" w:rsidR="00451875" w:rsidRPr="002F671C" w:rsidRDefault="00451875" w:rsidP="00451875">
      <w:pPr>
        <w:ind w:left="284" w:hanging="284"/>
        <w:rPr>
          <w:rFonts w:cstheme="minorHAnsi"/>
          <w:shd w:val="clear" w:color="auto" w:fill="FFFFFF"/>
        </w:rPr>
      </w:pPr>
      <w:r w:rsidRPr="002F671C">
        <w:rPr>
          <w:rFonts w:cstheme="minorHAnsi"/>
          <w:shd w:val="clear" w:color="auto" w:fill="FFFFFF"/>
        </w:rPr>
        <w:t xml:space="preserve">Nurse, J. R., Buckley, O., Legg, P. A., Goldsmith, M., Creese, S., Wright, G. R., &amp; Whitty, M. (2014). Understanding insider threat: A framework for characterising attacks. </w:t>
      </w:r>
      <w:r w:rsidRPr="002F671C">
        <w:rPr>
          <w:rFonts w:cstheme="minorHAnsi"/>
          <w:i/>
          <w:iCs/>
          <w:shd w:val="clear" w:color="auto" w:fill="FFFFFF"/>
        </w:rPr>
        <w:t>Security and privacy workshops</w:t>
      </w:r>
      <w:r w:rsidRPr="002F671C">
        <w:rPr>
          <w:rFonts w:cstheme="minorHAnsi"/>
          <w:shd w:val="clear" w:color="auto" w:fill="FFFFFF"/>
        </w:rPr>
        <w:t xml:space="preserve">, </w:t>
      </w:r>
      <w:r w:rsidRPr="002F671C">
        <w:rPr>
          <w:rFonts w:cstheme="minorHAnsi"/>
          <w:i/>
          <w:iCs/>
          <w:shd w:val="clear" w:color="auto" w:fill="FFFFFF"/>
        </w:rPr>
        <w:t>24</w:t>
      </w:r>
      <w:r w:rsidRPr="002F671C">
        <w:rPr>
          <w:rFonts w:cstheme="minorHAnsi"/>
          <w:shd w:val="clear" w:color="auto" w:fill="FFFFFF"/>
        </w:rPr>
        <w:t>(12), 214-228. htpps://doi.org/</w:t>
      </w:r>
      <w:hyperlink r:id="rId35" w:history="1">
        <w:r w:rsidRPr="002F671C">
          <w:rPr>
            <w:rStyle w:val="Hyperlink"/>
            <w:rFonts w:cstheme="minorHAnsi"/>
            <w:color w:val="auto"/>
            <w:u w:val="none"/>
          </w:rPr>
          <w:t>10.1109/SPW.2014.38</w:t>
        </w:r>
      </w:hyperlink>
    </w:p>
    <w:p w14:paraId="4E084B53" w14:textId="77777777" w:rsidR="00451875" w:rsidRPr="002F671C" w:rsidRDefault="00451875" w:rsidP="00451875">
      <w:pPr>
        <w:ind w:left="284" w:hanging="284"/>
        <w:rPr>
          <w:rFonts w:cstheme="minorHAnsi"/>
        </w:rPr>
      </w:pPr>
      <w:r w:rsidRPr="002F671C">
        <w:rPr>
          <w:rFonts w:cstheme="minorHAnsi"/>
        </w:rPr>
        <w:lastRenderedPageBreak/>
        <w:t xml:space="preserve">Pennebaker, J. W., Chung, C. K., Ireland, M., Gonzales, A., &amp; Booth, R. J. (2007). </w:t>
      </w:r>
      <w:r w:rsidRPr="002F671C">
        <w:rPr>
          <w:rFonts w:cstheme="minorHAnsi"/>
          <w:i/>
          <w:iCs/>
        </w:rPr>
        <w:t>The development and psychometric properties of LIWC2007</w:t>
      </w:r>
      <w:r w:rsidRPr="002F671C">
        <w:rPr>
          <w:rFonts w:cstheme="minorHAnsi"/>
        </w:rPr>
        <w:t xml:space="preserve">. Texas </w:t>
      </w:r>
      <w:proofErr w:type="spellStart"/>
      <w:r w:rsidRPr="002F671C">
        <w:rPr>
          <w:rFonts w:cstheme="minorHAnsi"/>
        </w:rPr>
        <w:t>ScholarWorks</w:t>
      </w:r>
      <w:proofErr w:type="spellEnd"/>
      <w:r w:rsidRPr="002F671C">
        <w:rPr>
          <w:rFonts w:cstheme="minorHAnsi"/>
        </w:rPr>
        <w:t>.</w:t>
      </w:r>
    </w:p>
    <w:p w14:paraId="2F3E7C1B" w14:textId="77777777" w:rsidR="00451875" w:rsidRPr="002F671C" w:rsidRDefault="00451875" w:rsidP="00451875">
      <w:pPr>
        <w:ind w:left="284" w:hanging="284"/>
        <w:rPr>
          <w:rFonts w:cstheme="minorHAnsi"/>
        </w:rPr>
      </w:pPr>
      <w:proofErr w:type="spellStart"/>
      <w:r w:rsidRPr="002F671C">
        <w:rPr>
          <w:rFonts w:cstheme="minorHAnsi"/>
          <w:shd w:val="clear" w:color="auto" w:fill="FFFFFF"/>
        </w:rPr>
        <w:t>Pfleeger</w:t>
      </w:r>
      <w:proofErr w:type="spellEnd"/>
      <w:r w:rsidRPr="002F671C">
        <w:rPr>
          <w:rFonts w:cstheme="minorHAnsi"/>
          <w:shd w:val="clear" w:color="auto" w:fill="FFFFFF"/>
        </w:rPr>
        <w:t>, C. P. (2008). Reflections on the insider threat. </w:t>
      </w:r>
      <w:r w:rsidRPr="002F671C">
        <w:rPr>
          <w:rFonts w:cstheme="minorHAnsi"/>
          <w:i/>
          <w:iCs/>
          <w:shd w:val="clear" w:color="auto" w:fill="FFFFFF"/>
        </w:rPr>
        <w:t>Insider Attack and Cyber Security: Beyond the Hacker</w:t>
      </w:r>
      <w:r w:rsidRPr="002F671C">
        <w:rPr>
          <w:rFonts w:cstheme="minorHAnsi"/>
          <w:shd w:val="clear" w:color="auto" w:fill="FFFFFF"/>
        </w:rPr>
        <w:t>, 5-16. https://doi.org/10.1007/978-0-387-77322-3_2</w:t>
      </w:r>
    </w:p>
    <w:p w14:paraId="0B2BE031" w14:textId="77777777" w:rsidR="00451875" w:rsidRPr="002F671C" w:rsidRDefault="00451875" w:rsidP="00451875">
      <w:pPr>
        <w:ind w:left="284" w:hanging="284"/>
        <w:rPr>
          <w:rFonts w:cstheme="minorHAnsi"/>
        </w:rPr>
      </w:pPr>
      <w:r w:rsidRPr="002F671C">
        <w:rPr>
          <w:rFonts w:cstheme="minorHAnsi"/>
          <w:shd w:val="clear" w:color="auto" w:fill="FFFFFF"/>
        </w:rPr>
        <w:t>Porter, S., &amp; Yuille, J. C. (1996). The language of deceit: An investigation of the verbal clues to deception in the interrogation context. </w:t>
      </w:r>
      <w:r w:rsidRPr="002F671C">
        <w:rPr>
          <w:rFonts w:cstheme="minorHAnsi"/>
          <w:i/>
          <w:iCs/>
          <w:shd w:val="clear" w:color="auto" w:fill="FFFFFF"/>
        </w:rPr>
        <w:t>Law and Human Behavior</w:t>
      </w:r>
      <w:r w:rsidRPr="002F671C">
        <w:rPr>
          <w:rFonts w:cstheme="minorHAnsi"/>
          <w:shd w:val="clear" w:color="auto" w:fill="FFFFFF"/>
        </w:rPr>
        <w:t>, </w:t>
      </w:r>
      <w:r w:rsidRPr="002F671C">
        <w:rPr>
          <w:rFonts w:cstheme="minorHAnsi"/>
          <w:i/>
          <w:iCs/>
          <w:shd w:val="clear" w:color="auto" w:fill="FFFFFF"/>
        </w:rPr>
        <w:t>20</w:t>
      </w:r>
      <w:r w:rsidRPr="002F671C">
        <w:rPr>
          <w:rFonts w:cstheme="minorHAnsi"/>
          <w:shd w:val="clear" w:color="auto" w:fill="FFFFFF"/>
        </w:rPr>
        <w:t xml:space="preserve">(4), 443-458. </w:t>
      </w:r>
      <w:hyperlink r:id="rId36" w:tgtFrame="_blank" w:history="1">
        <w:r w:rsidRPr="002F671C">
          <w:rPr>
            <w:rStyle w:val="Hyperlink"/>
            <w:rFonts w:cstheme="minorHAnsi"/>
            <w:color w:val="auto"/>
            <w:u w:val="none"/>
            <w:shd w:val="clear" w:color="auto" w:fill="FFFFFF"/>
          </w:rPr>
          <w:t>https://doi.org/10.1007/BF01498980</w:t>
        </w:r>
      </w:hyperlink>
    </w:p>
    <w:p w14:paraId="098297E5" w14:textId="77777777" w:rsidR="00CE4198" w:rsidRPr="00CE4198" w:rsidRDefault="00CE4198" w:rsidP="00CE4198">
      <w:pPr>
        <w:ind w:left="284" w:hanging="284"/>
        <w:rPr>
          <w:rFonts w:cstheme="minorHAnsi"/>
          <w:shd w:val="clear" w:color="auto" w:fill="FFFFFF"/>
        </w:rPr>
      </w:pPr>
      <w:r w:rsidRPr="00CE4198">
        <w:rPr>
          <w:rFonts w:cstheme="minorHAnsi"/>
          <w:shd w:val="clear" w:color="auto" w:fill="FFFFFF"/>
        </w:rPr>
        <w:t xml:space="preserve">Reid, F. J. M., Ball, L. J., Morley, A. M., &amp; Evans, J. St. B. T. (1997). Styles of group discussion in computer-mediated decision making. </w:t>
      </w:r>
      <w:r w:rsidRPr="00CE4198">
        <w:rPr>
          <w:rFonts w:cstheme="minorHAnsi"/>
          <w:i/>
          <w:iCs/>
          <w:shd w:val="clear" w:color="auto" w:fill="FFFFFF"/>
        </w:rPr>
        <w:t>British Journal of Social Psychology, 36</w:t>
      </w:r>
      <w:r w:rsidRPr="00CE4198">
        <w:rPr>
          <w:rFonts w:cstheme="minorHAnsi"/>
          <w:shd w:val="clear" w:color="auto" w:fill="FFFFFF"/>
        </w:rPr>
        <w:t>(3)</w:t>
      </w:r>
      <w:r w:rsidRPr="00CE4198">
        <w:rPr>
          <w:rFonts w:cstheme="minorHAnsi"/>
          <w:i/>
          <w:iCs/>
          <w:shd w:val="clear" w:color="auto" w:fill="FFFFFF"/>
        </w:rPr>
        <w:t>,</w:t>
      </w:r>
      <w:r w:rsidRPr="00CE4198">
        <w:rPr>
          <w:rFonts w:cstheme="minorHAnsi"/>
          <w:shd w:val="clear" w:color="auto" w:fill="FFFFFF"/>
        </w:rPr>
        <w:t xml:space="preserve"> 241-262. </w:t>
      </w:r>
      <w:hyperlink r:id="rId37">
        <w:r w:rsidRPr="00CE4198">
          <w:rPr>
            <w:rStyle w:val="Hyperlink"/>
            <w:rFonts w:cstheme="minorHAnsi"/>
            <w:color w:val="auto"/>
            <w:u w:val="none"/>
            <w:shd w:val="clear" w:color="auto" w:fill="FFFFFF"/>
          </w:rPr>
          <w:t>https://doi.org/10.1111/j.2044-8309.1997.tb01130.x</w:t>
        </w:r>
      </w:hyperlink>
    </w:p>
    <w:p w14:paraId="7209EFC6" w14:textId="77777777" w:rsidR="00CE4198" w:rsidRPr="00CE4198" w:rsidRDefault="00CE4198" w:rsidP="00CE4198">
      <w:pPr>
        <w:ind w:left="284" w:hanging="284"/>
        <w:rPr>
          <w:rFonts w:cstheme="minorHAnsi"/>
          <w:shd w:val="clear" w:color="auto" w:fill="FFFFFF"/>
        </w:rPr>
      </w:pPr>
      <w:r w:rsidRPr="00CE4198">
        <w:rPr>
          <w:rFonts w:cstheme="minorHAnsi"/>
          <w:shd w:val="clear" w:color="auto" w:fill="FFFFFF"/>
        </w:rPr>
        <w:t xml:space="preserve">Richardson, B. H., McCulloch, K. C., Taylor, P. J., &amp; Wall, H. J. (2018). The cooperation link: Power and context moderate verbal mimicry. </w:t>
      </w:r>
      <w:r w:rsidRPr="00CE4198">
        <w:rPr>
          <w:rFonts w:cstheme="minorHAnsi"/>
          <w:i/>
          <w:iCs/>
          <w:shd w:val="clear" w:color="auto" w:fill="FFFFFF"/>
        </w:rPr>
        <w:t>Journal of Experimental Psychology: Applied</w:t>
      </w:r>
      <w:r w:rsidRPr="00CE4198">
        <w:rPr>
          <w:rFonts w:cstheme="minorHAnsi"/>
          <w:shd w:val="clear" w:color="auto" w:fill="FFFFFF"/>
        </w:rPr>
        <w:t xml:space="preserve">, </w:t>
      </w:r>
      <w:r w:rsidRPr="00CE4198">
        <w:rPr>
          <w:rFonts w:cstheme="minorHAnsi"/>
          <w:i/>
          <w:iCs/>
          <w:shd w:val="clear" w:color="auto" w:fill="FFFFFF"/>
        </w:rPr>
        <w:t>25</w:t>
      </w:r>
      <w:r w:rsidRPr="00CE4198">
        <w:rPr>
          <w:rFonts w:cstheme="minorHAnsi"/>
          <w:shd w:val="clear" w:color="auto" w:fill="FFFFFF"/>
        </w:rPr>
        <w:t xml:space="preserve">(1), 62-76. </w:t>
      </w:r>
      <w:hyperlink r:id="rId38" w:history="1">
        <w:r w:rsidRPr="00CE4198">
          <w:rPr>
            <w:rStyle w:val="Hyperlink"/>
            <w:rFonts w:cstheme="minorHAnsi"/>
            <w:color w:val="auto"/>
            <w:u w:val="none"/>
            <w:shd w:val="clear" w:color="auto" w:fill="FFFFFF"/>
          </w:rPr>
          <w:t>http://dx.doi.org/10.1037/xap0000200</w:t>
        </w:r>
      </w:hyperlink>
    </w:p>
    <w:p w14:paraId="024078FE" w14:textId="77777777" w:rsidR="00CE4198" w:rsidRPr="00CE4198" w:rsidRDefault="00CE4198" w:rsidP="00CE4198">
      <w:pPr>
        <w:ind w:left="284" w:hanging="284"/>
        <w:rPr>
          <w:rFonts w:cstheme="minorHAnsi"/>
          <w:shd w:val="clear" w:color="auto" w:fill="FFFFFF"/>
        </w:rPr>
      </w:pPr>
      <w:r w:rsidRPr="00CE4198">
        <w:rPr>
          <w:rFonts w:cstheme="minorHAnsi"/>
          <w:shd w:val="clear" w:color="auto" w:fill="FFFFFF"/>
        </w:rPr>
        <w:t xml:space="preserve">Richardson, B. H., &amp; Nash, R. A. (2022). ‘Rapport myopia’ in investigative interviews: Evidence from linguistic and subjective indicators of rapport. </w:t>
      </w:r>
      <w:r w:rsidRPr="00CE4198">
        <w:rPr>
          <w:rFonts w:cstheme="minorHAnsi"/>
          <w:i/>
          <w:iCs/>
          <w:shd w:val="clear" w:color="auto" w:fill="FFFFFF"/>
        </w:rPr>
        <w:t>Legal and Criminological Psychology, 27</w:t>
      </w:r>
      <w:r w:rsidRPr="00CE4198">
        <w:rPr>
          <w:rFonts w:cstheme="minorHAnsi"/>
          <w:shd w:val="clear" w:color="auto" w:fill="FFFFFF"/>
        </w:rPr>
        <w:t xml:space="preserve">(1), 32-47. </w:t>
      </w:r>
      <w:hyperlink r:id="rId39">
        <w:r w:rsidRPr="00CE4198">
          <w:rPr>
            <w:rStyle w:val="Hyperlink"/>
            <w:rFonts w:cstheme="minorHAnsi"/>
            <w:color w:val="auto"/>
            <w:u w:val="none"/>
            <w:shd w:val="clear" w:color="auto" w:fill="FFFFFF"/>
          </w:rPr>
          <w:t>https://doi.org/10.1111/lcrp.12193</w:t>
        </w:r>
      </w:hyperlink>
    </w:p>
    <w:p w14:paraId="7E6E57B3" w14:textId="77777777" w:rsidR="00CE4198" w:rsidRPr="00CE4198" w:rsidRDefault="00CE4198" w:rsidP="00CE4198">
      <w:pPr>
        <w:ind w:left="284" w:hanging="284"/>
        <w:rPr>
          <w:rFonts w:cstheme="minorHAnsi"/>
          <w:shd w:val="clear" w:color="auto" w:fill="FFFFFF"/>
        </w:rPr>
      </w:pPr>
      <w:r w:rsidRPr="00CE4198">
        <w:rPr>
          <w:rFonts w:cstheme="minorHAnsi"/>
          <w:shd w:val="clear" w:color="auto" w:fill="FFFFFF"/>
        </w:rPr>
        <w:t>Richardson, B. H., Taylor, P. J., Snook, B., Conchie, S. M., &amp; Bennell, C. (2014). Language style matching and police interrogation outcomes. </w:t>
      </w:r>
      <w:r w:rsidRPr="00CE4198">
        <w:rPr>
          <w:rFonts w:cstheme="minorHAnsi"/>
          <w:i/>
          <w:iCs/>
          <w:shd w:val="clear" w:color="auto" w:fill="FFFFFF"/>
        </w:rPr>
        <w:t>Law and Human Behavior</w:t>
      </w:r>
      <w:r w:rsidRPr="00CE4198">
        <w:rPr>
          <w:rFonts w:cstheme="minorHAnsi"/>
          <w:shd w:val="clear" w:color="auto" w:fill="FFFFFF"/>
        </w:rPr>
        <w:t>, </w:t>
      </w:r>
      <w:r w:rsidRPr="00CE4198">
        <w:rPr>
          <w:rFonts w:cstheme="minorHAnsi"/>
          <w:i/>
          <w:iCs/>
          <w:shd w:val="clear" w:color="auto" w:fill="FFFFFF"/>
        </w:rPr>
        <w:t>38</w:t>
      </w:r>
      <w:r w:rsidRPr="00CE4198">
        <w:rPr>
          <w:rFonts w:cstheme="minorHAnsi"/>
          <w:shd w:val="clear" w:color="auto" w:fill="FFFFFF"/>
        </w:rPr>
        <w:t xml:space="preserve">(4), 357-366. </w:t>
      </w:r>
      <w:hyperlink r:id="rId40" w:history="1">
        <w:r w:rsidRPr="00CE4198">
          <w:rPr>
            <w:rStyle w:val="Hyperlink"/>
            <w:rFonts w:cstheme="minorHAnsi"/>
            <w:color w:val="auto"/>
            <w:u w:val="none"/>
            <w:shd w:val="clear" w:color="auto" w:fill="FFFFFF"/>
          </w:rPr>
          <w:t>https://doi.org/10.1037/lhb0000077</w:t>
        </w:r>
      </w:hyperlink>
    </w:p>
    <w:p w14:paraId="2D447D1C" w14:textId="77777777" w:rsidR="00451875" w:rsidRPr="002F671C" w:rsidRDefault="00451875" w:rsidP="00451875">
      <w:pPr>
        <w:ind w:left="284" w:hanging="284"/>
        <w:rPr>
          <w:rFonts w:cstheme="minorHAnsi"/>
          <w:shd w:val="clear" w:color="auto" w:fill="FFFFFF"/>
        </w:rPr>
      </w:pPr>
      <w:r w:rsidRPr="002F671C">
        <w:rPr>
          <w:rFonts w:cstheme="minorHAnsi"/>
          <w:shd w:val="clear" w:color="auto" w:fill="FFFFFF"/>
        </w:rPr>
        <w:t xml:space="preserve">Salem, M. B., &amp; </w:t>
      </w:r>
      <w:proofErr w:type="spellStart"/>
      <w:r w:rsidRPr="002F671C">
        <w:rPr>
          <w:rFonts w:cstheme="minorHAnsi"/>
          <w:shd w:val="clear" w:color="auto" w:fill="FFFFFF"/>
        </w:rPr>
        <w:t>Stolfo</w:t>
      </w:r>
      <w:proofErr w:type="spellEnd"/>
      <w:r w:rsidRPr="002F671C">
        <w:rPr>
          <w:rFonts w:cstheme="minorHAnsi"/>
          <w:shd w:val="clear" w:color="auto" w:fill="FFFFFF"/>
        </w:rPr>
        <w:t>, S. J. (2009). Masquerade attack detection using a search-</w:t>
      </w:r>
      <w:proofErr w:type="spellStart"/>
      <w:r w:rsidRPr="002F671C">
        <w:rPr>
          <w:rFonts w:cstheme="minorHAnsi"/>
          <w:shd w:val="clear" w:color="auto" w:fill="FFFFFF"/>
        </w:rPr>
        <w:t>behavior</w:t>
      </w:r>
      <w:proofErr w:type="spellEnd"/>
      <w:r w:rsidRPr="002F671C">
        <w:rPr>
          <w:rFonts w:cstheme="minorHAnsi"/>
          <w:shd w:val="clear" w:color="auto" w:fill="FFFFFF"/>
        </w:rPr>
        <w:t xml:space="preserve"> </w:t>
      </w:r>
      <w:proofErr w:type="spellStart"/>
      <w:r w:rsidRPr="002F671C">
        <w:rPr>
          <w:rFonts w:cstheme="minorHAnsi"/>
          <w:shd w:val="clear" w:color="auto" w:fill="FFFFFF"/>
        </w:rPr>
        <w:t>modeling</w:t>
      </w:r>
      <w:proofErr w:type="spellEnd"/>
      <w:r w:rsidRPr="002F671C">
        <w:rPr>
          <w:rFonts w:cstheme="minorHAnsi"/>
          <w:shd w:val="clear" w:color="auto" w:fill="FFFFFF"/>
        </w:rPr>
        <w:t xml:space="preserve"> approach. </w:t>
      </w:r>
      <w:r w:rsidRPr="002F671C">
        <w:rPr>
          <w:rFonts w:cstheme="minorHAnsi"/>
          <w:i/>
          <w:iCs/>
          <w:shd w:val="clear" w:color="auto" w:fill="FFFFFF"/>
        </w:rPr>
        <w:t>Computer Science, 2</w:t>
      </w:r>
      <w:r w:rsidRPr="002F671C">
        <w:rPr>
          <w:rFonts w:cstheme="minorHAnsi"/>
          <w:shd w:val="clear" w:color="auto" w:fill="FFFFFF"/>
        </w:rPr>
        <w:t>(1), 29-36. https://doi.org/10.7916/D8X63TSV</w:t>
      </w:r>
    </w:p>
    <w:p w14:paraId="55818E03" w14:textId="185061E9" w:rsidR="008F059E" w:rsidRPr="008F059E" w:rsidRDefault="008F059E" w:rsidP="008F059E">
      <w:pPr>
        <w:ind w:left="284" w:hanging="284"/>
        <w:rPr>
          <w:rFonts w:cstheme="minorHAnsi"/>
          <w:shd w:val="clear" w:color="auto" w:fill="FFFFFF"/>
        </w:rPr>
      </w:pPr>
      <w:r w:rsidRPr="008F059E">
        <w:rPr>
          <w:rFonts w:cstheme="minorHAnsi"/>
          <w:shd w:val="clear" w:color="auto" w:fill="FFFFFF"/>
        </w:rPr>
        <w:t xml:space="preserve">Sandham, A. L., Ormerod, T. C., Dando, C. J., &amp; Menacere, T. (2017). On the trail of the terrorist: A research environment to simulate criminal investigations. </w:t>
      </w:r>
      <w:r w:rsidRPr="002F671C">
        <w:rPr>
          <w:rFonts w:cstheme="minorHAnsi"/>
          <w:shd w:val="clear" w:color="auto" w:fill="FFFFFF"/>
        </w:rPr>
        <w:t xml:space="preserve">In G. </w:t>
      </w:r>
      <w:r w:rsidRPr="002F671C">
        <w:rPr>
          <w:rFonts w:cstheme="minorHAnsi"/>
          <w:shd w:val="clear" w:color="auto" w:fill="FFFFFF"/>
        </w:rPr>
        <w:lastRenderedPageBreak/>
        <w:t xml:space="preserve">Lawson, &amp; A. </w:t>
      </w:r>
      <w:proofErr w:type="spellStart"/>
      <w:r w:rsidRPr="002F671C">
        <w:rPr>
          <w:rFonts w:cstheme="minorHAnsi"/>
          <w:shd w:val="clear" w:color="auto" w:fill="FFFFFF"/>
        </w:rPr>
        <w:t>Stedmon</w:t>
      </w:r>
      <w:proofErr w:type="spellEnd"/>
      <w:r w:rsidRPr="002F671C">
        <w:rPr>
          <w:rFonts w:cstheme="minorHAnsi"/>
          <w:shd w:val="clear" w:color="auto" w:fill="FFFFFF"/>
        </w:rPr>
        <w:t xml:space="preserve"> (Eds.), </w:t>
      </w:r>
      <w:r w:rsidRPr="008F059E">
        <w:rPr>
          <w:rFonts w:cstheme="minorHAnsi"/>
          <w:i/>
          <w:iCs/>
          <w:shd w:val="clear" w:color="auto" w:fill="FFFFFF"/>
        </w:rPr>
        <w:t xml:space="preserve">Hostile intent and </w:t>
      </w:r>
      <w:proofErr w:type="gramStart"/>
      <w:r w:rsidRPr="008F059E">
        <w:rPr>
          <w:rFonts w:cstheme="minorHAnsi"/>
          <w:i/>
          <w:iCs/>
          <w:shd w:val="clear" w:color="auto" w:fill="FFFFFF"/>
        </w:rPr>
        <w:t>counter-terrorism</w:t>
      </w:r>
      <w:proofErr w:type="gramEnd"/>
      <w:r w:rsidRPr="008F059E">
        <w:rPr>
          <w:rFonts w:cstheme="minorHAnsi"/>
          <w:shd w:val="clear" w:color="auto" w:fill="FFFFFF"/>
        </w:rPr>
        <w:t> (pp. 129-146). CRC Press. https://doi.org/10.1201/9781315587080</w:t>
      </w:r>
    </w:p>
    <w:p w14:paraId="378075B0" w14:textId="77777777" w:rsidR="00451875" w:rsidRPr="002F671C" w:rsidRDefault="00451875" w:rsidP="00451875">
      <w:pPr>
        <w:ind w:left="284" w:hanging="284"/>
        <w:rPr>
          <w:rFonts w:cstheme="minorHAnsi"/>
          <w:shd w:val="clear" w:color="auto" w:fill="FFFFFF"/>
        </w:rPr>
      </w:pPr>
      <w:r w:rsidRPr="002F671C">
        <w:rPr>
          <w:rFonts w:cstheme="minorHAnsi"/>
          <w:shd w:val="clear" w:color="auto" w:fill="FFFFFF"/>
        </w:rPr>
        <w:t>Schultz, E. E. (2002). A framework for understanding and predicting insider attacks. </w:t>
      </w:r>
      <w:r w:rsidRPr="002F671C">
        <w:rPr>
          <w:rFonts w:cstheme="minorHAnsi"/>
          <w:i/>
          <w:iCs/>
          <w:shd w:val="clear" w:color="auto" w:fill="FFFFFF"/>
        </w:rPr>
        <w:t>Computers &amp; Security</w:t>
      </w:r>
      <w:r w:rsidRPr="002F671C">
        <w:rPr>
          <w:rFonts w:cstheme="minorHAnsi"/>
          <w:shd w:val="clear" w:color="auto" w:fill="FFFFFF"/>
        </w:rPr>
        <w:t>, </w:t>
      </w:r>
      <w:r w:rsidRPr="002F671C">
        <w:rPr>
          <w:rFonts w:cstheme="minorHAnsi"/>
          <w:i/>
          <w:iCs/>
          <w:shd w:val="clear" w:color="auto" w:fill="FFFFFF"/>
        </w:rPr>
        <w:t>21</w:t>
      </w:r>
      <w:r w:rsidRPr="002F671C">
        <w:rPr>
          <w:rFonts w:cstheme="minorHAnsi"/>
          <w:shd w:val="clear" w:color="auto" w:fill="FFFFFF"/>
        </w:rPr>
        <w:t xml:space="preserve">(6), 526-531. </w:t>
      </w:r>
      <w:hyperlink r:id="rId41" w:tgtFrame="_blank" w:tooltip="Persistent link using digital object identifier" w:history="1">
        <w:r w:rsidRPr="002F671C">
          <w:rPr>
            <w:rStyle w:val="anchor-text"/>
            <w:rFonts w:cstheme="minorHAnsi"/>
          </w:rPr>
          <w:t>https://doi.org/10.1016/S0167-4048(02)01009-X</w:t>
        </w:r>
      </w:hyperlink>
    </w:p>
    <w:p w14:paraId="562FA499" w14:textId="77777777" w:rsidR="00451875" w:rsidRPr="002F671C" w:rsidRDefault="00451875" w:rsidP="00451875">
      <w:pPr>
        <w:ind w:left="284" w:hanging="284"/>
        <w:rPr>
          <w:rFonts w:cstheme="minorHAnsi"/>
          <w:shd w:val="clear" w:color="auto" w:fill="FFFFFF"/>
        </w:rPr>
      </w:pPr>
      <w:r w:rsidRPr="002F671C">
        <w:rPr>
          <w:rFonts w:cstheme="minorHAnsi"/>
          <w:shd w:val="clear" w:color="auto" w:fill="FFFFFF"/>
        </w:rPr>
        <w:t>Shapiro, D. (1996). On the psychology of self-deception. </w:t>
      </w:r>
      <w:r w:rsidRPr="002F671C">
        <w:rPr>
          <w:rFonts w:cstheme="minorHAnsi"/>
          <w:i/>
          <w:iCs/>
          <w:shd w:val="clear" w:color="auto" w:fill="FFFFFF"/>
        </w:rPr>
        <w:t>Social Research</w:t>
      </w:r>
      <w:r w:rsidRPr="002F671C">
        <w:rPr>
          <w:rFonts w:cstheme="minorHAnsi"/>
          <w:shd w:val="clear" w:color="auto" w:fill="FFFFFF"/>
        </w:rPr>
        <w:t xml:space="preserve">, </w:t>
      </w:r>
      <w:r w:rsidRPr="002F671C">
        <w:rPr>
          <w:rFonts w:cstheme="minorHAnsi"/>
          <w:i/>
          <w:iCs/>
          <w:shd w:val="clear" w:color="auto" w:fill="FFFFFF"/>
        </w:rPr>
        <w:t>1</w:t>
      </w:r>
      <w:r w:rsidRPr="002F671C">
        <w:rPr>
          <w:rFonts w:cstheme="minorHAnsi"/>
          <w:shd w:val="clear" w:color="auto" w:fill="FFFFFF"/>
        </w:rPr>
        <w:t>(4)</w:t>
      </w:r>
      <w:r w:rsidRPr="002F671C">
        <w:rPr>
          <w:rFonts w:cstheme="minorHAnsi"/>
          <w:i/>
          <w:iCs/>
          <w:shd w:val="clear" w:color="auto" w:fill="FFFFFF"/>
        </w:rPr>
        <w:t xml:space="preserve">, </w:t>
      </w:r>
      <w:r w:rsidRPr="002F671C">
        <w:rPr>
          <w:rFonts w:cstheme="minorHAnsi"/>
          <w:shd w:val="clear" w:color="auto" w:fill="FFFFFF"/>
        </w:rPr>
        <w:t xml:space="preserve">785-800. </w:t>
      </w:r>
      <w:r w:rsidRPr="002F671C">
        <w:rPr>
          <w:rFonts w:cstheme="minorHAnsi"/>
          <w:spacing w:val="-5"/>
        </w:rPr>
        <w:t>https://www.jstor.org/stable/40972315</w:t>
      </w:r>
    </w:p>
    <w:p w14:paraId="7CCA5C3E" w14:textId="77777777" w:rsidR="00451875" w:rsidRPr="002F671C" w:rsidRDefault="00451875" w:rsidP="00451875">
      <w:pPr>
        <w:ind w:left="284" w:hanging="284"/>
        <w:rPr>
          <w:rFonts w:cstheme="minorHAnsi"/>
          <w:shd w:val="clear" w:color="auto" w:fill="FFFFFF"/>
        </w:rPr>
      </w:pPr>
      <w:r w:rsidRPr="002F671C">
        <w:rPr>
          <w:rFonts w:cstheme="minorHAnsi"/>
          <w:shd w:val="clear" w:color="auto" w:fill="FFFFFF"/>
        </w:rPr>
        <w:t>Spence, S. A., Farrow, T. F., Herford, A. E., Wilkinson, I. D., Zheng, Y., &amp; Woodruff, P. W. (2001). Behavioural and functional anatomical correlates of deception in humans. </w:t>
      </w:r>
      <w:proofErr w:type="spellStart"/>
      <w:r w:rsidRPr="002F671C">
        <w:rPr>
          <w:rFonts w:cstheme="minorHAnsi"/>
          <w:i/>
          <w:iCs/>
          <w:shd w:val="clear" w:color="auto" w:fill="FFFFFF"/>
        </w:rPr>
        <w:t>NeuroReport</w:t>
      </w:r>
      <w:proofErr w:type="spellEnd"/>
      <w:r w:rsidRPr="002F671C">
        <w:rPr>
          <w:rFonts w:cstheme="minorHAnsi"/>
          <w:shd w:val="clear" w:color="auto" w:fill="FFFFFF"/>
        </w:rPr>
        <w:t>, </w:t>
      </w:r>
      <w:r w:rsidRPr="002F671C">
        <w:rPr>
          <w:rFonts w:cstheme="minorHAnsi"/>
          <w:i/>
          <w:iCs/>
          <w:shd w:val="clear" w:color="auto" w:fill="FFFFFF"/>
        </w:rPr>
        <w:t>12</w:t>
      </w:r>
      <w:r w:rsidRPr="002F671C">
        <w:rPr>
          <w:rFonts w:cstheme="minorHAnsi"/>
          <w:shd w:val="clear" w:color="auto" w:fill="FFFFFF"/>
        </w:rPr>
        <w:t>(13), 2849-2853. https://doi.org/</w:t>
      </w:r>
      <w:hyperlink r:id="rId42" w:tgtFrame="_blank" w:history="1">
        <w:r w:rsidRPr="002F671C">
          <w:rPr>
            <w:rStyle w:val="Hyperlink"/>
            <w:rFonts w:cstheme="minorHAnsi"/>
            <w:color w:val="auto"/>
            <w:u w:val="none"/>
            <w:shd w:val="clear" w:color="auto" w:fill="FFFFFF"/>
          </w:rPr>
          <w:t>10.1097/00001756-200109170-00019</w:t>
        </w:r>
      </w:hyperlink>
    </w:p>
    <w:p w14:paraId="6BDBB6E2" w14:textId="77777777" w:rsidR="00451875" w:rsidRPr="002F671C" w:rsidRDefault="00451875" w:rsidP="00451875">
      <w:pPr>
        <w:ind w:left="284" w:hanging="284"/>
        <w:rPr>
          <w:rFonts w:cstheme="minorHAnsi"/>
          <w:shd w:val="clear" w:color="auto" w:fill="FFFFFF"/>
        </w:rPr>
      </w:pPr>
      <w:proofErr w:type="spellStart"/>
      <w:r w:rsidRPr="002F671C">
        <w:rPr>
          <w:rFonts w:cstheme="minorHAnsi"/>
          <w:shd w:val="clear" w:color="auto" w:fill="FFFFFF"/>
        </w:rPr>
        <w:t>Tausczik</w:t>
      </w:r>
      <w:proofErr w:type="spellEnd"/>
      <w:r w:rsidRPr="002F671C">
        <w:rPr>
          <w:rFonts w:cstheme="minorHAnsi"/>
          <w:shd w:val="clear" w:color="auto" w:fill="FFFFFF"/>
        </w:rPr>
        <w:t>, Y. R., &amp; Pennebaker, J. W. (2010). The psychological meaning of words: LIWC and computerized text analysis methods. </w:t>
      </w:r>
      <w:r w:rsidRPr="002F671C">
        <w:rPr>
          <w:rFonts w:cstheme="minorHAnsi"/>
          <w:i/>
          <w:iCs/>
          <w:shd w:val="clear" w:color="auto" w:fill="FFFFFF"/>
        </w:rPr>
        <w:t>Journal of Language and Social Psychology</w:t>
      </w:r>
      <w:r w:rsidRPr="002F671C">
        <w:rPr>
          <w:rFonts w:cstheme="minorHAnsi"/>
          <w:shd w:val="clear" w:color="auto" w:fill="FFFFFF"/>
        </w:rPr>
        <w:t>, </w:t>
      </w:r>
      <w:r w:rsidRPr="002F671C">
        <w:rPr>
          <w:rFonts w:cstheme="minorHAnsi"/>
          <w:i/>
          <w:iCs/>
          <w:shd w:val="clear" w:color="auto" w:fill="FFFFFF"/>
        </w:rPr>
        <w:t>29</w:t>
      </w:r>
      <w:r w:rsidRPr="002F671C">
        <w:rPr>
          <w:rFonts w:cstheme="minorHAnsi"/>
          <w:shd w:val="clear" w:color="auto" w:fill="FFFFFF"/>
        </w:rPr>
        <w:t xml:space="preserve">(1), 24-54. </w:t>
      </w:r>
      <w:hyperlink r:id="rId43" w:tgtFrame="_blank" w:history="1">
        <w:r w:rsidRPr="002F671C">
          <w:rPr>
            <w:rStyle w:val="Hyperlink"/>
            <w:rFonts w:cstheme="minorHAnsi"/>
            <w:color w:val="auto"/>
            <w:u w:val="none"/>
            <w:shd w:val="clear" w:color="auto" w:fill="FFFFFF"/>
          </w:rPr>
          <w:t>https://doi.org/10.1177/0261927X09351676</w:t>
        </w:r>
      </w:hyperlink>
    </w:p>
    <w:p w14:paraId="334CEF6C" w14:textId="77777777" w:rsidR="003C1BC8" w:rsidRPr="003C1BC8" w:rsidRDefault="003C1BC8" w:rsidP="003C1BC8">
      <w:pPr>
        <w:ind w:left="284" w:hanging="284"/>
        <w:rPr>
          <w:rFonts w:cstheme="minorHAnsi"/>
          <w:shd w:val="clear" w:color="auto" w:fill="FFFFFF"/>
        </w:rPr>
      </w:pPr>
      <w:r w:rsidRPr="003C1BC8">
        <w:rPr>
          <w:rFonts w:cstheme="minorHAnsi"/>
          <w:shd w:val="clear" w:color="auto" w:fill="FFFFFF"/>
        </w:rPr>
        <w:t>Taylor, P. J., Dando, C. J., Ormerod, T. C., Ball, L. J., Jenkins, M. C., Sandham, A., &amp; Menacere, T. (2013). Detecting insider threats through language change. </w:t>
      </w:r>
      <w:r w:rsidRPr="003C1BC8">
        <w:rPr>
          <w:rFonts w:cstheme="minorHAnsi"/>
          <w:i/>
          <w:iCs/>
          <w:shd w:val="clear" w:color="auto" w:fill="FFFFFF"/>
        </w:rPr>
        <w:t>Law and Human Behavior</w:t>
      </w:r>
      <w:r w:rsidRPr="003C1BC8">
        <w:rPr>
          <w:rFonts w:cstheme="minorHAnsi"/>
          <w:shd w:val="clear" w:color="auto" w:fill="FFFFFF"/>
        </w:rPr>
        <w:t>, </w:t>
      </w:r>
      <w:r w:rsidRPr="003C1BC8">
        <w:rPr>
          <w:rFonts w:cstheme="minorHAnsi"/>
          <w:i/>
          <w:iCs/>
          <w:shd w:val="clear" w:color="auto" w:fill="FFFFFF"/>
        </w:rPr>
        <w:t>37</w:t>
      </w:r>
      <w:r w:rsidRPr="003C1BC8">
        <w:rPr>
          <w:rFonts w:cstheme="minorHAnsi"/>
          <w:shd w:val="clear" w:color="auto" w:fill="FFFFFF"/>
        </w:rPr>
        <w:t xml:space="preserve">(4), 267-275. </w:t>
      </w:r>
      <w:hyperlink r:id="rId44" w:tgtFrame="_blank" w:history="1">
        <w:r w:rsidRPr="003C1BC8">
          <w:rPr>
            <w:rStyle w:val="Hyperlink"/>
            <w:rFonts w:cstheme="minorHAnsi"/>
            <w:color w:val="auto"/>
            <w:u w:val="none"/>
            <w:shd w:val="clear" w:color="auto" w:fill="FFFFFF"/>
          </w:rPr>
          <w:t>https://doi.org/10.1037/lhb0000032</w:t>
        </w:r>
      </w:hyperlink>
    </w:p>
    <w:p w14:paraId="6703F0B0" w14:textId="77777777" w:rsidR="00451875" w:rsidRPr="002F671C" w:rsidRDefault="00451875" w:rsidP="00451875">
      <w:pPr>
        <w:ind w:left="284" w:hanging="284"/>
        <w:rPr>
          <w:rFonts w:cstheme="minorHAnsi"/>
          <w:shd w:val="clear" w:color="auto" w:fill="FFFFFF"/>
        </w:rPr>
      </w:pPr>
      <w:r w:rsidRPr="002F671C">
        <w:rPr>
          <w:rFonts w:cstheme="minorHAnsi"/>
          <w:shd w:val="clear" w:color="auto" w:fill="FFFFFF"/>
        </w:rPr>
        <w:t>Thompson, A. D., &amp; Hartwig, M. (2023). The language of high‐stakes truths and lies: Linguistic analysis of true and deceptive statements made during sexual homicide interrogations. </w:t>
      </w:r>
      <w:r w:rsidRPr="002F671C">
        <w:rPr>
          <w:rFonts w:cstheme="minorHAnsi"/>
          <w:i/>
          <w:iCs/>
          <w:shd w:val="clear" w:color="auto" w:fill="FFFFFF"/>
        </w:rPr>
        <w:t>Legal and Criminological Psychology</w:t>
      </w:r>
      <w:r w:rsidRPr="002F671C">
        <w:rPr>
          <w:rFonts w:cstheme="minorHAnsi"/>
          <w:shd w:val="clear" w:color="auto" w:fill="FFFFFF"/>
        </w:rPr>
        <w:t>, </w:t>
      </w:r>
      <w:r w:rsidRPr="002F671C">
        <w:rPr>
          <w:rFonts w:cstheme="minorHAnsi"/>
          <w:i/>
          <w:iCs/>
          <w:shd w:val="clear" w:color="auto" w:fill="FFFFFF"/>
        </w:rPr>
        <w:t>28</w:t>
      </w:r>
      <w:r w:rsidRPr="002F671C">
        <w:rPr>
          <w:rFonts w:cstheme="minorHAnsi"/>
          <w:shd w:val="clear" w:color="auto" w:fill="FFFFFF"/>
        </w:rPr>
        <w:t xml:space="preserve">(1), 34-44. </w:t>
      </w:r>
      <w:hyperlink r:id="rId45" w:history="1">
        <w:r w:rsidRPr="002F671C">
          <w:rPr>
            <w:rStyle w:val="Hyperlink"/>
            <w:rFonts w:cstheme="minorHAnsi"/>
            <w:color w:val="auto"/>
            <w:u w:val="none"/>
            <w:shd w:val="clear" w:color="auto" w:fill="FFFFFF"/>
          </w:rPr>
          <w:t>https://doi.org/10.1111/lcrp.12214</w:t>
        </w:r>
      </w:hyperlink>
    </w:p>
    <w:p w14:paraId="1D35820E" w14:textId="77777777" w:rsidR="00451875" w:rsidRPr="002F671C" w:rsidRDefault="00451875" w:rsidP="00451875">
      <w:pPr>
        <w:ind w:left="284" w:hanging="284"/>
        <w:rPr>
          <w:rFonts w:cstheme="minorHAnsi"/>
          <w:shd w:val="clear" w:color="auto" w:fill="FFFFFF"/>
        </w:rPr>
      </w:pPr>
      <w:proofErr w:type="spellStart"/>
      <w:r w:rsidRPr="002F671C">
        <w:rPr>
          <w:rFonts w:cstheme="minorHAnsi"/>
          <w:shd w:val="clear" w:color="auto" w:fill="FFFFFF"/>
        </w:rPr>
        <w:t>Tugular</w:t>
      </w:r>
      <w:proofErr w:type="spellEnd"/>
      <w:r w:rsidRPr="002F671C">
        <w:rPr>
          <w:rFonts w:cstheme="minorHAnsi"/>
          <w:shd w:val="clear" w:color="auto" w:fill="FFFFFF"/>
        </w:rPr>
        <w:t xml:space="preserve">, T., &amp; Spafford, E. H. (1997). </w:t>
      </w:r>
      <w:r w:rsidRPr="002F671C">
        <w:rPr>
          <w:rFonts w:cstheme="minorHAnsi"/>
          <w:i/>
          <w:iCs/>
          <w:shd w:val="clear" w:color="auto" w:fill="FFFFFF"/>
        </w:rPr>
        <w:t>A framework for characterization of insider computer misuse</w:t>
      </w:r>
      <w:r w:rsidRPr="002F671C">
        <w:rPr>
          <w:rFonts w:cstheme="minorHAnsi"/>
          <w:shd w:val="clear" w:color="auto" w:fill="FFFFFF"/>
        </w:rPr>
        <w:t>. Unpublished paper, Purdue University, West Lafayette, IN, USA.</w:t>
      </w:r>
    </w:p>
    <w:p w14:paraId="28CB1F11" w14:textId="77777777" w:rsidR="00451875" w:rsidRPr="002F671C" w:rsidRDefault="00451875" w:rsidP="00451875">
      <w:pPr>
        <w:ind w:left="284" w:hanging="284"/>
        <w:rPr>
          <w:rFonts w:cstheme="minorHAnsi"/>
          <w:i/>
          <w:iCs/>
          <w:shd w:val="clear" w:color="auto" w:fill="FFFFFF"/>
        </w:rPr>
      </w:pPr>
      <w:r w:rsidRPr="002F671C">
        <w:rPr>
          <w:rFonts w:cstheme="minorHAnsi"/>
          <w:shd w:val="clear" w:color="auto" w:fill="FFFFFF"/>
        </w:rPr>
        <w:lastRenderedPageBreak/>
        <w:t xml:space="preserve">Van der Zee, S., </w:t>
      </w:r>
      <w:proofErr w:type="spellStart"/>
      <w:r w:rsidRPr="002F671C">
        <w:rPr>
          <w:rFonts w:cstheme="minorHAnsi"/>
          <w:shd w:val="clear" w:color="auto" w:fill="FFFFFF"/>
        </w:rPr>
        <w:t>Poppe</w:t>
      </w:r>
      <w:proofErr w:type="spellEnd"/>
      <w:r w:rsidRPr="002F671C">
        <w:rPr>
          <w:rFonts w:cstheme="minorHAnsi"/>
          <w:shd w:val="clear" w:color="auto" w:fill="FFFFFF"/>
        </w:rPr>
        <w:t xml:space="preserve">, R., </w:t>
      </w:r>
      <w:proofErr w:type="spellStart"/>
      <w:r w:rsidRPr="002F671C">
        <w:rPr>
          <w:rFonts w:cstheme="minorHAnsi"/>
          <w:shd w:val="clear" w:color="auto" w:fill="FFFFFF"/>
        </w:rPr>
        <w:t>Havrileck</w:t>
      </w:r>
      <w:proofErr w:type="spellEnd"/>
      <w:r w:rsidRPr="002F671C">
        <w:rPr>
          <w:rFonts w:cstheme="minorHAnsi"/>
          <w:shd w:val="clear" w:color="auto" w:fill="FFFFFF"/>
        </w:rPr>
        <w:t xml:space="preserve">, A., &amp; </w:t>
      </w:r>
      <w:proofErr w:type="spellStart"/>
      <w:r w:rsidRPr="002F671C">
        <w:rPr>
          <w:rFonts w:cstheme="minorHAnsi"/>
          <w:shd w:val="clear" w:color="auto" w:fill="FFFFFF"/>
        </w:rPr>
        <w:t>Baillon</w:t>
      </w:r>
      <w:proofErr w:type="spellEnd"/>
      <w:r w:rsidRPr="002F671C">
        <w:rPr>
          <w:rFonts w:cstheme="minorHAnsi"/>
          <w:shd w:val="clear" w:color="auto" w:fill="FFFFFF"/>
        </w:rPr>
        <w:t xml:space="preserve">, A. (2022). A personal model of trumpery: Deception detection in a real-world </w:t>
      </w:r>
      <w:proofErr w:type="gramStart"/>
      <w:r w:rsidRPr="002F671C">
        <w:rPr>
          <w:rFonts w:cstheme="minorHAnsi"/>
          <w:shd w:val="clear" w:color="auto" w:fill="FFFFFF"/>
        </w:rPr>
        <w:t>high-stakes</w:t>
      </w:r>
      <w:proofErr w:type="gramEnd"/>
      <w:r w:rsidRPr="002F671C">
        <w:rPr>
          <w:rFonts w:cstheme="minorHAnsi"/>
          <w:shd w:val="clear" w:color="auto" w:fill="FFFFFF"/>
        </w:rPr>
        <w:t xml:space="preserve"> setting. </w:t>
      </w:r>
      <w:r w:rsidRPr="002F671C">
        <w:rPr>
          <w:rFonts w:cstheme="minorHAnsi"/>
          <w:i/>
          <w:iCs/>
          <w:shd w:val="clear" w:color="auto" w:fill="FFFFFF"/>
        </w:rPr>
        <w:t>Psychological Science, 33</w:t>
      </w:r>
      <w:r w:rsidRPr="002F671C">
        <w:rPr>
          <w:rFonts w:cstheme="minorHAnsi"/>
          <w:shd w:val="clear" w:color="auto" w:fill="FFFFFF"/>
        </w:rPr>
        <w:t xml:space="preserve">(1), 3-17. </w:t>
      </w:r>
      <w:hyperlink r:id="rId46" w:history="1">
        <w:r w:rsidRPr="002F671C">
          <w:rPr>
            <w:rStyle w:val="Hyperlink"/>
            <w:rFonts w:cstheme="minorHAnsi"/>
            <w:color w:val="auto"/>
            <w:u w:val="none"/>
            <w:shd w:val="clear" w:color="auto" w:fill="FFFFFF"/>
          </w:rPr>
          <w:t>https://doi.org/10.1177/09567976211015941</w:t>
        </w:r>
      </w:hyperlink>
    </w:p>
    <w:p w14:paraId="137389B3" w14:textId="77777777" w:rsidR="00451875" w:rsidRPr="002F671C" w:rsidRDefault="00451875" w:rsidP="00451875">
      <w:pPr>
        <w:ind w:left="284" w:hanging="284"/>
        <w:rPr>
          <w:rFonts w:eastAsiaTheme="minorEastAsia"/>
        </w:rPr>
      </w:pPr>
      <w:r w:rsidRPr="002F671C">
        <w:rPr>
          <w:rFonts w:eastAsiaTheme="minorEastAsia"/>
        </w:rPr>
        <w:t xml:space="preserve">Vrij, A. (2005). Criteria-Based Content Analysis: A qualitative review of the first 37 studies. </w:t>
      </w:r>
      <w:r w:rsidRPr="002F671C">
        <w:rPr>
          <w:rFonts w:eastAsiaTheme="minorEastAsia"/>
          <w:i/>
        </w:rPr>
        <w:t>Psychology, Public Policy, and Law</w:t>
      </w:r>
      <w:r w:rsidRPr="002F671C">
        <w:rPr>
          <w:rFonts w:eastAsiaTheme="minorEastAsia"/>
        </w:rPr>
        <w:t xml:space="preserve">, </w:t>
      </w:r>
      <w:r w:rsidRPr="002F671C">
        <w:rPr>
          <w:rFonts w:eastAsiaTheme="minorEastAsia"/>
          <w:i/>
        </w:rPr>
        <w:t>11</w:t>
      </w:r>
      <w:r w:rsidRPr="002F671C">
        <w:rPr>
          <w:rFonts w:eastAsiaTheme="minorEastAsia"/>
        </w:rPr>
        <w:t xml:space="preserve">(1), 3-41. </w:t>
      </w:r>
      <w:hyperlink r:id="rId47">
        <w:r w:rsidRPr="002F671C">
          <w:rPr>
            <w:rStyle w:val="Hyperlink"/>
            <w:rFonts w:eastAsiaTheme="minorEastAsia"/>
            <w:color w:val="auto"/>
            <w:u w:val="none"/>
          </w:rPr>
          <w:t>https://doi.org/10.1037/1076-8971.11.1.3</w:t>
        </w:r>
      </w:hyperlink>
    </w:p>
    <w:p w14:paraId="5276462F" w14:textId="77777777" w:rsidR="00451875" w:rsidRPr="002F671C" w:rsidRDefault="00451875" w:rsidP="00451875">
      <w:pPr>
        <w:ind w:left="284" w:hanging="284"/>
        <w:rPr>
          <w:rFonts w:eastAsiaTheme="minorEastAsia"/>
          <w:shd w:val="clear" w:color="auto" w:fill="FFFFFF"/>
        </w:rPr>
      </w:pPr>
      <w:r w:rsidRPr="002F671C">
        <w:rPr>
          <w:rFonts w:eastAsiaTheme="minorEastAsia"/>
        </w:rPr>
        <w:t>Vrij, A. (2014). Detecting lies and deceit: Pitfalls and opportunities in nonverbal and verbal lie detection. In C. R. Berger (ed.),</w:t>
      </w:r>
      <w:r w:rsidRPr="002F671C">
        <w:rPr>
          <w:rFonts w:eastAsiaTheme="minorEastAsia"/>
          <w:i/>
        </w:rPr>
        <w:t xml:space="preserve"> Interpersonal communication</w:t>
      </w:r>
      <w:r w:rsidRPr="002F671C">
        <w:rPr>
          <w:rFonts w:eastAsiaTheme="minorEastAsia"/>
        </w:rPr>
        <w:t xml:space="preserve"> (pp. 321-346). Walter de Gruyter. </w:t>
      </w:r>
    </w:p>
    <w:p w14:paraId="1E6F4EB8" w14:textId="77777777" w:rsidR="00451875" w:rsidRPr="002F671C" w:rsidRDefault="00451875" w:rsidP="00451875">
      <w:pPr>
        <w:ind w:left="284" w:hanging="284"/>
      </w:pPr>
      <w:r w:rsidRPr="002F671C">
        <w:rPr>
          <w:shd w:val="clear" w:color="auto" w:fill="FFFFFF"/>
        </w:rPr>
        <w:t>Vrij, A., Fisher, R., Mann, S., &amp; Leal, S. (2008). A cognitive load approach to lie detection. </w:t>
      </w:r>
      <w:r w:rsidRPr="002F671C">
        <w:rPr>
          <w:i/>
          <w:shd w:val="clear" w:color="auto" w:fill="FFFFFF"/>
        </w:rPr>
        <w:t>Journal of Investigative Psychology and Offender Profiling</w:t>
      </w:r>
      <w:r w:rsidRPr="002F671C">
        <w:rPr>
          <w:shd w:val="clear" w:color="auto" w:fill="FFFFFF"/>
        </w:rPr>
        <w:t>, </w:t>
      </w:r>
      <w:r w:rsidRPr="002F671C">
        <w:rPr>
          <w:i/>
          <w:shd w:val="clear" w:color="auto" w:fill="FFFFFF"/>
        </w:rPr>
        <w:t>5</w:t>
      </w:r>
      <w:r w:rsidRPr="002F671C">
        <w:rPr>
          <w:shd w:val="clear" w:color="auto" w:fill="FFFFFF"/>
        </w:rPr>
        <w:t xml:space="preserve">(1‐2), 39-43. </w:t>
      </w:r>
      <w:hyperlink r:id="rId48" w:history="1">
        <w:r w:rsidRPr="002F671C">
          <w:rPr>
            <w:rStyle w:val="Hyperlink"/>
            <w:color w:val="auto"/>
            <w:u w:val="none"/>
            <w:shd w:val="clear" w:color="auto" w:fill="FFFFFF"/>
          </w:rPr>
          <w:t>https://doi.org/10.1002/jip.82</w:t>
        </w:r>
      </w:hyperlink>
    </w:p>
    <w:p w14:paraId="2F2BB3EC" w14:textId="77777777" w:rsidR="00451875" w:rsidRPr="002F671C" w:rsidRDefault="00451875" w:rsidP="00451875">
      <w:pPr>
        <w:ind w:left="284" w:hanging="284"/>
        <w:rPr>
          <w:rFonts w:cstheme="minorHAnsi"/>
          <w:shd w:val="clear" w:color="auto" w:fill="FFFFFF"/>
        </w:rPr>
      </w:pPr>
      <w:bookmarkStart w:id="29" w:name="_Hlk128211317"/>
      <w:r w:rsidRPr="002F671C">
        <w:rPr>
          <w:rFonts w:cstheme="minorHAnsi"/>
          <w:shd w:val="clear" w:color="auto" w:fill="FFFFFF"/>
        </w:rPr>
        <w:t>Walczyk, J. J., Schwartz, J. P., Clifton, R., Adams, B., Wei, M. I. N., &amp; Zha, P. (2005). Lying person‐to‐person about life events: A cognitive framework for lie detection. </w:t>
      </w:r>
      <w:r w:rsidRPr="002F671C">
        <w:rPr>
          <w:rFonts w:cstheme="minorHAnsi"/>
          <w:i/>
          <w:iCs/>
          <w:shd w:val="clear" w:color="auto" w:fill="FFFFFF"/>
        </w:rPr>
        <w:t>Personnel Psychology</w:t>
      </w:r>
      <w:r w:rsidRPr="002F671C">
        <w:rPr>
          <w:rFonts w:cstheme="minorHAnsi"/>
          <w:shd w:val="clear" w:color="auto" w:fill="FFFFFF"/>
        </w:rPr>
        <w:t>, </w:t>
      </w:r>
      <w:r w:rsidRPr="002F671C">
        <w:rPr>
          <w:rFonts w:cstheme="minorHAnsi"/>
          <w:i/>
          <w:iCs/>
          <w:shd w:val="clear" w:color="auto" w:fill="FFFFFF"/>
        </w:rPr>
        <w:t>58</w:t>
      </w:r>
      <w:r w:rsidRPr="002F671C">
        <w:rPr>
          <w:rFonts w:cstheme="minorHAnsi"/>
          <w:shd w:val="clear" w:color="auto" w:fill="FFFFFF"/>
        </w:rPr>
        <w:t xml:space="preserve">(1), 141-170. </w:t>
      </w:r>
      <w:hyperlink r:id="rId49" w:history="1">
        <w:r w:rsidRPr="002F671C">
          <w:rPr>
            <w:rStyle w:val="Hyperlink"/>
            <w:rFonts w:cstheme="minorHAnsi"/>
            <w:color w:val="auto"/>
            <w:u w:val="none"/>
            <w:shd w:val="clear" w:color="auto" w:fill="FFFFFF"/>
          </w:rPr>
          <w:t>https://doi.org/10.1111/j.1744-6570.2005.00484.x</w:t>
        </w:r>
      </w:hyperlink>
    </w:p>
    <w:p w14:paraId="3AA23EB9" w14:textId="77777777" w:rsidR="00451875" w:rsidRPr="002F671C" w:rsidRDefault="00451875" w:rsidP="00451875">
      <w:pPr>
        <w:ind w:left="284" w:hanging="284"/>
        <w:rPr>
          <w:rFonts w:cstheme="minorHAnsi"/>
          <w:shd w:val="clear" w:color="auto" w:fill="FFFFFF"/>
        </w:rPr>
      </w:pPr>
      <w:r w:rsidRPr="002F671C">
        <w:rPr>
          <w:rFonts w:cstheme="minorHAnsi"/>
          <w:shd w:val="clear" w:color="auto" w:fill="FFFFFF"/>
        </w:rPr>
        <w:t xml:space="preserve">Williams, S. M., Talwar, V., Lindsay, R. C. L., Bala, N., &amp; Lee, K. (2014). </w:t>
      </w:r>
      <w:bookmarkEnd w:id="29"/>
      <w:r w:rsidRPr="002F671C">
        <w:rPr>
          <w:rFonts w:cstheme="minorHAnsi"/>
          <w:shd w:val="clear" w:color="auto" w:fill="FFFFFF"/>
        </w:rPr>
        <w:t>Is the truth in your words? Distinguishing children’s deceptive and truthful statements. </w:t>
      </w:r>
      <w:r w:rsidRPr="002F671C">
        <w:rPr>
          <w:rFonts w:cstheme="minorHAnsi"/>
          <w:i/>
          <w:iCs/>
          <w:shd w:val="clear" w:color="auto" w:fill="FFFFFF"/>
        </w:rPr>
        <w:t>Journal of Criminology</w:t>
      </w:r>
      <w:r w:rsidRPr="002F671C">
        <w:rPr>
          <w:rFonts w:cstheme="minorHAnsi"/>
          <w:shd w:val="clear" w:color="auto" w:fill="FFFFFF"/>
        </w:rPr>
        <w:t>, </w:t>
      </w:r>
      <w:r w:rsidRPr="002F671C">
        <w:rPr>
          <w:rFonts w:cstheme="minorHAnsi"/>
          <w:i/>
          <w:iCs/>
          <w:shd w:val="clear" w:color="auto" w:fill="FFFFFF"/>
        </w:rPr>
        <w:t>7</w:t>
      </w:r>
      <w:r w:rsidRPr="002F671C">
        <w:rPr>
          <w:rFonts w:cstheme="minorHAnsi"/>
          <w:shd w:val="clear" w:color="auto" w:fill="FFFFFF"/>
        </w:rPr>
        <w:t xml:space="preserve">(2), 14-22. </w:t>
      </w:r>
      <w:r w:rsidRPr="002F671C">
        <w:rPr>
          <w:rFonts w:cstheme="minorHAnsi"/>
        </w:rPr>
        <w:t>http://dx.doi.org/10.1155/2014/547519</w:t>
      </w:r>
    </w:p>
    <w:p w14:paraId="71E24726" w14:textId="6AB886AF" w:rsidR="00AD0929" w:rsidRDefault="00451875" w:rsidP="00AD0929">
      <w:pPr>
        <w:ind w:left="284" w:hanging="284"/>
        <w:rPr>
          <w:rStyle w:val="Hyperlink"/>
          <w:rFonts w:cstheme="minorHAnsi"/>
          <w:color w:val="auto"/>
          <w:u w:val="none"/>
          <w:shd w:val="clear" w:color="auto" w:fill="FFFFFF"/>
        </w:rPr>
      </w:pPr>
      <w:r w:rsidRPr="002F671C">
        <w:rPr>
          <w:rFonts w:cstheme="minorHAnsi"/>
          <w:shd w:val="clear" w:color="auto" w:fill="FFFFFF"/>
        </w:rPr>
        <w:t xml:space="preserve">Workman, M., &amp; </w:t>
      </w:r>
      <w:proofErr w:type="spellStart"/>
      <w:r w:rsidRPr="002F671C">
        <w:rPr>
          <w:rFonts w:cstheme="minorHAnsi"/>
          <w:shd w:val="clear" w:color="auto" w:fill="FFFFFF"/>
        </w:rPr>
        <w:t>Gathegi</w:t>
      </w:r>
      <w:proofErr w:type="spellEnd"/>
      <w:r w:rsidRPr="002F671C">
        <w:rPr>
          <w:rFonts w:cstheme="minorHAnsi"/>
          <w:shd w:val="clear" w:color="auto" w:fill="FFFFFF"/>
        </w:rPr>
        <w:t>, J. (2007). Punishment and ethics deterrents: A study of insider security contravention. </w:t>
      </w:r>
      <w:r w:rsidRPr="002F671C">
        <w:rPr>
          <w:rFonts w:cstheme="minorHAnsi"/>
          <w:i/>
          <w:iCs/>
          <w:shd w:val="clear" w:color="auto" w:fill="FFFFFF"/>
        </w:rPr>
        <w:t>Journal of the American Society for Information Science and Technology</w:t>
      </w:r>
      <w:r w:rsidRPr="002F671C">
        <w:rPr>
          <w:rFonts w:cstheme="minorHAnsi"/>
          <w:shd w:val="clear" w:color="auto" w:fill="FFFFFF"/>
        </w:rPr>
        <w:t>, </w:t>
      </w:r>
      <w:r w:rsidRPr="002F671C">
        <w:rPr>
          <w:rFonts w:cstheme="minorHAnsi"/>
          <w:i/>
          <w:iCs/>
          <w:shd w:val="clear" w:color="auto" w:fill="FFFFFF"/>
        </w:rPr>
        <w:t>58</w:t>
      </w:r>
      <w:r w:rsidRPr="002F671C">
        <w:rPr>
          <w:rFonts w:cstheme="minorHAnsi"/>
          <w:shd w:val="clear" w:color="auto" w:fill="FFFFFF"/>
        </w:rPr>
        <w:t xml:space="preserve">(2), 212-222. </w:t>
      </w:r>
      <w:hyperlink r:id="rId50" w:history="1">
        <w:r w:rsidRPr="002F671C">
          <w:rPr>
            <w:rStyle w:val="Hyperlink"/>
            <w:rFonts w:cstheme="minorHAnsi"/>
            <w:color w:val="auto"/>
            <w:u w:val="none"/>
            <w:shd w:val="clear" w:color="auto" w:fill="FFFFFF"/>
          </w:rPr>
          <w:t>https://doi.org/10.1002/asi.20474</w:t>
        </w:r>
      </w:hyperlink>
    </w:p>
    <w:p w14:paraId="4413D7E4" w14:textId="77777777" w:rsidR="00AD0929" w:rsidRDefault="00AD0929">
      <w:pPr>
        <w:spacing w:line="240" w:lineRule="auto"/>
        <w:rPr>
          <w:rStyle w:val="Hyperlink"/>
          <w:rFonts w:cstheme="minorHAnsi"/>
          <w:color w:val="auto"/>
          <w:u w:val="none"/>
          <w:shd w:val="clear" w:color="auto" w:fill="FFFFFF"/>
        </w:rPr>
      </w:pPr>
      <w:r>
        <w:rPr>
          <w:rStyle w:val="Hyperlink"/>
          <w:rFonts w:cstheme="minorHAnsi"/>
          <w:color w:val="auto"/>
          <w:u w:val="none"/>
          <w:shd w:val="clear" w:color="auto" w:fill="FFFFFF"/>
        </w:rPr>
        <w:br w:type="page"/>
      </w:r>
    </w:p>
    <w:p w14:paraId="09CDF61F" w14:textId="35617D18" w:rsidR="00451875" w:rsidRDefault="00716EF8" w:rsidP="00716EF8">
      <w:pPr>
        <w:spacing w:line="240" w:lineRule="auto"/>
        <w:jc w:val="center"/>
        <w:rPr>
          <w:rFonts w:cstheme="minorHAnsi"/>
          <w:b/>
          <w:bCs/>
        </w:rPr>
      </w:pPr>
      <w:r>
        <w:rPr>
          <w:rFonts w:cstheme="minorHAnsi"/>
          <w:b/>
          <w:bCs/>
        </w:rPr>
        <w:lastRenderedPageBreak/>
        <w:t>Tables</w:t>
      </w:r>
    </w:p>
    <w:p w14:paraId="25FA2E46" w14:textId="619A67E6" w:rsidR="00451875" w:rsidRPr="00716EF8" w:rsidRDefault="00451875" w:rsidP="00716EF8">
      <w:pPr>
        <w:spacing w:line="240" w:lineRule="auto"/>
        <w:rPr>
          <w:rFonts w:cstheme="minorHAnsi"/>
          <w:b/>
          <w:bCs/>
        </w:rPr>
      </w:pPr>
    </w:p>
    <w:p w14:paraId="7B449DCD" w14:textId="77777777" w:rsidR="00451875" w:rsidRDefault="00451875" w:rsidP="00451875">
      <w:pPr>
        <w:spacing w:line="240" w:lineRule="auto"/>
        <w:rPr>
          <w:rFonts w:cstheme="minorHAnsi"/>
          <w:b/>
          <w:bCs/>
        </w:rPr>
      </w:pPr>
      <w:r w:rsidRPr="007D0787">
        <w:rPr>
          <w:rFonts w:cstheme="minorHAnsi"/>
          <w:b/>
          <w:bCs/>
        </w:rPr>
        <w:t>Table 1</w:t>
      </w:r>
    </w:p>
    <w:p w14:paraId="6D5505BA" w14:textId="77777777" w:rsidR="00716EF8" w:rsidRPr="007D0787" w:rsidRDefault="00716EF8" w:rsidP="00716EF8">
      <w:pPr>
        <w:spacing w:line="240" w:lineRule="auto"/>
        <w:rPr>
          <w:rFonts w:cstheme="minorHAnsi"/>
          <w:i/>
          <w:iCs/>
        </w:rPr>
      </w:pPr>
      <w:r w:rsidRPr="007D0787">
        <w:rPr>
          <w:rFonts w:cstheme="minorHAnsi"/>
          <w:i/>
          <w:iCs/>
        </w:rPr>
        <w:t xml:space="preserve">Interview Protocol </w:t>
      </w:r>
    </w:p>
    <w:p w14:paraId="2C9F10D2" w14:textId="77777777" w:rsidR="00716EF8" w:rsidRPr="007D0787" w:rsidRDefault="00716EF8" w:rsidP="00451875">
      <w:pPr>
        <w:spacing w:line="240" w:lineRule="auto"/>
        <w:rPr>
          <w:rFonts w:cstheme="minorHAnsi"/>
          <w:b/>
          <w:bCs/>
        </w:rPr>
      </w:pPr>
    </w:p>
    <w:p w14:paraId="07F64011" w14:textId="77777777" w:rsidR="00451875" w:rsidRPr="00014C48" w:rsidRDefault="00451875" w:rsidP="00451875">
      <w:pPr>
        <w:spacing w:line="240" w:lineRule="auto"/>
        <w:rPr>
          <w:rFonts w:cstheme="minorHAnsi"/>
        </w:rPr>
      </w:pPr>
    </w:p>
    <w:p w14:paraId="0D04916A" w14:textId="77777777" w:rsidR="00451875" w:rsidRPr="00291438" w:rsidRDefault="00451875" w:rsidP="00451875">
      <w:pPr>
        <w:pBdr>
          <w:top w:val="single" w:sz="4" w:space="1" w:color="auto"/>
          <w:bottom w:val="single" w:sz="4" w:space="1" w:color="auto"/>
        </w:pBdr>
        <w:spacing w:line="360" w:lineRule="auto"/>
        <w:rPr>
          <w:rFonts w:cstheme="minorHAnsi"/>
          <w:b/>
          <w:bCs/>
        </w:rPr>
      </w:pPr>
      <w:r w:rsidRPr="00291438">
        <w:rPr>
          <w:rFonts w:cstheme="minorHAnsi"/>
          <w:b/>
          <w:bCs/>
        </w:rPr>
        <w:t>Phase 1</w:t>
      </w:r>
    </w:p>
    <w:p w14:paraId="034B3CB2" w14:textId="77777777" w:rsidR="00451875" w:rsidRPr="00D17D14" w:rsidRDefault="00451875" w:rsidP="00451875">
      <w:pPr>
        <w:spacing w:line="360" w:lineRule="auto"/>
        <w:rPr>
          <w:rFonts w:cstheme="minorHAnsi"/>
        </w:rPr>
      </w:pPr>
      <w:r w:rsidRPr="00D17D14">
        <w:rPr>
          <w:rFonts w:cstheme="minorHAnsi"/>
        </w:rPr>
        <w:t>Introdu</w:t>
      </w:r>
      <w:r>
        <w:rPr>
          <w:rFonts w:cstheme="minorHAnsi"/>
        </w:rPr>
        <w:t>ction to the g</w:t>
      </w:r>
      <w:r w:rsidRPr="00D17D14">
        <w:rPr>
          <w:rFonts w:cstheme="minorHAnsi"/>
        </w:rPr>
        <w:t>round rules:</w:t>
      </w:r>
    </w:p>
    <w:p w14:paraId="78641A14" w14:textId="77777777" w:rsidR="00451875" w:rsidRPr="00D17D14" w:rsidRDefault="00451875" w:rsidP="00451875">
      <w:pPr>
        <w:numPr>
          <w:ilvl w:val="0"/>
          <w:numId w:val="31"/>
        </w:numPr>
        <w:spacing w:after="4" w:line="360" w:lineRule="auto"/>
        <w:ind w:hanging="402"/>
        <w:rPr>
          <w:rFonts w:cstheme="minorHAnsi"/>
        </w:rPr>
      </w:pPr>
      <w:r w:rsidRPr="00D17D14">
        <w:rPr>
          <w:rFonts w:cstheme="minorHAnsi"/>
        </w:rPr>
        <w:t>Provide as much detail as possible</w:t>
      </w:r>
      <w:r>
        <w:rPr>
          <w:rFonts w:cstheme="minorHAnsi"/>
        </w:rPr>
        <w:t>.</w:t>
      </w:r>
    </w:p>
    <w:p w14:paraId="334971EC" w14:textId="77777777" w:rsidR="00451875" w:rsidRPr="00D17D14" w:rsidRDefault="00451875" w:rsidP="00451875">
      <w:pPr>
        <w:numPr>
          <w:ilvl w:val="0"/>
          <w:numId w:val="31"/>
        </w:numPr>
        <w:spacing w:after="4" w:line="360" w:lineRule="auto"/>
        <w:ind w:hanging="402"/>
        <w:rPr>
          <w:rFonts w:cstheme="minorHAnsi"/>
        </w:rPr>
      </w:pPr>
      <w:r w:rsidRPr="00D17D14">
        <w:rPr>
          <w:rFonts w:cstheme="minorHAnsi"/>
        </w:rPr>
        <w:t>Tell me absolutely everything</w:t>
      </w:r>
      <w:r>
        <w:rPr>
          <w:rFonts w:cstheme="minorHAnsi"/>
        </w:rPr>
        <w:t>.</w:t>
      </w:r>
    </w:p>
    <w:p w14:paraId="23A4307F" w14:textId="77777777" w:rsidR="00451875" w:rsidRPr="00D17D14" w:rsidRDefault="00451875" w:rsidP="00451875">
      <w:pPr>
        <w:numPr>
          <w:ilvl w:val="0"/>
          <w:numId w:val="31"/>
        </w:numPr>
        <w:spacing w:after="4" w:line="360" w:lineRule="auto"/>
        <w:ind w:hanging="402"/>
      </w:pPr>
      <w:r w:rsidRPr="3AB9EA47">
        <w:t xml:space="preserve">Say if you cannot remember. I only want you to tell me what you </w:t>
      </w:r>
      <w:proofErr w:type="gramStart"/>
      <w:r w:rsidRPr="3AB9EA47">
        <w:t>actually remember</w:t>
      </w:r>
      <w:proofErr w:type="gramEnd"/>
      <w:r w:rsidRPr="3AB9EA47">
        <w:t>. Do not guess.</w:t>
      </w:r>
    </w:p>
    <w:p w14:paraId="6CE52FBB" w14:textId="77777777" w:rsidR="00451875" w:rsidRPr="00D17D14" w:rsidRDefault="00451875" w:rsidP="00451875">
      <w:pPr>
        <w:numPr>
          <w:ilvl w:val="0"/>
          <w:numId w:val="31"/>
        </w:numPr>
        <w:spacing w:after="4" w:line="360" w:lineRule="auto"/>
        <w:ind w:hanging="402"/>
        <w:rPr>
          <w:rFonts w:cstheme="minorHAnsi"/>
        </w:rPr>
      </w:pPr>
      <w:r w:rsidRPr="00D17D14">
        <w:rPr>
          <w:rFonts w:cstheme="minorHAnsi"/>
        </w:rPr>
        <w:t>Tell me if you do not understand.</w:t>
      </w:r>
    </w:p>
    <w:p w14:paraId="2F651098" w14:textId="77777777" w:rsidR="00451875" w:rsidRPr="00BE3C4D" w:rsidRDefault="00451875" w:rsidP="00451875">
      <w:pPr>
        <w:pBdr>
          <w:top w:val="single" w:sz="4" w:space="1" w:color="auto"/>
          <w:bottom w:val="single" w:sz="4" w:space="1" w:color="auto"/>
        </w:pBdr>
        <w:spacing w:line="360" w:lineRule="auto"/>
        <w:rPr>
          <w:rFonts w:cstheme="minorHAnsi"/>
          <w:b/>
          <w:bCs/>
        </w:rPr>
      </w:pPr>
      <w:r w:rsidRPr="00BE3C4D">
        <w:rPr>
          <w:rFonts w:cstheme="minorHAnsi"/>
          <w:b/>
          <w:bCs/>
        </w:rPr>
        <w:t>Phase 2</w:t>
      </w:r>
    </w:p>
    <w:p w14:paraId="533A7434" w14:textId="77777777" w:rsidR="00451875" w:rsidRPr="00D17D14" w:rsidRDefault="00451875" w:rsidP="00451875">
      <w:pPr>
        <w:spacing w:line="360" w:lineRule="auto"/>
        <w:ind w:left="-5"/>
        <w:jc w:val="both"/>
        <w:rPr>
          <w:rFonts w:cstheme="minorHAnsi"/>
        </w:rPr>
      </w:pPr>
      <w:r>
        <w:rPr>
          <w:rFonts w:cstheme="minorHAnsi"/>
        </w:rPr>
        <w:t>Deployment of a</w:t>
      </w:r>
      <w:r w:rsidRPr="00D17D14">
        <w:rPr>
          <w:rFonts w:cstheme="minorHAnsi"/>
        </w:rPr>
        <w:t xml:space="preserve"> set of 20 standard gaming</w:t>
      </w:r>
      <w:r>
        <w:rPr>
          <w:rFonts w:cstheme="minorHAnsi"/>
        </w:rPr>
        <w:t>-</w:t>
      </w:r>
      <w:r w:rsidRPr="00D17D14">
        <w:rPr>
          <w:rFonts w:cstheme="minorHAnsi"/>
        </w:rPr>
        <w:t>behaviour questions:</w:t>
      </w:r>
    </w:p>
    <w:p w14:paraId="0488D8B1" w14:textId="77777777" w:rsidR="00451875" w:rsidRPr="00D17D14" w:rsidRDefault="00451875" w:rsidP="00451875">
      <w:pPr>
        <w:numPr>
          <w:ilvl w:val="0"/>
          <w:numId w:val="32"/>
        </w:numPr>
        <w:spacing w:after="4" w:line="360" w:lineRule="auto"/>
        <w:ind w:hanging="363"/>
        <w:jc w:val="both"/>
        <w:rPr>
          <w:rFonts w:cstheme="minorHAnsi"/>
        </w:rPr>
      </w:pPr>
      <w:r w:rsidRPr="00D17D14">
        <w:rPr>
          <w:rFonts w:cstheme="minorHAnsi"/>
        </w:rPr>
        <w:t>1 Tell, Explain, or Describe (TED)</w:t>
      </w:r>
      <w:r>
        <w:rPr>
          <w:rFonts w:cstheme="minorHAnsi"/>
        </w:rPr>
        <w:t>.</w:t>
      </w:r>
    </w:p>
    <w:p w14:paraId="10EDC410" w14:textId="77777777" w:rsidR="00451875" w:rsidRPr="00D17D14" w:rsidRDefault="00451875" w:rsidP="00451875">
      <w:pPr>
        <w:numPr>
          <w:ilvl w:val="0"/>
          <w:numId w:val="32"/>
        </w:numPr>
        <w:spacing w:after="4" w:line="360" w:lineRule="auto"/>
        <w:ind w:hanging="363"/>
        <w:jc w:val="both"/>
        <w:rPr>
          <w:rFonts w:cstheme="minorHAnsi"/>
        </w:rPr>
      </w:pPr>
      <w:r w:rsidRPr="00D17D14">
        <w:rPr>
          <w:rFonts w:cstheme="minorHAnsi"/>
        </w:rPr>
        <w:t>8 probing who, what, why, when, how questions (5</w:t>
      </w:r>
      <w:r>
        <w:rPr>
          <w:rFonts w:cstheme="minorHAnsi"/>
        </w:rPr>
        <w:t xml:space="preserve"> </w:t>
      </w:r>
      <w:r w:rsidRPr="00D17D14">
        <w:rPr>
          <w:rFonts w:cstheme="minorHAnsi"/>
        </w:rPr>
        <w:t>WHT questions)</w:t>
      </w:r>
      <w:r>
        <w:rPr>
          <w:rFonts w:cstheme="minorHAnsi"/>
        </w:rPr>
        <w:t>.</w:t>
      </w:r>
    </w:p>
    <w:p w14:paraId="0C87516A" w14:textId="77777777" w:rsidR="00451875" w:rsidRPr="00D17D14" w:rsidRDefault="00451875" w:rsidP="00451875">
      <w:pPr>
        <w:numPr>
          <w:ilvl w:val="0"/>
          <w:numId w:val="32"/>
        </w:numPr>
        <w:spacing w:after="4" w:line="360" w:lineRule="auto"/>
        <w:ind w:hanging="363"/>
        <w:jc w:val="both"/>
        <w:rPr>
          <w:rFonts w:cstheme="minorHAnsi"/>
        </w:rPr>
      </w:pPr>
      <w:r w:rsidRPr="00D17D14">
        <w:rPr>
          <w:rFonts w:cstheme="minorHAnsi"/>
        </w:rPr>
        <w:t xml:space="preserve">11 closed </w:t>
      </w:r>
      <w:r>
        <w:rPr>
          <w:rFonts w:cstheme="minorHAnsi"/>
        </w:rPr>
        <w:t xml:space="preserve">questions </w:t>
      </w:r>
      <w:r w:rsidRPr="00D17D14">
        <w:rPr>
          <w:rFonts w:cstheme="minorHAnsi"/>
        </w:rPr>
        <w:t>(requir</w:t>
      </w:r>
      <w:r>
        <w:rPr>
          <w:rFonts w:cstheme="minorHAnsi"/>
        </w:rPr>
        <w:t>ing</w:t>
      </w:r>
      <w:r w:rsidRPr="00D17D14">
        <w:rPr>
          <w:rFonts w:cstheme="minorHAnsi"/>
        </w:rPr>
        <w:t xml:space="preserve"> a yes/no </w:t>
      </w:r>
      <w:proofErr w:type="gramStart"/>
      <w:r w:rsidRPr="00D17D14">
        <w:rPr>
          <w:rFonts w:cstheme="minorHAnsi"/>
        </w:rPr>
        <w:t>type</w:t>
      </w:r>
      <w:proofErr w:type="gramEnd"/>
      <w:r w:rsidRPr="00D17D14">
        <w:rPr>
          <w:rFonts w:cstheme="minorHAnsi"/>
        </w:rPr>
        <w:t xml:space="preserve"> response)</w:t>
      </w:r>
      <w:r>
        <w:rPr>
          <w:rFonts w:cstheme="minorHAnsi"/>
        </w:rPr>
        <w:t xml:space="preserve">, </w:t>
      </w:r>
      <w:r w:rsidRPr="00D17D14">
        <w:rPr>
          <w:rFonts w:cstheme="minorHAnsi"/>
        </w:rPr>
        <w:t xml:space="preserve">designed to commit each interviewee to a </w:t>
      </w:r>
      <w:r w:rsidRPr="00D17D14">
        <w:rPr>
          <w:rFonts w:eastAsia="Calibri" w:cstheme="minorHAnsi"/>
        </w:rPr>
        <w:t xml:space="preserve">version of their gameplay </w:t>
      </w:r>
      <w:r>
        <w:rPr>
          <w:rFonts w:eastAsia="Calibri" w:cstheme="minorHAnsi"/>
        </w:rPr>
        <w:t>“</w:t>
      </w:r>
      <w:r w:rsidRPr="00D17D14">
        <w:rPr>
          <w:rFonts w:eastAsia="Calibri" w:cstheme="minorHAnsi"/>
        </w:rPr>
        <w:t>truth</w:t>
      </w:r>
      <w:r>
        <w:rPr>
          <w:rFonts w:eastAsia="Calibri" w:cstheme="minorHAnsi"/>
        </w:rPr>
        <w:t>”.</w:t>
      </w:r>
      <w:r w:rsidRPr="00D17D14">
        <w:rPr>
          <w:rFonts w:eastAsia="Calibri" w:cstheme="minorHAnsi"/>
        </w:rPr>
        <w:t xml:space="preserve"> Questions were centred on:</w:t>
      </w:r>
    </w:p>
    <w:p w14:paraId="3E4AFA71" w14:textId="77777777" w:rsidR="00451875" w:rsidRPr="00D17D14" w:rsidRDefault="00451875" w:rsidP="00451875">
      <w:pPr>
        <w:numPr>
          <w:ilvl w:val="1"/>
          <w:numId w:val="32"/>
        </w:numPr>
        <w:spacing w:after="4" w:line="360" w:lineRule="auto"/>
        <w:ind w:left="1759" w:hanging="398"/>
        <w:jc w:val="both"/>
        <w:rPr>
          <w:rFonts w:cstheme="minorHAnsi"/>
        </w:rPr>
      </w:pPr>
      <w:r w:rsidRPr="00D17D14">
        <w:rPr>
          <w:rFonts w:cstheme="minorHAnsi"/>
        </w:rPr>
        <w:t>Team membership and team remit</w:t>
      </w:r>
      <w:r>
        <w:rPr>
          <w:rFonts w:cstheme="minorHAnsi"/>
        </w:rPr>
        <w:t>.</w:t>
      </w:r>
    </w:p>
    <w:p w14:paraId="5D769DF6" w14:textId="77777777" w:rsidR="00451875" w:rsidRPr="00D17D14" w:rsidRDefault="00451875" w:rsidP="00451875">
      <w:pPr>
        <w:numPr>
          <w:ilvl w:val="1"/>
          <w:numId w:val="32"/>
        </w:numPr>
        <w:spacing w:after="4" w:line="360" w:lineRule="auto"/>
        <w:ind w:left="1759" w:hanging="398"/>
        <w:jc w:val="both"/>
        <w:rPr>
          <w:rFonts w:cstheme="minorHAnsi"/>
        </w:rPr>
      </w:pPr>
      <w:r w:rsidRPr="00D17D14">
        <w:rPr>
          <w:rFonts w:cstheme="minorHAnsi"/>
        </w:rPr>
        <w:t>Individual role</w:t>
      </w:r>
      <w:r>
        <w:rPr>
          <w:rFonts w:cstheme="minorHAnsi"/>
        </w:rPr>
        <w:t>.</w:t>
      </w:r>
    </w:p>
    <w:p w14:paraId="2A96C933" w14:textId="77777777" w:rsidR="00451875" w:rsidRPr="00D17D14" w:rsidRDefault="00451875" w:rsidP="00451875">
      <w:pPr>
        <w:numPr>
          <w:ilvl w:val="1"/>
          <w:numId w:val="32"/>
        </w:numPr>
        <w:spacing w:after="4" w:line="360" w:lineRule="auto"/>
        <w:ind w:left="1759" w:hanging="398"/>
        <w:jc w:val="both"/>
        <w:rPr>
          <w:rFonts w:cstheme="minorHAnsi"/>
        </w:rPr>
      </w:pPr>
      <w:r w:rsidRPr="00D17D14">
        <w:rPr>
          <w:rFonts w:cstheme="minorHAnsi"/>
        </w:rPr>
        <w:t>Individual tasks</w:t>
      </w:r>
      <w:r>
        <w:rPr>
          <w:rFonts w:cstheme="minorHAnsi"/>
        </w:rPr>
        <w:t>.</w:t>
      </w:r>
    </w:p>
    <w:p w14:paraId="75B17367" w14:textId="77777777" w:rsidR="00451875" w:rsidRDefault="00451875" w:rsidP="00451875">
      <w:pPr>
        <w:numPr>
          <w:ilvl w:val="1"/>
          <w:numId w:val="32"/>
        </w:numPr>
        <w:spacing w:after="4" w:line="360" w:lineRule="auto"/>
        <w:ind w:left="1759" w:hanging="398"/>
        <w:jc w:val="both"/>
        <w:rPr>
          <w:rFonts w:cstheme="minorHAnsi"/>
        </w:rPr>
      </w:pPr>
      <w:r w:rsidRPr="00D17D14">
        <w:rPr>
          <w:rFonts w:cstheme="minorHAnsi"/>
        </w:rPr>
        <w:t>Database access (legitimate, attempted, successful, and illegitimate)</w:t>
      </w:r>
      <w:r>
        <w:rPr>
          <w:rFonts w:cstheme="minorHAnsi"/>
        </w:rPr>
        <w:t>.</w:t>
      </w:r>
    </w:p>
    <w:p w14:paraId="33A53A5E" w14:textId="77777777" w:rsidR="00451875" w:rsidRDefault="00451875" w:rsidP="00451875">
      <w:pPr>
        <w:numPr>
          <w:ilvl w:val="1"/>
          <w:numId w:val="32"/>
        </w:numPr>
        <w:spacing w:after="4" w:line="360" w:lineRule="auto"/>
        <w:ind w:left="1759" w:hanging="398"/>
        <w:jc w:val="both"/>
        <w:rPr>
          <w:rFonts w:cstheme="minorHAnsi"/>
        </w:rPr>
      </w:pPr>
      <w:r w:rsidRPr="00D17D14">
        <w:rPr>
          <w:rFonts w:cstheme="minorHAnsi"/>
        </w:rPr>
        <w:t>Type of info</w:t>
      </w:r>
      <w:r>
        <w:rPr>
          <w:rFonts w:cstheme="minorHAnsi"/>
        </w:rPr>
        <w:t>rmation</w:t>
      </w:r>
      <w:r w:rsidRPr="00D17D14">
        <w:rPr>
          <w:rFonts w:cstheme="minorHAnsi"/>
        </w:rPr>
        <w:t xml:space="preserve"> held on legitimately accessed database</w:t>
      </w:r>
      <w:r>
        <w:rPr>
          <w:rFonts w:cstheme="minorHAnsi"/>
        </w:rPr>
        <w:t>.</w:t>
      </w:r>
    </w:p>
    <w:p w14:paraId="64BCFD0A" w14:textId="77777777" w:rsidR="00451875" w:rsidRPr="00D17D14" w:rsidRDefault="00451875" w:rsidP="00451875">
      <w:pPr>
        <w:numPr>
          <w:ilvl w:val="1"/>
          <w:numId w:val="32"/>
        </w:numPr>
        <w:spacing w:after="4" w:line="360" w:lineRule="auto"/>
        <w:ind w:left="1759" w:hanging="398"/>
        <w:jc w:val="both"/>
        <w:rPr>
          <w:rFonts w:cstheme="minorHAnsi"/>
        </w:rPr>
      </w:pPr>
      <w:r w:rsidRPr="00D17D14">
        <w:rPr>
          <w:rFonts w:cstheme="minorHAnsi"/>
        </w:rPr>
        <w:t>Communication behaviours (verbal, behavioural, electronic synchronous and asynchronous, and hardcopy</w:t>
      </w:r>
      <w:r>
        <w:rPr>
          <w:rFonts w:cstheme="minorHAnsi"/>
        </w:rPr>
        <w:t>).</w:t>
      </w:r>
    </w:p>
    <w:p w14:paraId="4144611E" w14:textId="77777777" w:rsidR="00451875" w:rsidRPr="0013141B" w:rsidRDefault="00451875" w:rsidP="00451875">
      <w:pPr>
        <w:pBdr>
          <w:top w:val="single" w:sz="4" w:space="1" w:color="auto"/>
          <w:bottom w:val="single" w:sz="4" w:space="1" w:color="auto"/>
        </w:pBdr>
        <w:spacing w:line="360" w:lineRule="auto"/>
        <w:rPr>
          <w:rFonts w:cstheme="minorHAnsi"/>
          <w:b/>
        </w:rPr>
      </w:pPr>
      <w:r w:rsidRPr="0013141B">
        <w:rPr>
          <w:rFonts w:eastAsia="Calibri" w:cstheme="minorHAnsi"/>
          <w:b/>
        </w:rPr>
        <w:t>Phase 3</w:t>
      </w:r>
    </w:p>
    <w:p w14:paraId="774E98BB" w14:textId="77777777" w:rsidR="00451875" w:rsidRPr="00D17D14" w:rsidRDefault="00451875" w:rsidP="00451875">
      <w:pPr>
        <w:spacing w:line="360" w:lineRule="auto"/>
        <w:ind w:left="-5"/>
        <w:jc w:val="both"/>
        <w:rPr>
          <w:rFonts w:cstheme="minorHAnsi"/>
        </w:rPr>
      </w:pPr>
      <w:r>
        <w:rPr>
          <w:rFonts w:cstheme="minorHAnsi"/>
        </w:rPr>
        <w:t>Deployment of four</w:t>
      </w:r>
      <w:r w:rsidRPr="00D17D14">
        <w:rPr>
          <w:rFonts w:cstheme="minorHAnsi"/>
        </w:rPr>
        <w:t xml:space="preserve"> information</w:t>
      </w:r>
      <w:r>
        <w:rPr>
          <w:rFonts w:cstheme="minorHAnsi"/>
        </w:rPr>
        <w:t>-</w:t>
      </w:r>
      <w:r w:rsidRPr="00D17D14">
        <w:rPr>
          <w:rFonts w:cstheme="minorHAnsi"/>
        </w:rPr>
        <w:t>gathering game recap questions using a TED invitation</w:t>
      </w:r>
      <w:r>
        <w:rPr>
          <w:rFonts w:cstheme="minorHAnsi"/>
        </w:rPr>
        <w:t xml:space="preserve"> – o</w:t>
      </w:r>
      <w:r w:rsidRPr="00D17D14">
        <w:rPr>
          <w:rFonts w:cstheme="minorHAnsi"/>
        </w:rPr>
        <w:t xml:space="preserve">ne for </w:t>
      </w:r>
      <w:r>
        <w:rPr>
          <w:rFonts w:cstheme="minorHAnsi"/>
        </w:rPr>
        <w:t xml:space="preserve">each </w:t>
      </w:r>
      <w:r w:rsidRPr="00D17D14">
        <w:rPr>
          <w:rFonts w:cstheme="minorHAnsi"/>
        </w:rPr>
        <w:t>game</w:t>
      </w:r>
      <w:r>
        <w:rPr>
          <w:rFonts w:cstheme="minorHAnsi"/>
        </w:rPr>
        <w:t>:</w:t>
      </w:r>
    </w:p>
    <w:p w14:paraId="1D464029" w14:textId="77777777" w:rsidR="00451875" w:rsidRPr="00D17D14" w:rsidRDefault="00451875" w:rsidP="00451875">
      <w:pPr>
        <w:pStyle w:val="ListParagraph"/>
        <w:numPr>
          <w:ilvl w:val="0"/>
          <w:numId w:val="33"/>
        </w:numPr>
        <w:spacing w:after="303" w:line="360" w:lineRule="auto"/>
        <w:jc w:val="both"/>
        <w:rPr>
          <w:rFonts w:cstheme="minorHAnsi"/>
        </w:rPr>
      </w:pPr>
      <w:r w:rsidRPr="00D17D14">
        <w:rPr>
          <w:rFonts w:cstheme="minorHAnsi"/>
        </w:rPr>
        <w:t xml:space="preserve">Please explain to me what happened in </w:t>
      </w:r>
      <w:r>
        <w:rPr>
          <w:rFonts w:cstheme="minorHAnsi"/>
        </w:rPr>
        <w:t>R</w:t>
      </w:r>
      <w:r w:rsidRPr="00D17D14">
        <w:rPr>
          <w:rFonts w:cstheme="minorHAnsi"/>
        </w:rPr>
        <w:t xml:space="preserve">ound </w:t>
      </w:r>
      <w:r>
        <w:rPr>
          <w:rFonts w:cstheme="minorHAnsi"/>
        </w:rPr>
        <w:t>1</w:t>
      </w:r>
      <w:r w:rsidRPr="00D17D14">
        <w:rPr>
          <w:rFonts w:cstheme="minorHAnsi"/>
        </w:rPr>
        <w:t>, again.</w:t>
      </w:r>
    </w:p>
    <w:p w14:paraId="2B18330C" w14:textId="77777777" w:rsidR="00451875" w:rsidRPr="00D17D14" w:rsidRDefault="00451875" w:rsidP="00451875">
      <w:pPr>
        <w:pStyle w:val="ListParagraph"/>
        <w:numPr>
          <w:ilvl w:val="0"/>
          <w:numId w:val="33"/>
        </w:numPr>
        <w:spacing w:after="303" w:line="360" w:lineRule="auto"/>
        <w:jc w:val="both"/>
        <w:rPr>
          <w:rFonts w:cstheme="minorHAnsi"/>
        </w:rPr>
      </w:pPr>
      <w:r w:rsidRPr="00D17D14">
        <w:rPr>
          <w:rFonts w:cstheme="minorHAnsi"/>
        </w:rPr>
        <w:t xml:space="preserve">Please explain to me what happened in </w:t>
      </w:r>
      <w:r>
        <w:rPr>
          <w:rFonts w:cstheme="minorHAnsi"/>
        </w:rPr>
        <w:t>R</w:t>
      </w:r>
      <w:r w:rsidRPr="00D17D14">
        <w:rPr>
          <w:rFonts w:cstheme="minorHAnsi"/>
        </w:rPr>
        <w:t xml:space="preserve">ound </w:t>
      </w:r>
      <w:r>
        <w:rPr>
          <w:rFonts w:cstheme="minorHAnsi"/>
        </w:rPr>
        <w:t>2</w:t>
      </w:r>
      <w:r w:rsidRPr="00D17D14">
        <w:rPr>
          <w:rFonts w:cstheme="minorHAnsi"/>
        </w:rPr>
        <w:t>, again.</w:t>
      </w:r>
    </w:p>
    <w:p w14:paraId="5A6B1824" w14:textId="77777777" w:rsidR="00451875" w:rsidRDefault="00451875" w:rsidP="00451875">
      <w:pPr>
        <w:pStyle w:val="ListParagraph"/>
        <w:numPr>
          <w:ilvl w:val="0"/>
          <w:numId w:val="33"/>
        </w:numPr>
        <w:spacing w:after="303" w:line="360" w:lineRule="auto"/>
        <w:jc w:val="both"/>
        <w:rPr>
          <w:rFonts w:cstheme="minorHAnsi"/>
        </w:rPr>
      </w:pPr>
      <w:r w:rsidRPr="00D17D14">
        <w:rPr>
          <w:rFonts w:cstheme="minorHAnsi"/>
        </w:rPr>
        <w:t xml:space="preserve">Please explain to me what happened in </w:t>
      </w:r>
      <w:r>
        <w:rPr>
          <w:rFonts w:cstheme="minorHAnsi"/>
        </w:rPr>
        <w:t>R</w:t>
      </w:r>
      <w:r w:rsidRPr="00D17D14">
        <w:rPr>
          <w:rFonts w:cstheme="minorHAnsi"/>
        </w:rPr>
        <w:t xml:space="preserve">ound </w:t>
      </w:r>
      <w:r>
        <w:rPr>
          <w:rFonts w:cstheme="minorHAnsi"/>
        </w:rPr>
        <w:t>3</w:t>
      </w:r>
      <w:r w:rsidRPr="00D17D14">
        <w:rPr>
          <w:rFonts w:cstheme="minorHAnsi"/>
        </w:rPr>
        <w:t>, again.</w:t>
      </w:r>
    </w:p>
    <w:p w14:paraId="598A138A" w14:textId="77777777" w:rsidR="00451875" w:rsidRPr="00D17D14" w:rsidRDefault="00451875" w:rsidP="00451875">
      <w:pPr>
        <w:pStyle w:val="ListParagraph"/>
        <w:numPr>
          <w:ilvl w:val="0"/>
          <w:numId w:val="33"/>
        </w:numPr>
        <w:spacing w:after="303" w:line="360" w:lineRule="auto"/>
        <w:jc w:val="both"/>
        <w:rPr>
          <w:rFonts w:cstheme="minorHAnsi"/>
        </w:rPr>
      </w:pPr>
      <w:r w:rsidRPr="00D17D14">
        <w:rPr>
          <w:rFonts w:cstheme="minorHAnsi"/>
        </w:rPr>
        <w:t xml:space="preserve">Please explain to me what happened in </w:t>
      </w:r>
      <w:r>
        <w:rPr>
          <w:rFonts w:cstheme="minorHAnsi"/>
        </w:rPr>
        <w:t>R</w:t>
      </w:r>
      <w:r w:rsidRPr="00D17D14">
        <w:rPr>
          <w:rFonts w:cstheme="minorHAnsi"/>
        </w:rPr>
        <w:t>ound 4, again.</w:t>
      </w:r>
    </w:p>
    <w:p w14:paraId="211C75A5" w14:textId="77777777" w:rsidR="00451875" w:rsidRPr="00D17D14" w:rsidRDefault="00451875" w:rsidP="00451875">
      <w:pPr>
        <w:spacing w:after="302" w:line="360" w:lineRule="auto"/>
        <w:ind w:left="-5"/>
        <w:jc w:val="both"/>
        <w:rPr>
          <w:rFonts w:cstheme="minorHAnsi"/>
        </w:rPr>
      </w:pPr>
      <w:r w:rsidRPr="00D17D14">
        <w:rPr>
          <w:rFonts w:cstheme="minorHAnsi"/>
        </w:rPr>
        <w:lastRenderedPageBreak/>
        <w:t xml:space="preserve">In </w:t>
      </w:r>
      <w:r>
        <w:rPr>
          <w:rFonts w:cstheme="minorHAnsi"/>
        </w:rPr>
        <w:t>Phase</w:t>
      </w:r>
      <w:r w:rsidRPr="00D17D14">
        <w:rPr>
          <w:rFonts w:cstheme="minorHAnsi"/>
        </w:rPr>
        <w:t xml:space="preserve"> 3</w:t>
      </w:r>
      <w:r>
        <w:rPr>
          <w:rFonts w:cstheme="minorHAnsi"/>
        </w:rPr>
        <w:t>,</w:t>
      </w:r>
      <w:r w:rsidRPr="00D17D14">
        <w:rPr>
          <w:rFonts w:cstheme="minorHAnsi"/>
        </w:rPr>
        <w:t xml:space="preserve"> the tactical approach was initiated whereby the interviewer probed the interviewe</w:t>
      </w:r>
      <w:r>
        <w:rPr>
          <w:rFonts w:cstheme="minorHAnsi"/>
        </w:rPr>
        <w:t>e’s</w:t>
      </w:r>
      <w:r w:rsidRPr="00D17D14">
        <w:rPr>
          <w:rFonts w:cstheme="minorHAnsi"/>
        </w:rPr>
        <w:t xml:space="preserve"> account of each round</w:t>
      </w:r>
      <w:r>
        <w:rPr>
          <w:rFonts w:cstheme="minorHAnsi"/>
        </w:rPr>
        <w:t>,</w:t>
      </w:r>
      <w:r w:rsidRPr="00D17D14">
        <w:rPr>
          <w:rFonts w:cstheme="minorHAnsi"/>
        </w:rPr>
        <w:t xml:space="preserve"> in turn. Here the interviewer either accepted or refuted </w:t>
      </w:r>
      <w:r>
        <w:rPr>
          <w:rFonts w:cstheme="minorHAnsi"/>
        </w:rPr>
        <w:t xml:space="preserve">the </w:t>
      </w:r>
      <w:r w:rsidRPr="00D17D14">
        <w:rPr>
          <w:rFonts w:cstheme="minorHAnsi"/>
        </w:rPr>
        <w:t>interviewee</w:t>
      </w:r>
      <w:r>
        <w:rPr>
          <w:rFonts w:cstheme="minorHAnsi"/>
        </w:rPr>
        <w:t>’</w:t>
      </w:r>
      <w:r w:rsidRPr="00D17D14">
        <w:rPr>
          <w:rFonts w:cstheme="minorHAnsi"/>
        </w:rPr>
        <w:t>s answers, before moving on to the next question and without revealing to the interviewee any information that might be available to the interviewer until after the interviewee had answered the question. Where appropriate</w:t>
      </w:r>
      <w:r>
        <w:rPr>
          <w:rFonts w:cstheme="minorHAnsi"/>
        </w:rPr>
        <w:t>,</w:t>
      </w:r>
      <w:r w:rsidRPr="00D17D14">
        <w:rPr>
          <w:rFonts w:cstheme="minorHAnsi"/>
        </w:rPr>
        <w:t xml:space="preserve"> the interviewer </w:t>
      </w:r>
      <w:r>
        <w:rPr>
          <w:rFonts w:cstheme="minorHAnsi"/>
        </w:rPr>
        <w:t xml:space="preserve">also </w:t>
      </w:r>
      <w:r w:rsidRPr="00D17D14">
        <w:rPr>
          <w:rFonts w:cstheme="minorHAnsi"/>
        </w:rPr>
        <w:t>questioned apparently erroneous responses</w:t>
      </w:r>
      <w:r>
        <w:rPr>
          <w:rFonts w:cstheme="minorHAnsi"/>
        </w:rPr>
        <w:t xml:space="preserve">. </w:t>
      </w:r>
      <w:r w:rsidRPr="00D17D14">
        <w:rPr>
          <w:rFonts w:cstheme="minorHAnsi"/>
        </w:rPr>
        <w:t xml:space="preserve">This tactical technique was possible </w:t>
      </w:r>
      <w:r>
        <w:rPr>
          <w:rFonts w:cstheme="minorHAnsi"/>
        </w:rPr>
        <w:t>because</w:t>
      </w:r>
      <w:r w:rsidRPr="00D17D14">
        <w:rPr>
          <w:rFonts w:cstheme="minorHAnsi"/>
        </w:rPr>
        <w:t xml:space="preserve"> the interviewer could access the gameplay information via </w:t>
      </w:r>
      <w:r w:rsidRPr="00D17D14">
        <w:rPr>
          <w:rFonts w:eastAsia="Calibri" w:cstheme="minorHAnsi"/>
        </w:rPr>
        <w:t>a tablet</w:t>
      </w:r>
      <w:r>
        <w:rPr>
          <w:rFonts w:eastAsia="Calibri" w:cstheme="minorHAnsi"/>
        </w:rPr>
        <w:t>,</w:t>
      </w:r>
      <w:r w:rsidRPr="00D17D14">
        <w:rPr>
          <w:rFonts w:eastAsia="Calibri" w:cstheme="minorHAnsi"/>
        </w:rPr>
        <w:t xml:space="preserve"> where each player’s </w:t>
      </w:r>
      <w:r>
        <w:rPr>
          <w:rFonts w:eastAsia="Calibri" w:cstheme="minorHAnsi"/>
        </w:rPr>
        <w:t>“</w:t>
      </w:r>
      <w:r w:rsidRPr="00D17D14">
        <w:rPr>
          <w:rFonts w:eastAsia="Calibri" w:cstheme="minorHAnsi"/>
        </w:rPr>
        <w:t>footprint</w:t>
      </w:r>
      <w:r>
        <w:rPr>
          <w:rFonts w:eastAsia="Calibri" w:cstheme="minorHAnsi"/>
        </w:rPr>
        <w:t>”</w:t>
      </w:r>
      <w:r w:rsidRPr="00D17D14">
        <w:rPr>
          <w:rFonts w:eastAsia="Calibri" w:cstheme="minorHAnsi"/>
        </w:rPr>
        <w:t xml:space="preserve"> was presented in the form of a movement and behaviour </w:t>
      </w:r>
      <w:r w:rsidRPr="00D17D14">
        <w:rPr>
          <w:rFonts w:cstheme="minorHAnsi"/>
        </w:rPr>
        <w:t>timeline. The timeline data included the available game data for each player</w:t>
      </w:r>
      <w:r>
        <w:rPr>
          <w:rFonts w:cstheme="minorHAnsi"/>
        </w:rPr>
        <w:t>,</w:t>
      </w:r>
      <w:r w:rsidRPr="00D17D14">
        <w:rPr>
          <w:rFonts w:cstheme="minorHAnsi"/>
        </w:rPr>
        <w:t xml:space="preserve"> which could then be used to accept or refute responses to each of the closed, probing or TED questions posed in </w:t>
      </w:r>
      <w:r>
        <w:rPr>
          <w:rFonts w:cstheme="minorHAnsi"/>
        </w:rPr>
        <w:t>Phase</w:t>
      </w:r>
      <w:r w:rsidRPr="00D17D14">
        <w:rPr>
          <w:rFonts w:cstheme="minorHAnsi"/>
        </w:rPr>
        <w:t xml:space="preserve"> 1 </w:t>
      </w:r>
    </w:p>
    <w:p w14:paraId="5BD9EC9E" w14:textId="77777777" w:rsidR="00451875" w:rsidRPr="00D17D14" w:rsidRDefault="00451875" w:rsidP="00451875">
      <w:pPr>
        <w:spacing w:line="360" w:lineRule="auto"/>
        <w:ind w:left="-5"/>
        <w:jc w:val="both"/>
        <w:rPr>
          <w:rFonts w:cstheme="minorHAnsi"/>
        </w:rPr>
      </w:pPr>
      <w:r w:rsidRPr="00D17D14">
        <w:rPr>
          <w:rFonts w:cstheme="minorHAnsi"/>
        </w:rPr>
        <w:t xml:space="preserve">Throughout </w:t>
      </w:r>
      <w:r>
        <w:rPr>
          <w:rFonts w:cstheme="minorHAnsi"/>
        </w:rPr>
        <w:t>Phase 2</w:t>
      </w:r>
      <w:r w:rsidRPr="00D17D14">
        <w:rPr>
          <w:rFonts w:cstheme="minorHAnsi"/>
        </w:rPr>
        <w:t xml:space="preserve">, clarification was sought from interviewees only where information was provided that was unclear, inconsistent or contradicted previous responses. The interviewer was </w:t>
      </w:r>
      <w:r>
        <w:rPr>
          <w:rFonts w:cstheme="minorHAnsi"/>
        </w:rPr>
        <w:t xml:space="preserve">fully </w:t>
      </w:r>
      <w:r w:rsidRPr="00D17D14">
        <w:rPr>
          <w:rFonts w:cstheme="minorHAnsi"/>
        </w:rPr>
        <w:t xml:space="preserve">open </w:t>
      </w:r>
      <w:r>
        <w:rPr>
          <w:rFonts w:cstheme="minorHAnsi"/>
        </w:rPr>
        <w:t>with respect to</w:t>
      </w:r>
      <w:r w:rsidRPr="00D17D14">
        <w:rPr>
          <w:rFonts w:cstheme="minorHAnsi"/>
        </w:rPr>
        <w:t xml:space="preserve"> referring to and/or indicating the availability of information on the Tablet.</w:t>
      </w:r>
    </w:p>
    <w:p w14:paraId="525753A5" w14:textId="77777777" w:rsidR="00451875" w:rsidRPr="000D3D1C" w:rsidRDefault="00451875" w:rsidP="00451875">
      <w:pPr>
        <w:pBdr>
          <w:top w:val="single" w:sz="4" w:space="1" w:color="auto"/>
          <w:bottom w:val="single" w:sz="4" w:space="1" w:color="auto"/>
        </w:pBdr>
        <w:spacing w:line="360" w:lineRule="auto"/>
        <w:rPr>
          <w:rFonts w:cstheme="minorHAnsi"/>
          <w:b/>
          <w:bCs/>
        </w:rPr>
      </w:pPr>
      <w:r w:rsidRPr="000D3D1C">
        <w:rPr>
          <w:rFonts w:cstheme="minorHAnsi"/>
          <w:b/>
          <w:bCs/>
        </w:rPr>
        <w:t>Phase 4</w:t>
      </w:r>
    </w:p>
    <w:p w14:paraId="7B30D082" w14:textId="77777777" w:rsidR="00451875" w:rsidRDefault="00451875" w:rsidP="00451875">
      <w:pPr>
        <w:spacing w:line="360" w:lineRule="auto"/>
        <w:ind w:left="-5"/>
        <w:rPr>
          <w:rFonts w:cstheme="minorHAnsi"/>
        </w:rPr>
      </w:pPr>
      <w:r w:rsidRPr="00D17D14">
        <w:rPr>
          <w:rFonts w:cstheme="minorHAnsi"/>
        </w:rPr>
        <w:t xml:space="preserve">Offer the interviewee the opportunity to add </w:t>
      </w:r>
      <w:r>
        <w:rPr>
          <w:rFonts w:cstheme="minorHAnsi"/>
        </w:rPr>
        <w:t xml:space="preserve">to </w:t>
      </w:r>
      <w:r w:rsidRPr="00D17D14">
        <w:rPr>
          <w:rFonts w:cstheme="minorHAnsi"/>
        </w:rPr>
        <w:t xml:space="preserve">or alter anything that </w:t>
      </w:r>
      <w:r>
        <w:rPr>
          <w:rFonts w:cstheme="minorHAnsi"/>
        </w:rPr>
        <w:t>they had</w:t>
      </w:r>
      <w:r w:rsidRPr="00D17D14">
        <w:rPr>
          <w:rFonts w:cstheme="minorHAnsi"/>
        </w:rPr>
        <w:t xml:space="preserve"> previously said. </w:t>
      </w:r>
    </w:p>
    <w:p w14:paraId="1ABBF6D4" w14:textId="77777777" w:rsidR="00451875" w:rsidRPr="00D17D14" w:rsidRDefault="00451875" w:rsidP="00451875">
      <w:pPr>
        <w:pBdr>
          <w:bottom w:val="single" w:sz="4" w:space="1" w:color="auto"/>
        </w:pBdr>
        <w:spacing w:line="360" w:lineRule="auto"/>
        <w:ind w:left="-5"/>
        <w:rPr>
          <w:rFonts w:cstheme="minorHAnsi"/>
        </w:rPr>
      </w:pPr>
      <w:r w:rsidRPr="00D17D14">
        <w:rPr>
          <w:rFonts w:cstheme="minorHAnsi"/>
        </w:rPr>
        <w:t xml:space="preserve">Close the interview.  </w:t>
      </w:r>
    </w:p>
    <w:p w14:paraId="4749F4E4" w14:textId="77777777" w:rsidR="00451875" w:rsidRDefault="00451875" w:rsidP="00451875">
      <w:pPr>
        <w:jc w:val="both"/>
      </w:pPr>
    </w:p>
    <w:p w14:paraId="3466598A" w14:textId="77777777" w:rsidR="00451875" w:rsidRDefault="00451875" w:rsidP="00451875">
      <w:pPr>
        <w:ind w:firstLine="720"/>
        <w:jc w:val="both"/>
      </w:pPr>
    </w:p>
    <w:p w14:paraId="189F1CA4" w14:textId="549708D6" w:rsidR="000048BD" w:rsidRDefault="00451875" w:rsidP="00451875">
      <w:pPr>
        <w:tabs>
          <w:tab w:val="left" w:pos="2118"/>
        </w:tabs>
      </w:pPr>
      <w:r>
        <w:tab/>
      </w:r>
    </w:p>
    <w:p w14:paraId="0C4EE4B7" w14:textId="77777777" w:rsidR="00451875" w:rsidRDefault="00451875" w:rsidP="00451875">
      <w:pPr>
        <w:tabs>
          <w:tab w:val="left" w:pos="2118"/>
        </w:tabs>
      </w:pPr>
    </w:p>
    <w:p w14:paraId="6FD7E45E" w14:textId="77777777" w:rsidR="00451875" w:rsidRDefault="00451875" w:rsidP="00451875">
      <w:pPr>
        <w:tabs>
          <w:tab w:val="left" w:pos="2118"/>
        </w:tabs>
      </w:pPr>
    </w:p>
    <w:p w14:paraId="444E4705" w14:textId="77777777" w:rsidR="00451875" w:rsidRDefault="00451875" w:rsidP="00451875">
      <w:pPr>
        <w:tabs>
          <w:tab w:val="left" w:pos="2118"/>
        </w:tabs>
      </w:pPr>
    </w:p>
    <w:p w14:paraId="7F8EC733" w14:textId="77777777" w:rsidR="00716EF8" w:rsidRDefault="00716EF8" w:rsidP="00451875">
      <w:pPr>
        <w:tabs>
          <w:tab w:val="left" w:pos="2118"/>
        </w:tabs>
      </w:pPr>
    </w:p>
    <w:p w14:paraId="2D30790C" w14:textId="77777777" w:rsidR="00716EF8" w:rsidRDefault="00716EF8" w:rsidP="00451875">
      <w:pPr>
        <w:tabs>
          <w:tab w:val="left" w:pos="2118"/>
        </w:tabs>
      </w:pPr>
    </w:p>
    <w:p w14:paraId="26243413" w14:textId="77777777" w:rsidR="00716EF8" w:rsidRDefault="00716EF8" w:rsidP="00451875">
      <w:pPr>
        <w:tabs>
          <w:tab w:val="left" w:pos="2118"/>
        </w:tabs>
      </w:pPr>
    </w:p>
    <w:p w14:paraId="55D053AE" w14:textId="77777777" w:rsidR="00451875" w:rsidRDefault="00451875" w:rsidP="00451875">
      <w:pPr>
        <w:tabs>
          <w:tab w:val="left" w:pos="2118"/>
        </w:tabs>
      </w:pPr>
    </w:p>
    <w:p w14:paraId="75E51201" w14:textId="77777777" w:rsidR="00716EF8" w:rsidRPr="00711F6C" w:rsidRDefault="00716EF8" w:rsidP="00716EF8">
      <w:pPr>
        <w:spacing w:line="240" w:lineRule="auto"/>
        <w:rPr>
          <w:b/>
          <w:bCs/>
          <w:lang w:val="en-US"/>
        </w:rPr>
      </w:pPr>
      <w:r w:rsidRPr="00711F6C">
        <w:rPr>
          <w:b/>
          <w:bCs/>
          <w:lang w:val="en-US"/>
        </w:rPr>
        <w:lastRenderedPageBreak/>
        <w:t>Table 2</w:t>
      </w:r>
    </w:p>
    <w:p w14:paraId="6FF0B668" w14:textId="77777777" w:rsidR="00716EF8" w:rsidRDefault="00716EF8" w:rsidP="00716EF8">
      <w:pPr>
        <w:spacing w:line="240" w:lineRule="auto"/>
        <w:jc w:val="both"/>
        <w:rPr>
          <w:i/>
          <w:iCs/>
          <w:lang w:val="en-US"/>
        </w:rPr>
      </w:pPr>
      <w:r w:rsidRPr="00C5661D">
        <w:rPr>
          <w:i/>
          <w:iCs/>
          <w:lang w:val="en-US"/>
        </w:rPr>
        <w:t>Mean Adherence Scores</w:t>
      </w:r>
      <w:r>
        <w:rPr>
          <w:i/>
          <w:iCs/>
          <w:lang w:val="en-US"/>
        </w:rPr>
        <w:t xml:space="preserve"> (and Standard Deviations)</w:t>
      </w:r>
      <w:r w:rsidRPr="00C5661D">
        <w:rPr>
          <w:i/>
          <w:iCs/>
          <w:lang w:val="en-US"/>
        </w:rPr>
        <w:t xml:space="preserve"> with Respect </w:t>
      </w:r>
      <w:r>
        <w:rPr>
          <w:i/>
          <w:iCs/>
          <w:lang w:val="en-US"/>
        </w:rPr>
        <w:t>to the</w:t>
      </w:r>
      <w:r w:rsidRPr="00C5661D">
        <w:rPr>
          <w:i/>
          <w:iCs/>
          <w:lang w:val="en-US"/>
        </w:rPr>
        <w:t xml:space="preserve"> Interview Protocol</w:t>
      </w:r>
      <w:r w:rsidRPr="00C772D9">
        <w:rPr>
          <w:i/>
          <w:iCs/>
          <w:lang w:val="en-US"/>
        </w:rPr>
        <w:t xml:space="preserve"> for Each Interviewer</w:t>
      </w:r>
    </w:p>
    <w:p w14:paraId="39F0F544" w14:textId="77777777" w:rsidR="00451875" w:rsidRDefault="00451875" w:rsidP="00451875">
      <w:pPr>
        <w:spacing w:line="240" w:lineRule="auto"/>
        <w:jc w:val="both"/>
        <w:rPr>
          <w:i/>
          <w:iCs/>
          <w:lang w:val="en-US"/>
        </w:rPr>
      </w:pPr>
    </w:p>
    <w:p w14:paraId="7604CDF5" w14:textId="77777777" w:rsidR="00451875" w:rsidRPr="00C5661D" w:rsidRDefault="00451875" w:rsidP="00451875">
      <w:pPr>
        <w:spacing w:line="240" w:lineRule="auto"/>
        <w:jc w:val="both"/>
        <w:rPr>
          <w:i/>
          <w:iCs/>
          <w:sz w:val="12"/>
          <w:szCs w:val="12"/>
        </w:rPr>
      </w:pPr>
    </w:p>
    <w:tbl>
      <w:tblPr>
        <w:tblW w:w="8780" w:type="dxa"/>
        <w:tblLayout w:type="fixed"/>
        <w:tblLook w:val="04A0" w:firstRow="1" w:lastRow="0" w:firstColumn="1" w:lastColumn="0" w:noHBand="0" w:noVBand="1"/>
      </w:tblPr>
      <w:tblGrid>
        <w:gridCol w:w="1418"/>
        <w:gridCol w:w="1840"/>
        <w:gridCol w:w="1841"/>
        <w:gridCol w:w="1840"/>
        <w:gridCol w:w="1841"/>
      </w:tblGrid>
      <w:tr w:rsidR="00451875" w:rsidRPr="00721108" w14:paraId="678D671B" w14:textId="77777777">
        <w:trPr>
          <w:trHeight w:val="315"/>
        </w:trPr>
        <w:tc>
          <w:tcPr>
            <w:tcW w:w="1418" w:type="dxa"/>
            <w:tcBorders>
              <w:top w:val="single" w:sz="4" w:space="0" w:color="auto"/>
              <w:left w:val="nil"/>
              <w:bottom w:val="nil"/>
              <w:right w:val="nil"/>
            </w:tcBorders>
            <w:shd w:val="clear" w:color="auto" w:fill="auto"/>
            <w:noWrap/>
            <w:vAlign w:val="bottom"/>
            <w:hideMark/>
          </w:tcPr>
          <w:p w14:paraId="6BFE07CB" w14:textId="77777777" w:rsidR="00451875" w:rsidRPr="00721108" w:rsidRDefault="00451875">
            <w:pPr>
              <w:spacing w:line="240" w:lineRule="auto"/>
              <w:rPr>
                <w:rFonts w:cstheme="minorHAnsi"/>
                <w:color w:val="000000"/>
              </w:rPr>
            </w:pPr>
            <w:r w:rsidRPr="00721108">
              <w:rPr>
                <w:rFonts w:cstheme="minorHAnsi"/>
                <w:color w:val="000000"/>
              </w:rPr>
              <w:t> </w:t>
            </w:r>
          </w:p>
        </w:tc>
        <w:tc>
          <w:tcPr>
            <w:tcW w:w="1840" w:type="dxa"/>
            <w:tcBorders>
              <w:top w:val="single" w:sz="4" w:space="0" w:color="auto"/>
              <w:left w:val="nil"/>
              <w:bottom w:val="nil"/>
              <w:right w:val="nil"/>
            </w:tcBorders>
            <w:shd w:val="clear" w:color="auto" w:fill="auto"/>
            <w:noWrap/>
            <w:hideMark/>
          </w:tcPr>
          <w:p w14:paraId="0B7DEBA3" w14:textId="77777777" w:rsidR="00451875" w:rsidRPr="00721108" w:rsidRDefault="00451875">
            <w:pPr>
              <w:spacing w:line="240" w:lineRule="auto"/>
              <w:jc w:val="center"/>
              <w:rPr>
                <w:rFonts w:cstheme="minorHAnsi"/>
                <w:b/>
                <w:bCs/>
                <w:color w:val="000000"/>
              </w:rPr>
            </w:pPr>
            <w:r w:rsidRPr="00721108">
              <w:rPr>
                <w:rFonts w:cstheme="minorHAnsi"/>
                <w:b/>
                <w:bCs/>
                <w:color w:val="000000"/>
              </w:rPr>
              <w:t>Four Phases</w:t>
            </w:r>
          </w:p>
        </w:tc>
        <w:tc>
          <w:tcPr>
            <w:tcW w:w="1841" w:type="dxa"/>
            <w:tcBorders>
              <w:top w:val="single" w:sz="4" w:space="0" w:color="auto"/>
              <w:left w:val="nil"/>
              <w:bottom w:val="nil"/>
              <w:right w:val="nil"/>
            </w:tcBorders>
            <w:shd w:val="clear" w:color="auto" w:fill="auto"/>
            <w:noWrap/>
            <w:hideMark/>
          </w:tcPr>
          <w:p w14:paraId="78C58D79" w14:textId="77777777" w:rsidR="00451875" w:rsidRPr="00721108" w:rsidRDefault="00451875">
            <w:pPr>
              <w:spacing w:line="240" w:lineRule="auto"/>
              <w:jc w:val="center"/>
              <w:rPr>
                <w:rFonts w:cstheme="minorHAnsi"/>
                <w:b/>
                <w:bCs/>
                <w:color w:val="000000"/>
              </w:rPr>
            </w:pPr>
            <w:r w:rsidRPr="00721108">
              <w:rPr>
                <w:rFonts w:cstheme="minorHAnsi"/>
                <w:b/>
                <w:bCs/>
                <w:color w:val="000000"/>
              </w:rPr>
              <w:t>Ground Rules</w:t>
            </w:r>
          </w:p>
        </w:tc>
        <w:tc>
          <w:tcPr>
            <w:tcW w:w="1840" w:type="dxa"/>
            <w:tcBorders>
              <w:top w:val="single" w:sz="4" w:space="0" w:color="auto"/>
              <w:left w:val="nil"/>
              <w:bottom w:val="nil"/>
              <w:right w:val="nil"/>
            </w:tcBorders>
            <w:shd w:val="clear" w:color="auto" w:fill="auto"/>
            <w:noWrap/>
            <w:hideMark/>
          </w:tcPr>
          <w:p w14:paraId="4DD1632D" w14:textId="77777777" w:rsidR="00451875" w:rsidRPr="00721108" w:rsidRDefault="00451875">
            <w:pPr>
              <w:spacing w:line="240" w:lineRule="auto"/>
              <w:jc w:val="center"/>
              <w:rPr>
                <w:rFonts w:cstheme="minorHAnsi"/>
                <w:b/>
                <w:bCs/>
                <w:color w:val="000000"/>
              </w:rPr>
            </w:pPr>
            <w:r w:rsidRPr="00711F6C">
              <w:rPr>
                <w:rFonts w:cstheme="minorHAnsi"/>
                <w:b/>
                <w:bCs/>
                <w:color w:val="000000"/>
              </w:rPr>
              <w:t xml:space="preserve">Gaming-Behaviour </w:t>
            </w:r>
            <w:r w:rsidRPr="00711F6C">
              <w:rPr>
                <w:rFonts w:cstheme="minorHAnsi"/>
                <w:b/>
                <w:bCs/>
                <w:color w:val="000000"/>
                <w:lang w:val="en-US"/>
              </w:rPr>
              <w:t>Questions</w:t>
            </w:r>
          </w:p>
        </w:tc>
        <w:tc>
          <w:tcPr>
            <w:tcW w:w="1841" w:type="dxa"/>
            <w:tcBorders>
              <w:top w:val="single" w:sz="4" w:space="0" w:color="auto"/>
              <w:left w:val="nil"/>
              <w:bottom w:val="nil"/>
              <w:right w:val="nil"/>
            </w:tcBorders>
            <w:shd w:val="clear" w:color="auto" w:fill="auto"/>
            <w:noWrap/>
            <w:hideMark/>
          </w:tcPr>
          <w:p w14:paraId="74D697E0" w14:textId="77777777" w:rsidR="00451875" w:rsidRPr="00721108" w:rsidRDefault="00451875">
            <w:pPr>
              <w:spacing w:line="240" w:lineRule="auto"/>
              <w:jc w:val="center"/>
              <w:rPr>
                <w:rFonts w:cstheme="minorHAnsi"/>
                <w:b/>
                <w:bCs/>
                <w:color w:val="000000"/>
              </w:rPr>
            </w:pPr>
            <w:r w:rsidRPr="00721108">
              <w:rPr>
                <w:rFonts w:cstheme="minorHAnsi"/>
                <w:b/>
                <w:bCs/>
                <w:color w:val="000000"/>
              </w:rPr>
              <w:t>Info</w:t>
            </w:r>
            <w:r w:rsidRPr="00711F6C">
              <w:rPr>
                <w:rFonts w:cstheme="minorHAnsi"/>
                <w:b/>
                <w:bCs/>
                <w:color w:val="000000"/>
              </w:rPr>
              <w:t>rmation-</w:t>
            </w:r>
            <w:r w:rsidRPr="00721108">
              <w:rPr>
                <w:rFonts w:cstheme="minorHAnsi"/>
                <w:b/>
                <w:bCs/>
                <w:color w:val="000000"/>
              </w:rPr>
              <w:t xml:space="preserve">Gathering </w:t>
            </w:r>
            <w:r w:rsidRPr="00711F6C">
              <w:rPr>
                <w:rFonts w:cstheme="minorHAnsi"/>
                <w:b/>
                <w:bCs/>
                <w:color w:val="000000"/>
              </w:rPr>
              <w:t>Questions</w:t>
            </w:r>
          </w:p>
        </w:tc>
      </w:tr>
      <w:tr w:rsidR="00451875" w:rsidRPr="00721108" w14:paraId="3289EF79" w14:textId="77777777">
        <w:trPr>
          <w:trHeight w:val="315"/>
        </w:trPr>
        <w:tc>
          <w:tcPr>
            <w:tcW w:w="1418" w:type="dxa"/>
            <w:tcBorders>
              <w:top w:val="nil"/>
              <w:left w:val="nil"/>
              <w:bottom w:val="nil"/>
              <w:right w:val="nil"/>
            </w:tcBorders>
            <w:shd w:val="clear" w:color="auto" w:fill="auto"/>
            <w:noWrap/>
            <w:vAlign w:val="bottom"/>
            <w:hideMark/>
          </w:tcPr>
          <w:p w14:paraId="36B96507" w14:textId="77777777" w:rsidR="00451875" w:rsidRPr="00721108" w:rsidRDefault="00451875">
            <w:pPr>
              <w:spacing w:line="240" w:lineRule="auto"/>
              <w:jc w:val="center"/>
              <w:rPr>
                <w:rFonts w:cstheme="minorHAnsi"/>
                <w:color w:val="000000"/>
              </w:rPr>
            </w:pPr>
          </w:p>
        </w:tc>
        <w:tc>
          <w:tcPr>
            <w:tcW w:w="7362" w:type="dxa"/>
            <w:gridSpan w:val="4"/>
            <w:tcBorders>
              <w:top w:val="nil"/>
              <w:left w:val="nil"/>
              <w:bottom w:val="nil"/>
              <w:right w:val="nil"/>
            </w:tcBorders>
            <w:shd w:val="clear" w:color="auto" w:fill="auto"/>
            <w:noWrap/>
            <w:vAlign w:val="bottom"/>
            <w:hideMark/>
          </w:tcPr>
          <w:p w14:paraId="01659ECE" w14:textId="77777777" w:rsidR="00451875" w:rsidRPr="00721108" w:rsidRDefault="00451875">
            <w:pPr>
              <w:spacing w:line="240" w:lineRule="auto"/>
              <w:jc w:val="center"/>
              <w:rPr>
                <w:rFonts w:cstheme="minorHAnsi"/>
                <w:color w:val="000000"/>
              </w:rPr>
            </w:pPr>
            <w:r w:rsidRPr="00721108">
              <w:rPr>
                <w:rFonts w:cstheme="minorHAnsi"/>
                <w:color w:val="000000"/>
              </w:rPr>
              <w:t>Mean (SD)</w:t>
            </w:r>
          </w:p>
        </w:tc>
      </w:tr>
      <w:tr w:rsidR="00451875" w:rsidRPr="00721108" w14:paraId="79705146" w14:textId="77777777">
        <w:trPr>
          <w:trHeight w:val="315"/>
        </w:trPr>
        <w:tc>
          <w:tcPr>
            <w:tcW w:w="1418" w:type="dxa"/>
            <w:tcBorders>
              <w:top w:val="single" w:sz="4" w:space="0" w:color="auto"/>
              <w:left w:val="nil"/>
              <w:bottom w:val="nil"/>
              <w:right w:val="nil"/>
            </w:tcBorders>
            <w:shd w:val="clear" w:color="auto" w:fill="auto"/>
            <w:noWrap/>
            <w:vAlign w:val="bottom"/>
            <w:hideMark/>
          </w:tcPr>
          <w:p w14:paraId="70B4B5FE" w14:textId="77777777" w:rsidR="00451875" w:rsidRPr="00721108" w:rsidRDefault="00451875">
            <w:pPr>
              <w:spacing w:line="240" w:lineRule="auto"/>
              <w:rPr>
                <w:rFonts w:cstheme="minorHAnsi"/>
                <w:color w:val="000000"/>
              </w:rPr>
            </w:pPr>
            <w:r w:rsidRPr="00721108">
              <w:rPr>
                <w:rFonts w:cstheme="minorHAnsi"/>
                <w:color w:val="000000"/>
              </w:rPr>
              <w:t>Interviewer 1</w:t>
            </w:r>
          </w:p>
        </w:tc>
        <w:tc>
          <w:tcPr>
            <w:tcW w:w="1840" w:type="dxa"/>
            <w:tcBorders>
              <w:top w:val="single" w:sz="4" w:space="0" w:color="auto"/>
              <w:left w:val="nil"/>
              <w:bottom w:val="nil"/>
              <w:right w:val="nil"/>
            </w:tcBorders>
            <w:shd w:val="clear" w:color="auto" w:fill="auto"/>
            <w:noWrap/>
            <w:vAlign w:val="bottom"/>
            <w:hideMark/>
          </w:tcPr>
          <w:p w14:paraId="5FB6D017" w14:textId="77777777" w:rsidR="00451875" w:rsidRPr="00721108" w:rsidRDefault="00451875">
            <w:pPr>
              <w:spacing w:line="240" w:lineRule="auto"/>
              <w:jc w:val="center"/>
              <w:rPr>
                <w:rFonts w:cstheme="minorHAnsi"/>
                <w:color w:val="000000"/>
              </w:rPr>
            </w:pPr>
            <w:r w:rsidRPr="00721108">
              <w:rPr>
                <w:rFonts w:cstheme="minorHAnsi"/>
                <w:color w:val="000000"/>
              </w:rPr>
              <w:t>3.00 (</w:t>
            </w:r>
            <w:r>
              <w:rPr>
                <w:rFonts w:cstheme="minorHAnsi"/>
                <w:color w:val="000000"/>
              </w:rPr>
              <w:t>0</w:t>
            </w:r>
            <w:r w:rsidRPr="00721108">
              <w:rPr>
                <w:rFonts w:cstheme="minorHAnsi"/>
                <w:color w:val="000000"/>
              </w:rPr>
              <w:t>.00)</w:t>
            </w:r>
          </w:p>
        </w:tc>
        <w:tc>
          <w:tcPr>
            <w:tcW w:w="1841" w:type="dxa"/>
            <w:tcBorders>
              <w:top w:val="single" w:sz="4" w:space="0" w:color="auto"/>
              <w:left w:val="nil"/>
              <w:bottom w:val="nil"/>
              <w:right w:val="nil"/>
            </w:tcBorders>
            <w:shd w:val="clear" w:color="auto" w:fill="auto"/>
            <w:noWrap/>
            <w:vAlign w:val="center"/>
            <w:hideMark/>
          </w:tcPr>
          <w:p w14:paraId="0359D980" w14:textId="77777777" w:rsidR="00451875" w:rsidRPr="00721108" w:rsidRDefault="00451875">
            <w:pPr>
              <w:spacing w:line="240" w:lineRule="auto"/>
              <w:jc w:val="center"/>
              <w:rPr>
                <w:rFonts w:cstheme="minorHAnsi"/>
                <w:color w:val="000000"/>
              </w:rPr>
            </w:pPr>
            <w:r w:rsidRPr="00721108">
              <w:rPr>
                <w:rFonts w:cstheme="minorHAnsi"/>
                <w:color w:val="000000"/>
              </w:rPr>
              <w:t>3.00 (</w:t>
            </w:r>
            <w:r>
              <w:rPr>
                <w:rFonts w:cstheme="minorHAnsi"/>
                <w:color w:val="000000"/>
              </w:rPr>
              <w:t>0</w:t>
            </w:r>
            <w:r w:rsidRPr="00721108">
              <w:rPr>
                <w:rFonts w:cstheme="minorHAnsi"/>
                <w:color w:val="000000"/>
              </w:rPr>
              <w:t>.00)</w:t>
            </w:r>
          </w:p>
        </w:tc>
        <w:tc>
          <w:tcPr>
            <w:tcW w:w="1840" w:type="dxa"/>
            <w:tcBorders>
              <w:top w:val="single" w:sz="4" w:space="0" w:color="auto"/>
              <w:left w:val="nil"/>
              <w:bottom w:val="nil"/>
              <w:right w:val="nil"/>
            </w:tcBorders>
            <w:shd w:val="clear" w:color="auto" w:fill="auto"/>
            <w:noWrap/>
            <w:vAlign w:val="center"/>
            <w:hideMark/>
          </w:tcPr>
          <w:p w14:paraId="28F9C07E" w14:textId="77777777" w:rsidR="00451875" w:rsidRPr="00721108" w:rsidRDefault="00451875">
            <w:pPr>
              <w:spacing w:line="240" w:lineRule="auto"/>
              <w:jc w:val="center"/>
              <w:rPr>
                <w:rFonts w:cstheme="minorHAnsi"/>
                <w:color w:val="000000"/>
              </w:rPr>
            </w:pPr>
            <w:r w:rsidRPr="00721108">
              <w:rPr>
                <w:rFonts w:cstheme="minorHAnsi"/>
                <w:color w:val="000000"/>
              </w:rPr>
              <w:t>3.00 (</w:t>
            </w:r>
            <w:r>
              <w:rPr>
                <w:rFonts w:cstheme="minorHAnsi"/>
                <w:color w:val="000000"/>
              </w:rPr>
              <w:t>0</w:t>
            </w:r>
            <w:r w:rsidRPr="00721108">
              <w:rPr>
                <w:rFonts w:cstheme="minorHAnsi"/>
                <w:color w:val="000000"/>
              </w:rPr>
              <w:t>.00)</w:t>
            </w:r>
          </w:p>
        </w:tc>
        <w:tc>
          <w:tcPr>
            <w:tcW w:w="1841" w:type="dxa"/>
            <w:tcBorders>
              <w:top w:val="single" w:sz="4" w:space="0" w:color="auto"/>
              <w:left w:val="nil"/>
              <w:bottom w:val="nil"/>
              <w:right w:val="nil"/>
            </w:tcBorders>
            <w:shd w:val="clear" w:color="auto" w:fill="auto"/>
            <w:noWrap/>
            <w:vAlign w:val="center"/>
            <w:hideMark/>
          </w:tcPr>
          <w:p w14:paraId="105A7612" w14:textId="77777777" w:rsidR="00451875" w:rsidRPr="00721108" w:rsidRDefault="00451875">
            <w:pPr>
              <w:spacing w:line="240" w:lineRule="auto"/>
              <w:jc w:val="center"/>
              <w:rPr>
                <w:rFonts w:cstheme="minorHAnsi"/>
                <w:color w:val="000000"/>
              </w:rPr>
            </w:pPr>
            <w:r w:rsidRPr="00721108">
              <w:rPr>
                <w:rFonts w:cstheme="minorHAnsi"/>
                <w:color w:val="000000"/>
              </w:rPr>
              <w:t>2.33 (</w:t>
            </w:r>
            <w:r>
              <w:rPr>
                <w:rFonts w:cstheme="minorHAnsi"/>
                <w:color w:val="000000"/>
              </w:rPr>
              <w:t>0</w:t>
            </w:r>
            <w:r w:rsidRPr="00721108">
              <w:rPr>
                <w:rFonts w:cstheme="minorHAnsi"/>
                <w:color w:val="000000"/>
              </w:rPr>
              <w:t>.58)</w:t>
            </w:r>
          </w:p>
        </w:tc>
      </w:tr>
      <w:tr w:rsidR="00451875" w:rsidRPr="00721108" w14:paraId="651D7F36" w14:textId="77777777">
        <w:trPr>
          <w:trHeight w:val="315"/>
        </w:trPr>
        <w:tc>
          <w:tcPr>
            <w:tcW w:w="1418" w:type="dxa"/>
            <w:tcBorders>
              <w:top w:val="nil"/>
              <w:left w:val="nil"/>
              <w:bottom w:val="nil"/>
              <w:right w:val="nil"/>
            </w:tcBorders>
            <w:shd w:val="clear" w:color="auto" w:fill="auto"/>
            <w:noWrap/>
            <w:vAlign w:val="bottom"/>
            <w:hideMark/>
          </w:tcPr>
          <w:p w14:paraId="64EAE83B" w14:textId="77777777" w:rsidR="00451875" w:rsidRPr="00721108" w:rsidRDefault="00451875">
            <w:pPr>
              <w:spacing w:line="240" w:lineRule="auto"/>
              <w:rPr>
                <w:rFonts w:cstheme="minorHAnsi"/>
                <w:color w:val="000000"/>
              </w:rPr>
            </w:pPr>
            <w:r w:rsidRPr="00721108">
              <w:rPr>
                <w:rFonts w:cstheme="minorHAnsi"/>
                <w:color w:val="000000"/>
              </w:rPr>
              <w:t>Interviewer 2</w:t>
            </w:r>
          </w:p>
        </w:tc>
        <w:tc>
          <w:tcPr>
            <w:tcW w:w="1840" w:type="dxa"/>
            <w:tcBorders>
              <w:top w:val="nil"/>
              <w:left w:val="nil"/>
              <w:bottom w:val="nil"/>
              <w:right w:val="nil"/>
            </w:tcBorders>
            <w:shd w:val="clear" w:color="auto" w:fill="auto"/>
            <w:noWrap/>
            <w:vAlign w:val="bottom"/>
            <w:hideMark/>
          </w:tcPr>
          <w:p w14:paraId="22DC1EBD" w14:textId="77777777" w:rsidR="00451875" w:rsidRPr="00721108" w:rsidRDefault="00451875">
            <w:pPr>
              <w:spacing w:line="240" w:lineRule="auto"/>
              <w:jc w:val="center"/>
              <w:rPr>
                <w:rFonts w:cstheme="minorHAnsi"/>
                <w:color w:val="000000"/>
              </w:rPr>
            </w:pPr>
            <w:r w:rsidRPr="00721108">
              <w:rPr>
                <w:rFonts w:cstheme="minorHAnsi"/>
                <w:color w:val="000000"/>
              </w:rPr>
              <w:t>3.00 (</w:t>
            </w:r>
            <w:r>
              <w:rPr>
                <w:rFonts w:cstheme="minorHAnsi"/>
                <w:color w:val="000000"/>
              </w:rPr>
              <w:t>0</w:t>
            </w:r>
            <w:r w:rsidRPr="00721108">
              <w:rPr>
                <w:rFonts w:cstheme="minorHAnsi"/>
                <w:color w:val="000000"/>
              </w:rPr>
              <w:t>.00)</w:t>
            </w:r>
          </w:p>
        </w:tc>
        <w:tc>
          <w:tcPr>
            <w:tcW w:w="1841" w:type="dxa"/>
            <w:tcBorders>
              <w:top w:val="nil"/>
              <w:left w:val="nil"/>
              <w:bottom w:val="nil"/>
              <w:right w:val="nil"/>
            </w:tcBorders>
            <w:shd w:val="clear" w:color="auto" w:fill="auto"/>
            <w:noWrap/>
            <w:vAlign w:val="center"/>
            <w:hideMark/>
          </w:tcPr>
          <w:p w14:paraId="71940370" w14:textId="77777777" w:rsidR="00451875" w:rsidRPr="00721108" w:rsidRDefault="00451875">
            <w:pPr>
              <w:spacing w:line="240" w:lineRule="auto"/>
              <w:jc w:val="center"/>
              <w:rPr>
                <w:rFonts w:cstheme="minorHAnsi"/>
                <w:color w:val="000000"/>
              </w:rPr>
            </w:pPr>
            <w:r w:rsidRPr="00721108">
              <w:rPr>
                <w:rFonts w:cstheme="minorHAnsi"/>
                <w:color w:val="000000"/>
              </w:rPr>
              <w:t>2.68 (</w:t>
            </w:r>
            <w:r>
              <w:rPr>
                <w:rFonts w:cstheme="minorHAnsi"/>
                <w:color w:val="000000"/>
              </w:rPr>
              <w:t>0</w:t>
            </w:r>
            <w:r w:rsidRPr="00721108">
              <w:rPr>
                <w:rFonts w:cstheme="minorHAnsi"/>
                <w:color w:val="000000"/>
              </w:rPr>
              <w:t>.58)</w:t>
            </w:r>
          </w:p>
        </w:tc>
        <w:tc>
          <w:tcPr>
            <w:tcW w:w="1840" w:type="dxa"/>
            <w:tcBorders>
              <w:top w:val="nil"/>
              <w:left w:val="nil"/>
              <w:bottom w:val="nil"/>
              <w:right w:val="nil"/>
            </w:tcBorders>
            <w:shd w:val="clear" w:color="auto" w:fill="auto"/>
            <w:noWrap/>
            <w:vAlign w:val="bottom"/>
            <w:hideMark/>
          </w:tcPr>
          <w:p w14:paraId="5654C42A" w14:textId="77777777" w:rsidR="00451875" w:rsidRPr="00721108" w:rsidRDefault="00451875">
            <w:pPr>
              <w:spacing w:line="240" w:lineRule="auto"/>
              <w:jc w:val="center"/>
              <w:rPr>
                <w:rFonts w:cstheme="minorHAnsi"/>
                <w:color w:val="000000"/>
              </w:rPr>
            </w:pPr>
            <w:r w:rsidRPr="00721108">
              <w:rPr>
                <w:rFonts w:cstheme="minorHAnsi"/>
                <w:color w:val="000000"/>
              </w:rPr>
              <w:t>3.00 (</w:t>
            </w:r>
            <w:r>
              <w:rPr>
                <w:rFonts w:cstheme="minorHAnsi"/>
                <w:color w:val="000000"/>
              </w:rPr>
              <w:t>0</w:t>
            </w:r>
            <w:r w:rsidRPr="00721108">
              <w:rPr>
                <w:rFonts w:cstheme="minorHAnsi"/>
                <w:color w:val="000000"/>
              </w:rPr>
              <w:t>.00)</w:t>
            </w:r>
          </w:p>
        </w:tc>
        <w:tc>
          <w:tcPr>
            <w:tcW w:w="1841" w:type="dxa"/>
            <w:tcBorders>
              <w:top w:val="nil"/>
              <w:left w:val="nil"/>
              <w:bottom w:val="nil"/>
              <w:right w:val="nil"/>
            </w:tcBorders>
            <w:shd w:val="clear" w:color="auto" w:fill="auto"/>
            <w:noWrap/>
            <w:vAlign w:val="bottom"/>
            <w:hideMark/>
          </w:tcPr>
          <w:p w14:paraId="0CF66F6E" w14:textId="77777777" w:rsidR="00451875" w:rsidRPr="00721108" w:rsidRDefault="00451875">
            <w:pPr>
              <w:spacing w:line="240" w:lineRule="auto"/>
              <w:jc w:val="center"/>
              <w:rPr>
                <w:rFonts w:cstheme="minorHAnsi"/>
                <w:color w:val="000000"/>
              </w:rPr>
            </w:pPr>
            <w:r w:rsidRPr="00721108">
              <w:rPr>
                <w:rFonts w:cstheme="minorHAnsi"/>
                <w:color w:val="000000"/>
              </w:rPr>
              <w:t>3.00 (</w:t>
            </w:r>
            <w:r>
              <w:rPr>
                <w:rFonts w:cstheme="minorHAnsi"/>
                <w:color w:val="000000"/>
              </w:rPr>
              <w:t>0</w:t>
            </w:r>
            <w:r w:rsidRPr="00721108">
              <w:rPr>
                <w:rFonts w:cstheme="minorHAnsi"/>
                <w:color w:val="000000"/>
              </w:rPr>
              <w:t>.00)</w:t>
            </w:r>
          </w:p>
        </w:tc>
      </w:tr>
      <w:tr w:rsidR="00451875" w:rsidRPr="00721108" w14:paraId="4BA9E86F" w14:textId="77777777">
        <w:trPr>
          <w:trHeight w:val="315"/>
        </w:trPr>
        <w:tc>
          <w:tcPr>
            <w:tcW w:w="1418" w:type="dxa"/>
            <w:tcBorders>
              <w:top w:val="nil"/>
              <w:left w:val="nil"/>
              <w:right w:val="nil"/>
            </w:tcBorders>
            <w:shd w:val="clear" w:color="auto" w:fill="auto"/>
            <w:noWrap/>
            <w:vAlign w:val="bottom"/>
            <w:hideMark/>
          </w:tcPr>
          <w:p w14:paraId="37A639EC" w14:textId="77777777" w:rsidR="00451875" w:rsidRPr="00721108" w:rsidRDefault="00451875">
            <w:pPr>
              <w:spacing w:line="240" w:lineRule="auto"/>
              <w:rPr>
                <w:rFonts w:cstheme="minorHAnsi"/>
                <w:color w:val="000000"/>
              </w:rPr>
            </w:pPr>
            <w:r w:rsidRPr="00721108">
              <w:rPr>
                <w:rFonts w:cstheme="minorHAnsi"/>
                <w:color w:val="000000"/>
              </w:rPr>
              <w:t>Interviewer 3</w:t>
            </w:r>
          </w:p>
        </w:tc>
        <w:tc>
          <w:tcPr>
            <w:tcW w:w="1840" w:type="dxa"/>
            <w:tcBorders>
              <w:top w:val="nil"/>
              <w:left w:val="nil"/>
              <w:right w:val="nil"/>
            </w:tcBorders>
            <w:shd w:val="clear" w:color="auto" w:fill="auto"/>
            <w:noWrap/>
            <w:vAlign w:val="bottom"/>
            <w:hideMark/>
          </w:tcPr>
          <w:p w14:paraId="7F08DD82" w14:textId="77777777" w:rsidR="00451875" w:rsidRPr="00721108" w:rsidRDefault="00451875">
            <w:pPr>
              <w:spacing w:line="240" w:lineRule="auto"/>
              <w:jc w:val="center"/>
              <w:rPr>
                <w:rFonts w:cstheme="minorHAnsi"/>
                <w:color w:val="000000"/>
              </w:rPr>
            </w:pPr>
            <w:r w:rsidRPr="00721108">
              <w:rPr>
                <w:rFonts w:cstheme="minorHAnsi"/>
                <w:color w:val="000000"/>
              </w:rPr>
              <w:t>3.00 (</w:t>
            </w:r>
            <w:r>
              <w:rPr>
                <w:rFonts w:cstheme="minorHAnsi"/>
                <w:color w:val="000000"/>
              </w:rPr>
              <w:t>0</w:t>
            </w:r>
            <w:r w:rsidRPr="00721108">
              <w:rPr>
                <w:rFonts w:cstheme="minorHAnsi"/>
                <w:color w:val="000000"/>
              </w:rPr>
              <w:t>.00)</w:t>
            </w:r>
          </w:p>
        </w:tc>
        <w:tc>
          <w:tcPr>
            <w:tcW w:w="1841" w:type="dxa"/>
            <w:tcBorders>
              <w:top w:val="nil"/>
              <w:left w:val="nil"/>
              <w:right w:val="nil"/>
            </w:tcBorders>
            <w:shd w:val="clear" w:color="auto" w:fill="auto"/>
            <w:noWrap/>
            <w:vAlign w:val="bottom"/>
            <w:hideMark/>
          </w:tcPr>
          <w:p w14:paraId="1226CF12" w14:textId="77777777" w:rsidR="00451875" w:rsidRPr="00721108" w:rsidRDefault="00451875">
            <w:pPr>
              <w:spacing w:line="240" w:lineRule="auto"/>
              <w:jc w:val="center"/>
              <w:rPr>
                <w:rFonts w:cstheme="minorHAnsi"/>
                <w:color w:val="000000"/>
              </w:rPr>
            </w:pPr>
            <w:r w:rsidRPr="00721108">
              <w:rPr>
                <w:rFonts w:cstheme="minorHAnsi"/>
                <w:color w:val="000000"/>
              </w:rPr>
              <w:t>3.00 (</w:t>
            </w:r>
            <w:r>
              <w:rPr>
                <w:rFonts w:cstheme="minorHAnsi"/>
                <w:color w:val="000000"/>
              </w:rPr>
              <w:t>0</w:t>
            </w:r>
            <w:r w:rsidRPr="00721108">
              <w:rPr>
                <w:rFonts w:cstheme="minorHAnsi"/>
                <w:color w:val="000000"/>
              </w:rPr>
              <w:t>.00)</w:t>
            </w:r>
          </w:p>
        </w:tc>
        <w:tc>
          <w:tcPr>
            <w:tcW w:w="1840" w:type="dxa"/>
            <w:tcBorders>
              <w:top w:val="nil"/>
              <w:left w:val="nil"/>
              <w:right w:val="nil"/>
            </w:tcBorders>
            <w:shd w:val="clear" w:color="auto" w:fill="auto"/>
            <w:noWrap/>
            <w:vAlign w:val="bottom"/>
            <w:hideMark/>
          </w:tcPr>
          <w:p w14:paraId="75E2AF57" w14:textId="77777777" w:rsidR="00451875" w:rsidRPr="00721108" w:rsidRDefault="00451875">
            <w:pPr>
              <w:spacing w:line="240" w:lineRule="auto"/>
              <w:jc w:val="center"/>
              <w:rPr>
                <w:rFonts w:cstheme="minorHAnsi"/>
                <w:color w:val="000000"/>
              </w:rPr>
            </w:pPr>
            <w:r w:rsidRPr="00721108">
              <w:rPr>
                <w:rFonts w:cstheme="minorHAnsi"/>
                <w:color w:val="000000"/>
              </w:rPr>
              <w:t>3.00 (</w:t>
            </w:r>
            <w:r>
              <w:rPr>
                <w:rFonts w:cstheme="minorHAnsi"/>
                <w:color w:val="000000"/>
              </w:rPr>
              <w:t>0</w:t>
            </w:r>
            <w:r w:rsidRPr="00721108">
              <w:rPr>
                <w:rFonts w:cstheme="minorHAnsi"/>
                <w:color w:val="000000"/>
              </w:rPr>
              <w:t>.00)</w:t>
            </w:r>
          </w:p>
        </w:tc>
        <w:tc>
          <w:tcPr>
            <w:tcW w:w="1841" w:type="dxa"/>
            <w:tcBorders>
              <w:top w:val="nil"/>
              <w:left w:val="nil"/>
              <w:right w:val="nil"/>
            </w:tcBorders>
            <w:shd w:val="clear" w:color="auto" w:fill="auto"/>
            <w:noWrap/>
            <w:vAlign w:val="bottom"/>
            <w:hideMark/>
          </w:tcPr>
          <w:p w14:paraId="146D9997" w14:textId="77777777" w:rsidR="00451875" w:rsidRPr="00721108" w:rsidRDefault="00451875">
            <w:pPr>
              <w:spacing w:line="240" w:lineRule="auto"/>
              <w:jc w:val="center"/>
              <w:rPr>
                <w:rFonts w:cstheme="minorHAnsi"/>
                <w:color w:val="000000"/>
              </w:rPr>
            </w:pPr>
            <w:r w:rsidRPr="00721108">
              <w:rPr>
                <w:rFonts w:cstheme="minorHAnsi"/>
                <w:color w:val="000000"/>
              </w:rPr>
              <w:t>3.00 (</w:t>
            </w:r>
            <w:r>
              <w:rPr>
                <w:rFonts w:cstheme="minorHAnsi"/>
                <w:color w:val="000000"/>
              </w:rPr>
              <w:t>0</w:t>
            </w:r>
            <w:r w:rsidRPr="00721108">
              <w:rPr>
                <w:rFonts w:cstheme="minorHAnsi"/>
                <w:color w:val="000000"/>
              </w:rPr>
              <w:t>.00)</w:t>
            </w:r>
          </w:p>
        </w:tc>
      </w:tr>
      <w:tr w:rsidR="00451875" w:rsidRPr="00721108" w14:paraId="4D2FDFB1" w14:textId="77777777">
        <w:trPr>
          <w:trHeight w:val="315"/>
        </w:trPr>
        <w:tc>
          <w:tcPr>
            <w:tcW w:w="1418" w:type="dxa"/>
            <w:tcBorders>
              <w:top w:val="nil"/>
              <w:left w:val="nil"/>
              <w:bottom w:val="single" w:sz="4" w:space="0" w:color="auto"/>
              <w:right w:val="nil"/>
            </w:tcBorders>
            <w:shd w:val="clear" w:color="auto" w:fill="auto"/>
            <w:noWrap/>
            <w:vAlign w:val="bottom"/>
            <w:hideMark/>
          </w:tcPr>
          <w:p w14:paraId="5046B51A" w14:textId="77777777" w:rsidR="00451875" w:rsidRPr="00721108" w:rsidRDefault="00451875">
            <w:pPr>
              <w:spacing w:line="240" w:lineRule="auto"/>
              <w:rPr>
                <w:rFonts w:cstheme="minorHAnsi"/>
                <w:color w:val="000000"/>
              </w:rPr>
            </w:pPr>
            <w:r w:rsidRPr="00721108">
              <w:rPr>
                <w:rFonts w:cstheme="minorHAnsi"/>
                <w:color w:val="000000"/>
              </w:rPr>
              <w:t>Interviewer 4</w:t>
            </w:r>
          </w:p>
        </w:tc>
        <w:tc>
          <w:tcPr>
            <w:tcW w:w="1840" w:type="dxa"/>
            <w:tcBorders>
              <w:top w:val="nil"/>
              <w:left w:val="nil"/>
              <w:bottom w:val="single" w:sz="4" w:space="0" w:color="auto"/>
              <w:right w:val="nil"/>
            </w:tcBorders>
            <w:shd w:val="clear" w:color="auto" w:fill="auto"/>
            <w:noWrap/>
            <w:vAlign w:val="bottom"/>
            <w:hideMark/>
          </w:tcPr>
          <w:p w14:paraId="439E8AED" w14:textId="77777777" w:rsidR="00451875" w:rsidRPr="00721108" w:rsidRDefault="00451875">
            <w:pPr>
              <w:spacing w:line="240" w:lineRule="auto"/>
              <w:jc w:val="center"/>
              <w:rPr>
                <w:rFonts w:cstheme="minorHAnsi"/>
                <w:color w:val="000000"/>
              </w:rPr>
            </w:pPr>
            <w:r w:rsidRPr="00721108">
              <w:rPr>
                <w:rFonts w:cstheme="minorHAnsi"/>
                <w:color w:val="000000"/>
              </w:rPr>
              <w:t>3.00 (</w:t>
            </w:r>
            <w:r>
              <w:rPr>
                <w:rFonts w:cstheme="minorHAnsi"/>
                <w:color w:val="000000"/>
              </w:rPr>
              <w:t>0</w:t>
            </w:r>
            <w:r w:rsidRPr="00721108">
              <w:rPr>
                <w:rFonts w:cstheme="minorHAnsi"/>
                <w:color w:val="000000"/>
              </w:rPr>
              <w:t>.00)</w:t>
            </w:r>
          </w:p>
        </w:tc>
        <w:tc>
          <w:tcPr>
            <w:tcW w:w="1841" w:type="dxa"/>
            <w:tcBorders>
              <w:top w:val="nil"/>
              <w:left w:val="nil"/>
              <w:bottom w:val="single" w:sz="4" w:space="0" w:color="auto"/>
              <w:right w:val="nil"/>
            </w:tcBorders>
            <w:shd w:val="clear" w:color="auto" w:fill="auto"/>
            <w:noWrap/>
            <w:vAlign w:val="center"/>
            <w:hideMark/>
          </w:tcPr>
          <w:p w14:paraId="34446FD4" w14:textId="77777777" w:rsidR="00451875" w:rsidRPr="00721108" w:rsidRDefault="00451875">
            <w:pPr>
              <w:spacing w:line="240" w:lineRule="auto"/>
              <w:jc w:val="center"/>
              <w:rPr>
                <w:rFonts w:cstheme="minorHAnsi"/>
                <w:color w:val="000000"/>
              </w:rPr>
            </w:pPr>
            <w:r w:rsidRPr="00721108">
              <w:rPr>
                <w:rFonts w:cstheme="minorHAnsi"/>
                <w:color w:val="000000"/>
              </w:rPr>
              <w:t>2.33 (</w:t>
            </w:r>
            <w:r>
              <w:rPr>
                <w:rFonts w:cstheme="minorHAnsi"/>
                <w:color w:val="000000"/>
              </w:rPr>
              <w:t>0</w:t>
            </w:r>
            <w:r w:rsidRPr="00721108">
              <w:rPr>
                <w:rFonts w:cstheme="minorHAnsi"/>
                <w:color w:val="000000"/>
              </w:rPr>
              <w:t>.58)</w:t>
            </w:r>
          </w:p>
        </w:tc>
        <w:tc>
          <w:tcPr>
            <w:tcW w:w="1840" w:type="dxa"/>
            <w:tcBorders>
              <w:top w:val="nil"/>
              <w:left w:val="nil"/>
              <w:bottom w:val="single" w:sz="4" w:space="0" w:color="auto"/>
              <w:right w:val="nil"/>
            </w:tcBorders>
            <w:shd w:val="clear" w:color="auto" w:fill="auto"/>
            <w:noWrap/>
            <w:vAlign w:val="bottom"/>
            <w:hideMark/>
          </w:tcPr>
          <w:p w14:paraId="4082E7AA" w14:textId="77777777" w:rsidR="00451875" w:rsidRPr="00721108" w:rsidRDefault="00451875">
            <w:pPr>
              <w:spacing w:line="240" w:lineRule="auto"/>
              <w:jc w:val="center"/>
              <w:rPr>
                <w:rFonts w:cstheme="minorHAnsi"/>
                <w:color w:val="000000"/>
              </w:rPr>
            </w:pPr>
            <w:r w:rsidRPr="00721108">
              <w:rPr>
                <w:rFonts w:cstheme="minorHAnsi"/>
                <w:color w:val="000000"/>
              </w:rPr>
              <w:t>3.00 (</w:t>
            </w:r>
            <w:r>
              <w:rPr>
                <w:rFonts w:cstheme="minorHAnsi"/>
                <w:color w:val="000000"/>
              </w:rPr>
              <w:t>0</w:t>
            </w:r>
            <w:r w:rsidRPr="00721108">
              <w:rPr>
                <w:rFonts w:cstheme="minorHAnsi"/>
                <w:color w:val="000000"/>
              </w:rPr>
              <w:t>.00)</w:t>
            </w:r>
          </w:p>
        </w:tc>
        <w:tc>
          <w:tcPr>
            <w:tcW w:w="1841" w:type="dxa"/>
            <w:tcBorders>
              <w:top w:val="nil"/>
              <w:left w:val="nil"/>
              <w:bottom w:val="single" w:sz="4" w:space="0" w:color="auto"/>
              <w:right w:val="nil"/>
            </w:tcBorders>
            <w:shd w:val="clear" w:color="auto" w:fill="auto"/>
            <w:noWrap/>
            <w:vAlign w:val="bottom"/>
            <w:hideMark/>
          </w:tcPr>
          <w:p w14:paraId="78FE41D1" w14:textId="77777777" w:rsidR="00451875" w:rsidRPr="00721108" w:rsidRDefault="00451875">
            <w:pPr>
              <w:spacing w:line="240" w:lineRule="auto"/>
              <w:jc w:val="center"/>
              <w:rPr>
                <w:rFonts w:cstheme="minorHAnsi"/>
                <w:color w:val="000000"/>
              </w:rPr>
            </w:pPr>
            <w:r w:rsidRPr="00721108">
              <w:rPr>
                <w:rFonts w:cstheme="minorHAnsi"/>
                <w:color w:val="000000"/>
              </w:rPr>
              <w:t>3.00 (</w:t>
            </w:r>
            <w:r>
              <w:rPr>
                <w:rFonts w:cstheme="minorHAnsi"/>
                <w:color w:val="000000"/>
              </w:rPr>
              <w:t>0</w:t>
            </w:r>
            <w:r w:rsidRPr="00721108">
              <w:rPr>
                <w:rFonts w:cstheme="minorHAnsi"/>
                <w:color w:val="000000"/>
              </w:rPr>
              <w:t>.00)</w:t>
            </w:r>
          </w:p>
        </w:tc>
      </w:tr>
    </w:tbl>
    <w:p w14:paraId="17239AE9" w14:textId="77777777" w:rsidR="00451875" w:rsidRDefault="00451875" w:rsidP="00451875">
      <w:pPr>
        <w:spacing w:line="240" w:lineRule="auto"/>
      </w:pPr>
    </w:p>
    <w:p w14:paraId="687D2FA7" w14:textId="77777777" w:rsidR="00451875" w:rsidRDefault="00451875" w:rsidP="00451875">
      <w:pPr>
        <w:spacing w:line="240" w:lineRule="auto"/>
      </w:pPr>
    </w:p>
    <w:p w14:paraId="39511447" w14:textId="77777777" w:rsidR="00716EF8" w:rsidRDefault="00716EF8" w:rsidP="00451875">
      <w:pPr>
        <w:spacing w:line="240" w:lineRule="auto"/>
      </w:pPr>
    </w:p>
    <w:p w14:paraId="38BF08FB" w14:textId="77777777" w:rsidR="00716EF8" w:rsidRDefault="00716EF8" w:rsidP="00451875">
      <w:pPr>
        <w:spacing w:line="240" w:lineRule="auto"/>
      </w:pPr>
    </w:p>
    <w:p w14:paraId="0679D74F" w14:textId="77777777" w:rsidR="00716EF8" w:rsidRDefault="00716EF8" w:rsidP="00451875">
      <w:pPr>
        <w:spacing w:line="240" w:lineRule="auto"/>
      </w:pPr>
    </w:p>
    <w:p w14:paraId="07B0DA1D" w14:textId="77777777" w:rsidR="00716EF8" w:rsidRDefault="00716EF8" w:rsidP="00451875">
      <w:pPr>
        <w:spacing w:line="240" w:lineRule="auto"/>
      </w:pPr>
    </w:p>
    <w:p w14:paraId="37D6D625" w14:textId="77777777" w:rsidR="00716EF8" w:rsidRDefault="00716EF8" w:rsidP="00451875">
      <w:pPr>
        <w:spacing w:line="240" w:lineRule="auto"/>
      </w:pPr>
    </w:p>
    <w:p w14:paraId="463A37D1" w14:textId="77777777" w:rsidR="00716EF8" w:rsidRDefault="00716EF8" w:rsidP="00451875">
      <w:pPr>
        <w:spacing w:line="240" w:lineRule="auto"/>
      </w:pPr>
    </w:p>
    <w:p w14:paraId="2E3E9204" w14:textId="77777777" w:rsidR="00716EF8" w:rsidRDefault="00716EF8" w:rsidP="00451875">
      <w:pPr>
        <w:spacing w:line="240" w:lineRule="auto"/>
      </w:pPr>
    </w:p>
    <w:p w14:paraId="5C50BF6B" w14:textId="77777777" w:rsidR="00716EF8" w:rsidRDefault="00716EF8" w:rsidP="00451875">
      <w:pPr>
        <w:spacing w:line="240" w:lineRule="auto"/>
      </w:pPr>
    </w:p>
    <w:p w14:paraId="58DD1A4E" w14:textId="77777777" w:rsidR="00716EF8" w:rsidRDefault="00716EF8" w:rsidP="00451875">
      <w:pPr>
        <w:spacing w:line="240" w:lineRule="auto"/>
      </w:pPr>
    </w:p>
    <w:p w14:paraId="7F05DEDC" w14:textId="77777777" w:rsidR="00716EF8" w:rsidRDefault="00716EF8" w:rsidP="00451875">
      <w:pPr>
        <w:spacing w:line="240" w:lineRule="auto"/>
      </w:pPr>
    </w:p>
    <w:p w14:paraId="021B6C19" w14:textId="77777777" w:rsidR="00716EF8" w:rsidRDefault="00716EF8" w:rsidP="00451875">
      <w:pPr>
        <w:spacing w:line="240" w:lineRule="auto"/>
      </w:pPr>
    </w:p>
    <w:p w14:paraId="5A57209D" w14:textId="77777777" w:rsidR="00716EF8" w:rsidRDefault="00716EF8" w:rsidP="00451875">
      <w:pPr>
        <w:spacing w:line="240" w:lineRule="auto"/>
      </w:pPr>
    </w:p>
    <w:p w14:paraId="02CF3375" w14:textId="77777777" w:rsidR="00716EF8" w:rsidRDefault="00716EF8" w:rsidP="00451875">
      <w:pPr>
        <w:spacing w:line="240" w:lineRule="auto"/>
      </w:pPr>
    </w:p>
    <w:p w14:paraId="2EE68A99" w14:textId="77777777" w:rsidR="00716EF8" w:rsidRDefault="00716EF8" w:rsidP="00451875">
      <w:pPr>
        <w:spacing w:line="240" w:lineRule="auto"/>
      </w:pPr>
    </w:p>
    <w:p w14:paraId="4062EA3F" w14:textId="77777777" w:rsidR="00716EF8" w:rsidRDefault="00716EF8" w:rsidP="00451875">
      <w:pPr>
        <w:spacing w:line="240" w:lineRule="auto"/>
      </w:pPr>
    </w:p>
    <w:p w14:paraId="6CA921BB" w14:textId="77777777" w:rsidR="00716EF8" w:rsidRDefault="00716EF8" w:rsidP="00451875">
      <w:pPr>
        <w:spacing w:line="240" w:lineRule="auto"/>
      </w:pPr>
    </w:p>
    <w:p w14:paraId="59BAED6E" w14:textId="77777777" w:rsidR="00716EF8" w:rsidRDefault="00716EF8" w:rsidP="00451875">
      <w:pPr>
        <w:spacing w:line="240" w:lineRule="auto"/>
      </w:pPr>
    </w:p>
    <w:p w14:paraId="162EABA8" w14:textId="77777777" w:rsidR="00716EF8" w:rsidRDefault="00716EF8" w:rsidP="00451875">
      <w:pPr>
        <w:spacing w:line="240" w:lineRule="auto"/>
      </w:pPr>
    </w:p>
    <w:p w14:paraId="0E308B6F" w14:textId="77777777" w:rsidR="00716EF8" w:rsidRDefault="00716EF8" w:rsidP="00451875">
      <w:pPr>
        <w:spacing w:line="240" w:lineRule="auto"/>
      </w:pPr>
    </w:p>
    <w:p w14:paraId="7D6D2251" w14:textId="77777777" w:rsidR="00716EF8" w:rsidRDefault="00716EF8" w:rsidP="00451875">
      <w:pPr>
        <w:spacing w:line="240" w:lineRule="auto"/>
      </w:pPr>
    </w:p>
    <w:p w14:paraId="17D26BCB" w14:textId="77777777" w:rsidR="00716EF8" w:rsidRDefault="00716EF8" w:rsidP="00451875">
      <w:pPr>
        <w:spacing w:line="240" w:lineRule="auto"/>
      </w:pPr>
    </w:p>
    <w:p w14:paraId="4218C7AE" w14:textId="77777777" w:rsidR="00716EF8" w:rsidRDefault="00716EF8" w:rsidP="00451875">
      <w:pPr>
        <w:spacing w:line="240" w:lineRule="auto"/>
      </w:pPr>
    </w:p>
    <w:p w14:paraId="6B04C245" w14:textId="77777777" w:rsidR="00716EF8" w:rsidRDefault="00716EF8" w:rsidP="00451875">
      <w:pPr>
        <w:spacing w:line="240" w:lineRule="auto"/>
      </w:pPr>
    </w:p>
    <w:p w14:paraId="2D5BC4E4" w14:textId="77777777" w:rsidR="00716EF8" w:rsidRDefault="00716EF8" w:rsidP="00451875">
      <w:pPr>
        <w:spacing w:line="240" w:lineRule="auto"/>
      </w:pPr>
    </w:p>
    <w:p w14:paraId="0A639A09" w14:textId="77777777" w:rsidR="00716EF8" w:rsidRDefault="00716EF8" w:rsidP="00451875">
      <w:pPr>
        <w:spacing w:line="240" w:lineRule="auto"/>
      </w:pPr>
    </w:p>
    <w:p w14:paraId="1C451350" w14:textId="77777777" w:rsidR="00716EF8" w:rsidRDefault="00716EF8" w:rsidP="00451875">
      <w:pPr>
        <w:spacing w:line="240" w:lineRule="auto"/>
      </w:pPr>
    </w:p>
    <w:p w14:paraId="7AC18335" w14:textId="77777777" w:rsidR="00716EF8" w:rsidRDefault="00716EF8" w:rsidP="00451875">
      <w:pPr>
        <w:spacing w:line="240" w:lineRule="auto"/>
      </w:pPr>
    </w:p>
    <w:p w14:paraId="152ED589" w14:textId="77777777" w:rsidR="00716EF8" w:rsidRDefault="00716EF8" w:rsidP="00451875">
      <w:pPr>
        <w:spacing w:line="240" w:lineRule="auto"/>
      </w:pPr>
    </w:p>
    <w:p w14:paraId="704AD92E" w14:textId="77777777" w:rsidR="00716EF8" w:rsidRDefault="00716EF8" w:rsidP="00451875">
      <w:pPr>
        <w:spacing w:line="240" w:lineRule="auto"/>
      </w:pPr>
    </w:p>
    <w:p w14:paraId="09FBA41F" w14:textId="77777777" w:rsidR="00716EF8" w:rsidRDefault="00716EF8" w:rsidP="00451875">
      <w:pPr>
        <w:spacing w:line="240" w:lineRule="auto"/>
      </w:pPr>
    </w:p>
    <w:p w14:paraId="7BE37AB6" w14:textId="77777777" w:rsidR="00716EF8" w:rsidRDefault="00716EF8" w:rsidP="00451875">
      <w:pPr>
        <w:spacing w:line="240" w:lineRule="auto"/>
      </w:pPr>
    </w:p>
    <w:p w14:paraId="1C57DF6E" w14:textId="77777777" w:rsidR="00451875" w:rsidRDefault="00451875" w:rsidP="00451875">
      <w:pPr>
        <w:spacing w:line="240" w:lineRule="auto"/>
        <w:rPr>
          <w:b/>
          <w:bCs/>
        </w:rPr>
      </w:pPr>
      <w:r w:rsidRPr="0013517A">
        <w:rPr>
          <w:b/>
          <w:bCs/>
        </w:rPr>
        <w:lastRenderedPageBreak/>
        <w:t xml:space="preserve">Table </w:t>
      </w:r>
      <w:r>
        <w:rPr>
          <w:b/>
          <w:bCs/>
        </w:rPr>
        <w:t>3</w:t>
      </w:r>
    </w:p>
    <w:p w14:paraId="2BA998E1" w14:textId="77777777" w:rsidR="00716EF8" w:rsidRDefault="00716EF8" w:rsidP="00716EF8">
      <w:pPr>
        <w:spacing w:line="240" w:lineRule="auto"/>
        <w:contextualSpacing/>
        <w:rPr>
          <w:i/>
          <w:iCs/>
        </w:rPr>
      </w:pPr>
      <w:r w:rsidRPr="00EC2E92">
        <w:rPr>
          <w:i/>
          <w:iCs/>
        </w:rPr>
        <w:t>Data Summary</w:t>
      </w:r>
      <w:r>
        <w:rPr>
          <w:i/>
          <w:iCs/>
        </w:rPr>
        <w:t xml:space="preserve"> (Means and Standard Deviations) </w:t>
      </w:r>
      <w:r w:rsidRPr="00EC2E92">
        <w:rPr>
          <w:i/>
          <w:iCs/>
        </w:rPr>
        <w:t>for the Effect of Interviewee Type (Insider vs. Non-Insider) and Game Part (</w:t>
      </w:r>
      <w:r>
        <w:rPr>
          <w:i/>
          <w:iCs/>
        </w:rPr>
        <w:t xml:space="preserve">Part </w:t>
      </w:r>
      <w:r w:rsidRPr="00EC2E92">
        <w:rPr>
          <w:i/>
          <w:iCs/>
        </w:rPr>
        <w:t xml:space="preserve">1, </w:t>
      </w:r>
      <w:r>
        <w:rPr>
          <w:i/>
          <w:iCs/>
        </w:rPr>
        <w:t xml:space="preserve">Part </w:t>
      </w:r>
      <w:r w:rsidRPr="00EC2E92">
        <w:rPr>
          <w:i/>
          <w:iCs/>
        </w:rPr>
        <w:t xml:space="preserve">2, </w:t>
      </w:r>
      <w:r>
        <w:rPr>
          <w:i/>
          <w:iCs/>
        </w:rPr>
        <w:t xml:space="preserve">Part </w:t>
      </w:r>
      <w:r w:rsidRPr="00EC2E92">
        <w:rPr>
          <w:i/>
          <w:iCs/>
        </w:rPr>
        <w:t xml:space="preserve">3, </w:t>
      </w:r>
      <w:r>
        <w:rPr>
          <w:i/>
          <w:iCs/>
        </w:rPr>
        <w:t xml:space="preserve">Part </w:t>
      </w:r>
      <w:r w:rsidRPr="00EC2E92">
        <w:rPr>
          <w:i/>
          <w:iCs/>
        </w:rPr>
        <w:t>4) on the Frequency of Language Use</w:t>
      </w:r>
    </w:p>
    <w:p w14:paraId="3594E1DD" w14:textId="77777777" w:rsidR="00716EF8" w:rsidRPr="0013517A" w:rsidRDefault="00716EF8" w:rsidP="00451875">
      <w:pPr>
        <w:spacing w:line="240" w:lineRule="auto"/>
        <w:rPr>
          <w:b/>
          <w:bCs/>
        </w:rPr>
      </w:pPr>
    </w:p>
    <w:p w14:paraId="4B166713" w14:textId="77777777" w:rsidR="00451875" w:rsidRPr="00EC2E92" w:rsidRDefault="00451875" w:rsidP="00451875">
      <w:pPr>
        <w:spacing w:line="240" w:lineRule="auto"/>
        <w:contextualSpacing/>
        <w:rPr>
          <w:i/>
          <w:iCs/>
          <w:u w:val="single"/>
        </w:rPr>
      </w:pPr>
    </w:p>
    <w:tbl>
      <w:tblPr>
        <w:tblStyle w:val="TableGrid"/>
        <w:tblW w:w="10199" w:type="dxa"/>
        <w:tblInd w:w="-701" w:type="dxa"/>
        <w:tblLook w:val="04A0" w:firstRow="1" w:lastRow="0" w:firstColumn="1" w:lastColumn="0" w:noHBand="0" w:noVBand="1"/>
      </w:tblPr>
      <w:tblGrid>
        <w:gridCol w:w="1256"/>
        <w:gridCol w:w="1378"/>
        <w:gridCol w:w="154"/>
        <w:gridCol w:w="1016"/>
        <w:gridCol w:w="451"/>
        <w:gridCol w:w="1549"/>
        <w:gridCol w:w="1418"/>
        <w:gridCol w:w="1417"/>
        <w:gridCol w:w="1560"/>
      </w:tblGrid>
      <w:tr w:rsidR="00716EF8" w:rsidRPr="00716EF8" w14:paraId="5B80F41D" w14:textId="77777777" w:rsidTr="00716EF8">
        <w:trPr>
          <w:trHeight w:val="221"/>
        </w:trPr>
        <w:tc>
          <w:tcPr>
            <w:tcW w:w="1256" w:type="dxa"/>
            <w:tcBorders>
              <w:left w:val="nil"/>
              <w:bottom w:val="single" w:sz="4" w:space="0" w:color="auto"/>
              <w:right w:val="nil"/>
            </w:tcBorders>
          </w:tcPr>
          <w:p w14:paraId="357D272F" w14:textId="77777777" w:rsidR="00451875" w:rsidRPr="00716EF8" w:rsidRDefault="00451875">
            <w:pPr>
              <w:spacing w:line="276" w:lineRule="auto"/>
              <w:rPr>
                <w:rFonts w:ascii="Times New Roman" w:hAnsi="Times New Roman" w:cs="Times New Roman"/>
                <w:u w:val="single"/>
              </w:rPr>
            </w:pPr>
          </w:p>
        </w:tc>
        <w:tc>
          <w:tcPr>
            <w:tcW w:w="1378" w:type="dxa"/>
            <w:tcBorders>
              <w:left w:val="nil"/>
              <w:bottom w:val="single" w:sz="4" w:space="0" w:color="auto"/>
              <w:right w:val="nil"/>
            </w:tcBorders>
          </w:tcPr>
          <w:p w14:paraId="1D550367" w14:textId="77777777" w:rsidR="00451875" w:rsidRPr="00716EF8" w:rsidRDefault="00451875">
            <w:pPr>
              <w:spacing w:line="276" w:lineRule="auto"/>
              <w:rPr>
                <w:rFonts w:ascii="Times New Roman" w:hAnsi="Times New Roman" w:cs="Times New Roman"/>
                <w:u w:val="single"/>
              </w:rPr>
            </w:pPr>
          </w:p>
        </w:tc>
        <w:tc>
          <w:tcPr>
            <w:tcW w:w="1170" w:type="dxa"/>
            <w:gridSpan w:val="2"/>
            <w:tcBorders>
              <w:left w:val="nil"/>
              <w:bottom w:val="single" w:sz="4" w:space="0" w:color="auto"/>
              <w:right w:val="nil"/>
            </w:tcBorders>
          </w:tcPr>
          <w:p w14:paraId="61704B46" w14:textId="77777777" w:rsidR="00451875" w:rsidRPr="00716EF8" w:rsidRDefault="00451875">
            <w:pPr>
              <w:tabs>
                <w:tab w:val="center" w:pos="3198"/>
              </w:tabs>
              <w:spacing w:line="276" w:lineRule="auto"/>
              <w:rPr>
                <w:rFonts w:ascii="Times New Roman" w:hAnsi="Times New Roman" w:cs="Times New Roman"/>
              </w:rPr>
            </w:pPr>
          </w:p>
        </w:tc>
        <w:tc>
          <w:tcPr>
            <w:tcW w:w="3418" w:type="dxa"/>
            <w:gridSpan w:val="3"/>
            <w:tcBorders>
              <w:left w:val="nil"/>
              <w:bottom w:val="single" w:sz="4" w:space="0" w:color="auto"/>
              <w:right w:val="nil"/>
            </w:tcBorders>
          </w:tcPr>
          <w:p w14:paraId="2C04B9DC" w14:textId="77777777" w:rsidR="00451875" w:rsidRPr="00716EF8" w:rsidRDefault="00451875">
            <w:pPr>
              <w:tabs>
                <w:tab w:val="center" w:pos="3198"/>
              </w:tabs>
              <w:spacing w:line="276" w:lineRule="auto"/>
              <w:jc w:val="center"/>
              <w:rPr>
                <w:rFonts w:ascii="Times New Roman" w:hAnsi="Times New Roman" w:cs="Times New Roman"/>
                <w:b/>
                <w:bCs/>
              </w:rPr>
            </w:pPr>
            <w:r w:rsidRPr="00716EF8">
              <w:rPr>
                <w:rFonts w:ascii="Times New Roman" w:hAnsi="Times New Roman" w:cs="Times New Roman"/>
                <w:b/>
                <w:bCs/>
              </w:rPr>
              <w:t>Game Part</w:t>
            </w:r>
          </w:p>
        </w:tc>
        <w:tc>
          <w:tcPr>
            <w:tcW w:w="2977" w:type="dxa"/>
            <w:gridSpan w:val="2"/>
            <w:tcBorders>
              <w:left w:val="nil"/>
              <w:bottom w:val="single" w:sz="4" w:space="0" w:color="auto"/>
              <w:right w:val="nil"/>
            </w:tcBorders>
          </w:tcPr>
          <w:p w14:paraId="4C5B094F" w14:textId="77777777" w:rsidR="00451875" w:rsidRPr="00716EF8" w:rsidRDefault="00451875">
            <w:pPr>
              <w:spacing w:line="276" w:lineRule="auto"/>
              <w:jc w:val="center"/>
              <w:rPr>
                <w:rFonts w:ascii="Times New Roman" w:hAnsi="Times New Roman" w:cs="Times New Roman"/>
                <w:b/>
                <w:bCs/>
              </w:rPr>
            </w:pPr>
          </w:p>
        </w:tc>
      </w:tr>
      <w:tr w:rsidR="00716EF8" w:rsidRPr="00716EF8" w14:paraId="24CBB846" w14:textId="77777777" w:rsidTr="00716EF8">
        <w:trPr>
          <w:trHeight w:val="474"/>
        </w:trPr>
        <w:tc>
          <w:tcPr>
            <w:tcW w:w="1256" w:type="dxa"/>
            <w:tcBorders>
              <w:top w:val="nil"/>
              <w:left w:val="nil"/>
              <w:bottom w:val="nil"/>
              <w:right w:val="nil"/>
            </w:tcBorders>
          </w:tcPr>
          <w:p w14:paraId="7D21E342" w14:textId="77777777" w:rsidR="00451875" w:rsidRPr="00716EF8" w:rsidRDefault="00451875">
            <w:pPr>
              <w:spacing w:line="276" w:lineRule="auto"/>
              <w:jc w:val="center"/>
              <w:rPr>
                <w:rFonts w:ascii="Times New Roman" w:hAnsi="Times New Roman" w:cs="Times New Roman"/>
                <w:b/>
                <w:bCs/>
              </w:rPr>
            </w:pPr>
            <w:r w:rsidRPr="00716EF8">
              <w:rPr>
                <w:rFonts w:ascii="Times New Roman" w:hAnsi="Times New Roman" w:cs="Times New Roman"/>
                <w:b/>
                <w:bCs/>
              </w:rPr>
              <w:t>Language Category</w:t>
            </w:r>
          </w:p>
        </w:tc>
        <w:tc>
          <w:tcPr>
            <w:tcW w:w="1532" w:type="dxa"/>
            <w:gridSpan w:val="2"/>
            <w:tcBorders>
              <w:top w:val="nil"/>
              <w:left w:val="nil"/>
              <w:bottom w:val="nil"/>
              <w:right w:val="nil"/>
            </w:tcBorders>
          </w:tcPr>
          <w:p w14:paraId="18185C4E" w14:textId="77777777" w:rsidR="00451875" w:rsidRPr="00716EF8" w:rsidRDefault="00451875">
            <w:pPr>
              <w:spacing w:line="276" w:lineRule="auto"/>
              <w:jc w:val="center"/>
              <w:rPr>
                <w:rFonts w:ascii="Times New Roman" w:hAnsi="Times New Roman" w:cs="Times New Roman"/>
                <w:b/>
                <w:bCs/>
              </w:rPr>
            </w:pPr>
            <w:r w:rsidRPr="00716EF8">
              <w:rPr>
                <w:rFonts w:ascii="Times New Roman" w:hAnsi="Times New Roman" w:cs="Times New Roman"/>
                <w:b/>
                <w:bCs/>
              </w:rPr>
              <w:t>Interviewee Type</w:t>
            </w:r>
          </w:p>
        </w:tc>
        <w:tc>
          <w:tcPr>
            <w:tcW w:w="1467" w:type="dxa"/>
            <w:gridSpan w:val="2"/>
            <w:tcBorders>
              <w:top w:val="nil"/>
              <w:left w:val="nil"/>
              <w:bottom w:val="nil"/>
              <w:right w:val="nil"/>
            </w:tcBorders>
          </w:tcPr>
          <w:p w14:paraId="7999E397" w14:textId="77777777" w:rsidR="00451875" w:rsidRPr="00716EF8" w:rsidRDefault="00451875">
            <w:pPr>
              <w:spacing w:line="276" w:lineRule="auto"/>
              <w:jc w:val="center"/>
              <w:rPr>
                <w:rFonts w:ascii="Times New Roman" w:hAnsi="Times New Roman" w:cs="Times New Roman"/>
                <w:b/>
                <w:bCs/>
              </w:rPr>
            </w:pPr>
            <w:r w:rsidRPr="00716EF8">
              <w:rPr>
                <w:rFonts w:ascii="Times New Roman" w:hAnsi="Times New Roman" w:cs="Times New Roman"/>
                <w:b/>
                <w:bCs/>
              </w:rPr>
              <w:t>Part 1</w:t>
            </w:r>
          </w:p>
        </w:tc>
        <w:tc>
          <w:tcPr>
            <w:tcW w:w="1549" w:type="dxa"/>
            <w:tcBorders>
              <w:top w:val="nil"/>
              <w:left w:val="nil"/>
              <w:bottom w:val="nil"/>
              <w:right w:val="nil"/>
            </w:tcBorders>
          </w:tcPr>
          <w:p w14:paraId="1FBD0E18" w14:textId="77777777" w:rsidR="00451875" w:rsidRPr="00716EF8" w:rsidRDefault="00451875">
            <w:pPr>
              <w:spacing w:line="276" w:lineRule="auto"/>
              <w:jc w:val="center"/>
              <w:rPr>
                <w:rFonts w:ascii="Times New Roman" w:hAnsi="Times New Roman" w:cs="Times New Roman"/>
                <w:b/>
                <w:bCs/>
              </w:rPr>
            </w:pPr>
            <w:r w:rsidRPr="00716EF8">
              <w:rPr>
                <w:rFonts w:ascii="Times New Roman" w:hAnsi="Times New Roman" w:cs="Times New Roman"/>
                <w:b/>
                <w:bCs/>
              </w:rPr>
              <w:t>Part 2</w:t>
            </w:r>
          </w:p>
        </w:tc>
        <w:tc>
          <w:tcPr>
            <w:tcW w:w="1418" w:type="dxa"/>
            <w:tcBorders>
              <w:top w:val="nil"/>
              <w:left w:val="nil"/>
              <w:bottom w:val="nil"/>
              <w:right w:val="nil"/>
            </w:tcBorders>
          </w:tcPr>
          <w:p w14:paraId="32D27A79" w14:textId="77777777" w:rsidR="00451875" w:rsidRPr="00716EF8" w:rsidRDefault="00451875">
            <w:pPr>
              <w:spacing w:line="276" w:lineRule="auto"/>
              <w:jc w:val="center"/>
              <w:rPr>
                <w:rFonts w:ascii="Times New Roman" w:hAnsi="Times New Roman" w:cs="Times New Roman"/>
                <w:b/>
                <w:bCs/>
              </w:rPr>
            </w:pPr>
            <w:r w:rsidRPr="00716EF8">
              <w:rPr>
                <w:rFonts w:ascii="Times New Roman" w:hAnsi="Times New Roman" w:cs="Times New Roman"/>
                <w:b/>
                <w:bCs/>
              </w:rPr>
              <w:t>Part 3</w:t>
            </w:r>
          </w:p>
        </w:tc>
        <w:tc>
          <w:tcPr>
            <w:tcW w:w="1417" w:type="dxa"/>
            <w:tcBorders>
              <w:top w:val="single" w:sz="4" w:space="0" w:color="auto"/>
              <w:left w:val="nil"/>
              <w:bottom w:val="nil"/>
              <w:right w:val="nil"/>
            </w:tcBorders>
          </w:tcPr>
          <w:p w14:paraId="4FB13FEF" w14:textId="77777777" w:rsidR="00451875" w:rsidRPr="00716EF8" w:rsidRDefault="00451875">
            <w:pPr>
              <w:spacing w:line="276" w:lineRule="auto"/>
              <w:jc w:val="center"/>
              <w:rPr>
                <w:rFonts w:ascii="Times New Roman" w:hAnsi="Times New Roman" w:cs="Times New Roman"/>
                <w:b/>
                <w:bCs/>
              </w:rPr>
            </w:pPr>
            <w:r w:rsidRPr="00716EF8">
              <w:rPr>
                <w:rFonts w:ascii="Times New Roman" w:hAnsi="Times New Roman" w:cs="Times New Roman"/>
                <w:b/>
                <w:bCs/>
              </w:rPr>
              <w:t>Part 4</w:t>
            </w:r>
          </w:p>
        </w:tc>
        <w:tc>
          <w:tcPr>
            <w:tcW w:w="1560" w:type="dxa"/>
            <w:tcBorders>
              <w:top w:val="single" w:sz="4" w:space="0" w:color="auto"/>
              <w:left w:val="nil"/>
              <w:bottom w:val="nil"/>
              <w:right w:val="nil"/>
            </w:tcBorders>
          </w:tcPr>
          <w:p w14:paraId="5DEE94B4" w14:textId="77777777" w:rsidR="00451875" w:rsidRPr="00716EF8" w:rsidRDefault="00451875">
            <w:pPr>
              <w:spacing w:line="276" w:lineRule="auto"/>
              <w:jc w:val="center"/>
              <w:rPr>
                <w:rFonts w:ascii="Times New Roman" w:hAnsi="Times New Roman" w:cs="Times New Roman"/>
                <w:b/>
                <w:bCs/>
              </w:rPr>
            </w:pPr>
            <w:r w:rsidRPr="00716EF8">
              <w:rPr>
                <w:rFonts w:ascii="Times New Roman" w:hAnsi="Times New Roman" w:cs="Times New Roman"/>
                <w:b/>
                <w:bCs/>
              </w:rPr>
              <w:t>Total</w:t>
            </w:r>
          </w:p>
        </w:tc>
      </w:tr>
      <w:tr w:rsidR="00716EF8" w:rsidRPr="00716EF8" w14:paraId="126B1EF1" w14:textId="77777777" w:rsidTr="00716EF8">
        <w:trPr>
          <w:trHeight w:val="205"/>
        </w:trPr>
        <w:tc>
          <w:tcPr>
            <w:tcW w:w="1256" w:type="dxa"/>
            <w:vMerge w:val="restart"/>
            <w:tcBorders>
              <w:top w:val="nil"/>
              <w:left w:val="nil"/>
              <w:bottom w:val="nil"/>
              <w:right w:val="nil"/>
            </w:tcBorders>
          </w:tcPr>
          <w:p w14:paraId="36692B13" w14:textId="77777777" w:rsidR="00451875" w:rsidRPr="00716EF8" w:rsidRDefault="00451875">
            <w:pPr>
              <w:spacing w:line="276" w:lineRule="auto"/>
              <w:jc w:val="center"/>
              <w:rPr>
                <w:rFonts w:ascii="Times New Roman" w:hAnsi="Times New Roman" w:cs="Times New Roman"/>
              </w:rPr>
            </w:pPr>
          </w:p>
          <w:p w14:paraId="7BA642FA"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The Pronoun “I”</w:t>
            </w:r>
          </w:p>
        </w:tc>
        <w:tc>
          <w:tcPr>
            <w:tcW w:w="1532" w:type="dxa"/>
            <w:gridSpan w:val="2"/>
            <w:tcBorders>
              <w:top w:val="nil"/>
              <w:left w:val="nil"/>
              <w:bottom w:val="nil"/>
              <w:right w:val="nil"/>
            </w:tcBorders>
          </w:tcPr>
          <w:p w14:paraId="3464712C"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Insiders</w:t>
            </w:r>
          </w:p>
        </w:tc>
        <w:tc>
          <w:tcPr>
            <w:tcW w:w="1467" w:type="dxa"/>
            <w:gridSpan w:val="2"/>
            <w:tcBorders>
              <w:top w:val="nil"/>
              <w:left w:val="nil"/>
              <w:bottom w:val="nil"/>
              <w:right w:val="nil"/>
            </w:tcBorders>
          </w:tcPr>
          <w:p w14:paraId="0C5684AC"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10.27 (3.12)</w:t>
            </w:r>
          </w:p>
        </w:tc>
        <w:tc>
          <w:tcPr>
            <w:tcW w:w="1549" w:type="dxa"/>
            <w:tcBorders>
              <w:top w:val="nil"/>
              <w:left w:val="nil"/>
              <w:bottom w:val="nil"/>
              <w:right w:val="nil"/>
            </w:tcBorders>
          </w:tcPr>
          <w:p w14:paraId="6E2C6C3C"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4.60 (2.62)</w:t>
            </w:r>
          </w:p>
        </w:tc>
        <w:tc>
          <w:tcPr>
            <w:tcW w:w="1418" w:type="dxa"/>
            <w:tcBorders>
              <w:top w:val="nil"/>
              <w:left w:val="nil"/>
              <w:bottom w:val="nil"/>
              <w:right w:val="nil"/>
            </w:tcBorders>
          </w:tcPr>
          <w:p w14:paraId="39412B04"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8.10 (3.87)</w:t>
            </w:r>
          </w:p>
        </w:tc>
        <w:tc>
          <w:tcPr>
            <w:tcW w:w="1417" w:type="dxa"/>
            <w:tcBorders>
              <w:top w:val="nil"/>
              <w:left w:val="nil"/>
              <w:bottom w:val="nil"/>
              <w:right w:val="nil"/>
            </w:tcBorders>
          </w:tcPr>
          <w:p w14:paraId="141BFD9D"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13.56 (5.08)</w:t>
            </w:r>
          </w:p>
        </w:tc>
        <w:tc>
          <w:tcPr>
            <w:tcW w:w="1560" w:type="dxa"/>
            <w:tcBorders>
              <w:top w:val="nil"/>
              <w:left w:val="nil"/>
              <w:bottom w:val="nil"/>
              <w:right w:val="nil"/>
            </w:tcBorders>
          </w:tcPr>
          <w:p w14:paraId="10DD3C9D"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9.13 (0.53)</w:t>
            </w:r>
          </w:p>
        </w:tc>
      </w:tr>
      <w:tr w:rsidR="00716EF8" w:rsidRPr="00716EF8" w14:paraId="77B0070D" w14:textId="77777777" w:rsidTr="00716EF8">
        <w:trPr>
          <w:trHeight w:val="205"/>
        </w:trPr>
        <w:tc>
          <w:tcPr>
            <w:tcW w:w="1256" w:type="dxa"/>
            <w:vMerge/>
            <w:tcBorders>
              <w:top w:val="nil"/>
              <w:left w:val="nil"/>
              <w:bottom w:val="nil"/>
              <w:right w:val="nil"/>
            </w:tcBorders>
          </w:tcPr>
          <w:p w14:paraId="328EB71A" w14:textId="77777777" w:rsidR="00451875" w:rsidRPr="00716EF8" w:rsidRDefault="00451875">
            <w:pPr>
              <w:rPr>
                <w:rFonts w:ascii="Times New Roman" w:hAnsi="Times New Roman" w:cs="Times New Roman"/>
              </w:rPr>
            </w:pPr>
          </w:p>
        </w:tc>
        <w:tc>
          <w:tcPr>
            <w:tcW w:w="1532" w:type="dxa"/>
            <w:gridSpan w:val="2"/>
            <w:tcBorders>
              <w:top w:val="nil"/>
              <w:left w:val="nil"/>
              <w:bottom w:val="nil"/>
              <w:right w:val="nil"/>
            </w:tcBorders>
          </w:tcPr>
          <w:p w14:paraId="28133916"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Non-insiders</w:t>
            </w:r>
          </w:p>
        </w:tc>
        <w:tc>
          <w:tcPr>
            <w:tcW w:w="1467" w:type="dxa"/>
            <w:gridSpan w:val="2"/>
            <w:tcBorders>
              <w:top w:val="nil"/>
              <w:left w:val="nil"/>
              <w:bottom w:val="nil"/>
              <w:right w:val="nil"/>
            </w:tcBorders>
          </w:tcPr>
          <w:p w14:paraId="0481D644"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5.17 (2.46)</w:t>
            </w:r>
          </w:p>
        </w:tc>
        <w:tc>
          <w:tcPr>
            <w:tcW w:w="1549" w:type="dxa"/>
            <w:tcBorders>
              <w:top w:val="nil"/>
              <w:left w:val="nil"/>
              <w:bottom w:val="nil"/>
              <w:right w:val="nil"/>
            </w:tcBorders>
          </w:tcPr>
          <w:p w14:paraId="040596F2"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5.72 (2.62)</w:t>
            </w:r>
          </w:p>
        </w:tc>
        <w:tc>
          <w:tcPr>
            <w:tcW w:w="1418" w:type="dxa"/>
            <w:tcBorders>
              <w:top w:val="nil"/>
              <w:left w:val="nil"/>
              <w:bottom w:val="nil"/>
              <w:right w:val="nil"/>
            </w:tcBorders>
          </w:tcPr>
          <w:p w14:paraId="657C63C8"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5.32 (2.56)</w:t>
            </w:r>
          </w:p>
        </w:tc>
        <w:tc>
          <w:tcPr>
            <w:tcW w:w="1417" w:type="dxa"/>
            <w:tcBorders>
              <w:top w:val="nil"/>
              <w:left w:val="nil"/>
              <w:bottom w:val="nil"/>
              <w:right w:val="nil"/>
            </w:tcBorders>
          </w:tcPr>
          <w:p w14:paraId="700CCD64"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4.91 (2.08)</w:t>
            </w:r>
          </w:p>
        </w:tc>
        <w:tc>
          <w:tcPr>
            <w:tcW w:w="1560" w:type="dxa"/>
            <w:tcBorders>
              <w:top w:val="nil"/>
              <w:left w:val="nil"/>
              <w:bottom w:val="nil"/>
              <w:right w:val="nil"/>
            </w:tcBorders>
          </w:tcPr>
          <w:p w14:paraId="36305816"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5.28 (0.24)</w:t>
            </w:r>
          </w:p>
        </w:tc>
      </w:tr>
      <w:tr w:rsidR="00716EF8" w:rsidRPr="00716EF8" w14:paraId="4D77BE5F" w14:textId="77777777" w:rsidTr="00716EF8">
        <w:trPr>
          <w:trHeight w:val="437"/>
        </w:trPr>
        <w:tc>
          <w:tcPr>
            <w:tcW w:w="1256" w:type="dxa"/>
            <w:vMerge/>
            <w:tcBorders>
              <w:top w:val="nil"/>
              <w:left w:val="nil"/>
              <w:bottom w:val="nil"/>
              <w:right w:val="nil"/>
            </w:tcBorders>
          </w:tcPr>
          <w:p w14:paraId="370B6D5E" w14:textId="77777777" w:rsidR="00451875" w:rsidRPr="00716EF8" w:rsidRDefault="00451875">
            <w:pPr>
              <w:rPr>
                <w:rFonts w:ascii="Times New Roman" w:hAnsi="Times New Roman" w:cs="Times New Roman"/>
              </w:rPr>
            </w:pPr>
          </w:p>
        </w:tc>
        <w:tc>
          <w:tcPr>
            <w:tcW w:w="1532" w:type="dxa"/>
            <w:gridSpan w:val="2"/>
            <w:tcBorders>
              <w:top w:val="nil"/>
              <w:left w:val="nil"/>
              <w:bottom w:val="nil"/>
              <w:right w:val="nil"/>
            </w:tcBorders>
          </w:tcPr>
          <w:p w14:paraId="4C6F7B80"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Total</w:t>
            </w:r>
          </w:p>
          <w:p w14:paraId="6BE1BADC" w14:textId="77777777" w:rsidR="00451875" w:rsidRPr="00716EF8" w:rsidRDefault="00451875">
            <w:pPr>
              <w:spacing w:line="276" w:lineRule="auto"/>
              <w:jc w:val="center"/>
              <w:rPr>
                <w:rFonts w:ascii="Times New Roman" w:hAnsi="Times New Roman" w:cs="Times New Roman"/>
              </w:rPr>
            </w:pPr>
          </w:p>
        </w:tc>
        <w:tc>
          <w:tcPr>
            <w:tcW w:w="1467" w:type="dxa"/>
            <w:gridSpan w:val="2"/>
            <w:tcBorders>
              <w:top w:val="nil"/>
              <w:left w:val="nil"/>
              <w:bottom w:val="nil"/>
              <w:right w:val="nil"/>
            </w:tcBorders>
          </w:tcPr>
          <w:p w14:paraId="4DCA7033"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6.05 (3.21)</w:t>
            </w:r>
          </w:p>
        </w:tc>
        <w:tc>
          <w:tcPr>
            <w:tcW w:w="1549" w:type="dxa"/>
            <w:tcBorders>
              <w:top w:val="nil"/>
              <w:left w:val="nil"/>
              <w:bottom w:val="nil"/>
              <w:right w:val="nil"/>
            </w:tcBorders>
          </w:tcPr>
          <w:p w14:paraId="6A3F2C1E"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5.53 (2.63)</w:t>
            </w:r>
          </w:p>
        </w:tc>
        <w:tc>
          <w:tcPr>
            <w:tcW w:w="1418" w:type="dxa"/>
            <w:tcBorders>
              <w:top w:val="nil"/>
              <w:left w:val="nil"/>
              <w:bottom w:val="nil"/>
              <w:right w:val="nil"/>
            </w:tcBorders>
          </w:tcPr>
          <w:p w14:paraId="148C61B4"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5.80 (2.98)</w:t>
            </w:r>
          </w:p>
        </w:tc>
        <w:tc>
          <w:tcPr>
            <w:tcW w:w="1417" w:type="dxa"/>
            <w:tcBorders>
              <w:top w:val="nil"/>
              <w:left w:val="nil"/>
              <w:bottom w:val="nil"/>
              <w:right w:val="nil"/>
            </w:tcBorders>
          </w:tcPr>
          <w:p w14:paraId="688CF1F5"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6.41 (4.30)</w:t>
            </w:r>
          </w:p>
        </w:tc>
        <w:tc>
          <w:tcPr>
            <w:tcW w:w="1560" w:type="dxa"/>
            <w:tcBorders>
              <w:top w:val="nil"/>
              <w:left w:val="nil"/>
              <w:bottom w:val="nil"/>
              <w:right w:val="nil"/>
            </w:tcBorders>
          </w:tcPr>
          <w:p w14:paraId="022B2D5B" w14:textId="77777777" w:rsidR="00451875" w:rsidRPr="00716EF8" w:rsidRDefault="00451875">
            <w:pPr>
              <w:spacing w:line="276" w:lineRule="auto"/>
              <w:jc w:val="center"/>
              <w:rPr>
                <w:rFonts w:ascii="Times New Roman" w:hAnsi="Times New Roman" w:cs="Times New Roman"/>
              </w:rPr>
            </w:pPr>
          </w:p>
        </w:tc>
      </w:tr>
      <w:tr w:rsidR="00716EF8" w:rsidRPr="00716EF8" w14:paraId="3869C47E" w14:textId="77777777" w:rsidTr="00716EF8">
        <w:trPr>
          <w:trHeight w:val="437"/>
        </w:trPr>
        <w:tc>
          <w:tcPr>
            <w:tcW w:w="1256" w:type="dxa"/>
            <w:vMerge w:val="restart"/>
            <w:tcBorders>
              <w:top w:val="nil"/>
              <w:left w:val="nil"/>
              <w:bottom w:val="nil"/>
              <w:right w:val="nil"/>
            </w:tcBorders>
            <w:shd w:val="clear" w:color="auto" w:fill="auto"/>
          </w:tcPr>
          <w:p w14:paraId="05CF12D7"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Negative Emotion Words</w:t>
            </w:r>
          </w:p>
        </w:tc>
        <w:tc>
          <w:tcPr>
            <w:tcW w:w="1532" w:type="dxa"/>
            <w:gridSpan w:val="2"/>
            <w:tcBorders>
              <w:top w:val="nil"/>
              <w:left w:val="nil"/>
              <w:bottom w:val="nil"/>
              <w:right w:val="nil"/>
            </w:tcBorders>
            <w:shd w:val="clear" w:color="auto" w:fill="auto"/>
          </w:tcPr>
          <w:p w14:paraId="741281CB"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Insiders</w:t>
            </w:r>
          </w:p>
        </w:tc>
        <w:tc>
          <w:tcPr>
            <w:tcW w:w="1467" w:type="dxa"/>
            <w:gridSpan w:val="2"/>
            <w:tcBorders>
              <w:top w:val="nil"/>
              <w:left w:val="nil"/>
              <w:bottom w:val="nil"/>
              <w:right w:val="nil"/>
            </w:tcBorders>
          </w:tcPr>
          <w:p w14:paraId="050A31B9"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0.37 (0.38)</w:t>
            </w:r>
          </w:p>
        </w:tc>
        <w:tc>
          <w:tcPr>
            <w:tcW w:w="1549" w:type="dxa"/>
            <w:tcBorders>
              <w:top w:val="nil"/>
              <w:left w:val="nil"/>
              <w:bottom w:val="nil"/>
              <w:right w:val="nil"/>
            </w:tcBorders>
          </w:tcPr>
          <w:p w14:paraId="73224C1D"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0.35 (0.39)</w:t>
            </w:r>
          </w:p>
        </w:tc>
        <w:tc>
          <w:tcPr>
            <w:tcW w:w="1418" w:type="dxa"/>
            <w:tcBorders>
              <w:top w:val="nil"/>
              <w:left w:val="nil"/>
              <w:bottom w:val="nil"/>
              <w:right w:val="nil"/>
            </w:tcBorders>
          </w:tcPr>
          <w:p w14:paraId="05CEE070"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0.68 (0.54)</w:t>
            </w:r>
          </w:p>
        </w:tc>
        <w:tc>
          <w:tcPr>
            <w:tcW w:w="1417" w:type="dxa"/>
            <w:tcBorders>
              <w:top w:val="nil"/>
              <w:left w:val="nil"/>
              <w:bottom w:val="nil"/>
              <w:right w:val="nil"/>
            </w:tcBorders>
          </w:tcPr>
          <w:p w14:paraId="6C84CB60"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1.68 (2.23)</w:t>
            </w:r>
          </w:p>
        </w:tc>
        <w:tc>
          <w:tcPr>
            <w:tcW w:w="1560" w:type="dxa"/>
            <w:tcBorders>
              <w:top w:val="nil"/>
              <w:left w:val="nil"/>
              <w:bottom w:val="nil"/>
              <w:right w:val="nil"/>
            </w:tcBorders>
          </w:tcPr>
          <w:p w14:paraId="3D7B25E6"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0.77 (0.11)</w:t>
            </w:r>
          </w:p>
        </w:tc>
      </w:tr>
      <w:tr w:rsidR="00716EF8" w:rsidRPr="00716EF8" w14:paraId="7B6913EF" w14:textId="77777777" w:rsidTr="00716EF8">
        <w:trPr>
          <w:trHeight w:val="437"/>
        </w:trPr>
        <w:tc>
          <w:tcPr>
            <w:tcW w:w="1256" w:type="dxa"/>
            <w:vMerge/>
            <w:tcBorders>
              <w:top w:val="nil"/>
              <w:left w:val="nil"/>
              <w:bottom w:val="nil"/>
              <w:right w:val="nil"/>
            </w:tcBorders>
            <w:shd w:val="clear" w:color="auto" w:fill="auto"/>
          </w:tcPr>
          <w:p w14:paraId="4CA3EABE" w14:textId="77777777" w:rsidR="00451875" w:rsidRPr="00716EF8" w:rsidRDefault="00451875">
            <w:pPr>
              <w:rPr>
                <w:rFonts w:ascii="Times New Roman" w:hAnsi="Times New Roman" w:cs="Times New Roman"/>
              </w:rPr>
            </w:pPr>
          </w:p>
        </w:tc>
        <w:tc>
          <w:tcPr>
            <w:tcW w:w="1532" w:type="dxa"/>
            <w:gridSpan w:val="2"/>
            <w:tcBorders>
              <w:top w:val="nil"/>
              <w:left w:val="nil"/>
              <w:bottom w:val="nil"/>
              <w:right w:val="nil"/>
            </w:tcBorders>
            <w:shd w:val="clear" w:color="auto" w:fill="auto"/>
          </w:tcPr>
          <w:p w14:paraId="4771541D"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Non-insiders</w:t>
            </w:r>
          </w:p>
        </w:tc>
        <w:tc>
          <w:tcPr>
            <w:tcW w:w="1467" w:type="dxa"/>
            <w:gridSpan w:val="2"/>
            <w:tcBorders>
              <w:top w:val="nil"/>
              <w:left w:val="nil"/>
              <w:bottom w:val="nil"/>
              <w:right w:val="nil"/>
            </w:tcBorders>
          </w:tcPr>
          <w:p w14:paraId="61B4B540"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0.43 (0.39)</w:t>
            </w:r>
          </w:p>
        </w:tc>
        <w:tc>
          <w:tcPr>
            <w:tcW w:w="1549" w:type="dxa"/>
            <w:tcBorders>
              <w:top w:val="nil"/>
              <w:left w:val="nil"/>
              <w:bottom w:val="nil"/>
              <w:right w:val="nil"/>
            </w:tcBorders>
          </w:tcPr>
          <w:p w14:paraId="6C9A347C"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0.40 (0.51)</w:t>
            </w:r>
          </w:p>
        </w:tc>
        <w:tc>
          <w:tcPr>
            <w:tcW w:w="1418" w:type="dxa"/>
            <w:tcBorders>
              <w:top w:val="nil"/>
              <w:left w:val="nil"/>
              <w:bottom w:val="nil"/>
              <w:right w:val="nil"/>
            </w:tcBorders>
          </w:tcPr>
          <w:p w14:paraId="72DC69E3"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0.31 (0.41)</w:t>
            </w:r>
          </w:p>
        </w:tc>
        <w:tc>
          <w:tcPr>
            <w:tcW w:w="1417" w:type="dxa"/>
            <w:tcBorders>
              <w:top w:val="nil"/>
              <w:left w:val="nil"/>
              <w:bottom w:val="nil"/>
              <w:right w:val="nil"/>
            </w:tcBorders>
          </w:tcPr>
          <w:p w14:paraId="0CD71896"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0.61 (0.66)</w:t>
            </w:r>
          </w:p>
        </w:tc>
        <w:tc>
          <w:tcPr>
            <w:tcW w:w="1560" w:type="dxa"/>
            <w:tcBorders>
              <w:top w:val="nil"/>
              <w:left w:val="nil"/>
              <w:bottom w:val="nil"/>
              <w:right w:val="nil"/>
            </w:tcBorders>
          </w:tcPr>
          <w:p w14:paraId="32D6F45B"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0.44 (0.05)</w:t>
            </w:r>
          </w:p>
        </w:tc>
      </w:tr>
      <w:tr w:rsidR="00716EF8" w:rsidRPr="00716EF8" w14:paraId="37E473A9" w14:textId="77777777" w:rsidTr="00716EF8">
        <w:trPr>
          <w:trHeight w:val="437"/>
        </w:trPr>
        <w:tc>
          <w:tcPr>
            <w:tcW w:w="1256" w:type="dxa"/>
            <w:vMerge/>
            <w:tcBorders>
              <w:top w:val="nil"/>
              <w:left w:val="nil"/>
              <w:bottom w:val="nil"/>
              <w:right w:val="nil"/>
            </w:tcBorders>
            <w:shd w:val="clear" w:color="auto" w:fill="auto"/>
          </w:tcPr>
          <w:p w14:paraId="092E9F9B" w14:textId="77777777" w:rsidR="00451875" w:rsidRPr="00716EF8" w:rsidRDefault="00451875">
            <w:pPr>
              <w:rPr>
                <w:rFonts w:ascii="Times New Roman" w:hAnsi="Times New Roman" w:cs="Times New Roman"/>
              </w:rPr>
            </w:pPr>
          </w:p>
        </w:tc>
        <w:tc>
          <w:tcPr>
            <w:tcW w:w="1532" w:type="dxa"/>
            <w:gridSpan w:val="2"/>
            <w:tcBorders>
              <w:top w:val="nil"/>
              <w:left w:val="nil"/>
              <w:bottom w:val="nil"/>
              <w:right w:val="nil"/>
            </w:tcBorders>
            <w:shd w:val="clear" w:color="auto" w:fill="auto"/>
          </w:tcPr>
          <w:p w14:paraId="5CADA073"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Total</w:t>
            </w:r>
          </w:p>
          <w:p w14:paraId="0BF13CE3" w14:textId="77777777" w:rsidR="00451875" w:rsidRPr="00716EF8" w:rsidRDefault="00451875">
            <w:pPr>
              <w:spacing w:line="276" w:lineRule="auto"/>
              <w:jc w:val="center"/>
              <w:rPr>
                <w:rFonts w:ascii="Times New Roman" w:hAnsi="Times New Roman" w:cs="Times New Roman"/>
              </w:rPr>
            </w:pPr>
          </w:p>
        </w:tc>
        <w:tc>
          <w:tcPr>
            <w:tcW w:w="1467" w:type="dxa"/>
            <w:gridSpan w:val="2"/>
            <w:tcBorders>
              <w:top w:val="nil"/>
              <w:left w:val="nil"/>
              <w:bottom w:val="nil"/>
              <w:right w:val="nil"/>
            </w:tcBorders>
          </w:tcPr>
          <w:p w14:paraId="40B99387"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0.42 (0.39)</w:t>
            </w:r>
          </w:p>
        </w:tc>
        <w:tc>
          <w:tcPr>
            <w:tcW w:w="1549" w:type="dxa"/>
            <w:tcBorders>
              <w:top w:val="nil"/>
              <w:left w:val="nil"/>
              <w:bottom w:val="nil"/>
              <w:right w:val="nil"/>
            </w:tcBorders>
          </w:tcPr>
          <w:p w14:paraId="2A5D6B53"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0.39 (0.49)</w:t>
            </w:r>
          </w:p>
        </w:tc>
        <w:tc>
          <w:tcPr>
            <w:tcW w:w="1418" w:type="dxa"/>
            <w:tcBorders>
              <w:top w:val="nil"/>
              <w:left w:val="nil"/>
              <w:bottom w:val="nil"/>
              <w:right w:val="nil"/>
            </w:tcBorders>
          </w:tcPr>
          <w:p w14:paraId="5CEB1B5A"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0.37 (0.45)</w:t>
            </w:r>
          </w:p>
        </w:tc>
        <w:tc>
          <w:tcPr>
            <w:tcW w:w="1417" w:type="dxa"/>
            <w:tcBorders>
              <w:top w:val="nil"/>
              <w:left w:val="nil"/>
              <w:bottom w:val="nil"/>
              <w:right w:val="nil"/>
            </w:tcBorders>
          </w:tcPr>
          <w:p w14:paraId="4285417C"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0.79 (1.14)</w:t>
            </w:r>
          </w:p>
        </w:tc>
        <w:tc>
          <w:tcPr>
            <w:tcW w:w="1560" w:type="dxa"/>
            <w:tcBorders>
              <w:top w:val="nil"/>
              <w:left w:val="nil"/>
              <w:bottom w:val="nil"/>
              <w:right w:val="nil"/>
            </w:tcBorders>
          </w:tcPr>
          <w:p w14:paraId="0D2DFA35" w14:textId="77777777" w:rsidR="00451875" w:rsidRPr="00716EF8" w:rsidRDefault="00451875">
            <w:pPr>
              <w:spacing w:line="276" w:lineRule="auto"/>
              <w:jc w:val="center"/>
              <w:rPr>
                <w:rFonts w:ascii="Times New Roman" w:hAnsi="Times New Roman" w:cs="Times New Roman"/>
              </w:rPr>
            </w:pPr>
          </w:p>
        </w:tc>
      </w:tr>
      <w:tr w:rsidR="00716EF8" w:rsidRPr="00716EF8" w14:paraId="231B3E20" w14:textId="77777777" w:rsidTr="00716EF8">
        <w:trPr>
          <w:trHeight w:val="437"/>
        </w:trPr>
        <w:tc>
          <w:tcPr>
            <w:tcW w:w="1256" w:type="dxa"/>
            <w:vMerge w:val="restart"/>
            <w:tcBorders>
              <w:top w:val="nil"/>
              <w:left w:val="nil"/>
              <w:bottom w:val="single" w:sz="4" w:space="0" w:color="auto"/>
              <w:right w:val="nil"/>
            </w:tcBorders>
          </w:tcPr>
          <w:p w14:paraId="5235DAE8"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Words Relating to Cognitive Processing</w:t>
            </w:r>
          </w:p>
        </w:tc>
        <w:tc>
          <w:tcPr>
            <w:tcW w:w="1532" w:type="dxa"/>
            <w:gridSpan w:val="2"/>
            <w:tcBorders>
              <w:top w:val="nil"/>
              <w:left w:val="nil"/>
              <w:bottom w:val="nil"/>
              <w:right w:val="nil"/>
            </w:tcBorders>
          </w:tcPr>
          <w:p w14:paraId="771BDF2E"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Insiders</w:t>
            </w:r>
          </w:p>
        </w:tc>
        <w:tc>
          <w:tcPr>
            <w:tcW w:w="1467" w:type="dxa"/>
            <w:gridSpan w:val="2"/>
            <w:tcBorders>
              <w:top w:val="nil"/>
              <w:left w:val="nil"/>
              <w:bottom w:val="nil"/>
              <w:right w:val="nil"/>
            </w:tcBorders>
          </w:tcPr>
          <w:p w14:paraId="034DCCF1"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12.10 (3.18)</w:t>
            </w:r>
          </w:p>
        </w:tc>
        <w:tc>
          <w:tcPr>
            <w:tcW w:w="1549" w:type="dxa"/>
            <w:tcBorders>
              <w:top w:val="nil"/>
              <w:left w:val="nil"/>
              <w:bottom w:val="nil"/>
              <w:right w:val="nil"/>
            </w:tcBorders>
          </w:tcPr>
          <w:p w14:paraId="5ABBFC50"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19.49 (6.92)</w:t>
            </w:r>
          </w:p>
        </w:tc>
        <w:tc>
          <w:tcPr>
            <w:tcW w:w="1418" w:type="dxa"/>
            <w:tcBorders>
              <w:top w:val="nil"/>
              <w:left w:val="nil"/>
              <w:bottom w:val="nil"/>
              <w:right w:val="nil"/>
            </w:tcBorders>
          </w:tcPr>
          <w:p w14:paraId="78CB5CD5"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19.89 (5.58)</w:t>
            </w:r>
          </w:p>
        </w:tc>
        <w:tc>
          <w:tcPr>
            <w:tcW w:w="1417" w:type="dxa"/>
            <w:tcBorders>
              <w:top w:val="nil"/>
              <w:left w:val="nil"/>
              <w:bottom w:val="nil"/>
              <w:right w:val="nil"/>
            </w:tcBorders>
          </w:tcPr>
          <w:p w14:paraId="2CB54B12"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19.95 (3.29)</w:t>
            </w:r>
          </w:p>
        </w:tc>
        <w:tc>
          <w:tcPr>
            <w:tcW w:w="1560" w:type="dxa"/>
            <w:tcBorders>
              <w:top w:val="nil"/>
              <w:left w:val="nil"/>
              <w:bottom w:val="nil"/>
              <w:right w:val="nil"/>
            </w:tcBorders>
          </w:tcPr>
          <w:p w14:paraId="420DB666"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15.21 (0.76)</w:t>
            </w:r>
          </w:p>
        </w:tc>
      </w:tr>
      <w:tr w:rsidR="00716EF8" w:rsidRPr="00716EF8" w14:paraId="4CC06D4B" w14:textId="77777777" w:rsidTr="00716EF8">
        <w:trPr>
          <w:trHeight w:val="437"/>
        </w:trPr>
        <w:tc>
          <w:tcPr>
            <w:tcW w:w="1256" w:type="dxa"/>
            <w:vMerge/>
            <w:tcBorders>
              <w:top w:val="nil"/>
              <w:left w:val="nil"/>
              <w:bottom w:val="single" w:sz="4" w:space="0" w:color="auto"/>
              <w:right w:val="nil"/>
            </w:tcBorders>
          </w:tcPr>
          <w:p w14:paraId="672B07A5" w14:textId="77777777" w:rsidR="00451875" w:rsidRPr="00716EF8" w:rsidRDefault="00451875">
            <w:pPr>
              <w:rPr>
                <w:rFonts w:ascii="Times New Roman" w:hAnsi="Times New Roman" w:cs="Times New Roman"/>
              </w:rPr>
            </w:pPr>
          </w:p>
        </w:tc>
        <w:tc>
          <w:tcPr>
            <w:tcW w:w="1532" w:type="dxa"/>
            <w:gridSpan w:val="2"/>
            <w:tcBorders>
              <w:top w:val="nil"/>
              <w:left w:val="nil"/>
              <w:bottom w:val="nil"/>
              <w:right w:val="nil"/>
            </w:tcBorders>
          </w:tcPr>
          <w:p w14:paraId="78D143B8"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Non-insiders</w:t>
            </w:r>
          </w:p>
        </w:tc>
        <w:tc>
          <w:tcPr>
            <w:tcW w:w="1467" w:type="dxa"/>
            <w:gridSpan w:val="2"/>
            <w:tcBorders>
              <w:top w:val="nil"/>
              <w:left w:val="nil"/>
              <w:bottom w:val="nil"/>
              <w:right w:val="nil"/>
            </w:tcBorders>
          </w:tcPr>
          <w:p w14:paraId="0F1FD093"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13.21 (2.77)</w:t>
            </w:r>
          </w:p>
        </w:tc>
        <w:tc>
          <w:tcPr>
            <w:tcW w:w="1549" w:type="dxa"/>
            <w:tcBorders>
              <w:top w:val="nil"/>
              <w:left w:val="nil"/>
              <w:bottom w:val="nil"/>
              <w:right w:val="nil"/>
            </w:tcBorders>
          </w:tcPr>
          <w:p w14:paraId="52914C13"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14.38 (3.79)</w:t>
            </w:r>
          </w:p>
        </w:tc>
        <w:tc>
          <w:tcPr>
            <w:tcW w:w="1418" w:type="dxa"/>
            <w:tcBorders>
              <w:top w:val="nil"/>
              <w:left w:val="nil"/>
              <w:bottom w:val="nil"/>
              <w:right w:val="nil"/>
            </w:tcBorders>
          </w:tcPr>
          <w:p w14:paraId="2B206958"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14.36 (3.72)</w:t>
            </w:r>
          </w:p>
        </w:tc>
        <w:tc>
          <w:tcPr>
            <w:tcW w:w="1417" w:type="dxa"/>
            <w:tcBorders>
              <w:top w:val="nil"/>
              <w:left w:val="nil"/>
              <w:bottom w:val="nil"/>
              <w:right w:val="nil"/>
            </w:tcBorders>
          </w:tcPr>
          <w:p w14:paraId="157612CA"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14.85 (3.44)</w:t>
            </w:r>
          </w:p>
        </w:tc>
        <w:tc>
          <w:tcPr>
            <w:tcW w:w="1560" w:type="dxa"/>
            <w:tcBorders>
              <w:top w:val="nil"/>
              <w:left w:val="nil"/>
              <w:bottom w:val="nil"/>
              <w:right w:val="nil"/>
            </w:tcBorders>
          </w:tcPr>
          <w:p w14:paraId="6DBB7D3D"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14.26 (0.35)</w:t>
            </w:r>
          </w:p>
        </w:tc>
      </w:tr>
      <w:tr w:rsidR="00716EF8" w:rsidRPr="00716EF8" w14:paraId="227EAADE" w14:textId="77777777" w:rsidTr="00716EF8">
        <w:trPr>
          <w:trHeight w:val="507"/>
        </w:trPr>
        <w:tc>
          <w:tcPr>
            <w:tcW w:w="1256" w:type="dxa"/>
            <w:vMerge/>
            <w:tcBorders>
              <w:top w:val="nil"/>
              <w:left w:val="nil"/>
              <w:bottom w:val="single" w:sz="4" w:space="0" w:color="auto"/>
              <w:right w:val="nil"/>
            </w:tcBorders>
          </w:tcPr>
          <w:p w14:paraId="0D2DB1E3" w14:textId="77777777" w:rsidR="00451875" w:rsidRPr="00716EF8" w:rsidRDefault="00451875">
            <w:pPr>
              <w:rPr>
                <w:rFonts w:ascii="Times New Roman" w:hAnsi="Times New Roman" w:cs="Times New Roman"/>
              </w:rPr>
            </w:pPr>
          </w:p>
        </w:tc>
        <w:tc>
          <w:tcPr>
            <w:tcW w:w="1532" w:type="dxa"/>
            <w:gridSpan w:val="2"/>
            <w:tcBorders>
              <w:top w:val="nil"/>
              <w:left w:val="nil"/>
              <w:bottom w:val="single" w:sz="4" w:space="0" w:color="auto"/>
              <w:right w:val="nil"/>
            </w:tcBorders>
          </w:tcPr>
          <w:p w14:paraId="2D0E0A90"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Total</w:t>
            </w:r>
          </w:p>
        </w:tc>
        <w:tc>
          <w:tcPr>
            <w:tcW w:w="1467" w:type="dxa"/>
            <w:gridSpan w:val="2"/>
            <w:tcBorders>
              <w:top w:val="nil"/>
              <w:left w:val="nil"/>
              <w:bottom w:val="single" w:sz="4" w:space="0" w:color="auto"/>
              <w:right w:val="nil"/>
            </w:tcBorders>
          </w:tcPr>
          <w:p w14:paraId="0EB7F987"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13.02 (2.85)</w:t>
            </w:r>
          </w:p>
        </w:tc>
        <w:tc>
          <w:tcPr>
            <w:tcW w:w="1549" w:type="dxa"/>
            <w:tcBorders>
              <w:top w:val="nil"/>
              <w:left w:val="nil"/>
              <w:bottom w:val="single" w:sz="4" w:space="0" w:color="auto"/>
              <w:right w:val="nil"/>
            </w:tcBorders>
          </w:tcPr>
          <w:p w14:paraId="42EC60E5"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15.27 (4.81)</w:t>
            </w:r>
          </w:p>
        </w:tc>
        <w:tc>
          <w:tcPr>
            <w:tcW w:w="1418" w:type="dxa"/>
            <w:tcBorders>
              <w:top w:val="nil"/>
              <w:left w:val="nil"/>
              <w:bottom w:val="single" w:sz="4" w:space="0" w:color="auto"/>
              <w:right w:val="nil"/>
            </w:tcBorders>
          </w:tcPr>
          <w:p w14:paraId="014E1B85"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15.31 (4.56)</w:t>
            </w:r>
          </w:p>
        </w:tc>
        <w:tc>
          <w:tcPr>
            <w:tcW w:w="1417" w:type="dxa"/>
            <w:tcBorders>
              <w:top w:val="nil"/>
              <w:left w:val="nil"/>
              <w:bottom w:val="single" w:sz="4" w:space="0" w:color="auto"/>
              <w:right w:val="nil"/>
            </w:tcBorders>
          </w:tcPr>
          <w:p w14:paraId="2C826721" w14:textId="77777777" w:rsidR="00451875" w:rsidRPr="00716EF8" w:rsidRDefault="00451875">
            <w:pPr>
              <w:spacing w:line="276" w:lineRule="auto"/>
              <w:jc w:val="center"/>
              <w:rPr>
                <w:rFonts w:ascii="Times New Roman" w:hAnsi="Times New Roman" w:cs="Times New Roman"/>
              </w:rPr>
            </w:pPr>
            <w:r w:rsidRPr="00716EF8">
              <w:rPr>
                <w:rFonts w:ascii="Times New Roman" w:hAnsi="Times New Roman" w:cs="Times New Roman"/>
              </w:rPr>
              <w:t>15.73 (3.90)</w:t>
            </w:r>
          </w:p>
        </w:tc>
        <w:tc>
          <w:tcPr>
            <w:tcW w:w="1560" w:type="dxa"/>
            <w:tcBorders>
              <w:top w:val="nil"/>
              <w:left w:val="nil"/>
              <w:bottom w:val="single" w:sz="4" w:space="0" w:color="auto"/>
              <w:right w:val="nil"/>
            </w:tcBorders>
          </w:tcPr>
          <w:p w14:paraId="21BB1E1B" w14:textId="77777777" w:rsidR="00451875" w:rsidRPr="00716EF8" w:rsidRDefault="00451875">
            <w:pPr>
              <w:spacing w:line="276" w:lineRule="auto"/>
              <w:jc w:val="center"/>
              <w:rPr>
                <w:rFonts w:ascii="Times New Roman" w:hAnsi="Times New Roman" w:cs="Times New Roman"/>
              </w:rPr>
            </w:pPr>
          </w:p>
        </w:tc>
      </w:tr>
    </w:tbl>
    <w:p w14:paraId="21DFA8B5" w14:textId="77777777" w:rsidR="00451875" w:rsidRDefault="00451875" w:rsidP="00451875">
      <w:pPr>
        <w:spacing w:line="240" w:lineRule="auto"/>
      </w:pPr>
    </w:p>
    <w:p w14:paraId="05E9DB02" w14:textId="4BFA9D9B" w:rsidR="00451875" w:rsidRDefault="005B3FBA" w:rsidP="00451875">
      <w:pPr>
        <w:spacing w:line="240" w:lineRule="auto"/>
        <w:rPr>
          <w:rFonts w:cs="Arial"/>
          <w:b/>
          <w:bCs/>
          <w:lang w:val="en-US"/>
        </w:rPr>
      </w:pPr>
      <w:r w:rsidRPr="00451875">
        <w:br w:type="page"/>
      </w:r>
      <w:r w:rsidR="00451875">
        <w:rPr>
          <w:rFonts w:cs="Arial"/>
          <w:b/>
          <w:bCs/>
          <w:lang w:val="en-US"/>
        </w:rPr>
        <w:lastRenderedPageBreak/>
        <w:t>Figure 1</w:t>
      </w:r>
    </w:p>
    <w:p w14:paraId="77838DC7" w14:textId="77777777" w:rsidR="00451875" w:rsidRPr="00786E72" w:rsidRDefault="00451875" w:rsidP="00451875">
      <w:pPr>
        <w:spacing w:line="240" w:lineRule="auto"/>
        <w:rPr>
          <w:rFonts w:eastAsiaTheme="minorHAnsi" w:cs="Arial"/>
          <w:i/>
          <w:iCs/>
          <w:lang w:eastAsia="en-US"/>
        </w:rPr>
      </w:pPr>
      <w:r w:rsidRPr="00C200F1">
        <w:rPr>
          <w:rFonts w:cs="Arial"/>
          <w:i/>
          <w:iCs/>
          <w:lang w:val="en-US"/>
        </w:rPr>
        <w:t>The Mean Number of Times Insiders and Non-Insiders Used the Pronoun “I” When Referring to Each Game Part (The</w:t>
      </w:r>
      <w:r w:rsidRPr="00C200F1">
        <w:rPr>
          <w:rFonts w:cs="Arial"/>
          <w:i/>
          <w:iCs/>
        </w:rPr>
        <w:t xml:space="preserve"> Error Bars Represent 95% Confidence Intervals)</w:t>
      </w:r>
    </w:p>
    <w:p w14:paraId="0CE2F206" w14:textId="77777777" w:rsidR="00451875" w:rsidRPr="00786E72" w:rsidRDefault="00451875" w:rsidP="00451875">
      <w:pPr>
        <w:spacing w:line="240" w:lineRule="auto"/>
        <w:rPr>
          <w:rFonts w:cs="Arial"/>
          <w:b/>
          <w:bCs/>
          <w:lang w:val="en-US"/>
        </w:rPr>
      </w:pPr>
      <w:r w:rsidRPr="4D5C29CA">
        <w:rPr>
          <w:rFonts w:cs="Arial"/>
          <w:b/>
          <w:bCs/>
          <w:lang w:val="en-US"/>
        </w:rPr>
        <w:t>Figure 2</w:t>
      </w:r>
      <w:r>
        <w:rPr>
          <w:rFonts w:cs="Arial"/>
          <w:b/>
          <w:bCs/>
          <w:lang w:val="en-US"/>
        </w:rPr>
        <w:br/>
      </w:r>
      <w:r w:rsidRPr="00786E72">
        <w:rPr>
          <w:rFonts w:cs="Arial"/>
          <w:i/>
          <w:iCs/>
          <w:lang w:val="en-US"/>
        </w:rPr>
        <w:t>T</w:t>
      </w:r>
      <w:r w:rsidRPr="00C200F1">
        <w:rPr>
          <w:rFonts w:cs="Arial"/>
          <w:i/>
          <w:iCs/>
          <w:lang w:val="en-US"/>
        </w:rPr>
        <w:t>he Mean Number of Times Insiders and Non-Insiders Used Words Relating to Negative Emotions When Referring to Each Game Part (The</w:t>
      </w:r>
      <w:r w:rsidRPr="00C200F1">
        <w:rPr>
          <w:rFonts w:cs="Arial"/>
          <w:i/>
          <w:iCs/>
        </w:rPr>
        <w:t xml:space="preserve"> Error Bars Represent 95% Confidence Intervals)</w:t>
      </w:r>
    </w:p>
    <w:p w14:paraId="796B84DA" w14:textId="77777777" w:rsidR="00451875" w:rsidRDefault="00451875" w:rsidP="00451875">
      <w:pPr>
        <w:spacing w:line="240" w:lineRule="auto"/>
        <w:rPr>
          <w:rFonts w:cs="Arial"/>
          <w:b/>
          <w:bCs/>
          <w:lang w:val="en-US"/>
        </w:rPr>
      </w:pPr>
      <w:r w:rsidRPr="5510B387">
        <w:rPr>
          <w:rFonts w:cs="Arial"/>
          <w:b/>
          <w:bCs/>
          <w:lang w:val="en-US"/>
        </w:rPr>
        <w:t>Figure 3</w:t>
      </w:r>
    </w:p>
    <w:p w14:paraId="2CD493A3" w14:textId="77777777" w:rsidR="00451875" w:rsidRPr="00C200F1" w:rsidRDefault="00451875" w:rsidP="00451875">
      <w:pPr>
        <w:spacing w:line="240" w:lineRule="auto"/>
        <w:rPr>
          <w:rFonts w:cs="Arial"/>
          <w:b/>
          <w:bCs/>
          <w:i/>
          <w:iCs/>
          <w:lang w:val="en-US"/>
        </w:rPr>
      </w:pPr>
      <w:r w:rsidRPr="00C200F1">
        <w:rPr>
          <w:rFonts w:cs="Arial"/>
          <w:i/>
          <w:iCs/>
          <w:lang w:val="en-US"/>
        </w:rPr>
        <w:t>The Mean Number of Times Insiders and Non-Insiders Used Words Relating to Cognitive Processing When Referring to Each Game Part (The</w:t>
      </w:r>
      <w:r w:rsidRPr="00C200F1">
        <w:rPr>
          <w:rFonts w:cs="Arial"/>
          <w:i/>
          <w:iCs/>
        </w:rPr>
        <w:t xml:space="preserve"> Error Bars Represent 95% Confidence Intervals)</w:t>
      </w:r>
    </w:p>
    <w:p w14:paraId="7230922E" w14:textId="77777777" w:rsidR="00451875" w:rsidRDefault="00451875" w:rsidP="00451875">
      <w:pPr>
        <w:spacing w:line="240" w:lineRule="auto"/>
        <w:jc w:val="both"/>
        <w:rPr>
          <w:b/>
          <w:bCs/>
        </w:rPr>
      </w:pPr>
      <w:r w:rsidRPr="10F4FC1D">
        <w:rPr>
          <w:b/>
          <w:bCs/>
        </w:rPr>
        <w:t>Figure 4</w:t>
      </w:r>
    </w:p>
    <w:p w14:paraId="4C64D0DE" w14:textId="77777777" w:rsidR="00451875" w:rsidRDefault="00451875" w:rsidP="00451875">
      <w:pPr>
        <w:spacing w:line="240" w:lineRule="auto"/>
        <w:jc w:val="both"/>
        <w:rPr>
          <w:rFonts w:cs="Arial"/>
          <w:i/>
          <w:iCs/>
        </w:rPr>
      </w:pPr>
      <w:r w:rsidRPr="00C200F1">
        <w:rPr>
          <w:i/>
          <w:iCs/>
        </w:rPr>
        <w:t xml:space="preserve">The Mean Insider Language Index (ILI) Scores for Insiders and Non-Insiders in Relation to Each Game Part </w:t>
      </w:r>
      <w:r w:rsidRPr="00C200F1">
        <w:rPr>
          <w:rFonts w:cs="Arial"/>
          <w:i/>
          <w:iCs/>
          <w:lang w:val="en-US"/>
        </w:rPr>
        <w:t>(The</w:t>
      </w:r>
      <w:r w:rsidRPr="00C200F1">
        <w:rPr>
          <w:rFonts w:cs="Arial"/>
          <w:i/>
          <w:iCs/>
        </w:rPr>
        <w:t xml:space="preserve"> Error Bars Represent 95% Confidence Intervals)</w:t>
      </w:r>
    </w:p>
    <w:p w14:paraId="1DDE198D" w14:textId="77777777" w:rsidR="00451875" w:rsidRDefault="00451875" w:rsidP="00451875">
      <w:pPr>
        <w:spacing w:line="240" w:lineRule="auto"/>
        <w:jc w:val="both"/>
        <w:rPr>
          <w:rFonts w:cs="Arial"/>
          <w:i/>
          <w:iCs/>
        </w:rPr>
      </w:pPr>
    </w:p>
    <w:p w14:paraId="0E2510B0" w14:textId="77777777" w:rsidR="00451875" w:rsidRDefault="00451875" w:rsidP="00451875">
      <w:pPr>
        <w:spacing w:line="240" w:lineRule="auto"/>
        <w:jc w:val="both"/>
        <w:rPr>
          <w:rFonts w:cs="Arial"/>
          <w:i/>
          <w:iCs/>
        </w:rPr>
      </w:pPr>
    </w:p>
    <w:p w14:paraId="067C5409" w14:textId="77777777" w:rsidR="00451875" w:rsidRDefault="00451875" w:rsidP="00451875">
      <w:pPr>
        <w:spacing w:line="240" w:lineRule="auto"/>
        <w:jc w:val="both"/>
        <w:rPr>
          <w:rFonts w:cs="Arial"/>
          <w:i/>
          <w:iCs/>
        </w:rPr>
      </w:pPr>
    </w:p>
    <w:p w14:paraId="11E769FC" w14:textId="77777777" w:rsidR="00451875" w:rsidRPr="00C200F1" w:rsidRDefault="00451875" w:rsidP="00451875">
      <w:pPr>
        <w:spacing w:line="240" w:lineRule="auto"/>
        <w:jc w:val="both"/>
        <w:rPr>
          <w:b/>
          <w:bCs/>
          <w:i/>
          <w:iCs/>
        </w:rPr>
      </w:pPr>
    </w:p>
    <w:p w14:paraId="324D82D8" w14:textId="77777777" w:rsidR="00451875" w:rsidRDefault="00451875" w:rsidP="00451875">
      <w:pPr>
        <w:spacing w:line="276" w:lineRule="auto"/>
        <w:jc w:val="center"/>
        <w:rPr>
          <w:i/>
          <w:iCs/>
          <w:color w:val="000000" w:themeColor="text1"/>
        </w:rPr>
      </w:pPr>
      <w:r>
        <w:rPr>
          <w:noProof/>
        </w:rPr>
        <w:drawing>
          <wp:inline distT="0" distB="0" distL="0" distR="0" wp14:anchorId="79EB5BF6" wp14:editId="5533D664">
            <wp:extent cx="4767590" cy="2830756"/>
            <wp:effectExtent l="0" t="0" r="0" b="0"/>
            <wp:docPr id="495744211" name="Picture 49574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extLst>
                        <a:ext uri="{28A0092B-C50C-407E-A947-70E740481C1C}">
                          <a14:useLocalDpi xmlns:a14="http://schemas.microsoft.com/office/drawing/2010/main" val="0"/>
                        </a:ext>
                      </a:extLst>
                    </a:blip>
                    <a:stretch>
                      <a:fillRect/>
                    </a:stretch>
                  </pic:blipFill>
                  <pic:spPr>
                    <a:xfrm>
                      <a:off x="0" y="0"/>
                      <a:ext cx="4779963" cy="2838102"/>
                    </a:xfrm>
                    <a:prstGeom prst="rect">
                      <a:avLst/>
                    </a:prstGeom>
                  </pic:spPr>
                </pic:pic>
              </a:graphicData>
            </a:graphic>
          </wp:inline>
        </w:drawing>
      </w:r>
    </w:p>
    <w:p w14:paraId="62A16C76" w14:textId="77777777" w:rsidR="00451875" w:rsidRDefault="00451875" w:rsidP="00451875">
      <w:pPr>
        <w:spacing w:line="240" w:lineRule="auto"/>
        <w:rPr>
          <w:rFonts w:cs="Arial"/>
          <w:b/>
          <w:bCs/>
          <w:lang w:val="en-US"/>
        </w:rPr>
      </w:pPr>
      <w:r w:rsidRPr="4D5C29CA">
        <w:rPr>
          <w:rFonts w:cs="Arial"/>
          <w:b/>
          <w:bCs/>
          <w:lang w:val="en-US"/>
        </w:rPr>
        <w:t>Figure 1</w:t>
      </w:r>
    </w:p>
    <w:p w14:paraId="65CADC75" w14:textId="77777777" w:rsidR="00451875" w:rsidRDefault="00451875" w:rsidP="00451875">
      <w:pPr>
        <w:spacing w:line="240" w:lineRule="auto"/>
        <w:rPr>
          <w:rFonts w:cs="Arial"/>
          <w:b/>
          <w:bCs/>
          <w:lang w:val="en-US"/>
        </w:rPr>
      </w:pPr>
    </w:p>
    <w:p w14:paraId="32785C6E" w14:textId="77777777" w:rsidR="00451875" w:rsidRDefault="00451875" w:rsidP="00451875">
      <w:pPr>
        <w:spacing w:line="276" w:lineRule="auto"/>
        <w:jc w:val="center"/>
      </w:pPr>
      <w:r>
        <w:rPr>
          <w:noProof/>
        </w:rPr>
        <w:lastRenderedPageBreak/>
        <w:drawing>
          <wp:inline distT="0" distB="0" distL="0" distR="0" wp14:anchorId="40B49511" wp14:editId="6AC785BD">
            <wp:extent cx="4633187" cy="2721998"/>
            <wp:effectExtent l="0" t="0" r="0" b="0"/>
            <wp:docPr id="645187768" name="Picture 645187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extLst>
                        <a:ext uri="{28A0092B-C50C-407E-A947-70E740481C1C}">
                          <a14:useLocalDpi xmlns:a14="http://schemas.microsoft.com/office/drawing/2010/main" val="0"/>
                        </a:ext>
                      </a:extLst>
                    </a:blip>
                    <a:stretch>
                      <a:fillRect/>
                    </a:stretch>
                  </pic:blipFill>
                  <pic:spPr>
                    <a:xfrm>
                      <a:off x="0" y="0"/>
                      <a:ext cx="4652579" cy="2733391"/>
                    </a:xfrm>
                    <a:prstGeom prst="rect">
                      <a:avLst/>
                    </a:prstGeom>
                  </pic:spPr>
                </pic:pic>
              </a:graphicData>
            </a:graphic>
          </wp:inline>
        </w:drawing>
      </w:r>
    </w:p>
    <w:p w14:paraId="4E7EBF54" w14:textId="77777777" w:rsidR="00451875" w:rsidRDefault="00451875" w:rsidP="00451875">
      <w:pPr>
        <w:spacing w:line="240" w:lineRule="auto"/>
        <w:rPr>
          <w:rFonts w:cs="Arial"/>
          <w:b/>
          <w:bCs/>
          <w:lang w:val="en-US"/>
        </w:rPr>
      </w:pPr>
      <w:r w:rsidRPr="4D5C29CA">
        <w:rPr>
          <w:rFonts w:cs="Arial"/>
          <w:b/>
          <w:bCs/>
          <w:lang w:val="en-US"/>
        </w:rPr>
        <w:t>Figure 2</w:t>
      </w:r>
    </w:p>
    <w:p w14:paraId="6F7ECB69" w14:textId="77777777" w:rsidR="00451875" w:rsidRDefault="00451875" w:rsidP="00451875">
      <w:pPr>
        <w:spacing w:line="240" w:lineRule="auto"/>
        <w:rPr>
          <w:rFonts w:cs="Arial"/>
          <w:b/>
          <w:bCs/>
          <w:lang w:val="en-US"/>
        </w:rPr>
      </w:pPr>
    </w:p>
    <w:p w14:paraId="6E4E6970" w14:textId="77777777" w:rsidR="00451875" w:rsidRPr="00F159EF" w:rsidRDefault="00451875" w:rsidP="00451875">
      <w:pPr>
        <w:spacing w:line="276" w:lineRule="auto"/>
        <w:jc w:val="center"/>
        <w:rPr>
          <w:i/>
          <w:iCs/>
        </w:rPr>
      </w:pPr>
      <w:r>
        <w:rPr>
          <w:noProof/>
        </w:rPr>
        <w:drawing>
          <wp:inline distT="0" distB="0" distL="0" distR="0" wp14:anchorId="03629854" wp14:editId="787A7AF2">
            <wp:extent cx="4857356" cy="2853697"/>
            <wp:effectExtent l="0" t="0" r="0" b="0"/>
            <wp:docPr id="277853706" name="Picture 27785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extLst>
                        <a:ext uri="{28A0092B-C50C-407E-A947-70E740481C1C}">
                          <a14:useLocalDpi xmlns:a14="http://schemas.microsoft.com/office/drawing/2010/main" val="0"/>
                        </a:ext>
                      </a:extLst>
                    </a:blip>
                    <a:stretch>
                      <a:fillRect/>
                    </a:stretch>
                  </pic:blipFill>
                  <pic:spPr>
                    <a:xfrm>
                      <a:off x="0" y="0"/>
                      <a:ext cx="4863641" cy="2857390"/>
                    </a:xfrm>
                    <a:prstGeom prst="rect">
                      <a:avLst/>
                    </a:prstGeom>
                  </pic:spPr>
                </pic:pic>
              </a:graphicData>
            </a:graphic>
          </wp:inline>
        </w:drawing>
      </w:r>
    </w:p>
    <w:p w14:paraId="512FD5E9" w14:textId="77777777" w:rsidR="00451875" w:rsidRDefault="00451875" w:rsidP="00451875">
      <w:pPr>
        <w:spacing w:line="240" w:lineRule="auto"/>
        <w:rPr>
          <w:rFonts w:cs="Arial"/>
          <w:b/>
          <w:bCs/>
          <w:lang w:val="en-US"/>
        </w:rPr>
      </w:pPr>
      <w:r w:rsidRPr="5510B387">
        <w:rPr>
          <w:rFonts w:cs="Arial"/>
          <w:b/>
          <w:bCs/>
          <w:lang w:val="en-US"/>
        </w:rPr>
        <w:t>Figure 3</w:t>
      </w:r>
    </w:p>
    <w:p w14:paraId="332E3EF6" w14:textId="77777777" w:rsidR="00451875" w:rsidRDefault="00451875" w:rsidP="00451875">
      <w:pPr>
        <w:spacing w:line="240" w:lineRule="auto"/>
        <w:rPr>
          <w:rFonts w:cs="Arial"/>
          <w:b/>
          <w:bCs/>
          <w:lang w:val="en-US"/>
        </w:rPr>
      </w:pPr>
    </w:p>
    <w:p w14:paraId="10322BC0" w14:textId="77777777" w:rsidR="00451875" w:rsidRPr="00201308" w:rsidRDefault="00451875" w:rsidP="00451875">
      <w:pPr>
        <w:jc w:val="center"/>
        <w:rPr>
          <w:u w:val="single"/>
        </w:rPr>
      </w:pPr>
      <w:r>
        <w:rPr>
          <w:noProof/>
        </w:rPr>
        <w:lastRenderedPageBreak/>
        <w:drawing>
          <wp:inline distT="0" distB="0" distL="0" distR="0" wp14:anchorId="0DCB8B1B" wp14:editId="54A44195">
            <wp:extent cx="4890128" cy="2872950"/>
            <wp:effectExtent l="0" t="0" r="0" b="0"/>
            <wp:docPr id="276952605" name="Picture 276952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extLst>
                        <a:ext uri="{28A0092B-C50C-407E-A947-70E740481C1C}">
                          <a14:useLocalDpi xmlns:a14="http://schemas.microsoft.com/office/drawing/2010/main" val="0"/>
                        </a:ext>
                      </a:extLst>
                    </a:blip>
                    <a:stretch>
                      <a:fillRect/>
                    </a:stretch>
                  </pic:blipFill>
                  <pic:spPr>
                    <a:xfrm>
                      <a:off x="0" y="0"/>
                      <a:ext cx="4901667" cy="2879729"/>
                    </a:xfrm>
                    <a:prstGeom prst="rect">
                      <a:avLst/>
                    </a:prstGeom>
                  </pic:spPr>
                </pic:pic>
              </a:graphicData>
            </a:graphic>
          </wp:inline>
        </w:drawing>
      </w:r>
    </w:p>
    <w:p w14:paraId="6FC52A0E" w14:textId="77777777" w:rsidR="00451875" w:rsidRDefault="00451875" w:rsidP="00451875">
      <w:pPr>
        <w:spacing w:line="240" w:lineRule="auto"/>
        <w:jc w:val="both"/>
        <w:rPr>
          <w:b/>
          <w:bCs/>
        </w:rPr>
      </w:pPr>
      <w:r w:rsidRPr="10F4FC1D">
        <w:rPr>
          <w:b/>
          <w:bCs/>
        </w:rPr>
        <w:t>Figure 4</w:t>
      </w:r>
    </w:p>
    <w:p w14:paraId="79E43480" w14:textId="52ADACB0" w:rsidR="00FE4713" w:rsidRDefault="00FE4713" w:rsidP="00451875">
      <w:pPr>
        <w:pStyle w:val="Tabletitle"/>
      </w:pPr>
    </w:p>
    <w:sectPr w:rsidR="00FE4713" w:rsidSect="00927066">
      <w:footerReference w:type="default" r:id="rId55"/>
      <w:pgSz w:w="11901" w:h="16840" w:code="9"/>
      <w:pgMar w:top="1418" w:right="1701" w:bottom="1418" w:left="1701"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34E08" w14:textId="77777777" w:rsidR="00984F3B" w:rsidRDefault="00984F3B" w:rsidP="00AF2C92">
      <w:r>
        <w:separator/>
      </w:r>
    </w:p>
  </w:endnote>
  <w:endnote w:type="continuationSeparator" w:id="0">
    <w:p w14:paraId="01CD3259" w14:textId="77777777" w:rsidR="00984F3B" w:rsidRDefault="00984F3B" w:rsidP="00AF2C92">
      <w:r>
        <w:continuationSeparator/>
      </w:r>
    </w:p>
  </w:endnote>
  <w:endnote w:type="continuationNotice" w:id="1">
    <w:p w14:paraId="095BE297" w14:textId="77777777" w:rsidR="00984F3B" w:rsidRDefault="00984F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123417"/>
      <w:docPartObj>
        <w:docPartGallery w:val="Page Numbers (Bottom of Page)"/>
        <w:docPartUnique/>
      </w:docPartObj>
    </w:sdtPr>
    <w:sdtEndPr>
      <w:rPr>
        <w:noProof/>
      </w:rPr>
    </w:sdtEndPr>
    <w:sdtContent>
      <w:p w14:paraId="23310B70" w14:textId="193D069F" w:rsidR="00927066" w:rsidRDefault="009270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6E4A6A" w14:textId="77777777" w:rsidR="002211DD" w:rsidRDefault="0022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9ED8" w14:textId="77777777" w:rsidR="00984F3B" w:rsidRDefault="00984F3B" w:rsidP="00AF2C92">
      <w:r>
        <w:separator/>
      </w:r>
    </w:p>
  </w:footnote>
  <w:footnote w:type="continuationSeparator" w:id="0">
    <w:p w14:paraId="3046FAC5" w14:textId="77777777" w:rsidR="00984F3B" w:rsidRDefault="00984F3B" w:rsidP="00AF2C92">
      <w:r>
        <w:continuationSeparator/>
      </w:r>
    </w:p>
  </w:footnote>
  <w:footnote w:type="continuationNotice" w:id="1">
    <w:p w14:paraId="18A2178D" w14:textId="77777777" w:rsidR="00984F3B" w:rsidRDefault="00984F3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61B5AC9"/>
    <w:multiLevelType w:val="hybridMultilevel"/>
    <w:tmpl w:val="2A0ED4F4"/>
    <w:lvl w:ilvl="0" w:tplc="2CBEF7D4">
      <w:start w:val="1"/>
      <w:numFmt w:val="decimal"/>
      <w:lvlText w:val="%1."/>
      <w:lvlJc w:val="left"/>
      <w:pPr>
        <w:ind w:left="1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FE350A">
      <w:start w:val="1"/>
      <w:numFmt w:val="lowerLetter"/>
      <w:lvlText w:val="%2"/>
      <w:lvlJc w:val="left"/>
      <w:pPr>
        <w:ind w:left="1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3C8C36">
      <w:start w:val="1"/>
      <w:numFmt w:val="lowerRoman"/>
      <w:lvlText w:val="%3"/>
      <w:lvlJc w:val="left"/>
      <w:pPr>
        <w:ind w:left="2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C27CEA">
      <w:start w:val="1"/>
      <w:numFmt w:val="decimal"/>
      <w:lvlText w:val="%4"/>
      <w:lvlJc w:val="left"/>
      <w:pPr>
        <w:ind w:left="3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DE1738">
      <w:start w:val="1"/>
      <w:numFmt w:val="lowerLetter"/>
      <w:lvlText w:val="%5"/>
      <w:lvlJc w:val="left"/>
      <w:pPr>
        <w:ind w:left="3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3E4052">
      <w:start w:val="1"/>
      <w:numFmt w:val="lowerRoman"/>
      <w:lvlText w:val="%6"/>
      <w:lvlJc w:val="left"/>
      <w:pPr>
        <w:ind w:left="4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EA2AA0">
      <w:start w:val="1"/>
      <w:numFmt w:val="decimal"/>
      <w:lvlText w:val="%7"/>
      <w:lvlJc w:val="left"/>
      <w:pPr>
        <w:ind w:left="5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BAAAF6">
      <w:start w:val="1"/>
      <w:numFmt w:val="lowerLetter"/>
      <w:lvlText w:val="%8"/>
      <w:lvlJc w:val="left"/>
      <w:pPr>
        <w:ind w:left="6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3184408">
      <w:start w:val="1"/>
      <w:numFmt w:val="lowerRoman"/>
      <w:lvlText w:val="%9"/>
      <w:lvlJc w:val="left"/>
      <w:pPr>
        <w:ind w:left="68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8C14E4E"/>
    <w:multiLevelType w:val="hybridMultilevel"/>
    <w:tmpl w:val="761EE552"/>
    <w:lvl w:ilvl="0" w:tplc="FFFFFFFF">
      <w:start w:val="1"/>
      <w:numFmt w:val="bullet"/>
      <w:lvlText w:val="•"/>
      <w:lvlJc w:val="left"/>
      <w:pPr>
        <w:ind w:left="968"/>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3DFC4762">
      <w:start w:val="1"/>
      <w:numFmt w:val="decimal"/>
      <w:lvlText w:val="%2."/>
      <w:lvlJc w:val="left"/>
      <w:pPr>
        <w:ind w:left="1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5909718">
      <w:start w:val="1"/>
      <w:numFmt w:val="lowerRoman"/>
      <w:lvlText w:val="%3"/>
      <w:lvlJc w:val="left"/>
      <w:pPr>
        <w:ind w:left="2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B0688A">
      <w:start w:val="1"/>
      <w:numFmt w:val="decimal"/>
      <w:lvlText w:val="%4"/>
      <w:lvlJc w:val="left"/>
      <w:pPr>
        <w:ind w:left="3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24287E4">
      <w:start w:val="1"/>
      <w:numFmt w:val="lowerLetter"/>
      <w:lvlText w:val="%5"/>
      <w:lvlJc w:val="left"/>
      <w:pPr>
        <w:ind w:left="3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63E61DC">
      <w:start w:val="1"/>
      <w:numFmt w:val="lowerRoman"/>
      <w:lvlText w:val="%6"/>
      <w:lvlJc w:val="left"/>
      <w:pPr>
        <w:ind w:left="4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F480EC2">
      <w:start w:val="1"/>
      <w:numFmt w:val="decimal"/>
      <w:lvlText w:val="%7"/>
      <w:lvlJc w:val="left"/>
      <w:pPr>
        <w:ind w:left="5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74D000">
      <w:start w:val="1"/>
      <w:numFmt w:val="lowerLetter"/>
      <w:lvlText w:val="%8"/>
      <w:lvlJc w:val="left"/>
      <w:pPr>
        <w:ind w:left="6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2C7DBE">
      <w:start w:val="1"/>
      <w:numFmt w:val="lowerRoman"/>
      <w:lvlText w:val="%9"/>
      <w:lvlJc w:val="left"/>
      <w:pPr>
        <w:ind w:left="6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625A1E"/>
    <w:multiLevelType w:val="hybridMultilevel"/>
    <w:tmpl w:val="44886BD6"/>
    <w:lvl w:ilvl="0" w:tplc="6AB62ECA">
      <w:start w:val="1"/>
      <w:numFmt w:val="decimal"/>
      <w:lvlText w:val="%1."/>
      <w:lvlJc w:val="left"/>
      <w:pPr>
        <w:ind w:left="1236" w:hanging="470"/>
      </w:pPr>
      <w:rPr>
        <w:rFonts w:hint="default"/>
      </w:rPr>
    </w:lvl>
    <w:lvl w:ilvl="1" w:tplc="08090019" w:tentative="1">
      <w:start w:val="1"/>
      <w:numFmt w:val="lowerLetter"/>
      <w:lvlText w:val="%2."/>
      <w:lvlJc w:val="left"/>
      <w:pPr>
        <w:ind w:left="1846" w:hanging="360"/>
      </w:pPr>
    </w:lvl>
    <w:lvl w:ilvl="2" w:tplc="0809001B" w:tentative="1">
      <w:start w:val="1"/>
      <w:numFmt w:val="lowerRoman"/>
      <w:lvlText w:val="%3."/>
      <w:lvlJc w:val="right"/>
      <w:pPr>
        <w:ind w:left="2566" w:hanging="180"/>
      </w:pPr>
    </w:lvl>
    <w:lvl w:ilvl="3" w:tplc="0809000F" w:tentative="1">
      <w:start w:val="1"/>
      <w:numFmt w:val="decimal"/>
      <w:lvlText w:val="%4."/>
      <w:lvlJc w:val="left"/>
      <w:pPr>
        <w:ind w:left="3286" w:hanging="360"/>
      </w:pPr>
    </w:lvl>
    <w:lvl w:ilvl="4" w:tplc="08090019" w:tentative="1">
      <w:start w:val="1"/>
      <w:numFmt w:val="lowerLetter"/>
      <w:lvlText w:val="%5."/>
      <w:lvlJc w:val="left"/>
      <w:pPr>
        <w:ind w:left="4006" w:hanging="360"/>
      </w:pPr>
    </w:lvl>
    <w:lvl w:ilvl="5" w:tplc="0809001B" w:tentative="1">
      <w:start w:val="1"/>
      <w:numFmt w:val="lowerRoman"/>
      <w:lvlText w:val="%6."/>
      <w:lvlJc w:val="right"/>
      <w:pPr>
        <w:ind w:left="4726" w:hanging="180"/>
      </w:pPr>
    </w:lvl>
    <w:lvl w:ilvl="6" w:tplc="0809000F" w:tentative="1">
      <w:start w:val="1"/>
      <w:numFmt w:val="decimal"/>
      <w:lvlText w:val="%7."/>
      <w:lvlJc w:val="left"/>
      <w:pPr>
        <w:ind w:left="5446" w:hanging="360"/>
      </w:pPr>
    </w:lvl>
    <w:lvl w:ilvl="7" w:tplc="08090019" w:tentative="1">
      <w:start w:val="1"/>
      <w:numFmt w:val="lowerLetter"/>
      <w:lvlText w:val="%8."/>
      <w:lvlJc w:val="left"/>
      <w:pPr>
        <w:ind w:left="6166" w:hanging="360"/>
      </w:pPr>
    </w:lvl>
    <w:lvl w:ilvl="8" w:tplc="0809001B" w:tentative="1">
      <w:start w:val="1"/>
      <w:numFmt w:val="lowerRoman"/>
      <w:lvlText w:val="%9."/>
      <w:lvlJc w:val="right"/>
      <w:pPr>
        <w:ind w:left="6886" w:hanging="180"/>
      </w:pPr>
    </w:lvl>
  </w:abstractNum>
  <w:abstractNum w:abstractNumId="25"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05831360">
    <w:abstractNumId w:val="15"/>
  </w:num>
  <w:num w:numId="2" w16cid:durableId="1396706299">
    <w:abstractNumId w:val="21"/>
  </w:num>
  <w:num w:numId="3" w16cid:durableId="2114469510">
    <w:abstractNumId w:val="1"/>
  </w:num>
  <w:num w:numId="4" w16cid:durableId="1020279568">
    <w:abstractNumId w:val="2"/>
  </w:num>
  <w:num w:numId="5" w16cid:durableId="1271279207">
    <w:abstractNumId w:val="3"/>
  </w:num>
  <w:num w:numId="6" w16cid:durableId="1581207834">
    <w:abstractNumId w:val="4"/>
  </w:num>
  <w:num w:numId="7" w16cid:durableId="1068117879">
    <w:abstractNumId w:val="9"/>
  </w:num>
  <w:num w:numId="8" w16cid:durableId="1059132372">
    <w:abstractNumId w:val="5"/>
  </w:num>
  <w:num w:numId="9" w16cid:durableId="2092583538">
    <w:abstractNumId w:val="7"/>
  </w:num>
  <w:num w:numId="10" w16cid:durableId="611716522">
    <w:abstractNumId w:val="6"/>
  </w:num>
  <w:num w:numId="11" w16cid:durableId="1980960191">
    <w:abstractNumId w:val="10"/>
  </w:num>
  <w:num w:numId="12" w16cid:durableId="2017803665">
    <w:abstractNumId w:val="8"/>
  </w:num>
  <w:num w:numId="13" w16cid:durableId="582492244">
    <w:abstractNumId w:val="18"/>
  </w:num>
  <w:num w:numId="14" w16cid:durableId="460656486">
    <w:abstractNumId w:val="22"/>
  </w:num>
  <w:num w:numId="15" w16cid:durableId="1118642459">
    <w:abstractNumId w:val="14"/>
  </w:num>
  <w:num w:numId="16" w16cid:durableId="776102076">
    <w:abstractNumId w:val="17"/>
  </w:num>
  <w:num w:numId="17" w16cid:durableId="866677531">
    <w:abstractNumId w:val="11"/>
  </w:num>
  <w:num w:numId="18" w16cid:durableId="1791435037">
    <w:abstractNumId w:val="0"/>
  </w:num>
  <w:num w:numId="19" w16cid:durableId="991569723">
    <w:abstractNumId w:val="12"/>
  </w:num>
  <w:num w:numId="20" w16cid:durableId="289753742">
    <w:abstractNumId w:val="22"/>
  </w:num>
  <w:num w:numId="21" w16cid:durableId="172452047">
    <w:abstractNumId w:val="22"/>
  </w:num>
  <w:num w:numId="22" w16cid:durableId="127165328">
    <w:abstractNumId w:val="22"/>
  </w:num>
  <w:num w:numId="23" w16cid:durableId="578757951">
    <w:abstractNumId w:val="22"/>
  </w:num>
  <w:num w:numId="24" w16cid:durableId="1947686344">
    <w:abstractNumId w:val="18"/>
  </w:num>
  <w:num w:numId="25" w16cid:durableId="552424564">
    <w:abstractNumId w:val="19"/>
  </w:num>
  <w:num w:numId="26" w16cid:durableId="99032197">
    <w:abstractNumId w:val="23"/>
  </w:num>
  <w:num w:numId="27" w16cid:durableId="1858423388">
    <w:abstractNumId w:val="25"/>
  </w:num>
  <w:num w:numId="28" w16cid:durableId="1629701571">
    <w:abstractNumId w:val="22"/>
  </w:num>
  <w:num w:numId="29" w16cid:durableId="967590970">
    <w:abstractNumId w:val="13"/>
  </w:num>
  <w:num w:numId="30" w16cid:durableId="1563636606">
    <w:abstractNumId w:val="26"/>
  </w:num>
  <w:num w:numId="31" w16cid:durableId="1982999244">
    <w:abstractNumId w:val="16"/>
  </w:num>
  <w:num w:numId="32" w16cid:durableId="391663052">
    <w:abstractNumId w:val="20"/>
  </w:num>
  <w:num w:numId="33" w16cid:durableId="12897786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BD"/>
    <w:rsid w:val="00000CD8"/>
    <w:rsid w:val="00001899"/>
    <w:rsid w:val="00001E22"/>
    <w:rsid w:val="000031F9"/>
    <w:rsid w:val="000048BD"/>
    <w:rsid w:val="000049AD"/>
    <w:rsid w:val="0000681B"/>
    <w:rsid w:val="000133C0"/>
    <w:rsid w:val="00014C4E"/>
    <w:rsid w:val="00017107"/>
    <w:rsid w:val="000202E2"/>
    <w:rsid w:val="00022441"/>
    <w:rsid w:val="0002261E"/>
    <w:rsid w:val="00023594"/>
    <w:rsid w:val="00024839"/>
    <w:rsid w:val="00026871"/>
    <w:rsid w:val="00037A98"/>
    <w:rsid w:val="00037D4B"/>
    <w:rsid w:val="0004038B"/>
    <w:rsid w:val="000427FB"/>
    <w:rsid w:val="00042A19"/>
    <w:rsid w:val="0004455E"/>
    <w:rsid w:val="00047CB5"/>
    <w:rsid w:val="00050900"/>
    <w:rsid w:val="00051FAA"/>
    <w:rsid w:val="000572A9"/>
    <w:rsid w:val="00061325"/>
    <w:rsid w:val="00067E12"/>
    <w:rsid w:val="000733AC"/>
    <w:rsid w:val="00074B81"/>
    <w:rsid w:val="00074D22"/>
    <w:rsid w:val="00075081"/>
    <w:rsid w:val="0007528A"/>
    <w:rsid w:val="00075FFA"/>
    <w:rsid w:val="000811AB"/>
    <w:rsid w:val="00081D98"/>
    <w:rsid w:val="00083C5F"/>
    <w:rsid w:val="0009172C"/>
    <w:rsid w:val="000930EC"/>
    <w:rsid w:val="00095E61"/>
    <w:rsid w:val="000966C1"/>
    <w:rsid w:val="000970AC"/>
    <w:rsid w:val="000A1167"/>
    <w:rsid w:val="000A1523"/>
    <w:rsid w:val="000A4428"/>
    <w:rsid w:val="000A6D40"/>
    <w:rsid w:val="000A7BC3"/>
    <w:rsid w:val="000B1661"/>
    <w:rsid w:val="000B1F0B"/>
    <w:rsid w:val="000B2E88"/>
    <w:rsid w:val="000B4603"/>
    <w:rsid w:val="000C09BE"/>
    <w:rsid w:val="000C0B0C"/>
    <w:rsid w:val="000C136C"/>
    <w:rsid w:val="000C1380"/>
    <w:rsid w:val="000C554F"/>
    <w:rsid w:val="000D0DC5"/>
    <w:rsid w:val="000D15FF"/>
    <w:rsid w:val="000D28DF"/>
    <w:rsid w:val="000D488B"/>
    <w:rsid w:val="000D68DF"/>
    <w:rsid w:val="000D7379"/>
    <w:rsid w:val="000E03E0"/>
    <w:rsid w:val="000E138D"/>
    <w:rsid w:val="000E187A"/>
    <w:rsid w:val="000E2D61"/>
    <w:rsid w:val="000E450E"/>
    <w:rsid w:val="000E6259"/>
    <w:rsid w:val="000F4677"/>
    <w:rsid w:val="000F5BE0"/>
    <w:rsid w:val="00100587"/>
    <w:rsid w:val="00102156"/>
    <w:rsid w:val="0010284E"/>
    <w:rsid w:val="00103122"/>
    <w:rsid w:val="0010336A"/>
    <w:rsid w:val="001050F1"/>
    <w:rsid w:val="00105AEA"/>
    <w:rsid w:val="00106DAF"/>
    <w:rsid w:val="00114ABE"/>
    <w:rsid w:val="00114EAA"/>
    <w:rsid w:val="00116023"/>
    <w:rsid w:val="0011737B"/>
    <w:rsid w:val="0012232B"/>
    <w:rsid w:val="00126522"/>
    <w:rsid w:val="00134A51"/>
    <w:rsid w:val="00140727"/>
    <w:rsid w:val="00146D01"/>
    <w:rsid w:val="00146D70"/>
    <w:rsid w:val="00160628"/>
    <w:rsid w:val="00161344"/>
    <w:rsid w:val="00162195"/>
    <w:rsid w:val="0016322A"/>
    <w:rsid w:val="00165A21"/>
    <w:rsid w:val="001669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475F"/>
    <w:rsid w:val="001C5736"/>
    <w:rsid w:val="001D647F"/>
    <w:rsid w:val="001D6857"/>
    <w:rsid w:val="001E0572"/>
    <w:rsid w:val="001E0A67"/>
    <w:rsid w:val="001E1028"/>
    <w:rsid w:val="001E14E2"/>
    <w:rsid w:val="001E6302"/>
    <w:rsid w:val="001E7DCB"/>
    <w:rsid w:val="001F3411"/>
    <w:rsid w:val="001F4287"/>
    <w:rsid w:val="001F4DBA"/>
    <w:rsid w:val="00201C25"/>
    <w:rsid w:val="0020415E"/>
    <w:rsid w:val="00204FF4"/>
    <w:rsid w:val="0021056E"/>
    <w:rsid w:val="0021075D"/>
    <w:rsid w:val="002113FE"/>
    <w:rsid w:val="0021165A"/>
    <w:rsid w:val="00211BC9"/>
    <w:rsid w:val="0021620C"/>
    <w:rsid w:val="00216E78"/>
    <w:rsid w:val="00217275"/>
    <w:rsid w:val="002211DD"/>
    <w:rsid w:val="00227554"/>
    <w:rsid w:val="00236C01"/>
    <w:rsid w:val="00236F4B"/>
    <w:rsid w:val="00242847"/>
    <w:rsid w:val="00242B0D"/>
    <w:rsid w:val="002461A9"/>
    <w:rsid w:val="002467C6"/>
    <w:rsid w:val="0024692A"/>
    <w:rsid w:val="00252BBA"/>
    <w:rsid w:val="00253123"/>
    <w:rsid w:val="00264001"/>
    <w:rsid w:val="00266354"/>
    <w:rsid w:val="00267A18"/>
    <w:rsid w:val="00273462"/>
    <w:rsid w:val="0027395B"/>
    <w:rsid w:val="00274C7D"/>
    <w:rsid w:val="00275854"/>
    <w:rsid w:val="00283B41"/>
    <w:rsid w:val="00285F28"/>
    <w:rsid w:val="00286398"/>
    <w:rsid w:val="00290D94"/>
    <w:rsid w:val="002929AF"/>
    <w:rsid w:val="002A3C42"/>
    <w:rsid w:val="002A5D75"/>
    <w:rsid w:val="002B1B1A"/>
    <w:rsid w:val="002B7228"/>
    <w:rsid w:val="002C53EE"/>
    <w:rsid w:val="002D24F7"/>
    <w:rsid w:val="002D2799"/>
    <w:rsid w:val="002D2CD7"/>
    <w:rsid w:val="002D37D0"/>
    <w:rsid w:val="002D4DDC"/>
    <w:rsid w:val="002D4F75"/>
    <w:rsid w:val="002D6493"/>
    <w:rsid w:val="002D7AB6"/>
    <w:rsid w:val="002E06D0"/>
    <w:rsid w:val="002E3C27"/>
    <w:rsid w:val="002E403A"/>
    <w:rsid w:val="002E7F3A"/>
    <w:rsid w:val="002F3D43"/>
    <w:rsid w:val="002F4EDB"/>
    <w:rsid w:val="002F6054"/>
    <w:rsid w:val="002F671C"/>
    <w:rsid w:val="00300E57"/>
    <w:rsid w:val="00302C57"/>
    <w:rsid w:val="0030701E"/>
    <w:rsid w:val="00310E13"/>
    <w:rsid w:val="00311936"/>
    <w:rsid w:val="00315713"/>
    <w:rsid w:val="0031686C"/>
    <w:rsid w:val="00316FE0"/>
    <w:rsid w:val="0031737A"/>
    <w:rsid w:val="003204D2"/>
    <w:rsid w:val="0032536E"/>
    <w:rsid w:val="00325598"/>
    <w:rsid w:val="0032605E"/>
    <w:rsid w:val="003275D1"/>
    <w:rsid w:val="00327874"/>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4B2C"/>
    <w:rsid w:val="00366868"/>
    <w:rsid w:val="00367506"/>
    <w:rsid w:val="00367F27"/>
    <w:rsid w:val="00370085"/>
    <w:rsid w:val="0037020A"/>
    <w:rsid w:val="00371125"/>
    <w:rsid w:val="003744A7"/>
    <w:rsid w:val="00376235"/>
    <w:rsid w:val="00381FB6"/>
    <w:rsid w:val="003836D3"/>
    <w:rsid w:val="00383A52"/>
    <w:rsid w:val="00391652"/>
    <w:rsid w:val="0039507F"/>
    <w:rsid w:val="003A1260"/>
    <w:rsid w:val="003A295F"/>
    <w:rsid w:val="003A41DD"/>
    <w:rsid w:val="003A7033"/>
    <w:rsid w:val="003B2D7C"/>
    <w:rsid w:val="003B47FE"/>
    <w:rsid w:val="003B5162"/>
    <w:rsid w:val="003B5673"/>
    <w:rsid w:val="003B6287"/>
    <w:rsid w:val="003B62C9"/>
    <w:rsid w:val="003C1BC8"/>
    <w:rsid w:val="003C7176"/>
    <w:rsid w:val="003D0929"/>
    <w:rsid w:val="003D4729"/>
    <w:rsid w:val="003D7DD6"/>
    <w:rsid w:val="003E5AAF"/>
    <w:rsid w:val="003E600D"/>
    <w:rsid w:val="003E64DF"/>
    <w:rsid w:val="003E6A5D"/>
    <w:rsid w:val="003F193A"/>
    <w:rsid w:val="003F4207"/>
    <w:rsid w:val="003F5C46"/>
    <w:rsid w:val="003F7CBB"/>
    <w:rsid w:val="003F7D34"/>
    <w:rsid w:val="00402094"/>
    <w:rsid w:val="00412C8E"/>
    <w:rsid w:val="004141C3"/>
    <w:rsid w:val="0041518D"/>
    <w:rsid w:val="0042221D"/>
    <w:rsid w:val="00424DD3"/>
    <w:rsid w:val="004269C5"/>
    <w:rsid w:val="004314E4"/>
    <w:rsid w:val="00433CA2"/>
    <w:rsid w:val="00435939"/>
    <w:rsid w:val="00437CC7"/>
    <w:rsid w:val="00442B9C"/>
    <w:rsid w:val="00445EFA"/>
    <w:rsid w:val="0044738A"/>
    <w:rsid w:val="004473D3"/>
    <w:rsid w:val="00450E4C"/>
    <w:rsid w:val="00451875"/>
    <w:rsid w:val="00452231"/>
    <w:rsid w:val="00460C13"/>
    <w:rsid w:val="00463228"/>
    <w:rsid w:val="00463782"/>
    <w:rsid w:val="004649EE"/>
    <w:rsid w:val="004667E0"/>
    <w:rsid w:val="0046760E"/>
    <w:rsid w:val="00470DD1"/>
    <w:rsid w:val="00470E10"/>
    <w:rsid w:val="00477A97"/>
    <w:rsid w:val="00481343"/>
    <w:rsid w:val="00483ECE"/>
    <w:rsid w:val="0048549E"/>
    <w:rsid w:val="00491D56"/>
    <w:rsid w:val="004930C6"/>
    <w:rsid w:val="00493347"/>
    <w:rsid w:val="00495B91"/>
    <w:rsid w:val="00496092"/>
    <w:rsid w:val="004A08DB"/>
    <w:rsid w:val="004A19B8"/>
    <w:rsid w:val="004A1A52"/>
    <w:rsid w:val="004A25D0"/>
    <w:rsid w:val="004A2D9D"/>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28E"/>
    <w:rsid w:val="004F4E46"/>
    <w:rsid w:val="004F6096"/>
    <w:rsid w:val="004F672D"/>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1E2A"/>
    <w:rsid w:val="00584270"/>
    <w:rsid w:val="00584738"/>
    <w:rsid w:val="005920B0"/>
    <w:rsid w:val="0059380D"/>
    <w:rsid w:val="00595A8F"/>
    <w:rsid w:val="005977C2"/>
    <w:rsid w:val="00597BF2"/>
    <w:rsid w:val="005A1F54"/>
    <w:rsid w:val="005A3020"/>
    <w:rsid w:val="005B134E"/>
    <w:rsid w:val="005B2039"/>
    <w:rsid w:val="005B344F"/>
    <w:rsid w:val="005B3FBA"/>
    <w:rsid w:val="005B49A8"/>
    <w:rsid w:val="005B4A1D"/>
    <w:rsid w:val="005B674D"/>
    <w:rsid w:val="005C056D"/>
    <w:rsid w:val="005C0CBE"/>
    <w:rsid w:val="005C0E00"/>
    <w:rsid w:val="005C1FCF"/>
    <w:rsid w:val="005C3F41"/>
    <w:rsid w:val="005C49D8"/>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1EDF"/>
    <w:rsid w:val="00642629"/>
    <w:rsid w:val="0064782B"/>
    <w:rsid w:val="0065293D"/>
    <w:rsid w:val="00653EFC"/>
    <w:rsid w:val="00654021"/>
    <w:rsid w:val="00661045"/>
    <w:rsid w:val="00661326"/>
    <w:rsid w:val="00661450"/>
    <w:rsid w:val="0066671B"/>
    <w:rsid w:val="00666DA8"/>
    <w:rsid w:val="00671057"/>
    <w:rsid w:val="00671F75"/>
    <w:rsid w:val="00675AAF"/>
    <w:rsid w:val="0068031A"/>
    <w:rsid w:val="00681B2F"/>
    <w:rsid w:val="0068335F"/>
    <w:rsid w:val="00687217"/>
    <w:rsid w:val="00693302"/>
    <w:rsid w:val="0069640B"/>
    <w:rsid w:val="0069784C"/>
    <w:rsid w:val="006A1B83"/>
    <w:rsid w:val="006A21CD"/>
    <w:rsid w:val="006A5918"/>
    <w:rsid w:val="006B05F9"/>
    <w:rsid w:val="006B21B2"/>
    <w:rsid w:val="006B4A4A"/>
    <w:rsid w:val="006C19B2"/>
    <w:rsid w:val="006C24C9"/>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6B55"/>
    <w:rsid w:val="006F788D"/>
    <w:rsid w:val="006F78E1"/>
    <w:rsid w:val="00700303"/>
    <w:rsid w:val="00701072"/>
    <w:rsid w:val="00702054"/>
    <w:rsid w:val="007035A4"/>
    <w:rsid w:val="00711799"/>
    <w:rsid w:val="00712B78"/>
    <w:rsid w:val="0071393B"/>
    <w:rsid w:val="00713EE2"/>
    <w:rsid w:val="00716EF8"/>
    <w:rsid w:val="007177FC"/>
    <w:rsid w:val="00720C5E"/>
    <w:rsid w:val="00721701"/>
    <w:rsid w:val="00726F2A"/>
    <w:rsid w:val="00731835"/>
    <w:rsid w:val="007341F8"/>
    <w:rsid w:val="00734372"/>
    <w:rsid w:val="00734EB8"/>
    <w:rsid w:val="00735F8B"/>
    <w:rsid w:val="0074090B"/>
    <w:rsid w:val="00742D1F"/>
    <w:rsid w:val="00743EBA"/>
    <w:rsid w:val="00744C8E"/>
    <w:rsid w:val="0074707E"/>
    <w:rsid w:val="007516DC"/>
    <w:rsid w:val="00752E58"/>
    <w:rsid w:val="00754B80"/>
    <w:rsid w:val="00755877"/>
    <w:rsid w:val="00757CE9"/>
    <w:rsid w:val="00761918"/>
    <w:rsid w:val="00762F03"/>
    <w:rsid w:val="0076413B"/>
    <w:rsid w:val="007648AE"/>
    <w:rsid w:val="00764BF8"/>
    <w:rsid w:val="0076514D"/>
    <w:rsid w:val="00773D59"/>
    <w:rsid w:val="007763E7"/>
    <w:rsid w:val="00781003"/>
    <w:rsid w:val="00781A08"/>
    <w:rsid w:val="007911FD"/>
    <w:rsid w:val="00793930"/>
    <w:rsid w:val="00793DD1"/>
    <w:rsid w:val="00794FEC"/>
    <w:rsid w:val="007A003E"/>
    <w:rsid w:val="007A0DB6"/>
    <w:rsid w:val="007A1965"/>
    <w:rsid w:val="007A2ED1"/>
    <w:rsid w:val="007A4BE6"/>
    <w:rsid w:val="007B0DC6"/>
    <w:rsid w:val="007B1094"/>
    <w:rsid w:val="007B1762"/>
    <w:rsid w:val="007B3320"/>
    <w:rsid w:val="007C01DC"/>
    <w:rsid w:val="007C0B4F"/>
    <w:rsid w:val="007C301F"/>
    <w:rsid w:val="007C4540"/>
    <w:rsid w:val="007C65AF"/>
    <w:rsid w:val="007D135D"/>
    <w:rsid w:val="007D730F"/>
    <w:rsid w:val="007D7CD8"/>
    <w:rsid w:val="007E1ED0"/>
    <w:rsid w:val="007E3AA7"/>
    <w:rsid w:val="007F5656"/>
    <w:rsid w:val="007F737D"/>
    <w:rsid w:val="0080308E"/>
    <w:rsid w:val="00805303"/>
    <w:rsid w:val="00806705"/>
    <w:rsid w:val="00806738"/>
    <w:rsid w:val="008131B3"/>
    <w:rsid w:val="00816252"/>
    <w:rsid w:val="008216D5"/>
    <w:rsid w:val="008241A8"/>
    <w:rsid w:val="008249CE"/>
    <w:rsid w:val="00831A50"/>
    <w:rsid w:val="00831B3C"/>
    <w:rsid w:val="00831C89"/>
    <w:rsid w:val="00832114"/>
    <w:rsid w:val="00834C46"/>
    <w:rsid w:val="0084093E"/>
    <w:rsid w:val="00841CE1"/>
    <w:rsid w:val="008451D3"/>
    <w:rsid w:val="008473D8"/>
    <w:rsid w:val="00850DBE"/>
    <w:rsid w:val="008528DC"/>
    <w:rsid w:val="00852B8C"/>
    <w:rsid w:val="00854981"/>
    <w:rsid w:val="008552C0"/>
    <w:rsid w:val="00864B2E"/>
    <w:rsid w:val="00865963"/>
    <w:rsid w:val="00871C1D"/>
    <w:rsid w:val="0087450E"/>
    <w:rsid w:val="00875A82"/>
    <w:rsid w:val="00876CA3"/>
    <w:rsid w:val="008772FE"/>
    <w:rsid w:val="008775F1"/>
    <w:rsid w:val="008821AE"/>
    <w:rsid w:val="00883D3A"/>
    <w:rsid w:val="00884BFD"/>
    <w:rsid w:val="008854F7"/>
    <w:rsid w:val="00885A9D"/>
    <w:rsid w:val="00890001"/>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6087"/>
    <w:rsid w:val="008E7123"/>
    <w:rsid w:val="008E758D"/>
    <w:rsid w:val="008F059E"/>
    <w:rsid w:val="008F10A7"/>
    <w:rsid w:val="008F755D"/>
    <w:rsid w:val="008F7A39"/>
    <w:rsid w:val="009021E8"/>
    <w:rsid w:val="009022AF"/>
    <w:rsid w:val="00904677"/>
    <w:rsid w:val="00905EE2"/>
    <w:rsid w:val="00911440"/>
    <w:rsid w:val="00911712"/>
    <w:rsid w:val="00911B27"/>
    <w:rsid w:val="009170BE"/>
    <w:rsid w:val="00917FE5"/>
    <w:rsid w:val="00920B55"/>
    <w:rsid w:val="009262C9"/>
    <w:rsid w:val="00927066"/>
    <w:rsid w:val="00930EB9"/>
    <w:rsid w:val="00933DC7"/>
    <w:rsid w:val="00937B86"/>
    <w:rsid w:val="009418F4"/>
    <w:rsid w:val="00942BBC"/>
    <w:rsid w:val="00944180"/>
    <w:rsid w:val="00944AA0"/>
    <w:rsid w:val="009471C7"/>
    <w:rsid w:val="00947DA2"/>
    <w:rsid w:val="00951177"/>
    <w:rsid w:val="0096630C"/>
    <w:rsid w:val="009673E8"/>
    <w:rsid w:val="0097346F"/>
    <w:rsid w:val="00974DB8"/>
    <w:rsid w:val="00980661"/>
    <w:rsid w:val="0098093B"/>
    <w:rsid w:val="00984F3B"/>
    <w:rsid w:val="009855DC"/>
    <w:rsid w:val="009876D4"/>
    <w:rsid w:val="009914A5"/>
    <w:rsid w:val="0099548E"/>
    <w:rsid w:val="00996456"/>
    <w:rsid w:val="00996A12"/>
    <w:rsid w:val="00997B0F"/>
    <w:rsid w:val="009A0CC3"/>
    <w:rsid w:val="009A1CAD"/>
    <w:rsid w:val="009A3440"/>
    <w:rsid w:val="009A5832"/>
    <w:rsid w:val="009A6838"/>
    <w:rsid w:val="009B24B5"/>
    <w:rsid w:val="009B2E49"/>
    <w:rsid w:val="009B4EBC"/>
    <w:rsid w:val="009B5ABB"/>
    <w:rsid w:val="009B73CE"/>
    <w:rsid w:val="009C2461"/>
    <w:rsid w:val="009C5A15"/>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9D4"/>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4F4B"/>
    <w:rsid w:val="00A452E0"/>
    <w:rsid w:val="00A506DF"/>
    <w:rsid w:val="00A51EA5"/>
    <w:rsid w:val="00A53742"/>
    <w:rsid w:val="00A557A1"/>
    <w:rsid w:val="00A56F5E"/>
    <w:rsid w:val="00A57305"/>
    <w:rsid w:val="00A60BB4"/>
    <w:rsid w:val="00A63059"/>
    <w:rsid w:val="00A63AE3"/>
    <w:rsid w:val="00A651A4"/>
    <w:rsid w:val="00A71361"/>
    <w:rsid w:val="00A746E2"/>
    <w:rsid w:val="00A81FF2"/>
    <w:rsid w:val="00A82932"/>
    <w:rsid w:val="00A83904"/>
    <w:rsid w:val="00A90A79"/>
    <w:rsid w:val="00A96B30"/>
    <w:rsid w:val="00AA442D"/>
    <w:rsid w:val="00AA59B5"/>
    <w:rsid w:val="00AA5C06"/>
    <w:rsid w:val="00AA7777"/>
    <w:rsid w:val="00AA7B84"/>
    <w:rsid w:val="00AC0B4C"/>
    <w:rsid w:val="00AC1164"/>
    <w:rsid w:val="00AC2296"/>
    <w:rsid w:val="00AC2754"/>
    <w:rsid w:val="00AC37B5"/>
    <w:rsid w:val="00AC48B0"/>
    <w:rsid w:val="00AC4ACD"/>
    <w:rsid w:val="00AC5DFB"/>
    <w:rsid w:val="00AD0929"/>
    <w:rsid w:val="00AD13DC"/>
    <w:rsid w:val="00AD38C5"/>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63B0"/>
    <w:rsid w:val="00B07013"/>
    <w:rsid w:val="00B077FA"/>
    <w:rsid w:val="00B127D7"/>
    <w:rsid w:val="00B13B0C"/>
    <w:rsid w:val="00B14379"/>
    <w:rsid w:val="00B14408"/>
    <w:rsid w:val="00B1453A"/>
    <w:rsid w:val="00B16737"/>
    <w:rsid w:val="00B20F82"/>
    <w:rsid w:val="00B21390"/>
    <w:rsid w:val="00B23A91"/>
    <w:rsid w:val="00B25BD5"/>
    <w:rsid w:val="00B34079"/>
    <w:rsid w:val="00B3793A"/>
    <w:rsid w:val="00B401BA"/>
    <w:rsid w:val="00B407E4"/>
    <w:rsid w:val="00B425B6"/>
    <w:rsid w:val="00B42A72"/>
    <w:rsid w:val="00B441AE"/>
    <w:rsid w:val="00B45A65"/>
    <w:rsid w:val="00B45F33"/>
    <w:rsid w:val="00B46D50"/>
    <w:rsid w:val="00B53170"/>
    <w:rsid w:val="00B53C06"/>
    <w:rsid w:val="00B548B9"/>
    <w:rsid w:val="00B56DBE"/>
    <w:rsid w:val="00B62999"/>
    <w:rsid w:val="00B632D4"/>
    <w:rsid w:val="00B63BE3"/>
    <w:rsid w:val="00B64885"/>
    <w:rsid w:val="00B64FA3"/>
    <w:rsid w:val="00B66810"/>
    <w:rsid w:val="00B72BE3"/>
    <w:rsid w:val="00B73B80"/>
    <w:rsid w:val="00B770C7"/>
    <w:rsid w:val="00B80F26"/>
    <w:rsid w:val="00B822BD"/>
    <w:rsid w:val="00B842F4"/>
    <w:rsid w:val="00B91A7B"/>
    <w:rsid w:val="00B929DD"/>
    <w:rsid w:val="00B93AF6"/>
    <w:rsid w:val="00B95405"/>
    <w:rsid w:val="00B963F1"/>
    <w:rsid w:val="00BA020A"/>
    <w:rsid w:val="00BA1007"/>
    <w:rsid w:val="00BB025A"/>
    <w:rsid w:val="00BB02A4"/>
    <w:rsid w:val="00BB1270"/>
    <w:rsid w:val="00BB1E44"/>
    <w:rsid w:val="00BB5267"/>
    <w:rsid w:val="00BB52B8"/>
    <w:rsid w:val="00BB59D8"/>
    <w:rsid w:val="00BB6433"/>
    <w:rsid w:val="00BB7E69"/>
    <w:rsid w:val="00BC0E51"/>
    <w:rsid w:val="00BC3C1F"/>
    <w:rsid w:val="00BC7CE7"/>
    <w:rsid w:val="00BD295E"/>
    <w:rsid w:val="00BD4664"/>
    <w:rsid w:val="00BE1193"/>
    <w:rsid w:val="00BE5510"/>
    <w:rsid w:val="00BF4849"/>
    <w:rsid w:val="00BF4EA7"/>
    <w:rsid w:val="00BF6525"/>
    <w:rsid w:val="00C00EDB"/>
    <w:rsid w:val="00C01419"/>
    <w:rsid w:val="00C02863"/>
    <w:rsid w:val="00C0383A"/>
    <w:rsid w:val="00C067FF"/>
    <w:rsid w:val="00C1212C"/>
    <w:rsid w:val="00C12862"/>
    <w:rsid w:val="00C13D28"/>
    <w:rsid w:val="00C14585"/>
    <w:rsid w:val="00C165A0"/>
    <w:rsid w:val="00C216CE"/>
    <w:rsid w:val="00C2184F"/>
    <w:rsid w:val="00C22A78"/>
    <w:rsid w:val="00C23C7E"/>
    <w:rsid w:val="00C246C5"/>
    <w:rsid w:val="00C25A82"/>
    <w:rsid w:val="00C30A2A"/>
    <w:rsid w:val="00C33993"/>
    <w:rsid w:val="00C35163"/>
    <w:rsid w:val="00C4069E"/>
    <w:rsid w:val="00C41ADC"/>
    <w:rsid w:val="00C42882"/>
    <w:rsid w:val="00C44149"/>
    <w:rsid w:val="00C44410"/>
    <w:rsid w:val="00C44A15"/>
    <w:rsid w:val="00C4630A"/>
    <w:rsid w:val="00C523F0"/>
    <w:rsid w:val="00C526D2"/>
    <w:rsid w:val="00C53A91"/>
    <w:rsid w:val="00C5794E"/>
    <w:rsid w:val="00C60968"/>
    <w:rsid w:val="00C62FA6"/>
    <w:rsid w:val="00C63D39"/>
    <w:rsid w:val="00C63EDD"/>
    <w:rsid w:val="00C65B36"/>
    <w:rsid w:val="00C65C45"/>
    <w:rsid w:val="00C7292E"/>
    <w:rsid w:val="00C74E88"/>
    <w:rsid w:val="00C80924"/>
    <w:rsid w:val="00C81D47"/>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372E"/>
    <w:rsid w:val="00CE4198"/>
    <w:rsid w:val="00CF0A1B"/>
    <w:rsid w:val="00CF19F6"/>
    <w:rsid w:val="00CF2F4F"/>
    <w:rsid w:val="00CF536D"/>
    <w:rsid w:val="00D023F0"/>
    <w:rsid w:val="00D02E9D"/>
    <w:rsid w:val="00D10CB8"/>
    <w:rsid w:val="00D12806"/>
    <w:rsid w:val="00D12D44"/>
    <w:rsid w:val="00D149EA"/>
    <w:rsid w:val="00D15018"/>
    <w:rsid w:val="00D154BF"/>
    <w:rsid w:val="00D158AC"/>
    <w:rsid w:val="00D1694C"/>
    <w:rsid w:val="00D20F5E"/>
    <w:rsid w:val="00D23B76"/>
    <w:rsid w:val="00D24B4A"/>
    <w:rsid w:val="00D32285"/>
    <w:rsid w:val="00D379A3"/>
    <w:rsid w:val="00D45FF3"/>
    <w:rsid w:val="00D50A95"/>
    <w:rsid w:val="00D512CF"/>
    <w:rsid w:val="00D5204C"/>
    <w:rsid w:val="00D528B9"/>
    <w:rsid w:val="00D53186"/>
    <w:rsid w:val="00D5487D"/>
    <w:rsid w:val="00D5786E"/>
    <w:rsid w:val="00D60140"/>
    <w:rsid w:val="00D6024A"/>
    <w:rsid w:val="00D608B5"/>
    <w:rsid w:val="00D64739"/>
    <w:rsid w:val="00D71F99"/>
    <w:rsid w:val="00D73CA4"/>
    <w:rsid w:val="00D73D71"/>
    <w:rsid w:val="00D74396"/>
    <w:rsid w:val="00D80284"/>
    <w:rsid w:val="00D81E86"/>
    <w:rsid w:val="00D81F71"/>
    <w:rsid w:val="00D85FE3"/>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5983"/>
    <w:rsid w:val="00DD72E9"/>
    <w:rsid w:val="00DD7605"/>
    <w:rsid w:val="00DE2020"/>
    <w:rsid w:val="00DE3476"/>
    <w:rsid w:val="00DE6F5C"/>
    <w:rsid w:val="00DE7115"/>
    <w:rsid w:val="00DE7BEA"/>
    <w:rsid w:val="00DF5B84"/>
    <w:rsid w:val="00DF5E6F"/>
    <w:rsid w:val="00DF6D5B"/>
    <w:rsid w:val="00DF771B"/>
    <w:rsid w:val="00DF7EE2"/>
    <w:rsid w:val="00E01BAA"/>
    <w:rsid w:val="00E0282A"/>
    <w:rsid w:val="00E02F9B"/>
    <w:rsid w:val="00E07E14"/>
    <w:rsid w:val="00E14F94"/>
    <w:rsid w:val="00E17336"/>
    <w:rsid w:val="00E17D15"/>
    <w:rsid w:val="00E2035D"/>
    <w:rsid w:val="00E21639"/>
    <w:rsid w:val="00E22B95"/>
    <w:rsid w:val="00E30331"/>
    <w:rsid w:val="00E30846"/>
    <w:rsid w:val="00E30BB8"/>
    <w:rsid w:val="00E31F9C"/>
    <w:rsid w:val="00E40157"/>
    <w:rsid w:val="00E40488"/>
    <w:rsid w:val="00E43218"/>
    <w:rsid w:val="00E50367"/>
    <w:rsid w:val="00E51ABA"/>
    <w:rsid w:val="00E524CB"/>
    <w:rsid w:val="00E63119"/>
    <w:rsid w:val="00E65456"/>
    <w:rsid w:val="00E65A91"/>
    <w:rsid w:val="00E66188"/>
    <w:rsid w:val="00E664FB"/>
    <w:rsid w:val="00E672F0"/>
    <w:rsid w:val="00E70373"/>
    <w:rsid w:val="00E72E40"/>
    <w:rsid w:val="00E73665"/>
    <w:rsid w:val="00E73999"/>
    <w:rsid w:val="00E73BDC"/>
    <w:rsid w:val="00E73E9E"/>
    <w:rsid w:val="00E81660"/>
    <w:rsid w:val="00E854FE"/>
    <w:rsid w:val="00E8756D"/>
    <w:rsid w:val="00E906CC"/>
    <w:rsid w:val="00E914FC"/>
    <w:rsid w:val="00E93596"/>
    <w:rsid w:val="00E939A0"/>
    <w:rsid w:val="00E97E4E"/>
    <w:rsid w:val="00EA1CC2"/>
    <w:rsid w:val="00EA2D76"/>
    <w:rsid w:val="00EA4644"/>
    <w:rsid w:val="00EA758A"/>
    <w:rsid w:val="00EB096F"/>
    <w:rsid w:val="00EB199F"/>
    <w:rsid w:val="00EB21A4"/>
    <w:rsid w:val="00EB2533"/>
    <w:rsid w:val="00EB27C4"/>
    <w:rsid w:val="00EB3DFE"/>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1ED"/>
    <w:rsid w:val="00F144D5"/>
    <w:rsid w:val="00F146F0"/>
    <w:rsid w:val="00F15039"/>
    <w:rsid w:val="00F20FF3"/>
    <w:rsid w:val="00F2190B"/>
    <w:rsid w:val="00F228B5"/>
    <w:rsid w:val="00F2389C"/>
    <w:rsid w:val="00F25972"/>
    <w:rsid w:val="00F25C67"/>
    <w:rsid w:val="00F2616D"/>
    <w:rsid w:val="00F30DFF"/>
    <w:rsid w:val="00F32B80"/>
    <w:rsid w:val="00F340EB"/>
    <w:rsid w:val="00F35285"/>
    <w:rsid w:val="00F41800"/>
    <w:rsid w:val="00F43B9D"/>
    <w:rsid w:val="00F44D5E"/>
    <w:rsid w:val="00F4731A"/>
    <w:rsid w:val="00F53A35"/>
    <w:rsid w:val="00F55A3D"/>
    <w:rsid w:val="00F5744B"/>
    <w:rsid w:val="00F61209"/>
    <w:rsid w:val="00F6259E"/>
    <w:rsid w:val="00F65DD4"/>
    <w:rsid w:val="00F672B2"/>
    <w:rsid w:val="00F72CD0"/>
    <w:rsid w:val="00F83973"/>
    <w:rsid w:val="00F87FA3"/>
    <w:rsid w:val="00F93D8C"/>
    <w:rsid w:val="00F976D8"/>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110CA"/>
  <w14:defaultImageDpi w14:val="330"/>
  <w15:docId w15:val="{A8F903A7-975A-4D38-B821-D2C831B5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Title">
    <w:name w:val="Title"/>
    <w:basedOn w:val="Normal"/>
    <w:next w:val="Normal"/>
    <w:link w:val="TitleChar"/>
    <w:uiPriority w:val="10"/>
    <w:qFormat/>
    <w:rsid w:val="000048BD"/>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0048BD"/>
    <w:rPr>
      <w:rFonts w:asciiTheme="majorHAnsi" w:eastAsiaTheme="majorEastAsia" w:hAnsiTheme="majorHAnsi" w:cstheme="majorBidi"/>
      <w:spacing w:val="-10"/>
      <w:kern w:val="28"/>
      <w:sz w:val="56"/>
      <w:szCs w:val="56"/>
      <w:lang w:eastAsia="en-US"/>
    </w:rPr>
  </w:style>
  <w:style w:type="character" w:styleId="Hyperlink">
    <w:name w:val="Hyperlink"/>
    <w:basedOn w:val="DefaultParagraphFont"/>
    <w:uiPriority w:val="99"/>
    <w:unhideWhenUsed/>
    <w:rsid w:val="000048BD"/>
    <w:rPr>
      <w:color w:val="0000FF" w:themeColor="hyperlink"/>
      <w:u w:val="single"/>
    </w:rPr>
  </w:style>
  <w:style w:type="character" w:customStyle="1" w:styleId="normaltextrun">
    <w:name w:val="normaltextrun"/>
    <w:basedOn w:val="DefaultParagraphFont"/>
    <w:rsid w:val="000048BD"/>
  </w:style>
  <w:style w:type="paragraph" w:styleId="NormalWeb">
    <w:name w:val="Normal (Web)"/>
    <w:basedOn w:val="Normal"/>
    <w:uiPriority w:val="99"/>
    <w:unhideWhenUsed/>
    <w:rsid w:val="00451875"/>
    <w:pPr>
      <w:spacing w:before="100" w:beforeAutospacing="1" w:after="100" w:afterAutospacing="1" w:line="240" w:lineRule="auto"/>
    </w:pPr>
  </w:style>
  <w:style w:type="character" w:customStyle="1" w:styleId="anchor-text">
    <w:name w:val="anchor-text"/>
    <w:basedOn w:val="DefaultParagraphFont"/>
    <w:rsid w:val="00451875"/>
  </w:style>
  <w:style w:type="paragraph" w:styleId="ListParagraph">
    <w:name w:val="List Paragraph"/>
    <w:basedOn w:val="Normal"/>
    <w:uiPriority w:val="34"/>
    <w:qFormat/>
    <w:rsid w:val="00451875"/>
    <w:pPr>
      <w:spacing w:after="160" w:line="288"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4518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5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48768">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S0145-2134(94)00138-3" TargetMode="External"/><Relationship Id="rId18" Type="http://schemas.openxmlformats.org/officeDocument/2006/relationships/hyperlink" Target="https://doi.org/10.1111/j.0956-7976.2004.00741.x" TargetMode="External"/><Relationship Id="rId26" Type="http://schemas.openxmlformats.org/officeDocument/2006/relationships/hyperlink" Target="https://psycnet.apa.org/doi/10.1037/0033-2909.114.1.3" TargetMode="External"/><Relationship Id="rId39" Type="http://schemas.openxmlformats.org/officeDocument/2006/relationships/hyperlink" Target="https://doi.org/10.1111/lcrp.12193" TargetMode="External"/><Relationship Id="rId21" Type="http://schemas.openxmlformats.org/officeDocument/2006/relationships/hyperlink" Target="https://psycnet.apa.org/doi/10.1080/1068316X.2010.535820" TargetMode="External"/><Relationship Id="rId34" Type="http://schemas.openxmlformats.org/officeDocument/2006/relationships/hyperlink" Target="https://psycnet.apa.org/doi/10.1080/03637759209376245" TargetMode="External"/><Relationship Id="rId42" Type="http://schemas.openxmlformats.org/officeDocument/2006/relationships/hyperlink" Target="https://doi.org/10.1097/00001756-200109170-00019" TargetMode="External"/><Relationship Id="rId47" Type="http://schemas.openxmlformats.org/officeDocument/2006/relationships/hyperlink" Target="https://psycnet.apa.org/doi/10.1037/1076-8971.11.1.3" TargetMode="External"/><Relationship Id="rId50" Type="http://schemas.openxmlformats.org/officeDocument/2006/relationships/hyperlink" Target="https://doi.org/10.1002/asi.20474"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dx.doi.org/10.1109/SPW.2012.29" TargetMode="External"/><Relationship Id="rId29" Type="http://schemas.openxmlformats.org/officeDocument/2006/relationships/hyperlink" Target="https://doi.org/10.1109/THS.2015.7446229" TargetMode="External"/><Relationship Id="rId11" Type="http://schemas.openxmlformats.org/officeDocument/2006/relationships/hyperlink" Target="mailto:ngmartlew@uclan.ac.uk" TargetMode="External"/><Relationship Id="rId24" Type="http://schemas.openxmlformats.org/officeDocument/2006/relationships/hyperlink" Target="https://doi.org/10.1080/01638530701739181" TargetMode="External"/><Relationship Id="rId32" Type="http://schemas.openxmlformats.org/officeDocument/2006/relationships/hyperlink" Target="https://doi.org/10.1080/10683160410001726356" TargetMode="External"/><Relationship Id="rId37" Type="http://schemas.openxmlformats.org/officeDocument/2006/relationships/hyperlink" Target="https://doi.org/10.1111/j.2044-8309.1997.tb01130.x" TargetMode="External"/><Relationship Id="rId40" Type="http://schemas.openxmlformats.org/officeDocument/2006/relationships/hyperlink" Target="https://doi.org/10.1037/lhb0000077" TargetMode="External"/><Relationship Id="rId45" Type="http://schemas.openxmlformats.org/officeDocument/2006/relationships/hyperlink" Target="https://doi.org/10.1111/lcrp.12214" TargetMode="External"/><Relationship Id="rId53" Type="http://schemas.openxmlformats.org/officeDocument/2006/relationships/image" Target="media/image3.png"/><Relationship Id="rId5" Type="http://schemas.openxmlformats.org/officeDocument/2006/relationships/numbering" Target="numbering.xml"/><Relationship Id="rId19" Type="http://schemas.openxmlformats.org/officeDocument/2006/relationships/hyperlink" Target="https://doi.org/10.1002/jip.14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207/s15327957pspr1003_2" TargetMode="External"/><Relationship Id="rId22" Type="http://schemas.openxmlformats.org/officeDocument/2006/relationships/hyperlink" Target="https://doi.org/10.1002/cpe.3243" TargetMode="External"/><Relationship Id="rId27" Type="http://schemas.openxmlformats.org/officeDocument/2006/relationships/hyperlink" Target="https://doi.org/10.1177/0261927X13502654" TargetMode="External"/><Relationship Id="rId30" Type="http://schemas.openxmlformats.org/officeDocument/2006/relationships/hyperlink" Target="http://dx.doi.org/10.18653/v1/N18-1176" TargetMode="External"/><Relationship Id="rId35" Type="http://schemas.openxmlformats.org/officeDocument/2006/relationships/hyperlink" Target="https://doi.org/10.1109/SPW.2014.38" TargetMode="External"/><Relationship Id="rId43" Type="http://schemas.openxmlformats.org/officeDocument/2006/relationships/hyperlink" Target="https://psycnet.apa.org/doi/10.1177/0261927X09351676" TargetMode="External"/><Relationship Id="rId48" Type="http://schemas.openxmlformats.org/officeDocument/2006/relationships/hyperlink" Target="https://doi.org/10.1002/jip.82"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hyperlink" Target="https://doi.org/10.1016/j.ijchp.2016.01.002" TargetMode="External"/><Relationship Id="rId17" Type="http://schemas.openxmlformats.org/officeDocument/2006/relationships/hyperlink" Target="http://dx.doi.org/10.1186/s13388-014-0008-2" TargetMode="External"/><Relationship Id="rId25" Type="http://schemas.openxmlformats.org/officeDocument/2006/relationships/hyperlink" Target="https://doi.org/10.1177/1088868314556539" TargetMode="External"/><Relationship Id="rId33" Type="http://schemas.openxmlformats.org/officeDocument/2006/relationships/hyperlink" Target="https://doi.org/10.1111/j.1467-9450.2011.00931.x" TargetMode="External"/><Relationship Id="rId38" Type="http://schemas.openxmlformats.org/officeDocument/2006/relationships/hyperlink" Target="http://dx.doi.org/10.1037/xap0000200" TargetMode="External"/><Relationship Id="rId46" Type="http://schemas.openxmlformats.org/officeDocument/2006/relationships/hyperlink" Target="https://doi.org/10.1177/09567976211015941" TargetMode="External"/><Relationship Id="rId20" Type="http://schemas.openxmlformats.org/officeDocument/2006/relationships/hyperlink" Target="https://doi.org/10.1177/00187208211068292" TargetMode="External"/><Relationship Id="rId41" Type="http://schemas.openxmlformats.org/officeDocument/2006/relationships/hyperlink" Target="https://doi.org/10.1016/S0167-4048(02)01009-X" TargetMode="External"/><Relationship Id="rId54"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i.org/10.1016/j.chb.2012.01.003" TargetMode="External"/><Relationship Id="rId23" Type="http://schemas.openxmlformats.org/officeDocument/2006/relationships/hyperlink" Target="https://psycnet.apa.org/doi/10.1037/a0032851" TargetMode="External"/><Relationship Id="rId28" Type="http://schemas.openxmlformats.org/officeDocument/2006/relationships/hyperlink" Target="https://doi.org/10.1007/BF01884022" TargetMode="External"/><Relationship Id="rId36" Type="http://schemas.openxmlformats.org/officeDocument/2006/relationships/hyperlink" Target="https://psycnet.apa.org/doi/10.1007/BF01498980" TargetMode="External"/><Relationship Id="rId49" Type="http://schemas.openxmlformats.org/officeDocument/2006/relationships/hyperlink" Target="https://doi.org/10.1111/j.1744-6570.2005.00484.x"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dx.doi.org/10.1007/978-3-540-74320-0_8" TargetMode="External"/><Relationship Id="rId44" Type="http://schemas.openxmlformats.org/officeDocument/2006/relationships/hyperlink" Target="https://psycnet.apa.org/doi/10.1037/lhb0000032" TargetMode="External"/><Relationship Id="rId5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artlew\AppData\Local\Temp\0e1b9659-90a6-4c21-83a4-cc2a7aae2b37_TF_Template_Word_Windows_2016.zip.b37\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2E9ACFA2CF9042AA186F8133239EA6" ma:contentTypeVersion="8" ma:contentTypeDescription="Create a new document." ma:contentTypeScope="" ma:versionID="49da65164a49aec4ab6e0bc9875f5237">
  <xsd:schema xmlns:xsd="http://www.w3.org/2001/XMLSchema" xmlns:xs="http://www.w3.org/2001/XMLSchema" xmlns:p="http://schemas.microsoft.com/office/2006/metadata/properties" xmlns:ns2="eb538c55-a5e6-4cdd-8bcd-2931844d7b90" xmlns:ns3="f1f0343c-b301-41c3-bc0f-cf15e6988904" targetNamespace="http://schemas.microsoft.com/office/2006/metadata/properties" ma:root="true" ma:fieldsID="758ced30e9944abe3292db2e1dca516c" ns2:_="" ns3:_="">
    <xsd:import namespace="eb538c55-a5e6-4cdd-8bcd-2931844d7b90"/>
    <xsd:import namespace="f1f0343c-b301-41c3-bc0f-cf15e69889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38c55-a5e6-4cdd-8bcd-2931844d7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f0343c-b301-41c3-bc0f-cf15e698890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2914E-4C3A-4163-A6C9-332A453E9DC3}">
  <ds:schemaRefs>
    <ds:schemaRef ds:uri="http://schemas.openxmlformats.org/officeDocument/2006/bibliography"/>
  </ds:schemaRefs>
</ds:datastoreItem>
</file>

<file path=customXml/itemProps2.xml><?xml version="1.0" encoding="utf-8"?>
<ds:datastoreItem xmlns:ds="http://schemas.openxmlformats.org/officeDocument/2006/customXml" ds:itemID="{9C1820D2-EBD2-4982-8242-083BEE01E50D}">
  <ds:schemaRefs>
    <ds:schemaRef ds:uri="http://schemas.microsoft.com/office/infopath/2007/PartnerControls"/>
    <ds:schemaRef ds:uri="http://schemas.microsoft.com/office/2006/metadata/properties"/>
    <ds:schemaRef ds:uri="eb538c55-a5e6-4cdd-8bcd-2931844d7b90"/>
    <ds:schemaRef ds:uri="f1f0343c-b301-41c3-bc0f-cf15e6988904"/>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www.w3.org/XML/1998/namespace"/>
  </ds:schemaRefs>
</ds:datastoreItem>
</file>

<file path=customXml/itemProps3.xml><?xml version="1.0" encoding="utf-8"?>
<ds:datastoreItem xmlns:ds="http://schemas.openxmlformats.org/officeDocument/2006/customXml" ds:itemID="{48205125-0080-4244-92BD-2642D986D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38c55-a5e6-4cdd-8bcd-2931844d7b90"/>
    <ds:schemaRef ds:uri="f1f0343c-b301-41c3-bc0f-cf15e6988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12759-D527-4DF1-8EBE-A79F9BC2E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1</TotalTime>
  <Pages>46</Pages>
  <Words>12004</Words>
  <Characters>68425</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80269</CharactersWithSpaces>
  <SharedDoc>false</SharedDoc>
  <HyperlinkBase/>
  <HLinks>
    <vt:vector size="240" baseType="variant">
      <vt:variant>
        <vt:i4>4784214</vt:i4>
      </vt:variant>
      <vt:variant>
        <vt:i4>117</vt:i4>
      </vt:variant>
      <vt:variant>
        <vt:i4>0</vt:i4>
      </vt:variant>
      <vt:variant>
        <vt:i4>5</vt:i4>
      </vt:variant>
      <vt:variant>
        <vt:lpwstr>https://doi.org/10.1002/asi.20474</vt:lpwstr>
      </vt:variant>
      <vt:variant>
        <vt:lpwstr/>
      </vt:variant>
      <vt:variant>
        <vt:i4>6094871</vt:i4>
      </vt:variant>
      <vt:variant>
        <vt:i4>114</vt:i4>
      </vt:variant>
      <vt:variant>
        <vt:i4>0</vt:i4>
      </vt:variant>
      <vt:variant>
        <vt:i4>5</vt:i4>
      </vt:variant>
      <vt:variant>
        <vt:lpwstr>https://doi.org/10.1111/j.1744-6570.2005.00484.x</vt:lpwstr>
      </vt:variant>
      <vt:variant>
        <vt:lpwstr/>
      </vt:variant>
      <vt:variant>
        <vt:i4>6684794</vt:i4>
      </vt:variant>
      <vt:variant>
        <vt:i4>111</vt:i4>
      </vt:variant>
      <vt:variant>
        <vt:i4>0</vt:i4>
      </vt:variant>
      <vt:variant>
        <vt:i4>5</vt:i4>
      </vt:variant>
      <vt:variant>
        <vt:lpwstr>https://doi.org/10.1002/jip.82</vt:lpwstr>
      </vt:variant>
      <vt:variant>
        <vt:lpwstr/>
      </vt:variant>
      <vt:variant>
        <vt:i4>92</vt:i4>
      </vt:variant>
      <vt:variant>
        <vt:i4>108</vt:i4>
      </vt:variant>
      <vt:variant>
        <vt:i4>0</vt:i4>
      </vt:variant>
      <vt:variant>
        <vt:i4>5</vt:i4>
      </vt:variant>
      <vt:variant>
        <vt:lpwstr>https://psycnet.apa.org/doi/10.1037/1076-8971.11.1.3</vt:lpwstr>
      </vt:variant>
      <vt:variant>
        <vt:lpwstr/>
      </vt:variant>
      <vt:variant>
        <vt:i4>1310802</vt:i4>
      </vt:variant>
      <vt:variant>
        <vt:i4>105</vt:i4>
      </vt:variant>
      <vt:variant>
        <vt:i4>0</vt:i4>
      </vt:variant>
      <vt:variant>
        <vt:i4>5</vt:i4>
      </vt:variant>
      <vt:variant>
        <vt:lpwstr>https://doi.org/10.1177/09567976211015941</vt:lpwstr>
      </vt:variant>
      <vt:variant>
        <vt:lpwstr/>
      </vt:variant>
      <vt:variant>
        <vt:i4>3539049</vt:i4>
      </vt:variant>
      <vt:variant>
        <vt:i4>102</vt:i4>
      </vt:variant>
      <vt:variant>
        <vt:i4>0</vt:i4>
      </vt:variant>
      <vt:variant>
        <vt:i4>5</vt:i4>
      </vt:variant>
      <vt:variant>
        <vt:lpwstr>https://doi.org/10.1111/lcrp.12214</vt:lpwstr>
      </vt:variant>
      <vt:variant>
        <vt:lpwstr/>
      </vt:variant>
      <vt:variant>
        <vt:i4>8257651</vt:i4>
      </vt:variant>
      <vt:variant>
        <vt:i4>99</vt:i4>
      </vt:variant>
      <vt:variant>
        <vt:i4>0</vt:i4>
      </vt:variant>
      <vt:variant>
        <vt:i4>5</vt:i4>
      </vt:variant>
      <vt:variant>
        <vt:lpwstr>https://psycnet.apa.org/doi/10.1037/lhb0000032</vt:lpwstr>
      </vt:variant>
      <vt:variant>
        <vt:lpwstr/>
      </vt:variant>
      <vt:variant>
        <vt:i4>5570626</vt:i4>
      </vt:variant>
      <vt:variant>
        <vt:i4>96</vt:i4>
      </vt:variant>
      <vt:variant>
        <vt:i4>0</vt:i4>
      </vt:variant>
      <vt:variant>
        <vt:i4>5</vt:i4>
      </vt:variant>
      <vt:variant>
        <vt:lpwstr>https://psycnet.apa.org/doi/10.1177/0261927X09351676</vt:lpwstr>
      </vt:variant>
      <vt:variant>
        <vt:lpwstr/>
      </vt:variant>
      <vt:variant>
        <vt:i4>1114199</vt:i4>
      </vt:variant>
      <vt:variant>
        <vt:i4>93</vt:i4>
      </vt:variant>
      <vt:variant>
        <vt:i4>0</vt:i4>
      </vt:variant>
      <vt:variant>
        <vt:i4>5</vt:i4>
      </vt:variant>
      <vt:variant>
        <vt:lpwstr>https://doi.org/10.1097/00001756-200109170-00019</vt:lpwstr>
      </vt:variant>
      <vt:variant>
        <vt:lpwstr/>
      </vt:variant>
      <vt:variant>
        <vt:i4>262154</vt:i4>
      </vt:variant>
      <vt:variant>
        <vt:i4>90</vt:i4>
      </vt:variant>
      <vt:variant>
        <vt:i4>0</vt:i4>
      </vt:variant>
      <vt:variant>
        <vt:i4>5</vt:i4>
      </vt:variant>
      <vt:variant>
        <vt:lpwstr>https://doi.org/10.1016/S0167-4048(02)01009-X</vt:lpwstr>
      </vt:variant>
      <vt:variant>
        <vt:lpwstr/>
      </vt:variant>
      <vt:variant>
        <vt:i4>8323172</vt:i4>
      </vt:variant>
      <vt:variant>
        <vt:i4>87</vt:i4>
      </vt:variant>
      <vt:variant>
        <vt:i4>0</vt:i4>
      </vt:variant>
      <vt:variant>
        <vt:i4>5</vt:i4>
      </vt:variant>
      <vt:variant>
        <vt:lpwstr>https://doi.org/10.1037/lhb0000077</vt:lpwstr>
      </vt:variant>
      <vt:variant>
        <vt:lpwstr/>
      </vt:variant>
      <vt:variant>
        <vt:i4>3276897</vt:i4>
      </vt:variant>
      <vt:variant>
        <vt:i4>84</vt:i4>
      </vt:variant>
      <vt:variant>
        <vt:i4>0</vt:i4>
      </vt:variant>
      <vt:variant>
        <vt:i4>5</vt:i4>
      </vt:variant>
      <vt:variant>
        <vt:lpwstr>https://doi.org/10.1111/lcrp.12193</vt:lpwstr>
      </vt:variant>
      <vt:variant>
        <vt:lpwstr/>
      </vt:variant>
      <vt:variant>
        <vt:i4>196692</vt:i4>
      </vt:variant>
      <vt:variant>
        <vt:i4>81</vt:i4>
      </vt:variant>
      <vt:variant>
        <vt:i4>0</vt:i4>
      </vt:variant>
      <vt:variant>
        <vt:i4>5</vt:i4>
      </vt:variant>
      <vt:variant>
        <vt:lpwstr>http://dx.doi.org/10.1037/xap0000200</vt:lpwstr>
      </vt:variant>
      <vt:variant>
        <vt:lpwstr/>
      </vt:variant>
      <vt:variant>
        <vt:i4>2949241</vt:i4>
      </vt:variant>
      <vt:variant>
        <vt:i4>78</vt:i4>
      </vt:variant>
      <vt:variant>
        <vt:i4>0</vt:i4>
      </vt:variant>
      <vt:variant>
        <vt:i4>5</vt:i4>
      </vt:variant>
      <vt:variant>
        <vt:lpwstr>https://doi.org/10.1111/j.2044-8309.1997.tb01130.x</vt:lpwstr>
      </vt:variant>
      <vt:variant>
        <vt:lpwstr/>
      </vt:variant>
      <vt:variant>
        <vt:i4>7340072</vt:i4>
      </vt:variant>
      <vt:variant>
        <vt:i4>75</vt:i4>
      </vt:variant>
      <vt:variant>
        <vt:i4>0</vt:i4>
      </vt:variant>
      <vt:variant>
        <vt:i4>5</vt:i4>
      </vt:variant>
      <vt:variant>
        <vt:lpwstr>https://psycnet.apa.org/doi/10.1007/BF01498980</vt:lpwstr>
      </vt:variant>
      <vt:variant>
        <vt:lpwstr/>
      </vt:variant>
      <vt:variant>
        <vt:i4>7995515</vt:i4>
      </vt:variant>
      <vt:variant>
        <vt:i4>72</vt:i4>
      </vt:variant>
      <vt:variant>
        <vt:i4>0</vt:i4>
      </vt:variant>
      <vt:variant>
        <vt:i4>5</vt:i4>
      </vt:variant>
      <vt:variant>
        <vt:lpwstr>https://doi.org/10.1109/SPW.2014.38</vt:lpwstr>
      </vt:variant>
      <vt:variant>
        <vt:lpwstr/>
      </vt:variant>
      <vt:variant>
        <vt:i4>1048643</vt:i4>
      </vt:variant>
      <vt:variant>
        <vt:i4>69</vt:i4>
      </vt:variant>
      <vt:variant>
        <vt:i4>0</vt:i4>
      </vt:variant>
      <vt:variant>
        <vt:i4>5</vt:i4>
      </vt:variant>
      <vt:variant>
        <vt:lpwstr>https://psycnet.apa.org/doi/10.1080/03637759209376245</vt:lpwstr>
      </vt:variant>
      <vt:variant>
        <vt:lpwstr/>
      </vt:variant>
      <vt:variant>
        <vt:i4>6029342</vt:i4>
      </vt:variant>
      <vt:variant>
        <vt:i4>66</vt:i4>
      </vt:variant>
      <vt:variant>
        <vt:i4>0</vt:i4>
      </vt:variant>
      <vt:variant>
        <vt:i4>5</vt:i4>
      </vt:variant>
      <vt:variant>
        <vt:lpwstr>https://doi.org/10.1111/j.1467-9450.2011.00931.x</vt:lpwstr>
      </vt:variant>
      <vt:variant>
        <vt:lpwstr/>
      </vt:variant>
      <vt:variant>
        <vt:i4>1376344</vt:i4>
      </vt:variant>
      <vt:variant>
        <vt:i4>63</vt:i4>
      </vt:variant>
      <vt:variant>
        <vt:i4>0</vt:i4>
      </vt:variant>
      <vt:variant>
        <vt:i4>5</vt:i4>
      </vt:variant>
      <vt:variant>
        <vt:lpwstr>https://doi.org/10.1080/10683160410001726356</vt:lpwstr>
      </vt:variant>
      <vt:variant>
        <vt:lpwstr/>
      </vt:variant>
      <vt:variant>
        <vt:i4>3735647</vt:i4>
      </vt:variant>
      <vt:variant>
        <vt:i4>60</vt:i4>
      </vt:variant>
      <vt:variant>
        <vt:i4>0</vt:i4>
      </vt:variant>
      <vt:variant>
        <vt:i4>5</vt:i4>
      </vt:variant>
      <vt:variant>
        <vt:lpwstr>http://dx.doi.org/10.1007/978-3-540-74320-0_8</vt:lpwstr>
      </vt:variant>
      <vt:variant>
        <vt:lpwstr/>
      </vt:variant>
      <vt:variant>
        <vt:i4>3866664</vt:i4>
      </vt:variant>
      <vt:variant>
        <vt:i4>57</vt:i4>
      </vt:variant>
      <vt:variant>
        <vt:i4>0</vt:i4>
      </vt:variant>
      <vt:variant>
        <vt:i4>5</vt:i4>
      </vt:variant>
      <vt:variant>
        <vt:lpwstr>http://dx.doi.org/10.18653/v1/N18-1176</vt:lpwstr>
      </vt:variant>
      <vt:variant>
        <vt:lpwstr/>
      </vt:variant>
      <vt:variant>
        <vt:i4>5767240</vt:i4>
      </vt:variant>
      <vt:variant>
        <vt:i4>54</vt:i4>
      </vt:variant>
      <vt:variant>
        <vt:i4>0</vt:i4>
      </vt:variant>
      <vt:variant>
        <vt:i4>5</vt:i4>
      </vt:variant>
      <vt:variant>
        <vt:lpwstr>https://doi.org/10.1109/THS.2015.7446229</vt:lpwstr>
      </vt:variant>
      <vt:variant>
        <vt:lpwstr/>
      </vt:variant>
      <vt:variant>
        <vt:i4>8257585</vt:i4>
      </vt:variant>
      <vt:variant>
        <vt:i4>51</vt:i4>
      </vt:variant>
      <vt:variant>
        <vt:i4>0</vt:i4>
      </vt:variant>
      <vt:variant>
        <vt:i4>5</vt:i4>
      </vt:variant>
      <vt:variant>
        <vt:lpwstr>https://doi.org/10.1007/BF01884022</vt:lpwstr>
      </vt:variant>
      <vt:variant>
        <vt:lpwstr/>
      </vt:variant>
      <vt:variant>
        <vt:i4>6029399</vt:i4>
      </vt:variant>
      <vt:variant>
        <vt:i4>48</vt:i4>
      </vt:variant>
      <vt:variant>
        <vt:i4>0</vt:i4>
      </vt:variant>
      <vt:variant>
        <vt:i4>5</vt:i4>
      </vt:variant>
      <vt:variant>
        <vt:lpwstr>https://doi.org/10.1177/0261927X13502654</vt:lpwstr>
      </vt:variant>
      <vt:variant>
        <vt:lpwstr/>
      </vt:variant>
      <vt:variant>
        <vt:i4>655444</vt:i4>
      </vt:variant>
      <vt:variant>
        <vt:i4>45</vt:i4>
      </vt:variant>
      <vt:variant>
        <vt:i4>0</vt:i4>
      </vt:variant>
      <vt:variant>
        <vt:i4>5</vt:i4>
      </vt:variant>
      <vt:variant>
        <vt:lpwstr>https://psycnet.apa.org/doi/10.1037/0033-2909.114.1.3</vt:lpwstr>
      </vt:variant>
      <vt:variant>
        <vt:lpwstr/>
      </vt:variant>
      <vt:variant>
        <vt:i4>1310804</vt:i4>
      </vt:variant>
      <vt:variant>
        <vt:i4>42</vt:i4>
      </vt:variant>
      <vt:variant>
        <vt:i4>0</vt:i4>
      </vt:variant>
      <vt:variant>
        <vt:i4>5</vt:i4>
      </vt:variant>
      <vt:variant>
        <vt:lpwstr>https://doi.org/10.1177/1088868314556539</vt:lpwstr>
      </vt:variant>
      <vt:variant>
        <vt:lpwstr/>
      </vt:variant>
      <vt:variant>
        <vt:i4>1704019</vt:i4>
      </vt:variant>
      <vt:variant>
        <vt:i4>39</vt:i4>
      </vt:variant>
      <vt:variant>
        <vt:i4>0</vt:i4>
      </vt:variant>
      <vt:variant>
        <vt:i4>5</vt:i4>
      </vt:variant>
      <vt:variant>
        <vt:lpwstr>https://doi.org/10.1080/01638530701739181</vt:lpwstr>
      </vt:variant>
      <vt:variant>
        <vt:lpwstr/>
      </vt:variant>
      <vt:variant>
        <vt:i4>1966104</vt:i4>
      </vt:variant>
      <vt:variant>
        <vt:i4>36</vt:i4>
      </vt:variant>
      <vt:variant>
        <vt:i4>0</vt:i4>
      </vt:variant>
      <vt:variant>
        <vt:i4>5</vt:i4>
      </vt:variant>
      <vt:variant>
        <vt:lpwstr>https://psycnet.apa.org/doi/10.1037/a0032851</vt:lpwstr>
      </vt:variant>
      <vt:variant>
        <vt:lpwstr/>
      </vt:variant>
      <vt:variant>
        <vt:i4>4980825</vt:i4>
      </vt:variant>
      <vt:variant>
        <vt:i4>33</vt:i4>
      </vt:variant>
      <vt:variant>
        <vt:i4>0</vt:i4>
      </vt:variant>
      <vt:variant>
        <vt:i4>5</vt:i4>
      </vt:variant>
      <vt:variant>
        <vt:lpwstr>https://doi.org/10.1002/cpe.3243</vt:lpwstr>
      </vt:variant>
      <vt:variant>
        <vt:lpwstr/>
      </vt:variant>
      <vt:variant>
        <vt:i4>4718679</vt:i4>
      </vt:variant>
      <vt:variant>
        <vt:i4>30</vt:i4>
      </vt:variant>
      <vt:variant>
        <vt:i4>0</vt:i4>
      </vt:variant>
      <vt:variant>
        <vt:i4>5</vt:i4>
      </vt:variant>
      <vt:variant>
        <vt:lpwstr>https://psycnet.apa.org/doi/10.1080/1068316X.2010.535820</vt:lpwstr>
      </vt:variant>
      <vt:variant>
        <vt:lpwstr/>
      </vt:variant>
      <vt:variant>
        <vt:i4>1441885</vt:i4>
      </vt:variant>
      <vt:variant>
        <vt:i4>27</vt:i4>
      </vt:variant>
      <vt:variant>
        <vt:i4>0</vt:i4>
      </vt:variant>
      <vt:variant>
        <vt:i4>5</vt:i4>
      </vt:variant>
      <vt:variant>
        <vt:lpwstr>https://doi.org/10.1177/00187208211068292</vt:lpwstr>
      </vt:variant>
      <vt:variant>
        <vt:lpwstr/>
      </vt:variant>
      <vt:variant>
        <vt:i4>6291571</vt:i4>
      </vt:variant>
      <vt:variant>
        <vt:i4>24</vt:i4>
      </vt:variant>
      <vt:variant>
        <vt:i4>0</vt:i4>
      </vt:variant>
      <vt:variant>
        <vt:i4>5</vt:i4>
      </vt:variant>
      <vt:variant>
        <vt:lpwstr>https://doi.org/10.1002/jip.145</vt:lpwstr>
      </vt:variant>
      <vt:variant>
        <vt:lpwstr/>
      </vt:variant>
      <vt:variant>
        <vt:i4>5701649</vt:i4>
      </vt:variant>
      <vt:variant>
        <vt:i4>21</vt:i4>
      </vt:variant>
      <vt:variant>
        <vt:i4>0</vt:i4>
      </vt:variant>
      <vt:variant>
        <vt:i4>5</vt:i4>
      </vt:variant>
      <vt:variant>
        <vt:lpwstr>https://doi.org/10.1111/j.0956-7976.2004.00741.x</vt:lpwstr>
      </vt:variant>
      <vt:variant>
        <vt:lpwstr/>
      </vt:variant>
      <vt:variant>
        <vt:i4>7864365</vt:i4>
      </vt:variant>
      <vt:variant>
        <vt:i4>18</vt:i4>
      </vt:variant>
      <vt:variant>
        <vt:i4>0</vt:i4>
      </vt:variant>
      <vt:variant>
        <vt:i4>5</vt:i4>
      </vt:variant>
      <vt:variant>
        <vt:lpwstr>http://dx.doi.org/10.1186/s13388-014-0008-2</vt:lpwstr>
      </vt:variant>
      <vt:variant>
        <vt:lpwstr/>
      </vt:variant>
      <vt:variant>
        <vt:i4>852042</vt:i4>
      </vt:variant>
      <vt:variant>
        <vt:i4>15</vt:i4>
      </vt:variant>
      <vt:variant>
        <vt:i4>0</vt:i4>
      </vt:variant>
      <vt:variant>
        <vt:i4>5</vt:i4>
      </vt:variant>
      <vt:variant>
        <vt:lpwstr>http://dx.doi.org/10.1109/SPW.2012.29</vt:lpwstr>
      </vt:variant>
      <vt:variant>
        <vt:lpwstr/>
      </vt:variant>
      <vt:variant>
        <vt:i4>5636123</vt:i4>
      </vt:variant>
      <vt:variant>
        <vt:i4>12</vt:i4>
      </vt:variant>
      <vt:variant>
        <vt:i4>0</vt:i4>
      </vt:variant>
      <vt:variant>
        <vt:i4>5</vt:i4>
      </vt:variant>
      <vt:variant>
        <vt:lpwstr>https://doi.org/10.1016/j.chb.2012.01.003</vt:lpwstr>
      </vt:variant>
      <vt:variant>
        <vt:lpwstr/>
      </vt:variant>
      <vt:variant>
        <vt:i4>5046311</vt:i4>
      </vt:variant>
      <vt:variant>
        <vt:i4>9</vt:i4>
      </vt:variant>
      <vt:variant>
        <vt:i4>0</vt:i4>
      </vt:variant>
      <vt:variant>
        <vt:i4>5</vt:i4>
      </vt:variant>
      <vt:variant>
        <vt:lpwstr>https://doi.org/10.1207/s15327957pspr1003_2</vt:lpwstr>
      </vt:variant>
      <vt:variant>
        <vt:lpwstr/>
      </vt:variant>
      <vt:variant>
        <vt:i4>15</vt:i4>
      </vt:variant>
      <vt:variant>
        <vt:i4>6</vt:i4>
      </vt:variant>
      <vt:variant>
        <vt:i4>0</vt:i4>
      </vt:variant>
      <vt:variant>
        <vt:i4>5</vt:i4>
      </vt:variant>
      <vt:variant>
        <vt:lpwstr>https://doi.org/10.1016/S0145-2134(94)00138-3</vt:lpwstr>
      </vt:variant>
      <vt:variant>
        <vt:lpwstr/>
      </vt:variant>
      <vt:variant>
        <vt:i4>3670112</vt:i4>
      </vt:variant>
      <vt:variant>
        <vt:i4>3</vt:i4>
      </vt:variant>
      <vt:variant>
        <vt:i4>0</vt:i4>
      </vt:variant>
      <vt:variant>
        <vt:i4>5</vt:i4>
      </vt:variant>
      <vt:variant>
        <vt:lpwstr>https://doi.org/10.1016/j.ijchp.2016.01.002</vt:lpwstr>
      </vt:variant>
      <vt:variant>
        <vt:lpwstr/>
      </vt:variant>
      <vt:variant>
        <vt:i4>5963815</vt:i4>
      </vt:variant>
      <vt:variant>
        <vt:i4>0</vt:i4>
      </vt:variant>
      <vt:variant>
        <vt:i4>0</vt:i4>
      </vt:variant>
      <vt:variant>
        <vt:i4>5</vt:i4>
      </vt:variant>
      <vt:variant>
        <vt:lpwstr>mailto:ngmartlew@uclan.ac.uk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subject/>
  <dc:creator>NMartlew</dc:creator>
  <cp:keywords/>
  <cp:lastModifiedBy>Natasha Martlew (School of Engineering and Computing)</cp:lastModifiedBy>
  <cp:revision>2</cp:revision>
  <cp:lastPrinted>2011-07-22T22:54:00Z</cp:lastPrinted>
  <dcterms:created xsi:type="dcterms:W3CDTF">2025-01-29T16:24:00Z</dcterms:created>
  <dcterms:modified xsi:type="dcterms:W3CDTF">2025-01-29T16:24:00Z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0x010100852E9ACFA2CF9042AA186F8133239EA6</vt:lpwstr>
  </property>
</Properties>
</file>