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09AE4" w14:textId="5135084B" w:rsidR="00752739" w:rsidRPr="002347BC" w:rsidRDefault="00AA4F17" w:rsidP="002347BC">
      <w:pPr>
        <w:spacing w:line="480" w:lineRule="auto"/>
        <w:rPr>
          <w:rFonts w:ascii="Arial" w:hAnsi="Arial" w:cs="Arial"/>
          <w:b/>
          <w:sz w:val="22"/>
          <w:szCs w:val="22"/>
        </w:rPr>
      </w:pPr>
      <w:r>
        <w:rPr>
          <w:rFonts w:ascii="Arial" w:hAnsi="Arial" w:cs="Arial"/>
          <w:b/>
          <w:sz w:val="22"/>
          <w:szCs w:val="22"/>
        </w:rPr>
        <w:t xml:space="preserve">The </w:t>
      </w:r>
      <w:r w:rsidR="00C71E79">
        <w:rPr>
          <w:rFonts w:ascii="Arial" w:hAnsi="Arial" w:cs="Arial"/>
          <w:b/>
          <w:sz w:val="22"/>
          <w:szCs w:val="22"/>
        </w:rPr>
        <w:t xml:space="preserve">Increasing </w:t>
      </w:r>
      <w:r>
        <w:rPr>
          <w:rFonts w:ascii="Arial" w:hAnsi="Arial" w:cs="Arial"/>
          <w:b/>
          <w:sz w:val="22"/>
          <w:szCs w:val="22"/>
        </w:rPr>
        <w:t xml:space="preserve">Power of the </w:t>
      </w:r>
      <w:r w:rsidR="00C71E79">
        <w:rPr>
          <w:rFonts w:ascii="Arial" w:hAnsi="Arial" w:cs="Arial"/>
          <w:b/>
          <w:sz w:val="22"/>
          <w:szCs w:val="22"/>
        </w:rPr>
        <w:t xml:space="preserve">European </w:t>
      </w:r>
      <w:r w:rsidR="00806053">
        <w:rPr>
          <w:rFonts w:ascii="Arial" w:hAnsi="Arial" w:cs="Arial"/>
          <w:b/>
          <w:sz w:val="22"/>
          <w:szCs w:val="22"/>
        </w:rPr>
        <w:t>Parliament</w:t>
      </w:r>
      <w:r w:rsidR="004761B8">
        <w:rPr>
          <w:rFonts w:ascii="Arial" w:hAnsi="Arial" w:cs="Arial"/>
          <w:b/>
          <w:sz w:val="22"/>
          <w:szCs w:val="22"/>
        </w:rPr>
        <w:t xml:space="preserve">: </w:t>
      </w:r>
      <w:r w:rsidR="00B51400">
        <w:rPr>
          <w:rFonts w:ascii="Arial" w:hAnsi="Arial" w:cs="Arial"/>
          <w:b/>
          <w:sz w:val="22"/>
          <w:szCs w:val="22"/>
        </w:rPr>
        <w:t>Negotiating t</w:t>
      </w:r>
      <w:r w:rsidR="00752739" w:rsidRPr="002347BC">
        <w:rPr>
          <w:rFonts w:ascii="Arial" w:hAnsi="Arial" w:cs="Arial"/>
          <w:b/>
          <w:sz w:val="22"/>
          <w:szCs w:val="22"/>
        </w:rPr>
        <w:t>he</w:t>
      </w:r>
      <w:r w:rsidR="00C71E79">
        <w:rPr>
          <w:rFonts w:ascii="Arial" w:hAnsi="Arial" w:cs="Arial"/>
          <w:b/>
          <w:sz w:val="22"/>
          <w:szCs w:val="22"/>
        </w:rPr>
        <w:t xml:space="preserve"> EU-India Free Trade Agreement</w:t>
      </w:r>
    </w:p>
    <w:p w14:paraId="3CFEB54A" w14:textId="77777777" w:rsidR="00752739" w:rsidRDefault="00752739" w:rsidP="002347BC">
      <w:pPr>
        <w:spacing w:line="360" w:lineRule="auto"/>
        <w:rPr>
          <w:rFonts w:ascii="Arial" w:hAnsi="Arial" w:cs="Arial"/>
          <w:b/>
          <w:sz w:val="22"/>
          <w:szCs w:val="22"/>
        </w:rPr>
      </w:pPr>
    </w:p>
    <w:p w14:paraId="0F561B17" w14:textId="77777777" w:rsidR="002347BC" w:rsidRDefault="002347BC" w:rsidP="00C23944">
      <w:pPr>
        <w:spacing w:line="480" w:lineRule="auto"/>
        <w:jc w:val="both"/>
        <w:rPr>
          <w:rFonts w:ascii="Arial" w:hAnsi="Arial" w:cs="Arial"/>
          <w:b/>
          <w:sz w:val="20"/>
          <w:szCs w:val="20"/>
        </w:rPr>
      </w:pPr>
    </w:p>
    <w:p w14:paraId="486352D4" w14:textId="77777777" w:rsidR="00752739" w:rsidRPr="00C23944" w:rsidRDefault="00752739" w:rsidP="00C23944">
      <w:pPr>
        <w:spacing w:line="480" w:lineRule="auto"/>
        <w:jc w:val="both"/>
        <w:rPr>
          <w:rFonts w:ascii="Arial" w:hAnsi="Arial" w:cs="Arial"/>
          <w:b/>
          <w:sz w:val="20"/>
          <w:szCs w:val="20"/>
        </w:rPr>
      </w:pPr>
      <w:r w:rsidRPr="00C23944">
        <w:rPr>
          <w:rFonts w:ascii="Arial" w:hAnsi="Arial" w:cs="Arial"/>
          <w:b/>
          <w:sz w:val="20"/>
          <w:szCs w:val="20"/>
        </w:rPr>
        <w:t>Abstract</w:t>
      </w:r>
    </w:p>
    <w:p w14:paraId="40913972" w14:textId="53D06D4C" w:rsidR="00BD3CBD" w:rsidRDefault="00CC20B8" w:rsidP="00BD3CBD">
      <w:pPr>
        <w:spacing w:line="480" w:lineRule="auto"/>
        <w:jc w:val="both"/>
        <w:rPr>
          <w:rFonts w:ascii="Arial" w:hAnsi="Arial" w:cs="Arial"/>
          <w:sz w:val="20"/>
          <w:szCs w:val="20"/>
        </w:rPr>
      </w:pPr>
      <w:bookmarkStart w:id="0" w:name="_GoBack"/>
      <w:r>
        <w:rPr>
          <w:rFonts w:ascii="Arial" w:hAnsi="Arial" w:cs="Arial"/>
          <w:sz w:val="20"/>
          <w:szCs w:val="20"/>
        </w:rPr>
        <w:t>Since the Lisbon T</w:t>
      </w:r>
      <w:r w:rsidR="00BD3CBD">
        <w:rPr>
          <w:rFonts w:ascii="Arial" w:hAnsi="Arial" w:cs="Arial"/>
          <w:sz w:val="20"/>
          <w:szCs w:val="20"/>
        </w:rPr>
        <w:t xml:space="preserve">reaty </w:t>
      </w:r>
      <w:r>
        <w:rPr>
          <w:rFonts w:ascii="Arial" w:hAnsi="Arial" w:cs="Arial"/>
          <w:sz w:val="20"/>
          <w:szCs w:val="20"/>
        </w:rPr>
        <w:t xml:space="preserve">increased the legal role of the European Parliament </w:t>
      </w:r>
      <w:r w:rsidR="00A92B8F">
        <w:rPr>
          <w:rFonts w:ascii="Arial" w:hAnsi="Arial" w:cs="Arial"/>
          <w:sz w:val="20"/>
          <w:szCs w:val="20"/>
        </w:rPr>
        <w:t xml:space="preserve">(EP) </w:t>
      </w:r>
      <w:r>
        <w:rPr>
          <w:rFonts w:ascii="Arial" w:hAnsi="Arial" w:cs="Arial"/>
          <w:sz w:val="20"/>
          <w:szCs w:val="20"/>
        </w:rPr>
        <w:t xml:space="preserve">in EU trade </w:t>
      </w:r>
      <w:r w:rsidR="00E038D2">
        <w:rPr>
          <w:rFonts w:ascii="Arial" w:hAnsi="Arial" w:cs="Arial"/>
          <w:sz w:val="20"/>
          <w:szCs w:val="20"/>
        </w:rPr>
        <w:t>policy</w:t>
      </w:r>
      <w:r>
        <w:rPr>
          <w:rFonts w:ascii="Arial" w:hAnsi="Arial" w:cs="Arial"/>
          <w:sz w:val="20"/>
          <w:szCs w:val="20"/>
        </w:rPr>
        <w:t xml:space="preserve">, there has been a debate about the extent to which these legal competencies have translated into actual influence over the content and outcome of </w:t>
      </w:r>
      <w:r w:rsidR="00E038D2">
        <w:rPr>
          <w:rFonts w:ascii="Arial" w:hAnsi="Arial" w:cs="Arial"/>
          <w:sz w:val="20"/>
          <w:szCs w:val="20"/>
        </w:rPr>
        <w:t>EU trade negotiations.</w:t>
      </w:r>
      <w:r>
        <w:rPr>
          <w:rFonts w:ascii="Arial" w:hAnsi="Arial" w:cs="Arial"/>
          <w:sz w:val="20"/>
          <w:szCs w:val="20"/>
        </w:rPr>
        <w:t xml:space="preserve">  </w:t>
      </w:r>
      <w:r w:rsidR="00BD3CBD">
        <w:rPr>
          <w:rFonts w:ascii="Arial" w:hAnsi="Arial" w:cs="Arial"/>
          <w:sz w:val="20"/>
          <w:szCs w:val="20"/>
        </w:rPr>
        <w:t xml:space="preserve">Using </w:t>
      </w:r>
      <w:r>
        <w:rPr>
          <w:rFonts w:ascii="Arial" w:hAnsi="Arial" w:cs="Arial"/>
          <w:sz w:val="20"/>
          <w:szCs w:val="20"/>
        </w:rPr>
        <w:t xml:space="preserve">the case study of the on-going trade negotiations between the EU and India, this article argues that the impact </w:t>
      </w:r>
      <w:r w:rsidR="00C71E79">
        <w:rPr>
          <w:rFonts w:ascii="Arial" w:hAnsi="Arial" w:cs="Arial"/>
          <w:sz w:val="20"/>
          <w:szCs w:val="20"/>
        </w:rPr>
        <w:t xml:space="preserve">of the </w:t>
      </w:r>
      <w:r w:rsidR="00A92B8F">
        <w:rPr>
          <w:rFonts w:ascii="Arial" w:hAnsi="Arial" w:cs="Arial"/>
          <w:sz w:val="20"/>
          <w:szCs w:val="20"/>
        </w:rPr>
        <w:t>EP</w:t>
      </w:r>
      <w:r>
        <w:rPr>
          <w:rFonts w:ascii="Arial" w:hAnsi="Arial" w:cs="Arial"/>
          <w:sz w:val="20"/>
          <w:szCs w:val="20"/>
        </w:rPr>
        <w:t xml:space="preserve"> has indeed </w:t>
      </w:r>
      <w:r w:rsidR="00AD6416">
        <w:rPr>
          <w:rFonts w:ascii="Arial" w:hAnsi="Arial" w:cs="Arial"/>
          <w:sz w:val="20"/>
          <w:szCs w:val="20"/>
        </w:rPr>
        <w:t>been significant. Through two-level game analysis</w:t>
      </w:r>
      <w:r w:rsidR="00C71E79">
        <w:rPr>
          <w:rFonts w:ascii="Arial" w:hAnsi="Arial" w:cs="Arial"/>
          <w:sz w:val="20"/>
          <w:szCs w:val="20"/>
        </w:rPr>
        <w:t xml:space="preserve">, which </w:t>
      </w:r>
      <w:r w:rsidR="001A79EC">
        <w:rPr>
          <w:rFonts w:ascii="Arial" w:hAnsi="Arial" w:cs="Arial"/>
          <w:sz w:val="20"/>
          <w:szCs w:val="20"/>
        </w:rPr>
        <w:t>extends</w:t>
      </w:r>
      <w:r w:rsidR="00C71E79">
        <w:rPr>
          <w:rFonts w:ascii="Arial" w:hAnsi="Arial" w:cs="Arial"/>
          <w:sz w:val="20"/>
          <w:szCs w:val="20"/>
        </w:rPr>
        <w:t xml:space="preserve"> its domestic focus to include the </w:t>
      </w:r>
      <w:r w:rsidR="00A92B8F">
        <w:rPr>
          <w:rFonts w:ascii="Arial" w:hAnsi="Arial" w:cs="Arial"/>
          <w:sz w:val="20"/>
          <w:szCs w:val="20"/>
        </w:rPr>
        <w:t>EP</w:t>
      </w:r>
      <w:r w:rsidR="00C71E79">
        <w:rPr>
          <w:rFonts w:ascii="Arial" w:hAnsi="Arial" w:cs="Arial"/>
          <w:sz w:val="20"/>
          <w:szCs w:val="20"/>
        </w:rPr>
        <w:t xml:space="preserve"> as a domestic constituent, it demonstrates how the </w:t>
      </w:r>
      <w:r w:rsidR="00A92B8F">
        <w:rPr>
          <w:rFonts w:ascii="Arial" w:hAnsi="Arial" w:cs="Arial"/>
          <w:sz w:val="20"/>
          <w:szCs w:val="20"/>
        </w:rPr>
        <w:t>EP</w:t>
      </w:r>
      <w:r w:rsidR="00C71E79">
        <w:rPr>
          <w:rFonts w:ascii="Arial" w:hAnsi="Arial" w:cs="Arial"/>
          <w:sz w:val="20"/>
          <w:szCs w:val="20"/>
        </w:rPr>
        <w:t xml:space="preserve"> has affected the EU win-set in ways that have both hindered and facilitated agreement at the international level between the EU and India. It also shows h</w:t>
      </w:r>
      <w:r w:rsidR="00B6507C">
        <w:rPr>
          <w:rFonts w:ascii="Arial" w:hAnsi="Arial" w:cs="Arial"/>
          <w:sz w:val="20"/>
          <w:szCs w:val="20"/>
        </w:rPr>
        <w:t xml:space="preserve">ow the </w:t>
      </w:r>
      <w:r w:rsidR="00A92B8F">
        <w:rPr>
          <w:rFonts w:ascii="Arial" w:hAnsi="Arial" w:cs="Arial"/>
          <w:sz w:val="20"/>
          <w:szCs w:val="20"/>
        </w:rPr>
        <w:t>EP</w:t>
      </w:r>
      <w:r w:rsidR="00B6507C">
        <w:rPr>
          <w:rFonts w:ascii="Arial" w:hAnsi="Arial" w:cs="Arial"/>
          <w:sz w:val="20"/>
          <w:szCs w:val="20"/>
        </w:rPr>
        <w:t xml:space="preserve"> has affected the </w:t>
      </w:r>
      <w:r w:rsidR="00BD3CBD">
        <w:rPr>
          <w:rFonts w:ascii="Arial" w:hAnsi="Arial" w:cs="Arial"/>
          <w:sz w:val="20"/>
          <w:szCs w:val="20"/>
        </w:rPr>
        <w:t>negotiating dynamics</w:t>
      </w:r>
      <w:r w:rsidR="00790ACB">
        <w:rPr>
          <w:rFonts w:ascii="Arial" w:hAnsi="Arial" w:cs="Arial"/>
          <w:sz w:val="20"/>
          <w:szCs w:val="20"/>
        </w:rPr>
        <w:t xml:space="preserve"> </w:t>
      </w:r>
      <w:r w:rsidR="00BD3CBD">
        <w:rPr>
          <w:rFonts w:ascii="Arial" w:hAnsi="Arial" w:cs="Arial"/>
          <w:sz w:val="20"/>
          <w:szCs w:val="20"/>
        </w:rPr>
        <w:t>and how the</w:t>
      </w:r>
      <w:r w:rsidR="00790ACB">
        <w:rPr>
          <w:rFonts w:ascii="Arial" w:hAnsi="Arial" w:cs="Arial"/>
          <w:sz w:val="20"/>
          <w:szCs w:val="20"/>
        </w:rPr>
        <w:t xml:space="preserve"> EU negotiators have </w:t>
      </w:r>
      <w:r w:rsidR="00BD3CBD">
        <w:rPr>
          <w:rFonts w:ascii="Arial" w:hAnsi="Arial" w:cs="Arial"/>
          <w:sz w:val="20"/>
          <w:szCs w:val="20"/>
        </w:rPr>
        <w:t xml:space="preserve">had their preferences </w:t>
      </w:r>
      <w:r w:rsidR="00790ACB">
        <w:rPr>
          <w:rFonts w:ascii="Arial" w:hAnsi="Arial" w:cs="Arial"/>
          <w:sz w:val="20"/>
          <w:szCs w:val="20"/>
        </w:rPr>
        <w:t xml:space="preserve">somewhat </w:t>
      </w:r>
      <w:r w:rsidR="00BD3CBD">
        <w:rPr>
          <w:rFonts w:ascii="Arial" w:hAnsi="Arial" w:cs="Arial"/>
          <w:sz w:val="20"/>
          <w:szCs w:val="20"/>
        </w:rPr>
        <w:t xml:space="preserve">compromised by the </w:t>
      </w:r>
      <w:r w:rsidR="00A92B8F">
        <w:rPr>
          <w:rFonts w:ascii="Arial" w:hAnsi="Arial" w:cs="Arial"/>
          <w:sz w:val="20"/>
          <w:szCs w:val="20"/>
        </w:rPr>
        <w:t xml:space="preserve">EP </w:t>
      </w:r>
      <w:r w:rsidR="00BD3CBD">
        <w:rPr>
          <w:rFonts w:ascii="Arial" w:hAnsi="Arial" w:cs="Arial"/>
          <w:sz w:val="20"/>
          <w:szCs w:val="20"/>
        </w:rPr>
        <w:t xml:space="preserve">in their attempt at </w:t>
      </w:r>
      <w:r w:rsidR="00790ACB">
        <w:rPr>
          <w:rFonts w:ascii="Arial" w:hAnsi="Arial" w:cs="Arial"/>
          <w:sz w:val="20"/>
          <w:szCs w:val="20"/>
        </w:rPr>
        <w:t>reaching</w:t>
      </w:r>
      <w:r w:rsidR="00BD3CBD">
        <w:rPr>
          <w:rFonts w:ascii="Arial" w:hAnsi="Arial" w:cs="Arial"/>
          <w:sz w:val="20"/>
          <w:szCs w:val="20"/>
        </w:rPr>
        <w:t xml:space="preserve"> an agreement with India.</w:t>
      </w:r>
    </w:p>
    <w:bookmarkEnd w:id="0"/>
    <w:p w14:paraId="1E558E3A" w14:textId="77777777" w:rsidR="00BD3CBD" w:rsidRDefault="00BD3CBD" w:rsidP="00BD3CBD">
      <w:pPr>
        <w:spacing w:line="480" w:lineRule="auto"/>
        <w:jc w:val="both"/>
        <w:rPr>
          <w:rFonts w:ascii="Arial" w:hAnsi="Arial" w:cs="Arial"/>
          <w:sz w:val="20"/>
          <w:szCs w:val="20"/>
        </w:rPr>
      </w:pPr>
    </w:p>
    <w:p w14:paraId="21BBEEFC" w14:textId="77777777" w:rsidR="00027B4C" w:rsidRDefault="00027B4C" w:rsidP="004061C8">
      <w:pPr>
        <w:spacing w:line="480" w:lineRule="auto"/>
        <w:jc w:val="both"/>
        <w:rPr>
          <w:rFonts w:ascii="Arial" w:hAnsi="Arial" w:cs="Arial"/>
          <w:sz w:val="20"/>
          <w:szCs w:val="20"/>
        </w:rPr>
      </w:pPr>
    </w:p>
    <w:p w14:paraId="7644B907" w14:textId="321E2ADE" w:rsidR="00027B4C" w:rsidRPr="002347BC" w:rsidRDefault="00027B4C" w:rsidP="00027B4C">
      <w:pPr>
        <w:spacing w:line="480" w:lineRule="auto"/>
        <w:jc w:val="both"/>
        <w:rPr>
          <w:rFonts w:ascii="Arial" w:hAnsi="Arial" w:cs="Arial"/>
          <w:sz w:val="20"/>
          <w:szCs w:val="20"/>
        </w:rPr>
      </w:pPr>
      <w:r>
        <w:rPr>
          <w:rFonts w:ascii="Arial" w:hAnsi="Arial" w:cs="Arial"/>
          <w:b/>
          <w:sz w:val="20"/>
          <w:szCs w:val="20"/>
        </w:rPr>
        <w:t xml:space="preserve">Keywords: </w:t>
      </w:r>
      <w:r>
        <w:rPr>
          <w:rFonts w:ascii="Arial" w:hAnsi="Arial" w:cs="Arial"/>
          <w:sz w:val="20"/>
          <w:szCs w:val="20"/>
        </w:rPr>
        <w:t xml:space="preserve">European Union, </w:t>
      </w:r>
      <w:r w:rsidR="00A92B8F">
        <w:rPr>
          <w:rFonts w:ascii="Arial" w:hAnsi="Arial" w:cs="Arial"/>
          <w:sz w:val="20"/>
          <w:szCs w:val="20"/>
        </w:rPr>
        <w:t xml:space="preserve">European Parliament, </w:t>
      </w:r>
      <w:r>
        <w:rPr>
          <w:rFonts w:ascii="Arial" w:hAnsi="Arial" w:cs="Arial"/>
          <w:sz w:val="20"/>
          <w:szCs w:val="20"/>
        </w:rPr>
        <w:t>trade, negotiations, India, two</w:t>
      </w:r>
      <w:r w:rsidR="00A92B8F">
        <w:rPr>
          <w:rFonts w:ascii="Arial" w:hAnsi="Arial" w:cs="Arial"/>
          <w:sz w:val="20"/>
          <w:szCs w:val="20"/>
        </w:rPr>
        <w:t>-level game</w:t>
      </w:r>
    </w:p>
    <w:p w14:paraId="7CFAE2BB" w14:textId="77777777" w:rsidR="006B69E4" w:rsidRDefault="006B69E4" w:rsidP="004061C8">
      <w:pPr>
        <w:spacing w:line="480" w:lineRule="auto"/>
        <w:jc w:val="both"/>
        <w:rPr>
          <w:rFonts w:ascii="Arial" w:hAnsi="Arial" w:cs="Arial"/>
          <w:sz w:val="20"/>
          <w:szCs w:val="20"/>
        </w:rPr>
      </w:pPr>
    </w:p>
    <w:p w14:paraId="3FD91A11" w14:textId="77777777" w:rsidR="006B69E4" w:rsidRDefault="006B69E4" w:rsidP="004061C8">
      <w:pPr>
        <w:spacing w:line="480" w:lineRule="auto"/>
        <w:jc w:val="both"/>
        <w:rPr>
          <w:rFonts w:ascii="Arial" w:hAnsi="Arial" w:cs="Arial"/>
          <w:sz w:val="20"/>
          <w:szCs w:val="20"/>
        </w:rPr>
      </w:pPr>
    </w:p>
    <w:p w14:paraId="2B150E16" w14:textId="0E5DB0C3" w:rsidR="00BC2051" w:rsidRDefault="00BC2051">
      <w:pPr>
        <w:rPr>
          <w:rFonts w:ascii="Arial" w:hAnsi="Arial" w:cs="Arial"/>
          <w:sz w:val="20"/>
          <w:szCs w:val="20"/>
        </w:rPr>
      </w:pPr>
      <w:r>
        <w:rPr>
          <w:rFonts w:ascii="Arial" w:hAnsi="Arial" w:cs="Arial"/>
          <w:sz w:val="20"/>
          <w:szCs w:val="20"/>
        </w:rPr>
        <w:br w:type="page"/>
      </w:r>
    </w:p>
    <w:p w14:paraId="2FDAA441" w14:textId="77777777" w:rsidR="00CC6BA6" w:rsidRPr="00C23944" w:rsidRDefault="00027E83" w:rsidP="00C23944">
      <w:pPr>
        <w:spacing w:line="480" w:lineRule="auto"/>
        <w:jc w:val="both"/>
        <w:rPr>
          <w:rFonts w:ascii="Arial" w:hAnsi="Arial" w:cs="Arial"/>
          <w:b/>
          <w:sz w:val="20"/>
          <w:szCs w:val="20"/>
        </w:rPr>
      </w:pPr>
      <w:r w:rsidRPr="00C23944">
        <w:rPr>
          <w:rFonts w:ascii="Arial" w:hAnsi="Arial" w:cs="Arial"/>
          <w:b/>
          <w:sz w:val="20"/>
          <w:szCs w:val="20"/>
        </w:rPr>
        <w:lastRenderedPageBreak/>
        <w:t xml:space="preserve">1. </w:t>
      </w:r>
      <w:r w:rsidR="00F46D11" w:rsidRPr="00C23944">
        <w:rPr>
          <w:rFonts w:ascii="Arial" w:hAnsi="Arial" w:cs="Arial"/>
          <w:b/>
          <w:sz w:val="20"/>
          <w:szCs w:val="20"/>
        </w:rPr>
        <w:t>Introduction</w:t>
      </w:r>
    </w:p>
    <w:p w14:paraId="64E465F6" w14:textId="4EE539B1" w:rsidR="002D1255" w:rsidRDefault="002D1255" w:rsidP="002D1255">
      <w:pPr>
        <w:spacing w:line="480" w:lineRule="auto"/>
        <w:jc w:val="both"/>
        <w:rPr>
          <w:rFonts w:ascii="Arial" w:hAnsi="Arial" w:cs="Arial"/>
          <w:sz w:val="20"/>
          <w:szCs w:val="20"/>
        </w:rPr>
      </w:pPr>
      <w:r>
        <w:rPr>
          <w:rFonts w:ascii="Arial" w:hAnsi="Arial" w:cs="Arial"/>
          <w:sz w:val="20"/>
          <w:szCs w:val="20"/>
        </w:rPr>
        <w:t>S</w:t>
      </w:r>
      <w:r w:rsidRPr="00C23944">
        <w:rPr>
          <w:rFonts w:ascii="Arial" w:hAnsi="Arial" w:cs="Arial"/>
          <w:sz w:val="20"/>
          <w:szCs w:val="20"/>
        </w:rPr>
        <w:t xml:space="preserve">ince 2007 the European Union (EU) has been engaged in negotiations with India to conclude a free trade agreement (FTA), the so-called Broad-based Trade and Investment Agreement (BTIA).  </w:t>
      </w:r>
      <w:r>
        <w:rPr>
          <w:rFonts w:ascii="Arial" w:hAnsi="Arial" w:cs="Arial"/>
          <w:sz w:val="20"/>
          <w:szCs w:val="20"/>
        </w:rPr>
        <w:t>B</w:t>
      </w:r>
      <w:r w:rsidRPr="00C23944">
        <w:rPr>
          <w:rFonts w:ascii="Arial" w:hAnsi="Arial" w:cs="Arial"/>
          <w:sz w:val="20"/>
          <w:szCs w:val="20"/>
        </w:rPr>
        <w:t>TIA is motivated by the EU’s need to improve its competitiveness and aim to gain increased market access in Asia, and by India’s desire to continue its gr</w:t>
      </w:r>
      <w:r>
        <w:rPr>
          <w:rFonts w:ascii="Arial" w:hAnsi="Arial" w:cs="Arial"/>
          <w:sz w:val="20"/>
          <w:szCs w:val="20"/>
        </w:rPr>
        <w:t>adual process of liberaliz</w:t>
      </w:r>
      <w:r w:rsidRPr="00C23944">
        <w:rPr>
          <w:rFonts w:ascii="Arial" w:hAnsi="Arial" w:cs="Arial"/>
          <w:sz w:val="20"/>
          <w:szCs w:val="20"/>
        </w:rPr>
        <w:t>ation</w:t>
      </w:r>
      <w:r>
        <w:rPr>
          <w:rFonts w:ascii="Arial" w:hAnsi="Arial" w:cs="Arial"/>
          <w:sz w:val="20"/>
          <w:szCs w:val="20"/>
        </w:rPr>
        <w:t>.</w:t>
      </w:r>
      <w:r w:rsidRPr="00C23944">
        <w:rPr>
          <w:rFonts w:ascii="Arial" w:hAnsi="Arial" w:cs="Arial"/>
          <w:sz w:val="20"/>
          <w:szCs w:val="20"/>
        </w:rPr>
        <w:t xml:space="preserve"> If concluded, BTIA will be the biggest single trade agreement in the world, merging the markets of around 1.7 billion people. Both parties have much to gain from the agreement. For the EU, India is its ninth largest trading partner in goods and sixth largest </w:t>
      </w:r>
      <w:r>
        <w:rPr>
          <w:rFonts w:ascii="Arial" w:hAnsi="Arial" w:cs="Arial"/>
          <w:sz w:val="20"/>
          <w:szCs w:val="20"/>
        </w:rPr>
        <w:t>in</w:t>
      </w:r>
      <w:r w:rsidRPr="00C23944">
        <w:rPr>
          <w:rFonts w:ascii="Arial" w:hAnsi="Arial" w:cs="Arial"/>
          <w:sz w:val="20"/>
          <w:szCs w:val="20"/>
        </w:rPr>
        <w:t xml:space="preserve"> services (Euro</w:t>
      </w:r>
      <w:r>
        <w:rPr>
          <w:rFonts w:ascii="Arial" w:hAnsi="Arial" w:cs="Arial"/>
          <w:sz w:val="20"/>
          <w:szCs w:val="20"/>
        </w:rPr>
        <w:t>pean Commission</w:t>
      </w:r>
      <w:r w:rsidR="00083301">
        <w:rPr>
          <w:rFonts w:ascii="Arial" w:hAnsi="Arial" w:cs="Arial"/>
          <w:sz w:val="20"/>
          <w:szCs w:val="20"/>
        </w:rPr>
        <w:t xml:space="preserve"> 2015a)</w:t>
      </w:r>
      <w:r w:rsidRPr="00C23944">
        <w:rPr>
          <w:rFonts w:ascii="Arial" w:hAnsi="Arial" w:cs="Arial"/>
          <w:sz w:val="20"/>
          <w:szCs w:val="20"/>
        </w:rPr>
        <w:t>. BTIA will be the first agreement it concludes with an emerging global economic power. India’s population of more than 1.2 billion people and its constantly growing middle class provide a significant market for EU products</w:t>
      </w:r>
      <w:r>
        <w:rPr>
          <w:rFonts w:ascii="Arial" w:hAnsi="Arial" w:cs="Arial"/>
          <w:sz w:val="20"/>
          <w:szCs w:val="20"/>
        </w:rPr>
        <w:t xml:space="preserve">. </w:t>
      </w:r>
      <w:r w:rsidRPr="00C23944">
        <w:rPr>
          <w:rFonts w:ascii="Arial" w:hAnsi="Arial" w:cs="Arial"/>
          <w:sz w:val="20"/>
          <w:szCs w:val="20"/>
        </w:rPr>
        <w:t>It does however have relatively high levels of protection against EU imports, which would be lowered by BTIA. For India, the EU is its largest trading partner, catering for 13% of its trade (</w:t>
      </w:r>
      <w:r>
        <w:rPr>
          <w:rFonts w:ascii="Arial" w:hAnsi="Arial" w:cs="Arial"/>
          <w:sz w:val="20"/>
          <w:szCs w:val="20"/>
        </w:rPr>
        <w:t>ibid.)</w:t>
      </w:r>
      <w:r w:rsidRPr="00C23944">
        <w:rPr>
          <w:rFonts w:ascii="Arial" w:hAnsi="Arial" w:cs="Arial"/>
          <w:sz w:val="20"/>
          <w:szCs w:val="20"/>
        </w:rPr>
        <w:t xml:space="preserve">, and it represents a single market of nearly 500 million consumers with a high average income. EU tariffs towards Indian exports are generally low, but for some products, such as agriculture and textiles, India still faces protectionist barriers, which would be reduced with BTIA. In addition, the EU provides a potential market for skilled Indian workers in the service sector (Modwel and Singh 2012: 17). </w:t>
      </w:r>
    </w:p>
    <w:p w14:paraId="5722CA90" w14:textId="77777777" w:rsidR="000D01EF" w:rsidRDefault="000D01EF" w:rsidP="002D1255">
      <w:pPr>
        <w:spacing w:line="480" w:lineRule="auto"/>
        <w:jc w:val="both"/>
        <w:rPr>
          <w:rFonts w:ascii="Arial" w:hAnsi="Arial" w:cs="Arial"/>
          <w:sz w:val="20"/>
          <w:szCs w:val="20"/>
        </w:rPr>
      </w:pPr>
    </w:p>
    <w:p w14:paraId="15F09DA8" w14:textId="399F5E70" w:rsidR="00AA0BCF" w:rsidRDefault="002D1255" w:rsidP="002D1255">
      <w:pPr>
        <w:spacing w:line="480" w:lineRule="auto"/>
        <w:jc w:val="both"/>
        <w:rPr>
          <w:rFonts w:ascii="Arial" w:hAnsi="Arial" w:cs="Arial"/>
          <w:sz w:val="20"/>
          <w:szCs w:val="20"/>
        </w:rPr>
      </w:pPr>
      <w:r w:rsidRPr="00C23944">
        <w:rPr>
          <w:rFonts w:ascii="Arial" w:hAnsi="Arial" w:cs="Arial"/>
          <w:sz w:val="20"/>
          <w:szCs w:val="20"/>
        </w:rPr>
        <w:t xml:space="preserve">The BTIA negotiations </w:t>
      </w:r>
      <w:r w:rsidR="00EC4CF8">
        <w:rPr>
          <w:rFonts w:ascii="Arial" w:hAnsi="Arial" w:cs="Arial"/>
          <w:sz w:val="20"/>
          <w:szCs w:val="20"/>
        </w:rPr>
        <w:t>take</w:t>
      </w:r>
      <w:r w:rsidRPr="00C23944">
        <w:rPr>
          <w:rFonts w:ascii="Arial" w:hAnsi="Arial" w:cs="Arial"/>
          <w:sz w:val="20"/>
          <w:szCs w:val="20"/>
        </w:rPr>
        <w:t xml:space="preserve"> place against the backdrop of </w:t>
      </w:r>
      <w:r w:rsidR="00F954B3">
        <w:rPr>
          <w:rFonts w:ascii="Arial" w:hAnsi="Arial" w:cs="Arial"/>
          <w:sz w:val="20"/>
          <w:szCs w:val="20"/>
        </w:rPr>
        <w:t>a significant institutional change within the EU</w:t>
      </w:r>
      <w:r w:rsidR="00AF641E">
        <w:rPr>
          <w:rFonts w:ascii="Arial" w:hAnsi="Arial" w:cs="Arial"/>
          <w:sz w:val="20"/>
          <w:szCs w:val="20"/>
        </w:rPr>
        <w:t xml:space="preserve">. The </w:t>
      </w:r>
      <w:r w:rsidR="00F954B3">
        <w:rPr>
          <w:rFonts w:ascii="Arial" w:hAnsi="Arial" w:cs="Arial"/>
          <w:sz w:val="20"/>
          <w:szCs w:val="20"/>
        </w:rPr>
        <w:t>Lisbon Treaty</w:t>
      </w:r>
      <w:r w:rsidR="00AF641E">
        <w:rPr>
          <w:rFonts w:ascii="Arial" w:hAnsi="Arial" w:cs="Arial"/>
          <w:sz w:val="20"/>
          <w:szCs w:val="20"/>
        </w:rPr>
        <w:t xml:space="preserve">, which entered into force in 2009, </w:t>
      </w:r>
      <w:r w:rsidR="00AA0BCF">
        <w:rPr>
          <w:rFonts w:ascii="Arial" w:hAnsi="Arial" w:cs="Arial"/>
          <w:sz w:val="20"/>
          <w:szCs w:val="20"/>
        </w:rPr>
        <w:t xml:space="preserve">extended the powers of the European </w:t>
      </w:r>
      <w:r w:rsidR="00AF641E">
        <w:rPr>
          <w:rFonts w:ascii="Arial" w:hAnsi="Arial" w:cs="Arial"/>
          <w:sz w:val="20"/>
          <w:szCs w:val="20"/>
        </w:rPr>
        <w:t xml:space="preserve">Parliament (EP) </w:t>
      </w:r>
      <w:r w:rsidR="00AA0BCF">
        <w:rPr>
          <w:rFonts w:ascii="Arial" w:hAnsi="Arial" w:cs="Arial"/>
          <w:sz w:val="20"/>
          <w:szCs w:val="20"/>
        </w:rPr>
        <w:t xml:space="preserve">by granting it with </w:t>
      </w:r>
      <w:r w:rsidR="00AF641E">
        <w:rPr>
          <w:rFonts w:ascii="Arial" w:hAnsi="Arial" w:cs="Arial"/>
          <w:sz w:val="20"/>
          <w:szCs w:val="20"/>
        </w:rPr>
        <w:t xml:space="preserve">ratification authority of </w:t>
      </w:r>
      <w:r w:rsidR="00B70B26">
        <w:rPr>
          <w:rFonts w:ascii="Arial" w:hAnsi="Arial" w:cs="Arial"/>
          <w:sz w:val="20"/>
          <w:szCs w:val="20"/>
        </w:rPr>
        <w:t xml:space="preserve">all </w:t>
      </w:r>
      <w:r w:rsidR="00AF641E">
        <w:rPr>
          <w:rFonts w:ascii="Arial" w:hAnsi="Arial" w:cs="Arial"/>
          <w:sz w:val="20"/>
          <w:szCs w:val="20"/>
        </w:rPr>
        <w:t>trade agreements and the right to be kept informed by the European Commission during the course of</w:t>
      </w:r>
      <w:r w:rsidR="00B70B26">
        <w:rPr>
          <w:rFonts w:ascii="Arial" w:hAnsi="Arial" w:cs="Arial"/>
          <w:sz w:val="20"/>
          <w:szCs w:val="20"/>
        </w:rPr>
        <w:t xml:space="preserve"> </w:t>
      </w:r>
      <w:r w:rsidR="00AF641E">
        <w:rPr>
          <w:rFonts w:ascii="Arial" w:hAnsi="Arial" w:cs="Arial"/>
          <w:sz w:val="20"/>
          <w:szCs w:val="20"/>
        </w:rPr>
        <w:t>trade negotiations between the EU and third part</w:t>
      </w:r>
      <w:r w:rsidR="00B70B26">
        <w:rPr>
          <w:rFonts w:ascii="Arial" w:hAnsi="Arial" w:cs="Arial"/>
          <w:sz w:val="20"/>
          <w:szCs w:val="20"/>
        </w:rPr>
        <w:t>ies</w:t>
      </w:r>
      <w:r w:rsidR="00AF641E">
        <w:rPr>
          <w:rFonts w:ascii="Arial" w:hAnsi="Arial" w:cs="Arial"/>
          <w:sz w:val="20"/>
          <w:szCs w:val="20"/>
        </w:rPr>
        <w:t xml:space="preserve"> (TFEU, Articles 207, 218). </w:t>
      </w:r>
      <w:r w:rsidR="00EC4CF8">
        <w:rPr>
          <w:rFonts w:ascii="Arial" w:hAnsi="Arial" w:cs="Arial"/>
          <w:sz w:val="20"/>
          <w:szCs w:val="20"/>
        </w:rPr>
        <w:t xml:space="preserve">The </w:t>
      </w:r>
      <w:r w:rsidR="0090115D">
        <w:rPr>
          <w:rFonts w:ascii="Arial" w:hAnsi="Arial" w:cs="Arial"/>
          <w:sz w:val="20"/>
          <w:szCs w:val="20"/>
        </w:rPr>
        <w:t xml:space="preserve">well-established and </w:t>
      </w:r>
      <w:r w:rsidR="00A60778">
        <w:rPr>
          <w:rFonts w:ascii="Arial" w:hAnsi="Arial" w:cs="Arial"/>
          <w:sz w:val="20"/>
          <w:szCs w:val="20"/>
        </w:rPr>
        <w:t>deeply</w:t>
      </w:r>
      <w:r w:rsidR="0090115D">
        <w:rPr>
          <w:rFonts w:ascii="Arial" w:hAnsi="Arial" w:cs="Arial"/>
          <w:sz w:val="20"/>
          <w:szCs w:val="20"/>
        </w:rPr>
        <w:t xml:space="preserve"> institutionalised Council-Commission relations</w:t>
      </w:r>
      <w:r w:rsidR="00EC4CF8">
        <w:rPr>
          <w:rFonts w:ascii="Arial" w:hAnsi="Arial" w:cs="Arial"/>
          <w:sz w:val="20"/>
          <w:szCs w:val="20"/>
        </w:rPr>
        <w:t>hip</w:t>
      </w:r>
      <w:r w:rsidR="0090115D">
        <w:rPr>
          <w:rFonts w:ascii="Arial" w:hAnsi="Arial" w:cs="Arial"/>
          <w:sz w:val="20"/>
          <w:szCs w:val="20"/>
        </w:rPr>
        <w:t>, which has dominated EU trade negotiations since the beginning of the EU’s long history of concluding trade agreements</w:t>
      </w:r>
      <w:r w:rsidR="00AD43FB">
        <w:rPr>
          <w:rFonts w:ascii="Arial" w:hAnsi="Arial" w:cs="Arial"/>
          <w:sz w:val="20"/>
          <w:szCs w:val="20"/>
        </w:rPr>
        <w:t xml:space="preserve"> (e.g. Elsig 2002; Meunier 2005; Woolcock 2005)</w:t>
      </w:r>
      <w:r w:rsidR="0090115D">
        <w:rPr>
          <w:rFonts w:ascii="Arial" w:hAnsi="Arial" w:cs="Arial"/>
          <w:sz w:val="20"/>
          <w:szCs w:val="20"/>
        </w:rPr>
        <w:t xml:space="preserve">, has thus </w:t>
      </w:r>
      <w:r w:rsidR="00D646E0">
        <w:rPr>
          <w:rFonts w:ascii="Arial" w:hAnsi="Arial" w:cs="Arial"/>
          <w:sz w:val="20"/>
          <w:szCs w:val="20"/>
        </w:rPr>
        <w:t xml:space="preserve">been replaced by a new </w:t>
      </w:r>
      <w:r w:rsidR="00AA0BCF">
        <w:rPr>
          <w:rFonts w:ascii="Arial" w:hAnsi="Arial" w:cs="Arial"/>
          <w:sz w:val="20"/>
          <w:szCs w:val="20"/>
        </w:rPr>
        <w:t xml:space="preserve">inter-institutionalised </w:t>
      </w:r>
      <w:r w:rsidR="00D646E0">
        <w:rPr>
          <w:rFonts w:ascii="Arial" w:hAnsi="Arial" w:cs="Arial"/>
          <w:sz w:val="20"/>
          <w:szCs w:val="20"/>
        </w:rPr>
        <w:t>constellation</w:t>
      </w:r>
      <w:r w:rsidR="00AA0BCF">
        <w:rPr>
          <w:rFonts w:ascii="Arial" w:hAnsi="Arial" w:cs="Arial"/>
          <w:sz w:val="20"/>
          <w:szCs w:val="20"/>
        </w:rPr>
        <w:t>,</w:t>
      </w:r>
      <w:r w:rsidR="00D646E0">
        <w:rPr>
          <w:rFonts w:ascii="Arial" w:hAnsi="Arial" w:cs="Arial"/>
          <w:sz w:val="20"/>
          <w:szCs w:val="20"/>
        </w:rPr>
        <w:t xml:space="preserve"> </w:t>
      </w:r>
      <w:r w:rsidR="00CB6F4E">
        <w:rPr>
          <w:rFonts w:ascii="Arial" w:hAnsi="Arial" w:cs="Arial"/>
          <w:sz w:val="20"/>
          <w:szCs w:val="20"/>
        </w:rPr>
        <w:t>which includes the EP.</w:t>
      </w:r>
      <w:r w:rsidR="00AA0BCF">
        <w:rPr>
          <w:rFonts w:ascii="Arial" w:hAnsi="Arial" w:cs="Arial"/>
          <w:sz w:val="20"/>
          <w:szCs w:val="20"/>
        </w:rPr>
        <w:t xml:space="preserve"> </w:t>
      </w:r>
    </w:p>
    <w:p w14:paraId="1B04CEB9" w14:textId="77777777" w:rsidR="00AA0BCF" w:rsidRDefault="00AA0BCF" w:rsidP="002D1255">
      <w:pPr>
        <w:spacing w:line="480" w:lineRule="auto"/>
        <w:jc w:val="both"/>
        <w:rPr>
          <w:rFonts w:ascii="Arial" w:hAnsi="Arial" w:cs="Arial"/>
          <w:sz w:val="20"/>
          <w:szCs w:val="20"/>
        </w:rPr>
      </w:pPr>
    </w:p>
    <w:p w14:paraId="15A05B53" w14:textId="1E878922" w:rsidR="00A60778" w:rsidRDefault="00AA0BCF" w:rsidP="00AA0BCF">
      <w:pPr>
        <w:spacing w:line="480" w:lineRule="auto"/>
        <w:jc w:val="both"/>
        <w:rPr>
          <w:rFonts w:ascii="Arial" w:hAnsi="Arial" w:cs="Arial"/>
          <w:sz w:val="20"/>
          <w:szCs w:val="20"/>
        </w:rPr>
      </w:pPr>
      <w:r>
        <w:rPr>
          <w:rFonts w:ascii="Arial" w:hAnsi="Arial" w:cs="Arial"/>
          <w:sz w:val="20"/>
          <w:szCs w:val="20"/>
        </w:rPr>
        <w:t>However, there is a debate about the extent to which these legal competencies have trans</w:t>
      </w:r>
      <w:r w:rsidR="00E5369B">
        <w:rPr>
          <w:rFonts w:ascii="Arial" w:hAnsi="Arial" w:cs="Arial"/>
          <w:sz w:val="20"/>
          <w:szCs w:val="20"/>
        </w:rPr>
        <w:t xml:space="preserve">lated into actual influence and </w:t>
      </w:r>
      <w:r>
        <w:rPr>
          <w:rFonts w:ascii="Arial" w:hAnsi="Arial" w:cs="Arial"/>
          <w:sz w:val="20"/>
          <w:szCs w:val="20"/>
        </w:rPr>
        <w:t>the ability of the EP to impact the content and outcome of trade negotiations</w:t>
      </w:r>
      <w:r w:rsidR="00214B29">
        <w:rPr>
          <w:rFonts w:ascii="Arial" w:hAnsi="Arial" w:cs="Arial"/>
          <w:sz w:val="20"/>
          <w:szCs w:val="20"/>
        </w:rPr>
        <w:t xml:space="preserve"> (e.g. Devuyst 2013; Kleimann 2011; </w:t>
      </w:r>
      <w:r w:rsidR="00705B81">
        <w:rPr>
          <w:rFonts w:ascii="Arial" w:hAnsi="Arial" w:cs="Arial"/>
          <w:sz w:val="20"/>
          <w:szCs w:val="20"/>
        </w:rPr>
        <w:t xml:space="preserve">Leeg 2014; </w:t>
      </w:r>
      <w:r w:rsidR="00615D1F">
        <w:rPr>
          <w:rFonts w:ascii="Arial" w:hAnsi="Arial" w:cs="Arial"/>
          <w:sz w:val="20"/>
          <w:szCs w:val="20"/>
        </w:rPr>
        <w:t xml:space="preserve">Shaohua 2015; </w:t>
      </w:r>
      <w:r w:rsidR="00EF3D53">
        <w:rPr>
          <w:rFonts w:ascii="Arial" w:hAnsi="Arial" w:cs="Arial"/>
          <w:sz w:val="20"/>
          <w:szCs w:val="20"/>
        </w:rPr>
        <w:t>V</w:t>
      </w:r>
      <w:r w:rsidR="00214B29">
        <w:rPr>
          <w:rFonts w:ascii="Arial" w:hAnsi="Arial" w:cs="Arial"/>
          <w:sz w:val="20"/>
          <w:szCs w:val="20"/>
        </w:rPr>
        <w:t xml:space="preserve">an den Putte et al. 2014, 2915; Woolcock 2012). </w:t>
      </w:r>
      <w:r w:rsidR="00E972DE">
        <w:rPr>
          <w:rFonts w:ascii="Arial" w:hAnsi="Arial" w:cs="Arial"/>
          <w:sz w:val="20"/>
          <w:szCs w:val="20"/>
        </w:rPr>
        <w:t xml:space="preserve">On one hand it is suggested that the new powers </w:t>
      </w:r>
      <w:r w:rsidR="00E5369B">
        <w:rPr>
          <w:rFonts w:ascii="Arial" w:hAnsi="Arial" w:cs="Arial"/>
          <w:sz w:val="20"/>
          <w:szCs w:val="20"/>
        </w:rPr>
        <w:t>do</w:t>
      </w:r>
      <w:r w:rsidR="00E972DE">
        <w:rPr>
          <w:rFonts w:ascii="Arial" w:hAnsi="Arial" w:cs="Arial"/>
          <w:sz w:val="20"/>
          <w:szCs w:val="20"/>
        </w:rPr>
        <w:t xml:space="preserve"> not </w:t>
      </w:r>
      <w:r w:rsidR="003068DD">
        <w:rPr>
          <w:rFonts w:ascii="Arial" w:hAnsi="Arial" w:cs="Arial"/>
          <w:sz w:val="20"/>
          <w:szCs w:val="20"/>
        </w:rPr>
        <w:t xml:space="preserve">significantly </w:t>
      </w:r>
      <w:r w:rsidR="00F61B57">
        <w:rPr>
          <w:rFonts w:ascii="Arial" w:hAnsi="Arial" w:cs="Arial"/>
          <w:sz w:val="20"/>
          <w:szCs w:val="20"/>
        </w:rPr>
        <w:t xml:space="preserve">impact EU </w:t>
      </w:r>
      <w:r w:rsidR="00E972DE">
        <w:rPr>
          <w:rFonts w:ascii="Arial" w:hAnsi="Arial" w:cs="Arial"/>
          <w:sz w:val="20"/>
          <w:szCs w:val="20"/>
        </w:rPr>
        <w:t>trade negotiations since</w:t>
      </w:r>
      <w:r w:rsidR="00F61B57">
        <w:rPr>
          <w:rFonts w:ascii="Arial" w:hAnsi="Arial" w:cs="Arial"/>
          <w:sz w:val="20"/>
          <w:szCs w:val="20"/>
        </w:rPr>
        <w:t xml:space="preserve"> the EP still lags behind the Council in terms of its legal role</w:t>
      </w:r>
      <w:r w:rsidR="003068DD">
        <w:rPr>
          <w:rFonts w:ascii="Arial" w:hAnsi="Arial" w:cs="Arial"/>
          <w:sz w:val="20"/>
          <w:szCs w:val="20"/>
        </w:rPr>
        <w:t>,</w:t>
      </w:r>
      <w:r w:rsidR="00214B29">
        <w:rPr>
          <w:rFonts w:ascii="Arial" w:hAnsi="Arial" w:cs="Arial"/>
          <w:sz w:val="20"/>
          <w:szCs w:val="20"/>
        </w:rPr>
        <w:t xml:space="preserve"> and since it lacks the necessary </w:t>
      </w:r>
      <w:r w:rsidR="003068DD">
        <w:rPr>
          <w:rFonts w:ascii="Arial" w:hAnsi="Arial" w:cs="Arial"/>
          <w:sz w:val="20"/>
          <w:szCs w:val="20"/>
        </w:rPr>
        <w:t xml:space="preserve">technical </w:t>
      </w:r>
      <w:r w:rsidR="00214B29">
        <w:rPr>
          <w:rFonts w:ascii="Arial" w:hAnsi="Arial" w:cs="Arial"/>
          <w:sz w:val="20"/>
          <w:szCs w:val="20"/>
        </w:rPr>
        <w:t>expertise and ex</w:t>
      </w:r>
      <w:r w:rsidR="003068DD">
        <w:rPr>
          <w:rFonts w:ascii="Arial" w:hAnsi="Arial" w:cs="Arial"/>
          <w:sz w:val="20"/>
          <w:szCs w:val="20"/>
        </w:rPr>
        <w:t>perience to engage effectively in tr</w:t>
      </w:r>
      <w:r w:rsidR="00214B29">
        <w:rPr>
          <w:rFonts w:ascii="Arial" w:hAnsi="Arial" w:cs="Arial"/>
          <w:sz w:val="20"/>
          <w:szCs w:val="20"/>
        </w:rPr>
        <w:t>ade negotiations</w:t>
      </w:r>
      <w:r w:rsidR="003220A1">
        <w:rPr>
          <w:rFonts w:ascii="Arial" w:hAnsi="Arial" w:cs="Arial"/>
          <w:sz w:val="20"/>
          <w:szCs w:val="20"/>
        </w:rPr>
        <w:t xml:space="preserve"> (e.g. Kleimann 2011</w:t>
      </w:r>
      <w:r w:rsidR="00F03953">
        <w:rPr>
          <w:rFonts w:ascii="Arial" w:hAnsi="Arial" w:cs="Arial"/>
          <w:sz w:val="20"/>
          <w:szCs w:val="20"/>
        </w:rPr>
        <w:t>: 13</w:t>
      </w:r>
      <w:r w:rsidR="003220A1">
        <w:rPr>
          <w:rFonts w:ascii="Arial" w:hAnsi="Arial" w:cs="Arial"/>
          <w:sz w:val="20"/>
          <w:szCs w:val="20"/>
        </w:rPr>
        <w:t xml:space="preserve">; </w:t>
      </w:r>
      <w:r w:rsidR="00AD799D">
        <w:rPr>
          <w:rFonts w:ascii="Arial" w:hAnsi="Arial" w:cs="Arial"/>
          <w:sz w:val="20"/>
          <w:szCs w:val="20"/>
        </w:rPr>
        <w:t xml:space="preserve">Leeg 2014; </w:t>
      </w:r>
      <w:r w:rsidR="003220A1">
        <w:rPr>
          <w:rFonts w:ascii="Arial" w:hAnsi="Arial" w:cs="Arial"/>
          <w:sz w:val="20"/>
          <w:szCs w:val="20"/>
        </w:rPr>
        <w:t>Woolcock 2012</w:t>
      </w:r>
      <w:r w:rsidR="00F03953">
        <w:rPr>
          <w:rFonts w:ascii="Arial" w:hAnsi="Arial" w:cs="Arial"/>
          <w:sz w:val="20"/>
          <w:szCs w:val="20"/>
        </w:rPr>
        <w:t>: 57</w:t>
      </w:r>
      <w:r w:rsidR="003220A1">
        <w:rPr>
          <w:rFonts w:ascii="Arial" w:hAnsi="Arial" w:cs="Arial"/>
          <w:sz w:val="20"/>
          <w:szCs w:val="20"/>
        </w:rPr>
        <w:t>)</w:t>
      </w:r>
      <w:r w:rsidR="003068DD">
        <w:rPr>
          <w:rFonts w:ascii="Arial" w:hAnsi="Arial" w:cs="Arial"/>
          <w:sz w:val="20"/>
          <w:szCs w:val="20"/>
        </w:rPr>
        <w:t xml:space="preserve">. On </w:t>
      </w:r>
      <w:r w:rsidR="00E972DE">
        <w:rPr>
          <w:rFonts w:ascii="Arial" w:hAnsi="Arial" w:cs="Arial"/>
          <w:sz w:val="20"/>
          <w:szCs w:val="20"/>
        </w:rPr>
        <w:t xml:space="preserve">the other hand, </w:t>
      </w:r>
      <w:r w:rsidR="00F61B57">
        <w:rPr>
          <w:rFonts w:ascii="Arial" w:hAnsi="Arial" w:cs="Arial"/>
          <w:sz w:val="20"/>
          <w:szCs w:val="20"/>
        </w:rPr>
        <w:t>it is argued that the</w:t>
      </w:r>
      <w:r w:rsidR="003068DD">
        <w:rPr>
          <w:rFonts w:ascii="Arial" w:hAnsi="Arial" w:cs="Arial"/>
          <w:sz w:val="20"/>
          <w:szCs w:val="20"/>
        </w:rPr>
        <w:t xml:space="preserve"> EP </w:t>
      </w:r>
      <w:r w:rsidR="003220A1">
        <w:rPr>
          <w:rFonts w:ascii="Arial" w:hAnsi="Arial" w:cs="Arial"/>
          <w:sz w:val="20"/>
          <w:szCs w:val="20"/>
        </w:rPr>
        <w:t xml:space="preserve">is indeed </w:t>
      </w:r>
      <w:r w:rsidR="00584CB7">
        <w:rPr>
          <w:rFonts w:ascii="Arial" w:hAnsi="Arial" w:cs="Arial"/>
          <w:sz w:val="20"/>
          <w:szCs w:val="20"/>
        </w:rPr>
        <w:t xml:space="preserve">influencing EU </w:t>
      </w:r>
      <w:r w:rsidR="003220A1">
        <w:rPr>
          <w:rFonts w:ascii="Arial" w:hAnsi="Arial" w:cs="Arial"/>
          <w:sz w:val="20"/>
          <w:szCs w:val="20"/>
        </w:rPr>
        <w:t xml:space="preserve">trade negotiations, not least </w:t>
      </w:r>
      <w:r w:rsidR="00292E2D">
        <w:rPr>
          <w:rFonts w:ascii="Arial" w:hAnsi="Arial" w:cs="Arial"/>
          <w:sz w:val="20"/>
          <w:szCs w:val="20"/>
        </w:rPr>
        <w:t xml:space="preserve">since the </w:t>
      </w:r>
      <w:r w:rsidR="003220A1">
        <w:rPr>
          <w:rFonts w:ascii="Arial" w:hAnsi="Arial" w:cs="Arial"/>
          <w:sz w:val="20"/>
          <w:szCs w:val="20"/>
        </w:rPr>
        <w:t>a</w:t>
      </w:r>
      <w:r w:rsidR="00ED661C">
        <w:rPr>
          <w:rFonts w:ascii="Arial" w:hAnsi="Arial" w:cs="Arial"/>
          <w:sz w:val="20"/>
          <w:szCs w:val="20"/>
        </w:rPr>
        <w:t>genda is becoming more politiciz</w:t>
      </w:r>
      <w:r w:rsidR="003220A1">
        <w:rPr>
          <w:rFonts w:ascii="Arial" w:hAnsi="Arial" w:cs="Arial"/>
          <w:sz w:val="20"/>
          <w:szCs w:val="20"/>
        </w:rPr>
        <w:t>ed</w:t>
      </w:r>
      <w:r w:rsidR="00DE26A8">
        <w:rPr>
          <w:rFonts w:ascii="Arial" w:hAnsi="Arial" w:cs="Arial"/>
          <w:sz w:val="20"/>
          <w:szCs w:val="20"/>
        </w:rPr>
        <w:t xml:space="preserve">, </w:t>
      </w:r>
      <w:r w:rsidR="0069573A">
        <w:rPr>
          <w:rFonts w:ascii="Arial" w:hAnsi="Arial" w:cs="Arial"/>
          <w:sz w:val="20"/>
          <w:szCs w:val="20"/>
        </w:rPr>
        <w:t xml:space="preserve">but also because </w:t>
      </w:r>
      <w:r w:rsidR="009A2C8B">
        <w:rPr>
          <w:rFonts w:ascii="Arial" w:hAnsi="Arial" w:cs="Arial"/>
          <w:sz w:val="20"/>
          <w:szCs w:val="20"/>
        </w:rPr>
        <w:t xml:space="preserve">its increased powers have made </w:t>
      </w:r>
      <w:r w:rsidR="00292E2D">
        <w:rPr>
          <w:rFonts w:ascii="Arial" w:hAnsi="Arial" w:cs="Arial"/>
          <w:sz w:val="20"/>
          <w:szCs w:val="20"/>
        </w:rPr>
        <w:t>the EP</w:t>
      </w:r>
      <w:r w:rsidR="009A2C8B">
        <w:rPr>
          <w:rFonts w:ascii="Arial" w:hAnsi="Arial" w:cs="Arial"/>
          <w:sz w:val="20"/>
          <w:szCs w:val="20"/>
        </w:rPr>
        <w:t xml:space="preserve"> more assertive to express its views and even refuse to ratify agreement</w:t>
      </w:r>
      <w:r w:rsidR="00584CB7">
        <w:rPr>
          <w:rFonts w:ascii="Arial" w:hAnsi="Arial" w:cs="Arial"/>
          <w:sz w:val="20"/>
          <w:szCs w:val="20"/>
        </w:rPr>
        <w:t>s</w:t>
      </w:r>
      <w:r w:rsidR="009A2C8B">
        <w:rPr>
          <w:rFonts w:ascii="Arial" w:hAnsi="Arial" w:cs="Arial"/>
          <w:sz w:val="20"/>
          <w:szCs w:val="20"/>
        </w:rPr>
        <w:t xml:space="preserve"> that do</w:t>
      </w:r>
      <w:r w:rsidR="00584CB7">
        <w:rPr>
          <w:rFonts w:ascii="Arial" w:hAnsi="Arial" w:cs="Arial"/>
          <w:sz w:val="20"/>
          <w:szCs w:val="20"/>
        </w:rPr>
        <w:t xml:space="preserve"> not reflect</w:t>
      </w:r>
      <w:r w:rsidR="009A2C8B">
        <w:rPr>
          <w:rFonts w:ascii="Arial" w:hAnsi="Arial" w:cs="Arial"/>
          <w:sz w:val="20"/>
          <w:szCs w:val="20"/>
        </w:rPr>
        <w:t xml:space="preserve"> its preferences, as was seen </w:t>
      </w:r>
      <w:r w:rsidR="00A60778">
        <w:rPr>
          <w:rFonts w:ascii="Arial" w:hAnsi="Arial" w:cs="Arial"/>
          <w:sz w:val="20"/>
          <w:szCs w:val="20"/>
        </w:rPr>
        <w:t>w</w:t>
      </w:r>
      <w:r w:rsidR="00AD43FB">
        <w:rPr>
          <w:rFonts w:ascii="Arial" w:hAnsi="Arial" w:cs="Arial"/>
          <w:sz w:val="20"/>
          <w:szCs w:val="20"/>
        </w:rPr>
        <w:t xml:space="preserve">ith its rejection of </w:t>
      </w:r>
      <w:r w:rsidR="009A2C8B">
        <w:rPr>
          <w:rFonts w:ascii="Arial" w:hAnsi="Arial" w:cs="Arial"/>
          <w:sz w:val="20"/>
          <w:szCs w:val="20"/>
        </w:rPr>
        <w:t>the Anti</w:t>
      </w:r>
      <w:r w:rsidR="00A60778">
        <w:rPr>
          <w:rFonts w:ascii="Arial" w:hAnsi="Arial" w:cs="Arial"/>
          <w:sz w:val="20"/>
          <w:szCs w:val="20"/>
        </w:rPr>
        <w:t>-</w:t>
      </w:r>
      <w:r w:rsidR="009A2C8B">
        <w:rPr>
          <w:rFonts w:ascii="Arial" w:hAnsi="Arial" w:cs="Arial"/>
          <w:sz w:val="20"/>
          <w:szCs w:val="20"/>
        </w:rPr>
        <w:t xml:space="preserve">Counterfeiting Trade Agreement </w:t>
      </w:r>
      <w:r w:rsidR="00AD43FB">
        <w:rPr>
          <w:rFonts w:ascii="Arial" w:hAnsi="Arial" w:cs="Arial"/>
          <w:sz w:val="20"/>
          <w:szCs w:val="20"/>
        </w:rPr>
        <w:t xml:space="preserve">(ACTA) </w:t>
      </w:r>
      <w:r w:rsidR="00A60778">
        <w:rPr>
          <w:rFonts w:ascii="Arial" w:hAnsi="Arial" w:cs="Arial"/>
          <w:sz w:val="20"/>
          <w:szCs w:val="20"/>
        </w:rPr>
        <w:t>in 2012 (</w:t>
      </w:r>
      <w:r w:rsidR="00C53D60">
        <w:rPr>
          <w:rFonts w:ascii="Arial" w:hAnsi="Arial" w:cs="Arial"/>
          <w:sz w:val="20"/>
          <w:szCs w:val="20"/>
        </w:rPr>
        <w:t xml:space="preserve">e.g. </w:t>
      </w:r>
      <w:r w:rsidR="00AD799D">
        <w:rPr>
          <w:rFonts w:ascii="Arial" w:hAnsi="Arial" w:cs="Arial"/>
          <w:sz w:val="20"/>
          <w:szCs w:val="20"/>
        </w:rPr>
        <w:t xml:space="preserve">Devuyst 2013; </w:t>
      </w:r>
      <w:r w:rsidR="00DE26A8">
        <w:rPr>
          <w:rFonts w:ascii="Arial" w:hAnsi="Arial" w:cs="Arial"/>
          <w:sz w:val="20"/>
          <w:szCs w:val="20"/>
        </w:rPr>
        <w:t xml:space="preserve">Shaohua 2015; </w:t>
      </w:r>
      <w:r w:rsidR="0069573A">
        <w:rPr>
          <w:rFonts w:ascii="Arial" w:hAnsi="Arial" w:cs="Arial"/>
          <w:sz w:val="20"/>
          <w:szCs w:val="20"/>
        </w:rPr>
        <w:t>Van den Putte et al. 2014:</w:t>
      </w:r>
      <w:r w:rsidR="003220A1">
        <w:rPr>
          <w:rFonts w:ascii="Arial" w:hAnsi="Arial" w:cs="Arial"/>
          <w:sz w:val="20"/>
          <w:szCs w:val="20"/>
        </w:rPr>
        <w:t xml:space="preserve"> </w:t>
      </w:r>
      <w:r w:rsidR="00A60778">
        <w:rPr>
          <w:rFonts w:ascii="Arial" w:hAnsi="Arial" w:cs="Arial"/>
          <w:sz w:val="20"/>
          <w:szCs w:val="20"/>
        </w:rPr>
        <w:t xml:space="preserve">4). </w:t>
      </w:r>
    </w:p>
    <w:p w14:paraId="4C9108B6" w14:textId="77777777" w:rsidR="003068DD" w:rsidRDefault="003068DD" w:rsidP="00AA0BCF">
      <w:pPr>
        <w:spacing w:line="480" w:lineRule="auto"/>
        <w:jc w:val="both"/>
        <w:rPr>
          <w:rFonts w:ascii="Arial" w:hAnsi="Arial" w:cs="Arial"/>
          <w:sz w:val="20"/>
          <w:szCs w:val="20"/>
        </w:rPr>
      </w:pPr>
    </w:p>
    <w:p w14:paraId="4CF85708" w14:textId="50A4AE33" w:rsidR="00292E2D" w:rsidRDefault="00C53D60" w:rsidP="00292E2D">
      <w:pPr>
        <w:spacing w:line="480" w:lineRule="auto"/>
        <w:jc w:val="both"/>
        <w:rPr>
          <w:rFonts w:ascii="Arial" w:hAnsi="Arial" w:cs="Arial"/>
          <w:sz w:val="20"/>
          <w:szCs w:val="20"/>
        </w:rPr>
      </w:pPr>
      <w:r>
        <w:rPr>
          <w:rFonts w:ascii="Arial" w:hAnsi="Arial" w:cs="Arial"/>
          <w:sz w:val="20"/>
          <w:szCs w:val="20"/>
        </w:rPr>
        <w:t>Despite th</w:t>
      </w:r>
      <w:r w:rsidR="0079000E">
        <w:rPr>
          <w:rFonts w:ascii="Arial" w:hAnsi="Arial" w:cs="Arial"/>
          <w:sz w:val="20"/>
          <w:szCs w:val="20"/>
        </w:rPr>
        <w:t>is</w:t>
      </w:r>
      <w:r>
        <w:rPr>
          <w:rFonts w:ascii="Arial" w:hAnsi="Arial" w:cs="Arial"/>
          <w:sz w:val="20"/>
          <w:szCs w:val="20"/>
        </w:rPr>
        <w:t xml:space="preserve"> </w:t>
      </w:r>
      <w:r w:rsidR="00AD43FB">
        <w:rPr>
          <w:rFonts w:ascii="Arial" w:hAnsi="Arial" w:cs="Arial"/>
          <w:sz w:val="20"/>
          <w:szCs w:val="20"/>
        </w:rPr>
        <w:t xml:space="preserve">broad </w:t>
      </w:r>
      <w:r w:rsidR="00ED661C">
        <w:rPr>
          <w:rFonts w:ascii="Arial" w:hAnsi="Arial" w:cs="Arial"/>
          <w:sz w:val="20"/>
          <w:szCs w:val="20"/>
        </w:rPr>
        <w:t xml:space="preserve">academic </w:t>
      </w:r>
      <w:r>
        <w:rPr>
          <w:rFonts w:ascii="Arial" w:hAnsi="Arial" w:cs="Arial"/>
          <w:sz w:val="20"/>
          <w:szCs w:val="20"/>
        </w:rPr>
        <w:t>debate about parliamentary influence</w:t>
      </w:r>
      <w:r w:rsidR="00ED661C">
        <w:rPr>
          <w:rFonts w:ascii="Arial" w:hAnsi="Arial" w:cs="Arial"/>
          <w:sz w:val="20"/>
          <w:szCs w:val="20"/>
        </w:rPr>
        <w:t>,</w:t>
      </w:r>
      <w:r>
        <w:rPr>
          <w:rFonts w:ascii="Arial" w:hAnsi="Arial" w:cs="Arial"/>
          <w:sz w:val="20"/>
          <w:szCs w:val="20"/>
        </w:rPr>
        <w:t xml:space="preserve"> there </w:t>
      </w:r>
      <w:r w:rsidR="00F77A0F">
        <w:rPr>
          <w:rFonts w:ascii="Arial" w:hAnsi="Arial" w:cs="Arial"/>
          <w:sz w:val="20"/>
          <w:szCs w:val="20"/>
        </w:rPr>
        <w:t>are</w:t>
      </w:r>
      <w:r>
        <w:rPr>
          <w:rFonts w:ascii="Arial" w:hAnsi="Arial" w:cs="Arial"/>
          <w:sz w:val="20"/>
          <w:szCs w:val="20"/>
        </w:rPr>
        <w:t xml:space="preserve"> </w:t>
      </w:r>
      <w:r w:rsidR="00ED661C">
        <w:rPr>
          <w:rFonts w:ascii="Arial" w:hAnsi="Arial" w:cs="Arial"/>
          <w:sz w:val="20"/>
          <w:szCs w:val="20"/>
        </w:rPr>
        <w:t xml:space="preserve">surprisingly few </w:t>
      </w:r>
      <w:r w:rsidR="00F77A0F">
        <w:rPr>
          <w:rFonts w:ascii="Arial" w:hAnsi="Arial" w:cs="Arial"/>
          <w:sz w:val="20"/>
          <w:szCs w:val="20"/>
        </w:rPr>
        <w:t xml:space="preserve">theoretical analyses of EU trade negotiations </w:t>
      </w:r>
      <w:r w:rsidR="00292E2D">
        <w:rPr>
          <w:rFonts w:ascii="Arial" w:hAnsi="Arial" w:cs="Arial"/>
          <w:sz w:val="20"/>
          <w:szCs w:val="20"/>
        </w:rPr>
        <w:t>that</w:t>
      </w:r>
      <w:r w:rsidR="00F77A0F">
        <w:rPr>
          <w:rFonts w:ascii="Arial" w:hAnsi="Arial" w:cs="Arial"/>
          <w:sz w:val="20"/>
          <w:szCs w:val="20"/>
        </w:rPr>
        <w:t xml:space="preserve"> </w:t>
      </w:r>
      <w:r w:rsidR="006E2543">
        <w:rPr>
          <w:rFonts w:ascii="Arial" w:hAnsi="Arial" w:cs="Arial"/>
          <w:sz w:val="20"/>
          <w:szCs w:val="20"/>
        </w:rPr>
        <w:t>in</w:t>
      </w:r>
      <w:r w:rsidR="00680CB1">
        <w:rPr>
          <w:rFonts w:ascii="Arial" w:hAnsi="Arial" w:cs="Arial"/>
          <w:sz w:val="20"/>
          <w:szCs w:val="20"/>
        </w:rPr>
        <w:t xml:space="preserve">corporate the role of the </w:t>
      </w:r>
      <w:r w:rsidR="006E2543">
        <w:rPr>
          <w:rFonts w:ascii="Arial" w:hAnsi="Arial" w:cs="Arial"/>
          <w:sz w:val="20"/>
          <w:szCs w:val="20"/>
        </w:rPr>
        <w:t>EP</w:t>
      </w:r>
      <w:r w:rsidR="00680CB1">
        <w:rPr>
          <w:rFonts w:ascii="Arial" w:hAnsi="Arial" w:cs="Arial"/>
          <w:sz w:val="20"/>
          <w:szCs w:val="20"/>
        </w:rPr>
        <w:t xml:space="preserve">. </w:t>
      </w:r>
      <w:r w:rsidR="00051D6A">
        <w:rPr>
          <w:rFonts w:ascii="Arial" w:hAnsi="Arial" w:cs="Arial"/>
          <w:sz w:val="20"/>
          <w:szCs w:val="20"/>
        </w:rPr>
        <w:t xml:space="preserve">The </w:t>
      </w:r>
      <w:r w:rsidR="004D4C7B">
        <w:rPr>
          <w:rFonts w:ascii="Arial" w:hAnsi="Arial" w:cs="Arial"/>
          <w:sz w:val="20"/>
          <w:szCs w:val="20"/>
        </w:rPr>
        <w:t xml:space="preserve">theoretical </w:t>
      </w:r>
      <w:r w:rsidR="00051D6A">
        <w:rPr>
          <w:rFonts w:ascii="Arial" w:hAnsi="Arial" w:cs="Arial"/>
          <w:sz w:val="20"/>
          <w:szCs w:val="20"/>
        </w:rPr>
        <w:t>approaches most commonly used, such as principal-agent and two-/three-level game analyses</w:t>
      </w:r>
      <w:r w:rsidR="00EE1C9D">
        <w:rPr>
          <w:rFonts w:ascii="Arial" w:hAnsi="Arial" w:cs="Arial"/>
          <w:sz w:val="20"/>
          <w:szCs w:val="20"/>
        </w:rPr>
        <w:t xml:space="preserve"> (e.g. Delreux 2008; D</w:t>
      </w:r>
      <w:r w:rsidR="00F154E3">
        <w:rPr>
          <w:rFonts w:ascii="Arial" w:hAnsi="Arial" w:cs="Arial"/>
          <w:sz w:val="20"/>
          <w:szCs w:val="20"/>
        </w:rPr>
        <w:t xml:space="preserve">ür and Elsig 2011; Dür and Zimmerman 2007; Frennhoff Larsén 2007; Meunier 2005), </w:t>
      </w:r>
      <w:r w:rsidR="00051D6A">
        <w:rPr>
          <w:rFonts w:ascii="Arial" w:hAnsi="Arial" w:cs="Arial"/>
          <w:sz w:val="20"/>
          <w:szCs w:val="20"/>
        </w:rPr>
        <w:t>tend to focus on the relationship between the Commission and the Council, w</w:t>
      </w:r>
      <w:r w:rsidR="00B65E01">
        <w:rPr>
          <w:rFonts w:ascii="Arial" w:hAnsi="Arial" w:cs="Arial"/>
          <w:sz w:val="20"/>
          <w:szCs w:val="20"/>
        </w:rPr>
        <w:t>hich ha</w:t>
      </w:r>
      <w:r w:rsidR="00051D6A">
        <w:rPr>
          <w:rFonts w:ascii="Arial" w:hAnsi="Arial" w:cs="Arial"/>
          <w:sz w:val="20"/>
          <w:szCs w:val="20"/>
        </w:rPr>
        <w:t>s</w:t>
      </w:r>
      <w:r w:rsidR="00B65E01">
        <w:rPr>
          <w:rFonts w:ascii="Arial" w:hAnsi="Arial" w:cs="Arial"/>
          <w:sz w:val="20"/>
          <w:szCs w:val="20"/>
        </w:rPr>
        <w:t xml:space="preserve"> traditionally been seen as the key determinant of EU trade negotiations (e.g. </w:t>
      </w:r>
      <w:r w:rsidR="00930855">
        <w:rPr>
          <w:rFonts w:ascii="Arial" w:hAnsi="Arial" w:cs="Arial"/>
          <w:sz w:val="20"/>
          <w:szCs w:val="20"/>
        </w:rPr>
        <w:t xml:space="preserve">Elsig 2002; </w:t>
      </w:r>
      <w:r w:rsidR="00B65E01">
        <w:rPr>
          <w:rFonts w:ascii="Arial" w:hAnsi="Arial" w:cs="Arial"/>
          <w:sz w:val="20"/>
          <w:szCs w:val="20"/>
        </w:rPr>
        <w:t>Meunier 2005; Woolcock 2005).</w:t>
      </w:r>
      <w:r w:rsidR="00051D6A">
        <w:rPr>
          <w:rFonts w:ascii="Arial" w:hAnsi="Arial" w:cs="Arial"/>
          <w:sz w:val="20"/>
          <w:szCs w:val="20"/>
        </w:rPr>
        <w:t xml:space="preserve"> The arrival of the EP </w:t>
      </w:r>
      <w:r w:rsidR="00D11988">
        <w:rPr>
          <w:rFonts w:ascii="Arial" w:hAnsi="Arial" w:cs="Arial"/>
          <w:sz w:val="20"/>
          <w:szCs w:val="20"/>
        </w:rPr>
        <w:t>as a new player in EU trade negotiations</w:t>
      </w:r>
      <w:r w:rsidR="004D4C7B">
        <w:rPr>
          <w:rFonts w:ascii="Arial" w:hAnsi="Arial" w:cs="Arial"/>
          <w:sz w:val="20"/>
          <w:szCs w:val="20"/>
        </w:rPr>
        <w:t xml:space="preserve"> </w:t>
      </w:r>
      <w:r w:rsidR="00A80687">
        <w:rPr>
          <w:rFonts w:ascii="Arial" w:hAnsi="Arial" w:cs="Arial"/>
          <w:sz w:val="20"/>
          <w:szCs w:val="20"/>
        </w:rPr>
        <w:t xml:space="preserve">has </w:t>
      </w:r>
      <w:r w:rsidR="00D73081">
        <w:rPr>
          <w:rFonts w:ascii="Arial" w:hAnsi="Arial" w:cs="Arial"/>
          <w:sz w:val="20"/>
          <w:szCs w:val="20"/>
        </w:rPr>
        <w:t xml:space="preserve">so far </w:t>
      </w:r>
      <w:r w:rsidR="004D4C7B">
        <w:rPr>
          <w:rFonts w:ascii="Arial" w:hAnsi="Arial" w:cs="Arial"/>
          <w:sz w:val="20"/>
          <w:szCs w:val="20"/>
        </w:rPr>
        <w:t xml:space="preserve">not </w:t>
      </w:r>
      <w:r w:rsidR="00D73081">
        <w:rPr>
          <w:rFonts w:ascii="Arial" w:hAnsi="Arial" w:cs="Arial"/>
          <w:sz w:val="20"/>
          <w:szCs w:val="20"/>
        </w:rPr>
        <w:t xml:space="preserve">significantly altered this theoretical focus. </w:t>
      </w:r>
      <w:r w:rsidR="0079000E">
        <w:rPr>
          <w:rFonts w:ascii="Arial" w:hAnsi="Arial" w:cs="Arial"/>
          <w:sz w:val="20"/>
          <w:szCs w:val="20"/>
        </w:rPr>
        <w:t>There is, h</w:t>
      </w:r>
      <w:r w:rsidR="00D73081">
        <w:rPr>
          <w:rFonts w:ascii="Arial" w:hAnsi="Arial" w:cs="Arial"/>
          <w:sz w:val="20"/>
          <w:szCs w:val="20"/>
        </w:rPr>
        <w:t>owever, an increased recognition of the need to do so (</w:t>
      </w:r>
      <w:r w:rsidR="00292E2D">
        <w:rPr>
          <w:rFonts w:ascii="Arial" w:hAnsi="Arial" w:cs="Arial"/>
          <w:sz w:val="20"/>
          <w:szCs w:val="20"/>
        </w:rPr>
        <w:t>e.g. Mortensen 2009</w:t>
      </w:r>
      <w:r w:rsidR="00880711">
        <w:rPr>
          <w:rFonts w:ascii="Arial" w:hAnsi="Arial" w:cs="Arial"/>
          <w:sz w:val="20"/>
          <w:szCs w:val="20"/>
        </w:rPr>
        <w:t xml:space="preserve">; </w:t>
      </w:r>
      <w:r w:rsidR="00292E2D">
        <w:rPr>
          <w:rFonts w:ascii="Arial" w:hAnsi="Arial" w:cs="Arial"/>
          <w:sz w:val="20"/>
          <w:szCs w:val="20"/>
        </w:rPr>
        <w:t>Ripoll Servent 2014</w:t>
      </w:r>
      <w:r w:rsidR="00846D6B">
        <w:rPr>
          <w:rFonts w:ascii="Arial" w:hAnsi="Arial" w:cs="Arial"/>
          <w:sz w:val="20"/>
          <w:szCs w:val="20"/>
        </w:rPr>
        <w:t>;</w:t>
      </w:r>
      <w:r w:rsidR="00880711">
        <w:rPr>
          <w:rFonts w:ascii="Arial" w:hAnsi="Arial" w:cs="Arial"/>
          <w:sz w:val="20"/>
          <w:szCs w:val="20"/>
        </w:rPr>
        <w:t xml:space="preserve"> Young and Peterson 2014</w:t>
      </w:r>
      <w:r w:rsidR="00292E2D">
        <w:rPr>
          <w:rFonts w:ascii="Arial" w:hAnsi="Arial" w:cs="Arial"/>
          <w:sz w:val="20"/>
          <w:szCs w:val="20"/>
        </w:rPr>
        <w:t>)</w:t>
      </w:r>
      <w:r w:rsidR="004B0304">
        <w:rPr>
          <w:rFonts w:ascii="Arial" w:hAnsi="Arial" w:cs="Arial"/>
          <w:sz w:val="20"/>
          <w:szCs w:val="20"/>
        </w:rPr>
        <w:t>.</w:t>
      </w:r>
    </w:p>
    <w:p w14:paraId="6E2FAB57" w14:textId="77777777" w:rsidR="00292E2D" w:rsidRDefault="00292E2D" w:rsidP="00AA0BCF">
      <w:pPr>
        <w:spacing w:line="480" w:lineRule="auto"/>
        <w:jc w:val="both"/>
        <w:rPr>
          <w:rFonts w:ascii="Arial" w:hAnsi="Arial" w:cs="Arial"/>
          <w:sz w:val="20"/>
          <w:szCs w:val="20"/>
        </w:rPr>
      </w:pPr>
    </w:p>
    <w:p w14:paraId="3B9AD470" w14:textId="70E3FDA0" w:rsidR="00AB4674" w:rsidRDefault="00995B96" w:rsidP="000769B8">
      <w:pPr>
        <w:spacing w:line="480" w:lineRule="auto"/>
        <w:jc w:val="both"/>
        <w:rPr>
          <w:rFonts w:ascii="Arial" w:hAnsi="Arial" w:cs="Arial"/>
          <w:sz w:val="20"/>
          <w:szCs w:val="20"/>
        </w:rPr>
      </w:pPr>
      <w:r>
        <w:rPr>
          <w:rFonts w:ascii="Arial" w:hAnsi="Arial" w:cs="Arial"/>
          <w:sz w:val="20"/>
          <w:szCs w:val="20"/>
        </w:rPr>
        <w:t xml:space="preserve">This article </w:t>
      </w:r>
      <w:r w:rsidR="00F154E3">
        <w:rPr>
          <w:rFonts w:ascii="Arial" w:hAnsi="Arial" w:cs="Arial"/>
          <w:sz w:val="20"/>
          <w:szCs w:val="20"/>
        </w:rPr>
        <w:t xml:space="preserve">responds to this </w:t>
      </w:r>
      <w:r>
        <w:rPr>
          <w:rFonts w:ascii="Arial" w:hAnsi="Arial" w:cs="Arial"/>
          <w:sz w:val="20"/>
          <w:szCs w:val="20"/>
        </w:rPr>
        <w:t>need by using two-level game analysis</w:t>
      </w:r>
      <w:r w:rsidR="00D11988">
        <w:rPr>
          <w:rFonts w:ascii="Arial" w:hAnsi="Arial" w:cs="Arial"/>
          <w:sz w:val="20"/>
          <w:szCs w:val="20"/>
        </w:rPr>
        <w:t>,</w:t>
      </w:r>
      <w:r>
        <w:rPr>
          <w:rFonts w:ascii="Arial" w:hAnsi="Arial" w:cs="Arial"/>
          <w:sz w:val="20"/>
          <w:szCs w:val="20"/>
        </w:rPr>
        <w:t xml:space="preserve"> which extends its </w:t>
      </w:r>
      <w:r w:rsidR="00D11988">
        <w:rPr>
          <w:rFonts w:ascii="Arial" w:hAnsi="Arial" w:cs="Arial"/>
          <w:sz w:val="20"/>
          <w:szCs w:val="20"/>
        </w:rPr>
        <w:t xml:space="preserve">domestic </w:t>
      </w:r>
      <w:r>
        <w:rPr>
          <w:rFonts w:ascii="Arial" w:hAnsi="Arial" w:cs="Arial"/>
          <w:sz w:val="20"/>
          <w:szCs w:val="20"/>
        </w:rPr>
        <w:t xml:space="preserve">focus to include the EP as an additional domestic constituent </w:t>
      </w:r>
      <w:r w:rsidR="00D11988">
        <w:rPr>
          <w:rFonts w:ascii="Arial" w:hAnsi="Arial" w:cs="Arial"/>
          <w:sz w:val="20"/>
          <w:szCs w:val="20"/>
        </w:rPr>
        <w:t xml:space="preserve">to that of the Council, </w:t>
      </w:r>
      <w:r w:rsidR="00846D6B">
        <w:rPr>
          <w:rFonts w:ascii="Arial" w:hAnsi="Arial" w:cs="Arial"/>
          <w:sz w:val="20"/>
          <w:szCs w:val="20"/>
        </w:rPr>
        <w:t>to analyze the</w:t>
      </w:r>
      <w:r>
        <w:rPr>
          <w:rFonts w:ascii="Arial" w:hAnsi="Arial" w:cs="Arial"/>
          <w:sz w:val="20"/>
          <w:szCs w:val="20"/>
        </w:rPr>
        <w:t xml:space="preserve"> BTIA negotiations</w:t>
      </w:r>
      <w:r w:rsidR="00D11988">
        <w:rPr>
          <w:rFonts w:ascii="Arial" w:hAnsi="Arial" w:cs="Arial"/>
          <w:sz w:val="20"/>
          <w:szCs w:val="20"/>
        </w:rPr>
        <w:t xml:space="preserve"> between the EU and India. It </w:t>
      </w:r>
      <w:r w:rsidR="00FB4F8F">
        <w:rPr>
          <w:rFonts w:ascii="Arial" w:hAnsi="Arial" w:cs="Arial"/>
          <w:sz w:val="20"/>
          <w:szCs w:val="20"/>
        </w:rPr>
        <w:t>contributes to t</w:t>
      </w:r>
      <w:r w:rsidR="00846D6B">
        <w:rPr>
          <w:rFonts w:ascii="Arial" w:hAnsi="Arial" w:cs="Arial"/>
          <w:sz w:val="20"/>
          <w:szCs w:val="20"/>
        </w:rPr>
        <w:t xml:space="preserve">he debate </w:t>
      </w:r>
      <w:r w:rsidR="00D11988">
        <w:rPr>
          <w:rFonts w:ascii="Arial" w:hAnsi="Arial" w:cs="Arial"/>
          <w:sz w:val="20"/>
          <w:szCs w:val="20"/>
        </w:rPr>
        <w:t xml:space="preserve">about </w:t>
      </w:r>
      <w:r w:rsidR="00846D6B">
        <w:rPr>
          <w:rFonts w:ascii="Arial" w:hAnsi="Arial" w:cs="Arial"/>
          <w:sz w:val="20"/>
          <w:szCs w:val="20"/>
        </w:rPr>
        <w:t xml:space="preserve">the </w:t>
      </w:r>
      <w:r w:rsidR="00D11988">
        <w:rPr>
          <w:rFonts w:ascii="Arial" w:hAnsi="Arial" w:cs="Arial"/>
          <w:sz w:val="20"/>
          <w:szCs w:val="20"/>
        </w:rPr>
        <w:t>EP</w:t>
      </w:r>
      <w:r w:rsidR="00846D6B">
        <w:rPr>
          <w:rFonts w:ascii="Arial" w:hAnsi="Arial" w:cs="Arial"/>
          <w:sz w:val="20"/>
          <w:szCs w:val="20"/>
        </w:rPr>
        <w:t>’s</w:t>
      </w:r>
      <w:r w:rsidR="00D11988">
        <w:rPr>
          <w:rFonts w:ascii="Arial" w:hAnsi="Arial" w:cs="Arial"/>
          <w:sz w:val="20"/>
          <w:szCs w:val="20"/>
        </w:rPr>
        <w:t xml:space="preserve"> </w:t>
      </w:r>
      <w:r w:rsidR="00846D6B">
        <w:rPr>
          <w:rFonts w:ascii="Arial" w:hAnsi="Arial" w:cs="Arial"/>
          <w:sz w:val="20"/>
          <w:szCs w:val="20"/>
        </w:rPr>
        <w:t>impact</w:t>
      </w:r>
      <w:r w:rsidR="00D11988">
        <w:rPr>
          <w:rFonts w:ascii="Arial" w:hAnsi="Arial" w:cs="Arial"/>
          <w:sz w:val="20"/>
          <w:szCs w:val="20"/>
        </w:rPr>
        <w:t xml:space="preserve"> </w:t>
      </w:r>
      <w:r w:rsidR="00FB4F8F">
        <w:rPr>
          <w:rFonts w:ascii="Arial" w:hAnsi="Arial" w:cs="Arial"/>
          <w:sz w:val="20"/>
          <w:szCs w:val="20"/>
        </w:rPr>
        <w:t xml:space="preserve">on trade negotiations </w:t>
      </w:r>
      <w:r w:rsidR="00D11988">
        <w:rPr>
          <w:rFonts w:ascii="Arial" w:hAnsi="Arial" w:cs="Arial"/>
          <w:sz w:val="20"/>
          <w:szCs w:val="20"/>
        </w:rPr>
        <w:t xml:space="preserve">by </w:t>
      </w:r>
      <w:r w:rsidR="00EF3D53">
        <w:rPr>
          <w:rFonts w:ascii="Arial" w:hAnsi="Arial" w:cs="Arial"/>
          <w:sz w:val="20"/>
          <w:szCs w:val="20"/>
        </w:rPr>
        <w:t>showing how and to what extent i</w:t>
      </w:r>
      <w:r w:rsidR="00F154E3">
        <w:rPr>
          <w:rFonts w:ascii="Arial" w:hAnsi="Arial" w:cs="Arial"/>
          <w:sz w:val="20"/>
          <w:szCs w:val="20"/>
        </w:rPr>
        <w:t xml:space="preserve">t has </w:t>
      </w:r>
      <w:r w:rsidR="00D11988">
        <w:rPr>
          <w:rFonts w:ascii="Arial" w:hAnsi="Arial" w:cs="Arial"/>
          <w:sz w:val="20"/>
          <w:szCs w:val="20"/>
        </w:rPr>
        <w:t>influence</w:t>
      </w:r>
      <w:r w:rsidR="00A80687">
        <w:rPr>
          <w:rFonts w:ascii="Arial" w:hAnsi="Arial" w:cs="Arial"/>
          <w:sz w:val="20"/>
          <w:szCs w:val="20"/>
        </w:rPr>
        <w:t>d</w:t>
      </w:r>
      <w:r w:rsidR="00D11988">
        <w:rPr>
          <w:rFonts w:ascii="Arial" w:hAnsi="Arial" w:cs="Arial"/>
          <w:sz w:val="20"/>
          <w:szCs w:val="20"/>
        </w:rPr>
        <w:t xml:space="preserve"> </w:t>
      </w:r>
      <w:r w:rsidR="000748D1">
        <w:rPr>
          <w:rFonts w:ascii="Arial" w:hAnsi="Arial" w:cs="Arial"/>
          <w:sz w:val="20"/>
          <w:szCs w:val="20"/>
        </w:rPr>
        <w:t xml:space="preserve">the </w:t>
      </w:r>
      <w:r w:rsidR="00417AB5">
        <w:rPr>
          <w:rFonts w:ascii="Arial" w:hAnsi="Arial" w:cs="Arial"/>
          <w:sz w:val="20"/>
          <w:szCs w:val="20"/>
        </w:rPr>
        <w:t>negotiations</w:t>
      </w:r>
      <w:r w:rsidR="00BF004B">
        <w:rPr>
          <w:rFonts w:ascii="Arial" w:hAnsi="Arial" w:cs="Arial"/>
          <w:sz w:val="20"/>
          <w:szCs w:val="20"/>
        </w:rPr>
        <w:t xml:space="preserve">. </w:t>
      </w:r>
      <w:r w:rsidR="00E95D41">
        <w:rPr>
          <w:rFonts w:ascii="Arial" w:hAnsi="Arial" w:cs="Arial"/>
          <w:sz w:val="20"/>
          <w:szCs w:val="20"/>
        </w:rPr>
        <w:t xml:space="preserve">It </w:t>
      </w:r>
      <w:r w:rsidR="00417AB5">
        <w:rPr>
          <w:rFonts w:ascii="Arial" w:hAnsi="Arial" w:cs="Arial"/>
          <w:sz w:val="20"/>
          <w:szCs w:val="20"/>
        </w:rPr>
        <w:t>look</w:t>
      </w:r>
      <w:r w:rsidR="00060C15">
        <w:rPr>
          <w:rFonts w:ascii="Arial" w:hAnsi="Arial" w:cs="Arial"/>
          <w:sz w:val="20"/>
          <w:szCs w:val="20"/>
        </w:rPr>
        <w:t>s</w:t>
      </w:r>
      <w:r w:rsidR="00417AB5">
        <w:rPr>
          <w:rFonts w:ascii="Arial" w:hAnsi="Arial" w:cs="Arial"/>
          <w:sz w:val="20"/>
          <w:szCs w:val="20"/>
        </w:rPr>
        <w:t xml:space="preserve"> a</w:t>
      </w:r>
      <w:r w:rsidR="00BF004B">
        <w:rPr>
          <w:rFonts w:ascii="Arial" w:hAnsi="Arial" w:cs="Arial"/>
          <w:sz w:val="20"/>
          <w:szCs w:val="20"/>
        </w:rPr>
        <w:t>t how</w:t>
      </w:r>
      <w:r w:rsidR="00E95D41">
        <w:rPr>
          <w:rFonts w:ascii="Arial" w:hAnsi="Arial" w:cs="Arial"/>
          <w:sz w:val="20"/>
          <w:szCs w:val="20"/>
        </w:rPr>
        <w:t xml:space="preserve"> the EP</w:t>
      </w:r>
      <w:r w:rsidR="00BF004B">
        <w:rPr>
          <w:rFonts w:ascii="Arial" w:hAnsi="Arial" w:cs="Arial"/>
          <w:sz w:val="20"/>
          <w:szCs w:val="20"/>
        </w:rPr>
        <w:t xml:space="preserve"> has af</w:t>
      </w:r>
      <w:r w:rsidR="003F512E">
        <w:rPr>
          <w:rFonts w:ascii="Arial" w:hAnsi="Arial" w:cs="Arial"/>
          <w:sz w:val="20"/>
          <w:szCs w:val="20"/>
        </w:rPr>
        <w:t>fect</w:t>
      </w:r>
      <w:r w:rsidR="00BF004B">
        <w:rPr>
          <w:rFonts w:ascii="Arial" w:hAnsi="Arial" w:cs="Arial"/>
          <w:sz w:val="20"/>
          <w:szCs w:val="20"/>
        </w:rPr>
        <w:t>ed</w:t>
      </w:r>
      <w:r w:rsidR="003F512E">
        <w:rPr>
          <w:rFonts w:ascii="Arial" w:hAnsi="Arial" w:cs="Arial"/>
          <w:sz w:val="20"/>
          <w:szCs w:val="20"/>
        </w:rPr>
        <w:t xml:space="preserve"> </w:t>
      </w:r>
      <w:r w:rsidR="00D11988">
        <w:rPr>
          <w:rFonts w:ascii="Arial" w:hAnsi="Arial" w:cs="Arial"/>
          <w:sz w:val="20"/>
          <w:szCs w:val="20"/>
        </w:rPr>
        <w:t>the co</w:t>
      </w:r>
      <w:r w:rsidR="00A80687">
        <w:rPr>
          <w:rFonts w:ascii="Arial" w:hAnsi="Arial" w:cs="Arial"/>
          <w:sz w:val="20"/>
          <w:szCs w:val="20"/>
        </w:rPr>
        <w:t>ntours</w:t>
      </w:r>
      <w:r w:rsidR="003F512E">
        <w:rPr>
          <w:rFonts w:ascii="Arial" w:hAnsi="Arial" w:cs="Arial"/>
          <w:sz w:val="20"/>
          <w:szCs w:val="20"/>
        </w:rPr>
        <w:t xml:space="preserve"> of the EU </w:t>
      </w:r>
      <w:r w:rsidR="00D11988">
        <w:rPr>
          <w:rFonts w:ascii="Arial" w:hAnsi="Arial" w:cs="Arial"/>
          <w:sz w:val="20"/>
          <w:szCs w:val="20"/>
        </w:rPr>
        <w:t xml:space="preserve">win-set </w:t>
      </w:r>
      <w:r w:rsidR="00846D6B">
        <w:rPr>
          <w:rFonts w:ascii="Arial" w:hAnsi="Arial" w:cs="Arial"/>
          <w:sz w:val="20"/>
          <w:szCs w:val="20"/>
        </w:rPr>
        <w:t>in three key areas of the negotiation</w:t>
      </w:r>
      <w:r w:rsidR="00F154E3">
        <w:rPr>
          <w:rFonts w:ascii="Arial" w:hAnsi="Arial" w:cs="Arial"/>
          <w:sz w:val="20"/>
          <w:szCs w:val="20"/>
        </w:rPr>
        <w:t>s</w:t>
      </w:r>
      <w:r w:rsidR="00A65545">
        <w:rPr>
          <w:rFonts w:ascii="Arial" w:hAnsi="Arial" w:cs="Arial"/>
          <w:sz w:val="20"/>
          <w:szCs w:val="20"/>
        </w:rPr>
        <w:t xml:space="preserve"> – </w:t>
      </w:r>
      <w:r w:rsidR="00FB765F" w:rsidRPr="00C23944">
        <w:rPr>
          <w:rFonts w:ascii="Arial" w:hAnsi="Arial" w:cs="Arial"/>
          <w:sz w:val="20"/>
          <w:szCs w:val="20"/>
        </w:rPr>
        <w:t>market access, the inclusion of political and social clauses, and IPR provisions for pharmaceuticals</w:t>
      </w:r>
      <w:r w:rsidR="00FB765F">
        <w:rPr>
          <w:rFonts w:ascii="Arial" w:hAnsi="Arial" w:cs="Arial"/>
          <w:sz w:val="20"/>
          <w:szCs w:val="20"/>
        </w:rPr>
        <w:t xml:space="preserve"> –</w:t>
      </w:r>
      <w:r w:rsidR="00FB4F8F">
        <w:rPr>
          <w:rFonts w:ascii="Arial" w:hAnsi="Arial" w:cs="Arial"/>
          <w:sz w:val="20"/>
          <w:szCs w:val="20"/>
        </w:rPr>
        <w:t xml:space="preserve"> and</w:t>
      </w:r>
      <w:r w:rsidR="00FB765F">
        <w:rPr>
          <w:rFonts w:ascii="Arial" w:hAnsi="Arial" w:cs="Arial"/>
          <w:sz w:val="20"/>
          <w:szCs w:val="20"/>
        </w:rPr>
        <w:t xml:space="preserve"> </w:t>
      </w:r>
      <w:r w:rsidR="00FB4F8F">
        <w:rPr>
          <w:rFonts w:ascii="Arial" w:hAnsi="Arial" w:cs="Arial"/>
          <w:sz w:val="20"/>
          <w:szCs w:val="20"/>
        </w:rPr>
        <w:t xml:space="preserve">thus the potential for the EU and Indian negotiators to reach an agreement. </w:t>
      </w:r>
      <w:r w:rsidR="000748D1">
        <w:rPr>
          <w:rFonts w:ascii="Arial" w:hAnsi="Arial" w:cs="Arial"/>
          <w:sz w:val="20"/>
          <w:szCs w:val="20"/>
        </w:rPr>
        <w:t xml:space="preserve">It demonstrates how </w:t>
      </w:r>
      <w:r w:rsidR="000769B8">
        <w:rPr>
          <w:rFonts w:ascii="Arial" w:hAnsi="Arial" w:cs="Arial"/>
          <w:sz w:val="20"/>
          <w:szCs w:val="20"/>
        </w:rPr>
        <w:t xml:space="preserve">in the area of market access the impact of the EP has been minor due to the strong convergence in preferences within the EU. </w:t>
      </w:r>
      <w:r w:rsidR="00BF004B">
        <w:rPr>
          <w:rFonts w:ascii="Arial" w:hAnsi="Arial" w:cs="Arial"/>
          <w:sz w:val="20"/>
          <w:szCs w:val="20"/>
        </w:rPr>
        <w:t xml:space="preserve">However, </w:t>
      </w:r>
      <w:r w:rsidR="00AB4674">
        <w:rPr>
          <w:rFonts w:ascii="Arial" w:hAnsi="Arial" w:cs="Arial"/>
          <w:sz w:val="20"/>
          <w:szCs w:val="20"/>
        </w:rPr>
        <w:t xml:space="preserve">regarding the inclusion </w:t>
      </w:r>
      <w:r w:rsidR="000769B8">
        <w:rPr>
          <w:rFonts w:ascii="Arial" w:hAnsi="Arial" w:cs="Arial"/>
          <w:sz w:val="20"/>
          <w:szCs w:val="20"/>
        </w:rPr>
        <w:t>o</w:t>
      </w:r>
      <w:r w:rsidR="00CD379C">
        <w:rPr>
          <w:rFonts w:ascii="Arial" w:hAnsi="Arial" w:cs="Arial"/>
          <w:sz w:val="20"/>
          <w:szCs w:val="20"/>
        </w:rPr>
        <w:t xml:space="preserve">f political and social clauses the EP has significantly </w:t>
      </w:r>
      <w:r w:rsidR="000769B8">
        <w:rPr>
          <w:rFonts w:ascii="Arial" w:hAnsi="Arial" w:cs="Arial"/>
          <w:sz w:val="20"/>
          <w:szCs w:val="20"/>
        </w:rPr>
        <w:t>reduced</w:t>
      </w:r>
      <w:r w:rsidR="00283E88">
        <w:rPr>
          <w:rFonts w:ascii="Arial" w:hAnsi="Arial" w:cs="Arial"/>
          <w:sz w:val="20"/>
          <w:szCs w:val="20"/>
        </w:rPr>
        <w:t xml:space="preserve"> the EU win-set, thereby h</w:t>
      </w:r>
      <w:r w:rsidR="00AB4674">
        <w:rPr>
          <w:rFonts w:ascii="Arial" w:hAnsi="Arial" w:cs="Arial"/>
          <w:sz w:val="20"/>
          <w:szCs w:val="20"/>
        </w:rPr>
        <w:t>indering</w:t>
      </w:r>
      <w:r w:rsidR="00283E88">
        <w:rPr>
          <w:rFonts w:ascii="Arial" w:hAnsi="Arial" w:cs="Arial"/>
          <w:sz w:val="20"/>
          <w:szCs w:val="20"/>
        </w:rPr>
        <w:t xml:space="preserve"> an agreement with </w:t>
      </w:r>
      <w:r w:rsidR="000769B8">
        <w:rPr>
          <w:rFonts w:ascii="Arial" w:hAnsi="Arial" w:cs="Arial"/>
          <w:sz w:val="20"/>
          <w:szCs w:val="20"/>
        </w:rPr>
        <w:t>India</w:t>
      </w:r>
      <w:r w:rsidR="00CD379C">
        <w:rPr>
          <w:rFonts w:ascii="Arial" w:hAnsi="Arial" w:cs="Arial"/>
          <w:sz w:val="20"/>
          <w:szCs w:val="20"/>
        </w:rPr>
        <w:t xml:space="preserve">, while in the </w:t>
      </w:r>
      <w:r w:rsidR="00BF004B">
        <w:rPr>
          <w:rFonts w:ascii="Arial" w:hAnsi="Arial" w:cs="Arial"/>
          <w:sz w:val="20"/>
          <w:szCs w:val="20"/>
        </w:rPr>
        <w:t xml:space="preserve">area of </w:t>
      </w:r>
      <w:r w:rsidR="000769B8">
        <w:rPr>
          <w:rFonts w:ascii="Arial" w:hAnsi="Arial" w:cs="Arial"/>
          <w:sz w:val="20"/>
          <w:szCs w:val="20"/>
        </w:rPr>
        <w:t>IPR provisions for pharmaceuticals</w:t>
      </w:r>
      <w:r w:rsidR="00060C15">
        <w:rPr>
          <w:rFonts w:ascii="Arial" w:hAnsi="Arial" w:cs="Arial"/>
          <w:sz w:val="20"/>
          <w:szCs w:val="20"/>
        </w:rPr>
        <w:t xml:space="preserve">, </w:t>
      </w:r>
      <w:r w:rsidR="00CD379C">
        <w:rPr>
          <w:rFonts w:ascii="Arial" w:hAnsi="Arial" w:cs="Arial"/>
          <w:sz w:val="20"/>
          <w:szCs w:val="20"/>
        </w:rPr>
        <w:t xml:space="preserve">it has </w:t>
      </w:r>
      <w:r w:rsidR="00060C15">
        <w:rPr>
          <w:rFonts w:ascii="Arial" w:hAnsi="Arial" w:cs="Arial"/>
          <w:sz w:val="20"/>
          <w:szCs w:val="20"/>
        </w:rPr>
        <w:t>f</w:t>
      </w:r>
      <w:r w:rsidR="000769B8">
        <w:rPr>
          <w:rFonts w:ascii="Arial" w:hAnsi="Arial" w:cs="Arial"/>
          <w:sz w:val="20"/>
          <w:szCs w:val="20"/>
        </w:rPr>
        <w:t xml:space="preserve">acilitated an overlap between the </w:t>
      </w:r>
      <w:r w:rsidR="00060C15">
        <w:rPr>
          <w:rFonts w:ascii="Arial" w:hAnsi="Arial" w:cs="Arial"/>
          <w:sz w:val="20"/>
          <w:szCs w:val="20"/>
        </w:rPr>
        <w:t xml:space="preserve">EU and Indian </w:t>
      </w:r>
      <w:r w:rsidR="000769B8">
        <w:rPr>
          <w:rFonts w:ascii="Arial" w:hAnsi="Arial" w:cs="Arial"/>
          <w:sz w:val="20"/>
          <w:szCs w:val="20"/>
        </w:rPr>
        <w:t xml:space="preserve">win-sets by tipping the balance of the EU win-set in the direction of that of India. </w:t>
      </w:r>
      <w:r w:rsidR="00060C15">
        <w:rPr>
          <w:rFonts w:ascii="Arial" w:hAnsi="Arial" w:cs="Arial"/>
          <w:sz w:val="20"/>
          <w:szCs w:val="20"/>
        </w:rPr>
        <w:t xml:space="preserve">The article also </w:t>
      </w:r>
      <w:r w:rsidR="00E95D41">
        <w:rPr>
          <w:rFonts w:ascii="Arial" w:hAnsi="Arial" w:cs="Arial"/>
          <w:sz w:val="20"/>
          <w:szCs w:val="20"/>
        </w:rPr>
        <w:t>shows how the increased impact of the EP has affected the negotiating dynamics</w:t>
      </w:r>
      <w:r w:rsidR="007A1774">
        <w:rPr>
          <w:rFonts w:ascii="Arial" w:hAnsi="Arial" w:cs="Arial"/>
          <w:sz w:val="20"/>
          <w:szCs w:val="20"/>
        </w:rPr>
        <w:t xml:space="preserve"> both internally and externally</w:t>
      </w:r>
      <w:r w:rsidR="00D12C6A">
        <w:rPr>
          <w:rFonts w:ascii="Arial" w:hAnsi="Arial" w:cs="Arial"/>
          <w:sz w:val="20"/>
          <w:szCs w:val="20"/>
        </w:rPr>
        <w:t xml:space="preserve">, </w:t>
      </w:r>
      <w:r w:rsidR="005C1804">
        <w:rPr>
          <w:rFonts w:ascii="Arial" w:hAnsi="Arial" w:cs="Arial"/>
          <w:sz w:val="20"/>
          <w:szCs w:val="20"/>
        </w:rPr>
        <w:t xml:space="preserve">highlighting how the negotiators have increased their interactions with the EP, </w:t>
      </w:r>
      <w:r w:rsidR="00AB4674">
        <w:rPr>
          <w:rFonts w:ascii="Arial" w:hAnsi="Arial" w:cs="Arial"/>
          <w:sz w:val="20"/>
          <w:szCs w:val="20"/>
        </w:rPr>
        <w:t>and how they have had their p</w:t>
      </w:r>
      <w:r w:rsidR="00D90511">
        <w:rPr>
          <w:rFonts w:ascii="Arial" w:hAnsi="Arial" w:cs="Arial"/>
          <w:sz w:val="20"/>
          <w:szCs w:val="20"/>
        </w:rPr>
        <w:t>references somewhat compromised when trying to reach an agreement with India.</w:t>
      </w:r>
      <w:r w:rsidR="00AB4674">
        <w:rPr>
          <w:rFonts w:ascii="Arial" w:hAnsi="Arial" w:cs="Arial"/>
          <w:sz w:val="20"/>
          <w:szCs w:val="20"/>
        </w:rPr>
        <w:t xml:space="preserve"> </w:t>
      </w:r>
    </w:p>
    <w:p w14:paraId="2DD61A7E" w14:textId="77777777" w:rsidR="00885989" w:rsidRDefault="00885989" w:rsidP="00C23944">
      <w:pPr>
        <w:spacing w:line="480" w:lineRule="auto"/>
        <w:jc w:val="both"/>
        <w:rPr>
          <w:rFonts w:ascii="Arial" w:hAnsi="Arial" w:cs="Arial"/>
          <w:sz w:val="20"/>
          <w:szCs w:val="20"/>
        </w:rPr>
      </w:pPr>
    </w:p>
    <w:p w14:paraId="30845B6D" w14:textId="0E2244A8" w:rsidR="002968D3" w:rsidRDefault="00FA5839" w:rsidP="00E95D41">
      <w:pPr>
        <w:spacing w:line="480" w:lineRule="auto"/>
        <w:jc w:val="both"/>
        <w:rPr>
          <w:rFonts w:ascii="Arial" w:hAnsi="Arial" w:cs="Arial"/>
          <w:sz w:val="20"/>
          <w:szCs w:val="20"/>
        </w:rPr>
      </w:pPr>
      <w:r w:rsidRPr="00C23944">
        <w:rPr>
          <w:rFonts w:ascii="Arial" w:hAnsi="Arial" w:cs="Arial"/>
          <w:sz w:val="20"/>
          <w:szCs w:val="20"/>
        </w:rPr>
        <w:t>The article</w:t>
      </w:r>
      <w:r w:rsidR="007C396A">
        <w:rPr>
          <w:rFonts w:ascii="Arial" w:hAnsi="Arial" w:cs="Arial"/>
          <w:sz w:val="20"/>
          <w:szCs w:val="20"/>
        </w:rPr>
        <w:t xml:space="preserve"> is based on </w:t>
      </w:r>
      <w:r w:rsidR="0088185C">
        <w:rPr>
          <w:rFonts w:ascii="Arial" w:hAnsi="Arial" w:cs="Arial"/>
          <w:sz w:val="20"/>
          <w:szCs w:val="20"/>
        </w:rPr>
        <w:t>aca</w:t>
      </w:r>
      <w:r w:rsidR="007C396A">
        <w:rPr>
          <w:rFonts w:ascii="Arial" w:hAnsi="Arial" w:cs="Arial"/>
          <w:sz w:val="20"/>
          <w:szCs w:val="20"/>
        </w:rPr>
        <w:t xml:space="preserve">demic </w:t>
      </w:r>
      <w:r w:rsidR="002968D3">
        <w:rPr>
          <w:rFonts w:ascii="Arial" w:hAnsi="Arial" w:cs="Arial"/>
          <w:sz w:val="20"/>
          <w:szCs w:val="20"/>
        </w:rPr>
        <w:t>literature,</w:t>
      </w:r>
      <w:r w:rsidR="007C396A">
        <w:rPr>
          <w:rFonts w:ascii="Arial" w:hAnsi="Arial" w:cs="Arial"/>
          <w:sz w:val="20"/>
          <w:szCs w:val="20"/>
        </w:rPr>
        <w:t xml:space="preserve"> EU official documents, reports published by NGO and business organisations, media coverage</w:t>
      </w:r>
      <w:r w:rsidR="00871A1C">
        <w:rPr>
          <w:rFonts w:ascii="Arial" w:hAnsi="Arial" w:cs="Arial"/>
          <w:sz w:val="20"/>
          <w:szCs w:val="20"/>
        </w:rPr>
        <w:t xml:space="preserve">, as well as </w:t>
      </w:r>
      <w:r w:rsidR="00FB4F8F">
        <w:rPr>
          <w:rFonts w:ascii="Arial" w:hAnsi="Arial" w:cs="Arial"/>
          <w:sz w:val="20"/>
          <w:szCs w:val="20"/>
        </w:rPr>
        <w:t xml:space="preserve">12 </w:t>
      </w:r>
      <w:r w:rsidRPr="00C23944">
        <w:rPr>
          <w:rFonts w:ascii="Arial" w:hAnsi="Arial" w:cs="Arial"/>
          <w:sz w:val="20"/>
          <w:szCs w:val="20"/>
        </w:rPr>
        <w:t>semi-structured interviews with members of both the EU and the Indian negotiation teams, officials from the Commission’s Directorates-General (DGs) for Trade and Agriculture, the EP, and the Trade Policy Committee (TPC)</w:t>
      </w:r>
      <w:r w:rsidR="00930855">
        <w:rPr>
          <w:rFonts w:ascii="Arial" w:hAnsi="Arial" w:cs="Arial"/>
          <w:sz w:val="20"/>
          <w:szCs w:val="20"/>
        </w:rPr>
        <w:t xml:space="preserve">, each lasting around on hour with the promise of anonymity.  </w:t>
      </w:r>
      <w:r w:rsidR="00871A1C">
        <w:rPr>
          <w:rFonts w:ascii="Arial" w:hAnsi="Arial" w:cs="Arial"/>
          <w:sz w:val="20"/>
          <w:szCs w:val="20"/>
        </w:rPr>
        <w:t>It contributes to the wider literature on EU trade negotiations, and specifically to the debate about the impact</w:t>
      </w:r>
      <w:r w:rsidR="00E95D41">
        <w:rPr>
          <w:rFonts w:ascii="Arial" w:hAnsi="Arial" w:cs="Arial"/>
          <w:sz w:val="20"/>
          <w:szCs w:val="20"/>
        </w:rPr>
        <w:t xml:space="preserve"> of the EP. It also sheds empirical light on the BTIA negotiations</w:t>
      </w:r>
      <w:r w:rsidR="004B310F">
        <w:rPr>
          <w:rFonts w:ascii="Arial" w:hAnsi="Arial" w:cs="Arial"/>
          <w:sz w:val="20"/>
          <w:szCs w:val="20"/>
        </w:rPr>
        <w:t xml:space="preserve">. </w:t>
      </w:r>
      <w:r w:rsidR="00E95D41">
        <w:rPr>
          <w:rFonts w:ascii="Arial" w:hAnsi="Arial" w:cs="Arial"/>
          <w:sz w:val="20"/>
          <w:szCs w:val="20"/>
        </w:rPr>
        <w:t xml:space="preserve">Theoretically it expands the </w:t>
      </w:r>
      <w:r w:rsidR="00871A1C">
        <w:rPr>
          <w:rFonts w:ascii="Arial" w:hAnsi="Arial" w:cs="Arial"/>
          <w:sz w:val="20"/>
          <w:szCs w:val="20"/>
        </w:rPr>
        <w:t xml:space="preserve">domestic level </w:t>
      </w:r>
      <w:r w:rsidR="00871A1C" w:rsidRPr="00C23944">
        <w:rPr>
          <w:rFonts w:ascii="Arial" w:hAnsi="Arial" w:cs="Arial"/>
          <w:sz w:val="20"/>
          <w:szCs w:val="20"/>
        </w:rPr>
        <w:t>of the two-level game approach to EU trade negotiations by adding the EP as a domestic constituent</w:t>
      </w:r>
      <w:r w:rsidR="00E95D41">
        <w:rPr>
          <w:rFonts w:ascii="Arial" w:hAnsi="Arial" w:cs="Arial"/>
          <w:sz w:val="20"/>
          <w:szCs w:val="20"/>
        </w:rPr>
        <w:t xml:space="preserve">, thus widening </w:t>
      </w:r>
      <w:r w:rsidR="00871A1C">
        <w:rPr>
          <w:rFonts w:ascii="Arial" w:hAnsi="Arial" w:cs="Arial"/>
          <w:sz w:val="20"/>
          <w:szCs w:val="20"/>
        </w:rPr>
        <w:t xml:space="preserve">the analytical focus </w:t>
      </w:r>
      <w:r w:rsidR="00E95D41">
        <w:rPr>
          <w:rFonts w:ascii="Arial" w:hAnsi="Arial" w:cs="Arial"/>
          <w:sz w:val="20"/>
          <w:szCs w:val="20"/>
        </w:rPr>
        <w:t xml:space="preserve">beyond </w:t>
      </w:r>
      <w:r w:rsidR="00871A1C">
        <w:rPr>
          <w:rFonts w:ascii="Arial" w:hAnsi="Arial" w:cs="Arial"/>
          <w:sz w:val="20"/>
          <w:szCs w:val="20"/>
        </w:rPr>
        <w:t>the well-established Commission-Council interactions</w:t>
      </w:r>
      <w:r w:rsidR="00E95D41">
        <w:rPr>
          <w:rFonts w:ascii="Arial" w:hAnsi="Arial" w:cs="Arial"/>
          <w:sz w:val="20"/>
          <w:szCs w:val="20"/>
        </w:rPr>
        <w:t xml:space="preserve">. </w:t>
      </w:r>
    </w:p>
    <w:p w14:paraId="7AE96198" w14:textId="77777777" w:rsidR="002968D3" w:rsidRDefault="002968D3" w:rsidP="00E95D41">
      <w:pPr>
        <w:spacing w:line="480" w:lineRule="auto"/>
        <w:jc w:val="both"/>
        <w:rPr>
          <w:rFonts w:ascii="Arial" w:hAnsi="Arial" w:cs="Arial"/>
          <w:sz w:val="20"/>
          <w:szCs w:val="20"/>
        </w:rPr>
      </w:pPr>
    </w:p>
    <w:p w14:paraId="78A9C777" w14:textId="1662BB5D" w:rsidR="00130319" w:rsidRPr="00C23944" w:rsidRDefault="00E95D41" w:rsidP="00E95D41">
      <w:pPr>
        <w:spacing w:line="480" w:lineRule="auto"/>
        <w:jc w:val="both"/>
        <w:rPr>
          <w:rFonts w:ascii="Arial" w:hAnsi="Arial" w:cs="Arial"/>
          <w:sz w:val="20"/>
          <w:szCs w:val="20"/>
        </w:rPr>
      </w:pPr>
      <w:r>
        <w:rPr>
          <w:rFonts w:ascii="Arial" w:hAnsi="Arial" w:cs="Arial"/>
          <w:sz w:val="20"/>
          <w:szCs w:val="20"/>
        </w:rPr>
        <w:t xml:space="preserve">The structure of the article is as follows: </w:t>
      </w:r>
      <w:r w:rsidR="00782CD6" w:rsidRPr="00C23944">
        <w:rPr>
          <w:rFonts w:ascii="Arial" w:hAnsi="Arial" w:cs="Arial"/>
          <w:sz w:val="20"/>
          <w:szCs w:val="20"/>
        </w:rPr>
        <w:t>First</w:t>
      </w:r>
      <w:r w:rsidR="00750150" w:rsidRPr="00C23944">
        <w:rPr>
          <w:rFonts w:ascii="Arial" w:hAnsi="Arial" w:cs="Arial"/>
          <w:sz w:val="20"/>
          <w:szCs w:val="20"/>
        </w:rPr>
        <w:t xml:space="preserve">, the </w:t>
      </w:r>
      <w:r w:rsidR="00FC3B95">
        <w:rPr>
          <w:rFonts w:ascii="Arial" w:hAnsi="Arial" w:cs="Arial"/>
          <w:sz w:val="20"/>
          <w:szCs w:val="20"/>
        </w:rPr>
        <w:t>application of</w:t>
      </w:r>
      <w:r w:rsidR="00C93A25" w:rsidRPr="00C23944">
        <w:rPr>
          <w:rFonts w:ascii="Arial" w:hAnsi="Arial" w:cs="Arial"/>
          <w:sz w:val="20"/>
          <w:szCs w:val="20"/>
        </w:rPr>
        <w:t xml:space="preserve"> two-level game </w:t>
      </w:r>
      <w:r w:rsidR="00FC3B95">
        <w:rPr>
          <w:rFonts w:ascii="Arial" w:hAnsi="Arial" w:cs="Arial"/>
          <w:sz w:val="20"/>
          <w:szCs w:val="20"/>
        </w:rPr>
        <w:t xml:space="preserve">analysis </w:t>
      </w:r>
      <w:r w:rsidR="005D4EE0">
        <w:rPr>
          <w:rFonts w:ascii="Arial" w:hAnsi="Arial" w:cs="Arial"/>
          <w:sz w:val="20"/>
          <w:szCs w:val="20"/>
        </w:rPr>
        <w:t xml:space="preserve">is explained. Second, the </w:t>
      </w:r>
      <w:r w:rsidR="00130319" w:rsidRPr="00C23944">
        <w:rPr>
          <w:rFonts w:ascii="Arial" w:hAnsi="Arial" w:cs="Arial"/>
          <w:sz w:val="20"/>
          <w:szCs w:val="20"/>
        </w:rPr>
        <w:t xml:space="preserve">extent to which there is an overlap between the win-sets of the EU and India is determined </w:t>
      </w:r>
      <w:r w:rsidR="00A860EE" w:rsidRPr="00C23944">
        <w:rPr>
          <w:rFonts w:ascii="Arial" w:hAnsi="Arial" w:cs="Arial"/>
          <w:sz w:val="20"/>
          <w:szCs w:val="20"/>
        </w:rPr>
        <w:t xml:space="preserve">by </w:t>
      </w:r>
      <w:r w:rsidR="005D4EE0">
        <w:rPr>
          <w:rFonts w:ascii="Arial" w:hAnsi="Arial" w:cs="Arial"/>
          <w:sz w:val="20"/>
          <w:szCs w:val="20"/>
        </w:rPr>
        <w:t xml:space="preserve">looking at </w:t>
      </w:r>
      <w:r>
        <w:rPr>
          <w:rFonts w:ascii="Arial" w:hAnsi="Arial" w:cs="Arial"/>
          <w:sz w:val="20"/>
          <w:szCs w:val="20"/>
        </w:rPr>
        <w:t>the areas of</w:t>
      </w:r>
      <w:r w:rsidR="005D4EE0" w:rsidRPr="00C23944">
        <w:rPr>
          <w:rFonts w:ascii="Arial" w:hAnsi="Arial" w:cs="Arial"/>
          <w:sz w:val="20"/>
          <w:szCs w:val="20"/>
        </w:rPr>
        <w:t xml:space="preserve"> market access, the inclusion of political and social clauses, and IPR provisions for pharmaceuticals</w:t>
      </w:r>
      <w:r w:rsidR="005D4EE0">
        <w:rPr>
          <w:rFonts w:ascii="Arial" w:hAnsi="Arial" w:cs="Arial"/>
          <w:sz w:val="20"/>
          <w:szCs w:val="20"/>
        </w:rPr>
        <w:t xml:space="preserve">. The preferences of the EU negotiators, the Member States in the Council, the EP and India are identified through process tracing, and the </w:t>
      </w:r>
      <w:r w:rsidR="00C3264C">
        <w:rPr>
          <w:rFonts w:ascii="Arial" w:hAnsi="Arial" w:cs="Arial"/>
          <w:sz w:val="20"/>
          <w:szCs w:val="20"/>
        </w:rPr>
        <w:t>change in their respective positions during the course of the negotiations is</w:t>
      </w:r>
      <w:r w:rsidR="00AD43FB">
        <w:rPr>
          <w:rFonts w:ascii="Arial" w:hAnsi="Arial" w:cs="Arial"/>
          <w:sz w:val="20"/>
          <w:szCs w:val="20"/>
        </w:rPr>
        <w:t xml:space="preserve"> expl</w:t>
      </w:r>
      <w:r w:rsidR="00A652A4">
        <w:rPr>
          <w:rFonts w:ascii="Arial" w:hAnsi="Arial" w:cs="Arial"/>
          <w:sz w:val="20"/>
          <w:szCs w:val="20"/>
        </w:rPr>
        <w:t>ored</w:t>
      </w:r>
      <w:r w:rsidR="00C3264C">
        <w:rPr>
          <w:rFonts w:ascii="Arial" w:hAnsi="Arial" w:cs="Arial"/>
          <w:sz w:val="20"/>
          <w:szCs w:val="20"/>
        </w:rPr>
        <w:t xml:space="preserve">. </w:t>
      </w:r>
      <w:r w:rsidR="00130319" w:rsidRPr="00C23944">
        <w:rPr>
          <w:rFonts w:ascii="Arial" w:hAnsi="Arial" w:cs="Arial"/>
          <w:sz w:val="20"/>
          <w:szCs w:val="20"/>
        </w:rPr>
        <w:t>Third, the negotiating dynamics both within the EU and bet</w:t>
      </w:r>
      <w:r w:rsidR="00517128">
        <w:rPr>
          <w:rFonts w:ascii="Arial" w:hAnsi="Arial" w:cs="Arial"/>
          <w:sz w:val="20"/>
          <w:szCs w:val="20"/>
        </w:rPr>
        <w:t xml:space="preserve">ween the EU and India are </w:t>
      </w:r>
      <w:r w:rsidR="007A1774">
        <w:rPr>
          <w:rFonts w:ascii="Arial" w:hAnsi="Arial" w:cs="Arial"/>
          <w:sz w:val="20"/>
          <w:szCs w:val="20"/>
        </w:rPr>
        <w:t>analysed</w:t>
      </w:r>
      <w:r>
        <w:rPr>
          <w:rFonts w:ascii="Arial" w:hAnsi="Arial" w:cs="Arial"/>
          <w:sz w:val="20"/>
          <w:szCs w:val="20"/>
        </w:rPr>
        <w:t xml:space="preserve">. </w:t>
      </w:r>
      <w:r w:rsidR="00130319" w:rsidRPr="00C23944">
        <w:rPr>
          <w:rFonts w:ascii="Arial" w:hAnsi="Arial" w:cs="Arial"/>
          <w:sz w:val="20"/>
          <w:szCs w:val="20"/>
        </w:rPr>
        <w:t xml:space="preserve">Finally, a number of conclusions are drawn. </w:t>
      </w:r>
    </w:p>
    <w:p w14:paraId="4290C456" w14:textId="77777777" w:rsidR="003607CF" w:rsidRPr="00C23944" w:rsidRDefault="003607CF" w:rsidP="00C23944">
      <w:pPr>
        <w:spacing w:line="480" w:lineRule="auto"/>
        <w:jc w:val="both"/>
        <w:rPr>
          <w:rFonts w:ascii="Arial" w:hAnsi="Arial" w:cs="Arial"/>
          <w:sz w:val="20"/>
          <w:szCs w:val="20"/>
        </w:rPr>
      </w:pPr>
    </w:p>
    <w:p w14:paraId="312CAE78" w14:textId="77777777" w:rsidR="00D970BB" w:rsidRPr="00C23944" w:rsidRDefault="00782CD6" w:rsidP="00C23944">
      <w:pPr>
        <w:spacing w:line="480" w:lineRule="auto"/>
        <w:jc w:val="both"/>
        <w:rPr>
          <w:rFonts w:ascii="Arial" w:hAnsi="Arial" w:cs="Arial"/>
          <w:b/>
          <w:sz w:val="20"/>
          <w:szCs w:val="20"/>
        </w:rPr>
      </w:pPr>
      <w:r w:rsidRPr="00C23944">
        <w:rPr>
          <w:rFonts w:ascii="Arial" w:hAnsi="Arial" w:cs="Arial"/>
          <w:b/>
          <w:sz w:val="20"/>
          <w:szCs w:val="20"/>
        </w:rPr>
        <w:t>2</w:t>
      </w:r>
      <w:r w:rsidR="00281FD2" w:rsidRPr="00C23944">
        <w:rPr>
          <w:rFonts w:ascii="Arial" w:hAnsi="Arial" w:cs="Arial"/>
          <w:b/>
          <w:sz w:val="20"/>
          <w:szCs w:val="20"/>
        </w:rPr>
        <w:t>. The Application of Two-Level Game Analysis</w:t>
      </w:r>
    </w:p>
    <w:p w14:paraId="6D141F9D" w14:textId="3E0873F2" w:rsidR="00F570E9" w:rsidRPr="00C23944" w:rsidRDefault="00F570E9" w:rsidP="00F570E9">
      <w:pPr>
        <w:spacing w:line="480" w:lineRule="auto"/>
        <w:jc w:val="both"/>
        <w:rPr>
          <w:rFonts w:ascii="Arial" w:hAnsi="Arial" w:cs="Arial"/>
          <w:sz w:val="20"/>
          <w:szCs w:val="20"/>
        </w:rPr>
      </w:pPr>
      <w:r>
        <w:rPr>
          <w:rFonts w:ascii="Arial" w:hAnsi="Arial" w:cs="Arial"/>
          <w:sz w:val="20"/>
          <w:szCs w:val="20"/>
        </w:rPr>
        <w:t xml:space="preserve">Several </w:t>
      </w:r>
      <w:r w:rsidRPr="00C23944">
        <w:rPr>
          <w:rFonts w:ascii="Arial" w:hAnsi="Arial" w:cs="Arial"/>
          <w:sz w:val="20"/>
          <w:szCs w:val="20"/>
        </w:rPr>
        <w:t>analyses of EU trade negotiations ha</w:t>
      </w:r>
      <w:r>
        <w:rPr>
          <w:rFonts w:ascii="Arial" w:hAnsi="Arial" w:cs="Arial"/>
          <w:sz w:val="20"/>
          <w:szCs w:val="20"/>
        </w:rPr>
        <w:t>ve adopted Putnam’s (1988) two-</w:t>
      </w:r>
      <w:r w:rsidRPr="00C23944">
        <w:rPr>
          <w:rFonts w:ascii="Arial" w:hAnsi="Arial" w:cs="Arial"/>
          <w:sz w:val="20"/>
          <w:szCs w:val="20"/>
        </w:rPr>
        <w:t>level game approach to explain the conduct and outcome of the negotiations (e.g. Frennhoff Larsén 2</w:t>
      </w:r>
      <w:r>
        <w:rPr>
          <w:rFonts w:ascii="Arial" w:hAnsi="Arial" w:cs="Arial"/>
          <w:sz w:val="20"/>
          <w:szCs w:val="20"/>
        </w:rPr>
        <w:t>007; Meunier</w:t>
      </w:r>
      <w:r w:rsidRPr="00C23944">
        <w:rPr>
          <w:rFonts w:ascii="Arial" w:hAnsi="Arial" w:cs="Arial"/>
          <w:sz w:val="20"/>
          <w:szCs w:val="20"/>
        </w:rPr>
        <w:t xml:space="preserve"> 2005; Woolcock 2005). The main argument of two-level game analysis is that any international agreement is dependent on domestic agreement within the </w:t>
      </w:r>
      <w:r>
        <w:rPr>
          <w:rFonts w:ascii="Arial" w:hAnsi="Arial" w:cs="Arial"/>
          <w:sz w:val="20"/>
          <w:szCs w:val="20"/>
        </w:rPr>
        <w:t xml:space="preserve">negotiating parties. </w:t>
      </w:r>
      <w:r w:rsidRPr="00C23944">
        <w:rPr>
          <w:rFonts w:ascii="Arial" w:hAnsi="Arial" w:cs="Arial"/>
          <w:sz w:val="20"/>
          <w:szCs w:val="20"/>
        </w:rPr>
        <w:t>Consequently, during an international negotiation there are parallel domestic negotiations taking place. These international (Level I) and domestic (Level II) negotiations, or games, are closely linked both through the negotiator, who takes part in both games, and through the ratification requirement, as no international agreement can enter into force without domestic ratification (Putnam 1988). The two-level game analyses of EU trade negotiations demonstrate how the EU negotiator</w:t>
      </w:r>
      <w:r w:rsidR="00786C5D">
        <w:rPr>
          <w:rFonts w:ascii="Arial" w:hAnsi="Arial" w:cs="Arial"/>
          <w:sz w:val="20"/>
          <w:szCs w:val="20"/>
        </w:rPr>
        <w:t>s</w:t>
      </w:r>
      <w:r w:rsidRPr="00C23944">
        <w:rPr>
          <w:rFonts w:ascii="Arial" w:hAnsi="Arial" w:cs="Arial"/>
          <w:sz w:val="20"/>
          <w:szCs w:val="20"/>
        </w:rPr>
        <w:t xml:space="preserve"> – most often sees as the Commission – operate both internationally at Level I, when </w:t>
      </w:r>
      <w:r w:rsidR="00786C5D">
        <w:rPr>
          <w:rFonts w:ascii="Arial" w:hAnsi="Arial" w:cs="Arial"/>
          <w:sz w:val="20"/>
          <w:szCs w:val="20"/>
        </w:rPr>
        <w:t>they negotiate</w:t>
      </w:r>
      <w:r w:rsidRPr="00C23944">
        <w:rPr>
          <w:rFonts w:ascii="Arial" w:hAnsi="Arial" w:cs="Arial"/>
          <w:sz w:val="20"/>
          <w:szCs w:val="20"/>
        </w:rPr>
        <w:t xml:space="preserve"> with a third party, and domestically at Level II, when </w:t>
      </w:r>
      <w:r w:rsidR="00786C5D">
        <w:rPr>
          <w:rFonts w:ascii="Arial" w:hAnsi="Arial" w:cs="Arial"/>
          <w:sz w:val="20"/>
          <w:szCs w:val="20"/>
        </w:rPr>
        <w:t>they</w:t>
      </w:r>
      <w:r w:rsidRPr="00C23944">
        <w:rPr>
          <w:rFonts w:ascii="Arial" w:hAnsi="Arial" w:cs="Arial"/>
          <w:sz w:val="20"/>
          <w:szCs w:val="20"/>
        </w:rPr>
        <w:t xml:space="preserve"> ha</w:t>
      </w:r>
      <w:r w:rsidR="00786C5D">
        <w:rPr>
          <w:rFonts w:ascii="Arial" w:hAnsi="Arial" w:cs="Arial"/>
          <w:sz w:val="20"/>
          <w:szCs w:val="20"/>
        </w:rPr>
        <w:t>ve</w:t>
      </w:r>
      <w:r w:rsidRPr="00C23944">
        <w:rPr>
          <w:rFonts w:ascii="Arial" w:hAnsi="Arial" w:cs="Arial"/>
          <w:sz w:val="20"/>
          <w:szCs w:val="20"/>
        </w:rPr>
        <w:t xml:space="preserve"> to reach an agreement between the constituencies</w:t>
      </w:r>
      <w:r w:rsidR="00786C5D">
        <w:rPr>
          <w:rFonts w:ascii="Arial" w:hAnsi="Arial" w:cs="Arial"/>
          <w:sz w:val="20"/>
          <w:szCs w:val="20"/>
        </w:rPr>
        <w:t xml:space="preserve"> within the EU</w:t>
      </w:r>
      <w:r w:rsidRPr="00C23944">
        <w:rPr>
          <w:rFonts w:ascii="Arial" w:hAnsi="Arial" w:cs="Arial"/>
          <w:sz w:val="20"/>
          <w:szCs w:val="20"/>
        </w:rPr>
        <w:t xml:space="preserve"> that can serve as terms of reference in the international negotiations.</w:t>
      </w:r>
      <w:r>
        <w:rPr>
          <w:rStyle w:val="FootnoteReference"/>
          <w:rFonts w:ascii="Arial" w:hAnsi="Arial" w:cs="Arial"/>
          <w:sz w:val="20"/>
          <w:szCs w:val="20"/>
        </w:rPr>
        <w:footnoteReference w:id="1"/>
      </w:r>
    </w:p>
    <w:p w14:paraId="380DB4A9" w14:textId="77777777" w:rsidR="00F570E9" w:rsidRPr="00C23944" w:rsidRDefault="00F570E9" w:rsidP="00F570E9">
      <w:pPr>
        <w:spacing w:line="480" w:lineRule="auto"/>
        <w:jc w:val="both"/>
        <w:rPr>
          <w:rFonts w:ascii="Arial" w:hAnsi="Arial" w:cs="Arial"/>
          <w:sz w:val="20"/>
          <w:szCs w:val="20"/>
        </w:rPr>
      </w:pPr>
    </w:p>
    <w:p w14:paraId="1E83D7D0" w14:textId="15E76FD1" w:rsidR="00FF1A5D" w:rsidRDefault="00F570E9" w:rsidP="00FF1A5D">
      <w:pPr>
        <w:spacing w:line="480" w:lineRule="auto"/>
        <w:jc w:val="both"/>
        <w:rPr>
          <w:rFonts w:ascii="Arial" w:hAnsi="Arial" w:cs="Arial"/>
          <w:sz w:val="20"/>
          <w:szCs w:val="20"/>
        </w:rPr>
      </w:pPr>
      <w:r w:rsidRPr="00C23944">
        <w:rPr>
          <w:rFonts w:ascii="Arial" w:hAnsi="Arial" w:cs="Arial"/>
          <w:sz w:val="20"/>
          <w:szCs w:val="20"/>
        </w:rPr>
        <w:t xml:space="preserve">In most of these analyses the focus of the Level II game is on the negotiations between the EU Member States in the Council. The analyses demonstrate how the EU’s ‘single voice’ is the result of intense internal negotiations where the Member States have to agree on a </w:t>
      </w:r>
      <w:r>
        <w:rPr>
          <w:rFonts w:ascii="Arial" w:hAnsi="Arial" w:cs="Arial"/>
          <w:sz w:val="20"/>
          <w:szCs w:val="20"/>
        </w:rPr>
        <w:t xml:space="preserve">joint </w:t>
      </w:r>
      <w:r w:rsidRPr="00C23944">
        <w:rPr>
          <w:rFonts w:ascii="Arial" w:hAnsi="Arial" w:cs="Arial"/>
          <w:sz w:val="20"/>
          <w:szCs w:val="20"/>
        </w:rPr>
        <w:t xml:space="preserve">position. </w:t>
      </w:r>
      <w:r w:rsidR="003F0151">
        <w:rPr>
          <w:rFonts w:ascii="Arial" w:hAnsi="Arial" w:cs="Arial"/>
          <w:sz w:val="20"/>
          <w:szCs w:val="20"/>
        </w:rPr>
        <w:t xml:space="preserve">They highlight how the </w:t>
      </w:r>
      <w:r w:rsidR="00B5526C">
        <w:rPr>
          <w:rFonts w:ascii="Arial" w:hAnsi="Arial" w:cs="Arial"/>
          <w:sz w:val="20"/>
          <w:szCs w:val="20"/>
        </w:rPr>
        <w:t>EU</w:t>
      </w:r>
      <w:r w:rsidR="003F0151">
        <w:rPr>
          <w:rFonts w:ascii="Arial" w:hAnsi="Arial" w:cs="Arial"/>
          <w:sz w:val="20"/>
          <w:szCs w:val="20"/>
        </w:rPr>
        <w:t xml:space="preserve"> negotiator</w:t>
      </w:r>
      <w:r w:rsidR="00E33BFD">
        <w:rPr>
          <w:rFonts w:ascii="Arial" w:hAnsi="Arial" w:cs="Arial"/>
          <w:sz w:val="20"/>
          <w:szCs w:val="20"/>
        </w:rPr>
        <w:t>s</w:t>
      </w:r>
      <w:r w:rsidR="003F0151">
        <w:rPr>
          <w:rFonts w:ascii="Arial" w:hAnsi="Arial" w:cs="Arial"/>
          <w:sz w:val="20"/>
          <w:szCs w:val="20"/>
        </w:rPr>
        <w:t xml:space="preserve"> engage in these negotiations to identify agreements and possible compromises between the Member States. This focus on the relationship between the </w:t>
      </w:r>
      <w:r w:rsidR="00B5526C">
        <w:rPr>
          <w:rFonts w:ascii="Arial" w:hAnsi="Arial" w:cs="Arial"/>
          <w:sz w:val="20"/>
          <w:szCs w:val="20"/>
        </w:rPr>
        <w:t xml:space="preserve">EU </w:t>
      </w:r>
      <w:r w:rsidR="003F0151">
        <w:rPr>
          <w:rFonts w:ascii="Arial" w:hAnsi="Arial" w:cs="Arial"/>
          <w:sz w:val="20"/>
          <w:szCs w:val="20"/>
        </w:rPr>
        <w:t xml:space="preserve">negotiators and the Member States has </w:t>
      </w:r>
      <w:r w:rsidR="003F0151" w:rsidRPr="00C23944">
        <w:rPr>
          <w:rFonts w:ascii="Arial" w:hAnsi="Arial" w:cs="Arial"/>
          <w:sz w:val="20"/>
          <w:szCs w:val="20"/>
        </w:rPr>
        <w:t>been further intensified by the numerous principal-agent analyses of EU trade negotiations (</w:t>
      </w:r>
      <w:r w:rsidR="003F0151">
        <w:rPr>
          <w:rFonts w:ascii="Arial" w:hAnsi="Arial" w:cs="Arial"/>
          <w:sz w:val="20"/>
          <w:szCs w:val="20"/>
        </w:rPr>
        <w:t>e.g.</w:t>
      </w:r>
      <w:r w:rsidR="003F0151" w:rsidRPr="00C23944">
        <w:rPr>
          <w:rFonts w:ascii="Arial" w:hAnsi="Arial" w:cs="Arial"/>
          <w:sz w:val="20"/>
          <w:szCs w:val="20"/>
        </w:rPr>
        <w:t xml:space="preserve"> Dür and Elsig 2011), which </w:t>
      </w:r>
      <w:r w:rsidR="004A3751">
        <w:rPr>
          <w:rFonts w:ascii="Arial" w:hAnsi="Arial" w:cs="Arial"/>
          <w:sz w:val="20"/>
          <w:szCs w:val="20"/>
        </w:rPr>
        <w:t xml:space="preserve">explain </w:t>
      </w:r>
      <w:r w:rsidR="003F0151" w:rsidRPr="00C23944">
        <w:rPr>
          <w:rFonts w:ascii="Arial" w:hAnsi="Arial" w:cs="Arial"/>
          <w:sz w:val="20"/>
          <w:szCs w:val="20"/>
        </w:rPr>
        <w:t xml:space="preserve">the EU negotiating position as a result of tensions between the Member State principals and the </w:t>
      </w:r>
      <w:r w:rsidR="006C5D53">
        <w:rPr>
          <w:rFonts w:ascii="Arial" w:hAnsi="Arial" w:cs="Arial"/>
          <w:sz w:val="20"/>
          <w:szCs w:val="20"/>
        </w:rPr>
        <w:t xml:space="preserve">negotiating </w:t>
      </w:r>
      <w:r w:rsidR="003F0151" w:rsidRPr="00C23944">
        <w:rPr>
          <w:rFonts w:ascii="Arial" w:hAnsi="Arial" w:cs="Arial"/>
          <w:sz w:val="20"/>
          <w:szCs w:val="20"/>
        </w:rPr>
        <w:t>agent</w:t>
      </w:r>
      <w:r w:rsidR="006C5D53">
        <w:rPr>
          <w:rFonts w:ascii="Arial" w:hAnsi="Arial" w:cs="Arial"/>
          <w:sz w:val="20"/>
          <w:szCs w:val="20"/>
        </w:rPr>
        <w:t>, i.e. the Commission</w:t>
      </w:r>
      <w:r w:rsidR="008D4F7B">
        <w:rPr>
          <w:rFonts w:ascii="Arial" w:hAnsi="Arial" w:cs="Arial"/>
          <w:sz w:val="20"/>
          <w:szCs w:val="20"/>
        </w:rPr>
        <w:t xml:space="preserve">, and which </w:t>
      </w:r>
      <w:r w:rsidR="004C75D9">
        <w:rPr>
          <w:rFonts w:ascii="Arial" w:hAnsi="Arial" w:cs="Arial"/>
          <w:sz w:val="20"/>
          <w:szCs w:val="20"/>
        </w:rPr>
        <w:t>are s</w:t>
      </w:r>
      <w:r w:rsidR="00154499">
        <w:rPr>
          <w:rFonts w:ascii="Arial" w:hAnsi="Arial" w:cs="Arial"/>
          <w:sz w:val="20"/>
          <w:szCs w:val="20"/>
        </w:rPr>
        <w:t>een to be compatible with the domestic level of the two-level game approach</w:t>
      </w:r>
      <w:r w:rsidR="008D4F7B">
        <w:rPr>
          <w:rFonts w:ascii="Arial" w:hAnsi="Arial" w:cs="Arial"/>
          <w:sz w:val="20"/>
          <w:szCs w:val="20"/>
        </w:rPr>
        <w:t>.</w:t>
      </w:r>
      <w:r w:rsidR="00C1590E">
        <w:rPr>
          <w:rStyle w:val="FootnoteReference"/>
          <w:rFonts w:ascii="Arial" w:hAnsi="Arial" w:cs="Arial"/>
          <w:sz w:val="20"/>
          <w:szCs w:val="20"/>
        </w:rPr>
        <w:footnoteReference w:id="2"/>
      </w:r>
      <w:r w:rsidR="008D4F7B">
        <w:rPr>
          <w:rFonts w:ascii="Arial" w:hAnsi="Arial" w:cs="Arial"/>
          <w:sz w:val="20"/>
          <w:szCs w:val="20"/>
        </w:rPr>
        <w:t xml:space="preserve"> </w:t>
      </w:r>
      <w:r w:rsidRPr="00C23944">
        <w:rPr>
          <w:rFonts w:ascii="Arial" w:hAnsi="Arial" w:cs="Arial"/>
          <w:sz w:val="20"/>
          <w:szCs w:val="20"/>
        </w:rPr>
        <w:t xml:space="preserve">However, this article </w:t>
      </w:r>
      <w:r w:rsidR="006C5D53">
        <w:rPr>
          <w:rFonts w:ascii="Arial" w:hAnsi="Arial" w:cs="Arial"/>
          <w:sz w:val="20"/>
          <w:szCs w:val="20"/>
        </w:rPr>
        <w:t xml:space="preserve">demonstrates how </w:t>
      </w:r>
      <w:r w:rsidRPr="00C23944">
        <w:rPr>
          <w:rFonts w:ascii="Arial" w:hAnsi="Arial" w:cs="Arial"/>
          <w:sz w:val="20"/>
          <w:szCs w:val="20"/>
        </w:rPr>
        <w:t>the Council negotiations only provide part of the domestic game, and that the EP also is a key domestic constituent</w:t>
      </w:r>
      <w:r w:rsidR="00BD6B00">
        <w:rPr>
          <w:rFonts w:ascii="Arial" w:hAnsi="Arial" w:cs="Arial"/>
          <w:sz w:val="20"/>
          <w:szCs w:val="20"/>
        </w:rPr>
        <w:t xml:space="preserve"> with which the </w:t>
      </w:r>
      <w:r w:rsidR="00B5526C">
        <w:rPr>
          <w:rFonts w:ascii="Arial" w:hAnsi="Arial" w:cs="Arial"/>
          <w:sz w:val="20"/>
          <w:szCs w:val="20"/>
        </w:rPr>
        <w:t>EU</w:t>
      </w:r>
      <w:r w:rsidR="00BD6B00">
        <w:rPr>
          <w:rFonts w:ascii="Arial" w:hAnsi="Arial" w:cs="Arial"/>
          <w:sz w:val="20"/>
          <w:szCs w:val="20"/>
        </w:rPr>
        <w:t xml:space="preserve"> negotiators have to engage to ensure ratification of the final agreement. </w:t>
      </w:r>
      <w:r w:rsidRPr="00C23944">
        <w:rPr>
          <w:rFonts w:ascii="Arial" w:hAnsi="Arial" w:cs="Arial"/>
          <w:sz w:val="20"/>
          <w:szCs w:val="20"/>
        </w:rPr>
        <w:t xml:space="preserve">The Level II analysis is consequently extended to include the EP. </w:t>
      </w:r>
      <w:r w:rsidR="00A4143B">
        <w:rPr>
          <w:rFonts w:ascii="Arial" w:hAnsi="Arial" w:cs="Arial"/>
          <w:sz w:val="20"/>
          <w:szCs w:val="20"/>
        </w:rPr>
        <w:t xml:space="preserve">While negotiating with India at Level I, the EU negotiators are also engaged in domestic negotiations with the </w:t>
      </w:r>
      <w:r w:rsidRPr="00C23944">
        <w:rPr>
          <w:rFonts w:ascii="Arial" w:hAnsi="Arial" w:cs="Arial"/>
          <w:sz w:val="20"/>
          <w:szCs w:val="20"/>
        </w:rPr>
        <w:t>Council</w:t>
      </w:r>
      <w:r w:rsidR="00A4143B">
        <w:rPr>
          <w:rFonts w:ascii="Arial" w:hAnsi="Arial" w:cs="Arial"/>
          <w:sz w:val="20"/>
          <w:szCs w:val="20"/>
        </w:rPr>
        <w:t xml:space="preserve"> </w:t>
      </w:r>
      <w:r w:rsidR="00A4143B" w:rsidRPr="00A4143B">
        <w:rPr>
          <w:rFonts w:ascii="Arial" w:hAnsi="Arial" w:cs="Arial"/>
          <w:i/>
          <w:sz w:val="20"/>
          <w:szCs w:val="20"/>
        </w:rPr>
        <w:t>and</w:t>
      </w:r>
      <w:r w:rsidRPr="00A4143B">
        <w:rPr>
          <w:rFonts w:ascii="Arial" w:hAnsi="Arial" w:cs="Arial"/>
          <w:i/>
          <w:sz w:val="20"/>
          <w:szCs w:val="20"/>
        </w:rPr>
        <w:t xml:space="preserve"> </w:t>
      </w:r>
      <w:r w:rsidRPr="00C23944">
        <w:rPr>
          <w:rFonts w:ascii="Arial" w:hAnsi="Arial" w:cs="Arial"/>
          <w:sz w:val="20"/>
          <w:szCs w:val="20"/>
        </w:rPr>
        <w:t>the EP</w:t>
      </w:r>
      <w:r w:rsidR="00A4143B">
        <w:rPr>
          <w:rFonts w:ascii="Arial" w:hAnsi="Arial" w:cs="Arial"/>
          <w:sz w:val="20"/>
          <w:szCs w:val="20"/>
        </w:rPr>
        <w:t xml:space="preserve"> at Level II, and the </w:t>
      </w:r>
      <w:r w:rsidRPr="00C23944">
        <w:rPr>
          <w:rFonts w:ascii="Arial" w:hAnsi="Arial" w:cs="Arial"/>
          <w:sz w:val="20"/>
          <w:szCs w:val="20"/>
        </w:rPr>
        <w:t xml:space="preserve">EU negotiators need to find a win-set – i.e. all the possible negotiating outcomes that are acceptable to the domestic constituents (Putnam 1988: 437) – that </w:t>
      </w:r>
      <w:r w:rsidRPr="00A4143B">
        <w:rPr>
          <w:rFonts w:ascii="Arial" w:hAnsi="Arial" w:cs="Arial"/>
          <w:i/>
          <w:sz w:val="20"/>
          <w:szCs w:val="20"/>
        </w:rPr>
        <w:t xml:space="preserve">both </w:t>
      </w:r>
      <w:r w:rsidRPr="00C23944">
        <w:rPr>
          <w:rFonts w:ascii="Arial" w:hAnsi="Arial" w:cs="Arial"/>
          <w:sz w:val="20"/>
          <w:szCs w:val="20"/>
        </w:rPr>
        <w:t>of them will ratify.</w:t>
      </w:r>
      <w:r w:rsidR="002D4A99" w:rsidRPr="002D4A99">
        <w:rPr>
          <w:rFonts w:ascii="Arial" w:hAnsi="Arial" w:cs="Arial"/>
          <w:sz w:val="20"/>
          <w:szCs w:val="20"/>
        </w:rPr>
        <w:t xml:space="preserve"> </w:t>
      </w:r>
      <w:r w:rsidR="00A0180E">
        <w:rPr>
          <w:rFonts w:ascii="Arial" w:hAnsi="Arial" w:cs="Arial"/>
          <w:sz w:val="20"/>
          <w:szCs w:val="20"/>
        </w:rPr>
        <w:t>For an international agreement to be reached</w:t>
      </w:r>
      <w:r w:rsidR="00786C5D">
        <w:rPr>
          <w:rFonts w:ascii="Arial" w:hAnsi="Arial" w:cs="Arial"/>
          <w:sz w:val="20"/>
          <w:szCs w:val="20"/>
        </w:rPr>
        <w:t>,</w:t>
      </w:r>
      <w:r w:rsidR="00A0180E">
        <w:rPr>
          <w:rFonts w:ascii="Arial" w:hAnsi="Arial" w:cs="Arial"/>
          <w:sz w:val="20"/>
          <w:szCs w:val="20"/>
        </w:rPr>
        <w:t xml:space="preserve"> the EU and the Indian win-sets need to overlap, and t</w:t>
      </w:r>
      <w:r w:rsidR="0090068C">
        <w:rPr>
          <w:rFonts w:ascii="Arial" w:hAnsi="Arial" w:cs="Arial"/>
          <w:sz w:val="20"/>
          <w:szCs w:val="20"/>
        </w:rPr>
        <w:t>he contours of the win-set</w:t>
      </w:r>
      <w:r w:rsidR="000E554C">
        <w:rPr>
          <w:rFonts w:ascii="Arial" w:hAnsi="Arial" w:cs="Arial"/>
          <w:sz w:val="20"/>
          <w:szCs w:val="20"/>
        </w:rPr>
        <w:t>s</w:t>
      </w:r>
      <w:r w:rsidR="0090068C">
        <w:rPr>
          <w:rFonts w:ascii="Arial" w:hAnsi="Arial" w:cs="Arial"/>
          <w:sz w:val="20"/>
          <w:szCs w:val="20"/>
        </w:rPr>
        <w:t xml:space="preserve"> are affected by the </w:t>
      </w:r>
      <w:r w:rsidR="004C75D9">
        <w:rPr>
          <w:rFonts w:ascii="Arial" w:hAnsi="Arial" w:cs="Arial"/>
          <w:sz w:val="20"/>
          <w:szCs w:val="20"/>
        </w:rPr>
        <w:t>preferences and positions of the domestic constituents</w:t>
      </w:r>
      <w:r w:rsidR="00FF1A5D">
        <w:rPr>
          <w:rFonts w:ascii="Arial" w:hAnsi="Arial" w:cs="Arial"/>
          <w:sz w:val="20"/>
          <w:szCs w:val="20"/>
        </w:rPr>
        <w:t xml:space="preserve"> (Putnam 1988: 440)</w:t>
      </w:r>
      <w:r w:rsidR="00786C5D">
        <w:rPr>
          <w:rFonts w:ascii="Arial" w:hAnsi="Arial" w:cs="Arial"/>
          <w:sz w:val="20"/>
          <w:szCs w:val="20"/>
        </w:rPr>
        <w:t xml:space="preserve">. </w:t>
      </w:r>
      <w:r w:rsidR="00FF1A5D">
        <w:rPr>
          <w:rFonts w:ascii="Arial" w:hAnsi="Arial" w:cs="Arial"/>
          <w:sz w:val="20"/>
          <w:szCs w:val="20"/>
        </w:rPr>
        <w:t xml:space="preserve">This analysis demonstrates how the EP has </w:t>
      </w:r>
      <w:r w:rsidR="00A0180E">
        <w:rPr>
          <w:rFonts w:ascii="Arial" w:hAnsi="Arial" w:cs="Arial"/>
          <w:sz w:val="20"/>
          <w:szCs w:val="20"/>
        </w:rPr>
        <w:t xml:space="preserve">exercised influence over the BTIA </w:t>
      </w:r>
      <w:r w:rsidR="00FF1A5D">
        <w:rPr>
          <w:rFonts w:ascii="Arial" w:hAnsi="Arial" w:cs="Arial"/>
          <w:sz w:val="20"/>
          <w:szCs w:val="20"/>
        </w:rPr>
        <w:t xml:space="preserve">negotiations, </w:t>
      </w:r>
      <w:r w:rsidR="00A0180E">
        <w:rPr>
          <w:rFonts w:ascii="Arial" w:hAnsi="Arial" w:cs="Arial"/>
          <w:sz w:val="20"/>
          <w:szCs w:val="20"/>
        </w:rPr>
        <w:t xml:space="preserve">by </w:t>
      </w:r>
      <w:r w:rsidR="00FF1A5D">
        <w:rPr>
          <w:rFonts w:ascii="Arial" w:hAnsi="Arial" w:cs="Arial"/>
          <w:sz w:val="20"/>
          <w:szCs w:val="20"/>
        </w:rPr>
        <w:t>both increasing and restricting th</w:t>
      </w:r>
      <w:r w:rsidR="00786C5D">
        <w:rPr>
          <w:rFonts w:ascii="Arial" w:hAnsi="Arial" w:cs="Arial"/>
          <w:sz w:val="20"/>
          <w:szCs w:val="20"/>
        </w:rPr>
        <w:t>e EU</w:t>
      </w:r>
      <w:r w:rsidR="00FF1A5D">
        <w:rPr>
          <w:rFonts w:ascii="Arial" w:hAnsi="Arial" w:cs="Arial"/>
          <w:sz w:val="20"/>
          <w:szCs w:val="20"/>
        </w:rPr>
        <w:t xml:space="preserve"> win-set.</w:t>
      </w:r>
    </w:p>
    <w:p w14:paraId="43F0E64F" w14:textId="04647FB4" w:rsidR="00A72577" w:rsidRDefault="00A72577" w:rsidP="00F570E9">
      <w:pPr>
        <w:spacing w:line="480" w:lineRule="auto"/>
        <w:jc w:val="both"/>
        <w:rPr>
          <w:rFonts w:ascii="Arial" w:hAnsi="Arial" w:cs="Arial"/>
          <w:sz w:val="20"/>
          <w:szCs w:val="20"/>
        </w:rPr>
      </w:pPr>
    </w:p>
    <w:p w14:paraId="1F1F68E7" w14:textId="57E67B2F" w:rsidR="009A73FB" w:rsidRDefault="00DF57B9" w:rsidP="00F570E9">
      <w:pPr>
        <w:spacing w:line="480" w:lineRule="auto"/>
        <w:jc w:val="both"/>
        <w:rPr>
          <w:rFonts w:ascii="Arial" w:hAnsi="Arial" w:cs="Arial"/>
          <w:sz w:val="20"/>
          <w:szCs w:val="20"/>
        </w:rPr>
      </w:pPr>
      <w:r>
        <w:rPr>
          <w:rFonts w:ascii="Arial" w:hAnsi="Arial" w:cs="Arial"/>
          <w:sz w:val="20"/>
          <w:szCs w:val="20"/>
        </w:rPr>
        <w:t xml:space="preserve">The inclusion of the EP as a domestic constituent is consistent with Young and Peterson’s (2014) </w:t>
      </w:r>
      <w:r w:rsidR="00BD6B00">
        <w:rPr>
          <w:rFonts w:ascii="Arial" w:hAnsi="Arial" w:cs="Arial"/>
          <w:sz w:val="20"/>
          <w:szCs w:val="20"/>
        </w:rPr>
        <w:t xml:space="preserve">two-level game based </w:t>
      </w:r>
      <w:r w:rsidR="00A72577">
        <w:rPr>
          <w:rFonts w:ascii="Arial" w:hAnsi="Arial" w:cs="Arial"/>
          <w:sz w:val="20"/>
          <w:szCs w:val="20"/>
        </w:rPr>
        <w:t>policy sub-system approach</w:t>
      </w:r>
      <w:r>
        <w:rPr>
          <w:rFonts w:ascii="Arial" w:hAnsi="Arial" w:cs="Arial"/>
          <w:sz w:val="20"/>
          <w:szCs w:val="20"/>
        </w:rPr>
        <w:t xml:space="preserve">, in which they </w:t>
      </w:r>
      <w:r w:rsidR="00A652A4">
        <w:rPr>
          <w:rFonts w:ascii="Arial" w:hAnsi="Arial" w:cs="Arial"/>
          <w:sz w:val="20"/>
          <w:szCs w:val="20"/>
        </w:rPr>
        <w:t>add</w:t>
      </w:r>
      <w:r>
        <w:rPr>
          <w:rFonts w:ascii="Arial" w:hAnsi="Arial" w:cs="Arial"/>
          <w:sz w:val="20"/>
          <w:szCs w:val="20"/>
        </w:rPr>
        <w:t xml:space="preserve"> the EP</w:t>
      </w:r>
      <w:r w:rsidR="00A652A4">
        <w:rPr>
          <w:rFonts w:ascii="Arial" w:hAnsi="Arial" w:cs="Arial"/>
          <w:sz w:val="20"/>
          <w:szCs w:val="20"/>
        </w:rPr>
        <w:t xml:space="preserve"> and societal actors, such as f</w:t>
      </w:r>
      <w:r w:rsidR="00A72577">
        <w:rPr>
          <w:rFonts w:ascii="Arial" w:hAnsi="Arial" w:cs="Arial"/>
          <w:sz w:val="20"/>
          <w:szCs w:val="20"/>
        </w:rPr>
        <w:t>irms and NGOs</w:t>
      </w:r>
      <w:r w:rsidR="00A652A4">
        <w:rPr>
          <w:rFonts w:ascii="Arial" w:hAnsi="Arial" w:cs="Arial"/>
          <w:sz w:val="20"/>
          <w:szCs w:val="20"/>
        </w:rPr>
        <w:t xml:space="preserve">, to the Member States as </w:t>
      </w:r>
      <w:r>
        <w:rPr>
          <w:rFonts w:ascii="Arial" w:hAnsi="Arial" w:cs="Arial"/>
          <w:sz w:val="20"/>
          <w:szCs w:val="20"/>
        </w:rPr>
        <w:t xml:space="preserve">actors having a significant impact on EU trade negotiations </w:t>
      </w:r>
      <w:r w:rsidR="00A72577">
        <w:rPr>
          <w:rFonts w:ascii="Arial" w:hAnsi="Arial" w:cs="Arial"/>
          <w:sz w:val="20"/>
          <w:szCs w:val="20"/>
        </w:rPr>
        <w:t xml:space="preserve">(ibid.: 40). </w:t>
      </w:r>
      <w:r w:rsidR="00A652A4">
        <w:rPr>
          <w:rFonts w:ascii="Arial" w:hAnsi="Arial" w:cs="Arial"/>
          <w:sz w:val="20"/>
          <w:szCs w:val="20"/>
        </w:rPr>
        <w:t xml:space="preserve">Societal actors </w:t>
      </w:r>
      <w:r w:rsidR="005B4CD8">
        <w:rPr>
          <w:rFonts w:ascii="Arial" w:hAnsi="Arial" w:cs="Arial"/>
          <w:sz w:val="20"/>
          <w:szCs w:val="20"/>
        </w:rPr>
        <w:t>undoubtedly have a s</w:t>
      </w:r>
      <w:r>
        <w:rPr>
          <w:rFonts w:ascii="Arial" w:hAnsi="Arial" w:cs="Arial"/>
          <w:sz w:val="20"/>
          <w:szCs w:val="20"/>
        </w:rPr>
        <w:t>trong</w:t>
      </w:r>
      <w:r w:rsidR="005B4CD8">
        <w:rPr>
          <w:rFonts w:ascii="Arial" w:hAnsi="Arial" w:cs="Arial"/>
          <w:sz w:val="20"/>
          <w:szCs w:val="20"/>
        </w:rPr>
        <w:t xml:space="preserve"> influence through their lobbying and interactions with the </w:t>
      </w:r>
      <w:r w:rsidR="003B5456">
        <w:rPr>
          <w:rFonts w:ascii="Arial" w:hAnsi="Arial" w:cs="Arial"/>
          <w:sz w:val="20"/>
          <w:szCs w:val="20"/>
        </w:rPr>
        <w:t>institutional actors</w:t>
      </w:r>
      <w:r w:rsidR="005B4CD8">
        <w:rPr>
          <w:rFonts w:ascii="Arial" w:hAnsi="Arial" w:cs="Arial"/>
          <w:sz w:val="20"/>
          <w:szCs w:val="20"/>
        </w:rPr>
        <w:t xml:space="preserve"> (</w:t>
      </w:r>
      <w:r w:rsidR="00CB782C">
        <w:rPr>
          <w:rFonts w:ascii="Arial" w:hAnsi="Arial" w:cs="Arial"/>
          <w:sz w:val="20"/>
          <w:szCs w:val="20"/>
        </w:rPr>
        <w:t>Dür 2008; Heron and Siles-Brügge 2012</w:t>
      </w:r>
      <w:r>
        <w:rPr>
          <w:rFonts w:ascii="Arial" w:hAnsi="Arial" w:cs="Arial"/>
          <w:sz w:val="20"/>
          <w:szCs w:val="20"/>
        </w:rPr>
        <w:t>). Yet, for</w:t>
      </w:r>
      <w:r w:rsidR="003F054C">
        <w:rPr>
          <w:rFonts w:ascii="Arial" w:hAnsi="Arial" w:cs="Arial"/>
          <w:sz w:val="20"/>
          <w:szCs w:val="20"/>
        </w:rPr>
        <w:t xml:space="preserve"> analytical </w:t>
      </w:r>
      <w:r w:rsidR="00786C5D">
        <w:rPr>
          <w:rFonts w:ascii="Arial" w:hAnsi="Arial" w:cs="Arial"/>
          <w:sz w:val="20"/>
          <w:szCs w:val="20"/>
        </w:rPr>
        <w:t>clarity</w:t>
      </w:r>
      <w:r w:rsidR="00C02B83">
        <w:rPr>
          <w:rFonts w:ascii="Arial" w:hAnsi="Arial" w:cs="Arial"/>
          <w:sz w:val="20"/>
          <w:szCs w:val="20"/>
        </w:rPr>
        <w:t xml:space="preserve">, the two-level game model adopted here </w:t>
      </w:r>
      <w:r>
        <w:rPr>
          <w:rFonts w:ascii="Arial" w:hAnsi="Arial" w:cs="Arial"/>
          <w:sz w:val="20"/>
          <w:szCs w:val="20"/>
        </w:rPr>
        <w:t xml:space="preserve">limits </w:t>
      </w:r>
      <w:r w:rsidR="009A73FB">
        <w:rPr>
          <w:rFonts w:ascii="Arial" w:hAnsi="Arial" w:cs="Arial"/>
          <w:sz w:val="20"/>
          <w:szCs w:val="20"/>
        </w:rPr>
        <w:t xml:space="preserve">its </w:t>
      </w:r>
      <w:r>
        <w:rPr>
          <w:rFonts w:ascii="Arial" w:hAnsi="Arial" w:cs="Arial"/>
          <w:sz w:val="20"/>
          <w:szCs w:val="20"/>
        </w:rPr>
        <w:t xml:space="preserve">domestic focus to </w:t>
      </w:r>
      <w:r w:rsidR="00786C5D">
        <w:rPr>
          <w:rFonts w:ascii="Arial" w:hAnsi="Arial" w:cs="Arial"/>
          <w:sz w:val="20"/>
          <w:szCs w:val="20"/>
        </w:rPr>
        <w:t xml:space="preserve">the institutional actors of </w:t>
      </w:r>
      <w:r>
        <w:rPr>
          <w:rFonts w:ascii="Arial" w:hAnsi="Arial" w:cs="Arial"/>
          <w:sz w:val="20"/>
          <w:szCs w:val="20"/>
        </w:rPr>
        <w:t xml:space="preserve">the EP and </w:t>
      </w:r>
      <w:r w:rsidR="00A652A4">
        <w:rPr>
          <w:rFonts w:ascii="Arial" w:hAnsi="Arial" w:cs="Arial"/>
          <w:sz w:val="20"/>
          <w:szCs w:val="20"/>
        </w:rPr>
        <w:t>t</w:t>
      </w:r>
      <w:r>
        <w:rPr>
          <w:rFonts w:ascii="Arial" w:hAnsi="Arial" w:cs="Arial"/>
          <w:sz w:val="20"/>
          <w:szCs w:val="20"/>
        </w:rPr>
        <w:t>he Council</w:t>
      </w:r>
      <w:r w:rsidR="00A9341F">
        <w:rPr>
          <w:rFonts w:ascii="Arial" w:hAnsi="Arial" w:cs="Arial"/>
          <w:sz w:val="20"/>
          <w:szCs w:val="20"/>
        </w:rPr>
        <w:t xml:space="preserve">, which </w:t>
      </w:r>
      <w:r w:rsidR="00A652A4">
        <w:rPr>
          <w:rFonts w:ascii="Arial" w:hAnsi="Arial" w:cs="Arial"/>
          <w:sz w:val="20"/>
          <w:szCs w:val="20"/>
        </w:rPr>
        <w:t xml:space="preserve">both are linked </w:t>
      </w:r>
      <w:r w:rsidR="00C02B83">
        <w:rPr>
          <w:rFonts w:ascii="Arial" w:hAnsi="Arial" w:cs="Arial"/>
          <w:sz w:val="20"/>
          <w:szCs w:val="20"/>
        </w:rPr>
        <w:t>to the international level, via the EU negotiators, through their ratification authority.</w:t>
      </w:r>
      <w:r w:rsidR="00BB099D">
        <w:rPr>
          <w:rFonts w:ascii="Arial" w:hAnsi="Arial" w:cs="Arial"/>
          <w:sz w:val="20"/>
          <w:szCs w:val="20"/>
        </w:rPr>
        <w:t xml:space="preserve"> </w:t>
      </w:r>
      <w:r w:rsidR="003B5456">
        <w:rPr>
          <w:rFonts w:ascii="Arial" w:hAnsi="Arial" w:cs="Arial"/>
          <w:sz w:val="20"/>
          <w:szCs w:val="20"/>
        </w:rPr>
        <w:t xml:space="preserve">By following the </w:t>
      </w:r>
      <w:r w:rsidR="00C02B83">
        <w:rPr>
          <w:rFonts w:ascii="Arial" w:hAnsi="Arial" w:cs="Arial"/>
          <w:sz w:val="20"/>
          <w:szCs w:val="20"/>
        </w:rPr>
        <w:t xml:space="preserve">formal </w:t>
      </w:r>
      <w:r w:rsidR="003B5456">
        <w:rPr>
          <w:rFonts w:ascii="Arial" w:hAnsi="Arial" w:cs="Arial"/>
          <w:sz w:val="20"/>
          <w:szCs w:val="20"/>
        </w:rPr>
        <w:t>i</w:t>
      </w:r>
      <w:r w:rsidR="00B86869">
        <w:rPr>
          <w:rFonts w:ascii="Arial" w:hAnsi="Arial" w:cs="Arial"/>
          <w:sz w:val="20"/>
          <w:szCs w:val="20"/>
        </w:rPr>
        <w:t>nteractions of the E</w:t>
      </w:r>
      <w:r w:rsidR="009A73FB">
        <w:rPr>
          <w:rFonts w:ascii="Arial" w:hAnsi="Arial" w:cs="Arial"/>
          <w:sz w:val="20"/>
          <w:szCs w:val="20"/>
        </w:rPr>
        <w:t>U negotiators, it is clear that the</w:t>
      </w:r>
      <w:r w:rsidR="000479B7">
        <w:rPr>
          <w:rFonts w:ascii="Arial" w:hAnsi="Arial" w:cs="Arial"/>
          <w:sz w:val="20"/>
          <w:szCs w:val="20"/>
        </w:rPr>
        <w:t xml:space="preserve">y move between </w:t>
      </w:r>
      <w:r>
        <w:rPr>
          <w:rFonts w:ascii="Arial" w:hAnsi="Arial" w:cs="Arial"/>
          <w:sz w:val="20"/>
          <w:szCs w:val="20"/>
        </w:rPr>
        <w:t>their</w:t>
      </w:r>
      <w:r w:rsidR="00E8242F">
        <w:rPr>
          <w:rFonts w:ascii="Arial" w:hAnsi="Arial" w:cs="Arial"/>
          <w:sz w:val="20"/>
          <w:szCs w:val="20"/>
        </w:rPr>
        <w:t xml:space="preserve"> </w:t>
      </w:r>
      <w:r w:rsidR="000479B7">
        <w:rPr>
          <w:rFonts w:ascii="Arial" w:hAnsi="Arial" w:cs="Arial"/>
          <w:sz w:val="20"/>
          <w:szCs w:val="20"/>
        </w:rPr>
        <w:t xml:space="preserve">Level I negotiations with </w:t>
      </w:r>
      <w:r w:rsidR="00E8242F">
        <w:rPr>
          <w:rFonts w:ascii="Arial" w:hAnsi="Arial" w:cs="Arial"/>
          <w:sz w:val="20"/>
          <w:szCs w:val="20"/>
        </w:rPr>
        <w:t>India</w:t>
      </w:r>
      <w:r w:rsidR="000479B7">
        <w:rPr>
          <w:rFonts w:ascii="Arial" w:hAnsi="Arial" w:cs="Arial"/>
          <w:sz w:val="20"/>
          <w:szCs w:val="20"/>
        </w:rPr>
        <w:t xml:space="preserve"> and their Level II negotiations with </w:t>
      </w:r>
      <w:r w:rsidR="00E8242F">
        <w:rPr>
          <w:rFonts w:ascii="Arial" w:hAnsi="Arial" w:cs="Arial"/>
          <w:sz w:val="20"/>
          <w:szCs w:val="20"/>
        </w:rPr>
        <w:t>the E</w:t>
      </w:r>
      <w:r w:rsidR="009A73FB">
        <w:rPr>
          <w:rFonts w:ascii="Arial" w:hAnsi="Arial" w:cs="Arial"/>
          <w:sz w:val="20"/>
          <w:szCs w:val="20"/>
        </w:rPr>
        <w:t>P</w:t>
      </w:r>
      <w:r w:rsidR="00E8242F">
        <w:rPr>
          <w:rFonts w:ascii="Arial" w:hAnsi="Arial" w:cs="Arial"/>
          <w:sz w:val="20"/>
          <w:szCs w:val="20"/>
        </w:rPr>
        <w:t xml:space="preserve"> and the Council</w:t>
      </w:r>
      <w:r>
        <w:rPr>
          <w:rFonts w:ascii="Arial" w:hAnsi="Arial" w:cs="Arial"/>
          <w:sz w:val="20"/>
          <w:szCs w:val="20"/>
        </w:rPr>
        <w:t>.</w:t>
      </w:r>
      <w:r w:rsidR="00BD6B00">
        <w:rPr>
          <w:rStyle w:val="FootnoteReference"/>
          <w:rFonts w:ascii="Arial" w:hAnsi="Arial" w:cs="Arial"/>
          <w:sz w:val="20"/>
          <w:szCs w:val="20"/>
        </w:rPr>
        <w:footnoteReference w:id="3"/>
      </w:r>
      <w:r>
        <w:rPr>
          <w:rFonts w:ascii="Arial" w:hAnsi="Arial" w:cs="Arial"/>
          <w:sz w:val="20"/>
          <w:szCs w:val="20"/>
        </w:rPr>
        <w:t xml:space="preserve"> The influence of </w:t>
      </w:r>
      <w:r w:rsidR="00BD6B00">
        <w:rPr>
          <w:rFonts w:ascii="Arial" w:hAnsi="Arial" w:cs="Arial"/>
          <w:sz w:val="20"/>
          <w:szCs w:val="20"/>
        </w:rPr>
        <w:t>societal actors</w:t>
      </w:r>
      <w:r>
        <w:rPr>
          <w:rFonts w:ascii="Arial" w:hAnsi="Arial" w:cs="Arial"/>
          <w:sz w:val="20"/>
          <w:szCs w:val="20"/>
        </w:rPr>
        <w:t xml:space="preserve"> is thus </w:t>
      </w:r>
      <w:r w:rsidR="000479B7">
        <w:rPr>
          <w:rFonts w:ascii="Arial" w:hAnsi="Arial" w:cs="Arial"/>
          <w:sz w:val="20"/>
          <w:szCs w:val="20"/>
        </w:rPr>
        <w:t xml:space="preserve">mainly studied </w:t>
      </w:r>
      <w:r w:rsidR="003B5456">
        <w:rPr>
          <w:rFonts w:ascii="Arial" w:hAnsi="Arial" w:cs="Arial"/>
          <w:sz w:val="20"/>
          <w:szCs w:val="20"/>
        </w:rPr>
        <w:t>through the influence they exercise on the preferences and</w:t>
      </w:r>
      <w:r w:rsidR="009A73FB">
        <w:rPr>
          <w:rFonts w:ascii="Arial" w:hAnsi="Arial" w:cs="Arial"/>
          <w:sz w:val="20"/>
          <w:szCs w:val="20"/>
        </w:rPr>
        <w:t xml:space="preserve"> positions of the </w:t>
      </w:r>
      <w:r w:rsidR="003B5456">
        <w:rPr>
          <w:rFonts w:ascii="Arial" w:hAnsi="Arial" w:cs="Arial"/>
          <w:sz w:val="20"/>
          <w:szCs w:val="20"/>
        </w:rPr>
        <w:t xml:space="preserve">institutional </w:t>
      </w:r>
      <w:r w:rsidR="009A73FB">
        <w:rPr>
          <w:rFonts w:ascii="Arial" w:hAnsi="Arial" w:cs="Arial"/>
          <w:sz w:val="20"/>
          <w:szCs w:val="20"/>
        </w:rPr>
        <w:t>actors.</w:t>
      </w:r>
      <w:r w:rsidR="00F25D75">
        <w:rPr>
          <w:rFonts w:ascii="Arial" w:hAnsi="Arial" w:cs="Arial"/>
          <w:sz w:val="20"/>
          <w:szCs w:val="20"/>
        </w:rPr>
        <w:t xml:space="preserve"> </w:t>
      </w:r>
    </w:p>
    <w:p w14:paraId="37C3141C" w14:textId="77777777" w:rsidR="00C350F2" w:rsidRDefault="00C350F2" w:rsidP="00A0180E">
      <w:pPr>
        <w:spacing w:line="480" w:lineRule="auto"/>
        <w:jc w:val="both"/>
        <w:rPr>
          <w:rFonts w:ascii="Arial" w:hAnsi="Arial" w:cs="Arial"/>
          <w:sz w:val="20"/>
          <w:szCs w:val="20"/>
        </w:rPr>
      </w:pPr>
    </w:p>
    <w:p w14:paraId="0B520AA6" w14:textId="33A10393" w:rsidR="001912AB" w:rsidRPr="00C23944" w:rsidRDefault="00C350F2" w:rsidP="00C23944">
      <w:pPr>
        <w:spacing w:line="480" w:lineRule="auto"/>
        <w:jc w:val="both"/>
        <w:rPr>
          <w:rFonts w:ascii="Arial" w:hAnsi="Arial" w:cs="Arial"/>
          <w:sz w:val="20"/>
          <w:szCs w:val="20"/>
        </w:rPr>
      </w:pPr>
      <w:r>
        <w:rPr>
          <w:rFonts w:ascii="Arial" w:hAnsi="Arial" w:cs="Arial"/>
          <w:sz w:val="20"/>
          <w:szCs w:val="20"/>
        </w:rPr>
        <w:t>The EU negotiators in the BTIA negotiations</w:t>
      </w:r>
      <w:r w:rsidR="00E33BFD">
        <w:rPr>
          <w:rFonts w:ascii="Arial" w:hAnsi="Arial" w:cs="Arial"/>
          <w:sz w:val="20"/>
          <w:szCs w:val="20"/>
        </w:rPr>
        <w:t xml:space="preserve"> </w:t>
      </w:r>
      <w:r>
        <w:rPr>
          <w:rFonts w:ascii="Arial" w:hAnsi="Arial" w:cs="Arial"/>
          <w:sz w:val="20"/>
          <w:szCs w:val="20"/>
        </w:rPr>
        <w:t xml:space="preserve">consist of the chief negotiator and his negotiating team in DG Trade. </w:t>
      </w:r>
      <w:r w:rsidR="00011A78">
        <w:rPr>
          <w:rFonts w:ascii="Arial" w:hAnsi="Arial" w:cs="Arial"/>
          <w:sz w:val="20"/>
          <w:szCs w:val="20"/>
        </w:rPr>
        <w:t>Although the</w:t>
      </w:r>
      <w:r w:rsidR="00976C69">
        <w:rPr>
          <w:rFonts w:ascii="Arial" w:hAnsi="Arial" w:cs="Arial"/>
          <w:sz w:val="20"/>
          <w:szCs w:val="20"/>
        </w:rPr>
        <w:t xml:space="preserve"> main aim of the negotiators is to reach an agreement</w:t>
      </w:r>
      <w:r w:rsidR="007A544B">
        <w:rPr>
          <w:rFonts w:ascii="Arial" w:hAnsi="Arial" w:cs="Arial"/>
          <w:sz w:val="20"/>
          <w:szCs w:val="20"/>
        </w:rPr>
        <w:t xml:space="preserve"> with India </w:t>
      </w:r>
      <w:r w:rsidR="00E33BFD">
        <w:rPr>
          <w:rFonts w:ascii="Arial" w:hAnsi="Arial" w:cs="Arial"/>
          <w:sz w:val="20"/>
          <w:szCs w:val="20"/>
        </w:rPr>
        <w:t xml:space="preserve">at Level I and </w:t>
      </w:r>
      <w:r w:rsidR="007A544B">
        <w:rPr>
          <w:rFonts w:ascii="Arial" w:hAnsi="Arial" w:cs="Arial"/>
          <w:sz w:val="20"/>
          <w:szCs w:val="20"/>
        </w:rPr>
        <w:t>to get it ratified by the Council and the EP at Level II</w:t>
      </w:r>
      <w:r w:rsidR="00011A78">
        <w:rPr>
          <w:rFonts w:ascii="Arial" w:hAnsi="Arial" w:cs="Arial"/>
          <w:sz w:val="20"/>
          <w:szCs w:val="20"/>
        </w:rPr>
        <w:t xml:space="preserve">, they also </w:t>
      </w:r>
      <w:r w:rsidR="00976C69">
        <w:rPr>
          <w:rFonts w:ascii="Arial" w:hAnsi="Arial" w:cs="Arial"/>
          <w:sz w:val="20"/>
          <w:szCs w:val="20"/>
        </w:rPr>
        <w:t xml:space="preserve">often have an interest in </w:t>
      </w:r>
      <w:r w:rsidR="007A544B">
        <w:rPr>
          <w:rFonts w:ascii="Arial" w:hAnsi="Arial" w:cs="Arial"/>
          <w:sz w:val="20"/>
          <w:szCs w:val="20"/>
        </w:rPr>
        <w:t>making sure that th</w:t>
      </w:r>
      <w:r w:rsidR="003F31C2">
        <w:rPr>
          <w:rFonts w:ascii="Arial" w:hAnsi="Arial" w:cs="Arial"/>
          <w:sz w:val="20"/>
          <w:szCs w:val="20"/>
        </w:rPr>
        <w:t>e</w:t>
      </w:r>
      <w:r w:rsidR="007A544B">
        <w:rPr>
          <w:rFonts w:ascii="Arial" w:hAnsi="Arial" w:cs="Arial"/>
          <w:sz w:val="20"/>
          <w:szCs w:val="20"/>
        </w:rPr>
        <w:t xml:space="preserve"> agreement corresponds to their own preferences. </w:t>
      </w:r>
      <w:r w:rsidR="007A544B" w:rsidRPr="00C23944">
        <w:rPr>
          <w:rFonts w:ascii="Arial" w:hAnsi="Arial" w:cs="Arial"/>
          <w:sz w:val="20"/>
          <w:szCs w:val="20"/>
        </w:rPr>
        <w:t>Putnam (1988: 456) argues that negotiator</w:t>
      </w:r>
      <w:r w:rsidR="00A47A62">
        <w:rPr>
          <w:rFonts w:ascii="Arial" w:hAnsi="Arial" w:cs="Arial"/>
          <w:sz w:val="20"/>
          <w:szCs w:val="20"/>
        </w:rPr>
        <w:t>s</w:t>
      </w:r>
      <w:r w:rsidR="007A544B" w:rsidRPr="00C23944">
        <w:rPr>
          <w:rFonts w:ascii="Arial" w:hAnsi="Arial" w:cs="Arial"/>
          <w:sz w:val="20"/>
          <w:szCs w:val="20"/>
        </w:rPr>
        <w:t xml:space="preserve"> rarely behave simply as agent</w:t>
      </w:r>
      <w:r w:rsidR="00A47A62">
        <w:rPr>
          <w:rFonts w:ascii="Arial" w:hAnsi="Arial" w:cs="Arial"/>
          <w:sz w:val="20"/>
          <w:szCs w:val="20"/>
        </w:rPr>
        <w:t>s</w:t>
      </w:r>
      <w:r w:rsidR="007A544B" w:rsidRPr="00C23944">
        <w:rPr>
          <w:rFonts w:ascii="Arial" w:hAnsi="Arial" w:cs="Arial"/>
          <w:sz w:val="20"/>
          <w:szCs w:val="20"/>
        </w:rPr>
        <w:t xml:space="preserve"> who act on behalf of </w:t>
      </w:r>
      <w:r w:rsidR="00A47A62">
        <w:rPr>
          <w:rFonts w:ascii="Arial" w:hAnsi="Arial" w:cs="Arial"/>
          <w:sz w:val="20"/>
          <w:szCs w:val="20"/>
        </w:rPr>
        <w:t>their</w:t>
      </w:r>
      <w:r w:rsidR="007A544B" w:rsidRPr="00C23944">
        <w:rPr>
          <w:rFonts w:ascii="Arial" w:hAnsi="Arial" w:cs="Arial"/>
          <w:sz w:val="20"/>
          <w:szCs w:val="20"/>
        </w:rPr>
        <w:t xml:space="preserve"> constituents, but that </w:t>
      </w:r>
      <w:r w:rsidR="00A47A62">
        <w:rPr>
          <w:rFonts w:ascii="Arial" w:hAnsi="Arial" w:cs="Arial"/>
          <w:sz w:val="20"/>
          <w:szCs w:val="20"/>
        </w:rPr>
        <w:t xml:space="preserve">they have </w:t>
      </w:r>
      <w:r w:rsidR="007A544B" w:rsidRPr="00C23944">
        <w:rPr>
          <w:rFonts w:ascii="Arial" w:hAnsi="Arial" w:cs="Arial"/>
          <w:sz w:val="20"/>
          <w:szCs w:val="20"/>
        </w:rPr>
        <w:t>independent preferences that might diverge from those of the domestic constituents</w:t>
      </w:r>
      <w:r w:rsidR="00F11689">
        <w:rPr>
          <w:rFonts w:ascii="Arial" w:hAnsi="Arial" w:cs="Arial"/>
          <w:sz w:val="20"/>
          <w:szCs w:val="20"/>
        </w:rPr>
        <w:t>.</w:t>
      </w:r>
      <w:r w:rsidR="007A544B" w:rsidRPr="00C23944">
        <w:rPr>
          <w:rFonts w:ascii="Arial" w:hAnsi="Arial" w:cs="Arial"/>
          <w:sz w:val="20"/>
          <w:szCs w:val="20"/>
        </w:rPr>
        <w:t xml:space="preserve"> </w:t>
      </w:r>
      <w:r w:rsidR="007A544B">
        <w:rPr>
          <w:rFonts w:ascii="Arial" w:hAnsi="Arial" w:cs="Arial"/>
          <w:sz w:val="20"/>
          <w:szCs w:val="20"/>
        </w:rPr>
        <w:t>F</w:t>
      </w:r>
      <w:r w:rsidR="00045104" w:rsidRPr="00C23944">
        <w:rPr>
          <w:rFonts w:ascii="Arial" w:hAnsi="Arial" w:cs="Arial"/>
          <w:sz w:val="20"/>
          <w:szCs w:val="20"/>
        </w:rPr>
        <w:t xml:space="preserve">ollowing the logic of functional rationality (e.g. Egeberg 2002), the preferences of the </w:t>
      </w:r>
      <w:r w:rsidR="007A544B">
        <w:rPr>
          <w:rFonts w:ascii="Arial" w:hAnsi="Arial" w:cs="Arial"/>
          <w:sz w:val="20"/>
          <w:szCs w:val="20"/>
        </w:rPr>
        <w:t xml:space="preserve">EU </w:t>
      </w:r>
      <w:r w:rsidR="00045104" w:rsidRPr="00C23944">
        <w:rPr>
          <w:rFonts w:ascii="Arial" w:hAnsi="Arial" w:cs="Arial"/>
          <w:sz w:val="20"/>
          <w:szCs w:val="20"/>
        </w:rPr>
        <w:t xml:space="preserve">negotiators </w:t>
      </w:r>
      <w:r w:rsidR="00B46EBB" w:rsidRPr="00C23944">
        <w:rPr>
          <w:rFonts w:ascii="Arial" w:hAnsi="Arial" w:cs="Arial"/>
          <w:sz w:val="20"/>
          <w:szCs w:val="20"/>
        </w:rPr>
        <w:t>are</w:t>
      </w:r>
      <w:r w:rsidR="004277F7" w:rsidRPr="00C23944">
        <w:rPr>
          <w:rFonts w:ascii="Arial" w:hAnsi="Arial" w:cs="Arial"/>
          <w:sz w:val="20"/>
          <w:szCs w:val="20"/>
        </w:rPr>
        <w:t xml:space="preserve"> aligned</w:t>
      </w:r>
      <w:r w:rsidR="00B46EBB" w:rsidRPr="00C23944">
        <w:rPr>
          <w:rFonts w:ascii="Arial" w:hAnsi="Arial" w:cs="Arial"/>
          <w:sz w:val="20"/>
          <w:szCs w:val="20"/>
        </w:rPr>
        <w:t xml:space="preserve"> with</w:t>
      </w:r>
      <w:r w:rsidR="00045104" w:rsidRPr="00C23944">
        <w:rPr>
          <w:rFonts w:ascii="Arial" w:hAnsi="Arial" w:cs="Arial"/>
          <w:sz w:val="20"/>
          <w:szCs w:val="20"/>
        </w:rPr>
        <w:t xml:space="preserve"> those of the institution wh</w:t>
      </w:r>
      <w:r w:rsidR="004277F7" w:rsidRPr="00C23944">
        <w:rPr>
          <w:rFonts w:ascii="Arial" w:hAnsi="Arial" w:cs="Arial"/>
          <w:sz w:val="20"/>
          <w:szCs w:val="20"/>
        </w:rPr>
        <w:t>ere</w:t>
      </w:r>
      <w:r w:rsidR="00045104" w:rsidRPr="00C23944">
        <w:rPr>
          <w:rFonts w:ascii="Arial" w:hAnsi="Arial" w:cs="Arial"/>
          <w:sz w:val="20"/>
          <w:szCs w:val="20"/>
        </w:rPr>
        <w:t xml:space="preserve"> they are based, i.e. DG Trade</w:t>
      </w:r>
      <w:r w:rsidR="00B46EBB" w:rsidRPr="00C23944">
        <w:rPr>
          <w:rFonts w:ascii="Arial" w:hAnsi="Arial" w:cs="Arial"/>
          <w:sz w:val="20"/>
          <w:szCs w:val="20"/>
        </w:rPr>
        <w:t xml:space="preserve">, and are consequently focused </w:t>
      </w:r>
      <w:r w:rsidR="004A4337" w:rsidRPr="00C23944">
        <w:rPr>
          <w:rFonts w:ascii="Arial" w:hAnsi="Arial" w:cs="Arial"/>
          <w:sz w:val="20"/>
          <w:szCs w:val="20"/>
        </w:rPr>
        <w:t xml:space="preserve">on </w:t>
      </w:r>
      <w:r w:rsidR="000C0E22" w:rsidRPr="00C23944">
        <w:rPr>
          <w:rFonts w:ascii="Arial" w:hAnsi="Arial" w:cs="Arial"/>
          <w:sz w:val="20"/>
          <w:szCs w:val="20"/>
        </w:rPr>
        <w:t xml:space="preserve">extensive </w:t>
      </w:r>
      <w:r w:rsidR="004A4337" w:rsidRPr="00C23944">
        <w:rPr>
          <w:rFonts w:ascii="Arial" w:hAnsi="Arial" w:cs="Arial"/>
          <w:sz w:val="20"/>
          <w:szCs w:val="20"/>
        </w:rPr>
        <w:t xml:space="preserve">trade </w:t>
      </w:r>
      <w:r w:rsidR="00652B49">
        <w:rPr>
          <w:rFonts w:ascii="Arial" w:hAnsi="Arial" w:cs="Arial"/>
          <w:sz w:val="20"/>
          <w:szCs w:val="20"/>
        </w:rPr>
        <w:t>liberaliz</w:t>
      </w:r>
      <w:r w:rsidR="00D075F4" w:rsidRPr="00C23944">
        <w:rPr>
          <w:rFonts w:ascii="Arial" w:hAnsi="Arial" w:cs="Arial"/>
          <w:sz w:val="20"/>
          <w:szCs w:val="20"/>
        </w:rPr>
        <w:t>ation (Woolcock</w:t>
      </w:r>
      <w:r w:rsidR="004A4337" w:rsidRPr="00C23944">
        <w:rPr>
          <w:rFonts w:ascii="Arial" w:hAnsi="Arial" w:cs="Arial"/>
          <w:sz w:val="20"/>
          <w:szCs w:val="20"/>
        </w:rPr>
        <w:t xml:space="preserve"> 2012</w:t>
      </w:r>
      <w:r w:rsidR="00D075F4" w:rsidRPr="00C23944">
        <w:rPr>
          <w:rFonts w:ascii="Arial" w:hAnsi="Arial" w:cs="Arial"/>
          <w:sz w:val="20"/>
          <w:szCs w:val="20"/>
        </w:rPr>
        <w:t xml:space="preserve">: </w:t>
      </w:r>
      <w:r w:rsidR="004A4337" w:rsidRPr="00C23944">
        <w:rPr>
          <w:rFonts w:ascii="Arial" w:hAnsi="Arial" w:cs="Arial"/>
          <w:sz w:val="20"/>
          <w:szCs w:val="20"/>
        </w:rPr>
        <w:t>51).</w:t>
      </w:r>
      <w:r w:rsidR="001912AB" w:rsidRPr="00C23944">
        <w:rPr>
          <w:rFonts w:ascii="Arial" w:hAnsi="Arial" w:cs="Arial"/>
          <w:sz w:val="20"/>
          <w:szCs w:val="20"/>
        </w:rPr>
        <w:t xml:space="preserve"> In the BTIA negotiations, the negotiators played a key role from the very beginning. The EU and India have a longstanding relationship and during an EU-India Summit in 2005 both parties expressed a political commitment to deepen their trade relationship, and a High Level Trade Group (HLTG) was set up to explore this idea (HLTG 2006). The HLTG consisted of senior trade experts from both parties, and the work was led by the DG Trade official who later became the EU’s chief negotiator in the BTIA negotiations, Ignacio Garcia Bercero, and the Joint Secretary of the Ministry of Commerce and Industry, Dr Rahul Khullar, who became the first Indian chief negotiator. The HLTG met regularly during 2006 to identify converging interests as well as sensitivities. At the EU-India summit in October 2006, it presented its final recommendations of negotiating a BTIA (ibid.). The summit endorsed the </w:t>
      </w:r>
      <w:r w:rsidR="001912AB">
        <w:rPr>
          <w:rFonts w:ascii="Arial" w:hAnsi="Arial" w:cs="Arial"/>
          <w:sz w:val="20"/>
          <w:szCs w:val="20"/>
        </w:rPr>
        <w:t>proposal</w:t>
      </w:r>
      <w:r w:rsidR="001912AB" w:rsidRPr="00C23944">
        <w:rPr>
          <w:rFonts w:ascii="Arial" w:hAnsi="Arial" w:cs="Arial"/>
          <w:sz w:val="20"/>
          <w:szCs w:val="20"/>
        </w:rPr>
        <w:t>, and a</w:t>
      </w:r>
      <w:r w:rsidR="001912AB">
        <w:rPr>
          <w:rFonts w:ascii="Arial" w:hAnsi="Arial" w:cs="Arial"/>
          <w:sz w:val="20"/>
          <w:szCs w:val="20"/>
        </w:rPr>
        <w:t xml:space="preserve">sked </w:t>
      </w:r>
      <w:r w:rsidR="001912AB" w:rsidRPr="00C23944">
        <w:rPr>
          <w:rFonts w:ascii="Arial" w:hAnsi="Arial" w:cs="Arial"/>
          <w:sz w:val="20"/>
          <w:szCs w:val="20"/>
        </w:rPr>
        <w:t xml:space="preserve">both parties </w:t>
      </w:r>
      <w:r w:rsidR="001912AB">
        <w:rPr>
          <w:rFonts w:ascii="Arial" w:hAnsi="Arial" w:cs="Arial"/>
          <w:sz w:val="20"/>
          <w:szCs w:val="20"/>
        </w:rPr>
        <w:t>to</w:t>
      </w:r>
      <w:r w:rsidR="001912AB" w:rsidRPr="00C23944">
        <w:rPr>
          <w:rFonts w:ascii="Arial" w:hAnsi="Arial" w:cs="Arial"/>
          <w:sz w:val="20"/>
          <w:szCs w:val="20"/>
        </w:rPr>
        <w:t xml:space="preserve"> undertake the necessary steps to start negotiations. For the EU negotiators this meant initiating negotiations with its two domestic constituents at Level II to </w:t>
      </w:r>
      <w:r w:rsidR="001912AB">
        <w:rPr>
          <w:rFonts w:ascii="Arial" w:hAnsi="Arial" w:cs="Arial"/>
          <w:sz w:val="20"/>
          <w:szCs w:val="20"/>
        </w:rPr>
        <w:t xml:space="preserve">start </w:t>
      </w:r>
      <w:r w:rsidR="001912AB" w:rsidRPr="00C23944">
        <w:rPr>
          <w:rFonts w:ascii="Arial" w:hAnsi="Arial" w:cs="Arial"/>
          <w:sz w:val="20"/>
          <w:szCs w:val="20"/>
        </w:rPr>
        <w:t>identify</w:t>
      </w:r>
      <w:r w:rsidR="001912AB">
        <w:rPr>
          <w:rFonts w:ascii="Arial" w:hAnsi="Arial" w:cs="Arial"/>
          <w:sz w:val="20"/>
          <w:szCs w:val="20"/>
        </w:rPr>
        <w:t>ing</w:t>
      </w:r>
      <w:r w:rsidR="001912AB" w:rsidRPr="00C23944">
        <w:rPr>
          <w:rFonts w:ascii="Arial" w:hAnsi="Arial" w:cs="Arial"/>
          <w:sz w:val="20"/>
          <w:szCs w:val="20"/>
        </w:rPr>
        <w:t xml:space="preserve"> a win-set, and then </w:t>
      </w:r>
      <w:r w:rsidR="00A47A62">
        <w:rPr>
          <w:rFonts w:ascii="Arial" w:hAnsi="Arial" w:cs="Arial"/>
          <w:sz w:val="20"/>
          <w:szCs w:val="20"/>
        </w:rPr>
        <w:t>alternating</w:t>
      </w:r>
      <w:r w:rsidR="001912AB" w:rsidRPr="00C23944">
        <w:rPr>
          <w:rFonts w:ascii="Arial" w:hAnsi="Arial" w:cs="Arial"/>
          <w:sz w:val="20"/>
          <w:szCs w:val="20"/>
        </w:rPr>
        <w:t xml:space="preserve"> between the Level II and Level I negotiations to try and get th</w:t>
      </w:r>
      <w:r w:rsidR="000F25A9">
        <w:rPr>
          <w:rFonts w:ascii="Arial" w:hAnsi="Arial" w:cs="Arial"/>
          <w:sz w:val="20"/>
          <w:szCs w:val="20"/>
        </w:rPr>
        <w:t>e EU</w:t>
      </w:r>
      <w:r w:rsidR="001912AB" w:rsidRPr="00C23944">
        <w:rPr>
          <w:rFonts w:ascii="Arial" w:hAnsi="Arial" w:cs="Arial"/>
          <w:sz w:val="20"/>
          <w:szCs w:val="20"/>
        </w:rPr>
        <w:t xml:space="preserve"> </w:t>
      </w:r>
      <w:r w:rsidR="00A652A4">
        <w:rPr>
          <w:rFonts w:ascii="Arial" w:hAnsi="Arial" w:cs="Arial"/>
          <w:sz w:val="20"/>
          <w:szCs w:val="20"/>
        </w:rPr>
        <w:t xml:space="preserve">and the Indian win-sets </w:t>
      </w:r>
      <w:r w:rsidR="001912AB" w:rsidRPr="00C23944">
        <w:rPr>
          <w:rFonts w:ascii="Arial" w:hAnsi="Arial" w:cs="Arial"/>
          <w:sz w:val="20"/>
          <w:szCs w:val="20"/>
        </w:rPr>
        <w:t xml:space="preserve">to overlap. </w:t>
      </w:r>
    </w:p>
    <w:p w14:paraId="5E738276" w14:textId="77777777" w:rsidR="001912AB" w:rsidRPr="00C23944" w:rsidRDefault="001912AB" w:rsidP="00C23944">
      <w:pPr>
        <w:spacing w:line="480" w:lineRule="auto"/>
        <w:jc w:val="both"/>
        <w:rPr>
          <w:rFonts w:ascii="Arial" w:hAnsi="Arial" w:cs="Arial"/>
          <w:b/>
          <w:sz w:val="20"/>
          <w:szCs w:val="20"/>
        </w:rPr>
      </w:pPr>
    </w:p>
    <w:p w14:paraId="67A2FB28" w14:textId="4DE133FF" w:rsidR="001912AB" w:rsidRPr="00C23944" w:rsidRDefault="001912AB" w:rsidP="00C23944">
      <w:pPr>
        <w:spacing w:line="480" w:lineRule="auto"/>
        <w:jc w:val="both"/>
        <w:rPr>
          <w:rFonts w:ascii="Arial" w:hAnsi="Arial" w:cs="Arial"/>
          <w:b/>
          <w:sz w:val="20"/>
          <w:szCs w:val="20"/>
        </w:rPr>
      </w:pPr>
      <w:r w:rsidRPr="00C23944">
        <w:rPr>
          <w:rFonts w:ascii="Arial" w:hAnsi="Arial" w:cs="Arial"/>
          <w:b/>
          <w:sz w:val="20"/>
          <w:szCs w:val="20"/>
        </w:rPr>
        <w:t>3. Overlap of Win-Sets</w:t>
      </w:r>
    </w:p>
    <w:p w14:paraId="395AC936" w14:textId="21A6F344" w:rsidR="00ED1026" w:rsidRDefault="000F25A9" w:rsidP="00C23944">
      <w:pPr>
        <w:spacing w:line="480" w:lineRule="auto"/>
        <w:jc w:val="both"/>
        <w:rPr>
          <w:rFonts w:ascii="Arial" w:hAnsi="Arial" w:cs="Arial"/>
          <w:sz w:val="20"/>
          <w:szCs w:val="20"/>
        </w:rPr>
      </w:pPr>
      <w:r>
        <w:rPr>
          <w:rFonts w:ascii="Arial" w:hAnsi="Arial" w:cs="Arial"/>
          <w:sz w:val="20"/>
          <w:szCs w:val="20"/>
        </w:rPr>
        <w:t xml:space="preserve">To determine the </w:t>
      </w:r>
      <w:r w:rsidR="00BC0D2A">
        <w:rPr>
          <w:rFonts w:ascii="Arial" w:hAnsi="Arial" w:cs="Arial"/>
          <w:sz w:val="20"/>
          <w:szCs w:val="20"/>
        </w:rPr>
        <w:t xml:space="preserve">extent to which </w:t>
      </w:r>
      <w:r>
        <w:rPr>
          <w:rFonts w:ascii="Arial" w:hAnsi="Arial" w:cs="Arial"/>
          <w:sz w:val="20"/>
          <w:szCs w:val="20"/>
        </w:rPr>
        <w:t xml:space="preserve">the </w:t>
      </w:r>
      <w:r w:rsidR="00BC0D2A">
        <w:rPr>
          <w:rFonts w:ascii="Arial" w:hAnsi="Arial" w:cs="Arial"/>
          <w:sz w:val="20"/>
          <w:szCs w:val="20"/>
        </w:rPr>
        <w:t xml:space="preserve">EP has affected the win-set of the EU, and </w:t>
      </w:r>
      <w:r>
        <w:rPr>
          <w:rFonts w:ascii="Arial" w:hAnsi="Arial" w:cs="Arial"/>
          <w:sz w:val="20"/>
          <w:szCs w:val="20"/>
        </w:rPr>
        <w:t xml:space="preserve">how this in turn has impacted the potential for an </w:t>
      </w:r>
      <w:r w:rsidR="00C77FD3">
        <w:rPr>
          <w:rFonts w:ascii="Arial" w:hAnsi="Arial" w:cs="Arial"/>
          <w:sz w:val="20"/>
          <w:szCs w:val="20"/>
        </w:rPr>
        <w:t xml:space="preserve">agreement between the EU and India, </w:t>
      </w:r>
      <w:r w:rsidR="001912AB">
        <w:rPr>
          <w:rFonts w:ascii="Arial" w:hAnsi="Arial" w:cs="Arial"/>
          <w:sz w:val="20"/>
          <w:szCs w:val="20"/>
        </w:rPr>
        <w:t xml:space="preserve">the preferences of the key actors need to be identified. </w:t>
      </w:r>
      <w:r w:rsidR="001912AB" w:rsidRPr="00C23944">
        <w:rPr>
          <w:rFonts w:ascii="Arial" w:hAnsi="Arial" w:cs="Arial"/>
          <w:sz w:val="20"/>
          <w:szCs w:val="20"/>
        </w:rPr>
        <w:t xml:space="preserve">Looking at </w:t>
      </w:r>
      <w:r w:rsidR="00FD001C">
        <w:rPr>
          <w:rFonts w:ascii="Arial" w:hAnsi="Arial" w:cs="Arial"/>
          <w:sz w:val="20"/>
          <w:szCs w:val="20"/>
        </w:rPr>
        <w:t xml:space="preserve">the three key areas of </w:t>
      </w:r>
      <w:r w:rsidR="001912AB" w:rsidRPr="00C23944">
        <w:rPr>
          <w:rFonts w:ascii="Arial" w:hAnsi="Arial" w:cs="Arial"/>
          <w:sz w:val="20"/>
          <w:szCs w:val="20"/>
        </w:rPr>
        <w:t>market access, the inclusion of political and social clauses, and IPR provisions for pharmaceuticals</w:t>
      </w:r>
      <w:r w:rsidR="00FD001C">
        <w:rPr>
          <w:rFonts w:ascii="Arial" w:hAnsi="Arial" w:cs="Arial"/>
          <w:sz w:val="20"/>
          <w:szCs w:val="20"/>
        </w:rPr>
        <w:t xml:space="preserve">, </w:t>
      </w:r>
      <w:r w:rsidR="001912AB" w:rsidRPr="00C23944">
        <w:rPr>
          <w:rFonts w:ascii="Arial" w:hAnsi="Arial" w:cs="Arial"/>
          <w:sz w:val="20"/>
          <w:szCs w:val="20"/>
        </w:rPr>
        <w:t xml:space="preserve">this section identifies the preferences of </w:t>
      </w:r>
      <w:r w:rsidR="000479B7">
        <w:rPr>
          <w:rFonts w:ascii="Arial" w:hAnsi="Arial" w:cs="Arial"/>
          <w:sz w:val="20"/>
          <w:szCs w:val="20"/>
        </w:rPr>
        <w:t xml:space="preserve">the institutional actors involved in the Level II game, </w:t>
      </w:r>
      <w:r w:rsidR="001912AB" w:rsidRPr="00C23944">
        <w:rPr>
          <w:rFonts w:ascii="Arial" w:hAnsi="Arial" w:cs="Arial"/>
          <w:sz w:val="20"/>
          <w:szCs w:val="20"/>
        </w:rPr>
        <w:t xml:space="preserve">i.e. the Council and the EP, and </w:t>
      </w:r>
      <w:r w:rsidR="00FD001C">
        <w:rPr>
          <w:rFonts w:ascii="Arial" w:hAnsi="Arial" w:cs="Arial"/>
          <w:sz w:val="20"/>
          <w:szCs w:val="20"/>
        </w:rPr>
        <w:t xml:space="preserve">those </w:t>
      </w:r>
      <w:r w:rsidR="001912AB" w:rsidRPr="00C23944">
        <w:rPr>
          <w:rFonts w:ascii="Arial" w:hAnsi="Arial" w:cs="Arial"/>
          <w:sz w:val="20"/>
          <w:szCs w:val="20"/>
        </w:rPr>
        <w:t xml:space="preserve">of India at Level I, as well as those of the EU negotiators themselves. </w:t>
      </w:r>
      <w:r w:rsidR="00D47321">
        <w:rPr>
          <w:rFonts w:ascii="Arial" w:hAnsi="Arial" w:cs="Arial"/>
          <w:sz w:val="20"/>
          <w:szCs w:val="20"/>
        </w:rPr>
        <w:t>As in most studies (Hix and Højer 2013: 174), the</w:t>
      </w:r>
      <w:r w:rsidR="00623954">
        <w:rPr>
          <w:rFonts w:ascii="Arial" w:hAnsi="Arial" w:cs="Arial"/>
          <w:sz w:val="20"/>
          <w:szCs w:val="20"/>
        </w:rPr>
        <w:t xml:space="preserve"> EP is treated </w:t>
      </w:r>
      <w:r w:rsidR="00D47321">
        <w:rPr>
          <w:rFonts w:ascii="Arial" w:hAnsi="Arial" w:cs="Arial"/>
          <w:sz w:val="20"/>
          <w:szCs w:val="20"/>
        </w:rPr>
        <w:t xml:space="preserve">here </w:t>
      </w:r>
      <w:r w:rsidR="00623954">
        <w:rPr>
          <w:rFonts w:ascii="Arial" w:hAnsi="Arial" w:cs="Arial"/>
          <w:sz w:val="20"/>
          <w:szCs w:val="20"/>
        </w:rPr>
        <w:t>a</w:t>
      </w:r>
      <w:r w:rsidR="00D47321">
        <w:rPr>
          <w:rFonts w:ascii="Arial" w:hAnsi="Arial" w:cs="Arial"/>
          <w:sz w:val="20"/>
          <w:szCs w:val="20"/>
        </w:rPr>
        <w:t xml:space="preserve">s a unitary actor given that it gives its consent </w:t>
      </w:r>
      <w:r w:rsidR="00DE4C82">
        <w:rPr>
          <w:rFonts w:ascii="Arial" w:hAnsi="Arial" w:cs="Arial"/>
          <w:sz w:val="20"/>
          <w:szCs w:val="20"/>
        </w:rPr>
        <w:t xml:space="preserve">to trade agreement </w:t>
      </w:r>
      <w:r w:rsidR="00D47321">
        <w:rPr>
          <w:rFonts w:ascii="Arial" w:hAnsi="Arial" w:cs="Arial"/>
          <w:sz w:val="20"/>
          <w:szCs w:val="20"/>
        </w:rPr>
        <w:t xml:space="preserve">by a simple majority (TFEU, Article 218), and </w:t>
      </w:r>
      <w:r w:rsidR="00DE4C82">
        <w:rPr>
          <w:rFonts w:ascii="Arial" w:hAnsi="Arial" w:cs="Arial"/>
          <w:sz w:val="20"/>
          <w:szCs w:val="20"/>
        </w:rPr>
        <w:t>because it is generally perceived as such by the EU</w:t>
      </w:r>
      <w:r w:rsidR="00D47321">
        <w:rPr>
          <w:rFonts w:ascii="Arial" w:hAnsi="Arial" w:cs="Arial"/>
          <w:sz w:val="20"/>
          <w:szCs w:val="20"/>
        </w:rPr>
        <w:t xml:space="preserve"> negotiators who don’t engage in the intra</w:t>
      </w:r>
      <w:r w:rsidR="00DE4C82">
        <w:rPr>
          <w:rFonts w:ascii="Arial" w:hAnsi="Arial" w:cs="Arial"/>
          <w:sz w:val="20"/>
          <w:szCs w:val="20"/>
        </w:rPr>
        <w:t>-</w:t>
      </w:r>
      <w:r w:rsidR="00D47321">
        <w:rPr>
          <w:rFonts w:ascii="Arial" w:hAnsi="Arial" w:cs="Arial"/>
          <w:sz w:val="20"/>
          <w:szCs w:val="20"/>
        </w:rPr>
        <w:t xml:space="preserve">EP discussions between the different political groups (Interview, Commission Official, 7/3/2013). </w:t>
      </w:r>
      <w:r w:rsidR="00DF4118">
        <w:rPr>
          <w:rFonts w:ascii="Arial" w:hAnsi="Arial" w:cs="Arial"/>
          <w:sz w:val="20"/>
          <w:szCs w:val="20"/>
        </w:rPr>
        <w:t xml:space="preserve">While recognizing that the EP is not a unitary actor in reality, it acts with enough unity to treat it </w:t>
      </w:r>
      <w:r w:rsidR="00A652A4">
        <w:rPr>
          <w:rFonts w:ascii="Arial" w:hAnsi="Arial" w:cs="Arial"/>
          <w:sz w:val="20"/>
          <w:szCs w:val="20"/>
        </w:rPr>
        <w:t>that way</w:t>
      </w:r>
      <w:r w:rsidR="00DF4118">
        <w:rPr>
          <w:rFonts w:ascii="Arial" w:hAnsi="Arial" w:cs="Arial"/>
          <w:sz w:val="20"/>
          <w:szCs w:val="20"/>
        </w:rPr>
        <w:t>. Similarly</w:t>
      </w:r>
      <w:r w:rsidR="00203B00">
        <w:rPr>
          <w:rFonts w:ascii="Arial" w:hAnsi="Arial" w:cs="Arial"/>
          <w:sz w:val="20"/>
          <w:szCs w:val="20"/>
        </w:rPr>
        <w:t xml:space="preserve">, </w:t>
      </w:r>
      <w:r w:rsidR="00385F9A">
        <w:rPr>
          <w:rFonts w:ascii="Arial" w:hAnsi="Arial" w:cs="Arial"/>
          <w:sz w:val="20"/>
          <w:szCs w:val="20"/>
        </w:rPr>
        <w:t xml:space="preserve">it is the Indian preferences as presented by the Indian negotiating team </w:t>
      </w:r>
      <w:r w:rsidR="0061077C">
        <w:rPr>
          <w:rFonts w:ascii="Arial" w:hAnsi="Arial" w:cs="Arial"/>
          <w:sz w:val="20"/>
          <w:szCs w:val="20"/>
        </w:rPr>
        <w:t>that</w:t>
      </w:r>
      <w:r w:rsidR="00385F9A">
        <w:rPr>
          <w:rFonts w:ascii="Arial" w:hAnsi="Arial" w:cs="Arial"/>
          <w:sz w:val="20"/>
          <w:szCs w:val="20"/>
        </w:rPr>
        <w:t xml:space="preserve"> form part of the analysis, as the </w:t>
      </w:r>
      <w:r w:rsidR="00DF4118">
        <w:rPr>
          <w:rFonts w:ascii="Arial" w:hAnsi="Arial" w:cs="Arial"/>
          <w:sz w:val="20"/>
          <w:szCs w:val="20"/>
        </w:rPr>
        <w:t xml:space="preserve">diverging preferences of </w:t>
      </w:r>
      <w:r w:rsidR="00385F9A">
        <w:rPr>
          <w:rFonts w:ascii="Arial" w:hAnsi="Arial" w:cs="Arial"/>
          <w:sz w:val="20"/>
          <w:szCs w:val="20"/>
        </w:rPr>
        <w:t xml:space="preserve">India’s </w:t>
      </w:r>
      <w:r w:rsidR="00DF4118">
        <w:rPr>
          <w:rFonts w:ascii="Arial" w:hAnsi="Arial" w:cs="Arial"/>
          <w:sz w:val="20"/>
          <w:szCs w:val="20"/>
        </w:rPr>
        <w:t xml:space="preserve">domestic constituents are </w:t>
      </w:r>
      <w:r w:rsidR="00C42C61">
        <w:rPr>
          <w:rFonts w:ascii="Arial" w:hAnsi="Arial" w:cs="Arial"/>
          <w:sz w:val="20"/>
          <w:szCs w:val="20"/>
        </w:rPr>
        <w:t xml:space="preserve">dealt with in </w:t>
      </w:r>
      <w:r w:rsidR="00C42C61" w:rsidRPr="00C42C61">
        <w:rPr>
          <w:rFonts w:ascii="Arial" w:hAnsi="Arial" w:cs="Arial"/>
          <w:i/>
          <w:sz w:val="20"/>
          <w:szCs w:val="20"/>
        </w:rPr>
        <w:t>its</w:t>
      </w:r>
      <w:r w:rsidR="00C42C61">
        <w:rPr>
          <w:rFonts w:ascii="Arial" w:hAnsi="Arial" w:cs="Arial"/>
          <w:sz w:val="20"/>
          <w:szCs w:val="20"/>
        </w:rPr>
        <w:t xml:space="preserve"> domestic game at Level II</w:t>
      </w:r>
      <w:r w:rsidR="001A373A">
        <w:rPr>
          <w:rFonts w:ascii="Arial" w:hAnsi="Arial" w:cs="Arial"/>
          <w:sz w:val="20"/>
          <w:szCs w:val="20"/>
        </w:rPr>
        <w:t xml:space="preserve">, </w:t>
      </w:r>
      <w:r w:rsidR="00C42C61">
        <w:rPr>
          <w:rFonts w:ascii="Arial" w:hAnsi="Arial" w:cs="Arial"/>
          <w:sz w:val="20"/>
          <w:szCs w:val="20"/>
        </w:rPr>
        <w:t xml:space="preserve">which is beyond the scope of this study.  </w:t>
      </w:r>
      <w:r w:rsidR="00F4088B">
        <w:rPr>
          <w:rFonts w:ascii="Arial" w:hAnsi="Arial" w:cs="Arial"/>
          <w:sz w:val="20"/>
          <w:szCs w:val="20"/>
        </w:rPr>
        <w:t xml:space="preserve">For the Council on the other hand, it is </w:t>
      </w:r>
      <w:r w:rsidR="00385F9A">
        <w:rPr>
          <w:rFonts w:ascii="Arial" w:hAnsi="Arial" w:cs="Arial"/>
          <w:sz w:val="20"/>
          <w:szCs w:val="20"/>
        </w:rPr>
        <w:t xml:space="preserve">generally </w:t>
      </w:r>
      <w:r w:rsidR="00F4088B">
        <w:rPr>
          <w:rFonts w:ascii="Arial" w:hAnsi="Arial" w:cs="Arial"/>
          <w:sz w:val="20"/>
          <w:szCs w:val="20"/>
        </w:rPr>
        <w:t xml:space="preserve">necessary to identify the preferences of the </w:t>
      </w:r>
      <w:r w:rsidR="00385F9A">
        <w:rPr>
          <w:rFonts w:ascii="Arial" w:hAnsi="Arial" w:cs="Arial"/>
          <w:sz w:val="20"/>
          <w:szCs w:val="20"/>
        </w:rPr>
        <w:t xml:space="preserve">individual </w:t>
      </w:r>
      <w:r w:rsidR="00F4088B">
        <w:rPr>
          <w:rFonts w:ascii="Arial" w:hAnsi="Arial" w:cs="Arial"/>
          <w:sz w:val="20"/>
          <w:szCs w:val="20"/>
        </w:rPr>
        <w:t>Member States as it takes decision by qualified majority voting or by consensus (Hix and Højer 2013: 174)</w:t>
      </w:r>
      <w:r w:rsidR="00ED1026">
        <w:rPr>
          <w:rFonts w:ascii="Arial" w:hAnsi="Arial" w:cs="Arial"/>
          <w:sz w:val="20"/>
          <w:szCs w:val="20"/>
        </w:rPr>
        <w:t>,</w:t>
      </w:r>
      <w:r w:rsidR="00F4088B">
        <w:rPr>
          <w:rStyle w:val="FootnoteReference"/>
          <w:rFonts w:ascii="Arial" w:hAnsi="Arial" w:cs="Arial"/>
          <w:sz w:val="20"/>
          <w:szCs w:val="20"/>
        </w:rPr>
        <w:footnoteReference w:id="4"/>
      </w:r>
      <w:r w:rsidR="00ED1026">
        <w:rPr>
          <w:rFonts w:ascii="Arial" w:hAnsi="Arial" w:cs="Arial"/>
          <w:sz w:val="20"/>
          <w:szCs w:val="20"/>
        </w:rPr>
        <w:t xml:space="preserve"> even if, as is </w:t>
      </w:r>
      <w:r w:rsidR="00385F9A">
        <w:rPr>
          <w:rFonts w:ascii="Arial" w:hAnsi="Arial" w:cs="Arial"/>
          <w:sz w:val="20"/>
          <w:szCs w:val="20"/>
        </w:rPr>
        <w:t xml:space="preserve">illustrated </w:t>
      </w:r>
      <w:r w:rsidR="00ED1026">
        <w:rPr>
          <w:rFonts w:ascii="Arial" w:hAnsi="Arial" w:cs="Arial"/>
          <w:sz w:val="20"/>
          <w:szCs w:val="20"/>
        </w:rPr>
        <w:t>below, there is great convergence in preferences between the</w:t>
      </w:r>
      <w:r w:rsidR="0061077C">
        <w:rPr>
          <w:rFonts w:ascii="Arial" w:hAnsi="Arial" w:cs="Arial"/>
          <w:sz w:val="20"/>
          <w:szCs w:val="20"/>
        </w:rPr>
        <w:t xml:space="preserve">m </w:t>
      </w:r>
      <w:r w:rsidR="00ED1026">
        <w:rPr>
          <w:rFonts w:ascii="Arial" w:hAnsi="Arial" w:cs="Arial"/>
          <w:sz w:val="20"/>
          <w:szCs w:val="20"/>
        </w:rPr>
        <w:t xml:space="preserve"> in the </w:t>
      </w:r>
      <w:r w:rsidR="007947A9">
        <w:rPr>
          <w:rFonts w:ascii="Arial" w:hAnsi="Arial" w:cs="Arial"/>
          <w:sz w:val="20"/>
          <w:szCs w:val="20"/>
        </w:rPr>
        <w:t xml:space="preserve">this particular case. </w:t>
      </w:r>
    </w:p>
    <w:p w14:paraId="575DACBF" w14:textId="77777777" w:rsidR="007947A9" w:rsidRDefault="007947A9" w:rsidP="00C23944">
      <w:pPr>
        <w:spacing w:line="480" w:lineRule="auto"/>
        <w:jc w:val="both"/>
        <w:rPr>
          <w:rFonts w:ascii="Arial" w:hAnsi="Arial" w:cs="Arial"/>
          <w:sz w:val="20"/>
          <w:szCs w:val="20"/>
        </w:rPr>
      </w:pPr>
    </w:p>
    <w:p w14:paraId="6A8F9179" w14:textId="287B29AF" w:rsidR="003708B3" w:rsidRDefault="00385F9A" w:rsidP="00C23944">
      <w:pPr>
        <w:spacing w:line="480" w:lineRule="auto"/>
        <w:jc w:val="both"/>
        <w:rPr>
          <w:rFonts w:ascii="Arial" w:hAnsi="Arial" w:cs="Arial"/>
          <w:sz w:val="20"/>
          <w:szCs w:val="20"/>
        </w:rPr>
      </w:pPr>
      <w:r>
        <w:rPr>
          <w:rFonts w:ascii="Arial" w:hAnsi="Arial" w:cs="Arial"/>
          <w:sz w:val="20"/>
          <w:szCs w:val="20"/>
        </w:rPr>
        <w:t xml:space="preserve">It is demonstrated </w:t>
      </w:r>
      <w:r w:rsidR="007947A9">
        <w:rPr>
          <w:rFonts w:ascii="Arial" w:hAnsi="Arial" w:cs="Arial"/>
          <w:sz w:val="20"/>
          <w:szCs w:val="20"/>
        </w:rPr>
        <w:t>h</w:t>
      </w:r>
      <w:r w:rsidR="001912AB" w:rsidRPr="00C23944">
        <w:rPr>
          <w:rFonts w:ascii="Arial" w:hAnsi="Arial" w:cs="Arial"/>
          <w:sz w:val="20"/>
          <w:szCs w:val="20"/>
        </w:rPr>
        <w:t xml:space="preserve">ow the preferences </w:t>
      </w:r>
      <w:r>
        <w:rPr>
          <w:rFonts w:ascii="Arial" w:hAnsi="Arial" w:cs="Arial"/>
          <w:sz w:val="20"/>
          <w:szCs w:val="20"/>
        </w:rPr>
        <w:t xml:space="preserve">of these actors </w:t>
      </w:r>
      <w:r w:rsidR="001912AB" w:rsidRPr="00C23944">
        <w:rPr>
          <w:rFonts w:ascii="Arial" w:hAnsi="Arial" w:cs="Arial"/>
          <w:sz w:val="20"/>
          <w:szCs w:val="20"/>
        </w:rPr>
        <w:t xml:space="preserve">shape the </w:t>
      </w:r>
      <w:r w:rsidR="00C77FD3">
        <w:rPr>
          <w:rFonts w:ascii="Arial" w:hAnsi="Arial" w:cs="Arial"/>
          <w:sz w:val="20"/>
          <w:szCs w:val="20"/>
        </w:rPr>
        <w:t xml:space="preserve">contours of the </w:t>
      </w:r>
      <w:r w:rsidR="001912AB" w:rsidRPr="00C23944">
        <w:rPr>
          <w:rFonts w:ascii="Arial" w:hAnsi="Arial" w:cs="Arial"/>
          <w:sz w:val="20"/>
          <w:szCs w:val="20"/>
        </w:rPr>
        <w:t xml:space="preserve">win-sets, and whether overlaps between the </w:t>
      </w:r>
      <w:r w:rsidR="003708B3">
        <w:rPr>
          <w:rFonts w:ascii="Arial" w:hAnsi="Arial" w:cs="Arial"/>
          <w:sz w:val="20"/>
          <w:szCs w:val="20"/>
        </w:rPr>
        <w:t xml:space="preserve">EU and Indian </w:t>
      </w:r>
      <w:r w:rsidR="001912AB" w:rsidRPr="00C23944">
        <w:rPr>
          <w:rFonts w:ascii="Arial" w:hAnsi="Arial" w:cs="Arial"/>
          <w:sz w:val="20"/>
          <w:szCs w:val="20"/>
        </w:rPr>
        <w:t>win-sets have been achi</w:t>
      </w:r>
      <w:r w:rsidR="001504DF">
        <w:rPr>
          <w:rFonts w:ascii="Arial" w:hAnsi="Arial" w:cs="Arial"/>
          <w:sz w:val="20"/>
          <w:szCs w:val="20"/>
        </w:rPr>
        <w:t xml:space="preserve">eved. </w:t>
      </w:r>
      <w:r w:rsidR="00C77FD3">
        <w:rPr>
          <w:rFonts w:ascii="Arial" w:hAnsi="Arial" w:cs="Arial"/>
          <w:sz w:val="20"/>
          <w:szCs w:val="20"/>
        </w:rPr>
        <w:t xml:space="preserve">In the </w:t>
      </w:r>
      <w:r w:rsidR="001E7A18">
        <w:rPr>
          <w:rFonts w:ascii="Arial" w:hAnsi="Arial" w:cs="Arial"/>
          <w:sz w:val="20"/>
          <w:szCs w:val="20"/>
        </w:rPr>
        <w:t>case</w:t>
      </w:r>
      <w:r w:rsidR="00C77FD3">
        <w:rPr>
          <w:rFonts w:ascii="Arial" w:hAnsi="Arial" w:cs="Arial"/>
          <w:sz w:val="20"/>
          <w:szCs w:val="20"/>
        </w:rPr>
        <w:t xml:space="preserve"> of market access</w:t>
      </w:r>
      <w:r w:rsidR="001E7A18">
        <w:rPr>
          <w:rFonts w:ascii="Arial" w:hAnsi="Arial" w:cs="Arial"/>
          <w:sz w:val="20"/>
          <w:szCs w:val="20"/>
        </w:rPr>
        <w:t>,</w:t>
      </w:r>
      <w:r w:rsidR="00C77FD3">
        <w:rPr>
          <w:rFonts w:ascii="Arial" w:hAnsi="Arial" w:cs="Arial"/>
          <w:sz w:val="20"/>
          <w:szCs w:val="20"/>
        </w:rPr>
        <w:t xml:space="preserve"> the impact of the EP </w:t>
      </w:r>
      <w:r w:rsidR="003708B3">
        <w:rPr>
          <w:rFonts w:ascii="Arial" w:hAnsi="Arial" w:cs="Arial"/>
          <w:sz w:val="20"/>
          <w:szCs w:val="20"/>
        </w:rPr>
        <w:t>has been minor due to the strong co</w:t>
      </w:r>
      <w:r w:rsidR="001E7A18">
        <w:rPr>
          <w:rFonts w:ascii="Arial" w:hAnsi="Arial" w:cs="Arial"/>
          <w:sz w:val="20"/>
          <w:szCs w:val="20"/>
        </w:rPr>
        <w:t>nvergence in preferences within the EU</w:t>
      </w:r>
      <w:r w:rsidR="00F36AE1">
        <w:rPr>
          <w:rFonts w:ascii="Arial" w:hAnsi="Arial" w:cs="Arial"/>
          <w:sz w:val="20"/>
          <w:szCs w:val="20"/>
        </w:rPr>
        <w:t xml:space="preserve">. </w:t>
      </w:r>
      <w:r w:rsidR="001E7A18">
        <w:rPr>
          <w:rFonts w:ascii="Arial" w:hAnsi="Arial" w:cs="Arial"/>
          <w:sz w:val="20"/>
          <w:szCs w:val="20"/>
        </w:rPr>
        <w:t>In t</w:t>
      </w:r>
      <w:r w:rsidR="00C77FD3">
        <w:rPr>
          <w:rFonts w:ascii="Arial" w:hAnsi="Arial" w:cs="Arial"/>
          <w:sz w:val="20"/>
          <w:szCs w:val="20"/>
        </w:rPr>
        <w:t>he case of the inclusion of political clauses the</w:t>
      </w:r>
      <w:r w:rsidR="004756E1">
        <w:rPr>
          <w:rFonts w:ascii="Arial" w:hAnsi="Arial" w:cs="Arial"/>
          <w:sz w:val="20"/>
          <w:szCs w:val="20"/>
        </w:rPr>
        <w:t xml:space="preserve"> influence of the</w:t>
      </w:r>
      <w:r w:rsidR="00C77FD3">
        <w:rPr>
          <w:rFonts w:ascii="Arial" w:hAnsi="Arial" w:cs="Arial"/>
          <w:sz w:val="20"/>
          <w:szCs w:val="20"/>
        </w:rPr>
        <w:t xml:space="preserve"> EP has red</w:t>
      </w:r>
      <w:r w:rsidR="003708B3">
        <w:rPr>
          <w:rFonts w:ascii="Arial" w:hAnsi="Arial" w:cs="Arial"/>
          <w:sz w:val="20"/>
          <w:szCs w:val="20"/>
        </w:rPr>
        <w:t>uced the EU win-set</w:t>
      </w:r>
      <w:r w:rsidR="004756E1">
        <w:rPr>
          <w:rFonts w:ascii="Arial" w:hAnsi="Arial" w:cs="Arial"/>
          <w:sz w:val="20"/>
          <w:szCs w:val="20"/>
        </w:rPr>
        <w:t>,</w:t>
      </w:r>
      <w:r w:rsidR="003708B3">
        <w:rPr>
          <w:rFonts w:ascii="Arial" w:hAnsi="Arial" w:cs="Arial"/>
          <w:sz w:val="20"/>
          <w:szCs w:val="20"/>
        </w:rPr>
        <w:t xml:space="preserve"> and thereby made an </w:t>
      </w:r>
      <w:r w:rsidR="001E7A18">
        <w:rPr>
          <w:rFonts w:ascii="Arial" w:hAnsi="Arial" w:cs="Arial"/>
          <w:sz w:val="20"/>
          <w:szCs w:val="20"/>
        </w:rPr>
        <w:t xml:space="preserve">EU-India </w:t>
      </w:r>
      <w:r w:rsidR="007932ED">
        <w:rPr>
          <w:rFonts w:ascii="Arial" w:hAnsi="Arial" w:cs="Arial"/>
          <w:sz w:val="20"/>
          <w:szCs w:val="20"/>
        </w:rPr>
        <w:t>agreement less likely.</w:t>
      </w:r>
      <w:r w:rsidR="003708B3">
        <w:rPr>
          <w:rFonts w:ascii="Arial" w:hAnsi="Arial" w:cs="Arial"/>
          <w:sz w:val="20"/>
          <w:szCs w:val="20"/>
        </w:rPr>
        <w:t xml:space="preserve"> The case of IPR provisions for pharmaceuticals </w:t>
      </w:r>
      <w:r w:rsidR="001E7A18">
        <w:rPr>
          <w:rFonts w:ascii="Arial" w:hAnsi="Arial" w:cs="Arial"/>
          <w:sz w:val="20"/>
          <w:szCs w:val="20"/>
        </w:rPr>
        <w:t xml:space="preserve">demonstrates, </w:t>
      </w:r>
      <w:r w:rsidR="003708B3">
        <w:rPr>
          <w:rFonts w:ascii="Arial" w:hAnsi="Arial" w:cs="Arial"/>
          <w:sz w:val="20"/>
          <w:szCs w:val="20"/>
        </w:rPr>
        <w:t xml:space="preserve">on the other hand, how the EP facilitated </w:t>
      </w:r>
      <w:r w:rsidR="001E7A18">
        <w:rPr>
          <w:rFonts w:ascii="Arial" w:hAnsi="Arial" w:cs="Arial"/>
          <w:sz w:val="20"/>
          <w:szCs w:val="20"/>
        </w:rPr>
        <w:t>an o</w:t>
      </w:r>
      <w:r w:rsidR="003708B3">
        <w:rPr>
          <w:rFonts w:ascii="Arial" w:hAnsi="Arial" w:cs="Arial"/>
          <w:sz w:val="20"/>
          <w:szCs w:val="20"/>
        </w:rPr>
        <w:t xml:space="preserve">verlap between the two win-sets by tipping the balance of the EU win-set in the direction of that of India. </w:t>
      </w:r>
    </w:p>
    <w:p w14:paraId="6F1CEC9D" w14:textId="77777777" w:rsidR="0094755A" w:rsidRDefault="0094755A" w:rsidP="00C23944">
      <w:pPr>
        <w:spacing w:line="480" w:lineRule="auto"/>
        <w:jc w:val="both"/>
        <w:rPr>
          <w:rFonts w:ascii="Arial" w:hAnsi="Arial" w:cs="Arial"/>
          <w:i/>
          <w:sz w:val="20"/>
          <w:szCs w:val="20"/>
        </w:rPr>
      </w:pPr>
    </w:p>
    <w:p w14:paraId="43AE3AC5" w14:textId="77777777" w:rsidR="0094755A" w:rsidRPr="00C23944" w:rsidRDefault="0094755A" w:rsidP="00C23944">
      <w:pPr>
        <w:spacing w:line="480" w:lineRule="auto"/>
        <w:jc w:val="both"/>
        <w:rPr>
          <w:rFonts w:ascii="Arial" w:hAnsi="Arial" w:cs="Arial"/>
          <w:i/>
          <w:sz w:val="20"/>
          <w:szCs w:val="20"/>
        </w:rPr>
      </w:pPr>
    </w:p>
    <w:p w14:paraId="673324A3" w14:textId="4CAB3700" w:rsidR="001912AB" w:rsidRPr="006B69E4" w:rsidRDefault="001912AB" w:rsidP="00C23944">
      <w:pPr>
        <w:spacing w:line="480" w:lineRule="auto"/>
        <w:jc w:val="both"/>
        <w:rPr>
          <w:rFonts w:ascii="Arial" w:hAnsi="Arial" w:cs="Arial"/>
          <w:b/>
          <w:i/>
          <w:sz w:val="20"/>
          <w:szCs w:val="20"/>
        </w:rPr>
      </w:pPr>
      <w:r w:rsidRPr="006B69E4">
        <w:rPr>
          <w:rFonts w:ascii="Arial" w:hAnsi="Arial" w:cs="Arial"/>
          <w:b/>
          <w:i/>
          <w:sz w:val="20"/>
          <w:szCs w:val="20"/>
        </w:rPr>
        <w:t xml:space="preserve">3.1. Market Access </w:t>
      </w:r>
    </w:p>
    <w:p w14:paraId="11CDE6C1" w14:textId="33A01701" w:rsidR="00746C8D" w:rsidRDefault="001912AB" w:rsidP="00C23944">
      <w:pPr>
        <w:spacing w:line="480" w:lineRule="auto"/>
        <w:jc w:val="both"/>
        <w:rPr>
          <w:rFonts w:ascii="Arial" w:hAnsi="Arial" w:cs="Arial"/>
          <w:sz w:val="20"/>
          <w:szCs w:val="20"/>
        </w:rPr>
      </w:pPr>
      <w:r w:rsidRPr="00C23944">
        <w:rPr>
          <w:rFonts w:ascii="Arial" w:hAnsi="Arial" w:cs="Arial"/>
          <w:sz w:val="20"/>
          <w:szCs w:val="20"/>
        </w:rPr>
        <w:t xml:space="preserve">Given India’s economic strength and attractiveness as an export market, the </w:t>
      </w:r>
      <w:r>
        <w:rPr>
          <w:rFonts w:ascii="Arial" w:hAnsi="Arial" w:cs="Arial"/>
          <w:sz w:val="20"/>
          <w:szCs w:val="20"/>
        </w:rPr>
        <w:t xml:space="preserve">EU’s </w:t>
      </w:r>
      <w:r w:rsidRPr="00C23944">
        <w:rPr>
          <w:rFonts w:ascii="Arial" w:hAnsi="Arial" w:cs="Arial"/>
          <w:sz w:val="20"/>
          <w:szCs w:val="20"/>
        </w:rPr>
        <w:t>main aim is to gain increased access to this market for its industrial products (e.g. automobiles and automotive components), agricultural products (e.g. whiskey, poultry, dairy, oils, pasta), and services (e.g. retail, legal, financial and postal) (Khorana and Garcia 2013: 8; Khandekar and Sengupta 2012: 5). Unlike many other FTA negotiations, the EU has very few defensive interests vis-à-vis India. There are certain products such as rice, sugar, fruits and vegetables for which the Mediterranean states have expressed some defensive tendencies, but in comparison with other negotiations these are negligible a</w:t>
      </w:r>
      <w:r>
        <w:rPr>
          <w:rFonts w:ascii="Arial" w:hAnsi="Arial" w:cs="Arial"/>
          <w:sz w:val="20"/>
          <w:szCs w:val="20"/>
        </w:rPr>
        <w:t>s it is recogniz</w:t>
      </w:r>
      <w:r w:rsidRPr="00C23944">
        <w:rPr>
          <w:rFonts w:ascii="Arial" w:hAnsi="Arial" w:cs="Arial"/>
          <w:sz w:val="20"/>
          <w:szCs w:val="20"/>
        </w:rPr>
        <w:t>ed tha</w:t>
      </w:r>
      <w:r w:rsidR="00746C8D">
        <w:rPr>
          <w:rFonts w:ascii="Arial" w:hAnsi="Arial" w:cs="Arial"/>
          <w:sz w:val="20"/>
          <w:szCs w:val="20"/>
        </w:rPr>
        <w:t>t the threat posed by India is l</w:t>
      </w:r>
      <w:r w:rsidRPr="00C23944">
        <w:rPr>
          <w:rFonts w:ascii="Arial" w:hAnsi="Arial" w:cs="Arial"/>
          <w:sz w:val="20"/>
          <w:szCs w:val="20"/>
        </w:rPr>
        <w:t>imited (</w:t>
      </w:r>
      <w:r w:rsidR="00746C8D">
        <w:rPr>
          <w:rFonts w:ascii="Arial" w:hAnsi="Arial" w:cs="Arial"/>
          <w:sz w:val="20"/>
          <w:szCs w:val="20"/>
        </w:rPr>
        <w:t xml:space="preserve">EP 2013: 30; </w:t>
      </w:r>
      <w:r w:rsidRPr="00C23944">
        <w:rPr>
          <w:rFonts w:ascii="Arial" w:hAnsi="Arial" w:cs="Arial"/>
          <w:sz w:val="20"/>
          <w:szCs w:val="20"/>
        </w:rPr>
        <w:t xml:space="preserve">Interview, Commission official, 8/3/2013). </w:t>
      </w:r>
    </w:p>
    <w:p w14:paraId="408FDD4B" w14:textId="77777777" w:rsidR="00746C8D" w:rsidRDefault="00746C8D" w:rsidP="00C23944">
      <w:pPr>
        <w:spacing w:line="480" w:lineRule="auto"/>
        <w:jc w:val="both"/>
        <w:rPr>
          <w:rFonts w:ascii="Arial" w:hAnsi="Arial" w:cs="Arial"/>
          <w:sz w:val="20"/>
          <w:szCs w:val="20"/>
        </w:rPr>
      </w:pPr>
    </w:p>
    <w:p w14:paraId="6340698F" w14:textId="605F6C3E" w:rsidR="004756E1" w:rsidRDefault="0061077C" w:rsidP="00C23944">
      <w:pPr>
        <w:spacing w:line="480" w:lineRule="auto"/>
        <w:jc w:val="both"/>
        <w:rPr>
          <w:rFonts w:ascii="Arial" w:hAnsi="Arial" w:cs="Arial"/>
          <w:sz w:val="20"/>
          <w:szCs w:val="20"/>
        </w:rPr>
      </w:pPr>
      <w:r>
        <w:rPr>
          <w:rFonts w:ascii="Arial" w:hAnsi="Arial" w:cs="Arial"/>
          <w:sz w:val="20"/>
          <w:szCs w:val="20"/>
        </w:rPr>
        <w:t xml:space="preserve">As a result of </w:t>
      </w:r>
      <w:r w:rsidR="001912AB" w:rsidRPr="00C23944">
        <w:rPr>
          <w:rFonts w:ascii="Arial" w:hAnsi="Arial" w:cs="Arial"/>
          <w:sz w:val="20"/>
          <w:szCs w:val="20"/>
        </w:rPr>
        <w:t>t</w:t>
      </w:r>
      <w:r w:rsidR="001912AB">
        <w:rPr>
          <w:rFonts w:ascii="Arial" w:hAnsi="Arial" w:cs="Arial"/>
          <w:sz w:val="20"/>
          <w:szCs w:val="20"/>
        </w:rPr>
        <w:t>hese homogenous market liberaliz</w:t>
      </w:r>
      <w:r w:rsidR="001912AB" w:rsidRPr="00C23944">
        <w:rPr>
          <w:rFonts w:ascii="Arial" w:hAnsi="Arial" w:cs="Arial"/>
          <w:sz w:val="20"/>
          <w:szCs w:val="20"/>
        </w:rPr>
        <w:t>ation interests, there are few distributional consequences</w:t>
      </w:r>
      <w:r w:rsidR="00746C8D">
        <w:rPr>
          <w:rFonts w:ascii="Arial" w:hAnsi="Arial" w:cs="Arial"/>
          <w:sz w:val="20"/>
          <w:szCs w:val="20"/>
        </w:rPr>
        <w:t xml:space="preserve"> between the Member S</w:t>
      </w:r>
      <w:r w:rsidR="00EC33C1">
        <w:rPr>
          <w:rFonts w:ascii="Arial" w:hAnsi="Arial" w:cs="Arial"/>
          <w:sz w:val="20"/>
          <w:szCs w:val="20"/>
        </w:rPr>
        <w:t>tates</w:t>
      </w:r>
      <w:r w:rsidR="001912AB" w:rsidRPr="00C23944">
        <w:rPr>
          <w:rFonts w:ascii="Arial" w:hAnsi="Arial" w:cs="Arial"/>
          <w:sz w:val="20"/>
          <w:szCs w:val="20"/>
        </w:rPr>
        <w:t xml:space="preserve">, and the </w:t>
      </w:r>
      <w:r w:rsidR="00EC33C1">
        <w:rPr>
          <w:rFonts w:ascii="Arial" w:hAnsi="Arial" w:cs="Arial"/>
          <w:sz w:val="20"/>
          <w:szCs w:val="20"/>
        </w:rPr>
        <w:t xml:space="preserve">Council </w:t>
      </w:r>
      <w:r w:rsidR="001912AB" w:rsidRPr="00C23944">
        <w:rPr>
          <w:rFonts w:ascii="Arial" w:hAnsi="Arial" w:cs="Arial"/>
          <w:sz w:val="20"/>
          <w:szCs w:val="20"/>
        </w:rPr>
        <w:t>is institutionally united in its approach</w:t>
      </w:r>
      <w:r>
        <w:rPr>
          <w:rFonts w:ascii="Arial" w:hAnsi="Arial" w:cs="Arial"/>
          <w:sz w:val="20"/>
          <w:szCs w:val="20"/>
        </w:rPr>
        <w:t xml:space="preserve">, which is very similar to the pro-liberalization stance taken by the EU negotiators. </w:t>
      </w:r>
      <w:r w:rsidR="001912AB" w:rsidRPr="00C23944">
        <w:rPr>
          <w:rFonts w:ascii="Arial" w:hAnsi="Arial" w:cs="Arial"/>
          <w:sz w:val="20"/>
          <w:szCs w:val="20"/>
        </w:rPr>
        <w:t xml:space="preserve"> The division, which is often</w:t>
      </w:r>
      <w:r w:rsidR="001912AB">
        <w:rPr>
          <w:rFonts w:ascii="Arial" w:hAnsi="Arial" w:cs="Arial"/>
          <w:sz w:val="20"/>
          <w:szCs w:val="20"/>
        </w:rPr>
        <w:t xml:space="preserve"> seen between the more liberaliz</w:t>
      </w:r>
      <w:r w:rsidR="001912AB" w:rsidRPr="00C23944">
        <w:rPr>
          <w:rFonts w:ascii="Arial" w:hAnsi="Arial" w:cs="Arial"/>
          <w:sz w:val="20"/>
          <w:szCs w:val="20"/>
        </w:rPr>
        <w:t xml:space="preserve">ed focused Commission negotiators and some of the more protectionist Member States in the Council (e.g. Da Conceiçao 2010; Meunier 2005), is to a great extent absent in these negotiations. </w:t>
      </w:r>
    </w:p>
    <w:p w14:paraId="6270AE53" w14:textId="77777777" w:rsidR="004756E1" w:rsidRDefault="004756E1" w:rsidP="00C23944">
      <w:pPr>
        <w:spacing w:line="480" w:lineRule="auto"/>
        <w:jc w:val="both"/>
        <w:rPr>
          <w:rFonts w:ascii="Arial" w:hAnsi="Arial" w:cs="Arial"/>
          <w:sz w:val="20"/>
          <w:szCs w:val="20"/>
        </w:rPr>
      </w:pPr>
    </w:p>
    <w:p w14:paraId="541AB08A" w14:textId="060DF880" w:rsidR="001912AB" w:rsidRDefault="001912AB" w:rsidP="00C23944">
      <w:pPr>
        <w:spacing w:line="480" w:lineRule="auto"/>
        <w:jc w:val="both"/>
        <w:rPr>
          <w:rFonts w:ascii="Arial" w:hAnsi="Arial" w:cs="Arial"/>
          <w:sz w:val="20"/>
          <w:szCs w:val="20"/>
        </w:rPr>
      </w:pPr>
      <w:r>
        <w:rPr>
          <w:rFonts w:ascii="Arial" w:hAnsi="Arial" w:cs="Arial"/>
          <w:sz w:val="20"/>
          <w:szCs w:val="20"/>
        </w:rPr>
        <w:t xml:space="preserve">This </w:t>
      </w:r>
      <w:r w:rsidR="00EC33C1">
        <w:rPr>
          <w:rFonts w:ascii="Arial" w:hAnsi="Arial" w:cs="Arial"/>
          <w:sz w:val="20"/>
          <w:szCs w:val="20"/>
        </w:rPr>
        <w:t xml:space="preserve">interest in gaining greater </w:t>
      </w:r>
      <w:r>
        <w:rPr>
          <w:rFonts w:ascii="Arial" w:hAnsi="Arial" w:cs="Arial"/>
          <w:sz w:val="20"/>
          <w:szCs w:val="20"/>
        </w:rPr>
        <w:t xml:space="preserve">market access </w:t>
      </w:r>
      <w:r w:rsidR="00BA0E75">
        <w:rPr>
          <w:rFonts w:ascii="Arial" w:hAnsi="Arial" w:cs="Arial"/>
          <w:sz w:val="20"/>
          <w:szCs w:val="20"/>
        </w:rPr>
        <w:t>in India</w:t>
      </w:r>
      <w:r>
        <w:rPr>
          <w:rFonts w:ascii="Arial" w:hAnsi="Arial" w:cs="Arial"/>
          <w:sz w:val="20"/>
          <w:szCs w:val="20"/>
        </w:rPr>
        <w:t xml:space="preserve"> is </w:t>
      </w:r>
      <w:r w:rsidR="0061077C">
        <w:rPr>
          <w:rFonts w:ascii="Arial" w:hAnsi="Arial" w:cs="Arial"/>
          <w:sz w:val="20"/>
          <w:szCs w:val="20"/>
        </w:rPr>
        <w:t>also</w:t>
      </w:r>
      <w:r w:rsidR="004756E1">
        <w:rPr>
          <w:rFonts w:ascii="Arial" w:hAnsi="Arial" w:cs="Arial"/>
          <w:sz w:val="20"/>
          <w:szCs w:val="20"/>
        </w:rPr>
        <w:t xml:space="preserve"> </w:t>
      </w:r>
      <w:r>
        <w:rPr>
          <w:rFonts w:ascii="Arial" w:hAnsi="Arial" w:cs="Arial"/>
          <w:sz w:val="20"/>
          <w:szCs w:val="20"/>
        </w:rPr>
        <w:t xml:space="preserve">shared by the EP </w:t>
      </w:r>
      <w:r w:rsidRPr="00C23944">
        <w:rPr>
          <w:rFonts w:ascii="Arial" w:hAnsi="Arial" w:cs="Arial"/>
          <w:sz w:val="20"/>
          <w:szCs w:val="20"/>
        </w:rPr>
        <w:t>(E</w:t>
      </w:r>
      <w:r>
        <w:rPr>
          <w:rFonts w:ascii="Arial" w:hAnsi="Arial" w:cs="Arial"/>
          <w:sz w:val="20"/>
          <w:szCs w:val="20"/>
        </w:rPr>
        <w:t>uropean Parliament 2011a</w:t>
      </w:r>
      <w:r w:rsidR="00EC33C1">
        <w:rPr>
          <w:rFonts w:ascii="Arial" w:hAnsi="Arial" w:cs="Arial"/>
          <w:sz w:val="20"/>
          <w:szCs w:val="20"/>
        </w:rPr>
        <w:t>; interview EP official, 8/3/2013</w:t>
      </w:r>
      <w:r w:rsidRPr="00C23944">
        <w:rPr>
          <w:rFonts w:ascii="Arial" w:hAnsi="Arial" w:cs="Arial"/>
          <w:sz w:val="20"/>
          <w:szCs w:val="20"/>
        </w:rPr>
        <w:t>)</w:t>
      </w:r>
      <w:r w:rsidR="00BA0E75">
        <w:rPr>
          <w:rFonts w:ascii="Arial" w:hAnsi="Arial" w:cs="Arial"/>
          <w:sz w:val="20"/>
          <w:szCs w:val="20"/>
        </w:rPr>
        <w:t xml:space="preserve">. </w:t>
      </w:r>
      <w:r w:rsidR="00EC33C1">
        <w:rPr>
          <w:rFonts w:ascii="Arial" w:hAnsi="Arial" w:cs="Arial"/>
          <w:sz w:val="20"/>
          <w:szCs w:val="20"/>
        </w:rPr>
        <w:t>This is in line with its general support of DG Trade’s liberali</w:t>
      </w:r>
      <w:r w:rsidR="0061077C">
        <w:rPr>
          <w:rFonts w:ascii="Arial" w:hAnsi="Arial" w:cs="Arial"/>
          <w:sz w:val="20"/>
          <w:szCs w:val="20"/>
        </w:rPr>
        <w:t>z</w:t>
      </w:r>
      <w:r w:rsidR="00EC33C1">
        <w:rPr>
          <w:rFonts w:ascii="Arial" w:hAnsi="Arial" w:cs="Arial"/>
          <w:sz w:val="20"/>
          <w:szCs w:val="20"/>
        </w:rPr>
        <w:t xml:space="preserve">ation agenda and </w:t>
      </w:r>
      <w:r w:rsidR="00BA0E75">
        <w:rPr>
          <w:rFonts w:ascii="Arial" w:hAnsi="Arial" w:cs="Arial"/>
          <w:sz w:val="20"/>
          <w:szCs w:val="20"/>
        </w:rPr>
        <w:t xml:space="preserve">its disposition to support </w:t>
      </w:r>
      <w:r w:rsidR="00EC33C1">
        <w:rPr>
          <w:rFonts w:ascii="Arial" w:hAnsi="Arial" w:cs="Arial"/>
          <w:sz w:val="20"/>
          <w:szCs w:val="20"/>
        </w:rPr>
        <w:t>market openings for EU business (van den Putte et al. 2014</w:t>
      </w:r>
      <w:r w:rsidR="00BA0E75">
        <w:rPr>
          <w:rFonts w:ascii="Arial" w:hAnsi="Arial" w:cs="Arial"/>
          <w:sz w:val="20"/>
          <w:szCs w:val="20"/>
        </w:rPr>
        <w:t>: 6-7</w:t>
      </w:r>
      <w:r w:rsidR="008411A5">
        <w:rPr>
          <w:rFonts w:ascii="Arial" w:hAnsi="Arial" w:cs="Arial"/>
          <w:sz w:val="20"/>
          <w:szCs w:val="20"/>
        </w:rPr>
        <w:t xml:space="preserve">). Even if there </w:t>
      </w:r>
      <w:r w:rsidR="004756E1">
        <w:rPr>
          <w:rFonts w:ascii="Arial" w:hAnsi="Arial" w:cs="Arial"/>
          <w:sz w:val="20"/>
          <w:szCs w:val="20"/>
        </w:rPr>
        <w:t>are diverging views betw</w:t>
      </w:r>
      <w:r w:rsidR="008411A5">
        <w:rPr>
          <w:rFonts w:ascii="Arial" w:hAnsi="Arial" w:cs="Arial"/>
          <w:sz w:val="20"/>
          <w:szCs w:val="20"/>
        </w:rPr>
        <w:t xml:space="preserve">een the MEPs, overall the EP tends to back the promotion of free trade (Armanovica and Bendini 2014: 21). </w:t>
      </w:r>
      <w:r w:rsidRPr="00C23944">
        <w:rPr>
          <w:rFonts w:ascii="Arial" w:hAnsi="Arial" w:cs="Arial"/>
          <w:sz w:val="20"/>
          <w:szCs w:val="20"/>
        </w:rPr>
        <w:t>There are, in other words, no strong preferential divides between the negotiators, the Council and the EP</w:t>
      </w:r>
      <w:r w:rsidR="008411A5">
        <w:rPr>
          <w:rFonts w:ascii="Arial" w:hAnsi="Arial" w:cs="Arial"/>
          <w:sz w:val="20"/>
          <w:szCs w:val="20"/>
        </w:rPr>
        <w:t xml:space="preserve"> in this case</w:t>
      </w:r>
      <w:r w:rsidRPr="00C23944">
        <w:rPr>
          <w:rFonts w:ascii="Arial" w:hAnsi="Arial" w:cs="Arial"/>
          <w:sz w:val="20"/>
          <w:szCs w:val="20"/>
        </w:rPr>
        <w:t xml:space="preserve">.  </w:t>
      </w:r>
    </w:p>
    <w:p w14:paraId="64B543DD" w14:textId="77777777" w:rsidR="00BA0E75" w:rsidRPr="00C23944" w:rsidRDefault="00BA0E75" w:rsidP="00C23944">
      <w:pPr>
        <w:spacing w:line="480" w:lineRule="auto"/>
        <w:jc w:val="both"/>
        <w:rPr>
          <w:rFonts w:ascii="Arial" w:hAnsi="Arial" w:cs="Arial"/>
          <w:sz w:val="20"/>
          <w:szCs w:val="20"/>
        </w:rPr>
      </w:pPr>
    </w:p>
    <w:p w14:paraId="366169DF" w14:textId="0FCE6691" w:rsidR="001912AB" w:rsidRPr="00C23944" w:rsidRDefault="001912AB" w:rsidP="00C23944">
      <w:pPr>
        <w:spacing w:line="480" w:lineRule="auto"/>
        <w:jc w:val="both"/>
        <w:rPr>
          <w:rFonts w:ascii="Arial" w:hAnsi="Arial" w:cs="Arial"/>
          <w:sz w:val="20"/>
          <w:szCs w:val="20"/>
        </w:rPr>
      </w:pPr>
      <w:r w:rsidRPr="00C23944">
        <w:rPr>
          <w:rFonts w:ascii="Arial" w:hAnsi="Arial" w:cs="Arial"/>
          <w:sz w:val="20"/>
          <w:szCs w:val="20"/>
        </w:rPr>
        <w:t xml:space="preserve">For India BTIA is the most ambitious deal it has </w:t>
      </w:r>
      <w:r>
        <w:rPr>
          <w:rFonts w:ascii="Arial" w:hAnsi="Arial" w:cs="Arial"/>
          <w:sz w:val="20"/>
          <w:szCs w:val="20"/>
        </w:rPr>
        <w:t xml:space="preserve">ever </w:t>
      </w:r>
      <w:r w:rsidR="00EC33C1">
        <w:rPr>
          <w:rFonts w:ascii="Arial" w:hAnsi="Arial" w:cs="Arial"/>
          <w:sz w:val="20"/>
          <w:szCs w:val="20"/>
        </w:rPr>
        <w:t>negotiated in ter</w:t>
      </w:r>
      <w:r w:rsidRPr="00C23944">
        <w:rPr>
          <w:rFonts w:ascii="Arial" w:hAnsi="Arial" w:cs="Arial"/>
          <w:sz w:val="20"/>
          <w:szCs w:val="20"/>
        </w:rPr>
        <w:t>ms of coverage (Commission</w:t>
      </w:r>
      <w:r>
        <w:rPr>
          <w:rFonts w:ascii="Arial" w:hAnsi="Arial" w:cs="Arial"/>
          <w:sz w:val="20"/>
          <w:szCs w:val="20"/>
        </w:rPr>
        <w:t xml:space="preserve"> 2013a</w:t>
      </w:r>
      <w:r w:rsidRPr="00C23944">
        <w:rPr>
          <w:rFonts w:ascii="Arial" w:hAnsi="Arial" w:cs="Arial"/>
          <w:sz w:val="20"/>
          <w:szCs w:val="20"/>
        </w:rPr>
        <w:t>). While initially, when a future agreement was discussed in the HL</w:t>
      </w:r>
      <w:r w:rsidR="008666FF">
        <w:rPr>
          <w:rFonts w:ascii="Arial" w:hAnsi="Arial" w:cs="Arial"/>
          <w:sz w:val="20"/>
          <w:szCs w:val="20"/>
        </w:rPr>
        <w:t>TG</w:t>
      </w:r>
      <w:r w:rsidRPr="00C23944">
        <w:rPr>
          <w:rFonts w:ascii="Arial" w:hAnsi="Arial" w:cs="Arial"/>
          <w:sz w:val="20"/>
          <w:szCs w:val="20"/>
        </w:rPr>
        <w:t>, it pushed strongly for the negotiation of an FTA and the extensive liberali</w:t>
      </w:r>
      <w:r>
        <w:rPr>
          <w:rFonts w:ascii="Arial" w:hAnsi="Arial" w:cs="Arial"/>
          <w:sz w:val="20"/>
          <w:szCs w:val="20"/>
        </w:rPr>
        <w:t>z</w:t>
      </w:r>
      <w:r w:rsidRPr="00C23944">
        <w:rPr>
          <w:rFonts w:ascii="Arial" w:hAnsi="Arial" w:cs="Arial"/>
          <w:sz w:val="20"/>
          <w:szCs w:val="20"/>
        </w:rPr>
        <w:t xml:space="preserve">ation that that involves, it has become more defensive and less willing to open up its market during the course of the negotiations (Interview, Commission official, 7/3/2013). Its much higher tariffs (an average of 14.5% compared to the EU’s 4.1%) means that India will have to make bigger adjustments </w:t>
      </w:r>
      <w:r>
        <w:rPr>
          <w:rFonts w:ascii="Arial" w:hAnsi="Arial" w:cs="Arial"/>
          <w:sz w:val="20"/>
          <w:szCs w:val="20"/>
        </w:rPr>
        <w:t>tha</w:t>
      </w:r>
      <w:r w:rsidR="00A652A4">
        <w:rPr>
          <w:rFonts w:ascii="Arial" w:hAnsi="Arial" w:cs="Arial"/>
          <w:sz w:val="20"/>
          <w:szCs w:val="20"/>
        </w:rPr>
        <w:t>n</w:t>
      </w:r>
      <w:r>
        <w:rPr>
          <w:rFonts w:ascii="Arial" w:hAnsi="Arial" w:cs="Arial"/>
          <w:sz w:val="20"/>
          <w:szCs w:val="20"/>
        </w:rPr>
        <w:t xml:space="preserve"> the EU</w:t>
      </w:r>
      <w:r w:rsidRPr="00C23944">
        <w:rPr>
          <w:rFonts w:ascii="Arial" w:hAnsi="Arial" w:cs="Arial"/>
          <w:sz w:val="20"/>
          <w:szCs w:val="20"/>
        </w:rPr>
        <w:t xml:space="preserve"> (E</w:t>
      </w:r>
      <w:r>
        <w:rPr>
          <w:rFonts w:ascii="Arial" w:hAnsi="Arial" w:cs="Arial"/>
          <w:sz w:val="20"/>
          <w:szCs w:val="20"/>
        </w:rPr>
        <w:t>uropean Parliament</w:t>
      </w:r>
      <w:r w:rsidRPr="00C23944">
        <w:rPr>
          <w:rFonts w:ascii="Arial" w:hAnsi="Arial" w:cs="Arial"/>
          <w:sz w:val="20"/>
          <w:szCs w:val="20"/>
        </w:rPr>
        <w:t xml:space="preserve"> 2013: 29). The EU’s interest in accessing the Indian market in the areas where Indian duties are particularly high, such as automobiles, dairy and wines and spirits, is thus being met by resistance. India is concerned that European carmakers will enter the Indian market and capture a significant market share, while India is still in the process of developing its own domestic automobile industry (Khorana et al. 2010: 11). Similarly for dairy, India is worried that further liber</w:t>
      </w:r>
      <w:r>
        <w:rPr>
          <w:rFonts w:ascii="Arial" w:hAnsi="Arial" w:cs="Arial"/>
          <w:sz w:val="20"/>
          <w:szCs w:val="20"/>
        </w:rPr>
        <w:t>aliz</w:t>
      </w:r>
      <w:r w:rsidRPr="00C23944">
        <w:rPr>
          <w:rFonts w:ascii="Arial" w:hAnsi="Arial" w:cs="Arial"/>
          <w:sz w:val="20"/>
          <w:szCs w:val="20"/>
        </w:rPr>
        <w:t>ation will lea</w:t>
      </w:r>
      <w:r>
        <w:rPr>
          <w:rFonts w:ascii="Arial" w:hAnsi="Arial" w:cs="Arial"/>
          <w:sz w:val="20"/>
          <w:szCs w:val="20"/>
        </w:rPr>
        <w:t>d to a surge in heavily subsidiz</w:t>
      </w:r>
      <w:r w:rsidRPr="00C23944">
        <w:rPr>
          <w:rFonts w:ascii="Arial" w:hAnsi="Arial" w:cs="Arial"/>
          <w:sz w:val="20"/>
          <w:szCs w:val="20"/>
        </w:rPr>
        <w:t xml:space="preserve">ed EU products, which will have a detrimental effect on small farmers (Modwel and Singh 2012: 15). The reason for India’s resistance to reducing tariffs on wines and spirits is mainly cultural (Interview, Commission official, 8/3/2013). In addition, the Indian negotiators have not been able to meet the demands expressed by the EU negotiators in terms of market access for </w:t>
      </w:r>
      <w:r>
        <w:rPr>
          <w:rFonts w:ascii="Arial" w:hAnsi="Arial" w:cs="Arial"/>
          <w:sz w:val="20"/>
          <w:szCs w:val="20"/>
        </w:rPr>
        <w:t xml:space="preserve">services as India’s domestic constituents are worried </w:t>
      </w:r>
      <w:r w:rsidRPr="00C23944">
        <w:rPr>
          <w:rFonts w:ascii="Arial" w:hAnsi="Arial" w:cs="Arial"/>
          <w:sz w:val="20"/>
          <w:szCs w:val="20"/>
        </w:rPr>
        <w:t>about the threat this will pose to Indian service providers</w:t>
      </w:r>
      <w:r>
        <w:rPr>
          <w:rFonts w:ascii="Arial" w:hAnsi="Arial" w:cs="Arial"/>
          <w:sz w:val="20"/>
          <w:szCs w:val="20"/>
        </w:rPr>
        <w:t>, particularly in the areas of retail, legal and financial services</w:t>
      </w:r>
      <w:r w:rsidRPr="00C23944">
        <w:rPr>
          <w:rFonts w:ascii="Arial" w:hAnsi="Arial" w:cs="Arial"/>
          <w:sz w:val="20"/>
          <w:szCs w:val="20"/>
        </w:rPr>
        <w:t xml:space="preserve"> (Winand et al. 2015: 2; Khandekar and Sengupta 2012). </w:t>
      </w:r>
    </w:p>
    <w:p w14:paraId="2B03AE8A" w14:textId="77777777" w:rsidR="00746C8D" w:rsidRDefault="00746C8D" w:rsidP="00C23944">
      <w:pPr>
        <w:spacing w:line="480" w:lineRule="auto"/>
        <w:jc w:val="both"/>
        <w:rPr>
          <w:rFonts w:ascii="Arial" w:hAnsi="Arial" w:cs="Arial"/>
          <w:i/>
          <w:sz w:val="20"/>
          <w:szCs w:val="20"/>
        </w:rPr>
      </w:pPr>
    </w:p>
    <w:p w14:paraId="5974E519" w14:textId="07CE78F5" w:rsidR="001912AB" w:rsidRPr="00C23944" w:rsidRDefault="001912AB" w:rsidP="00C23944">
      <w:pPr>
        <w:spacing w:line="480" w:lineRule="auto"/>
        <w:jc w:val="both"/>
        <w:rPr>
          <w:rFonts w:ascii="Arial" w:hAnsi="Arial" w:cs="Arial"/>
          <w:sz w:val="20"/>
          <w:szCs w:val="20"/>
        </w:rPr>
      </w:pPr>
      <w:r w:rsidRPr="00C23944">
        <w:rPr>
          <w:rFonts w:ascii="Arial" w:hAnsi="Arial" w:cs="Arial"/>
          <w:sz w:val="20"/>
          <w:szCs w:val="20"/>
        </w:rPr>
        <w:t xml:space="preserve">However, India has also expressed strong </w:t>
      </w:r>
      <w:r w:rsidRPr="00C23944">
        <w:rPr>
          <w:rFonts w:ascii="Arial" w:hAnsi="Arial" w:cs="Arial"/>
          <w:i/>
          <w:sz w:val="20"/>
          <w:szCs w:val="20"/>
        </w:rPr>
        <w:t>offensive</w:t>
      </w:r>
      <w:r w:rsidRPr="00C23944">
        <w:rPr>
          <w:rFonts w:ascii="Arial" w:hAnsi="Arial" w:cs="Arial"/>
          <w:sz w:val="20"/>
          <w:szCs w:val="20"/>
        </w:rPr>
        <w:t xml:space="preserve"> preferences in the area of services for which India has a competitive advantage. It is predominantly interested in </w:t>
      </w:r>
      <w:r>
        <w:rPr>
          <w:rFonts w:ascii="Arial" w:hAnsi="Arial" w:cs="Arial"/>
          <w:sz w:val="20"/>
          <w:szCs w:val="20"/>
        </w:rPr>
        <w:t>liberaliz</w:t>
      </w:r>
      <w:r w:rsidRPr="00C23944">
        <w:rPr>
          <w:rFonts w:ascii="Arial" w:hAnsi="Arial" w:cs="Arial"/>
          <w:sz w:val="20"/>
          <w:szCs w:val="20"/>
        </w:rPr>
        <w:t>ation under Mode 4 of GATS, through which skilled Indian workers will be able to temporarily provide services in the EU (Wouters et al. 2014: 855). India’s service sector, particular in IT, is growing fast, and it has a large number of skilled professionals who want access to the EU market (ibid.). Even if the EU generally has been reluctant to move beyond GATS commitments in bilateral agreements (Jure and Lavenex 2014: 13), the EU negotiators initially expressed a willingness to further liberali</w:t>
      </w:r>
      <w:r>
        <w:rPr>
          <w:rFonts w:ascii="Arial" w:hAnsi="Arial" w:cs="Arial"/>
          <w:sz w:val="20"/>
          <w:szCs w:val="20"/>
        </w:rPr>
        <w:t>z</w:t>
      </w:r>
      <w:r w:rsidRPr="00C23944">
        <w:rPr>
          <w:rFonts w:ascii="Arial" w:hAnsi="Arial" w:cs="Arial"/>
          <w:sz w:val="20"/>
          <w:szCs w:val="20"/>
        </w:rPr>
        <w:t xml:space="preserve">e the movement of people in BTIA </w:t>
      </w:r>
      <w:r>
        <w:rPr>
          <w:rFonts w:ascii="Arial" w:hAnsi="Arial" w:cs="Arial"/>
          <w:sz w:val="20"/>
          <w:szCs w:val="20"/>
        </w:rPr>
        <w:t>because of the recogniz</w:t>
      </w:r>
      <w:r w:rsidRPr="00C23944">
        <w:rPr>
          <w:rFonts w:ascii="Arial" w:hAnsi="Arial" w:cs="Arial"/>
          <w:sz w:val="20"/>
          <w:szCs w:val="20"/>
        </w:rPr>
        <w:t xml:space="preserve">ed need for skilled workers within the EU. </w:t>
      </w:r>
      <w:r>
        <w:rPr>
          <w:rFonts w:ascii="Arial" w:hAnsi="Arial" w:cs="Arial"/>
          <w:sz w:val="20"/>
          <w:szCs w:val="20"/>
        </w:rPr>
        <w:t>But</w:t>
      </w:r>
      <w:r w:rsidRPr="00C23944">
        <w:rPr>
          <w:rFonts w:ascii="Arial" w:hAnsi="Arial" w:cs="Arial"/>
          <w:sz w:val="20"/>
          <w:szCs w:val="20"/>
        </w:rPr>
        <w:t xml:space="preserve"> following the recession and the increase in unemployment,</w:t>
      </w:r>
      <w:r>
        <w:rPr>
          <w:rFonts w:ascii="Arial" w:hAnsi="Arial" w:cs="Arial"/>
          <w:sz w:val="20"/>
          <w:szCs w:val="20"/>
        </w:rPr>
        <w:t xml:space="preserve"> Mode 4 liberaliz</w:t>
      </w:r>
      <w:r w:rsidRPr="00C23944">
        <w:rPr>
          <w:rFonts w:ascii="Arial" w:hAnsi="Arial" w:cs="Arial"/>
          <w:sz w:val="20"/>
          <w:szCs w:val="20"/>
        </w:rPr>
        <w:t>ation has become a sensitive issue and the EU negotiators have not been able to meet India’s far-reaching demands (Mukherjee and Goswami 2011). The sensitivity stems from the politici</w:t>
      </w:r>
      <w:r>
        <w:rPr>
          <w:rFonts w:ascii="Arial" w:hAnsi="Arial" w:cs="Arial"/>
          <w:sz w:val="20"/>
          <w:szCs w:val="20"/>
        </w:rPr>
        <w:t>z</w:t>
      </w:r>
      <w:r w:rsidRPr="00C23944">
        <w:rPr>
          <w:rFonts w:ascii="Arial" w:hAnsi="Arial" w:cs="Arial"/>
          <w:sz w:val="20"/>
          <w:szCs w:val="20"/>
        </w:rPr>
        <w:t xml:space="preserve">ation of the issue and the perceived link with immigration policy in many of the Member States, in particular the UK, which would be a key destination for high skilled workers from India (Siles-Brügge 2013: 608). </w:t>
      </w:r>
      <w:r w:rsidR="00AE241B">
        <w:rPr>
          <w:rFonts w:ascii="Arial" w:hAnsi="Arial" w:cs="Arial"/>
          <w:sz w:val="20"/>
          <w:szCs w:val="20"/>
        </w:rPr>
        <w:t xml:space="preserve">Making concessions on Mode </w:t>
      </w:r>
      <w:r w:rsidR="002E699C">
        <w:rPr>
          <w:rFonts w:ascii="Arial" w:hAnsi="Arial" w:cs="Arial"/>
          <w:sz w:val="20"/>
          <w:szCs w:val="20"/>
        </w:rPr>
        <w:t xml:space="preserve">4 is seen to conflict with the UK’s aim to cap non-EU economic migration (Migration Watch </w:t>
      </w:r>
      <w:r w:rsidR="002561E0">
        <w:rPr>
          <w:rFonts w:ascii="Arial" w:hAnsi="Arial" w:cs="Arial"/>
          <w:sz w:val="20"/>
          <w:szCs w:val="20"/>
        </w:rPr>
        <w:t xml:space="preserve">UK </w:t>
      </w:r>
      <w:r w:rsidR="002E699C">
        <w:rPr>
          <w:rFonts w:ascii="Arial" w:hAnsi="Arial" w:cs="Arial"/>
          <w:sz w:val="20"/>
          <w:szCs w:val="20"/>
        </w:rPr>
        <w:t xml:space="preserve">2010). </w:t>
      </w:r>
      <w:r w:rsidRPr="00C23944">
        <w:rPr>
          <w:rFonts w:ascii="Arial" w:hAnsi="Arial" w:cs="Arial"/>
          <w:sz w:val="20"/>
          <w:szCs w:val="20"/>
        </w:rPr>
        <w:t xml:space="preserve">However, the EU negotiators, </w:t>
      </w:r>
      <w:r w:rsidR="0061077C">
        <w:rPr>
          <w:rFonts w:ascii="Arial" w:hAnsi="Arial" w:cs="Arial"/>
          <w:sz w:val="20"/>
          <w:szCs w:val="20"/>
        </w:rPr>
        <w:t xml:space="preserve">again reflecting </w:t>
      </w:r>
      <w:r w:rsidRPr="00C23944">
        <w:rPr>
          <w:rFonts w:ascii="Arial" w:hAnsi="Arial" w:cs="Arial"/>
          <w:sz w:val="20"/>
          <w:szCs w:val="20"/>
        </w:rPr>
        <w:t xml:space="preserve">DG Trade’s </w:t>
      </w:r>
      <w:r>
        <w:rPr>
          <w:rFonts w:ascii="Arial" w:hAnsi="Arial" w:cs="Arial"/>
          <w:sz w:val="20"/>
          <w:szCs w:val="20"/>
        </w:rPr>
        <w:t>general liberaliz</w:t>
      </w:r>
      <w:r w:rsidRPr="00C23944">
        <w:rPr>
          <w:rFonts w:ascii="Arial" w:hAnsi="Arial" w:cs="Arial"/>
          <w:sz w:val="20"/>
          <w:szCs w:val="20"/>
        </w:rPr>
        <w:t>ation ambitions, are</w:t>
      </w:r>
      <w:r>
        <w:rPr>
          <w:rFonts w:ascii="Arial" w:hAnsi="Arial" w:cs="Arial"/>
          <w:sz w:val="20"/>
          <w:szCs w:val="20"/>
        </w:rPr>
        <w:t xml:space="preserve"> in favour of liberaliz</w:t>
      </w:r>
      <w:r w:rsidRPr="00C23944">
        <w:rPr>
          <w:rFonts w:ascii="Arial" w:hAnsi="Arial" w:cs="Arial"/>
          <w:sz w:val="20"/>
          <w:szCs w:val="20"/>
        </w:rPr>
        <w:t xml:space="preserve">ation in this area (ibid.: 611). They are </w:t>
      </w:r>
      <w:r w:rsidR="00EC77FD">
        <w:rPr>
          <w:rFonts w:ascii="Arial" w:hAnsi="Arial" w:cs="Arial"/>
          <w:sz w:val="20"/>
          <w:szCs w:val="20"/>
        </w:rPr>
        <w:t xml:space="preserve">strongly </w:t>
      </w:r>
      <w:r w:rsidRPr="00C23944">
        <w:rPr>
          <w:rFonts w:ascii="Arial" w:hAnsi="Arial" w:cs="Arial"/>
          <w:sz w:val="20"/>
          <w:szCs w:val="20"/>
        </w:rPr>
        <w:t>supported by the EP, which several times has stressed that an ambitious</w:t>
      </w:r>
      <w:r>
        <w:rPr>
          <w:rFonts w:ascii="Arial" w:hAnsi="Arial" w:cs="Arial"/>
          <w:sz w:val="20"/>
          <w:szCs w:val="20"/>
        </w:rPr>
        <w:t xml:space="preserve"> FTA with India cannot be realiz</w:t>
      </w:r>
      <w:r w:rsidRPr="00C23944">
        <w:rPr>
          <w:rFonts w:ascii="Arial" w:hAnsi="Arial" w:cs="Arial"/>
          <w:sz w:val="20"/>
          <w:szCs w:val="20"/>
        </w:rPr>
        <w:t>ed without commitments to Mode 4 (e.g. E</w:t>
      </w:r>
      <w:r>
        <w:rPr>
          <w:rFonts w:ascii="Arial" w:hAnsi="Arial" w:cs="Arial"/>
          <w:sz w:val="20"/>
          <w:szCs w:val="20"/>
        </w:rPr>
        <w:t>uropean Parliament</w:t>
      </w:r>
      <w:r w:rsidRPr="00C23944">
        <w:rPr>
          <w:rFonts w:ascii="Arial" w:hAnsi="Arial" w:cs="Arial"/>
          <w:sz w:val="20"/>
          <w:szCs w:val="20"/>
        </w:rPr>
        <w:t xml:space="preserve"> 2009</w:t>
      </w:r>
      <w:r w:rsidR="002B221A">
        <w:rPr>
          <w:rFonts w:ascii="Arial" w:hAnsi="Arial" w:cs="Arial"/>
          <w:sz w:val="20"/>
          <w:szCs w:val="20"/>
        </w:rPr>
        <w:t>;</w:t>
      </w:r>
      <w:r w:rsidRPr="00C23944">
        <w:rPr>
          <w:rFonts w:ascii="Arial" w:hAnsi="Arial" w:cs="Arial"/>
          <w:sz w:val="20"/>
          <w:szCs w:val="20"/>
        </w:rPr>
        <w:t xml:space="preserve"> 2011</w:t>
      </w:r>
      <w:r>
        <w:rPr>
          <w:rFonts w:ascii="Arial" w:hAnsi="Arial" w:cs="Arial"/>
          <w:sz w:val="20"/>
          <w:szCs w:val="20"/>
        </w:rPr>
        <w:t>a</w:t>
      </w:r>
      <w:r w:rsidR="002B221A">
        <w:rPr>
          <w:rFonts w:ascii="Arial" w:hAnsi="Arial" w:cs="Arial"/>
          <w:sz w:val="20"/>
          <w:szCs w:val="20"/>
        </w:rPr>
        <w:t>; 2013</w:t>
      </w:r>
      <w:r w:rsidRPr="00C23944">
        <w:rPr>
          <w:rFonts w:ascii="Arial" w:hAnsi="Arial" w:cs="Arial"/>
          <w:sz w:val="20"/>
          <w:szCs w:val="20"/>
        </w:rPr>
        <w:t xml:space="preserve">). </w:t>
      </w:r>
      <w:r w:rsidR="002B221A">
        <w:rPr>
          <w:rFonts w:ascii="Arial" w:hAnsi="Arial" w:cs="Arial"/>
          <w:sz w:val="20"/>
          <w:szCs w:val="20"/>
        </w:rPr>
        <w:t xml:space="preserve">It has </w:t>
      </w:r>
      <w:r w:rsidR="007D7C66">
        <w:rPr>
          <w:rFonts w:ascii="Arial" w:hAnsi="Arial" w:cs="Arial"/>
          <w:sz w:val="20"/>
          <w:szCs w:val="20"/>
        </w:rPr>
        <w:t xml:space="preserve">stressed how Member States need to </w:t>
      </w:r>
      <w:r w:rsidR="004A0D47">
        <w:rPr>
          <w:rFonts w:ascii="Arial" w:hAnsi="Arial" w:cs="Arial"/>
          <w:sz w:val="20"/>
          <w:szCs w:val="20"/>
        </w:rPr>
        <w:t xml:space="preserve">open up their Mode 4 services to allow India </w:t>
      </w:r>
      <w:r w:rsidR="007D7C66">
        <w:rPr>
          <w:rFonts w:ascii="Arial" w:hAnsi="Arial" w:cs="Arial"/>
          <w:sz w:val="20"/>
          <w:szCs w:val="20"/>
        </w:rPr>
        <w:t xml:space="preserve">to ‘benefit from their comparative advantage, notably in the IT service sector (European Parliament 2013: 15). </w:t>
      </w:r>
      <w:r w:rsidR="002E699C">
        <w:rPr>
          <w:rFonts w:ascii="Arial" w:hAnsi="Arial" w:cs="Arial"/>
          <w:sz w:val="20"/>
          <w:szCs w:val="20"/>
        </w:rPr>
        <w:t>With th</w:t>
      </w:r>
      <w:r w:rsidR="0061077C">
        <w:rPr>
          <w:rFonts w:ascii="Arial" w:hAnsi="Arial" w:cs="Arial"/>
          <w:sz w:val="20"/>
          <w:szCs w:val="20"/>
        </w:rPr>
        <w:t>e</w:t>
      </w:r>
      <w:r w:rsidR="002E699C">
        <w:rPr>
          <w:rFonts w:ascii="Arial" w:hAnsi="Arial" w:cs="Arial"/>
          <w:sz w:val="20"/>
          <w:szCs w:val="20"/>
        </w:rPr>
        <w:t xml:space="preserve"> support of the EP, t</w:t>
      </w:r>
      <w:r w:rsidRPr="00C23944">
        <w:rPr>
          <w:rFonts w:ascii="Arial" w:hAnsi="Arial" w:cs="Arial"/>
          <w:sz w:val="20"/>
          <w:szCs w:val="20"/>
        </w:rPr>
        <w:t xml:space="preserve">he negotiators are trying to trade away this remaining ‘pocket of protection’ among some of the Member States in exchange for </w:t>
      </w:r>
      <w:r>
        <w:rPr>
          <w:rFonts w:ascii="Arial" w:hAnsi="Arial" w:cs="Arial"/>
          <w:sz w:val="20"/>
          <w:szCs w:val="20"/>
        </w:rPr>
        <w:t>liberaliz</w:t>
      </w:r>
      <w:r w:rsidRPr="00C23944">
        <w:rPr>
          <w:rFonts w:ascii="Arial" w:hAnsi="Arial" w:cs="Arial"/>
          <w:sz w:val="20"/>
          <w:szCs w:val="20"/>
        </w:rPr>
        <w:t xml:space="preserve">ation of the Indian </w:t>
      </w:r>
      <w:r>
        <w:rPr>
          <w:rFonts w:ascii="Arial" w:hAnsi="Arial" w:cs="Arial"/>
          <w:sz w:val="20"/>
          <w:szCs w:val="20"/>
        </w:rPr>
        <w:t>retail, legal and</w:t>
      </w:r>
      <w:r w:rsidRPr="00C23944">
        <w:rPr>
          <w:rFonts w:ascii="Arial" w:hAnsi="Arial" w:cs="Arial"/>
          <w:sz w:val="20"/>
          <w:szCs w:val="20"/>
        </w:rPr>
        <w:t xml:space="preserve"> financial services (</w:t>
      </w:r>
      <w:r>
        <w:rPr>
          <w:rFonts w:ascii="Arial" w:hAnsi="Arial" w:cs="Arial"/>
          <w:sz w:val="20"/>
          <w:szCs w:val="20"/>
        </w:rPr>
        <w:t>Siles-Brügge 2013:</w:t>
      </w:r>
      <w:r w:rsidRPr="00C23944">
        <w:rPr>
          <w:rFonts w:ascii="Arial" w:hAnsi="Arial" w:cs="Arial"/>
          <w:sz w:val="20"/>
          <w:szCs w:val="20"/>
        </w:rPr>
        <w:t xml:space="preserve"> 611). However, so far India has not agreed to this, as it sees the EU offer as too restrictive. India wants its professionals to receive EU wide permits</w:t>
      </w:r>
      <w:r>
        <w:rPr>
          <w:rFonts w:ascii="Arial" w:hAnsi="Arial" w:cs="Arial"/>
          <w:sz w:val="20"/>
          <w:szCs w:val="20"/>
        </w:rPr>
        <w:t xml:space="preserve"> </w:t>
      </w:r>
      <w:r w:rsidRPr="00C23944">
        <w:rPr>
          <w:rFonts w:ascii="Arial" w:hAnsi="Arial" w:cs="Arial"/>
          <w:sz w:val="20"/>
          <w:szCs w:val="20"/>
        </w:rPr>
        <w:t>and not be constrained by quotas and caps set by individual Member States (Ranjan Mishra</w:t>
      </w:r>
      <w:r>
        <w:rPr>
          <w:rFonts w:ascii="Arial" w:hAnsi="Arial" w:cs="Arial"/>
          <w:sz w:val="20"/>
          <w:szCs w:val="20"/>
        </w:rPr>
        <w:t xml:space="preserve"> 2015) – something which i</w:t>
      </w:r>
      <w:r w:rsidRPr="00C23944">
        <w:rPr>
          <w:rFonts w:ascii="Arial" w:hAnsi="Arial" w:cs="Arial"/>
          <w:sz w:val="20"/>
          <w:szCs w:val="20"/>
        </w:rPr>
        <w:t xml:space="preserve">s difficult for the EU to offer since it does not have an integrated market for services. </w:t>
      </w:r>
    </w:p>
    <w:p w14:paraId="079C5340" w14:textId="77777777" w:rsidR="001912AB" w:rsidRDefault="001912AB" w:rsidP="00C23944">
      <w:pPr>
        <w:spacing w:line="480" w:lineRule="auto"/>
        <w:jc w:val="both"/>
        <w:rPr>
          <w:rFonts w:ascii="Arial" w:hAnsi="Arial" w:cs="Arial"/>
          <w:sz w:val="20"/>
          <w:szCs w:val="20"/>
        </w:rPr>
      </w:pPr>
    </w:p>
    <w:p w14:paraId="5B33F0C0" w14:textId="1D6F0637" w:rsidR="001912AB" w:rsidRPr="00C23944" w:rsidRDefault="001912AB" w:rsidP="00C23944">
      <w:pPr>
        <w:spacing w:line="480" w:lineRule="auto"/>
        <w:jc w:val="both"/>
        <w:rPr>
          <w:rFonts w:ascii="Arial" w:hAnsi="Arial" w:cs="Arial"/>
          <w:sz w:val="20"/>
          <w:szCs w:val="20"/>
        </w:rPr>
      </w:pPr>
      <w:r w:rsidRPr="00C23944">
        <w:rPr>
          <w:rFonts w:ascii="Arial" w:hAnsi="Arial" w:cs="Arial"/>
          <w:sz w:val="20"/>
          <w:szCs w:val="20"/>
        </w:rPr>
        <w:t xml:space="preserve">This shows that there is a big gap between the EU and the Indian win-sets. The main reason </w:t>
      </w:r>
      <w:r w:rsidR="0061077C">
        <w:rPr>
          <w:rFonts w:ascii="Arial" w:hAnsi="Arial" w:cs="Arial"/>
          <w:sz w:val="20"/>
          <w:szCs w:val="20"/>
        </w:rPr>
        <w:t xml:space="preserve">being </w:t>
      </w:r>
      <w:r w:rsidRPr="00C23944">
        <w:rPr>
          <w:rFonts w:ascii="Arial" w:hAnsi="Arial" w:cs="Arial"/>
          <w:sz w:val="20"/>
          <w:szCs w:val="20"/>
        </w:rPr>
        <w:t xml:space="preserve">that </w:t>
      </w:r>
      <w:r>
        <w:rPr>
          <w:rFonts w:ascii="Arial" w:hAnsi="Arial" w:cs="Arial"/>
          <w:sz w:val="20"/>
          <w:szCs w:val="20"/>
        </w:rPr>
        <w:t xml:space="preserve">the </w:t>
      </w:r>
      <w:r w:rsidRPr="00C23944">
        <w:rPr>
          <w:rFonts w:ascii="Arial" w:hAnsi="Arial" w:cs="Arial"/>
          <w:sz w:val="20"/>
          <w:szCs w:val="20"/>
        </w:rPr>
        <w:t xml:space="preserve">EU wants greater access to the Indian market than India is willing to offer. Both sides have made concessions – India by lowering its tariffs, and the EU by lowering its requests for market access – but </w:t>
      </w:r>
      <w:r>
        <w:rPr>
          <w:rFonts w:ascii="Arial" w:hAnsi="Arial" w:cs="Arial"/>
          <w:sz w:val="20"/>
          <w:szCs w:val="20"/>
        </w:rPr>
        <w:t xml:space="preserve">it </w:t>
      </w:r>
      <w:r w:rsidRPr="00C23944">
        <w:rPr>
          <w:rFonts w:ascii="Arial" w:hAnsi="Arial" w:cs="Arial"/>
          <w:sz w:val="20"/>
          <w:szCs w:val="20"/>
        </w:rPr>
        <w:t>is still long before the two win-sets overlap. It is also clear that there is strong convergence in market access interests between the EU negotiators and their domestic constituents, and only o</w:t>
      </w:r>
      <w:r>
        <w:rPr>
          <w:rFonts w:ascii="Arial" w:hAnsi="Arial" w:cs="Arial"/>
          <w:sz w:val="20"/>
          <w:szCs w:val="20"/>
        </w:rPr>
        <w:t>n the issue of service liberaliz</w:t>
      </w:r>
      <w:r w:rsidRPr="00C23944">
        <w:rPr>
          <w:rFonts w:ascii="Arial" w:hAnsi="Arial" w:cs="Arial"/>
          <w:sz w:val="20"/>
          <w:szCs w:val="20"/>
        </w:rPr>
        <w:t xml:space="preserve">ation under Mode 4 are the EU </w:t>
      </w:r>
      <w:r w:rsidR="007D7C66">
        <w:rPr>
          <w:rFonts w:ascii="Arial" w:hAnsi="Arial" w:cs="Arial"/>
          <w:sz w:val="20"/>
          <w:szCs w:val="20"/>
        </w:rPr>
        <w:t xml:space="preserve">preferences of the </w:t>
      </w:r>
      <w:r w:rsidRPr="00C23944">
        <w:rPr>
          <w:rFonts w:ascii="Arial" w:hAnsi="Arial" w:cs="Arial"/>
          <w:sz w:val="20"/>
          <w:szCs w:val="20"/>
        </w:rPr>
        <w:t>negotiators</w:t>
      </w:r>
      <w:r w:rsidR="007D7C66">
        <w:rPr>
          <w:rFonts w:ascii="Arial" w:hAnsi="Arial" w:cs="Arial"/>
          <w:sz w:val="20"/>
          <w:szCs w:val="20"/>
        </w:rPr>
        <w:t xml:space="preserve"> and the EP </w:t>
      </w:r>
      <w:r w:rsidRPr="00C23944">
        <w:rPr>
          <w:rFonts w:ascii="Arial" w:hAnsi="Arial" w:cs="Arial"/>
          <w:sz w:val="20"/>
          <w:szCs w:val="20"/>
        </w:rPr>
        <w:t xml:space="preserve">somewhat compromised by certain defensive interests within the Council, which </w:t>
      </w:r>
      <w:r>
        <w:rPr>
          <w:rFonts w:ascii="Arial" w:hAnsi="Arial" w:cs="Arial"/>
          <w:sz w:val="20"/>
          <w:szCs w:val="20"/>
        </w:rPr>
        <w:t>in turn has l</w:t>
      </w:r>
      <w:r w:rsidRPr="00C23944">
        <w:rPr>
          <w:rFonts w:ascii="Arial" w:hAnsi="Arial" w:cs="Arial"/>
          <w:sz w:val="20"/>
          <w:szCs w:val="20"/>
        </w:rPr>
        <w:t>ed to a slight restriction of the EU win-set, moving it further away from that of India.</w:t>
      </w:r>
      <w:r w:rsidR="00B610F7">
        <w:rPr>
          <w:rFonts w:ascii="Arial" w:hAnsi="Arial" w:cs="Arial"/>
          <w:sz w:val="20"/>
          <w:szCs w:val="20"/>
        </w:rPr>
        <w:t xml:space="preserve"> </w:t>
      </w:r>
      <w:r w:rsidR="007932ED">
        <w:rPr>
          <w:rFonts w:ascii="Arial" w:hAnsi="Arial" w:cs="Arial"/>
          <w:sz w:val="20"/>
          <w:szCs w:val="20"/>
        </w:rPr>
        <w:t xml:space="preserve">As a result of the </w:t>
      </w:r>
      <w:r w:rsidR="00B610F7">
        <w:rPr>
          <w:rFonts w:ascii="Arial" w:hAnsi="Arial" w:cs="Arial"/>
          <w:sz w:val="20"/>
          <w:szCs w:val="20"/>
        </w:rPr>
        <w:t xml:space="preserve">relative </w:t>
      </w:r>
      <w:r w:rsidR="007932ED">
        <w:rPr>
          <w:rFonts w:ascii="Arial" w:hAnsi="Arial" w:cs="Arial"/>
          <w:sz w:val="20"/>
          <w:szCs w:val="20"/>
        </w:rPr>
        <w:t xml:space="preserve">convergence in preferences within the EU, it is difficult to </w:t>
      </w:r>
      <w:r w:rsidR="00AC7D74">
        <w:rPr>
          <w:rFonts w:ascii="Arial" w:hAnsi="Arial" w:cs="Arial"/>
          <w:sz w:val="20"/>
          <w:szCs w:val="20"/>
        </w:rPr>
        <w:t>attribute any significant impact on the EU win-set to the EP</w:t>
      </w:r>
      <w:r w:rsidR="00B610F7">
        <w:rPr>
          <w:rFonts w:ascii="Arial" w:hAnsi="Arial" w:cs="Arial"/>
          <w:sz w:val="20"/>
          <w:szCs w:val="20"/>
        </w:rPr>
        <w:t xml:space="preserve">. It remains to be seen whether it will have any supportive impact on the efforts of the negotiators to try and convince the Member States to move towards India’s demands on Mode 4. Either way, the </w:t>
      </w:r>
      <w:r w:rsidR="00970F45">
        <w:rPr>
          <w:rFonts w:ascii="Arial" w:hAnsi="Arial" w:cs="Arial"/>
          <w:sz w:val="20"/>
          <w:szCs w:val="20"/>
        </w:rPr>
        <w:t xml:space="preserve">overall </w:t>
      </w:r>
      <w:r w:rsidR="00B610F7">
        <w:rPr>
          <w:rFonts w:ascii="Arial" w:hAnsi="Arial" w:cs="Arial"/>
          <w:sz w:val="20"/>
          <w:szCs w:val="20"/>
        </w:rPr>
        <w:t>gap between the win-sets</w:t>
      </w:r>
      <w:r w:rsidR="00970F45">
        <w:rPr>
          <w:rFonts w:ascii="Arial" w:hAnsi="Arial" w:cs="Arial"/>
          <w:sz w:val="20"/>
          <w:szCs w:val="20"/>
        </w:rPr>
        <w:t xml:space="preserve"> on market access looks difficult to reduce. </w:t>
      </w:r>
      <w:r w:rsidR="00B610F7">
        <w:rPr>
          <w:rFonts w:ascii="Arial" w:hAnsi="Arial" w:cs="Arial"/>
          <w:sz w:val="20"/>
          <w:szCs w:val="20"/>
        </w:rPr>
        <w:t xml:space="preserve"> </w:t>
      </w:r>
    </w:p>
    <w:p w14:paraId="2DE46239" w14:textId="77777777" w:rsidR="001912AB" w:rsidRPr="00C23944" w:rsidRDefault="001912AB" w:rsidP="00C23944">
      <w:pPr>
        <w:spacing w:line="480" w:lineRule="auto"/>
        <w:jc w:val="both"/>
        <w:rPr>
          <w:rFonts w:ascii="Arial" w:hAnsi="Arial" w:cs="Arial"/>
          <w:sz w:val="20"/>
          <w:szCs w:val="20"/>
        </w:rPr>
      </w:pPr>
    </w:p>
    <w:p w14:paraId="63DAEF17" w14:textId="77777777" w:rsidR="001912AB" w:rsidRPr="00C23944" w:rsidRDefault="001912AB" w:rsidP="00C23944">
      <w:pPr>
        <w:spacing w:line="480" w:lineRule="auto"/>
        <w:jc w:val="both"/>
        <w:rPr>
          <w:rFonts w:ascii="Arial" w:hAnsi="Arial" w:cs="Arial"/>
          <w:sz w:val="20"/>
          <w:szCs w:val="20"/>
        </w:rPr>
      </w:pPr>
    </w:p>
    <w:p w14:paraId="6D702813" w14:textId="01506EDB" w:rsidR="001912AB" w:rsidRPr="006B69E4" w:rsidRDefault="001912AB" w:rsidP="00C23944">
      <w:pPr>
        <w:spacing w:line="480" w:lineRule="auto"/>
        <w:jc w:val="both"/>
        <w:rPr>
          <w:rFonts w:ascii="Arial" w:hAnsi="Arial" w:cs="Arial"/>
          <w:b/>
          <w:i/>
          <w:sz w:val="20"/>
          <w:szCs w:val="20"/>
        </w:rPr>
      </w:pPr>
      <w:r w:rsidRPr="006B69E4">
        <w:rPr>
          <w:rFonts w:ascii="Arial" w:hAnsi="Arial" w:cs="Arial"/>
          <w:b/>
          <w:i/>
          <w:sz w:val="20"/>
          <w:szCs w:val="20"/>
        </w:rPr>
        <w:t>3.</w:t>
      </w:r>
      <w:r w:rsidR="00915957">
        <w:rPr>
          <w:rFonts w:ascii="Arial" w:hAnsi="Arial" w:cs="Arial"/>
          <w:b/>
          <w:i/>
          <w:sz w:val="20"/>
          <w:szCs w:val="20"/>
        </w:rPr>
        <w:t>2</w:t>
      </w:r>
      <w:r w:rsidRPr="006B69E4">
        <w:rPr>
          <w:rFonts w:ascii="Arial" w:hAnsi="Arial" w:cs="Arial"/>
          <w:b/>
          <w:i/>
          <w:sz w:val="20"/>
          <w:szCs w:val="20"/>
        </w:rPr>
        <w:t xml:space="preserve">. Inclusion of Political Clauses </w:t>
      </w:r>
    </w:p>
    <w:p w14:paraId="7688F0E6" w14:textId="2D484943" w:rsidR="001912AB" w:rsidRPr="00C23944" w:rsidRDefault="001912AB" w:rsidP="00C23944">
      <w:pPr>
        <w:spacing w:line="480" w:lineRule="auto"/>
        <w:jc w:val="both"/>
        <w:rPr>
          <w:rFonts w:ascii="Arial" w:hAnsi="Arial" w:cs="Arial"/>
          <w:sz w:val="20"/>
          <w:szCs w:val="20"/>
        </w:rPr>
      </w:pPr>
      <w:r w:rsidRPr="00C23944">
        <w:rPr>
          <w:rFonts w:ascii="Arial" w:hAnsi="Arial" w:cs="Arial"/>
          <w:sz w:val="20"/>
          <w:szCs w:val="20"/>
        </w:rPr>
        <w:t>The EU has been including clauses on human rights and social and environmental standards in its trade agreements between the EU and third parties since the 1990s (European Commission</w:t>
      </w:r>
      <w:r>
        <w:rPr>
          <w:rFonts w:ascii="Arial" w:hAnsi="Arial" w:cs="Arial"/>
          <w:sz w:val="20"/>
          <w:szCs w:val="20"/>
        </w:rPr>
        <w:t xml:space="preserve"> </w:t>
      </w:r>
      <w:r w:rsidRPr="00C23944">
        <w:rPr>
          <w:rFonts w:ascii="Arial" w:hAnsi="Arial" w:cs="Arial"/>
          <w:sz w:val="20"/>
          <w:szCs w:val="20"/>
        </w:rPr>
        <w:t>1995), and they are now a key component of EU trade policy (Articles 207 TFEU and Article 21 TEU). There are however varying preferences within the EU on the depth and level of flexibility these provisions should take depending on the commercial interests it has with the different third parties (Woolcock 2014). The negotiators are often se</w:t>
      </w:r>
      <w:r>
        <w:rPr>
          <w:rFonts w:ascii="Arial" w:hAnsi="Arial" w:cs="Arial"/>
          <w:sz w:val="20"/>
          <w:szCs w:val="20"/>
        </w:rPr>
        <w:t>en to prioritize trade liberaliz</w:t>
      </w:r>
      <w:r w:rsidRPr="00C23944">
        <w:rPr>
          <w:rFonts w:ascii="Arial" w:hAnsi="Arial" w:cs="Arial"/>
          <w:sz w:val="20"/>
          <w:szCs w:val="20"/>
        </w:rPr>
        <w:t>ation over binding norms that might restrict free trade and market openings (e.g. Sicurelli 2015; Wouters et al. 2014). This approach tends to be supported by the majority of the Member States in the Council, while the EP takes a much stricter approach and insists on the inclusion of legally binding political clauses in EU trade agreements (e.g. Leeg</w:t>
      </w:r>
      <w:r>
        <w:rPr>
          <w:rFonts w:ascii="Arial" w:hAnsi="Arial" w:cs="Arial"/>
          <w:sz w:val="20"/>
          <w:szCs w:val="20"/>
        </w:rPr>
        <w:t xml:space="preserve"> </w:t>
      </w:r>
      <w:r w:rsidRPr="00C23944">
        <w:rPr>
          <w:rFonts w:ascii="Arial" w:hAnsi="Arial" w:cs="Arial"/>
          <w:sz w:val="20"/>
          <w:szCs w:val="20"/>
        </w:rPr>
        <w:t>2014; Ripoll Servent 2015; Sicurelli 2015). These internal divisions in preferences are clearly seen in the BTIA negotiations.</w:t>
      </w:r>
    </w:p>
    <w:p w14:paraId="3BAC49CE" w14:textId="77777777" w:rsidR="001912AB" w:rsidRPr="00C23944" w:rsidRDefault="001912AB" w:rsidP="00C23944">
      <w:pPr>
        <w:spacing w:line="480" w:lineRule="auto"/>
        <w:jc w:val="both"/>
        <w:rPr>
          <w:rFonts w:ascii="Arial" w:hAnsi="Arial" w:cs="Arial"/>
          <w:sz w:val="20"/>
          <w:szCs w:val="20"/>
        </w:rPr>
      </w:pPr>
    </w:p>
    <w:p w14:paraId="09582DFD" w14:textId="492F57A5" w:rsidR="001912AB" w:rsidRPr="00C23944" w:rsidRDefault="001912AB" w:rsidP="00C23944">
      <w:pPr>
        <w:spacing w:line="480" w:lineRule="auto"/>
        <w:jc w:val="both"/>
        <w:rPr>
          <w:rFonts w:ascii="Arial" w:hAnsi="Arial" w:cs="Arial"/>
          <w:sz w:val="20"/>
          <w:szCs w:val="20"/>
        </w:rPr>
      </w:pPr>
      <w:r w:rsidRPr="00C23944">
        <w:rPr>
          <w:rFonts w:ascii="Arial" w:hAnsi="Arial" w:cs="Arial"/>
          <w:sz w:val="20"/>
          <w:szCs w:val="20"/>
        </w:rPr>
        <w:t xml:space="preserve">From the beginning of the negotiations India has expressed opposition to any linkage between political issues and trade, and it strongly disapproves of the inclusion of political issues in BTIA (Modwel and Singh 2012: 15). It fears that legally binding clauses regarding human rights, environmental issues and labour standards might reduce India’s competitive advantage, and the EU’s persistence on including these clauses is seen as interference in India’s domestic affairs. Instead, India argues that such issues should be discussed in other </w:t>
      </w:r>
      <w:r>
        <w:rPr>
          <w:rFonts w:ascii="Arial" w:hAnsi="Arial" w:cs="Arial"/>
          <w:sz w:val="20"/>
          <w:szCs w:val="20"/>
        </w:rPr>
        <w:t>for a</w:t>
      </w:r>
      <w:r w:rsidRPr="00C23944">
        <w:rPr>
          <w:rFonts w:ascii="Arial" w:hAnsi="Arial" w:cs="Arial"/>
          <w:sz w:val="20"/>
          <w:szCs w:val="20"/>
        </w:rPr>
        <w:t>. As explained by a member of the Indian negotiating team: ‘As a democracy it is fundamentally difficult for India to sell to our parliament that a third country is going to monitor our environment and labour standards. We do not shy away from any discussion at any multilateral forum either on the environment or on labour. We prefer to take it to that route rather than bring it in to the trade route’ (Interview, 8/3/2013). This is a preference</w:t>
      </w:r>
      <w:r>
        <w:rPr>
          <w:rFonts w:ascii="Arial" w:hAnsi="Arial" w:cs="Arial"/>
          <w:sz w:val="20"/>
          <w:szCs w:val="20"/>
        </w:rPr>
        <w:t xml:space="preserve"> that India so far </w:t>
      </w:r>
      <w:r w:rsidRPr="00C23944">
        <w:rPr>
          <w:rFonts w:ascii="Arial" w:hAnsi="Arial" w:cs="Arial"/>
          <w:sz w:val="20"/>
          <w:szCs w:val="20"/>
        </w:rPr>
        <w:t xml:space="preserve">has not been willing to compromise. </w:t>
      </w:r>
    </w:p>
    <w:p w14:paraId="01F36922" w14:textId="77777777" w:rsidR="001912AB" w:rsidRPr="00C23944" w:rsidRDefault="001912AB" w:rsidP="00C23944">
      <w:pPr>
        <w:spacing w:line="480" w:lineRule="auto"/>
        <w:jc w:val="both"/>
        <w:rPr>
          <w:rFonts w:ascii="Arial" w:hAnsi="Arial" w:cs="Arial"/>
          <w:sz w:val="20"/>
          <w:szCs w:val="20"/>
        </w:rPr>
      </w:pPr>
    </w:p>
    <w:p w14:paraId="3017AA27" w14:textId="3EAFC58D" w:rsidR="001912AB" w:rsidRDefault="001912AB" w:rsidP="00C23944">
      <w:pPr>
        <w:spacing w:line="480" w:lineRule="auto"/>
        <w:jc w:val="both"/>
        <w:rPr>
          <w:rFonts w:ascii="Arial" w:hAnsi="Arial" w:cs="Arial"/>
          <w:sz w:val="20"/>
          <w:szCs w:val="20"/>
        </w:rPr>
      </w:pPr>
      <w:r w:rsidRPr="00C23944">
        <w:rPr>
          <w:rFonts w:ascii="Arial" w:hAnsi="Arial" w:cs="Arial"/>
          <w:sz w:val="20"/>
          <w:szCs w:val="20"/>
        </w:rPr>
        <w:t xml:space="preserve">The negotiators who are aware of </w:t>
      </w:r>
      <w:r>
        <w:rPr>
          <w:rFonts w:ascii="Arial" w:hAnsi="Arial" w:cs="Arial"/>
          <w:sz w:val="20"/>
          <w:szCs w:val="20"/>
        </w:rPr>
        <w:t xml:space="preserve">India’s concerns </w:t>
      </w:r>
      <w:r w:rsidRPr="00C23944">
        <w:rPr>
          <w:rFonts w:ascii="Arial" w:hAnsi="Arial" w:cs="Arial"/>
          <w:sz w:val="20"/>
          <w:szCs w:val="20"/>
        </w:rPr>
        <w:t>suggested at the very start of the negotiations that an exception should be made for India from the horizontal commitment to include human rights clauses into all EU trade agreements.  The suggestion had the political support from Trade Commissioner Mandelson who argued: ‘Given how much both countries get out of it, we feel we should forge ahead on the basis of strict economic criteria, leaving more political considerations for other agreements’ (cited in Johnson 2007). Although some Member States, such as the Netherlands, insisted on the inclusion of a Human Rights clause (Wouters et al. 2014: 862),</w:t>
      </w:r>
      <w:r w:rsidR="00DB1C70">
        <w:rPr>
          <w:rFonts w:ascii="Arial" w:hAnsi="Arial" w:cs="Arial"/>
          <w:sz w:val="20"/>
          <w:szCs w:val="20"/>
        </w:rPr>
        <w:t xml:space="preserve"> </w:t>
      </w:r>
      <w:r w:rsidRPr="00C23944">
        <w:rPr>
          <w:rFonts w:ascii="Arial" w:hAnsi="Arial" w:cs="Arial"/>
          <w:sz w:val="20"/>
          <w:szCs w:val="20"/>
        </w:rPr>
        <w:t>the main focus in the Council has so far been on the economic aspects of the agreement, and the political aspects have received little attention</w:t>
      </w:r>
      <w:r w:rsidR="00970F45">
        <w:rPr>
          <w:rFonts w:ascii="Arial" w:hAnsi="Arial" w:cs="Arial"/>
          <w:sz w:val="20"/>
          <w:szCs w:val="20"/>
        </w:rPr>
        <w:t xml:space="preserve"> and low priority</w:t>
      </w:r>
      <w:r w:rsidRPr="00C23944">
        <w:rPr>
          <w:rFonts w:ascii="Arial" w:hAnsi="Arial" w:cs="Arial"/>
          <w:sz w:val="20"/>
          <w:szCs w:val="20"/>
        </w:rPr>
        <w:t xml:space="preserve"> (Interview</w:t>
      </w:r>
      <w:r w:rsidR="00AC7D74">
        <w:rPr>
          <w:rFonts w:ascii="Arial" w:hAnsi="Arial" w:cs="Arial"/>
          <w:sz w:val="20"/>
          <w:szCs w:val="20"/>
        </w:rPr>
        <w:t>s</w:t>
      </w:r>
      <w:r w:rsidRPr="00C23944">
        <w:rPr>
          <w:rFonts w:ascii="Arial" w:hAnsi="Arial" w:cs="Arial"/>
          <w:sz w:val="20"/>
          <w:szCs w:val="20"/>
        </w:rPr>
        <w:t>, TPC Official</w:t>
      </w:r>
      <w:r w:rsidR="00AC7D74">
        <w:rPr>
          <w:rFonts w:ascii="Arial" w:hAnsi="Arial" w:cs="Arial"/>
          <w:sz w:val="20"/>
          <w:szCs w:val="20"/>
        </w:rPr>
        <w:t>s</w:t>
      </w:r>
      <w:r w:rsidRPr="00C23944">
        <w:rPr>
          <w:rFonts w:ascii="Arial" w:hAnsi="Arial" w:cs="Arial"/>
          <w:sz w:val="20"/>
          <w:szCs w:val="20"/>
        </w:rPr>
        <w:t>, 7/3/2013</w:t>
      </w:r>
      <w:r w:rsidR="00A704D1">
        <w:rPr>
          <w:rFonts w:ascii="Arial" w:hAnsi="Arial" w:cs="Arial"/>
          <w:sz w:val="20"/>
          <w:szCs w:val="20"/>
        </w:rPr>
        <w:t>, 8/6/2015; Commission Official 7/3/2013</w:t>
      </w:r>
      <w:r w:rsidR="00970F45">
        <w:rPr>
          <w:rFonts w:ascii="Arial" w:hAnsi="Arial" w:cs="Arial"/>
          <w:sz w:val="20"/>
          <w:szCs w:val="20"/>
        </w:rPr>
        <w:t>; Leeg 2014: 347</w:t>
      </w:r>
      <w:r w:rsidRPr="00C23944">
        <w:rPr>
          <w:rFonts w:ascii="Arial" w:hAnsi="Arial" w:cs="Arial"/>
          <w:sz w:val="20"/>
          <w:szCs w:val="20"/>
        </w:rPr>
        <w:t xml:space="preserve">). </w:t>
      </w:r>
      <w:r w:rsidR="00E96DC6">
        <w:rPr>
          <w:rFonts w:ascii="Arial" w:hAnsi="Arial" w:cs="Arial"/>
          <w:sz w:val="20"/>
          <w:szCs w:val="20"/>
        </w:rPr>
        <w:t xml:space="preserve">This is in line with the general argument that the Member State preferences are shaped </w:t>
      </w:r>
      <w:r w:rsidR="00970F45">
        <w:rPr>
          <w:rFonts w:ascii="Arial" w:hAnsi="Arial" w:cs="Arial"/>
          <w:sz w:val="20"/>
          <w:szCs w:val="20"/>
        </w:rPr>
        <w:t xml:space="preserve">mainly </w:t>
      </w:r>
      <w:r w:rsidR="00E96DC6">
        <w:rPr>
          <w:rFonts w:ascii="Arial" w:hAnsi="Arial" w:cs="Arial"/>
          <w:sz w:val="20"/>
          <w:szCs w:val="20"/>
        </w:rPr>
        <w:t xml:space="preserve">by interests of their national economic and industrial sectors (Meunier 2005). </w:t>
      </w:r>
      <w:r w:rsidRPr="00C23944">
        <w:rPr>
          <w:rFonts w:ascii="Arial" w:hAnsi="Arial" w:cs="Arial"/>
          <w:sz w:val="20"/>
          <w:szCs w:val="20"/>
        </w:rPr>
        <w:t xml:space="preserve">However, the negotiators’ position triggered the EP – which is concerned about minority rights, religious persecution and violence, death penalty, and children’s and women’s rights in India – to </w:t>
      </w:r>
      <w:r w:rsidR="00A704D1">
        <w:rPr>
          <w:rFonts w:ascii="Arial" w:hAnsi="Arial" w:cs="Arial"/>
          <w:sz w:val="20"/>
          <w:szCs w:val="20"/>
        </w:rPr>
        <w:t xml:space="preserve">refer to a recently </w:t>
      </w:r>
      <w:r w:rsidRPr="00C23944">
        <w:rPr>
          <w:rFonts w:ascii="Arial" w:hAnsi="Arial" w:cs="Arial"/>
          <w:sz w:val="20"/>
          <w:szCs w:val="20"/>
        </w:rPr>
        <w:t>pass</w:t>
      </w:r>
      <w:r w:rsidR="00A704D1">
        <w:rPr>
          <w:rFonts w:ascii="Arial" w:hAnsi="Arial" w:cs="Arial"/>
          <w:sz w:val="20"/>
          <w:szCs w:val="20"/>
        </w:rPr>
        <w:t>ed</w:t>
      </w:r>
      <w:r w:rsidRPr="00C23944">
        <w:rPr>
          <w:rFonts w:ascii="Arial" w:hAnsi="Arial" w:cs="Arial"/>
          <w:sz w:val="20"/>
          <w:szCs w:val="20"/>
        </w:rPr>
        <w:t xml:space="preserve"> resolution declaring that </w:t>
      </w:r>
      <w:r w:rsidR="00A704D1">
        <w:rPr>
          <w:rFonts w:ascii="Arial" w:hAnsi="Arial" w:cs="Arial"/>
          <w:sz w:val="20"/>
          <w:szCs w:val="20"/>
        </w:rPr>
        <w:t>the EP is not ‘</w:t>
      </w:r>
      <w:r w:rsidRPr="00C23944">
        <w:rPr>
          <w:rFonts w:ascii="Arial" w:hAnsi="Arial" w:cs="Arial"/>
          <w:sz w:val="20"/>
          <w:szCs w:val="20"/>
        </w:rPr>
        <w:t xml:space="preserve">prepared to give its assent to new international agreements that do not contain a human rights and democracy clause’ (European Parliament 2006), which meant the negotiators could not move ahead with a solely economic negotiation (Leeg 2014: 348). </w:t>
      </w:r>
      <w:r w:rsidR="00970F45">
        <w:rPr>
          <w:rFonts w:ascii="Arial" w:hAnsi="Arial" w:cs="Arial"/>
          <w:sz w:val="20"/>
          <w:szCs w:val="20"/>
        </w:rPr>
        <w:t xml:space="preserve">Since then, </w:t>
      </w:r>
      <w:r w:rsidRPr="00C23944">
        <w:rPr>
          <w:rFonts w:ascii="Arial" w:hAnsi="Arial" w:cs="Arial"/>
          <w:sz w:val="20"/>
          <w:szCs w:val="20"/>
        </w:rPr>
        <w:t>the EP has continuously stressed its commitment to the inclusion of political clauses. In 2009 it passed a resolution stating that an ambitious and legally binding sustainable development chapter must form part of BTIA if the EP were to give its consent (European Parliament 2009). Yet, the negotiators, who were faced with India’s stark opposition to such chapters, and keen to reach an agreement, indicated that they would be ready to accept less of a commitment from India. They instructed Trade Commissioner de Gucht to ask MEPs ‘to remain realistic’ and understand ‘that a sustainable development chapter which would allow the use of trade restrictions linked to social or environmental issues will not be acceptable to India’ (European Parliament 2011</w:t>
      </w:r>
      <w:r>
        <w:rPr>
          <w:rFonts w:ascii="Arial" w:hAnsi="Arial" w:cs="Arial"/>
          <w:sz w:val="20"/>
          <w:szCs w:val="20"/>
        </w:rPr>
        <w:t>c</w:t>
      </w:r>
      <w:r w:rsidRPr="00C23944">
        <w:rPr>
          <w:rFonts w:ascii="Arial" w:hAnsi="Arial" w:cs="Arial"/>
          <w:sz w:val="20"/>
          <w:szCs w:val="20"/>
        </w:rPr>
        <w:t xml:space="preserve">). In response to this </w:t>
      </w:r>
      <w:r>
        <w:rPr>
          <w:rFonts w:ascii="Arial" w:hAnsi="Arial" w:cs="Arial"/>
          <w:sz w:val="20"/>
          <w:szCs w:val="20"/>
        </w:rPr>
        <w:t xml:space="preserve">plea, </w:t>
      </w:r>
      <w:r w:rsidRPr="00C23944">
        <w:rPr>
          <w:rFonts w:ascii="Arial" w:hAnsi="Arial" w:cs="Arial"/>
          <w:sz w:val="20"/>
          <w:szCs w:val="20"/>
        </w:rPr>
        <w:t>the EP adopted a new resolution in 2011 insisting on the inclusion of ‘legally binding clauses on human rights, social and environmental standards and their enforcement’ (European Parliament</w:t>
      </w:r>
      <w:r>
        <w:rPr>
          <w:rFonts w:ascii="Arial" w:hAnsi="Arial" w:cs="Arial"/>
          <w:sz w:val="20"/>
          <w:szCs w:val="20"/>
        </w:rPr>
        <w:t xml:space="preserve"> 2011a</w:t>
      </w:r>
      <w:r w:rsidRPr="00C23944">
        <w:rPr>
          <w:rFonts w:ascii="Arial" w:hAnsi="Arial" w:cs="Arial"/>
          <w:sz w:val="20"/>
          <w:szCs w:val="20"/>
        </w:rPr>
        <w:t>)</w:t>
      </w:r>
      <w:r w:rsidR="00E93F11">
        <w:rPr>
          <w:rFonts w:ascii="Arial" w:hAnsi="Arial" w:cs="Arial"/>
          <w:sz w:val="20"/>
          <w:szCs w:val="20"/>
        </w:rPr>
        <w:t>. It stressed how India should not be an exception to the EP’s pledge not to pass FTAs ‘without high commitments on labour and environmental standards’ (European Parliament 2013: 16).</w:t>
      </w:r>
      <w:r w:rsidR="000A58B2">
        <w:rPr>
          <w:rFonts w:ascii="Arial" w:hAnsi="Arial" w:cs="Arial"/>
          <w:sz w:val="20"/>
          <w:szCs w:val="20"/>
        </w:rPr>
        <w:t xml:space="preserve"> </w:t>
      </w:r>
      <w:r w:rsidRPr="00C23944">
        <w:rPr>
          <w:rFonts w:ascii="Arial" w:hAnsi="Arial" w:cs="Arial"/>
          <w:sz w:val="20"/>
          <w:szCs w:val="20"/>
        </w:rPr>
        <w:t xml:space="preserve">It </w:t>
      </w:r>
      <w:r>
        <w:rPr>
          <w:rFonts w:ascii="Arial" w:hAnsi="Arial" w:cs="Arial"/>
          <w:sz w:val="20"/>
          <w:szCs w:val="20"/>
        </w:rPr>
        <w:t>also demand</w:t>
      </w:r>
      <w:r w:rsidR="000A58B2">
        <w:rPr>
          <w:rFonts w:ascii="Arial" w:hAnsi="Arial" w:cs="Arial"/>
          <w:sz w:val="20"/>
          <w:szCs w:val="20"/>
        </w:rPr>
        <w:t>ed</w:t>
      </w:r>
      <w:r w:rsidRPr="00C23944">
        <w:rPr>
          <w:rFonts w:ascii="Arial" w:hAnsi="Arial" w:cs="Arial"/>
          <w:sz w:val="20"/>
          <w:szCs w:val="20"/>
        </w:rPr>
        <w:t xml:space="preserve"> that any future FTA between the EU </w:t>
      </w:r>
      <w:r>
        <w:rPr>
          <w:rFonts w:ascii="Arial" w:hAnsi="Arial" w:cs="Arial"/>
          <w:sz w:val="20"/>
          <w:szCs w:val="20"/>
        </w:rPr>
        <w:t xml:space="preserve">and </w:t>
      </w:r>
      <w:r w:rsidRPr="00C23944">
        <w:rPr>
          <w:rFonts w:ascii="Arial" w:hAnsi="Arial" w:cs="Arial"/>
          <w:sz w:val="20"/>
          <w:szCs w:val="20"/>
        </w:rPr>
        <w:t xml:space="preserve">India </w:t>
      </w:r>
      <w:r>
        <w:rPr>
          <w:rFonts w:ascii="Arial" w:hAnsi="Arial" w:cs="Arial"/>
          <w:sz w:val="20"/>
          <w:szCs w:val="20"/>
        </w:rPr>
        <w:t>a</w:t>
      </w:r>
      <w:r w:rsidRPr="00C23944">
        <w:rPr>
          <w:rFonts w:ascii="Arial" w:hAnsi="Arial" w:cs="Arial"/>
          <w:sz w:val="20"/>
          <w:szCs w:val="20"/>
        </w:rPr>
        <w:t>llow</w:t>
      </w:r>
      <w:r>
        <w:rPr>
          <w:rFonts w:ascii="Arial" w:hAnsi="Arial" w:cs="Arial"/>
          <w:sz w:val="20"/>
          <w:szCs w:val="20"/>
        </w:rPr>
        <w:t>s</w:t>
      </w:r>
      <w:r w:rsidRPr="00C23944">
        <w:rPr>
          <w:rFonts w:ascii="Arial" w:hAnsi="Arial" w:cs="Arial"/>
          <w:sz w:val="20"/>
          <w:szCs w:val="20"/>
        </w:rPr>
        <w:t xml:space="preserve"> for the suspension of the agreement in case of a violation of such clauses (E</w:t>
      </w:r>
      <w:r>
        <w:rPr>
          <w:rFonts w:ascii="Arial" w:hAnsi="Arial" w:cs="Arial"/>
          <w:sz w:val="20"/>
          <w:szCs w:val="20"/>
        </w:rPr>
        <w:t>uropean Parliament</w:t>
      </w:r>
      <w:r w:rsidRPr="00C23944">
        <w:rPr>
          <w:rFonts w:ascii="Arial" w:hAnsi="Arial" w:cs="Arial"/>
          <w:sz w:val="20"/>
          <w:szCs w:val="20"/>
        </w:rPr>
        <w:t xml:space="preserve"> 2014: 14). </w:t>
      </w:r>
    </w:p>
    <w:p w14:paraId="01379008" w14:textId="77777777" w:rsidR="001F1682" w:rsidRDefault="001F1682" w:rsidP="00C23944">
      <w:pPr>
        <w:spacing w:line="480" w:lineRule="auto"/>
        <w:jc w:val="both"/>
        <w:rPr>
          <w:rFonts w:ascii="Arial" w:hAnsi="Arial" w:cs="Arial"/>
          <w:sz w:val="20"/>
          <w:szCs w:val="20"/>
        </w:rPr>
      </w:pPr>
    </w:p>
    <w:p w14:paraId="16E778E1" w14:textId="1C1F7F6F" w:rsidR="001912AB" w:rsidRPr="00C23944" w:rsidRDefault="001912AB" w:rsidP="00C23944">
      <w:pPr>
        <w:spacing w:line="480" w:lineRule="auto"/>
        <w:jc w:val="both"/>
        <w:rPr>
          <w:rFonts w:ascii="Arial" w:hAnsi="Arial" w:cs="Arial"/>
          <w:sz w:val="20"/>
          <w:szCs w:val="20"/>
        </w:rPr>
      </w:pPr>
      <w:r w:rsidRPr="00C23944">
        <w:rPr>
          <w:rFonts w:ascii="Arial" w:hAnsi="Arial" w:cs="Arial"/>
          <w:sz w:val="20"/>
          <w:szCs w:val="20"/>
        </w:rPr>
        <w:t>Th</w:t>
      </w:r>
      <w:r w:rsidR="00B8015A">
        <w:rPr>
          <w:rFonts w:ascii="Arial" w:hAnsi="Arial" w:cs="Arial"/>
          <w:sz w:val="20"/>
          <w:szCs w:val="20"/>
        </w:rPr>
        <w:t>is</w:t>
      </w:r>
      <w:r w:rsidRPr="00C23944">
        <w:rPr>
          <w:rFonts w:ascii="Arial" w:hAnsi="Arial" w:cs="Arial"/>
          <w:sz w:val="20"/>
          <w:szCs w:val="20"/>
        </w:rPr>
        <w:t xml:space="preserve"> shows that the negotiators have tried several times to expand the EU win-set to create an overlap with that of India, but that they have been stopped in this attempt by the EP. The EP has a diametrically opposed position to India’s on this issue, and it has made it very clear that it will never accept the exclusion of far-reaching political clauses. By insisting on</w:t>
      </w:r>
      <w:r w:rsidR="00224846">
        <w:rPr>
          <w:rFonts w:ascii="Arial" w:hAnsi="Arial" w:cs="Arial"/>
          <w:sz w:val="20"/>
          <w:szCs w:val="20"/>
        </w:rPr>
        <w:t xml:space="preserve"> these issues</w:t>
      </w:r>
      <w:r w:rsidRPr="00C23944">
        <w:rPr>
          <w:rFonts w:ascii="Arial" w:hAnsi="Arial" w:cs="Arial"/>
          <w:sz w:val="20"/>
          <w:szCs w:val="20"/>
        </w:rPr>
        <w:t>, the EP has reduced the EU win-set and the flexibility of the negotiators to meet India’s demands, and there is consequently still a significant gap between the two win-sets.</w:t>
      </w:r>
      <w:r>
        <w:rPr>
          <w:rFonts w:ascii="Arial" w:hAnsi="Arial" w:cs="Arial"/>
          <w:sz w:val="20"/>
          <w:szCs w:val="20"/>
        </w:rPr>
        <w:t xml:space="preserve"> </w:t>
      </w:r>
      <w:r w:rsidR="00224846">
        <w:rPr>
          <w:rFonts w:ascii="Arial" w:hAnsi="Arial" w:cs="Arial"/>
          <w:sz w:val="20"/>
          <w:szCs w:val="20"/>
        </w:rPr>
        <w:t xml:space="preserve">At this stage one cannot know whether these political clauses will receive greater attention by the Member States later on in the negotiation process, </w:t>
      </w:r>
      <w:r w:rsidR="002276FB">
        <w:rPr>
          <w:rFonts w:ascii="Arial" w:hAnsi="Arial" w:cs="Arial"/>
          <w:sz w:val="20"/>
          <w:szCs w:val="20"/>
        </w:rPr>
        <w:t>and evoke</w:t>
      </w:r>
      <w:r w:rsidR="00F300AC">
        <w:rPr>
          <w:rFonts w:ascii="Arial" w:hAnsi="Arial" w:cs="Arial"/>
          <w:sz w:val="20"/>
          <w:szCs w:val="20"/>
        </w:rPr>
        <w:t xml:space="preserve"> a commitment to such clauses, but </w:t>
      </w:r>
      <w:r w:rsidR="00224846">
        <w:rPr>
          <w:rFonts w:ascii="Arial" w:hAnsi="Arial" w:cs="Arial"/>
          <w:sz w:val="20"/>
          <w:szCs w:val="20"/>
        </w:rPr>
        <w:t>so far the Council negotiations have focused on technical issues</w:t>
      </w:r>
      <w:r w:rsidR="002276FB">
        <w:rPr>
          <w:rFonts w:ascii="Arial" w:hAnsi="Arial" w:cs="Arial"/>
          <w:sz w:val="20"/>
          <w:szCs w:val="20"/>
        </w:rPr>
        <w:t>, and the EP has thus been the only actor to pull back the negotiators</w:t>
      </w:r>
      <w:r w:rsidR="003E536D">
        <w:rPr>
          <w:rFonts w:ascii="Arial" w:hAnsi="Arial" w:cs="Arial"/>
          <w:sz w:val="20"/>
          <w:szCs w:val="20"/>
        </w:rPr>
        <w:t>,</w:t>
      </w:r>
      <w:r w:rsidR="002276FB">
        <w:rPr>
          <w:rFonts w:ascii="Arial" w:hAnsi="Arial" w:cs="Arial"/>
          <w:sz w:val="20"/>
          <w:szCs w:val="20"/>
        </w:rPr>
        <w:t xml:space="preserve"> and hindered them in their attempt at compromising </w:t>
      </w:r>
      <w:r w:rsidR="00861FF8">
        <w:rPr>
          <w:rFonts w:ascii="Arial" w:hAnsi="Arial" w:cs="Arial"/>
          <w:sz w:val="20"/>
          <w:szCs w:val="20"/>
        </w:rPr>
        <w:t>and m</w:t>
      </w:r>
      <w:r w:rsidR="003E536D">
        <w:rPr>
          <w:rFonts w:ascii="Arial" w:hAnsi="Arial" w:cs="Arial"/>
          <w:sz w:val="20"/>
          <w:szCs w:val="20"/>
        </w:rPr>
        <w:t>ov</w:t>
      </w:r>
      <w:r w:rsidR="00861FF8">
        <w:rPr>
          <w:rFonts w:ascii="Arial" w:hAnsi="Arial" w:cs="Arial"/>
          <w:sz w:val="20"/>
          <w:szCs w:val="20"/>
        </w:rPr>
        <w:t>ing</w:t>
      </w:r>
      <w:r w:rsidR="003E536D">
        <w:rPr>
          <w:rFonts w:ascii="Arial" w:hAnsi="Arial" w:cs="Arial"/>
          <w:sz w:val="20"/>
          <w:szCs w:val="20"/>
        </w:rPr>
        <w:t xml:space="preserve"> </w:t>
      </w:r>
      <w:r>
        <w:rPr>
          <w:rFonts w:ascii="Arial" w:hAnsi="Arial" w:cs="Arial"/>
          <w:sz w:val="20"/>
          <w:szCs w:val="20"/>
        </w:rPr>
        <w:t>towards the Indian position</w:t>
      </w:r>
      <w:r w:rsidR="003E536D">
        <w:rPr>
          <w:rFonts w:ascii="Arial" w:hAnsi="Arial" w:cs="Arial"/>
          <w:sz w:val="20"/>
          <w:szCs w:val="20"/>
        </w:rPr>
        <w:t>.</w:t>
      </w:r>
    </w:p>
    <w:p w14:paraId="4FD19129" w14:textId="77777777" w:rsidR="001912AB" w:rsidRDefault="001912AB" w:rsidP="00C23944">
      <w:pPr>
        <w:spacing w:line="480" w:lineRule="auto"/>
        <w:jc w:val="both"/>
        <w:rPr>
          <w:rFonts w:ascii="Arial" w:hAnsi="Arial" w:cs="Arial"/>
          <w:sz w:val="20"/>
          <w:szCs w:val="20"/>
        </w:rPr>
      </w:pPr>
    </w:p>
    <w:p w14:paraId="726DD3FA" w14:textId="61A91D3D" w:rsidR="00915957" w:rsidRPr="006B69E4" w:rsidRDefault="00915957" w:rsidP="00915957">
      <w:pPr>
        <w:spacing w:line="480" w:lineRule="auto"/>
        <w:jc w:val="both"/>
        <w:rPr>
          <w:rFonts w:ascii="Arial" w:hAnsi="Arial" w:cs="Arial"/>
          <w:b/>
          <w:i/>
          <w:sz w:val="20"/>
          <w:szCs w:val="20"/>
        </w:rPr>
      </w:pPr>
      <w:r>
        <w:rPr>
          <w:rFonts w:ascii="Arial" w:hAnsi="Arial" w:cs="Arial"/>
          <w:b/>
          <w:i/>
          <w:sz w:val="20"/>
          <w:szCs w:val="20"/>
        </w:rPr>
        <w:t>3.3</w:t>
      </w:r>
      <w:r w:rsidRPr="006B69E4">
        <w:rPr>
          <w:rFonts w:ascii="Arial" w:hAnsi="Arial" w:cs="Arial"/>
          <w:b/>
          <w:i/>
          <w:sz w:val="20"/>
          <w:szCs w:val="20"/>
        </w:rPr>
        <w:t xml:space="preserve">. IPR Provisions for Pharmaceuticals  </w:t>
      </w:r>
    </w:p>
    <w:p w14:paraId="7A6A0DFC" w14:textId="77777777" w:rsidR="00915957" w:rsidRPr="00C23944" w:rsidRDefault="00915957" w:rsidP="00915957">
      <w:pPr>
        <w:spacing w:line="480" w:lineRule="auto"/>
        <w:jc w:val="both"/>
        <w:rPr>
          <w:rFonts w:ascii="Arial" w:hAnsi="Arial" w:cs="Arial"/>
          <w:sz w:val="20"/>
          <w:szCs w:val="20"/>
        </w:rPr>
      </w:pPr>
      <w:r w:rsidRPr="00C23944">
        <w:rPr>
          <w:rFonts w:ascii="Arial" w:hAnsi="Arial" w:cs="Arial"/>
          <w:sz w:val="20"/>
          <w:szCs w:val="20"/>
        </w:rPr>
        <w:t xml:space="preserve">The pharmaceutical industry is the EU’s fifth largest industrial sector, and it contributes significantly to the EU’s external trade (EFPIA 2015). Although the EU is facing increasing competition in this sector from emerging markets, such as India, it still has a significant comparative advantage in the area of pharmaceutical research and development. It is thus keen to strengthen intellectual property protection and ensure adequate legal protection of new pharmaceuticals in its FTAs with third parties. </w:t>
      </w:r>
    </w:p>
    <w:p w14:paraId="51A7799A" w14:textId="77777777" w:rsidR="00915957" w:rsidRPr="00C23944" w:rsidRDefault="00915957" w:rsidP="00915957">
      <w:pPr>
        <w:spacing w:line="480" w:lineRule="auto"/>
        <w:jc w:val="both"/>
        <w:rPr>
          <w:rFonts w:ascii="Arial" w:hAnsi="Arial" w:cs="Arial"/>
          <w:sz w:val="20"/>
          <w:szCs w:val="20"/>
        </w:rPr>
      </w:pPr>
    </w:p>
    <w:p w14:paraId="20F0E8EE" w14:textId="45F9D3BE" w:rsidR="00915957" w:rsidRPr="00C23944" w:rsidRDefault="00915957" w:rsidP="00915957">
      <w:pPr>
        <w:spacing w:line="480" w:lineRule="auto"/>
        <w:jc w:val="both"/>
        <w:rPr>
          <w:rFonts w:ascii="Arial" w:hAnsi="Arial" w:cs="Arial"/>
          <w:sz w:val="20"/>
          <w:szCs w:val="20"/>
        </w:rPr>
      </w:pPr>
      <w:r w:rsidRPr="00C23944">
        <w:rPr>
          <w:rFonts w:ascii="Arial" w:hAnsi="Arial" w:cs="Arial"/>
          <w:sz w:val="20"/>
          <w:szCs w:val="20"/>
        </w:rPr>
        <w:t xml:space="preserve">In the BTIA negotiations, the negotiators, who are working within DG Trade’s remit </w:t>
      </w:r>
      <w:r>
        <w:rPr>
          <w:rFonts w:ascii="Arial" w:hAnsi="Arial" w:cs="Arial"/>
          <w:sz w:val="20"/>
          <w:szCs w:val="20"/>
        </w:rPr>
        <w:t>to promote liberaliz</w:t>
      </w:r>
      <w:r w:rsidRPr="00C23944">
        <w:rPr>
          <w:rFonts w:ascii="Arial" w:hAnsi="Arial" w:cs="Arial"/>
          <w:sz w:val="20"/>
          <w:szCs w:val="20"/>
        </w:rPr>
        <w:t>ation and fair global competition based on EU compatible rules and standards (</w:t>
      </w:r>
      <w:r>
        <w:rPr>
          <w:rFonts w:ascii="Arial" w:hAnsi="Arial" w:cs="Arial"/>
          <w:sz w:val="20"/>
          <w:szCs w:val="20"/>
        </w:rPr>
        <w:t>European Commission</w:t>
      </w:r>
      <w:r w:rsidRPr="00C23944">
        <w:rPr>
          <w:rFonts w:ascii="Arial" w:hAnsi="Arial" w:cs="Arial"/>
          <w:sz w:val="20"/>
          <w:szCs w:val="20"/>
        </w:rPr>
        <w:t xml:space="preserve"> 2006</w:t>
      </w:r>
      <w:r>
        <w:rPr>
          <w:rFonts w:ascii="Arial" w:hAnsi="Arial" w:cs="Arial"/>
          <w:sz w:val="20"/>
          <w:szCs w:val="20"/>
        </w:rPr>
        <w:t>a</w:t>
      </w:r>
      <w:r w:rsidRPr="00C23944">
        <w:rPr>
          <w:rFonts w:ascii="Arial" w:hAnsi="Arial" w:cs="Arial"/>
          <w:sz w:val="20"/>
          <w:szCs w:val="20"/>
        </w:rPr>
        <w:t>), proposed strict IPR regulations in pharmaceuticals that would go beyond the WTO’s TRIPS agreement, including an extension on patent terms and data exclusivity (Correa 2009: 3). This proposal was supported by the Member States in the Council. Germany in particular has been vocal on this issue and has often complained about India’s relative lack of patent protection (Sheperd and Wauters 2013). The pharmaceutical industry is</w:t>
      </w:r>
      <w:r>
        <w:rPr>
          <w:rFonts w:ascii="Arial" w:hAnsi="Arial" w:cs="Arial"/>
          <w:sz w:val="20"/>
          <w:szCs w:val="20"/>
        </w:rPr>
        <w:t xml:space="preserve"> very well organiz</w:t>
      </w:r>
      <w:r w:rsidRPr="00C23944">
        <w:rPr>
          <w:rFonts w:ascii="Arial" w:hAnsi="Arial" w:cs="Arial"/>
          <w:sz w:val="20"/>
          <w:szCs w:val="20"/>
        </w:rPr>
        <w:t xml:space="preserve">ed and active at both EU and </w:t>
      </w:r>
      <w:r w:rsidR="006768E5">
        <w:rPr>
          <w:rFonts w:ascii="Arial" w:hAnsi="Arial" w:cs="Arial"/>
          <w:sz w:val="20"/>
          <w:szCs w:val="20"/>
        </w:rPr>
        <w:t>national l</w:t>
      </w:r>
      <w:r w:rsidRPr="00C23944">
        <w:rPr>
          <w:rFonts w:ascii="Arial" w:hAnsi="Arial" w:cs="Arial"/>
          <w:sz w:val="20"/>
          <w:szCs w:val="20"/>
        </w:rPr>
        <w:t>e</w:t>
      </w:r>
      <w:r w:rsidR="006768E5">
        <w:rPr>
          <w:rFonts w:ascii="Arial" w:hAnsi="Arial" w:cs="Arial"/>
          <w:sz w:val="20"/>
          <w:szCs w:val="20"/>
        </w:rPr>
        <w:t>ve</w:t>
      </w:r>
      <w:r w:rsidRPr="00C23944">
        <w:rPr>
          <w:rFonts w:ascii="Arial" w:hAnsi="Arial" w:cs="Arial"/>
          <w:sz w:val="20"/>
          <w:szCs w:val="20"/>
        </w:rPr>
        <w:t>ls (e.g. Dür and De Bièvre 2007</w:t>
      </w:r>
      <w:r>
        <w:rPr>
          <w:rFonts w:ascii="Arial" w:hAnsi="Arial" w:cs="Arial"/>
          <w:sz w:val="20"/>
          <w:szCs w:val="20"/>
        </w:rPr>
        <w:t>)</w:t>
      </w:r>
      <w:r w:rsidRPr="00C23944">
        <w:rPr>
          <w:rFonts w:ascii="Arial" w:hAnsi="Arial" w:cs="Arial"/>
          <w:sz w:val="20"/>
          <w:szCs w:val="20"/>
        </w:rPr>
        <w:t xml:space="preserve">, and it has made the case for </w:t>
      </w:r>
      <w:r>
        <w:rPr>
          <w:rFonts w:ascii="Arial" w:hAnsi="Arial" w:cs="Arial"/>
          <w:sz w:val="20"/>
          <w:szCs w:val="20"/>
        </w:rPr>
        <w:t>strong IPR protection to maximiz</w:t>
      </w:r>
      <w:r w:rsidRPr="00C23944">
        <w:rPr>
          <w:rFonts w:ascii="Arial" w:hAnsi="Arial" w:cs="Arial"/>
          <w:sz w:val="20"/>
          <w:szCs w:val="20"/>
        </w:rPr>
        <w:t xml:space="preserve">e the value of the new market access to India and ensure that innovative pharmaceutical companies in the EU are well protected and compensated for their investment in research and development (EFPIA 2011). </w:t>
      </w:r>
    </w:p>
    <w:p w14:paraId="5524C016" w14:textId="77777777" w:rsidR="00915957" w:rsidRPr="00C23944" w:rsidRDefault="00915957" w:rsidP="00915957">
      <w:pPr>
        <w:spacing w:line="480" w:lineRule="auto"/>
        <w:jc w:val="both"/>
        <w:rPr>
          <w:rFonts w:ascii="Arial" w:hAnsi="Arial" w:cs="Arial"/>
          <w:sz w:val="20"/>
          <w:szCs w:val="20"/>
        </w:rPr>
      </w:pPr>
    </w:p>
    <w:p w14:paraId="7DE9ECB9" w14:textId="5A63877D" w:rsidR="00915957" w:rsidRPr="00C23944" w:rsidRDefault="00915957" w:rsidP="00915957">
      <w:pPr>
        <w:spacing w:line="480" w:lineRule="auto"/>
        <w:jc w:val="both"/>
        <w:rPr>
          <w:rFonts w:ascii="Arial" w:hAnsi="Arial" w:cs="Arial"/>
          <w:sz w:val="20"/>
          <w:szCs w:val="20"/>
        </w:rPr>
      </w:pPr>
      <w:r w:rsidRPr="00C23944">
        <w:rPr>
          <w:rFonts w:ascii="Arial" w:hAnsi="Arial" w:cs="Arial"/>
          <w:sz w:val="20"/>
          <w:szCs w:val="20"/>
        </w:rPr>
        <w:t xml:space="preserve">India, on the other hand, has always been unwilling to commit to agreements beyond TRIPS (Correa, 2009). It has a strong generic pharmaceutical industry, which produces the vast majority of generic medicines that are used by development NGOs across the world, and it is often referred to as the ‘pharmacy of the developing world’ (Wouters et al. 2014:859). Its lax rules on IPR and patents have enabled huge productions of generic medicine at affordable prices, which has benefitted both the Indian pharmaceutical industry and developing countries. The EU proposal for the inclusion of stronger IPR provisions on patents and data exclusivity was consequently </w:t>
      </w:r>
      <w:r>
        <w:rPr>
          <w:rFonts w:ascii="Arial" w:hAnsi="Arial" w:cs="Arial"/>
          <w:sz w:val="20"/>
          <w:szCs w:val="20"/>
        </w:rPr>
        <w:t xml:space="preserve">rejected by India as it feared it would </w:t>
      </w:r>
      <w:r w:rsidRPr="00C23944">
        <w:rPr>
          <w:rFonts w:ascii="Arial" w:hAnsi="Arial" w:cs="Arial"/>
          <w:sz w:val="20"/>
          <w:szCs w:val="20"/>
        </w:rPr>
        <w:t>threaten India’s freedom to produce and export low-cost lifesaving medicines (Correa 2009: 3). However, the pharmaceutical lobby was very strong and the EU proposals for extensive TRIPS-plus IPR provisions remained on the table (Wouters et al</w:t>
      </w:r>
      <w:r>
        <w:rPr>
          <w:rFonts w:ascii="Arial" w:hAnsi="Arial" w:cs="Arial"/>
          <w:sz w:val="20"/>
          <w:szCs w:val="20"/>
        </w:rPr>
        <w:t>.</w:t>
      </w:r>
      <w:r w:rsidRPr="00C23944">
        <w:rPr>
          <w:rFonts w:ascii="Arial" w:hAnsi="Arial" w:cs="Arial"/>
          <w:sz w:val="20"/>
          <w:szCs w:val="20"/>
        </w:rPr>
        <w:t xml:space="preserve"> 2014: 858), and i</w:t>
      </w:r>
      <w:r>
        <w:rPr>
          <w:rFonts w:ascii="Arial" w:hAnsi="Arial" w:cs="Arial"/>
          <w:sz w:val="20"/>
          <w:szCs w:val="20"/>
        </w:rPr>
        <w:t>t was not until the mobiliz</w:t>
      </w:r>
      <w:r w:rsidRPr="00C23944">
        <w:rPr>
          <w:rFonts w:ascii="Arial" w:hAnsi="Arial" w:cs="Arial"/>
          <w:sz w:val="20"/>
          <w:szCs w:val="20"/>
        </w:rPr>
        <w:t xml:space="preserve">ation of NGOs and the public outrage </w:t>
      </w:r>
      <w:r>
        <w:rPr>
          <w:rFonts w:ascii="Arial" w:hAnsi="Arial" w:cs="Arial"/>
          <w:sz w:val="20"/>
          <w:szCs w:val="20"/>
        </w:rPr>
        <w:t>at the effect that</w:t>
      </w:r>
      <w:r w:rsidRPr="00C23944">
        <w:rPr>
          <w:rFonts w:ascii="Arial" w:hAnsi="Arial" w:cs="Arial"/>
          <w:sz w:val="20"/>
          <w:szCs w:val="20"/>
        </w:rPr>
        <w:t xml:space="preserve"> BTIA could have on the production of generic medicines that the </w:t>
      </w:r>
      <w:r w:rsidR="00970F45">
        <w:rPr>
          <w:rFonts w:ascii="Arial" w:hAnsi="Arial" w:cs="Arial"/>
          <w:sz w:val="20"/>
          <w:szCs w:val="20"/>
        </w:rPr>
        <w:t xml:space="preserve">negotiations have changed direction. </w:t>
      </w:r>
      <w:r w:rsidRPr="00C23944">
        <w:rPr>
          <w:rFonts w:ascii="Arial" w:hAnsi="Arial" w:cs="Arial"/>
          <w:sz w:val="20"/>
          <w:szCs w:val="20"/>
        </w:rPr>
        <w:t>These NGOs from both India (e.g. Forum against FTAs and India FDI Watch) and the EU (e.g. Oxfam, WIDE, Médecins Sans Frontières, Unitaid) found a sympathetic institution and effective access point for their lobbying in the EP</w:t>
      </w:r>
      <w:r>
        <w:rPr>
          <w:rFonts w:ascii="Arial" w:hAnsi="Arial" w:cs="Arial"/>
          <w:sz w:val="20"/>
          <w:szCs w:val="20"/>
        </w:rPr>
        <w:t xml:space="preserve">, which is strongly in favour of ensuring access to medicines for developing countries, and which has influenced several EU trade negotiations on health matters (Koivasulo and Watt 2014: 580). </w:t>
      </w:r>
    </w:p>
    <w:p w14:paraId="122B6228" w14:textId="77777777" w:rsidR="00915957" w:rsidRPr="00C23944" w:rsidRDefault="00915957" w:rsidP="00915957">
      <w:pPr>
        <w:spacing w:line="480" w:lineRule="auto"/>
        <w:jc w:val="both"/>
        <w:rPr>
          <w:rFonts w:ascii="Arial" w:hAnsi="Arial" w:cs="Arial"/>
          <w:sz w:val="20"/>
          <w:szCs w:val="20"/>
        </w:rPr>
      </w:pPr>
    </w:p>
    <w:p w14:paraId="25615034" w14:textId="77777777" w:rsidR="00915957" w:rsidRPr="00C23944" w:rsidRDefault="00915957" w:rsidP="00915957">
      <w:pPr>
        <w:spacing w:line="480" w:lineRule="auto"/>
        <w:jc w:val="both"/>
        <w:rPr>
          <w:rFonts w:ascii="Arial" w:hAnsi="Arial" w:cs="Arial"/>
          <w:sz w:val="20"/>
          <w:szCs w:val="20"/>
        </w:rPr>
      </w:pPr>
      <w:r>
        <w:rPr>
          <w:rFonts w:ascii="Arial" w:hAnsi="Arial" w:cs="Arial"/>
          <w:sz w:val="20"/>
          <w:szCs w:val="20"/>
        </w:rPr>
        <w:t>E</w:t>
      </w:r>
      <w:r w:rsidRPr="00C23944">
        <w:rPr>
          <w:rFonts w:ascii="Arial" w:hAnsi="Arial" w:cs="Arial"/>
          <w:sz w:val="20"/>
          <w:szCs w:val="20"/>
        </w:rPr>
        <w:t>choing the concerns of these NGOs, the EP raised its objections to the extensive provisions on IPR suggested by the negotiators</w:t>
      </w:r>
      <w:r>
        <w:rPr>
          <w:rFonts w:ascii="Arial" w:hAnsi="Arial" w:cs="Arial"/>
          <w:sz w:val="20"/>
          <w:szCs w:val="20"/>
        </w:rPr>
        <w:t xml:space="preserve">. </w:t>
      </w:r>
      <w:r w:rsidRPr="00C23944">
        <w:rPr>
          <w:rFonts w:ascii="Arial" w:hAnsi="Arial" w:cs="Arial"/>
          <w:sz w:val="20"/>
          <w:szCs w:val="20"/>
        </w:rPr>
        <w:t xml:space="preserve">It has long defended calls not to seek TRIPS-plus standards when it may affect access to medicine in developing countries (e.g. European Parliament 2007), and </w:t>
      </w:r>
      <w:r>
        <w:rPr>
          <w:rFonts w:ascii="Arial" w:hAnsi="Arial" w:cs="Arial"/>
          <w:sz w:val="20"/>
          <w:szCs w:val="20"/>
        </w:rPr>
        <w:t xml:space="preserve">it </w:t>
      </w:r>
      <w:r w:rsidRPr="00C23944">
        <w:rPr>
          <w:rFonts w:ascii="Arial" w:hAnsi="Arial" w:cs="Arial"/>
          <w:sz w:val="20"/>
          <w:szCs w:val="20"/>
        </w:rPr>
        <w:t>became a vocal defender of India’s interests in this aspect of the BTIA negotiations</w:t>
      </w:r>
      <w:r>
        <w:rPr>
          <w:rFonts w:ascii="Arial" w:hAnsi="Arial" w:cs="Arial"/>
          <w:sz w:val="20"/>
          <w:szCs w:val="20"/>
        </w:rPr>
        <w:t xml:space="preserve"> (e.g. European Parliament 2011a)</w:t>
      </w:r>
      <w:r w:rsidRPr="00C23944">
        <w:rPr>
          <w:rFonts w:ascii="Arial" w:hAnsi="Arial" w:cs="Arial"/>
          <w:sz w:val="20"/>
          <w:szCs w:val="20"/>
        </w:rPr>
        <w:t xml:space="preserve">. Although the negotiators initially had strong preferences for an extensive regulatory framework on IPR, they </w:t>
      </w:r>
      <w:r>
        <w:rPr>
          <w:rFonts w:ascii="Arial" w:hAnsi="Arial" w:cs="Arial"/>
          <w:sz w:val="20"/>
          <w:szCs w:val="20"/>
        </w:rPr>
        <w:t xml:space="preserve">took the arguments of the EP on board. </w:t>
      </w:r>
      <w:r w:rsidRPr="00C23944">
        <w:rPr>
          <w:rFonts w:ascii="Arial" w:hAnsi="Arial" w:cs="Arial"/>
          <w:sz w:val="20"/>
          <w:szCs w:val="20"/>
        </w:rPr>
        <w:t xml:space="preserve">Following its objections, </w:t>
      </w:r>
      <w:r>
        <w:rPr>
          <w:rFonts w:ascii="Arial" w:hAnsi="Arial" w:cs="Arial"/>
          <w:sz w:val="20"/>
          <w:szCs w:val="20"/>
        </w:rPr>
        <w:t>the negotiators realiz</w:t>
      </w:r>
      <w:r w:rsidRPr="00C23944">
        <w:rPr>
          <w:rFonts w:ascii="Arial" w:hAnsi="Arial" w:cs="Arial"/>
          <w:sz w:val="20"/>
          <w:szCs w:val="20"/>
        </w:rPr>
        <w:t>ed that they had to compromise on the IPR provisions. They called on Trade Commissioner de Gucht to address the EP, and he stressed that the FTA would not ‘interfere with the trade of generic medicines in transit […] nor making export of medicines from India to other developing countries difficult’ (European Parliament 2011</w:t>
      </w:r>
      <w:r>
        <w:rPr>
          <w:rFonts w:ascii="Arial" w:hAnsi="Arial" w:cs="Arial"/>
          <w:sz w:val="20"/>
          <w:szCs w:val="20"/>
        </w:rPr>
        <w:t>b</w:t>
      </w:r>
      <w:r w:rsidRPr="00C23944">
        <w:rPr>
          <w:rFonts w:ascii="Arial" w:hAnsi="Arial" w:cs="Arial"/>
          <w:sz w:val="20"/>
          <w:szCs w:val="20"/>
        </w:rPr>
        <w:t>). However, there was still scepticism expressed in the EP. The negotiators then had to emphasi</w:t>
      </w:r>
      <w:r>
        <w:rPr>
          <w:rFonts w:ascii="Arial" w:hAnsi="Arial" w:cs="Arial"/>
          <w:sz w:val="20"/>
          <w:szCs w:val="20"/>
        </w:rPr>
        <w:t>z</w:t>
      </w:r>
      <w:r w:rsidRPr="00C23944">
        <w:rPr>
          <w:rFonts w:ascii="Arial" w:hAnsi="Arial" w:cs="Arial"/>
          <w:sz w:val="20"/>
          <w:szCs w:val="20"/>
        </w:rPr>
        <w:t>e that ‘the FTA will not require any changes in Indian IPR legislation regarding pharmaceuticals’ and that the ‘EU fully acknowledges India's right and capacity to manufacture and export life-saving medicines to other developing countries’ (European Commission 2013</w:t>
      </w:r>
      <w:r>
        <w:rPr>
          <w:rFonts w:ascii="Arial" w:hAnsi="Arial" w:cs="Arial"/>
          <w:sz w:val="20"/>
          <w:szCs w:val="20"/>
        </w:rPr>
        <w:t>b</w:t>
      </w:r>
      <w:r w:rsidRPr="00C23944">
        <w:rPr>
          <w:rFonts w:ascii="Arial" w:hAnsi="Arial" w:cs="Arial"/>
          <w:sz w:val="20"/>
          <w:szCs w:val="20"/>
        </w:rPr>
        <w:t>). The opposition expressed by NGOs and channelled through the EP thus contributed to the withdrawal of the draft provisions on patent term extension and data exclusivity</w:t>
      </w:r>
      <w:r>
        <w:rPr>
          <w:rFonts w:ascii="Arial" w:hAnsi="Arial" w:cs="Arial"/>
          <w:sz w:val="20"/>
          <w:szCs w:val="20"/>
        </w:rPr>
        <w:t xml:space="preserve"> – a move that has been welcomed by the EP</w:t>
      </w:r>
      <w:r w:rsidRPr="00C23944">
        <w:rPr>
          <w:rFonts w:ascii="Arial" w:hAnsi="Arial" w:cs="Arial"/>
          <w:sz w:val="20"/>
          <w:szCs w:val="20"/>
        </w:rPr>
        <w:t xml:space="preserve"> (Interview, EP official, 8/3/2013).</w:t>
      </w:r>
    </w:p>
    <w:p w14:paraId="214EB329" w14:textId="77777777" w:rsidR="00915957" w:rsidRPr="00C23944" w:rsidRDefault="00915957" w:rsidP="00915957">
      <w:pPr>
        <w:spacing w:line="480" w:lineRule="auto"/>
        <w:jc w:val="both"/>
        <w:rPr>
          <w:rFonts w:ascii="Arial" w:hAnsi="Arial" w:cs="Arial"/>
          <w:sz w:val="20"/>
          <w:szCs w:val="20"/>
        </w:rPr>
      </w:pPr>
    </w:p>
    <w:p w14:paraId="633BDE52" w14:textId="2868A9DE" w:rsidR="00915957" w:rsidRPr="00C23944" w:rsidRDefault="00915957" w:rsidP="00915957">
      <w:pPr>
        <w:spacing w:line="480" w:lineRule="auto"/>
        <w:jc w:val="both"/>
        <w:rPr>
          <w:rFonts w:ascii="Arial" w:hAnsi="Arial" w:cs="Arial"/>
          <w:sz w:val="20"/>
          <w:szCs w:val="20"/>
        </w:rPr>
      </w:pPr>
      <w:r w:rsidRPr="00C23944">
        <w:rPr>
          <w:rFonts w:ascii="Arial" w:hAnsi="Arial" w:cs="Arial"/>
          <w:sz w:val="20"/>
          <w:szCs w:val="20"/>
        </w:rPr>
        <w:t xml:space="preserve">This shows how initially there </w:t>
      </w:r>
      <w:r>
        <w:rPr>
          <w:rFonts w:ascii="Arial" w:hAnsi="Arial" w:cs="Arial"/>
          <w:sz w:val="20"/>
          <w:szCs w:val="20"/>
        </w:rPr>
        <w:t>w</w:t>
      </w:r>
      <w:r w:rsidRPr="00C23944">
        <w:rPr>
          <w:rFonts w:ascii="Arial" w:hAnsi="Arial" w:cs="Arial"/>
          <w:sz w:val="20"/>
          <w:szCs w:val="20"/>
        </w:rPr>
        <w:t>as a gap between the position</w:t>
      </w:r>
      <w:r>
        <w:rPr>
          <w:rFonts w:ascii="Arial" w:hAnsi="Arial" w:cs="Arial"/>
          <w:sz w:val="20"/>
          <w:szCs w:val="20"/>
        </w:rPr>
        <w:t>s of India and th</w:t>
      </w:r>
      <w:r w:rsidRPr="00C23944">
        <w:rPr>
          <w:rFonts w:ascii="Arial" w:hAnsi="Arial" w:cs="Arial"/>
          <w:sz w:val="20"/>
          <w:szCs w:val="20"/>
        </w:rPr>
        <w:t xml:space="preserve">e EU negotiators (who were supported by the Member States). However, the pressure from the EP led the EU negotiators to revise their position, thus expanding the EU win-set to the extent that it overlapped with </w:t>
      </w:r>
      <w:r>
        <w:rPr>
          <w:rFonts w:ascii="Arial" w:hAnsi="Arial" w:cs="Arial"/>
          <w:sz w:val="20"/>
          <w:szCs w:val="20"/>
        </w:rPr>
        <w:t xml:space="preserve">that of </w:t>
      </w:r>
      <w:r w:rsidRPr="00C23944">
        <w:rPr>
          <w:rFonts w:ascii="Arial" w:hAnsi="Arial" w:cs="Arial"/>
          <w:sz w:val="20"/>
          <w:szCs w:val="20"/>
        </w:rPr>
        <w:t>India. With its increasing power over tr</w:t>
      </w:r>
      <w:r>
        <w:rPr>
          <w:rFonts w:ascii="Arial" w:hAnsi="Arial" w:cs="Arial"/>
          <w:sz w:val="20"/>
          <w:szCs w:val="20"/>
        </w:rPr>
        <w:t xml:space="preserve">ade negotiations, the EP </w:t>
      </w:r>
      <w:r w:rsidR="00970F45">
        <w:rPr>
          <w:rFonts w:ascii="Arial" w:hAnsi="Arial" w:cs="Arial"/>
          <w:sz w:val="20"/>
          <w:szCs w:val="20"/>
        </w:rPr>
        <w:t>was able to successfully voice the concerns of a</w:t>
      </w:r>
      <w:r w:rsidRPr="00C23944">
        <w:rPr>
          <w:rFonts w:ascii="Arial" w:hAnsi="Arial" w:cs="Arial"/>
          <w:sz w:val="20"/>
          <w:szCs w:val="20"/>
        </w:rPr>
        <w:t xml:space="preserve"> huge number of development NGOs, and </w:t>
      </w:r>
      <w:r w:rsidR="00970F45">
        <w:rPr>
          <w:rFonts w:ascii="Arial" w:hAnsi="Arial" w:cs="Arial"/>
          <w:sz w:val="20"/>
          <w:szCs w:val="20"/>
        </w:rPr>
        <w:t xml:space="preserve">thus </w:t>
      </w:r>
      <w:r w:rsidRPr="00C23944">
        <w:rPr>
          <w:rFonts w:ascii="Arial" w:hAnsi="Arial" w:cs="Arial"/>
          <w:sz w:val="20"/>
          <w:szCs w:val="20"/>
        </w:rPr>
        <w:t>influence the result of the negotiations. Although this involvement by the EP made the internal negotiations more difficult and time consuming for the EU negotiators, it facilitated international agreement at Level I, albeit slightly beyond the preferred outcome of the EU negotiators. This can be likened to Putnam’s (1988: 454) notion of ‘reverberation’, whereby Level I negotiators find allies at their opponent’s domestic table, which can help ‘tipping the domestic balance and thus influence the international negotiations’. Even if the Indian negotiators did not interact directly with the EP,</w:t>
      </w:r>
      <w:r>
        <w:rPr>
          <w:rStyle w:val="FootnoteReference"/>
          <w:rFonts w:ascii="Arial" w:hAnsi="Arial" w:cs="Arial"/>
          <w:sz w:val="20"/>
          <w:szCs w:val="20"/>
        </w:rPr>
        <w:footnoteReference w:id="5"/>
      </w:r>
      <w:r w:rsidRPr="00C23944">
        <w:rPr>
          <w:rFonts w:ascii="Arial" w:hAnsi="Arial" w:cs="Arial"/>
          <w:sz w:val="20"/>
          <w:szCs w:val="20"/>
        </w:rPr>
        <w:t xml:space="preserve"> there was a convergence in preferences on this particular issue between India and the EP</w:t>
      </w:r>
      <w:r>
        <w:rPr>
          <w:rFonts w:ascii="Arial" w:hAnsi="Arial" w:cs="Arial"/>
          <w:sz w:val="20"/>
          <w:szCs w:val="20"/>
        </w:rPr>
        <w:t xml:space="preserve">. </w:t>
      </w:r>
      <w:r w:rsidRPr="00C23944">
        <w:rPr>
          <w:rFonts w:ascii="Arial" w:hAnsi="Arial" w:cs="Arial"/>
          <w:sz w:val="20"/>
          <w:szCs w:val="20"/>
        </w:rPr>
        <w:t>Through this synergy of interests, the EP pushed the EU negotiators to revise their proposal to respond to some of India’s concerns, and an overlap of the two win-sets has been created.</w:t>
      </w:r>
    </w:p>
    <w:p w14:paraId="05B97113" w14:textId="77777777" w:rsidR="00915957" w:rsidRDefault="00915957" w:rsidP="00C23944">
      <w:pPr>
        <w:spacing w:line="480" w:lineRule="auto"/>
        <w:jc w:val="both"/>
        <w:rPr>
          <w:rFonts w:ascii="Arial" w:hAnsi="Arial" w:cs="Arial"/>
          <w:sz w:val="20"/>
          <w:szCs w:val="20"/>
        </w:rPr>
      </w:pPr>
    </w:p>
    <w:p w14:paraId="36338B25" w14:textId="77777777" w:rsidR="00915957" w:rsidRPr="00C23944" w:rsidRDefault="00915957" w:rsidP="00C23944">
      <w:pPr>
        <w:spacing w:line="480" w:lineRule="auto"/>
        <w:jc w:val="both"/>
        <w:rPr>
          <w:rFonts w:ascii="Arial" w:hAnsi="Arial" w:cs="Arial"/>
          <w:sz w:val="20"/>
          <w:szCs w:val="20"/>
        </w:rPr>
      </w:pPr>
    </w:p>
    <w:p w14:paraId="570E21AA" w14:textId="4B372321" w:rsidR="001912AB" w:rsidRPr="00C23944" w:rsidRDefault="001912AB" w:rsidP="00C23944">
      <w:pPr>
        <w:spacing w:line="480" w:lineRule="auto"/>
        <w:jc w:val="both"/>
        <w:rPr>
          <w:rFonts w:ascii="Arial" w:hAnsi="Arial" w:cs="Arial"/>
          <w:b/>
          <w:sz w:val="20"/>
          <w:szCs w:val="20"/>
        </w:rPr>
      </w:pPr>
      <w:r w:rsidRPr="00C23944">
        <w:rPr>
          <w:rFonts w:ascii="Arial" w:hAnsi="Arial" w:cs="Arial"/>
          <w:b/>
          <w:sz w:val="20"/>
          <w:szCs w:val="20"/>
        </w:rPr>
        <w:t>4. Negotiating Dynamics</w:t>
      </w:r>
    </w:p>
    <w:p w14:paraId="000E9848" w14:textId="0F33E3E9" w:rsidR="001912AB" w:rsidRDefault="001912AB" w:rsidP="00C23944">
      <w:pPr>
        <w:spacing w:line="480" w:lineRule="auto"/>
        <w:jc w:val="both"/>
        <w:rPr>
          <w:rFonts w:ascii="Arial" w:hAnsi="Arial" w:cs="Arial"/>
          <w:sz w:val="20"/>
          <w:szCs w:val="20"/>
        </w:rPr>
      </w:pPr>
      <w:r w:rsidRPr="00C23944">
        <w:rPr>
          <w:rFonts w:ascii="Arial" w:hAnsi="Arial" w:cs="Arial"/>
          <w:sz w:val="20"/>
          <w:szCs w:val="20"/>
        </w:rPr>
        <w:t xml:space="preserve">The previous section shows how the win-sets are shaped by the preferences of the relevant domestic constituents, and how the contours of the win-sets are important for understanding Level I agreements, or the lack thereof. </w:t>
      </w:r>
      <w:r w:rsidR="00EC0322">
        <w:rPr>
          <w:rFonts w:ascii="Arial" w:hAnsi="Arial" w:cs="Arial"/>
          <w:sz w:val="20"/>
          <w:szCs w:val="20"/>
        </w:rPr>
        <w:t xml:space="preserve">This section </w:t>
      </w:r>
      <w:r w:rsidR="0051310A">
        <w:rPr>
          <w:rFonts w:ascii="Arial" w:hAnsi="Arial" w:cs="Arial"/>
          <w:sz w:val="20"/>
          <w:szCs w:val="20"/>
        </w:rPr>
        <w:t xml:space="preserve">analyses </w:t>
      </w:r>
      <w:r w:rsidR="003479BD">
        <w:rPr>
          <w:rFonts w:ascii="Arial" w:hAnsi="Arial" w:cs="Arial"/>
          <w:sz w:val="20"/>
          <w:szCs w:val="20"/>
        </w:rPr>
        <w:t xml:space="preserve">how the negotiating dynamics have changed both domestically and internationally with the increased power of the EP. It looks at the interactions of the EU negotiators and how they try to pursue their </w:t>
      </w:r>
      <w:r w:rsidR="008B1A6D">
        <w:rPr>
          <w:rFonts w:ascii="Arial" w:hAnsi="Arial" w:cs="Arial"/>
          <w:sz w:val="20"/>
          <w:szCs w:val="20"/>
        </w:rPr>
        <w:t>own p</w:t>
      </w:r>
      <w:r w:rsidR="00B308C7">
        <w:rPr>
          <w:rFonts w:ascii="Arial" w:hAnsi="Arial" w:cs="Arial"/>
          <w:sz w:val="20"/>
          <w:szCs w:val="20"/>
        </w:rPr>
        <w:t xml:space="preserve">ro-liberalization preferences, </w:t>
      </w:r>
      <w:r w:rsidR="008B1A6D">
        <w:rPr>
          <w:rFonts w:ascii="Arial" w:hAnsi="Arial" w:cs="Arial"/>
          <w:sz w:val="20"/>
          <w:szCs w:val="20"/>
        </w:rPr>
        <w:t xml:space="preserve">but </w:t>
      </w:r>
      <w:r w:rsidR="003479BD">
        <w:rPr>
          <w:rFonts w:ascii="Arial" w:hAnsi="Arial" w:cs="Arial"/>
          <w:sz w:val="20"/>
          <w:szCs w:val="20"/>
        </w:rPr>
        <w:t xml:space="preserve">also how they </w:t>
      </w:r>
      <w:r w:rsidR="00B308C7">
        <w:rPr>
          <w:rFonts w:ascii="Arial" w:hAnsi="Arial" w:cs="Arial"/>
          <w:sz w:val="20"/>
          <w:szCs w:val="20"/>
        </w:rPr>
        <w:t>have a strategic interest in</w:t>
      </w:r>
      <w:r w:rsidR="00903C6E">
        <w:rPr>
          <w:rFonts w:ascii="Arial" w:hAnsi="Arial" w:cs="Arial"/>
          <w:sz w:val="20"/>
          <w:szCs w:val="20"/>
        </w:rPr>
        <w:t xml:space="preserve"> the conclusion of BTIA</w:t>
      </w:r>
      <w:r w:rsidR="00B308C7">
        <w:rPr>
          <w:rFonts w:ascii="Arial" w:hAnsi="Arial" w:cs="Arial"/>
          <w:sz w:val="20"/>
          <w:szCs w:val="20"/>
        </w:rPr>
        <w:t xml:space="preserve">. </w:t>
      </w:r>
      <w:r w:rsidR="003479BD">
        <w:rPr>
          <w:rFonts w:ascii="Arial" w:hAnsi="Arial" w:cs="Arial"/>
          <w:sz w:val="20"/>
          <w:szCs w:val="20"/>
        </w:rPr>
        <w:t xml:space="preserve">It shows how the negotiators are placed in a new situation </w:t>
      </w:r>
      <w:r w:rsidRPr="00C23944">
        <w:rPr>
          <w:rFonts w:ascii="Arial" w:hAnsi="Arial" w:cs="Arial"/>
          <w:sz w:val="20"/>
          <w:szCs w:val="20"/>
        </w:rPr>
        <w:t xml:space="preserve">in which they have to </w:t>
      </w:r>
      <w:r w:rsidR="008B1A6D">
        <w:rPr>
          <w:rFonts w:ascii="Arial" w:hAnsi="Arial" w:cs="Arial"/>
          <w:sz w:val="20"/>
          <w:szCs w:val="20"/>
        </w:rPr>
        <w:t>spend more ti</w:t>
      </w:r>
      <w:r w:rsidR="0084022D">
        <w:rPr>
          <w:rFonts w:ascii="Arial" w:hAnsi="Arial" w:cs="Arial"/>
          <w:sz w:val="20"/>
          <w:szCs w:val="20"/>
        </w:rPr>
        <w:t xml:space="preserve">me with the EP domestically, and in which their ability to pursue their own interests </w:t>
      </w:r>
      <w:r w:rsidR="00E313E9">
        <w:rPr>
          <w:rFonts w:ascii="Arial" w:hAnsi="Arial" w:cs="Arial"/>
          <w:sz w:val="20"/>
          <w:szCs w:val="20"/>
        </w:rPr>
        <w:t>vis-à-vis India</w:t>
      </w:r>
      <w:r w:rsidR="0084022D">
        <w:rPr>
          <w:rFonts w:ascii="Arial" w:hAnsi="Arial" w:cs="Arial"/>
          <w:sz w:val="20"/>
          <w:szCs w:val="20"/>
        </w:rPr>
        <w:t xml:space="preserve"> </w:t>
      </w:r>
      <w:r w:rsidRPr="00C23944">
        <w:rPr>
          <w:rFonts w:ascii="Arial" w:hAnsi="Arial" w:cs="Arial"/>
          <w:sz w:val="20"/>
          <w:szCs w:val="20"/>
        </w:rPr>
        <w:t>is reduced</w:t>
      </w:r>
      <w:r w:rsidR="0084022D">
        <w:rPr>
          <w:rFonts w:ascii="Arial" w:hAnsi="Arial" w:cs="Arial"/>
          <w:sz w:val="20"/>
          <w:szCs w:val="20"/>
        </w:rPr>
        <w:t xml:space="preserve">. </w:t>
      </w:r>
    </w:p>
    <w:p w14:paraId="0F2F39AB" w14:textId="77777777" w:rsidR="007E1BD6" w:rsidRDefault="007E1BD6" w:rsidP="00C23944">
      <w:pPr>
        <w:spacing w:line="480" w:lineRule="auto"/>
        <w:jc w:val="both"/>
        <w:rPr>
          <w:rFonts w:ascii="Arial" w:hAnsi="Arial" w:cs="Arial"/>
          <w:sz w:val="20"/>
          <w:szCs w:val="20"/>
        </w:rPr>
      </w:pPr>
    </w:p>
    <w:p w14:paraId="74EF704C" w14:textId="09A28BFE" w:rsidR="001912AB" w:rsidRPr="006B69E4" w:rsidRDefault="001912AB" w:rsidP="00C23944">
      <w:pPr>
        <w:spacing w:line="480" w:lineRule="auto"/>
        <w:jc w:val="both"/>
        <w:rPr>
          <w:rFonts w:ascii="Arial" w:hAnsi="Arial" w:cs="Arial"/>
          <w:b/>
          <w:i/>
          <w:sz w:val="20"/>
          <w:szCs w:val="20"/>
        </w:rPr>
      </w:pPr>
      <w:r w:rsidRPr="006B69E4">
        <w:rPr>
          <w:rFonts w:ascii="Arial" w:hAnsi="Arial" w:cs="Arial"/>
          <w:b/>
          <w:i/>
          <w:sz w:val="20"/>
          <w:szCs w:val="20"/>
        </w:rPr>
        <w:t>4.1. Level II Negotiations</w:t>
      </w:r>
    </w:p>
    <w:p w14:paraId="51FBD728" w14:textId="77777777" w:rsidR="00365D95" w:rsidRDefault="00365D95" w:rsidP="00C23944">
      <w:pPr>
        <w:spacing w:line="480" w:lineRule="auto"/>
        <w:jc w:val="both"/>
        <w:rPr>
          <w:rFonts w:ascii="Arial" w:hAnsi="Arial" w:cs="Arial"/>
          <w:sz w:val="20"/>
          <w:szCs w:val="20"/>
        </w:rPr>
      </w:pPr>
    </w:p>
    <w:p w14:paraId="0AC829D5" w14:textId="7F674E79" w:rsidR="00B2322C" w:rsidRDefault="003C5FDA" w:rsidP="00C23944">
      <w:pPr>
        <w:spacing w:line="480" w:lineRule="auto"/>
        <w:jc w:val="both"/>
        <w:rPr>
          <w:rFonts w:ascii="Arial" w:hAnsi="Arial" w:cs="Arial"/>
          <w:sz w:val="20"/>
          <w:szCs w:val="20"/>
        </w:rPr>
      </w:pPr>
      <w:r>
        <w:rPr>
          <w:rFonts w:ascii="Arial" w:hAnsi="Arial" w:cs="Arial"/>
          <w:sz w:val="20"/>
          <w:szCs w:val="20"/>
        </w:rPr>
        <w:t xml:space="preserve">4.1.1. The </w:t>
      </w:r>
      <w:r w:rsidR="00365D95">
        <w:rPr>
          <w:rFonts w:ascii="Arial" w:hAnsi="Arial" w:cs="Arial"/>
          <w:sz w:val="20"/>
          <w:szCs w:val="20"/>
        </w:rPr>
        <w:t>Council of the EU</w:t>
      </w:r>
    </w:p>
    <w:p w14:paraId="718DAD50" w14:textId="324B2271" w:rsidR="001912AB" w:rsidRDefault="003479BD" w:rsidP="00EA05E9">
      <w:pPr>
        <w:spacing w:line="480" w:lineRule="auto"/>
        <w:jc w:val="both"/>
        <w:rPr>
          <w:rFonts w:ascii="Arial" w:hAnsi="Arial" w:cs="Arial"/>
          <w:sz w:val="20"/>
          <w:szCs w:val="20"/>
        </w:rPr>
      </w:pPr>
      <w:r>
        <w:rPr>
          <w:rFonts w:ascii="Arial" w:hAnsi="Arial" w:cs="Arial"/>
          <w:sz w:val="20"/>
          <w:szCs w:val="20"/>
        </w:rPr>
        <w:t xml:space="preserve">The </w:t>
      </w:r>
      <w:r w:rsidR="00422730">
        <w:rPr>
          <w:rFonts w:ascii="Arial" w:hAnsi="Arial" w:cs="Arial"/>
          <w:sz w:val="20"/>
          <w:szCs w:val="20"/>
        </w:rPr>
        <w:t>dynamics of the de</w:t>
      </w:r>
      <w:r>
        <w:rPr>
          <w:rFonts w:ascii="Arial" w:hAnsi="Arial" w:cs="Arial"/>
          <w:sz w:val="20"/>
          <w:szCs w:val="20"/>
        </w:rPr>
        <w:t>eply institutional relationship between the EU negotiators and the Member States in the Cou</w:t>
      </w:r>
      <w:r w:rsidR="00422730">
        <w:rPr>
          <w:rFonts w:ascii="Arial" w:hAnsi="Arial" w:cs="Arial"/>
          <w:sz w:val="20"/>
          <w:szCs w:val="20"/>
        </w:rPr>
        <w:t xml:space="preserve">ncil have not changed with the increased powers of the EP. </w:t>
      </w:r>
      <w:r w:rsidR="00310EEE" w:rsidRPr="005D3BE0">
        <w:rPr>
          <w:rFonts w:ascii="Arial" w:hAnsi="Arial" w:cs="Arial"/>
          <w:sz w:val="20"/>
          <w:szCs w:val="20"/>
        </w:rPr>
        <w:t>According to Article</w:t>
      </w:r>
      <w:r w:rsidR="00E11184">
        <w:rPr>
          <w:rFonts w:ascii="Arial" w:hAnsi="Arial" w:cs="Arial"/>
          <w:sz w:val="20"/>
          <w:szCs w:val="20"/>
        </w:rPr>
        <w:t>s</w:t>
      </w:r>
      <w:r w:rsidR="00310EEE" w:rsidRPr="005D3BE0">
        <w:rPr>
          <w:rFonts w:ascii="Arial" w:hAnsi="Arial" w:cs="Arial"/>
          <w:sz w:val="20"/>
          <w:szCs w:val="20"/>
        </w:rPr>
        <w:t xml:space="preserve"> 207</w:t>
      </w:r>
      <w:r w:rsidR="00E11184">
        <w:rPr>
          <w:rFonts w:ascii="Arial" w:hAnsi="Arial" w:cs="Arial"/>
          <w:sz w:val="20"/>
          <w:szCs w:val="20"/>
        </w:rPr>
        <w:t xml:space="preserve"> and 2018</w:t>
      </w:r>
      <w:r w:rsidR="00310EEE" w:rsidRPr="005D3BE0">
        <w:rPr>
          <w:rFonts w:ascii="Arial" w:hAnsi="Arial" w:cs="Arial"/>
          <w:sz w:val="20"/>
          <w:szCs w:val="20"/>
        </w:rPr>
        <w:t xml:space="preserve"> of the TFEU i</w:t>
      </w:r>
      <w:r w:rsidR="00DB60E5" w:rsidRPr="005D3BE0">
        <w:rPr>
          <w:rFonts w:ascii="Arial" w:hAnsi="Arial" w:cs="Arial"/>
          <w:sz w:val="20"/>
          <w:szCs w:val="20"/>
        </w:rPr>
        <w:t>t is still the Council that authorises the negotiations to start</w:t>
      </w:r>
      <w:r w:rsidR="00E11184">
        <w:rPr>
          <w:rFonts w:ascii="Arial" w:hAnsi="Arial" w:cs="Arial"/>
          <w:sz w:val="20"/>
          <w:szCs w:val="20"/>
        </w:rPr>
        <w:t xml:space="preserve"> by providing the negotiators with a mandate</w:t>
      </w:r>
      <w:r w:rsidR="005D3BE0" w:rsidRPr="005D3BE0">
        <w:rPr>
          <w:rFonts w:ascii="Arial" w:hAnsi="Arial" w:cs="Arial"/>
          <w:sz w:val="20"/>
          <w:szCs w:val="20"/>
        </w:rPr>
        <w:t xml:space="preserve">. </w:t>
      </w:r>
      <w:r w:rsidR="00310EEE" w:rsidRPr="005D3BE0">
        <w:rPr>
          <w:rFonts w:ascii="Arial" w:hAnsi="Arial" w:cs="Arial"/>
          <w:sz w:val="20"/>
          <w:szCs w:val="20"/>
        </w:rPr>
        <w:t>The negotiators then ‘</w:t>
      </w:r>
      <w:r w:rsidR="00DB60E5" w:rsidRPr="005D3BE0">
        <w:rPr>
          <w:rFonts w:ascii="Arial" w:hAnsi="Arial" w:cs="Arial"/>
          <w:sz w:val="20"/>
          <w:szCs w:val="20"/>
        </w:rPr>
        <w:t>conduct these negotiations in consultation with a special committee</w:t>
      </w:r>
      <w:r w:rsidR="00310EEE" w:rsidRPr="005D3BE0">
        <w:rPr>
          <w:rFonts w:ascii="Arial" w:hAnsi="Arial" w:cs="Arial"/>
          <w:sz w:val="20"/>
          <w:szCs w:val="20"/>
        </w:rPr>
        <w:t>’, i.e. the Trade Policy Committee (TPC)</w:t>
      </w:r>
      <w:r w:rsidR="005D3BE0" w:rsidRPr="005D3BE0">
        <w:rPr>
          <w:rFonts w:ascii="Arial" w:hAnsi="Arial" w:cs="Arial"/>
          <w:sz w:val="20"/>
          <w:szCs w:val="20"/>
        </w:rPr>
        <w:t>, which shall ‘</w:t>
      </w:r>
      <w:r w:rsidR="00DB60E5" w:rsidRPr="005D3BE0">
        <w:rPr>
          <w:rFonts w:ascii="Arial" w:hAnsi="Arial" w:cs="Arial"/>
          <w:sz w:val="20"/>
          <w:szCs w:val="20"/>
        </w:rPr>
        <w:t>assist</w:t>
      </w:r>
      <w:r w:rsidR="00BA7431">
        <w:rPr>
          <w:rFonts w:ascii="Arial" w:hAnsi="Arial" w:cs="Arial"/>
          <w:sz w:val="20"/>
          <w:szCs w:val="20"/>
        </w:rPr>
        <w:t>’ the negotiators. A</w:t>
      </w:r>
      <w:r w:rsidR="005D3BE0" w:rsidRPr="00E11184">
        <w:rPr>
          <w:rFonts w:ascii="Arial" w:hAnsi="Arial" w:cs="Arial"/>
          <w:sz w:val="20"/>
          <w:szCs w:val="20"/>
        </w:rPr>
        <w:t xml:space="preserve">nd in the end the </w:t>
      </w:r>
      <w:r w:rsidR="00E11184" w:rsidRPr="00E11184">
        <w:rPr>
          <w:rFonts w:ascii="Arial" w:hAnsi="Arial" w:cs="Arial"/>
          <w:sz w:val="20"/>
          <w:szCs w:val="20"/>
        </w:rPr>
        <w:t>Cou</w:t>
      </w:r>
      <w:r w:rsidR="00E11184">
        <w:rPr>
          <w:rFonts w:ascii="Arial" w:hAnsi="Arial" w:cs="Arial"/>
          <w:sz w:val="20"/>
          <w:szCs w:val="20"/>
        </w:rPr>
        <w:t>ncil</w:t>
      </w:r>
      <w:r w:rsidR="00E11184" w:rsidRPr="00E11184">
        <w:rPr>
          <w:rFonts w:ascii="Arial" w:hAnsi="Arial" w:cs="Arial"/>
          <w:sz w:val="20"/>
          <w:szCs w:val="20"/>
        </w:rPr>
        <w:t xml:space="preserve"> authorises the signing of the international agreement and </w:t>
      </w:r>
      <w:r w:rsidR="00E11184">
        <w:rPr>
          <w:rFonts w:ascii="Arial" w:hAnsi="Arial" w:cs="Arial"/>
          <w:sz w:val="20"/>
          <w:szCs w:val="20"/>
        </w:rPr>
        <w:t xml:space="preserve">ratifies it. </w:t>
      </w:r>
      <w:r w:rsidR="001912AB" w:rsidRPr="00C23944">
        <w:rPr>
          <w:rFonts w:ascii="Arial" w:hAnsi="Arial" w:cs="Arial"/>
          <w:sz w:val="20"/>
          <w:szCs w:val="20"/>
        </w:rPr>
        <w:t>The dynamics of the negotiations wit</w:t>
      </w:r>
      <w:r w:rsidR="001912AB">
        <w:rPr>
          <w:rFonts w:ascii="Arial" w:hAnsi="Arial" w:cs="Arial"/>
          <w:sz w:val="20"/>
          <w:szCs w:val="20"/>
        </w:rPr>
        <w:t>hin the Council are often analyz</w:t>
      </w:r>
      <w:r w:rsidR="001912AB" w:rsidRPr="00C23944">
        <w:rPr>
          <w:rFonts w:ascii="Arial" w:hAnsi="Arial" w:cs="Arial"/>
          <w:sz w:val="20"/>
          <w:szCs w:val="20"/>
        </w:rPr>
        <w:t>ed along the</w:t>
      </w:r>
      <w:r w:rsidR="00E11184">
        <w:rPr>
          <w:rFonts w:ascii="Arial" w:hAnsi="Arial" w:cs="Arial"/>
          <w:sz w:val="20"/>
          <w:szCs w:val="20"/>
        </w:rPr>
        <w:t xml:space="preserve">se three stages of the mandate, </w:t>
      </w:r>
      <w:r w:rsidR="001912AB" w:rsidRPr="00C23944">
        <w:rPr>
          <w:rFonts w:ascii="Arial" w:hAnsi="Arial" w:cs="Arial"/>
          <w:sz w:val="20"/>
          <w:szCs w:val="20"/>
        </w:rPr>
        <w:t>the discussions in the T</w:t>
      </w:r>
      <w:r w:rsidR="00E11184">
        <w:rPr>
          <w:rFonts w:ascii="Arial" w:hAnsi="Arial" w:cs="Arial"/>
          <w:sz w:val="20"/>
          <w:szCs w:val="20"/>
        </w:rPr>
        <w:t>PC</w:t>
      </w:r>
      <w:r w:rsidR="001912AB" w:rsidRPr="00C23944">
        <w:rPr>
          <w:rFonts w:ascii="Arial" w:hAnsi="Arial" w:cs="Arial"/>
          <w:sz w:val="20"/>
          <w:szCs w:val="20"/>
        </w:rPr>
        <w:t>, and th</w:t>
      </w:r>
      <w:r w:rsidR="00EA05E9">
        <w:rPr>
          <w:rFonts w:ascii="Arial" w:hAnsi="Arial" w:cs="Arial"/>
          <w:sz w:val="20"/>
          <w:szCs w:val="20"/>
        </w:rPr>
        <w:t xml:space="preserve">e ratification, </w:t>
      </w:r>
      <w:r w:rsidR="004E0111">
        <w:rPr>
          <w:rFonts w:ascii="Arial" w:hAnsi="Arial" w:cs="Arial"/>
          <w:sz w:val="20"/>
          <w:szCs w:val="20"/>
        </w:rPr>
        <w:t xml:space="preserve">focussing on </w:t>
      </w:r>
      <w:r w:rsidR="00EA05E9">
        <w:rPr>
          <w:rFonts w:ascii="Arial" w:hAnsi="Arial" w:cs="Arial"/>
          <w:sz w:val="20"/>
          <w:szCs w:val="20"/>
        </w:rPr>
        <w:t>the balance between Commission negotiating autonomy and Member State control (e.g. Delreux 2008; Dür and Elsig 2011).</w:t>
      </w:r>
      <w:r w:rsidR="001912AB" w:rsidRPr="00C23944">
        <w:rPr>
          <w:rFonts w:ascii="Arial" w:hAnsi="Arial" w:cs="Arial"/>
          <w:sz w:val="20"/>
          <w:szCs w:val="20"/>
        </w:rPr>
        <w:t xml:space="preserve"> </w:t>
      </w:r>
    </w:p>
    <w:p w14:paraId="5BB261F4" w14:textId="77777777" w:rsidR="00EA05E9" w:rsidRPr="00C23944" w:rsidRDefault="00EA05E9" w:rsidP="00EA05E9">
      <w:pPr>
        <w:spacing w:line="480" w:lineRule="auto"/>
        <w:jc w:val="both"/>
        <w:rPr>
          <w:rFonts w:ascii="Arial" w:hAnsi="Arial" w:cs="Arial"/>
          <w:sz w:val="20"/>
          <w:szCs w:val="20"/>
        </w:rPr>
      </w:pPr>
    </w:p>
    <w:p w14:paraId="19F0DA2B" w14:textId="38BA7619" w:rsidR="001912AB" w:rsidRPr="00C23944" w:rsidRDefault="001912AB" w:rsidP="00C23944">
      <w:pPr>
        <w:spacing w:line="480" w:lineRule="auto"/>
        <w:jc w:val="both"/>
        <w:rPr>
          <w:rFonts w:ascii="Arial" w:hAnsi="Arial" w:cs="Arial"/>
          <w:sz w:val="20"/>
          <w:szCs w:val="20"/>
        </w:rPr>
      </w:pPr>
      <w:r w:rsidRPr="00C23944">
        <w:rPr>
          <w:rFonts w:ascii="Arial" w:hAnsi="Arial" w:cs="Arial"/>
          <w:sz w:val="20"/>
          <w:szCs w:val="20"/>
        </w:rPr>
        <w:t>For the mandate in the BTIA negotiations, the negotiators prepared the proposal based on the HLTG report, and presented it to the Council in December 2006. It recommended a comprehensive FTA aimed at improving market access for goods and services and covering ‘substantially all trade’ (European Commission 2006b). The mandate thus reflected the offensive preferences of the Member States, but it was very broad in nature and left any specific details and political aspects out of the proposal. The negotiators thus reduced the scope for any potential protectionist reservations at this stage (Interview, Commission official, 7/3/2013). Furthermore, at the same time as asking the Member States to adopt this mandate proposal, the negotiators also asked them to adopt the mandates for FTA negotiations with ASEAN and South Korea (European Commission 2006b). This way the negotiators promoted a comprehensive approach, and the discussions in the Council focused on broad questions rather than details for the individual trading partners. Therefore, there was little reason for the Member States to object, and the negotiators could enter the Level I negotiations with India with a relatively broad mandate.</w:t>
      </w:r>
    </w:p>
    <w:p w14:paraId="1EDEC9BB" w14:textId="242844A0" w:rsidR="001912AB" w:rsidRPr="00C23944" w:rsidRDefault="001912AB" w:rsidP="00C23944">
      <w:pPr>
        <w:spacing w:line="480" w:lineRule="auto"/>
        <w:jc w:val="both"/>
        <w:rPr>
          <w:rFonts w:ascii="Arial" w:hAnsi="Arial" w:cs="Arial"/>
          <w:sz w:val="20"/>
          <w:szCs w:val="20"/>
        </w:rPr>
      </w:pPr>
    </w:p>
    <w:p w14:paraId="2A3670C5" w14:textId="47E9ABEF" w:rsidR="00EA05E9" w:rsidRPr="00C23944" w:rsidRDefault="001912AB" w:rsidP="00EA05E9">
      <w:pPr>
        <w:spacing w:line="480" w:lineRule="auto"/>
        <w:jc w:val="both"/>
        <w:rPr>
          <w:rFonts w:ascii="Arial" w:hAnsi="Arial" w:cs="Arial"/>
          <w:sz w:val="20"/>
          <w:szCs w:val="20"/>
        </w:rPr>
      </w:pPr>
      <w:r w:rsidRPr="00C23944">
        <w:rPr>
          <w:rFonts w:ascii="Arial" w:hAnsi="Arial" w:cs="Arial"/>
          <w:sz w:val="20"/>
          <w:szCs w:val="20"/>
        </w:rPr>
        <w:t>The subsequent TPC negotiations</w:t>
      </w:r>
      <w:r w:rsidR="00EA05E9">
        <w:rPr>
          <w:rFonts w:ascii="Arial" w:hAnsi="Arial" w:cs="Arial"/>
          <w:sz w:val="20"/>
          <w:szCs w:val="20"/>
        </w:rPr>
        <w:t xml:space="preserve"> reflect t</w:t>
      </w:r>
      <w:r w:rsidR="00EA05E9" w:rsidRPr="00C23944">
        <w:rPr>
          <w:rFonts w:ascii="Arial" w:hAnsi="Arial" w:cs="Arial"/>
          <w:sz w:val="20"/>
          <w:szCs w:val="20"/>
        </w:rPr>
        <w:t xml:space="preserve">he strong institutional relationship and well-established working procedures that have developed between the Commission negotiators and the Member States over time. </w:t>
      </w:r>
      <w:r w:rsidR="00EA05E9">
        <w:rPr>
          <w:rFonts w:ascii="Arial" w:hAnsi="Arial" w:cs="Arial"/>
          <w:sz w:val="20"/>
          <w:szCs w:val="20"/>
        </w:rPr>
        <w:t xml:space="preserve">The TPC brings together the negotiators and technical experts from the Member States on a weekly basis </w:t>
      </w:r>
      <w:r w:rsidR="00EA05E9" w:rsidRPr="00C23944">
        <w:rPr>
          <w:rFonts w:ascii="Arial" w:hAnsi="Arial" w:cs="Arial"/>
          <w:sz w:val="20"/>
          <w:szCs w:val="20"/>
        </w:rPr>
        <w:t>to allow the Member States to review progress and to push their interests and raise objections, thus setting the terms of reference for the negotiators at Level I</w:t>
      </w:r>
      <w:r w:rsidR="00EA05E9">
        <w:rPr>
          <w:rFonts w:ascii="Arial" w:hAnsi="Arial" w:cs="Arial"/>
          <w:sz w:val="20"/>
          <w:szCs w:val="20"/>
        </w:rPr>
        <w:t>.</w:t>
      </w:r>
      <w:r w:rsidR="00C7155B">
        <w:rPr>
          <w:rFonts w:ascii="Arial" w:hAnsi="Arial" w:cs="Arial"/>
          <w:sz w:val="20"/>
          <w:szCs w:val="20"/>
        </w:rPr>
        <w:t xml:space="preserve"> </w:t>
      </w:r>
      <w:r w:rsidR="00C37573">
        <w:rPr>
          <w:rFonts w:ascii="Arial" w:hAnsi="Arial" w:cs="Arial"/>
          <w:sz w:val="20"/>
          <w:szCs w:val="20"/>
        </w:rPr>
        <w:t xml:space="preserve">During the first few years of the BTIA negotiations, they were discussed frequently in the TPC. Yet, given the strong </w:t>
      </w:r>
      <w:r w:rsidR="00CC2B78">
        <w:rPr>
          <w:rFonts w:ascii="Arial" w:hAnsi="Arial" w:cs="Arial"/>
          <w:sz w:val="20"/>
          <w:szCs w:val="20"/>
        </w:rPr>
        <w:t xml:space="preserve">convergence in market access preferences and </w:t>
      </w:r>
      <w:r w:rsidR="00CC2B78" w:rsidRPr="00C23944">
        <w:rPr>
          <w:rFonts w:ascii="Arial" w:hAnsi="Arial" w:cs="Arial"/>
          <w:sz w:val="20"/>
          <w:szCs w:val="20"/>
        </w:rPr>
        <w:t>lack of defensive interests, the</w:t>
      </w:r>
      <w:r w:rsidR="0083114A">
        <w:rPr>
          <w:rFonts w:ascii="Arial" w:hAnsi="Arial" w:cs="Arial"/>
          <w:sz w:val="20"/>
          <w:szCs w:val="20"/>
        </w:rPr>
        <w:t xml:space="preserve">se </w:t>
      </w:r>
      <w:r w:rsidR="00CC2B78" w:rsidRPr="00C23944">
        <w:rPr>
          <w:rFonts w:ascii="Arial" w:hAnsi="Arial" w:cs="Arial"/>
          <w:sz w:val="20"/>
          <w:szCs w:val="20"/>
        </w:rPr>
        <w:t xml:space="preserve">negotiations have </w:t>
      </w:r>
      <w:r w:rsidR="00CC2B78">
        <w:rPr>
          <w:rFonts w:ascii="Arial" w:hAnsi="Arial" w:cs="Arial"/>
          <w:sz w:val="20"/>
          <w:szCs w:val="20"/>
        </w:rPr>
        <w:t xml:space="preserve">proceeded smoothly and </w:t>
      </w:r>
      <w:r w:rsidR="00CC2B78" w:rsidRPr="00C23944">
        <w:rPr>
          <w:rFonts w:ascii="Arial" w:hAnsi="Arial" w:cs="Arial"/>
          <w:sz w:val="20"/>
          <w:szCs w:val="20"/>
        </w:rPr>
        <w:t>caused few difficulties for the negoti</w:t>
      </w:r>
      <w:r w:rsidR="00CC2B78">
        <w:rPr>
          <w:rFonts w:ascii="Arial" w:hAnsi="Arial" w:cs="Arial"/>
          <w:sz w:val="20"/>
          <w:szCs w:val="20"/>
        </w:rPr>
        <w:t>ators</w:t>
      </w:r>
      <w:r w:rsidR="00CC2B78" w:rsidRPr="00C23944">
        <w:rPr>
          <w:rFonts w:ascii="Arial" w:hAnsi="Arial" w:cs="Arial"/>
          <w:sz w:val="20"/>
          <w:szCs w:val="20"/>
        </w:rPr>
        <w:t xml:space="preserve">, </w:t>
      </w:r>
      <w:r w:rsidR="00CC2B78">
        <w:rPr>
          <w:rFonts w:ascii="Arial" w:hAnsi="Arial" w:cs="Arial"/>
          <w:sz w:val="20"/>
          <w:szCs w:val="20"/>
        </w:rPr>
        <w:t>making t</w:t>
      </w:r>
      <w:r w:rsidR="00CC2B78" w:rsidRPr="00C23944">
        <w:rPr>
          <w:rFonts w:ascii="Arial" w:hAnsi="Arial" w:cs="Arial"/>
          <w:sz w:val="20"/>
          <w:szCs w:val="20"/>
        </w:rPr>
        <w:t xml:space="preserve">he principal-agent based question of whether the </w:t>
      </w:r>
      <w:r w:rsidR="00CC2B78">
        <w:rPr>
          <w:rFonts w:ascii="Arial" w:hAnsi="Arial" w:cs="Arial"/>
          <w:sz w:val="20"/>
          <w:szCs w:val="20"/>
        </w:rPr>
        <w:t xml:space="preserve">autonomy of the negotiators is reduced due to </w:t>
      </w:r>
      <w:r w:rsidR="00CC2B78" w:rsidRPr="00C23944">
        <w:rPr>
          <w:rFonts w:ascii="Arial" w:hAnsi="Arial" w:cs="Arial"/>
          <w:sz w:val="20"/>
          <w:szCs w:val="20"/>
        </w:rPr>
        <w:t xml:space="preserve">Member State control irrelevant. </w:t>
      </w:r>
      <w:r w:rsidR="00CC2B78">
        <w:rPr>
          <w:rFonts w:ascii="Arial" w:hAnsi="Arial" w:cs="Arial"/>
          <w:sz w:val="20"/>
          <w:szCs w:val="20"/>
        </w:rPr>
        <w:t>The TCP meetings</w:t>
      </w:r>
      <w:r w:rsidR="00CC2B78" w:rsidRPr="00C23944">
        <w:rPr>
          <w:rFonts w:ascii="Arial" w:hAnsi="Arial" w:cs="Arial"/>
          <w:sz w:val="20"/>
          <w:szCs w:val="20"/>
        </w:rPr>
        <w:t xml:space="preserve"> </w:t>
      </w:r>
      <w:r w:rsidR="00CC2B78">
        <w:rPr>
          <w:rFonts w:ascii="Arial" w:hAnsi="Arial" w:cs="Arial"/>
          <w:sz w:val="20"/>
          <w:szCs w:val="20"/>
        </w:rPr>
        <w:t xml:space="preserve">consequently </w:t>
      </w:r>
      <w:r w:rsidR="00CC2B78" w:rsidRPr="00C23944">
        <w:rPr>
          <w:rFonts w:ascii="Arial" w:hAnsi="Arial" w:cs="Arial"/>
          <w:sz w:val="20"/>
          <w:szCs w:val="20"/>
        </w:rPr>
        <w:t xml:space="preserve">serve more to update the Member States on progress (or lack thereof) in the negotiations with India, than to debate any diverging interests (Interview, </w:t>
      </w:r>
      <w:r w:rsidR="00CC2B78">
        <w:rPr>
          <w:rFonts w:ascii="Arial" w:hAnsi="Arial" w:cs="Arial"/>
          <w:sz w:val="20"/>
          <w:szCs w:val="20"/>
        </w:rPr>
        <w:t xml:space="preserve">Commission official, </w:t>
      </w:r>
      <w:r w:rsidR="00CC2B78" w:rsidRPr="00C23944">
        <w:rPr>
          <w:rFonts w:ascii="Arial" w:hAnsi="Arial" w:cs="Arial"/>
          <w:sz w:val="20"/>
          <w:szCs w:val="20"/>
        </w:rPr>
        <w:t xml:space="preserve">7/3/2013). </w:t>
      </w:r>
      <w:r w:rsidR="00CC2B78">
        <w:rPr>
          <w:rFonts w:ascii="Arial" w:hAnsi="Arial" w:cs="Arial"/>
          <w:sz w:val="20"/>
          <w:szCs w:val="20"/>
        </w:rPr>
        <w:t xml:space="preserve">This has lead to a </w:t>
      </w:r>
      <w:r w:rsidR="00C7155B">
        <w:rPr>
          <w:rFonts w:ascii="Arial" w:hAnsi="Arial" w:cs="Arial"/>
          <w:sz w:val="20"/>
          <w:szCs w:val="20"/>
        </w:rPr>
        <w:t xml:space="preserve">significantly different dynamic from </w:t>
      </w:r>
      <w:r w:rsidR="00CC2B78">
        <w:rPr>
          <w:rFonts w:ascii="Arial" w:hAnsi="Arial" w:cs="Arial"/>
          <w:sz w:val="20"/>
          <w:szCs w:val="20"/>
        </w:rPr>
        <w:t>those negotiations in which the</w:t>
      </w:r>
      <w:r w:rsidR="004E0111">
        <w:rPr>
          <w:rFonts w:ascii="Arial" w:hAnsi="Arial" w:cs="Arial"/>
          <w:sz w:val="20"/>
          <w:szCs w:val="20"/>
        </w:rPr>
        <w:t xml:space="preserve">re are strong divergence in preferences, </w:t>
      </w:r>
      <w:r w:rsidR="0083114A">
        <w:rPr>
          <w:rFonts w:ascii="Arial" w:hAnsi="Arial" w:cs="Arial"/>
          <w:sz w:val="20"/>
          <w:szCs w:val="20"/>
        </w:rPr>
        <w:t xml:space="preserve">and </w:t>
      </w:r>
      <w:r w:rsidR="004E0111">
        <w:rPr>
          <w:rFonts w:ascii="Arial" w:hAnsi="Arial" w:cs="Arial"/>
          <w:sz w:val="20"/>
          <w:szCs w:val="20"/>
        </w:rPr>
        <w:t xml:space="preserve">where the </w:t>
      </w:r>
      <w:r w:rsidR="00CC2B78">
        <w:rPr>
          <w:rFonts w:ascii="Arial" w:hAnsi="Arial" w:cs="Arial"/>
          <w:sz w:val="20"/>
          <w:szCs w:val="20"/>
        </w:rPr>
        <w:t xml:space="preserve">negotiators have to </w:t>
      </w:r>
      <w:r w:rsidR="004E0111">
        <w:rPr>
          <w:rFonts w:ascii="Arial" w:hAnsi="Arial" w:cs="Arial"/>
          <w:sz w:val="20"/>
          <w:szCs w:val="20"/>
        </w:rPr>
        <w:t xml:space="preserve">work </w:t>
      </w:r>
      <w:r w:rsidR="00C7155B">
        <w:rPr>
          <w:rFonts w:ascii="Arial" w:hAnsi="Arial" w:cs="Arial"/>
          <w:sz w:val="20"/>
          <w:szCs w:val="20"/>
        </w:rPr>
        <w:t xml:space="preserve">hard to </w:t>
      </w:r>
      <w:r w:rsidR="00CC2B78">
        <w:rPr>
          <w:rFonts w:ascii="Arial" w:hAnsi="Arial" w:cs="Arial"/>
          <w:sz w:val="20"/>
          <w:szCs w:val="20"/>
        </w:rPr>
        <w:t xml:space="preserve">find compromises and </w:t>
      </w:r>
      <w:r w:rsidR="004E0111">
        <w:rPr>
          <w:rFonts w:ascii="Arial" w:hAnsi="Arial" w:cs="Arial"/>
          <w:sz w:val="20"/>
          <w:szCs w:val="20"/>
        </w:rPr>
        <w:t xml:space="preserve">to </w:t>
      </w:r>
      <w:r w:rsidR="00C7155B">
        <w:rPr>
          <w:rFonts w:ascii="Arial" w:hAnsi="Arial" w:cs="Arial"/>
          <w:sz w:val="20"/>
          <w:szCs w:val="20"/>
        </w:rPr>
        <w:t xml:space="preserve">get the Member States to agree to a joint position. </w:t>
      </w:r>
    </w:p>
    <w:p w14:paraId="5657B905" w14:textId="7E61C68F" w:rsidR="00BA7431" w:rsidRDefault="001912AB" w:rsidP="00C7155B">
      <w:pPr>
        <w:spacing w:line="480" w:lineRule="auto"/>
        <w:jc w:val="both"/>
        <w:rPr>
          <w:rFonts w:ascii="Arial" w:hAnsi="Arial" w:cs="Arial"/>
          <w:sz w:val="20"/>
          <w:szCs w:val="20"/>
        </w:rPr>
      </w:pPr>
      <w:r w:rsidRPr="00C23944">
        <w:rPr>
          <w:rFonts w:ascii="Arial" w:hAnsi="Arial" w:cs="Arial"/>
          <w:sz w:val="20"/>
          <w:szCs w:val="20"/>
        </w:rPr>
        <w:t xml:space="preserve"> </w:t>
      </w:r>
    </w:p>
    <w:p w14:paraId="51E3DD09" w14:textId="5C2FF4AE" w:rsidR="001912AB" w:rsidRPr="00C23944" w:rsidRDefault="004E0111" w:rsidP="00C23944">
      <w:pPr>
        <w:spacing w:line="480" w:lineRule="auto"/>
        <w:jc w:val="both"/>
        <w:rPr>
          <w:rFonts w:ascii="Arial" w:hAnsi="Arial" w:cs="Arial"/>
          <w:sz w:val="20"/>
          <w:szCs w:val="20"/>
        </w:rPr>
      </w:pPr>
      <w:r>
        <w:rPr>
          <w:rFonts w:ascii="Arial" w:hAnsi="Arial" w:cs="Arial"/>
          <w:sz w:val="20"/>
          <w:szCs w:val="20"/>
        </w:rPr>
        <w:t>E</w:t>
      </w:r>
      <w:r w:rsidR="001912AB" w:rsidRPr="00C23944">
        <w:rPr>
          <w:rFonts w:ascii="Arial" w:hAnsi="Arial" w:cs="Arial"/>
          <w:sz w:val="20"/>
          <w:szCs w:val="20"/>
        </w:rPr>
        <w:t>ven if th</w:t>
      </w:r>
      <w:r w:rsidR="00BA7431">
        <w:rPr>
          <w:rFonts w:ascii="Arial" w:hAnsi="Arial" w:cs="Arial"/>
          <w:sz w:val="20"/>
          <w:szCs w:val="20"/>
        </w:rPr>
        <w:t>e ratification process</w:t>
      </w:r>
      <w:r w:rsidR="001912AB" w:rsidRPr="00C23944">
        <w:rPr>
          <w:rFonts w:ascii="Arial" w:hAnsi="Arial" w:cs="Arial"/>
          <w:sz w:val="20"/>
          <w:szCs w:val="20"/>
        </w:rPr>
        <w:t xml:space="preserve"> </w:t>
      </w:r>
      <w:r w:rsidR="00326FD8">
        <w:rPr>
          <w:rFonts w:ascii="Arial" w:hAnsi="Arial" w:cs="Arial"/>
          <w:sz w:val="20"/>
          <w:szCs w:val="20"/>
        </w:rPr>
        <w:t>is</w:t>
      </w:r>
      <w:r w:rsidR="001912AB" w:rsidRPr="00C23944">
        <w:rPr>
          <w:rFonts w:ascii="Arial" w:hAnsi="Arial" w:cs="Arial"/>
          <w:sz w:val="20"/>
          <w:szCs w:val="20"/>
        </w:rPr>
        <w:t xml:space="preserve"> far away given the lack of win-set overlap, it is clear that the delay in </w:t>
      </w:r>
      <w:r w:rsidR="00BA7431">
        <w:rPr>
          <w:rFonts w:ascii="Arial" w:hAnsi="Arial" w:cs="Arial"/>
          <w:sz w:val="20"/>
          <w:szCs w:val="20"/>
        </w:rPr>
        <w:t xml:space="preserve">the </w:t>
      </w:r>
      <w:r>
        <w:rPr>
          <w:rFonts w:ascii="Arial" w:hAnsi="Arial" w:cs="Arial"/>
          <w:sz w:val="20"/>
          <w:szCs w:val="20"/>
        </w:rPr>
        <w:t>negotiations</w:t>
      </w:r>
      <w:r w:rsidR="001912AB" w:rsidRPr="00C23944">
        <w:rPr>
          <w:rFonts w:ascii="Arial" w:hAnsi="Arial" w:cs="Arial"/>
          <w:sz w:val="20"/>
          <w:szCs w:val="20"/>
        </w:rPr>
        <w:t xml:space="preserve"> </w:t>
      </w:r>
      <w:r w:rsidR="001912AB">
        <w:rPr>
          <w:rFonts w:ascii="Arial" w:hAnsi="Arial" w:cs="Arial"/>
          <w:sz w:val="20"/>
          <w:szCs w:val="20"/>
        </w:rPr>
        <w:t xml:space="preserve">is not due – as in many other negotiations – to any </w:t>
      </w:r>
      <w:r w:rsidR="001912AB" w:rsidRPr="00C23944">
        <w:rPr>
          <w:rFonts w:ascii="Arial" w:hAnsi="Arial" w:cs="Arial"/>
          <w:sz w:val="20"/>
          <w:szCs w:val="20"/>
        </w:rPr>
        <w:t>difficulties in the Council nego</w:t>
      </w:r>
      <w:r w:rsidR="00326FD8">
        <w:rPr>
          <w:rFonts w:ascii="Arial" w:hAnsi="Arial" w:cs="Arial"/>
          <w:sz w:val="20"/>
          <w:szCs w:val="20"/>
        </w:rPr>
        <w:t xml:space="preserve">tiations at Level II. Even if the Member States </w:t>
      </w:r>
      <w:r w:rsidR="001912AB" w:rsidRPr="00C23944">
        <w:rPr>
          <w:rFonts w:ascii="Arial" w:hAnsi="Arial" w:cs="Arial"/>
          <w:sz w:val="20"/>
          <w:szCs w:val="20"/>
        </w:rPr>
        <w:t>might have to settle for an agreement that is less far reaching than initially hoped, there are no threats of non-ratification</w:t>
      </w:r>
      <w:r w:rsidR="00326FD8">
        <w:rPr>
          <w:rFonts w:ascii="Arial" w:hAnsi="Arial" w:cs="Arial"/>
          <w:sz w:val="20"/>
          <w:szCs w:val="20"/>
        </w:rPr>
        <w:t>.</w:t>
      </w:r>
      <w:r w:rsidR="001912AB" w:rsidRPr="00C23944">
        <w:rPr>
          <w:rFonts w:ascii="Arial" w:hAnsi="Arial" w:cs="Arial"/>
          <w:sz w:val="20"/>
          <w:szCs w:val="20"/>
        </w:rPr>
        <w:t xml:space="preserve"> </w:t>
      </w:r>
    </w:p>
    <w:p w14:paraId="04201A80" w14:textId="77777777" w:rsidR="001912AB" w:rsidRDefault="001912AB" w:rsidP="00C23944">
      <w:pPr>
        <w:spacing w:line="480" w:lineRule="auto"/>
        <w:jc w:val="both"/>
        <w:rPr>
          <w:rFonts w:ascii="Arial" w:hAnsi="Arial" w:cs="Arial"/>
          <w:i/>
          <w:sz w:val="20"/>
          <w:szCs w:val="20"/>
        </w:rPr>
      </w:pPr>
    </w:p>
    <w:p w14:paraId="5D76E799" w14:textId="77777777" w:rsidR="00B65714" w:rsidRPr="00C23944" w:rsidRDefault="00B65714" w:rsidP="00C23944">
      <w:pPr>
        <w:spacing w:line="480" w:lineRule="auto"/>
        <w:jc w:val="both"/>
        <w:rPr>
          <w:rFonts w:ascii="Arial" w:hAnsi="Arial" w:cs="Arial"/>
          <w:i/>
          <w:sz w:val="20"/>
          <w:szCs w:val="20"/>
        </w:rPr>
      </w:pPr>
    </w:p>
    <w:p w14:paraId="5EA5443D" w14:textId="393A70AB" w:rsidR="001912AB" w:rsidRDefault="001912AB" w:rsidP="00C23944">
      <w:pPr>
        <w:spacing w:line="480" w:lineRule="auto"/>
        <w:jc w:val="both"/>
        <w:rPr>
          <w:rFonts w:ascii="Arial" w:hAnsi="Arial" w:cs="Arial"/>
          <w:sz w:val="20"/>
          <w:szCs w:val="20"/>
        </w:rPr>
      </w:pPr>
      <w:r w:rsidRPr="00B00EB8">
        <w:rPr>
          <w:rFonts w:ascii="Arial" w:hAnsi="Arial" w:cs="Arial"/>
          <w:sz w:val="20"/>
          <w:szCs w:val="20"/>
        </w:rPr>
        <w:t xml:space="preserve">4.1.2. </w:t>
      </w:r>
      <w:r w:rsidR="003C5FDA">
        <w:rPr>
          <w:rFonts w:ascii="Arial" w:hAnsi="Arial" w:cs="Arial"/>
          <w:sz w:val="20"/>
          <w:szCs w:val="20"/>
        </w:rPr>
        <w:t xml:space="preserve">The </w:t>
      </w:r>
      <w:r w:rsidRPr="00B00EB8">
        <w:rPr>
          <w:rFonts w:ascii="Arial" w:hAnsi="Arial" w:cs="Arial"/>
          <w:sz w:val="20"/>
          <w:szCs w:val="20"/>
        </w:rPr>
        <w:t>European Parliament</w:t>
      </w:r>
    </w:p>
    <w:p w14:paraId="326B4237" w14:textId="7384E268" w:rsidR="00CB66D8" w:rsidRDefault="00020DE5" w:rsidP="00C23944">
      <w:pPr>
        <w:spacing w:line="480" w:lineRule="auto"/>
        <w:jc w:val="both"/>
        <w:rPr>
          <w:rFonts w:ascii="Arial" w:hAnsi="Arial" w:cs="Arial"/>
          <w:sz w:val="20"/>
          <w:szCs w:val="20"/>
        </w:rPr>
      </w:pPr>
      <w:r>
        <w:rPr>
          <w:rFonts w:ascii="Arial" w:hAnsi="Arial" w:cs="Arial"/>
          <w:sz w:val="20"/>
          <w:szCs w:val="20"/>
        </w:rPr>
        <w:t>While</w:t>
      </w:r>
      <w:r w:rsidR="006576EC">
        <w:rPr>
          <w:rFonts w:ascii="Arial" w:hAnsi="Arial" w:cs="Arial"/>
          <w:sz w:val="20"/>
          <w:szCs w:val="20"/>
        </w:rPr>
        <w:t xml:space="preserve"> the EU negotiators’ relationship with the EP is far less developed and institutionalized than that with the Council, </w:t>
      </w:r>
      <w:r w:rsidR="00B65714">
        <w:rPr>
          <w:rFonts w:ascii="Arial" w:hAnsi="Arial" w:cs="Arial"/>
          <w:sz w:val="20"/>
          <w:szCs w:val="20"/>
        </w:rPr>
        <w:t xml:space="preserve">this section shows how it is increasing in importance and how </w:t>
      </w:r>
      <w:r w:rsidR="00577234">
        <w:rPr>
          <w:rFonts w:ascii="Arial" w:hAnsi="Arial" w:cs="Arial"/>
          <w:sz w:val="20"/>
          <w:szCs w:val="20"/>
        </w:rPr>
        <w:t>an inter-institutional working relationship is e</w:t>
      </w:r>
      <w:r w:rsidR="00B65714">
        <w:rPr>
          <w:rFonts w:ascii="Arial" w:hAnsi="Arial" w:cs="Arial"/>
          <w:sz w:val="20"/>
          <w:szCs w:val="20"/>
        </w:rPr>
        <w:t xml:space="preserve">volving. </w:t>
      </w:r>
    </w:p>
    <w:p w14:paraId="67BEA9CD" w14:textId="77777777" w:rsidR="00B65714" w:rsidRDefault="00B65714" w:rsidP="00C23944">
      <w:pPr>
        <w:spacing w:line="480" w:lineRule="auto"/>
        <w:jc w:val="both"/>
        <w:rPr>
          <w:rFonts w:ascii="Arial" w:hAnsi="Arial" w:cs="Arial"/>
          <w:sz w:val="20"/>
          <w:szCs w:val="20"/>
        </w:rPr>
      </w:pPr>
    </w:p>
    <w:p w14:paraId="6FA37557" w14:textId="3DB5E95B" w:rsidR="001912AB" w:rsidRPr="00C23944" w:rsidRDefault="001912AB" w:rsidP="00C23944">
      <w:pPr>
        <w:spacing w:line="480" w:lineRule="auto"/>
        <w:jc w:val="both"/>
        <w:rPr>
          <w:rFonts w:ascii="Arial" w:hAnsi="Arial" w:cs="Arial"/>
          <w:sz w:val="20"/>
          <w:szCs w:val="20"/>
        </w:rPr>
      </w:pPr>
      <w:r w:rsidRPr="00C23944">
        <w:rPr>
          <w:rFonts w:ascii="Arial" w:hAnsi="Arial" w:cs="Arial"/>
          <w:sz w:val="20"/>
          <w:szCs w:val="20"/>
        </w:rPr>
        <w:t>Prior to the Lisbon Treaty, the EP played a limited role during trade negotiations (Woolcock 2012: 56). There was no legal obligation for the Commission to ask for the EP’s assent</w:t>
      </w:r>
      <w:r>
        <w:rPr>
          <w:rFonts w:ascii="Arial" w:hAnsi="Arial" w:cs="Arial"/>
          <w:sz w:val="20"/>
          <w:szCs w:val="20"/>
        </w:rPr>
        <w:t>, and e</w:t>
      </w:r>
      <w:r w:rsidRPr="00C23944">
        <w:rPr>
          <w:rFonts w:ascii="Arial" w:hAnsi="Arial" w:cs="Arial"/>
          <w:sz w:val="20"/>
          <w:szCs w:val="20"/>
        </w:rPr>
        <w:t>ven if in practice it often did ask for it (ibid. 60), the lack of legal ratification powers reduced the ability of the EP to effectively threat to reject an agreement. But since the Lisbon Treaty the EP gives its consent to all EU trade agreements (TFEU, Article 218)</w:t>
      </w:r>
      <w:r w:rsidR="004B1824">
        <w:rPr>
          <w:rStyle w:val="FootnoteReference"/>
          <w:rFonts w:ascii="Arial" w:hAnsi="Arial" w:cs="Arial"/>
          <w:sz w:val="20"/>
          <w:szCs w:val="20"/>
        </w:rPr>
        <w:footnoteReference w:id="6"/>
      </w:r>
      <w:r w:rsidRPr="00C23944">
        <w:rPr>
          <w:rFonts w:ascii="Arial" w:hAnsi="Arial" w:cs="Arial"/>
          <w:sz w:val="20"/>
          <w:szCs w:val="20"/>
        </w:rPr>
        <w:t xml:space="preserve">. The Treaty also obliges the Commission to ‘report regularly to […] the European Parliament on the progress of negotiations’, and to keep it ‘fully informed at all stages of the procedure’ (TFEU, Articles 207, 218). This requirement to consult the EP is further strengthened with the </w:t>
      </w:r>
      <w:r w:rsidRPr="00C23944">
        <w:rPr>
          <w:rFonts w:ascii="Arial" w:hAnsi="Arial" w:cs="Arial"/>
          <w:i/>
          <w:sz w:val="20"/>
          <w:szCs w:val="20"/>
        </w:rPr>
        <w:t>Framework Agreement</w:t>
      </w:r>
      <w:r>
        <w:rPr>
          <w:rFonts w:ascii="Arial" w:hAnsi="Arial" w:cs="Arial"/>
          <w:sz w:val="20"/>
          <w:szCs w:val="20"/>
        </w:rPr>
        <w:t xml:space="preserve"> (European Communities</w:t>
      </w:r>
      <w:r w:rsidRPr="00C23944">
        <w:rPr>
          <w:rFonts w:ascii="Arial" w:hAnsi="Arial" w:cs="Arial"/>
          <w:sz w:val="20"/>
          <w:szCs w:val="20"/>
        </w:rPr>
        <w:t xml:space="preserve"> 2010) which states that ‘The Commission guarantees that it will apply the basic principle of </w:t>
      </w:r>
      <w:r w:rsidRPr="00C23944">
        <w:rPr>
          <w:rFonts w:ascii="Arial" w:hAnsi="Arial" w:cs="Arial"/>
          <w:i/>
          <w:sz w:val="20"/>
          <w:szCs w:val="20"/>
        </w:rPr>
        <w:t>equal treatment</w:t>
      </w:r>
      <w:r w:rsidRPr="00C23944">
        <w:rPr>
          <w:rFonts w:ascii="Arial" w:hAnsi="Arial" w:cs="Arial"/>
          <w:sz w:val="20"/>
          <w:szCs w:val="20"/>
        </w:rPr>
        <w:t xml:space="preserve"> for Parliament and the Council, especially as regards access to meetings and the provision of contributions or other information’ (ibid. §9) and that ‘Parliament shall be immediately and fully informed at all stages of the negotiation and conclusion of international agreements’ (ibid. §23). </w:t>
      </w:r>
    </w:p>
    <w:p w14:paraId="49E449E3" w14:textId="77777777" w:rsidR="001912AB" w:rsidRPr="00C23944" w:rsidRDefault="001912AB" w:rsidP="00C23944">
      <w:pPr>
        <w:spacing w:line="480" w:lineRule="auto"/>
        <w:jc w:val="both"/>
        <w:rPr>
          <w:rFonts w:ascii="Arial" w:hAnsi="Arial" w:cs="Arial"/>
          <w:sz w:val="20"/>
          <w:szCs w:val="20"/>
        </w:rPr>
      </w:pPr>
    </w:p>
    <w:p w14:paraId="2591CEBA" w14:textId="0359155B" w:rsidR="00CD251E" w:rsidRDefault="00260B12" w:rsidP="00C23944">
      <w:pPr>
        <w:spacing w:line="480" w:lineRule="auto"/>
        <w:jc w:val="both"/>
        <w:rPr>
          <w:rFonts w:ascii="Arial" w:hAnsi="Arial" w:cs="Arial"/>
          <w:sz w:val="20"/>
          <w:szCs w:val="20"/>
        </w:rPr>
      </w:pPr>
      <w:r>
        <w:rPr>
          <w:rFonts w:ascii="Arial" w:hAnsi="Arial" w:cs="Arial"/>
          <w:sz w:val="20"/>
          <w:szCs w:val="20"/>
        </w:rPr>
        <w:t xml:space="preserve">Although the EP lags behind the Council in terms of legal powers as it </w:t>
      </w:r>
      <w:r w:rsidR="006D053C">
        <w:rPr>
          <w:rFonts w:ascii="Arial" w:hAnsi="Arial" w:cs="Arial"/>
          <w:sz w:val="20"/>
          <w:szCs w:val="20"/>
        </w:rPr>
        <w:t xml:space="preserve">does not have the right to approve the mandate, and it is only the Council which has an ‘assisting’ role during the negotiations (TFEU, Articles 207, 218), </w:t>
      </w:r>
      <w:r w:rsidR="00AA6C0C">
        <w:rPr>
          <w:rFonts w:ascii="Arial" w:hAnsi="Arial" w:cs="Arial"/>
          <w:sz w:val="20"/>
          <w:szCs w:val="20"/>
        </w:rPr>
        <w:t>it</w:t>
      </w:r>
      <w:r w:rsidR="00462F4A">
        <w:rPr>
          <w:rFonts w:ascii="Arial" w:hAnsi="Arial" w:cs="Arial"/>
          <w:sz w:val="20"/>
          <w:szCs w:val="20"/>
        </w:rPr>
        <w:t xml:space="preserve"> has already exercis</w:t>
      </w:r>
      <w:r w:rsidR="00F00CF4" w:rsidRPr="00C23944">
        <w:rPr>
          <w:rFonts w:ascii="Arial" w:hAnsi="Arial" w:cs="Arial"/>
          <w:sz w:val="20"/>
          <w:szCs w:val="20"/>
        </w:rPr>
        <w:t xml:space="preserve">ed a significant influence on the </w:t>
      </w:r>
      <w:r w:rsidR="008C1A22">
        <w:rPr>
          <w:rFonts w:ascii="Arial" w:hAnsi="Arial" w:cs="Arial"/>
          <w:sz w:val="20"/>
          <w:szCs w:val="20"/>
        </w:rPr>
        <w:t>EU negotiators</w:t>
      </w:r>
      <w:r w:rsidR="00CD251E">
        <w:rPr>
          <w:rFonts w:ascii="Arial" w:hAnsi="Arial" w:cs="Arial"/>
          <w:sz w:val="20"/>
          <w:szCs w:val="20"/>
        </w:rPr>
        <w:t>, and it is</w:t>
      </w:r>
      <w:r w:rsidR="00F00CF4" w:rsidRPr="00C23944">
        <w:rPr>
          <w:rFonts w:ascii="Arial" w:hAnsi="Arial" w:cs="Arial"/>
          <w:sz w:val="20"/>
          <w:szCs w:val="20"/>
        </w:rPr>
        <w:t xml:space="preserve"> clear that the Treaty obligations and the threat of a potential ratification failure have </w:t>
      </w:r>
      <w:r w:rsidR="00CD251E">
        <w:rPr>
          <w:rFonts w:ascii="Arial" w:hAnsi="Arial" w:cs="Arial"/>
          <w:sz w:val="20"/>
          <w:szCs w:val="20"/>
        </w:rPr>
        <w:t xml:space="preserve">affected </w:t>
      </w:r>
      <w:r w:rsidR="00F00CF4" w:rsidRPr="00C23944">
        <w:rPr>
          <w:rFonts w:ascii="Arial" w:hAnsi="Arial" w:cs="Arial"/>
          <w:sz w:val="20"/>
          <w:szCs w:val="20"/>
        </w:rPr>
        <w:t xml:space="preserve">the negotiating dynamics. </w:t>
      </w:r>
    </w:p>
    <w:p w14:paraId="5BF426B6" w14:textId="77777777" w:rsidR="00CD251E" w:rsidRDefault="00CD251E" w:rsidP="00C23944">
      <w:pPr>
        <w:spacing w:line="480" w:lineRule="auto"/>
        <w:jc w:val="both"/>
        <w:rPr>
          <w:rFonts w:ascii="Arial" w:hAnsi="Arial" w:cs="Arial"/>
          <w:sz w:val="20"/>
          <w:szCs w:val="20"/>
        </w:rPr>
      </w:pPr>
    </w:p>
    <w:p w14:paraId="6FF804FA" w14:textId="68D15E70" w:rsidR="00E802DB" w:rsidRPr="00C23944" w:rsidRDefault="00E802DB" w:rsidP="00C23944">
      <w:pPr>
        <w:spacing w:line="480" w:lineRule="auto"/>
        <w:jc w:val="both"/>
        <w:rPr>
          <w:rFonts w:ascii="Arial" w:hAnsi="Arial" w:cs="Arial"/>
          <w:sz w:val="20"/>
          <w:szCs w:val="20"/>
        </w:rPr>
      </w:pPr>
      <w:r w:rsidRPr="00C23944">
        <w:rPr>
          <w:rFonts w:ascii="Arial" w:hAnsi="Arial" w:cs="Arial"/>
          <w:sz w:val="20"/>
          <w:szCs w:val="20"/>
        </w:rPr>
        <w:t xml:space="preserve">The BTIA negotiations started two years before the Lisbon Treaty entered into force, and it </w:t>
      </w:r>
      <w:r w:rsidR="00A26F06" w:rsidRPr="00C23944">
        <w:rPr>
          <w:rFonts w:ascii="Arial" w:hAnsi="Arial" w:cs="Arial"/>
          <w:sz w:val="20"/>
          <w:szCs w:val="20"/>
        </w:rPr>
        <w:t xml:space="preserve">shows </w:t>
      </w:r>
      <w:r w:rsidRPr="00C23944">
        <w:rPr>
          <w:rFonts w:ascii="Arial" w:hAnsi="Arial" w:cs="Arial"/>
          <w:sz w:val="20"/>
          <w:szCs w:val="20"/>
        </w:rPr>
        <w:t xml:space="preserve">how the negotiators have had to adapt their behaviour, and how they are faced with an increasingly powerful domestic constituent, whose preferences they cannot ignore. Already during the </w:t>
      </w:r>
      <w:r w:rsidR="00232242" w:rsidRPr="00C23944">
        <w:rPr>
          <w:rFonts w:ascii="Arial" w:hAnsi="Arial" w:cs="Arial"/>
          <w:sz w:val="20"/>
          <w:szCs w:val="20"/>
        </w:rPr>
        <w:t>init</w:t>
      </w:r>
      <w:r w:rsidR="00F068A3" w:rsidRPr="00C23944">
        <w:rPr>
          <w:rFonts w:ascii="Arial" w:hAnsi="Arial" w:cs="Arial"/>
          <w:sz w:val="20"/>
          <w:szCs w:val="20"/>
        </w:rPr>
        <w:t>i</w:t>
      </w:r>
      <w:r w:rsidR="00232242" w:rsidRPr="00C23944">
        <w:rPr>
          <w:rFonts w:ascii="Arial" w:hAnsi="Arial" w:cs="Arial"/>
          <w:sz w:val="20"/>
          <w:szCs w:val="20"/>
        </w:rPr>
        <w:t>al</w:t>
      </w:r>
      <w:r w:rsidRPr="00C23944">
        <w:rPr>
          <w:rFonts w:ascii="Arial" w:hAnsi="Arial" w:cs="Arial"/>
          <w:sz w:val="20"/>
          <w:szCs w:val="20"/>
        </w:rPr>
        <w:t xml:space="preserve"> treaty discussions about providing the EP with increased powers, the specialist International Trade Committee (INTA) was established in 2004 to give more attention to trade negotiations. This committee took an early interest in the EU-India negotiations and has adopted numerous resolutions on the matter. Building on its new </w:t>
      </w:r>
      <w:r w:rsidR="00697D40" w:rsidRPr="00C23944">
        <w:rPr>
          <w:rFonts w:ascii="Arial" w:hAnsi="Arial" w:cs="Arial"/>
          <w:sz w:val="20"/>
          <w:szCs w:val="20"/>
        </w:rPr>
        <w:t xml:space="preserve">Treaty </w:t>
      </w:r>
      <w:r w:rsidRPr="00C23944">
        <w:rPr>
          <w:rFonts w:ascii="Arial" w:hAnsi="Arial" w:cs="Arial"/>
          <w:sz w:val="20"/>
          <w:szCs w:val="20"/>
        </w:rPr>
        <w:t xml:space="preserve">powers, the EP </w:t>
      </w:r>
      <w:r w:rsidR="00697D40" w:rsidRPr="00C23944">
        <w:rPr>
          <w:rFonts w:ascii="Arial" w:hAnsi="Arial" w:cs="Arial"/>
          <w:sz w:val="20"/>
          <w:szCs w:val="20"/>
        </w:rPr>
        <w:t xml:space="preserve">then </w:t>
      </w:r>
      <w:r w:rsidRPr="00C23944">
        <w:rPr>
          <w:rFonts w:ascii="Arial" w:hAnsi="Arial" w:cs="Arial"/>
          <w:sz w:val="20"/>
          <w:szCs w:val="20"/>
        </w:rPr>
        <w:t xml:space="preserve">set up a Regular Monitoring Group to keep informed about progress in the negotiations with India. The group consists of representatives of the seven political groups within INTA. These MEPs invite the negotiators on a monthly basis for an ‘informal in camera discussion’ (Interview, EP official, 8/3/2013). </w:t>
      </w:r>
    </w:p>
    <w:p w14:paraId="18E3E2A2" w14:textId="77777777" w:rsidR="00E802DB" w:rsidRPr="00C23944" w:rsidRDefault="00E802DB" w:rsidP="00C23944">
      <w:pPr>
        <w:spacing w:line="480" w:lineRule="auto"/>
        <w:jc w:val="both"/>
        <w:rPr>
          <w:rFonts w:ascii="Arial" w:hAnsi="Arial" w:cs="Arial"/>
          <w:sz w:val="20"/>
          <w:szCs w:val="20"/>
        </w:rPr>
      </w:pPr>
    </w:p>
    <w:p w14:paraId="797A2568" w14:textId="5776D593" w:rsidR="00E802DB" w:rsidRPr="00C23944" w:rsidRDefault="00E802DB" w:rsidP="00C23944">
      <w:pPr>
        <w:spacing w:line="480" w:lineRule="auto"/>
        <w:jc w:val="both"/>
        <w:rPr>
          <w:rFonts w:ascii="Arial" w:hAnsi="Arial" w:cs="Arial"/>
          <w:sz w:val="20"/>
          <w:szCs w:val="20"/>
        </w:rPr>
      </w:pPr>
      <w:r w:rsidRPr="00C23944">
        <w:rPr>
          <w:rFonts w:ascii="Arial" w:hAnsi="Arial" w:cs="Arial"/>
          <w:sz w:val="20"/>
          <w:szCs w:val="20"/>
        </w:rPr>
        <w:t xml:space="preserve">The negotiators themselves have also been proactive in establishing direct inter-institutional relations with the EP. They are providing technical assistance and regular briefings for the INTA members and to the MEPs’ assistants and policy advisors. As expressed by a DG Trade official: ‘…you need to make sure that you have the Member States on board, you keep quite regular exchanges of information with them, but if at any time you neglect the Parliament you may come for a nasty surprise at the end of the process’ (Interview, 7/3/2013). Given the political nature of many of the issues discussed in the BTIA negotiations, the negotiators are acutely aware of the importance of involving the EP. As explained by the same official: </w:t>
      </w:r>
      <w:r w:rsidRPr="00C23944">
        <w:rPr>
          <w:rFonts w:ascii="Arial" w:hAnsi="Arial" w:cs="Arial"/>
          <w:bCs/>
          <w:color w:val="232323"/>
          <w:sz w:val="20"/>
          <w:szCs w:val="20"/>
        </w:rPr>
        <w:t>‘</w:t>
      </w:r>
      <w:r w:rsidRPr="00C23944">
        <w:rPr>
          <w:rFonts w:ascii="Arial" w:hAnsi="Arial" w:cs="Arial"/>
          <w:sz w:val="20"/>
          <w:szCs w:val="20"/>
        </w:rPr>
        <w:t>Any information that we currently give to the Member States also goes to the E</w:t>
      </w:r>
      <w:r w:rsidR="00697D40" w:rsidRPr="00C23944">
        <w:rPr>
          <w:rFonts w:ascii="Arial" w:hAnsi="Arial" w:cs="Arial"/>
          <w:sz w:val="20"/>
          <w:szCs w:val="20"/>
        </w:rPr>
        <w:t>P</w:t>
      </w:r>
      <w:r w:rsidRPr="00C23944">
        <w:rPr>
          <w:rFonts w:ascii="Arial" w:hAnsi="Arial" w:cs="Arial"/>
          <w:sz w:val="20"/>
          <w:szCs w:val="20"/>
        </w:rPr>
        <w:t xml:space="preserve">. We discuss more frequently with the Member States […] but when you really feel that you are coming to some hard political choices, I would say probably it is even more important to engage the key MEPs than it is to engage the Member States’ (ibid.). </w:t>
      </w:r>
    </w:p>
    <w:p w14:paraId="5DFA0EB3" w14:textId="77777777" w:rsidR="00E802DB" w:rsidRPr="00C23944" w:rsidRDefault="00E802DB" w:rsidP="00C23944">
      <w:pPr>
        <w:spacing w:line="480" w:lineRule="auto"/>
        <w:jc w:val="both"/>
        <w:rPr>
          <w:rFonts w:ascii="Arial" w:hAnsi="Arial" w:cs="Arial"/>
          <w:sz w:val="20"/>
          <w:szCs w:val="20"/>
        </w:rPr>
      </w:pPr>
    </w:p>
    <w:p w14:paraId="4B29D7A4" w14:textId="7CC113B5" w:rsidR="0024497C" w:rsidRDefault="00E802DB" w:rsidP="008C1A22">
      <w:pPr>
        <w:spacing w:line="480" w:lineRule="auto"/>
        <w:jc w:val="both"/>
        <w:rPr>
          <w:rFonts w:ascii="Arial" w:hAnsi="Arial" w:cs="Arial"/>
          <w:sz w:val="20"/>
          <w:szCs w:val="20"/>
        </w:rPr>
      </w:pPr>
      <w:r w:rsidRPr="00C23944">
        <w:rPr>
          <w:rFonts w:ascii="Arial" w:hAnsi="Arial" w:cs="Arial"/>
          <w:sz w:val="20"/>
          <w:szCs w:val="20"/>
        </w:rPr>
        <w:t xml:space="preserve">The interaction between the negotiators and the EP has thus increased significantly, </w:t>
      </w:r>
      <w:r w:rsidR="004D17DB" w:rsidRPr="00C23944">
        <w:rPr>
          <w:rFonts w:ascii="Arial" w:hAnsi="Arial" w:cs="Arial"/>
          <w:sz w:val="20"/>
          <w:szCs w:val="20"/>
        </w:rPr>
        <w:t xml:space="preserve">making the domestic negotiations more </w:t>
      </w:r>
      <w:r w:rsidR="002B5B28">
        <w:rPr>
          <w:rFonts w:ascii="Arial" w:hAnsi="Arial" w:cs="Arial"/>
          <w:sz w:val="20"/>
          <w:szCs w:val="20"/>
        </w:rPr>
        <w:t>complex</w:t>
      </w:r>
      <w:r w:rsidR="004D17DB" w:rsidRPr="00C23944">
        <w:rPr>
          <w:rFonts w:ascii="Arial" w:hAnsi="Arial" w:cs="Arial"/>
          <w:sz w:val="20"/>
          <w:szCs w:val="20"/>
        </w:rPr>
        <w:t xml:space="preserve"> and time consuming for the negotiators. Through this interaction, the </w:t>
      </w:r>
      <w:r w:rsidR="00A26F06" w:rsidRPr="00C23944">
        <w:rPr>
          <w:rFonts w:ascii="Arial" w:hAnsi="Arial" w:cs="Arial"/>
          <w:sz w:val="20"/>
          <w:szCs w:val="20"/>
        </w:rPr>
        <w:t xml:space="preserve">EP has been </w:t>
      </w:r>
      <w:r w:rsidR="00462F4A">
        <w:rPr>
          <w:rFonts w:ascii="Arial" w:hAnsi="Arial" w:cs="Arial"/>
          <w:sz w:val="20"/>
          <w:szCs w:val="20"/>
        </w:rPr>
        <w:t>able to exercis</w:t>
      </w:r>
      <w:r w:rsidRPr="00C23944">
        <w:rPr>
          <w:rFonts w:ascii="Arial" w:hAnsi="Arial" w:cs="Arial"/>
          <w:sz w:val="20"/>
          <w:szCs w:val="20"/>
        </w:rPr>
        <w:t>e considerable influence over the BTIA negotiations</w:t>
      </w:r>
      <w:r w:rsidR="0024497C">
        <w:rPr>
          <w:rFonts w:ascii="Arial" w:hAnsi="Arial" w:cs="Arial"/>
          <w:sz w:val="20"/>
          <w:szCs w:val="20"/>
        </w:rPr>
        <w:t xml:space="preserve">, </w:t>
      </w:r>
      <w:r w:rsidR="00AB5150">
        <w:rPr>
          <w:rFonts w:ascii="Arial" w:hAnsi="Arial" w:cs="Arial"/>
          <w:sz w:val="20"/>
          <w:szCs w:val="20"/>
        </w:rPr>
        <w:t xml:space="preserve">both </w:t>
      </w:r>
      <w:r w:rsidR="0024497C">
        <w:rPr>
          <w:rFonts w:ascii="Arial" w:hAnsi="Arial" w:cs="Arial"/>
          <w:sz w:val="20"/>
          <w:szCs w:val="20"/>
        </w:rPr>
        <w:t xml:space="preserve">by expanding and restricting the EU win-set, and by </w:t>
      </w:r>
      <w:r w:rsidR="00AB5150">
        <w:rPr>
          <w:rFonts w:ascii="Arial" w:hAnsi="Arial" w:cs="Arial"/>
          <w:sz w:val="20"/>
          <w:szCs w:val="20"/>
        </w:rPr>
        <w:t xml:space="preserve">restricting the ability of the negotiators to </w:t>
      </w:r>
      <w:r w:rsidR="00A26F06" w:rsidRPr="00C23944">
        <w:rPr>
          <w:rFonts w:ascii="Arial" w:hAnsi="Arial" w:cs="Arial"/>
          <w:sz w:val="20"/>
          <w:szCs w:val="20"/>
        </w:rPr>
        <w:t>push their own interests</w:t>
      </w:r>
      <w:r w:rsidR="00AB5150">
        <w:rPr>
          <w:rFonts w:ascii="Arial" w:hAnsi="Arial" w:cs="Arial"/>
          <w:sz w:val="20"/>
          <w:szCs w:val="20"/>
        </w:rPr>
        <w:t>.</w:t>
      </w:r>
    </w:p>
    <w:p w14:paraId="670B8075" w14:textId="77777777" w:rsidR="001264A3" w:rsidRPr="00C23944" w:rsidRDefault="001264A3" w:rsidP="00C23944">
      <w:pPr>
        <w:spacing w:line="480" w:lineRule="auto"/>
        <w:jc w:val="both"/>
        <w:rPr>
          <w:rFonts w:ascii="Arial" w:hAnsi="Arial" w:cs="Arial"/>
          <w:sz w:val="20"/>
          <w:szCs w:val="20"/>
        </w:rPr>
      </w:pPr>
    </w:p>
    <w:p w14:paraId="26AE0BC8" w14:textId="23EE02F3" w:rsidR="00BA3DAD" w:rsidRPr="006B69E4" w:rsidRDefault="0092186E" w:rsidP="00C23944">
      <w:pPr>
        <w:spacing w:line="480" w:lineRule="auto"/>
        <w:jc w:val="both"/>
        <w:rPr>
          <w:rFonts w:ascii="Arial" w:hAnsi="Arial" w:cs="Arial"/>
          <w:b/>
          <w:i/>
          <w:sz w:val="20"/>
          <w:szCs w:val="20"/>
        </w:rPr>
      </w:pPr>
      <w:r w:rsidRPr="006B69E4">
        <w:rPr>
          <w:rFonts w:ascii="Arial" w:hAnsi="Arial" w:cs="Arial"/>
          <w:b/>
          <w:i/>
          <w:sz w:val="20"/>
          <w:szCs w:val="20"/>
        </w:rPr>
        <w:t xml:space="preserve">4.2. </w:t>
      </w:r>
      <w:r w:rsidR="00BA3DAD" w:rsidRPr="006B69E4">
        <w:rPr>
          <w:rFonts w:ascii="Arial" w:hAnsi="Arial" w:cs="Arial"/>
          <w:b/>
          <w:i/>
          <w:sz w:val="20"/>
          <w:szCs w:val="20"/>
        </w:rPr>
        <w:t>Level I Negotiations</w:t>
      </w:r>
    </w:p>
    <w:p w14:paraId="6AFE5FE7" w14:textId="0574362E" w:rsidR="00CA5281" w:rsidRDefault="00CA5281" w:rsidP="00C23944">
      <w:pPr>
        <w:spacing w:line="480" w:lineRule="auto"/>
        <w:jc w:val="both"/>
        <w:rPr>
          <w:rFonts w:ascii="Arial" w:hAnsi="Arial" w:cs="Arial"/>
          <w:sz w:val="20"/>
          <w:szCs w:val="20"/>
        </w:rPr>
      </w:pPr>
      <w:r>
        <w:rPr>
          <w:rFonts w:ascii="Arial" w:hAnsi="Arial" w:cs="Arial"/>
          <w:sz w:val="20"/>
          <w:szCs w:val="20"/>
        </w:rPr>
        <w:t xml:space="preserve">At Level I the EU negotiators </w:t>
      </w:r>
      <w:r w:rsidR="00AB5150">
        <w:rPr>
          <w:rFonts w:ascii="Arial" w:hAnsi="Arial" w:cs="Arial"/>
          <w:sz w:val="20"/>
          <w:szCs w:val="20"/>
        </w:rPr>
        <w:t xml:space="preserve">meet </w:t>
      </w:r>
      <w:r>
        <w:rPr>
          <w:rFonts w:ascii="Arial" w:hAnsi="Arial" w:cs="Arial"/>
          <w:sz w:val="20"/>
          <w:szCs w:val="20"/>
        </w:rPr>
        <w:t>with their Indian counterpart</w:t>
      </w:r>
      <w:r w:rsidR="00AB5150">
        <w:rPr>
          <w:rFonts w:ascii="Arial" w:hAnsi="Arial" w:cs="Arial"/>
          <w:sz w:val="20"/>
          <w:szCs w:val="20"/>
        </w:rPr>
        <w:t>s</w:t>
      </w:r>
      <w:r>
        <w:rPr>
          <w:rFonts w:ascii="Arial" w:hAnsi="Arial" w:cs="Arial"/>
          <w:sz w:val="20"/>
          <w:szCs w:val="20"/>
        </w:rPr>
        <w:t xml:space="preserve"> in regular negotiating rounds, alternating b</w:t>
      </w:r>
      <w:r w:rsidR="005833A1">
        <w:rPr>
          <w:rFonts w:ascii="Arial" w:hAnsi="Arial" w:cs="Arial"/>
          <w:sz w:val="20"/>
          <w:szCs w:val="20"/>
        </w:rPr>
        <w:t xml:space="preserve">etween </w:t>
      </w:r>
      <w:r>
        <w:rPr>
          <w:rFonts w:ascii="Arial" w:hAnsi="Arial" w:cs="Arial"/>
          <w:sz w:val="20"/>
          <w:szCs w:val="20"/>
        </w:rPr>
        <w:t xml:space="preserve">Brussels and New </w:t>
      </w:r>
      <w:r w:rsidR="005833A1">
        <w:rPr>
          <w:rFonts w:ascii="Arial" w:hAnsi="Arial" w:cs="Arial"/>
          <w:sz w:val="20"/>
          <w:szCs w:val="20"/>
        </w:rPr>
        <w:t>Delhi</w:t>
      </w:r>
      <w:r>
        <w:rPr>
          <w:rFonts w:ascii="Arial" w:hAnsi="Arial" w:cs="Arial"/>
          <w:sz w:val="20"/>
          <w:szCs w:val="20"/>
        </w:rPr>
        <w:t xml:space="preserve">. </w:t>
      </w:r>
      <w:r w:rsidR="005833A1">
        <w:rPr>
          <w:rFonts w:ascii="Arial" w:hAnsi="Arial" w:cs="Arial"/>
          <w:sz w:val="20"/>
          <w:szCs w:val="20"/>
        </w:rPr>
        <w:t>Between 2007 and 2013 there were 12 full rounds, and in between the</w:t>
      </w:r>
      <w:r w:rsidR="00083301">
        <w:rPr>
          <w:rFonts w:ascii="Arial" w:hAnsi="Arial" w:cs="Arial"/>
          <w:sz w:val="20"/>
          <w:szCs w:val="20"/>
        </w:rPr>
        <w:t>m</w:t>
      </w:r>
      <w:r w:rsidR="005833A1">
        <w:rPr>
          <w:rFonts w:ascii="Arial" w:hAnsi="Arial" w:cs="Arial"/>
          <w:sz w:val="20"/>
          <w:szCs w:val="20"/>
        </w:rPr>
        <w:t xml:space="preserve"> were smaller meeting</w:t>
      </w:r>
      <w:r w:rsidR="00A17ABA">
        <w:rPr>
          <w:rFonts w:ascii="Arial" w:hAnsi="Arial" w:cs="Arial"/>
          <w:sz w:val="20"/>
          <w:szCs w:val="20"/>
        </w:rPr>
        <w:t>s</w:t>
      </w:r>
      <w:r w:rsidR="005833A1">
        <w:rPr>
          <w:rFonts w:ascii="Arial" w:hAnsi="Arial" w:cs="Arial"/>
          <w:sz w:val="20"/>
          <w:szCs w:val="20"/>
        </w:rPr>
        <w:t xml:space="preserve"> at expert-level focusing on </w:t>
      </w:r>
      <w:r w:rsidR="00727151">
        <w:rPr>
          <w:rFonts w:ascii="Arial" w:hAnsi="Arial" w:cs="Arial"/>
          <w:sz w:val="20"/>
          <w:szCs w:val="20"/>
        </w:rPr>
        <w:t>specific</w:t>
      </w:r>
      <w:r w:rsidR="005833A1">
        <w:rPr>
          <w:rFonts w:ascii="Arial" w:hAnsi="Arial" w:cs="Arial"/>
          <w:sz w:val="20"/>
          <w:szCs w:val="20"/>
        </w:rPr>
        <w:t xml:space="preserve"> aspects of the negotiations. Since 2013 there has </w:t>
      </w:r>
      <w:r w:rsidR="00AB5150">
        <w:rPr>
          <w:rFonts w:ascii="Arial" w:hAnsi="Arial" w:cs="Arial"/>
          <w:sz w:val="20"/>
          <w:szCs w:val="20"/>
        </w:rPr>
        <w:t xml:space="preserve">however </w:t>
      </w:r>
      <w:r w:rsidR="00727151">
        <w:rPr>
          <w:rFonts w:ascii="Arial" w:hAnsi="Arial" w:cs="Arial"/>
          <w:sz w:val="20"/>
          <w:szCs w:val="20"/>
        </w:rPr>
        <w:t xml:space="preserve">been a stand still in the negotiations </w:t>
      </w:r>
      <w:r w:rsidR="00A17ABA">
        <w:rPr>
          <w:rFonts w:ascii="Arial" w:hAnsi="Arial" w:cs="Arial"/>
          <w:sz w:val="20"/>
          <w:szCs w:val="20"/>
        </w:rPr>
        <w:t xml:space="preserve">due to </w:t>
      </w:r>
      <w:r w:rsidR="00727151">
        <w:rPr>
          <w:rFonts w:ascii="Arial" w:hAnsi="Arial" w:cs="Arial"/>
          <w:sz w:val="20"/>
          <w:szCs w:val="20"/>
        </w:rPr>
        <w:t>different levels of ambitions and expectations,</w:t>
      </w:r>
      <w:r w:rsidR="00083301">
        <w:rPr>
          <w:rFonts w:ascii="Arial" w:hAnsi="Arial" w:cs="Arial"/>
          <w:sz w:val="20"/>
          <w:szCs w:val="20"/>
        </w:rPr>
        <w:t xml:space="preserve"> </w:t>
      </w:r>
      <w:r w:rsidR="00727151">
        <w:rPr>
          <w:rFonts w:ascii="Arial" w:hAnsi="Arial" w:cs="Arial"/>
          <w:sz w:val="20"/>
          <w:szCs w:val="20"/>
        </w:rPr>
        <w:t xml:space="preserve">as </w:t>
      </w:r>
      <w:r w:rsidR="00A17ABA">
        <w:rPr>
          <w:rFonts w:ascii="Arial" w:hAnsi="Arial" w:cs="Arial"/>
          <w:sz w:val="20"/>
          <w:szCs w:val="20"/>
        </w:rPr>
        <w:t xml:space="preserve">clearly </w:t>
      </w:r>
      <w:r w:rsidR="00727151">
        <w:rPr>
          <w:rFonts w:ascii="Arial" w:hAnsi="Arial" w:cs="Arial"/>
          <w:sz w:val="20"/>
          <w:szCs w:val="20"/>
        </w:rPr>
        <w:t xml:space="preserve">illustrated by the gaps in the </w:t>
      </w:r>
      <w:r w:rsidR="00083301">
        <w:rPr>
          <w:rFonts w:ascii="Arial" w:hAnsi="Arial" w:cs="Arial"/>
          <w:sz w:val="20"/>
          <w:szCs w:val="20"/>
        </w:rPr>
        <w:t>win-sets</w:t>
      </w:r>
      <w:r w:rsidR="00E333DF">
        <w:rPr>
          <w:rFonts w:ascii="Arial" w:hAnsi="Arial" w:cs="Arial"/>
          <w:sz w:val="20"/>
          <w:szCs w:val="20"/>
        </w:rPr>
        <w:t xml:space="preserve">. Yet, </w:t>
      </w:r>
      <w:r w:rsidR="00727151">
        <w:rPr>
          <w:rFonts w:ascii="Arial" w:hAnsi="Arial" w:cs="Arial"/>
          <w:sz w:val="20"/>
          <w:szCs w:val="20"/>
        </w:rPr>
        <w:t xml:space="preserve">both parties have expressed an interest in resuming talks to eventually </w:t>
      </w:r>
      <w:r w:rsidR="00E333DF">
        <w:rPr>
          <w:rFonts w:ascii="Arial" w:hAnsi="Arial" w:cs="Arial"/>
          <w:sz w:val="20"/>
          <w:szCs w:val="20"/>
        </w:rPr>
        <w:t xml:space="preserve">try to </w:t>
      </w:r>
      <w:r w:rsidR="00A17ABA">
        <w:rPr>
          <w:rFonts w:ascii="Arial" w:hAnsi="Arial" w:cs="Arial"/>
          <w:sz w:val="20"/>
          <w:szCs w:val="20"/>
        </w:rPr>
        <w:t xml:space="preserve">bridge these gaps and </w:t>
      </w:r>
      <w:r w:rsidR="00727151">
        <w:rPr>
          <w:rFonts w:ascii="Arial" w:hAnsi="Arial" w:cs="Arial"/>
          <w:sz w:val="20"/>
          <w:szCs w:val="20"/>
        </w:rPr>
        <w:t xml:space="preserve">reach </w:t>
      </w:r>
      <w:r w:rsidR="00083301">
        <w:rPr>
          <w:rFonts w:ascii="Arial" w:hAnsi="Arial" w:cs="Arial"/>
          <w:sz w:val="20"/>
          <w:szCs w:val="20"/>
        </w:rPr>
        <w:t>an ambitious BTIA (Commission  2015</w:t>
      </w:r>
      <w:r w:rsidR="00CC53D8">
        <w:rPr>
          <w:rFonts w:ascii="Arial" w:hAnsi="Arial" w:cs="Arial"/>
          <w:sz w:val="20"/>
          <w:szCs w:val="20"/>
        </w:rPr>
        <w:t xml:space="preserve">b; </w:t>
      </w:r>
      <w:r w:rsidR="00A17ABA">
        <w:rPr>
          <w:rFonts w:ascii="Arial" w:hAnsi="Arial" w:cs="Arial"/>
          <w:sz w:val="20"/>
          <w:szCs w:val="20"/>
        </w:rPr>
        <w:t>Vincenti 2015).</w:t>
      </w:r>
      <w:r w:rsidR="00E333DF">
        <w:rPr>
          <w:rFonts w:ascii="Arial" w:hAnsi="Arial" w:cs="Arial"/>
          <w:sz w:val="20"/>
          <w:szCs w:val="20"/>
        </w:rPr>
        <w:t xml:space="preserve"> </w:t>
      </w:r>
    </w:p>
    <w:p w14:paraId="621F7DB1" w14:textId="77777777" w:rsidR="005833A1" w:rsidRDefault="005833A1" w:rsidP="00C23944">
      <w:pPr>
        <w:spacing w:line="480" w:lineRule="auto"/>
        <w:jc w:val="both"/>
        <w:rPr>
          <w:rFonts w:ascii="Arial" w:hAnsi="Arial" w:cs="Arial"/>
          <w:sz w:val="20"/>
          <w:szCs w:val="20"/>
        </w:rPr>
      </w:pPr>
    </w:p>
    <w:p w14:paraId="34F4AA9F" w14:textId="2F47F762" w:rsidR="00117EAF" w:rsidRDefault="003E07D9" w:rsidP="00C23944">
      <w:pPr>
        <w:spacing w:line="480" w:lineRule="auto"/>
        <w:jc w:val="both"/>
        <w:rPr>
          <w:rFonts w:ascii="Arial" w:hAnsi="Arial" w:cs="Arial"/>
          <w:sz w:val="20"/>
          <w:szCs w:val="20"/>
        </w:rPr>
      </w:pPr>
      <w:r>
        <w:rPr>
          <w:rFonts w:ascii="Arial" w:hAnsi="Arial" w:cs="Arial"/>
          <w:sz w:val="20"/>
          <w:szCs w:val="20"/>
        </w:rPr>
        <w:t xml:space="preserve">The international context of any </w:t>
      </w:r>
      <w:r w:rsidR="00117EAF">
        <w:rPr>
          <w:rFonts w:ascii="Arial" w:hAnsi="Arial" w:cs="Arial"/>
          <w:sz w:val="20"/>
          <w:szCs w:val="20"/>
        </w:rPr>
        <w:t xml:space="preserve">EU </w:t>
      </w:r>
      <w:r>
        <w:rPr>
          <w:rFonts w:ascii="Arial" w:hAnsi="Arial" w:cs="Arial"/>
          <w:sz w:val="20"/>
          <w:szCs w:val="20"/>
        </w:rPr>
        <w:t>trade negotiation matters</w:t>
      </w:r>
      <w:r w:rsidR="00DF0457">
        <w:rPr>
          <w:rFonts w:ascii="Arial" w:hAnsi="Arial" w:cs="Arial"/>
          <w:sz w:val="20"/>
          <w:szCs w:val="20"/>
        </w:rPr>
        <w:t xml:space="preserve">, and the </w:t>
      </w:r>
      <w:r w:rsidR="00DF0457" w:rsidRPr="00C23944">
        <w:rPr>
          <w:rFonts w:ascii="Arial" w:hAnsi="Arial" w:cs="Arial"/>
          <w:sz w:val="20"/>
          <w:szCs w:val="20"/>
        </w:rPr>
        <w:t>characteristic of the negotiating partner in relation to the EU clearly impacts on the negotiating dynamics (Da Conceicao-Heldt and Meunier 2014)</w:t>
      </w:r>
      <w:r w:rsidR="00DF0457">
        <w:rPr>
          <w:rFonts w:ascii="Arial" w:hAnsi="Arial" w:cs="Arial"/>
          <w:sz w:val="20"/>
          <w:szCs w:val="20"/>
        </w:rPr>
        <w:t xml:space="preserve">. Two-level </w:t>
      </w:r>
      <w:r w:rsidR="00903C6E">
        <w:rPr>
          <w:rFonts w:ascii="Arial" w:hAnsi="Arial" w:cs="Arial"/>
          <w:sz w:val="20"/>
          <w:szCs w:val="20"/>
        </w:rPr>
        <w:t xml:space="preserve">game analysis </w:t>
      </w:r>
      <w:r w:rsidR="00117EAF">
        <w:rPr>
          <w:rFonts w:ascii="Arial" w:hAnsi="Arial" w:cs="Arial"/>
          <w:sz w:val="20"/>
          <w:szCs w:val="20"/>
        </w:rPr>
        <w:t xml:space="preserve">accounts for the </w:t>
      </w:r>
      <w:r w:rsidR="009F37A5">
        <w:rPr>
          <w:rFonts w:ascii="Arial" w:hAnsi="Arial" w:cs="Arial"/>
          <w:sz w:val="20"/>
          <w:szCs w:val="20"/>
        </w:rPr>
        <w:t xml:space="preserve">influence of the </w:t>
      </w:r>
      <w:r w:rsidR="00903C6E">
        <w:rPr>
          <w:rFonts w:ascii="Arial" w:hAnsi="Arial" w:cs="Arial"/>
          <w:sz w:val="20"/>
          <w:szCs w:val="20"/>
        </w:rPr>
        <w:t>power and preferences of the third party</w:t>
      </w:r>
      <w:r w:rsidR="0025594A">
        <w:rPr>
          <w:rFonts w:ascii="Arial" w:hAnsi="Arial" w:cs="Arial"/>
          <w:sz w:val="20"/>
          <w:szCs w:val="20"/>
        </w:rPr>
        <w:t xml:space="preserve"> on the negotiations</w:t>
      </w:r>
      <w:r w:rsidR="00903C6E">
        <w:rPr>
          <w:rFonts w:ascii="Arial" w:hAnsi="Arial" w:cs="Arial"/>
          <w:sz w:val="20"/>
          <w:szCs w:val="20"/>
        </w:rPr>
        <w:t xml:space="preserve">, an aspect which has </w:t>
      </w:r>
      <w:r w:rsidR="00E95D41">
        <w:rPr>
          <w:rFonts w:ascii="Arial" w:hAnsi="Arial" w:cs="Arial"/>
          <w:sz w:val="20"/>
          <w:szCs w:val="20"/>
        </w:rPr>
        <w:t xml:space="preserve">often been overlooked by </w:t>
      </w:r>
      <w:r w:rsidR="00903C6E">
        <w:rPr>
          <w:rFonts w:ascii="Arial" w:hAnsi="Arial" w:cs="Arial"/>
          <w:sz w:val="20"/>
          <w:szCs w:val="20"/>
        </w:rPr>
        <w:t xml:space="preserve">other </w:t>
      </w:r>
      <w:r w:rsidR="00E95D41">
        <w:rPr>
          <w:rFonts w:ascii="Arial" w:hAnsi="Arial" w:cs="Arial"/>
          <w:sz w:val="20"/>
          <w:szCs w:val="20"/>
        </w:rPr>
        <w:t>analyses of EU trade negotiations (</w:t>
      </w:r>
      <w:r w:rsidR="00DF0457">
        <w:rPr>
          <w:rFonts w:ascii="Arial" w:hAnsi="Arial" w:cs="Arial"/>
          <w:sz w:val="20"/>
          <w:szCs w:val="20"/>
        </w:rPr>
        <w:t>ibid.)</w:t>
      </w:r>
      <w:r w:rsidR="001E455D">
        <w:rPr>
          <w:rFonts w:ascii="Arial" w:hAnsi="Arial" w:cs="Arial"/>
          <w:sz w:val="20"/>
          <w:szCs w:val="20"/>
        </w:rPr>
        <w:t xml:space="preserve">, and </w:t>
      </w:r>
      <w:r w:rsidR="0025594A">
        <w:rPr>
          <w:rFonts w:ascii="Arial" w:hAnsi="Arial" w:cs="Arial"/>
          <w:sz w:val="20"/>
          <w:szCs w:val="20"/>
        </w:rPr>
        <w:t>for the</w:t>
      </w:r>
      <w:r w:rsidR="009A6E74">
        <w:rPr>
          <w:rFonts w:ascii="Arial" w:hAnsi="Arial" w:cs="Arial"/>
          <w:sz w:val="20"/>
          <w:szCs w:val="20"/>
        </w:rPr>
        <w:t xml:space="preserve"> impact of the domestic </w:t>
      </w:r>
      <w:r w:rsidR="005A53BA">
        <w:rPr>
          <w:rFonts w:ascii="Arial" w:hAnsi="Arial" w:cs="Arial"/>
          <w:sz w:val="20"/>
          <w:szCs w:val="20"/>
        </w:rPr>
        <w:t>game</w:t>
      </w:r>
      <w:r w:rsidR="009A6E74">
        <w:rPr>
          <w:rFonts w:ascii="Arial" w:hAnsi="Arial" w:cs="Arial"/>
          <w:sz w:val="20"/>
          <w:szCs w:val="20"/>
        </w:rPr>
        <w:t xml:space="preserve"> on the dynamic</w:t>
      </w:r>
      <w:r w:rsidR="005A53BA">
        <w:rPr>
          <w:rFonts w:ascii="Arial" w:hAnsi="Arial" w:cs="Arial"/>
          <w:sz w:val="20"/>
          <w:szCs w:val="20"/>
        </w:rPr>
        <w:t>s</w:t>
      </w:r>
      <w:r w:rsidR="009A6E74">
        <w:rPr>
          <w:rFonts w:ascii="Arial" w:hAnsi="Arial" w:cs="Arial"/>
          <w:sz w:val="20"/>
          <w:szCs w:val="20"/>
        </w:rPr>
        <w:t xml:space="preserve"> of the international negotiations.</w:t>
      </w:r>
      <w:r w:rsidR="00DF0457">
        <w:rPr>
          <w:rFonts w:ascii="Arial" w:hAnsi="Arial" w:cs="Arial"/>
          <w:sz w:val="20"/>
          <w:szCs w:val="20"/>
        </w:rPr>
        <w:t xml:space="preserve"> </w:t>
      </w:r>
      <w:r w:rsidR="00117EAF">
        <w:rPr>
          <w:rFonts w:ascii="Arial" w:hAnsi="Arial" w:cs="Arial"/>
          <w:sz w:val="20"/>
          <w:szCs w:val="20"/>
        </w:rPr>
        <w:t xml:space="preserve">Before </w:t>
      </w:r>
      <w:r w:rsidR="00763005">
        <w:rPr>
          <w:rFonts w:ascii="Arial" w:hAnsi="Arial" w:cs="Arial"/>
          <w:sz w:val="20"/>
          <w:szCs w:val="20"/>
        </w:rPr>
        <w:t xml:space="preserve">exploring </w:t>
      </w:r>
      <w:r w:rsidR="009F37A5">
        <w:rPr>
          <w:rFonts w:ascii="Arial" w:hAnsi="Arial" w:cs="Arial"/>
          <w:sz w:val="20"/>
          <w:szCs w:val="20"/>
        </w:rPr>
        <w:t>these dynamics</w:t>
      </w:r>
      <w:r w:rsidR="0025594A">
        <w:rPr>
          <w:rFonts w:ascii="Arial" w:hAnsi="Arial" w:cs="Arial"/>
          <w:sz w:val="20"/>
          <w:szCs w:val="20"/>
        </w:rPr>
        <w:t xml:space="preserve"> and </w:t>
      </w:r>
      <w:r w:rsidR="0024497C">
        <w:rPr>
          <w:rFonts w:ascii="Arial" w:hAnsi="Arial" w:cs="Arial"/>
          <w:sz w:val="20"/>
          <w:szCs w:val="20"/>
        </w:rPr>
        <w:t>how they affect the EU negotiators,</w:t>
      </w:r>
      <w:r w:rsidR="0025594A">
        <w:rPr>
          <w:rFonts w:ascii="Arial" w:hAnsi="Arial" w:cs="Arial"/>
          <w:sz w:val="20"/>
          <w:szCs w:val="20"/>
        </w:rPr>
        <w:t xml:space="preserve"> particular </w:t>
      </w:r>
      <w:r w:rsidR="0024497C">
        <w:rPr>
          <w:rFonts w:ascii="Arial" w:hAnsi="Arial" w:cs="Arial"/>
          <w:sz w:val="20"/>
          <w:szCs w:val="20"/>
        </w:rPr>
        <w:t xml:space="preserve">focusing on the </w:t>
      </w:r>
      <w:r w:rsidR="0025594A">
        <w:rPr>
          <w:rFonts w:ascii="Arial" w:hAnsi="Arial" w:cs="Arial"/>
          <w:sz w:val="20"/>
          <w:szCs w:val="20"/>
        </w:rPr>
        <w:t>impact of the EP</w:t>
      </w:r>
      <w:r w:rsidR="00D23EE4">
        <w:rPr>
          <w:rFonts w:ascii="Arial" w:hAnsi="Arial" w:cs="Arial"/>
          <w:sz w:val="20"/>
          <w:szCs w:val="20"/>
        </w:rPr>
        <w:t xml:space="preserve">, </w:t>
      </w:r>
      <w:r w:rsidR="00117EAF">
        <w:rPr>
          <w:rFonts w:ascii="Arial" w:hAnsi="Arial" w:cs="Arial"/>
          <w:sz w:val="20"/>
          <w:szCs w:val="20"/>
        </w:rPr>
        <w:t>the BTIA negotiations are set in t</w:t>
      </w:r>
      <w:r w:rsidR="0064464F">
        <w:rPr>
          <w:rFonts w:ascii="Arial" w:hAnsi="Arial" w:cs="Arial"/>
          <w:sz w:val="20"/>
          <w:szCs w:val="20"/>
        </w:rPr>
        <w:t xml:space="preserve">he context of the increasingly </w:t>
      </w:r>
      <w:r w:rsidR="00117EAF">
        <w:rPr>
          <w:rFonts w:ascii="Arial" w:hAnsi="Arial" w:cs="Arial"/>
          <w:sz w:val="20"/>
          <w:szCs w:val="20"/>
        </w:rPr>
        <w:t xml:space="preserve">symmetrical relationship between the EU and India. </w:t>
      </w:r>
    </w:p>
    <w:p w14:paraId="6C030607" w14:textId="77777777" w:rsidR="00DF0457" w:rsidRDefault="00DF0457" w:rsidP="00C23944">
      <w:pPr>
        <w:spacing w:line="480" w:lineRule="auto"/>
        <w:jc w:val="both"/>
        <w:rPr>
          <w:rFonts w:ascii="Arial" w:hAnsi="Arial" w:cs="Arial"/>
          <w:sz w:val="20"/>
          <w:szCs w:val="20"/>
        </w:rPr>
      </w:pPr>
    </w:p>
    <w:p w14:paraId="4CD9A772" w14:textId="2F0A5A71" w:rsidR="00DF0457" w:rsidRPr="00C23944" w:rsidRDefault="00763005" w:rsidP="0064464F">
      <w:pPr>
        <w:spacing w:line="480" w:lineRule="auto"/>
        <w:jc w:val="both"/>
        <w:rPr>
          <w:rFonts w:ascii="Arial" w:hAnsi="Arial" w:cs="Arial"/>
          <w:sz w:val="20"/>
          <w:szCs w:val="20"/>
        </w:rPr>
      </w:pPr>
      <w:r>
        <w:rPr>
          <w:rFonts w:ascii="Arial" w:hAnsi="Arial" w:cs="Arial"/>
          <w:sz w:val="20"/>
          <w:szCs w:val="20"/>
        </w:rPr>
        <w:t xml:space="preserve">The EU </w:t>
      </w:r>
      <w:r w:rsidR="00047074">
        <w:rPr>
          <w:rFonts w:ascii="Arial" w:hAnsi="Arial" w:cs="Arial"/>
          <w:sz w:val="20"/>
          <w:szCs w:val="20"/>
        </w:rPr>
        <w:t>has</w:t>
      </w:r>
      <w:r>
        <w:rPr>
          <w:rFonts w:ascii="Arial" w:hAnsi="Arial" w:cs="Arial"/>
          <w:sz w:val="20"/>
          <w:szCs w:val="20"/>
        </w:rPr>
        <w:t xml:space="preserve"> </w:t>
      </w:r>
      <w:r w:rsidR="00DF0457" w:rsidRPr="00C23944">
        <w:rPr>
          <w:rFonts w:ascii="Arial" w:hAnsi="Arial" w:cs="Arial"/>
          <w:sz w:val="20"/>
          <w:szCs w:val="20"/>
        </w:rPr>
        <w:t xml:space="preserve">generally </w:t>
      </w:r>
      <w:r w:rsidR="00047074">
        <w:rPr>
          <w:rFonts w:ascii="Arial" w:hAnsi="Arial" w:cs="Arial"/>
          <w:sz w:val="20"/>
          <w:szCs w:val="20"/>
        </w:rPr>
        <w:t xml:space="preserve">been </w:t>
      </w:r>
      <w:r w:rsidR="00DF0457" w:rsidRPr="00C23944">
        <w:rPr>
          <w:rFonts w:ascii="Arial" w:hAnsi="Arial" w:cs="Arial"/>
          <w:sz w:val="20"/>
          <w:szCs w:val="20"/>
        </w:rPr>
        <w:t>seen as a very powerful and influential negotiator with strong institutional capacity and memory, which</w:t>
      </w:r>
      <w:r>
        <w:rPr>
          <w:rFonts w:ascii="Arial" w:hAnsi="Arial" w:cs="Arial"/>
          <w:sz w:val="20"/>
          <w:szCs w:val="20"/>
        </w:rPr>
        <w:t xml:space="preserve"> together with its economic strength,</w:t>
      </w:r>
      <w:r w:rsidR="00DF0457" w:rsidRPr="00C23944">
        <w:rPr>
          <w:rFonts w:ascii="Arial" w:hAnsi="Arial" w:cs="Arial"/>
          <w:sz w:val="20"/>
          <w:szCs w:val="20"/>
        </w:rPr>
        <w:t xml:space="preserve"> has given it a</w:t>
      </w:r>
      <w:r>
        <w:rPr>
          <w:rFonts w:ascii="Arial" w:hAnsi="Arial" w:cs="Arial"/>
          <w:sz w:val="20"/>
          <w:szCs w:val="20"/>
        </w:rPr>
        <w:t xml:space="preserve"> significant</w:t>
      </w:r>
      <w:r w:rsidR="00DF0457" w:rsidRPr="00C23944">
        <w:rPr>
          <w:rFonts w:ascii="Arial" w:hAnsi="Arial" w:cs="Arial"/>
          <w:sz w:val="20"/>
          <w:szCs w:val="20"/>
        </w:rPr>
        <w:t xml:space="preserve"> advantage over many of its negotiating partners (Woolcock 2005: 297). </w:t>
      </w:r>
      <w:r>
        <w:rPr>
          <w:rFonts w:ascii="Arial" w:hAnsi="Arial" w:cs="Arial"/>
          <w:sz w:val="20"/>
          <w:szCs w:val="20"/>
        </w:rPr>
        <w:t xml:space="preserve">However, the </w:t>
      </w:r>
      <w:r w:rsidRPr="00C23944">
        <w:rPr>
          <w:rFonts w:ascii="Arial" w:hAnsi="Arial" w:cs="Arial"/>
          <w:sz w:val="20"/>
          <w:szCs w:val="20"/>
        </w:rPr>
        <w:t xml:space="preserve">BTIA negotiations reflect a new generation of trade negotiations in which the EU faces </w:t>
      </w:r>
      <w:r>
        <w:rPr>
          <w:rFonts w:ascii="Arial" w:hAnsi="Arial" w:cs="Arial"/>
          <w:sz w:val="20"/>
          <w:szCs w:val="20"/>
        </w:rPr>
        <w:t>economically stronger</w:t>
      </w:r>
      <w:r w:rsidRPr="00C23944">
        <w:rPr>
          <w:rFonts w:ascii="Arial" w:hAnsi="Arial" w:cs="Arial"/>
          <w:sz w:val="20"/>
          <w:szCs w:val="20"/>
        </w:rPr>
        <w:t xml:space="preserve"> counterparts, such as Canada, Japan, South Korea and the US</w:t>
      </w:r>
      <w:r w:rsidR="0064464F">
        <w:rPr>
          <w:rFonts w:ascii="Arial" w:hAnsi="Arial" w:cs="Arial"/>
          <w:sz w:val="20"/>
          <w:szCs w:val="20"/>
        </w:rPr>
        <w:t xml:space="preserve">, </w:t>
      </w:r>
      <w:r w:rsidR="00DF0457" w:rsidRPr="00C23944">
        <w:rPr>
          <w:rFonts w:ascii="Arial" w:hAnsi="Arial" w:cs="Arial"/>
          <w:sz w:val="20"/>
          <w:szCs w:val="20"/>
        </w:rPr>
        <w:t>and the asymmetrical nature that has dominated many of the EU’s international trade negotiations (Duchesne and Morin 2013: 6) cannot be seen in this case.</w:t>
      </w:r>
      <w:r w:rsidR="0064464F">
        <w:rPr>
          <w:rFonts w:ascii="Arial" w:hAnsi="Arial" w:cs="Arial"/>
          <w:sz w:val="20"/>
          <w:szCs w:val="20"/>
        </w:rPr>
        <w:t xml:space="preserve"> </w:t>
      </w:r>
      <w:r w:rsidR="00DF0457" w:rsidRPr="00C23944">
        <w:rPr>
          <w:rFonts w:ascii="Arial" w:hAnsi="Arial" w:cs="Arial"/>
          <w:sz w:val="20"/>
          <w:szCs w:val="20"/>
        </w:rPr>
        <w:t>The EU’s relative strength has declined following the euro crisis, while India’s economy continues to expand. The EU sees India as a key p</w:t>
      </w:r>
      <w:r w:rsidR="00DF0457">
        <w:rPr>
          <w:rFonts w:ascii="Arial" w:hAnsi="Arial" w:cs="Arial"/>
          <w:sz w:val="20"/>
          <w:szCs w:val="20"/>
        </w:rPr>
        <w:t>layer in the Asian market, and B</w:t>
      </w:r>
      <w:r w:rsidR="00DF0457" w:rsidRPr="00C23944">
        <w:rPr>
          <w:rFonts w:ascii="Arial" w:hAnsi="Arial" w:cs="Arial"/>
          <w:sz w:val="20"/>
          <w:szCs w:val="20"/>
        </w:rPr>
        <w:t xml:space="preserve">TIA would help strengthen EU competitiveness in the global market and enhance </w:t>
      </w:r>
      <w:r w:rsidR="00DF0457">
        <w:rPr>
          <w:rFonts w:ascii="Arial" w:hAnsi="Arial" w:cs="Arial"/>
          <w:sz w:val="20"/>
          <w:szCs w:val="20"/>
        </w:rPr>
        <w:t xml:space="preserve">its role as </w:t>
      </w:r>
      <w:r w:rsidR="00DF0457" w:rsidRPr="00C23944">
        <w:rPr>
          <w:rFonts w:ascii="Arial" w:hAnsi="Arial" w:cs="Arial"/>
          <w:sz w:val="20"/>
          <w:szCs w:val="20"/>
        </w:rPr>
        <w:t>a global actor (Khandekar and Sengupta 2012). For India, the EU is however no longer seen as relevant as it used to. India suffered less from the economic crisis in 2008, and it is integrating further into the growing Asian market. For example, its trade with the EU is growing at a slower rate than its trade with other Asian countries such as China and Korea (Winand et al. 2015: 2</w:t>
      </w:r>
      <w:r w:rsidR="00DF0457">
        <w:rPr>
          <w:rFonts w:ascii="Arial" w:hAnsi="Arial" w:cs="Arial"/>
          <w:sz w:val="20"/>
          <w:szCs w:val="20"/>
        </w:rPr>
        <w:t xml:space="preserve">). </w:t>
      </w:r>
      <w:r w:rsidR="00DF0457" w:rsidRPr="00C23944">
        <w:rPr>
          <w:rFonts w:ascii="Arial" w:hAnsi="Arial" w:cs="Arial"/>
          <w:sz w:val="20"/>
          <w:szCs w:val="20"/>
        </w:rPr>
        <w:t>In addition, the EU has so far had low priority for the new Modi government, which frequently expressed its opposition to BTIA during the previous government led by Prime Minister Singh (Winland et al. 2015: 8-9). Naturally the Indian economy would benefit from BTIA, and the EU is an attractive market for specific sectors of the Indian economy, but it is clear that it will not be committed to an agreement beyond its own terms</w:t>
      </w:r>
      <w:r w:rsidR="00DF0457">
        <w:rPr>
          <w:rFonts w:ascii="Arial" w:hAnsi="Arial" w:cs="Arial"/>
          <w:sz w:val="20"/>
          <w:szCs w:val="20"/>
        </w:rPr>
        <w:t>. In addition, India is recogniz</w:t>
      </w:r>
      <w:r w:rsidR="00DF0457" w:rsidRPr="00C23944">
        <w:rPr>
          <w:rFonts w:ascii="Arial" w:hAnsi="Arial" w:cs="Arial"/>
          <w:sz w:val="20"/>
          <w:szCs w:val="20"/>
        </w:rPr>
        <w:t xml:space="preserve">ed as a ‘tough negotiating counterpart’ and a ‘hardliner with a defensive strategy’ (Ramdasi 2010: 35). As a result, the BTIA negotiations take place in a context of relative equal bargaining power. </w:t>
      </w:r>
    </w:p>
    <w:p w14:paraId="5F1C5013" w14:textId="0CDF27ED" w:rsidR="00D7108B" w:rsidRDefault="00D7108B" w:rsidP="00D7108B">
      <w:pPr>
        <w:spacing w:line="480" w:lineRule="auto"/>
        <w:jc w:val="both"/>
        <w:rPr>
          <w:rFonts w:ascii="Arial" w:hAnsi="Arial" w:cs="Arial"/>
          <w:sz w:val="20"/>
          <w:szCs w:val="20"/>
        </w:rPr>
      </w:pPr>
    </w:p>
    <w:p w14:paraId="3B9CB695" w14:textId="3630F5D0" w:rsidR="000404A9" w:rsidRDefault="00D23EE4" w:rsidP="000529BB">
      <w:pPr>
        <w:tabs>
          <w:tab w:val="left" w:pos="1928"/>
        </w:tabs>
        <w:spacing w:line="480" w:lineRule="auto"/>
        <w:jc w:val="both"/>
        <w:rPr>
          <w:rFonts w:ascii="Arial" w:hAnsi="Arial" w:cs="Arial"/>
          <w:sz w:val="20"/>
          <w:szCs w:val="20"/>
        </w:rPr>
      </w:pPr>
      <w:r>
        <w:rPr>
          <w:rFonts w:ascii="Arial" w:hAnsi="Arial" w:cs="Arial"/>
          <w:sz w:val="20"/>
          <w:szCs w:val="20"/>
        </w:rPr>
        <w:t xml:space="preserve">Given this level of symmetry, </w:t>
      </w:r>
      <w:r w:rsidR="00DB2B4E">
        <w:rPr>
          <w:rFonts w:ascii="Arial" w:hAnsi="Arial" w:cs="Arial"/>
          <w:sz w:val="20"/>
          <w:szCs w:val="20"/>
        </w:rPr>
        <w:t xml:space="preserve">it is clear that </w:t>
      </w:r>
      <w:r>
        <w:rPr>
          <w:rFonts w:ascii="Arial" w:hAnsi="Arial" w:cs="Arial"/>
          <w:sz w:val="20"/>
          <w:szCs w:val="20"/>
        </w:rPr>
        <w:t xml:space="preserve">the EU negotiators </w:t>
      </w:r>
      <w:r w:rsidR="00DB2B4E">
        <w:rPr>
          <w:rFonts w:ascii="Arial" w:hAnsi="Arial" w:cs="Arial"/>
          <w:sz w:val="20"/>
          <w:szCs w:val="20"/>
        </w:rPr>
        <w:t xml:space="preserve">will meet resistance in the areas where there are </w:t>
      </w:r>
      <w:r w:rsidR="000529BB">
        <w:rPr>
          <w:rFonts w:ascii="Arial" w:hAnsi="Arial" w:cs="Arial"/>
          <w:sz w:val="20"/>
          <w:szCs w:val="20"/>
        </w:rPr>
        <w:t xml:space="preserve">strong </w:t>
      </w:r>
      <w:r w:rsidR="00DB2B4E">
        <w:rPr>
          <w:rFonts w:ascii="Arial" w:hAnsi="Arial" w:cs="Arial"/>
          <w:sz w:val="20"/>
          <w:szCs w:val="20"/>
        </w:rPr>
        <w:t>divergence</w:t>
      </w:r>
      <w:r w:rsidR="0025594A">
        <w:rPr>
          <w:rFonts w:ascii="Arial" w:hAnsi="Arial" w:cs="Arial"/>
          <w:sz w:val="20"/>
          <w:szCs w:val="20"/>
        </w:rPr>
        <w:t>s</w:t>
      </w:r>
      <w:r w:rsidR="00DB2B4E">
        <w:rPr>
          <w:rFonts w:ascii="Arial" w:hAnsi="Arial" w:cs="Arial"/>
          <w:sz w:val="20"/>
          <w:szCs w:val="20"/>
        </w:rPr>
        <w:t xml:space="preserve"> in preferences between the</w:t>
      </w:r>
      <w:r w:rsidR="000529BB">
        <w:rPr>
          <w:rFonts w:ascii="Arial" w:hAnsi="Arial" w:cs="Arial"/>
          <w:sz w:val="20"/>
          <w:szCs w:val="20"/>
        </w:rPr>
        <w:t xml:space="preserve"> EU</w:t>
      </w:r>
      <w:r w:rsidR="00DB2B4E">
        <w:rPr>
          <w:rFonts w:ascii="Arial" w:hAnsi="Arial" w:cs="Arial"/>
          <w:sz w:val="20"/>
          <w:szCs w:val="20"/>
        </w:rPr>
        <w:t xml:space="preserve"> and India. In the case of market access</w:t>
      </w:r>
      <w:r w:rsidR="000529BB">
        <w:rPr>
          <w:rFonts w:ascii="Arial" w:hAnsi="Arial" w:cs="Arial"/>
          <w:sz w:val="20"/>
          <w:szCs w:val="20"/>
        </w:rPr>
        <w:t xml:space="preserve">, </w:t>
      </w:r>
      <w:r w:rsidR="00144C29">
        <w:rPr>
          <w:rFonts w:ascii="Arial" w:hAnsi="Arial" w:cs="Arial"/>
          <w:sz w:val="20"/>
          <w:szCs w:val="20"/>
        </w:rPr>
        <w:t>t</w:t>
      </w:r>
      <w:r w:rsidR="000529BB">
        <w:rPr>
          <w:rFonts w:ascii="Arial" w:hAnsi="Arial" w:cs="Arial"/>
          <w:sz w:val="20"/>
          <w:szCs w:val="20"/>
        </w:rPr>
        <w:t>he</w:t>
      </w:r>
      <w:r w:rsidR="000529BB" w:rsidRPr="00C23944">
        <w:rPr>
          <w:rFonts w:ascii="Arial" w:hAnsi="Arial" w:cs="Arial"/>
          <w:sz w:val="20"/>
          <w:szCs w:val="20"/>
        </w:rPr>
        <w:t xml:space="preserve"> EU negotiators have had to work hard to get India to gradually meet at least some of the EU demands. Although they have succeeded in lowering many of the tariffs in India’s initial offer, the deal on the table is still far from the preferences of </w:t>
      </w:r>
      <w:r w:rsidR="00144C29">
        <w:rPr>
          <w:rFonts w:ascii="Arial" w:hAnsi="Arial" w:cs="Arial"/>
          <w:sz w:val="20"/>
          <w:szCs w:val="20"/>
        </w:rPr>
        <w:t xml:space="preserve">both the </w:t>
      </w:r>
      <w:r w:rsidR="000529BB" w:rsidRPr="00C23944">
        <w:rPr>
          <w:rFonts w:ascii="Arial" w:hAnsi="Arial" w:cs="Arial"/>
          <w:sz w:val="20"/>
          <w:szCs w:val="20"/>
        </w:rPr>
        <w:t>Council</w:t>
      </w:r>
      <w:r w:rsidR="00144C29">
        <w:rPr>
          <w:rFonts w:ascii="Arial" w:hAnsi="Arial" w:cs="Arial"/>
          <w:sz w:val="20"/>
          <w:szCs w:val="20"/>
        </w:rPr>
        <w:t xml:space="preserve"> and the EP. However, the </w:t>
      </w:r>
      <w:r w:rsidR="00144C29" w:rsidRPr="00C23944">
        <w:rPr>
          <w:rFonts w:ascii="Arial" w:hAnsi="Arial" w:cs="Arial"/>
          <w:sz w:val="20"/>
          <w:szCs w:val="20"/>
        </w:rPr>
        <w:t xml:space="preserve">Indian negotiators feel that they have already conceded a lot </w:t>
      </w:r>
      <w:r w:rsidR="00144C29">
        <w:rPr>
          <w:rFonts w:ascii="Arial" w:hAnsi="Arial" w:cs="Arial"/>
          <w:sz w:val="20"/>
          <w:szCs w:val="20"/>
        </w:rPr>
        <w:t>a</w:t>
      </w:r>
      <w:r w:rsidR="00144C29" w:rsidRPr="00C23944">
        <w:rPr>
          <w:rFonts w:ascii="Arial" w:hAnsi="Arial" w:cs="Arial"/>
          <w:sz w:val="20"/>
          <w:szCs w:val="20"/>
        </w:rPr>
        <w:t xml:space="preserve">nd they will not be pushed into making </w:t>
      </w:r>
      <w:r w:rsidR="00280841">
        <w:rPr>
          <w:rFonts w:ascii="Arial" w:hAnsi="Arial" w:cs="Arial"/>
          <w:sz w:val="20"/>
          <w:szCs w:val="20"/>
        </w:rPr>
        <w:t xml:space="preserve">further </w:t>
      </w:r>
      <w:r w:rsidR="00144C29" w:rsidRPr="00C23944">
        <w:rPr>
          <w:rFonts w:ascii="Arial" w:hAnsi="Arial" w:cs="Arial"/>
          <w:sz w:val="20"/>
          <w:szCs w:val="20"/>
        </w:rPr>
        <w:t xml:space="preserve">concessions without </w:t>
      </w:r>
      <w:r w:rsidR="00144C29">
        <w:rPr>
          <w:rFonts w:ascii="Arial" w:hAnsi="Arial" w:cs="Arial"/>
          <w:sz w:val="20"/>
          <w:szCs w:val="20"/>
        </w:rPr>
        <w:t xml:space="preserve">their own </w:t>
      </w:r>
      <w:r w:rsidR="00144C29" w:rsidRPr="00C23944">
        <w:rPr>
          <w:rFonts w:ascii="Arial" w:hAnsi="Arial" w:cs="Arial"/>
          <w:sz w:val="20"/>
          <w:szCs w:val="20"/>
        </w:rPr>
        <w:t xml:space="preserve">domestic support (Interview, representative of the Indian negotiating team, 9/3/2013). </w:t>
      </w:r>
      <w:r w:rsidR="004E796D">
        <w:rPr>
          <w:rFonts w:ascii="Arial" w:hAnsi="Arial" w:cs="Arial"/>
          <w:sz w:val="20"/>
          <w:szCs w:val="20"/>
        </w:rPr>
        <w:t xml:space="preserve">This firm stance by India is reflected upon by </w:t>
      </w:r>
      <w:r w:rsidR="00144C29">
        <w:rPr>
          <w:rFonts w:ascii="Arial" w:hAnsi="Arial" w:cs="Arial"/>
          <w:sz w:val="20"/>
          <w:szCs w:val="20"/>
        </w:rPr>
        <w:t>one</w:t>
      </w:r>
      <w:r w:rsidR="00144C29" w:rsidRPr="00C23944">
        <w:rPr>
          <w:rFonts w:ascii="Arial" w:hAnsi="Arial" w:cs="Arial"/>
          <w:sz w:val="20"/>
          <w:szCs w:val="20"/>
        </w:rPr>
        <w:t xml:space="preserve"> Commission official: ‘As time goes by we have lowered our expectations, dropped some products</w:t>
      </w:r>
      <w:r w:rsidR="00144C29">
        <w:rPr>
          <w:rFonts w:ascii="Arial" w:hAnsi="Arial" w:cs="Arial"/>
          <w:sz w:val="20"/>
          <w:szCs w:val="20"/>
        </w:rPr>
        <w:t>…. o</w:t>
      </w:r>
      <w:r w:rsidR="00144C29" w:rsidRPr="00C23944">
        <w:rPr>
          <w:rFonts w:ascii="Arial" w:hAnsi="Arial" w:cs="Arial"/>
          <w:sz w:val="20"/>
          <w:szCs w:val="20"/>
        </w:rPr>
        <w:t>ur demands have been watered down just by force of nature’ (Interview, 8/3/2013).</w:t>
      </w:r>
      <w:r w:rsidR="00144C29" w:rsidRPr="00144C29">
        <w:rPr>
          <w:rFonts w:ascii="Arial" w:hAnsi="Arial" w:cs="Arial"/>
          <w:sz w:val="20"/>
          <w:szCs w:val="20"/>
        </w:rPr>
        <w:t xml:space="preserve"> </w:t>
      </w:r>
      <w:r w:rsidR="000529BB" w:rsidRPr="00C23944">
        <w:rPr>
          <w:rFonts w:ascii="Arial" w:hAnsi="Arial" w:cs="Arial"/>
          <w:sz w:val="20"/>
          <w:szCs w:val="20"/>
        </w:rPr>
        <w:t xml:space="preserve">For the </w:t>
      </w:r>
      <w:r w:rsidR="004E796D">
        <w:rPr>
          <w:rFonts w:ascii="Arial" w:hAnsi="Arial" w:cs="Arial"/>
          <w:sz w:val="20"/>
          <w:szCs w:val="20"/>
        </w:rPr>
        <w:t xml:space="preserve">EU </w:t>
      </w:r>
      <w:r w:rsidR="000529BB" w:rsidRPr="00C23944">
        <w:rPr>
          <w:rFonts w:ascii="Arial" w:hAnsi="Arial" w:cs="Arial"/>
          <w:sz w:val="20"/>
          <w:szCs w:val="20"/>
        </w:rPr>
        <w:t xml:space="preserve">negotiators it is thus a question of </w:t>
      </w:r>
      <w:r w:rsidR="00DA7DF7">
        <w:rPr>
          <w:rFonts w:ascii="Arial" w:hAnsi="Arial" w:cs="Arial"/>
          <w:sz w:val="20"/>
          <w:szCs w:val="20"/>
        </w:rPr>
        <w:t xml:space="preserve">trying to maintain </w:t>
      </w:r>
      <w:r w:rsidR="000529BB" w:rsidRPr="00C23944">
        <w:rPr>
          <w:rFonts w:ascii="Arial" w:hAnsi="Arial" w:cs="Arial"/>
          <w:sz w:val="20"/>
          <w:szCs w:val="20"/>
        </w:rPr>
        <w:t xml:space="preserve">an offensive approach and </w:t>
      </w:r>
      <w:r w:rsidR="00DA7DF7">
        <w:rPr>
          <w:rFonts w:ascii="Arial" w:hAnsi="Arial" w:cs="Arial"/>
          <w:sz w:val="20"/>
          <w:szCs w:val="20"/>
        </w:rPr>
        <w:t>p</w:t>
      </w:r>
      <w:r w:rsidR="000529BB" w:rsidRPr="00C23944">
        <w:rPr>
          <w:rFonts w:ascii="Arial" w:hAnsi="Arial" w:cs="Arial"/>
          <w:sz w:val="20"/>
          <w:szCs w:val="20"/>
        </w:rPr>
        <w:t>ush for furth</w:t>
      </w:r>
      <w:r w:rsidR="00DA7DF7">
        <w:rPr>
          <w:rFonts w:ascii="Arial" w:hAnsi="Arial" w:cs="Arial"/>
          <w:sz w:val="20"/>
          <w:szCs w:val="20"/>
        </w:rPr>
        <w:t>er tariff reductions at Level I</w:t>
      </w:r>
      <w:r w:rsidR="000529BB" w:rsidRPr="00C23944">
        <w:rPr>
          <w:rFonts w:ascii="Arial" w:hAnsi="Arial" w:cs="Arial"/>
          <w:sz w:val="20"/>
          <w:szCs w:val="20"/>
        </w:rPr>
        <w:t xml:space="preserve"> </w:t>
      </w:r>
      <w:r w:rsidR="00DA7DF7">
        <w:rPr>
          <w:rFonts w:ascii="Arial" w:hAnsi="Arial" w:cs="Arial"/>
          <w:sz w:val="20"/>
          <w:szCs w:val="20"/>
        </w:rPr>
        <w:t xml:space="preserve">in an attempt </w:t>
      </w:r>
      <w:r w:rsidR="000529BB" w:rsidRPr="00C23944">
        <w:rPr>
          <w:rFonts w:ascii="Arial" w:hAnsi="Arial" w:cs="Arial"/>
          <w:sz w:val="20"/>
          <w:szCs w:val="20"/>
        </w:rPr>
        <w:t xml:space="preserve">to widen India’s win-set, while at the same time seeking to widen the domestic win-set by convincing </w:t>
      </w:r>
      <w:r w:rsidR="00280841">
        <w:rPr>
          <w:rFonts w:ascii="Arial" w:hAnsi="Arial" w:cs="Arial"/>
          <w:sz w:val="20"/>
          <w:szCs w:val="20"/>
        </w:rPr>
        <w:t>their</w:t>
      </w:r>
      <w:r w:rsidR="000529BB" w:rsidRPr="00C23944">
        <w:rPr>
          <w:rFonts w:ascii="Arial" w:hAnsi="Arial" w:cs="Arial"/>
          <w:sz w:val="20"/>
          <w:szCs w:val="20"/>
        </w:rPr>
        <w:t xml:space="preserve"> own constituents</w:t>
      </w:r>
      <w:r w:rsidR="00DA7DF7">
        <w:rPr>
          <w:rFonts w:ascii="Arial" w:hAnsi="Arial" w:cs="Arial"/>
          <w:sz w:val="20"/>
          <w:szCs w:val="20"/>
        </w:rPr>
        <w:t xml:space="preserve"> </w:t>
      </w:r>
      <w:r w:rsidR="000529BB" w:rsidRPr="00C23944">
        <w:rPr>
          <w:rFonts w:ascii="Arial" w:hAnsi="Arial" w:cs="Arial"/>
          <w:sz w:val="20"/>
          <w:szCs w:val="20"/>
        </w:rPr>
        <w:t xml:space="preserve">that soon they will have reached the best possible offer they can get from India, and that the Member States </w:t>
      </w:r>
      <w:r w:rsidR="00DA7DF7">
        <w:rPr>
          <w:rFonts w:ascii="Arial" w:hAnsi="Arial" w:cs="Arial"/>
          <w:sz w:val="20"/>
          <w:szCs w:val="20"/>
        </w:rPr>
        <w:t xml:space="preserve">and the EP have </w:t>
      </w:r>
      <w:r w:rsidR="000529BB" w:rsidRPr="00C23944">
        <w:rPr>
          <w:rFonts w:ascii="Arial" w:hAnsi="Arial" w:cs="Arial"/>
          <w:sz w:val="20"/>
          <w:szCs w:val="20"/>
        </w:rPr>
        <w:t xml:space="preserve">to lower their expectations (Interview, Commission official, 7/3/2013). </w:t>
      </w:r>
      <w:r w:rsidR="0025594A">
        <w:rPr>
          <w:rFonts w:ascii="Arial" w:hAnsi="Arial" w:cs="Arial"/>
          <w:sz w:val="20"/>
          <w:szCs w:val="20"/>
        </w:rPr>
        <w:t xml:space="preserve">This shows how the negotiators are ready to compromise on their market access preferences in order for an agreement to be reached. </w:t>
      </w:r>
    </w:p>
    <w:p w14:paraId="7780D840" w14:textId="77777777" w:rsidR="000404A9" w:rsidRDefault="000404A9" w:rsidP="000529BB">
      <w:pPr>
        <w:tabs>
          <w:tab w:val="left" w:pos="1928"/>
        </w:tabs>
        <w:spacing w:line="480" w:lineRule="auto"/>
        <w:jc w:val="both"/>
        <w:rPr>
          <w:rFonts w:ascii="Arial" w:hAnsi="Arial" w:cs="Arial"/>
          <w:sz w:val="20"/>
          <w:szCs w:val="20"/>
        </w:rPr>
      </w:pPr>
    </w:p>
    <w:p w14:paraId="35101431" w14:textId="1A56A73C" w:rsidR="00B825EE" w:rsidRPr="00C23944" w:rsidRDefault="000404A9" w:rsidP="00E26566">
      <w:pPr>
        <w:tabs>
          <w:tab w:val="left" w:pos="1928"/>
        </w:tabs>
        <w:spacing w:line="480" w:lineRule="auto"/>
        <w:jc w:val="both"/>
        <w:rPr>
          <w:rFonts w:ascii="Arial" w:hAnsi="Arial" w:cs="Arial"/>
          <w:sz w:val="20"/>
          <w:szCs w:val="20"/>
        </w:rPr>
      </w:pPr>
      <w:r>
        <w:rPr>
          <w:rFonts w:ascii="Arial" w:hAnsi="Arial" w:cs="Arial"/>
          <w:sz w:val="20"/>
          <w:szCs w:val="20"/>
        </w:rPr>
        <w:t>Although the impact of</w:t>
      </w:r>
      <w:r w:rsidR="00D67F1C">
        <w:rPr>
          <w:rFonts w:ascii="Arial" w:hAnsi="Arial" w:cs="Arial"/>
          <w:sz w:val="20"/>
          <w:szCs w:val="20"/>
        </w:rPr>
        <w:t xml:space="preserve"> the EP is limited in this case</w:t>
      </w:r>
      <w:r>
        <w:rPr>
          <w:rFonts w:ascii="Arial" w:hAnsi="Arial" w:cs="Arial"/>
          <w:sz w:val="20"/>
          <w:szCs w:val="20"/>
        </w:rPr>
        <w:t xml:space="preserve"> as there is such strong convergence in market access preferences </w:t>
      </w:r>
      <w:r w:rsidR="0025594A">
        <w:rPr>
          <w:rFonts w:ascii="Arial" w:hAnsi="Arial" w:cs="Arial"/>
          <w:sz w:val="20"/>
          <w:szCs w:val="20"/>
        </w:rPr>
        <w:t xml:space="preserve">within the EU, </w:t>
      </w:r>
      <w:r w:rsidR="000F410F">
        <w:rPr>
          <w:rFonts w:ascii="Arial" w:hAnsi="Arial" w:cs="Arial"/>
          <w:sz w:val="20"/>
          <w:szCs w:val="20"/>
        </w:rPr>
        <w:t xml:space="preserve">it </w:t>
      </w:r>
      <w:r w:rsidR="00D67F1C">
        <w:rPr>
          <w:rFonts w:ascii="Arial" w:hAnsi="Arial" w:cs="Arial"/>
          <w:sz w:val="20"/>
          <w:szCs w:val="20"/>
        </w:rPr>
        <w:t xml:space="preserve">reinforces </w:t>
      </w:r>
      <w:r w:rsidR="000F410F">
        <w:rPr>
          <w:rFonts w:ascii="Arial" w:hAnsi="Arial" w:cs="Arial"/>
          <w:sz w:val="20"/>
          <w:szCs w:val="20"/>
        </w:rPr>
        <w:t xml:space="preserve">the </w:t>
      </w:r>
      <w:r w:rsidR="00D67F1C">
        <w:rPr>
          <w:rFonts w:ascii="Arial" w:hAnsi="Arial" w:cs="Arial"/>
          <w:sz w:val="20"/>
          <w:szCs w:val="20"/>
        </w:rPr>
        <w:t xml:space="preserve">contours of </w:t>
      </w:r>
      <w:r w:rsidR="000F410F">
        <w:rPr>
          <w:rFonts w:ascii="Arial" w:hAnsi="Arial" w:cs="Arial"/>
          <w:sz w:val="20"/>
          <w:szCs w:val="20"/>
        </w:rPr>
        <w:t xml:space="preserve">EU </w:t>
      </w:r>
      <w:r w:rsidR="0025594A">
        <w:rPr>
          <w:rFonts w:ascii="Arial" w:hAnsi="Arial" w:cs="Arial"/>
          <w:sz w:val="20"/>
          <w:szCs w:val="20"/>
        </w:rPr>
        <w:t xml:space="preserve">domestic </w:t>
      </w:r>
      <w:r w:rsidR="006E556B">
        <w:rPr>
          <w:rFonts w:ascii="Arial" w:hAnsi="Arial" w:cs="Arial"/>
          <w:sz w:val="20"/>
          <w:szCs w:val="20"/>
        </w:rPr>
        <w:t>wi</w:t>
      </w:r>
      <w:r w:rsidR="00D67F1C">
        <w:rPr>
          <w:rFonts w:ascii="Arial" w:hAnsi="Arial" w:cs="Arial"/>
          <w:sz w:val="20"/>
          <w:szCs w:val="20"/>
        </w:rPr>
        <w:t>n-set</w:t>
      </w:r>
      <w:r w:rsidR="000F410F">
        <w:rPr>
          <w:rFonts w:ascii="Arial" w:hAnsi="Arial" w:cs="Arial"/>
          <w:sz w:val="20"/>
          <w:szCs w:val="20"/>
        </w:rPr>
        <w:t xml:space="preserve">. </w:t>
      </w:r>
      <w:r w:rsidR="00D67F1C">
        <w:rPr>
          <w:rFonts w:ascii="Arial" w:hAnsi="Arial" w:cs="Arial"/>
          <w:sz w:val="20"/>
          <w:szCs w:val="20"/>
        </w:rPr>
        <w:t>A</w:t>
      </w:r>
      <w:r w:rsidR="000F410F">
        <w:rPr>
          <w:rFonts w:ascii="Arial" w:hAnsi="Arial" w:cs="Arial"/>
          <w:sz w:val="20"/>
          <w:szCs w:val="20"/>
        </w:rPr>
        <w:t>s shown above</w:t>
      </w:r>
      <w:r w:rsidR="007F779C">
        <w:rPr>
          <w:rFonts w:ascii="Arial" w:hAnsi="Arial" w:cs="Arial"/>
          <w:sz w:val="20"/>
          <w:szCs w:val="20"/>
        </w:rPr>
        <w:t>,</w:t>
      </w:r>
      <w:r w:rsidR="000F410F">
        <w:rPr>
          <w:rFonts w:ascii="Arial" w:hAnsi="Arial" w:cs="Arial"/>
          <w:sz w:val="20"/>
          <w:szCs w:val="20"/>
        </w:rPr>
        <w:t xml:space="preserve"> this </w:t>
      </w:r>
      <w:r w:rsidR="00D67F1C">
        <w:rPr>
          <w:rFonts w:ascii="Arial" w:hAnsi="Arial" w:cs="Arial"/>
          <w:sz w:val="20"/>
          <w:szCs w:val="20"/>
        </w:rPr>
        <w:t xml:space="preserve">does </w:t>
      </w:r>
      <w:r w:rsidR="000F410F">
        <w:rPr>
          <w:rFonts w:ascii="Arial" w:hAnsi="Arial" w:cs="Arial"/>
          <w:sz w:val="20"/>
          <w:szCs w:val="20"/>
        </w:rPr>
        <w:t>not ma</w:t>
      </w:r>
      <w:r w:rsidR="004E0111">
        <w:rPr>
          <w:rFonts w:ascii="Arial" w:hAnsi="Arial" w:cs="Arial"/>
          <w:sz w:val="20"/>
          <w:szCs w:val="20"/>
        </w:rPr>
        <w:t>k</w:t>
      </w:r>
      <w:r w:rsidR="000F410F">
        <w:rPr>
          <w:rFonts w:ascii="Arial" w:hAnsi="Arial" w:cs="Arial"/>
          <w:sz w:val="20"/>
          <w:szCs w:val="20"/>
        </w:rPr>
        <w:t>e it any easier to reach an agreement with India</w:t>
      </w:r>
      <w:r w:rsidR="00D67F1C">
        <w:rPr>
          <w:rFonts w:ascii="Arial" w:hAnsi="Arial" w:cs="Arial"/>
          <w:sz w:val="20"/>
          <w:szCs w:val="20"/>
        </w:rPr>
        <w:t xml:space="preserve">, as the </w:t>
      </w:r>
      <w:r w:rsidR="007F779C">
        <w:rPr>
          <w:rFonts w:ascii="Arial" w:hAnsi="Arial" w:cs="Arial"/>
          <w:sz w:val="20"/>
          <w:szCs w:val="20"/>
        </w:rPr>
        <w:t>negotiators now have two domestic constituents that have to be persuaded to meet some of he concerns expr</w:t>
      </w:r>
      <w:r w:rsidR="006E556B">
        <w:rPr>
          <w:rFonts w:ascii="Arial" w:hAnsi="Arial" w:cs="Arial"/>
          <w:sz w:val="20"/>
          <w:szCs w:val="20"/>
        </w:rPr>
        <w:t xml:space="preserve">essed by India in order for the </w:t>
      </w:r>
      <w:r w:rsidR="007F779C">
        <w:rPr>
          <w:rFonts w:ascii="Arial" w:hAnsi="Arial" w:cs="Arial"/>
          <w:sz w:val="20"/>
          <w:szCs w:val="20"/>
        </w:rPr>
        <w:t>two win-sets to move closer to each other. I</w:t>
      </w:r>
      <w:r w:rsidR="000F410F">
        <w:rPr>
          <w:rFonts w:ascii="Arial" w:hAnsi="Arial" w:cs="Arial"/>
          <w:sz w:val="20"/>
          <w:szCs w:val="20"/>
        </w:rPr>
        <w:t xml:space="preserve">n </w:t>
      </w:r>
      <w:r w:rsidR="000529BB" w:rsidRPr="00C23944">
        <w:rPr>
          <w:rFonts w:ascii="Arial" w:hAnsi="Arial" w:cs="Arial"/>
          <w:sz w:val="20"/>
          <w:szCs w:val="20"/>
        </w:rPr>
        <w:t>the words of Putnam (1988: 444): ‘Glancing over his shoulder at Level II, the negotiator’s main problem in a homogenous conflict is to manage the discrepancy between his constituents’ expectations and the negotiable outcome’</w:t>
      </w:r>
      <w:r w:rsidR="000F410F">
        <w:rPr>
          <w:rFonts w:ascii="Arial" w:hAnsi="Arial" w:cs="Arial"/>
          <w:sz w:val="20"/>
          <w:szCs w:val="20"/>
        </w:rPr>
        <w:t xml:space="preserve">. </w:t>
      </w:r>
      <w:r w:rsidR="000529BB" w:rsidRPr="00C23944">
        <w:rPr>
          <w:rFonts w:ascii="Arial" w:hAnsi="Arial" w:cs="Arial"/>
          <w:sz w:val="20"/>
          <w:szCs w:val="20"/>
        </w:rPr>
        <w:t xml:space="preserve"> </w:t>
      </w:r>
      <w:r w:rsidR="00DB2B4E" w:rsidRPr="00C23944">
        <w:rPr>
          <w:rFonts w:ascii="Arial" w:hAnsi="Arial" w:cs="Arial"/>
          <w:sz w:val="20"/>
          <w:szCs w:val="20"/>
        </w:rPr>
        <w:t>From the negotiators’ point of view, this is a very different dynamic from that of defending a package deal of both defensive and offensive interests vis-à-vis a negotiating partner that is dependent on the EU market</w:t>
      </w:r>
      <w:r w:rsidR="007F779C">
        <w:rPr>
          <w:rFonts w:ascii="Arial" w:hAnsi="Arial" w:cs="Arial"/>
          <w:sz w:val="20"/>
          <w:szCs w:val="20"/>
        </w:rPr>
        <w:t xml:space="preserve">, and where the negotiators can present a </w:t>
      </w:r>
      <w:r w:rsidR="00DB2B4E" w:rsidRPr="00C23944">
        <w:rPr>
          <w:rFonts w:ascii="Arial" w:hAnsi="Arial" w:cs="Arial"/>
          <w:sz w:val="20"/>
          <w:szCs w:val="20"/>
        </w:rPr>
        <w:t xml:space="preserve">‘take it or leave it’ </w:t>
      </w:r>
      <w:r w:rsidR="007F779C">
        <w:rPr>
          <w:rFonts w:ascii="Arial" w:hAnsi="Arial" w:cs="Arial"/>
          <w:sz w:val="20"/>
          <w:szCs w:val="20"/>
        </w:rPr>
        <w:t>offer (Bretherton and Vogler 2</w:t>
      </w:r>
      <w:r w:rsidR="00D67F1C">
        <w:rPr>
          <w:rFonts w:ascii="Arial" w:hAnsi="Arial" w:cs="Arial"/>
          <w:sz w:val="20"/>
          <w:szCs w:val="20"/>
        </w:rPr>
        <w:t xml:space="preserve">006: </w:t>
      </w:r>
      <w:r w:rsidR="009D4015">
        <w:rPr>
          <w:rFonts w:ascii="Arial" w:hAnsi="Arial" w:cs="Arial"/>
          <w:sz w:val="20"/>
          <w:szCs w:val="20"/>
        </w:rPr>
        <w:t>79</w:t>
      </w:r>
      <w:r w:rsidR="00D67F1C">
        <w:rPr>
          <w:rFonts w:ascii="Arial" w:hAnsi="Arial" w:cs="Arial"/>
          <w:sz w:val="20"/>
          <w:szCs w:val="20"/>
        </w:rPr>
        <w:t xml:space="preserve">). </w:t>
      </w:r>
    </w:p>
    <w:p w14:paraId="0E4584BF" w14:textId="77777777" w:rsidR="00BB43D3" w:rsidRDefault="00BB43D3" w:rsidP="00A22A56">
      <w:pPr>
        <w:tabs>
          <w:tab w:val="left" w:pos="1928"/>
        </w:tabs>
        <w:spacing w:line="480" w:lineRule="auto"/>
        <w:jc w:val="both"/>
        <w:rPr>
          <w:rFonts w:ascii="Arial" w:hAnsi="Arial" w:cs="Arial"/>
          <w:sz w:val="20"/>
          <w:szCs w:val="20"/>
        </w:rPr>
      </w:pPr>
    </w:p>
    <w:p w14:paraId="552C385E" w14:textId="0C41847D" w:rsidR="00E333DF" w:rsidRPr="00C23944" w:rsidRDefault="007E1BD6" w:rsidP="00E333DF">
      <w:pPr>
        <w:spacing w:line="480" w:lineRule="auto"/>
        <w:jc w:val="both"/>
        <w:rPr>
          <w:rFonts w:ascii="Arial" w:hAnsi="Arial" w:cs="Arial"/>
          <w:sz w:val="20"/>
          <w:szCs w:val="20"/>
        </w:rPr>
      </w:pPr>
      <w:r>
        <w:rPr>
          <w:rFonts w:ascii="Arial" w:hAnsi="Arial" w:cs="Arial"/>
          <w:sz w:val="20"/>
          <w:szCs w:val="20"/>
        </w:rPr>
        <w:t xml:space="preserve">The </w:t>
      </w:r>
      <w:r w:rsidR="00D67F1C">
        <w:rPr>
          <w:rFonts w:ascii="Arial" w:hAnsi="Arial" w:cs="Arial"/>
          <w:sz w:val="20"/>
          <w:szCs w:val="20"/>
        </w:rPr>
        <w:t xml:space="preserve">case of </w:t>
      </w:r>
      <w:r w:rsidR="00C87F88">
        <w:rPr>
          <w:rFonts w:ascii="Arial" w:hAnsi="Arial" w:cs="Arial"/>
          <w:sz w:val="20"/>
          <w:szCs w:val="20"/>
        </w:rPr>
        <w:t xml:space="preserve">the inclusion of </w:t>
      </w:r>
      <w:r w:rsidR="00CE75DD">
        <w:rPr>
          <w:rFonts w:ascii="Arial" w:hAnsi="Arial" w:cs="Arial"/>
          <w:sz w:val="20"/>
          <w:szCs w:val="20"/>
        </w:rPr>
        <w:t>political clauses</w:t>
      </w:r>
      <w:r w:rsidR="00C87F88">
        <w:rPr>
          <w:rFonts w:ascii="Arial" w:hAnsi="Arial" w:cs="Arial"/>
          <w:sz w:val="20"/>
          <w:szCs w:val="20"/>
        </w:rPr>
        <w:t xml:space="preserve"> – where </w:t>
      </w:r>
      <w:r>
        <w:rPr>
          <w:rFonts w:ascii="Arial" w:hAnsi="Arial" w:cs="Arial"/>
          <w:sz w:val="20"/>
          <w:szCs w:val="20"/>
        </w:rPr>
        <w:t xml:space="preserve">there is still a </w:t>
      </w:r>
      <w:r w:rsidR="00C87F88">
        <w:rPr>
          <w:rFonts w:ascii="Arial" w:hAnsi="Arial" w:cs="Arial"/>
          <w:sz w:val="20"/>
          <w:szCs w:val="20"/>
        </w:rPr>
        <w:t xml:space="preserve">big </w:t>
      </w:r>
      <w:r>
        <w:rPr>
          <w:rFonts w:ascii="Arial" w:hAnsi="Arial" w:cs="Arial"/>
          <w:sz w:val="20"/>
          <w:szCs w:val="20"/>
        </w:rPr>
        <w:t>gap between the win-sets due to the insistence of the EP to include such clauses</w:t>
      </w:r>
      <w:r w:rsidR="00C87F88">
        <w:rPr>
          <w:rFonts w:ascii="Arial" w:hAnsi="Arial" w:cs="Arial"/>
          <w:sz w:val="20"/>
          <w:szCs w:val="20"/>
        </w:rPr>
        <w:t>,</w:t>
      </w:r>
      <w:r>
        <w:rPr>
          <w:rFonts w:ascii="Arial" w:hAnsi="Arial" w:cs="Arial"/>
          <w:sz w:val="20"/>
          <w:szCs w:val="20"/>
        </w:rPr>
        <w:t xml:space="preserve"> and India’s strong resistance to mixing </w:t>
      </w:r>
      <w:r w:rsidR="00C87F88">
        <w:rPr>
          <w:rFonts w:ascii="Arial" w:hAnsi="Arial" w:cs="Arial"/>
          <w:sz w:val="20"/>
          <w:szCs w:val="20"/>
        </w:rPr>
        <w:t xml:space="preserve">political aspects with trade issues – illustrates </w:t>
      </w:r>
      <w:r>
        <w:rPr>
          <w:rFonts w:ascii="Arial" w:hAnsi="Arial" w:cs="Arial"/>
          <w:sz w:val="20"/>
          <w:szCs w:val="20"/>
        </w:rPr>
        <w:t xml:space="preserve">how the EU negotiators </w:t>
      </w:r>
      <w:r w:rsidR="00E813E8">
        <w:rPr>
          <w:rFonts w:ascii="Arial" w:hAnsi="Arial" w:cs="Arial"/>
          <w:sz w:val="20"/>
          <w:szCs w:val="20"/>
        </w:rPr>
        <w:t xml:space="preserve">initially were willing to accommodate India’s concerns, but </w:t>
      </w:r>
      <w:r w:rsidR="00C87F88">
        <w:rPr>
          <w:rFonts w:ascii="Arial" w:hAnsi="Arial" w:cs="Arial"/>
          <w:sz w:val="20"/>
          <w:szCs w:val="20"/>
        </w:rPr>
        <w:t xml:space="preserve">have had to change their approach as the EP has made it clear that it will not ratify an agreement without meaningful and legally binding political clauses. </w:t>
      </w:r>
      <w:r w:rsidR="00DA70B5">
        <w:rPr>
          <w:rFonts w:ascii="Arial" w:hAnsi="Arial" w:cs="Arial"/>
          <w:sz w:val="20"/>
          <w:szCs w:val="20"/>
        </w:rPr>
        <w:t>The EP has consequently made it harder for the negotiators to pursue their strategic interest in reaching an agreement with India.</w:t>
      </w:r>
      <w:r w:rsidR="00FB2EF2">
        <w:rPr>
          <w:rFonts w:ascii="Arial" w:hAnsi="Arial" w:cs="Arial"/>
          <w:sz w:val="20"/>
          <w:szCs w:val="20"/>
        </w:rPr>
        <w:t xml:space="preserve"> They are </w:t>
      </w:r>
      <w:r w:rsidR="00C87F88" w:rsidRPr="00C23944">
        <w:rPr>
          <w:rFonts w:ascii="Arial" w:hAnsi="Arial" w:cs="Arial"/>
          <w:sz w:val="20"/>
          <w:szCs w:val="20"/>
        </w:rPr>
        <w:t xml:space="preserve">in a situation where they have to push these political </w:t>
      </w:r>
      <w:r w:rsidR="00C87F88">
        <w:rPr>
          <w:rFonts w:ascii="Arial" w:hAnsi="Arial" w:cs="Arial"/>
          <w:sz w:val="20"/>
          <w:szCs w:val="20"/>
        </w:rPr>
        <w:t>clauses</w:t>
      </w:r>
      <w:r w:rsidR="00C87F88" w:rsidRPr="00C23944">
        <w:rPr>
          <w:rFonts w:ascii="Arial" w:hAnsi="Arial" w:cs="Arial"/>
          <w:sz w:val="20"/>
          <w:szCs w:val="20"/>
        </w:rPr>
        <w:t xml:space="preserve"> in the Level I negotiations</w:t>
      </w:r>
      <w:r w:rsidR="00DA70B5">
        <w:rPr>
          <w:rFonts w:ascii="Arial" w:hAnsi="Arial" w:cs="Arial"/>
          <w:sz w:val="20"/>
          <w:szCs w:val="20"/>
        </w:rPr>
        <w:t>,</w:t>
      </w:r>
      <w:r w:rsidR="00C87F88">
        <w:rPr>
          <w:rFonts w:ascii="Arial" w:hAnsi="Arial" w:cs="Arial"/>
          <w:sz w:val="20"/>
          <w:szCs w:val="20"/>
        </w:rPr>
        <w:t xml:space="preserve"> trying to convince India to agree to their inclusion, </w:t>
      </w:r>
      <w:r w:rsidR="00C87F88" w:rsidRPr="00C23944">
        <w:rPr>
          <w:rFonts w:ascii="Arial" w:hAnsi="Arial" w:cs="Arial"/>
          <w:sz w:val="20"/>
          <w:szCs w:val="20"/>
        </w:rPr>
        <w:t>while India is adamant that BTIA focuses solely on economic issues, and that it cannot be expected to change its domestic policies to meet the norms set by the EU (Khandekar 2012).</w:t>
      </w:r>
      <w:r w:rsidR="00BB43D3" w:rsidRPr="00C23944">
        <w:rPr>
          <w:rFonts w:ascii="Arial" w:hAnsi="Arial" w:cs="Arial"/>
          <w:sz w:val="20"/>
          <w:szCs w:val="20"/>
        </w:rPr>
        <w:t xml:space="preserve"> </w:t>
      </w:r>
      <w:r w:rsidR="00BB43D3">
        <w:rPr>
          <w:rFonts w:ascii="Arial" w:hAnsi="Arial" w:cs="Arial"/>
          <w:sz w:val="20"/>
          <w:szCs w:val="20"/>
        </w:rPr>
        <w:t>T</w:t>
      </w:r>
      <w:r w:rsidR="00BB43D3" w:rsidRPr="00C23944">
        <w:rPr>
          <w:rFonts w:ascii="Arial" w:hAnsi="Arial" w:cs="Arial"/>
          <w:sz w:val="20"/>
          <w:szCs w:val="20"/>
        </w:rPr>
        <w:t xml:space="preserve">he EU negotiators are severely restricted in their ability to change India’s win-set given that their usual carrot, i.e. access to the EU market, is not available to them to same extent as in more asymmetrical negotiations. It is no longer a question of the EU offering or withholding access to </w:t>
      </w:r>
      <w:r w:rsidR="00480755">
        <w:rPr>
          <w:rFonts w:ascii="Arial" w:hAnsi="Arial" w:cs="Arial"/>
          <w:sz w:val="20"/>
          <w:szCs w:val="20"/>
        </w:rPr>
        <w:t>its market as a bargaining tool</w:t>
      </w:r>
      <w:r w:rsidR="000A4AFE">
        <w:rPr>
          <w:rFonts w:ascii="Arial" w:hAnsi="Arial" w:cs="Arial"/>
          <w:sz w:val="20"/>
          <w:szCs w:val="20"/>
        </w:rPr>
        <w:t xml:space="preserve">, and </w:t>
      </w:r>
      <w:r w:rsidR="00BB43D3" w:rsidRPr="00C23944">
        <w:rPr>
          <w:rFonts w:ascii="Arial" w:hAnsi="Arial" w:cs="Arial"/>
          <w:sz w:val="20"/>
          <w:szCs w:val="20"/>
        </w:rPr>
        <w:t xml:space="preserve">it is clear that the </w:t>
      </w:r>
      <w:r w:rsidR="00FB2EF2">
        <w:rPr>
          <w:rFonts w:ascii="Arial" w:hAnsi="Arial" w:cs="Arial"/>
          <w:sz w:val="20"/>
          <w:szCs w:val="20"/>
        </w:rPr>
        <w:t xml:space="preserve">so called </w:t>
      </w:r>
      <w:r w:rsidR="00BB43D3" w:rsidRPr="00C23944">
        <w:rPr>
          <w:rFonts w:ascii="Arial" w:hAnsi="Arial" w:cs="Arial"/>
          <w:sz w:val="20"/>
          <w:szCs w:val="20"/>
        </w:rPr>
        <w:t>‘hands-tied’ argument</w:t>
      </w:r>
      <w:r w:rsidR="00FB2EF2">
        <w:rPr>
          <w:rFonts w:ascii="Arial" w:hAnsi="Arial" w:cs="Arial"/>
          <w:sz w:val="20"/>
          <w:szCs w:val="20"/>
        </w:rPr>
        <w:t xml:space="preserve"> (Schelling 1960)</w:t>
      </w:r>
      <w:r w:rsidR="00BB43D3" w:rsidRPr="00C23944">
        <w:rPr>
          <w:rFonts w:ascii="Arial" w:hAnsi="Arial" w:cs="Arial"/>
          <w:sz w:val="20"/>
          <w:szCs w:val="20"/>
        </w:rPr>
        <w:t xml:space="preserve">, i.e. referring to </w:t>
      </w:r>
      <w:r w:rsidR="004E0111">
        <w:rPr>
          <w:rFonts w:ascii="Arial" w:hAnsi="Arial" w:cs="Arial"/>
          <w:sz w:val="20"/>
          <w:szCs w:val="20"/>
        </w:rPr>
        <w:t xml:space="preserve">a domestic constituent’s – in this case </w:t>
      </w:r>
      <w:r w:rsidR="00BB43D3" w:rsidRPr="00C23944">
        <w:rPr>
          <w:rFonts w:ascii="Arial" w:hAnsi="Arial" w:cs="Arial"/>
          <w:sz w:val="20"/>
          <w:szCs w:val="20"/>
        </w:rPr>
        <w:t>the EP’s</w:t>
      </w:r>
      <w:r w:rsidR="004E0111">
        <w:rPr>
          <w:rFonts w:ascii="Arial" w:hAnsi="Arial" w:cs="Arial"/>
          <w:sz w:val="20"/>
          <w:szCs w:val="20"/>
        </w:rPr>
        <w:t xml:space="preserve"> – threat </w:t>
      </w:r>
      <w:r w:rsidR="00BB43D3" w:rsidRPr="00C23944">
        <w:rPr>
          <w:rFonts w:ascii="Arial" w:hAnsi="Arial" w:cs="Arial"/>
          <w:sz w:val="20"/>
          <w:szCs w:val="20"/>
        </w:rPr>
        <w:t xml:space="preserve">not to ratify the agreement, has so far been an ineffective bargaining chip vis-à-vis India, and it is difficult to see how the two win-sets will overlap on this point. </w:t>
      </w:r>
    </w:p>
    <w:p w14:paraId="78553BE7" w14:textId="77777777" w:rsidR="00240053" w:rsidRDefault="00240053" w:rsidP="00C23944">
      <w:pPr>
        <w:spacing w:line="480" w:lineRule="auto"/>
        <w:jc w:val="both"/>
        <w:rPr>
          <w:rFonts w:ascii="Arial" w:hAnsi="Arial" w:cs="Arial"/>
          <w:sz w:val="20"/>
          <w:szCs w:val="20"/>
        </w:rPr>
      </w:pPr>
    </w:p>
    <w:p w14:paraId="65820B4D" w14:textId="48846FB3" w:rsidR="00AB5150" w:rsidRDefault="00585A17" w:rsidP="00AB4674">
      <w:pPr>
        <w:spacing w:line="480" w:lineRule="auto"/>
        <w:jc w:val="both"/>
        <w:rPr>
          <w:rFonts w:ascii="Arial" w:hAnsi="Arial" w:cs="Arial"/>
          <w:sz w:val="20"/>
          <w:szCs w:val="20"/>
        </w:rPr>
      </w:pPr>
      <w:r>
        <w:rPr>
          <w:rFonts w:ascii="Arial" w:hAnsi="Arial" w:cs="Arial"/>
          <w:sz w:val="20"/>
          <w:szCs w:val="20"/>
        </w:rPr>
        <w:t>Of course it</w:t>
      </w:r>
      <w:r w:rsidR="00326FD8">
        <w:rPr>
          <w:rFonts w:ascii="Arial" w:hAnsi="Arial" w:cs="Arial"/>
          <w:sz w:val="20"/>
          <w:szCs w:val="20"/>
        </w:rPr>
        <w:t xml:space="preserve"> is</w:t>
      </w:r>
      <w:r>
        <w:rPr>
          <w:rFonts w:ascii="Arial" w:hAnsi="Arial" w:cs="Arial"/>
          <w:sz w:val="20"/>
          <w:szCs w:val="20"/>
        </w:rPr>
        <w:t xml:space="preserve"> difficult to know whether the EP would actually commit to its rejection of any </w:t>
      </w:r>
      <w:r w:rsidR="00240053">
        <w:rPr>
          <w:rFonts w:ascii="Arial" w:hAnsi="Arial" w:cs="Arial"/>
          <w:sz w:val="20"/>
          <w:szCs w:val="20"/>
        </w:rPr>
        <w:t>agreement that does not have</w:t>
      </w:r>
      <w:r>
        <w:rPr>
          <w:rFonts w:ascii="Arial" w:hAnsi="Arial" w:cs="Arial"/>
          <w:sz w:val="20"/>
          <w:szCs w:val="20"/>
        </w:rPr>
        <w:t xml:space="preserve"> meaningful political clauses if it would mean that the whole BTIA project would be jeopardized. Yet, as the EP has already demonstrated that it can and will reject an agreement that does not </w:t>
      </w:r>
      <w:r w:rsidR="004E0111">
        <w:rPr>
          <w:rFonts w:ascii="Arial" w:hAnsi="Arial" w:cs="Arial"/>
          <w:sz w:val="20"/>
          <w:szCs w:val="20"/>
        </w:rPr>
        <w:t xml:space="preserve">sufficiently </w:t>
      </w:r>
      <w:r w:rsidR="00281764">
        <w:rPr>
          <w:rFonts w:ascii="Arial" w:hAnsi="Arial" w:cs="Arial"/>
          <w:sz w:val="20"/>
          <w:szCs w:val="20"/>
        </w:rPr>
        <w:t>reflect its preferences, as the case of ACTA, a threat of veto has definitely become more credible (</w:t>
      </w:r>
      <w:r w:rsidR="00AB5150">
        <w:rPr>
          <w:rFonts w:ascii="Arial" w:hAnsi="Arial" w:cs="Arial"/>
          <w:sz w:val="20"/>
          <w:szCs w:val="20"/>
        </w:rPr>
        <w:t>Van den Putte et al. 2014: 4)</w:t>
      </w:r>
      <w:r w:rsidR="00281764">
        <w:rPr>
          <w:rFonts w:ascii="Arial" w:hAnsi="Arial" w:cs="Arial"/>
          <w:sz w:val="20"/>
          <w:szCs w:val="20"/>
        </w:rPr>
        <w:t>.</w:t>
      </w:r>
    </w:p>
    <w:p w14:paraId="6DF71E40" w14:textId="77777777" w:rsidR="00262EAC" w:rsidRDefault="00262EAC" w:rsidP="00AB4674">
      <w:pPr>
        <w:spacing w:line="480" w:lineRule="auto"/>
        <w:rPr>
          <w:rFonts w:ascii="Times" w:hAnsi="Times"/>
          <w:sz w:val="20"/>
          <w:szCs w:val="20"/>
          <w:lang w:eastAsia="en-US"/>
        </w:rPr>
      </w:pPr>
    </w:p>
    <w:p w14:paraId="5F57782F" w14:textId="3A7B4CED" w:rsidR="00A67EF9" w:rsidRDefault="00EC2E0D" w:rsidP="00AB4674">
      <w:pPr>
        <w:tabs>
          <w:tab w:val="left" w:pos="1928"/>
        </w:tabs>
        <w:spacing w:line="480" w:lineRule="auto"/>
        <w:jc w:val="both"/>
        <w:rPr>
          <w:rFonts w:ascii="Arial" w:hAnsi="Arial" w:cs="Arial"/>
          <w:sz w:val="20"/>
          <w:szCs w:val="20"/>
        </w:rPr>
      </w:pPr>
      <w:r>
        <w:rPr>
          <w:rFonts w:ascii="Arial" w:hAnsi="Arial" w:cs="Arial"/>
          <w:sz w:val="20"/>
          <w:szCs w:val="20"/>
        </w:rPr>
        <w:t xml:space="preserve">Finally, in </w:t>
      </w:r>
      <w:r w:rsidR="00AB5150">
        <w:rPr>
          <w:rFonts w:ascii="Arial" w:hAnsi="Arial" w:cs="Arial"/>
          <w:sz w:val="20"/>
          <w:szCs w:val="20"/>
        </w:rPr>
        <w:t>the case of</w:t>
      </w:r>
      <w:r w:rsidR="00A67EF9" w:rsidRPr="00C23944">
        <w:rPr>
          <w:rFonts w:ascii="Arial" w:hAnsi="Arial" w:cs="Arial"/>
          <w:sz w:val="20"/>
          <w:szCs w:val="20"/>
        </w:rPr>
        <w:t xml:space="preserve"> IPR provisions for pharmaceuticals, </w:t>
      </w:r>
      <w:r w:rsidR="00AD1E24">
        <w:rPr>
          <w:rFonts w:ascii="Arial" w:hAnsi="Arial" w:cs="Arial"/>
          <w:sz w:val="20"/>
          <w:szCs w:val="20"/>
        </w:rPr>
        <w:t>where the</w:t>
      </w:r>
      <w:r w:rsidR="00FC13CB">
        <w:rPr>
          <w:rFonts w:ascii="Arial" w:hAnsi="Arial" w:cs="Arial"/>
          <w:sz w:val="20"/>
          <w:szCs w:val="20"/>
        </w:rPr>
        <w:t xml:space="preserve">re was initially a gap between the two win-sets due to </w:t>
      </w:r>
      <w:r w:rsidR="00A67EF9" w:rsidRPr="00C23944">
        <w:rPr>
          <w:rFonts w:ascii="Arial" w:hAnsi="Arial" w:cs="Arial"/>
          <w:sz w:val="20"/>
          <w:szCs w:val="20"/>
        </w:rPr>
        <w:t>India</w:t>
      </w:r>
      <w:r w:rsidR="00AD1E24">
        <w:rPr>
          <w:rFonts w:ascii="Arial" w:hAnsi="Arial" w:cs="Arial"/>
          <w:sz w:val="20"/>
          <w:szCs w:val="20"/>
        </w:rPr>
        <w:t>’s rejection of the EU</w:t>
      </w:r>
      <w:r w:rsidR="00A67EF9" w:rsidRPr="00C23944">
        <w:rPr>
          <w:rFonts w:ascii="Arial" w:hAnsi="Arial" w:cs="Arial"/>
          <w:sz w:val="20"/>
          <w:szCs w:val="20"/>
        </w:rPr>
        <w:t>’s</w:t>
      </w:r>
      <w:r w:rsidR="00AD1E24">
        <w:rPr>
          <w:rFonts w:ascii="Arial" w:hAnsi="Arial" w:cs="Arial"/>
          <w:sz w:val="20"/>
          <w:szCs w:val="20"/>
        </w:rPr>
        <w:t xml:space="preserve"> proposal for </w:t>
      </w:r>
      <w:r>
        <w:rPr>
          <w:rFonts w:ascii="Arial" w:hAnsi="Arial" w:cs="Arial"/>
          <w:sz w:val="20"/>
          <w:szCs w:val="20"/>
        </w:rPr>
        <w:t xml:space="preserve">strict IPR regulations, reflecting the preferences of the negotiators and the Member States in the Council, </w:t>
      </w:r>
      <w:r w:rsidR="00521E6D" w:rsidRPr="00C23944">
        <w:rPr>
          <w:rFonts w:ascii="Arial" w:hAnsi="Arial" w:cs="Arial"/>
          <w:sz w:val="20"/>
          <w:szCs w:val="20"/>
        </w:rPr>
        <w:t xml:space="preserve">the EP succeeded in expanding the EU win-set by identifying synergies between its own </w:t>
      </w:r>
      <w:r w:rsidR="00521E6D">
        <w:rPr>
          <w:rFonts w:ascii="Arial" w:hAnsi="Arial" w:cs="Arial"/>
          <w:sz w:val="20"/>
          <w:szCs w:val="20"/>
        </w:rPr>
        <w:t xml:space="preserve">and India’s </w:t>
      </w:r>
      <w:r w:rsidR="00521E6D" w:rsidRPr="00C23944">
        <w:rPr>
          <w:rFonts w:ascii="Arial" w:hAnsi="Arial" w:cs="Arial"/>
          <w:sz w:val="20"/>
          <w:szCs w:val="20"/>
        </w:rPr>
        <w:t>interests</w:t>
      </w:r>
      <w:r w:rsidR="008E4E0E">
        <w:rPr>
          <w:rFonts w:ascii="Arial" w:hAnsi="Arial" w:cs="Arial"/>
          <w:sz w:val="20"/>
          <w:szCs w:val="20"/>
        </w:rPr>
        <w:t xml:space="preserve">. </w:t>
      </w:r>
      <w:r w:rsidR="005419DA">
        <w:rPr>
          <w:rFonts w:ascii="Arial" w:hAnsi="Arial" w:cs="Arial"/>
          <w:sz w:val="20"/>
          <w:szCs w:val="20"/>
        </w:rPr>
        <w:t xml:space="preserve">Given the EU negotiators’ strategic interest in reaching agreement, they were willing to compromise their own preferences as well as putting pressure on the Member States to accept the arguments made by the EP. </w:t>
      </w:r>
      <w:r w:rsidR="008E4E0E">
        <w:rPr>
          <w:rFonts w:ascii="Arial" w:hAnsi="Arial" w:cs="Arial"/>
          <w:sz w:val="20"/>
          <w:szCs w:val="20"/>
        </w:rPr>
        <w:t xml:space="preserve">An overlap of the win-sets </w:t>
      </w:r>
      <w:r w:rsidR="005419DA">
        <w:rPr>
          <w:rFonts w:ascii="Arial" w:hAnsi="Arial" w:cs="Arial"/>
          <w:sz w:val="20"/>
          <w:szCs w:val="20"/>
        </w:rPr>
        <w:t xml:space="preserve">was </w:t>
      </w:r>
      <w:r w:rsidR="008E4E0E">
        <w:rPr>
          <w:rFonts w:ascii="Arial" w:hAnsi="Arial" w:cs="Arial"/>
          <w:sz w:val="20"/>
          <w:szCs w:val="20"/>
        </w:rPr>
        <w:t xml:space="preserve">achieved through </w:t>
      </w:r>
      <w:r w:rsidR="005B7AB7">
        <w:rPr>
          <w:rFonts w:ascii="Arial" w:hAnsi="Arial" w:cs="Arial"/>
          <w:sz w:val="20"/>
          <w:szCs w:val="20"/>
        </w:rPr>
        <w:t xml:space="preserve">the process of </w:t>
      </w:r>
      <w:r w:rsidR="008E4E0E">
        <w:rPr>
          <w:rFonts w:ascii="Arial" w:hAnsi="Arial" w:cs="Arial"/>
          <w:sz w:val="20"/>
          <w:szCs w:val="20"/>
        </w:rPr>
        <w:t>‘reverberation’</w:t>
      </w:r>
      <w:r w:rsidR="005419DA">
        <w:rPr>
          <w:rFonts w:ascii="Arial" w:hAnsi="Arial" w:cs="Arial"/>
          <w:sz w:val="20"/>
          <w:szCs w:val="20"/>
        </w:rPr>
        <w:t xml:space="preserve">, </w:t>
      </w:r>
      <w:r w:rsidR="005B7AB7">
        <w:rPr>
          <w:rFonts w:ascii="Arial" w:hAnsi="Arial" w:cs="Arial"/>
          <w:sz w:val="20"/>
          <w:szCs w:val="20"/>
        </w:rPr>
        <w:t xml:space="preserve">albeit beyond the preferences of the negotiators, </w:t>
      </w:r>
      <w:r w:rsidR="008E4E0E">
        <w:rPr>
          <w:rFonts w:ascii="Arial" w:hAnsi="Arial" w:cs="Arial"/>
          <w:sz w:val="20"/>
          <w:szCs w:val="20"/>
        </w:rPr>
        <w:t xml:space="preserve">and </w:t>
      </w:r>
      <w:r w:rsidR="008E4E0E" w:rsidRPr="00C23944">
        <w:rPr>
          <w:rFonts w:ascii="Arial" w:hAnsi="Arial" w:cs="Arial"/>
          <w:sz w:val="20"/>
          <w:szCs w:val="20"/>
        </w:rPr>
        <w:t xml:space="preserve">it is clear that the negotiating dynamic at Level I </w:t>
      </w:r>
      <w:r w:rsidR="005419DA">
        <w:rPr>
          <w:rFonts w:ascii="Arial" w:hAnsi="Arial" w:cs="Arial"/>
          <w:sz w:val="20"/>
          <w:szCs w:val="20"/>
        </w:rPr>
        <w:t xml:space="preserve">has been </w:t>
      </w:r>
      <w:r w:rsidR="008E4E0E" w:rsidRPr="00C23944">
        <w:rPr>
          <w:rFonts w:ascii="Arial" w:hAnsi="Arial" w:cs="Arial"/>
          <w:sz w:val="20"/>
          <w:szCs w:val="20"/>
        </w:rPr>
        <w:t xml:space="preserve">affected by the </w:t>
      </w:r>
      <w:r w:rsidR="001E0432">
        <w:rPr>
          <w:rFonts w:ascii="Arial" w:hAnsi="Arial" w:cs="Arial"/>
          <w:sz w:val="20"/>
          <w:szCs w:val="20"/>
        </w:rPr>
        <w:t xml:space="preserve">increased </w:t>
      </w:r>
      <w:r w:rsidR="008E4E0E" w:rsidRPr="00C23944">
        <w:rPr>
          <w:rFonts w:ascii="Arial" w:hAnsi="Arial" w:cs="Arial"/>
          <w:sz w:val="20"/>
          <w:szCs w:val="20"/>
        </w:rPr>
        <w:t xml:space="preserve">institutional </w:t>
      </w:r>
      <w:r w:rsidR="001E0432">
        <w:rPr>
          <w:rFonts w:ascii="Arial" w:hAnsi="Arial" w:cs="Arial"/>
          <w:sz w:val="20"/>
          <w:szCs w:val="20"/>
        </w:rPr>
        <w:t>power of the EP at L</w:t>
      </w:r>
      <w:r w:rsidR="008E4E0E" w:rsidRPr="00C23944">
        <w:rPr>
          <w:rFonts w:ascii="Arial" w:hAnsi="Arial" w:cs="Arial"/>
          <w:sz w:val="20"/>
          <w:szCs w:val="20"/>
        </w:rPr>
        <w:t>evel II</w:t>
      </w:r>
      <w:r w:rsidR="005419DA">
        <w:rPr>
          <w:rFonts w:ascii="Arial" w:hAnsi="Arial" w:cs="Arial"/>
          <w:sz w:val="20"/>
          <w:szCs w:val="20"/>
        </w:rPr>
        <w:t xml:space="preserve">. </w:t>
      </w:r>
    </w:p>
    <w:p w14:paraId="73CABE45" w14:textId="77777777" w:rsidR="00B80402" w:rsidRDefault="00B80402" w:rsidP="00B80402">
      <w:pPr>
        <w:tabs>
          <w:tab w:val="left" w:pos="1928"/>
        </w:tabs>
        <w:spacing w:line="480" w:lineRule="auto"/>
        <w:jc w:val="both"/>
        <w:rPr>
          <w:rFonts w:ascii="Arial" w:hAnsi="Arial" w:cs="Arial"/>
          <w:sz w:val="20"/>
          <w:szCs w:val="20"/>
        </w:rPr>
      </w:pPr>
    </w:p>
    <w:p w14:paraId="00EDF463" w14:textId="787B17E9" w:rsidR="00AB64BE" w:rsidRDefault="00AB5150" w:rsidP="00AB5150">
      <w:pPr>
        <w:spacing w:line="480" w:lineRule="auto"/>
        <w:jc w:val="both"/>
        <w:rPr>
          <w:rFonts w:ascii="Arial" w:hAnsi="Arial" w:cs="Arial"/>
          <w:sz w:val="20"/>
          <w:szCs w:val="20"/>
        </w:rPr>
      </w:pPr>
      <w:r w:rsidRPr="00C23944">
        <w:rPr>
          <w:rFonts w:ascii="Arial" w:hAnsi="Arial" w:cs="Arial"/>
          <w:sz w:val="20"/>
          <w:szCs w:val="20"/>
        </w:rPr>
        <w:t>Th</w:t>
      </w:r>
      <w:r>
        <w:rPr>
          <w:rFonts w:ascii="Arial" w:hAnsi="Arial" w:cs="Arial"/>
          <w:sz w:val="20"/>
          <w:szCs w:val="20"/>
        </w:rPr>
        <w:t xml:space="preserve">is </w:t>
      </w:r>
      <w:r w:rsidR="00B80402">
        <w:rPr>
          <w:rFonts w:ascii="Arial" w:hAnsi="Arial" w:cs="Arial"/>
          <w:sz w:val="20"/>
          <w:szCs w:val="20"/>
        </w:rPr>
        <w:t xml:space="preserve">case </w:t>
      </w:r>
      <w:r w:rsidRPr="00C23944">
        <w:rPr>
          <w:rFonts w:ascii="Arial" w:hAnsi="Arial" w:cs="Arial"/>
          <w:sz w:val="20"/>
          <w:szCs w:val="20"/>
        </w:rPr>
        <w:t xml:space="preserve">shows </w:t>
      </w:r>
      <w:r w:rsidR="00B80402">
        <w:rPr>
          <w:rFonts w:ascii="Arial" w:hAnsi="Arial" w:cs="Arial"/>
          <w:sz w:val="20"/>
          <w:szCs w:val="20"/>
        </w:rPr>
        <w:t>how</w:t>
      </w:r>
      <w:r w:rsidRPr="00C23944">
        <w:rPr>
          <w:rFonts w:ascii="Arial" w:hAnsi="Arial" w:cs="Arial"/>
          <w:sz w:val="20"/>
          <w:szCs w:val="20"/>
        </w:rPr>
        <w:t xml:space="preserve"> the EP has given development NGOs effective access to the decision-making process. These NGOs have been actively lobbying on the issue of access to medicines in developing countries for a long time, and they have established strong links with the</w:t>
      </w:r>
      <w:r>
        <w:rPr>
          <w:rFonts w:ascii="Arial" w:hAnsi="Arial" w:cs="Arial"/>
          <w:sz w:val="20"/>
          <w:szCs w:val="20"/>
        </w:rPr>
        <w:t xml:space="preserve"> European Commission and organiz</w:t>
      </w:r>
      <w:r w:rsidRPr="00C23944">
        <w:rPr>
          <w:rFonts w:ascii="Arial" w:hAnsi="Arial" w:cs="Arial"/>
          <w:sz w:val="20"/>
          <w:szCs w:val="20"/>
        </w:rPr>
        <w:t>ed high profile public campaigns (Dür and De Bièvre 2007). Yet, this did previously not translate into influence over EU trade policy, due to the more effective counter lobbying by the European pharmaceutical industry aimed at preventing a weakening of the protection of IPR. The latter was able to provide the detailed and precise information that the Commission needs to prepare its proposals, as well as influencing the positions of several of the Member States (ibid.). However, with the increase in power of the EP, NGOs have been provided with an additional and increasingly effective channel of influence. The EP has always been open to the demands of NGOs and has frequently voiced their concerns on trade related matters, but before it was granted veto power</w:t>
      </w:r>
      <w:r>
        <w:rPr>
          <w:rFonts w:ascii="Arial" w:hAnsi="Arial" w:cs="Arial"/>
          <w:sz w:val="20"/>
          <w:szCs w:val="20"/>
        </w:rPr>
        <w:t xml:space="preserve"> its concerns could </w:t>
      </w:r>
      <w:r w:rsidRPr="00C23944">
        <w:rPr>
          <w:rFonts w:ascii="Arial" w:hAnsi="Arial" w:cs="Arial"/>
          <w:sz w:val="20"/>
          <w:szCs w:val="20"/>
        </w:rPr>
        <w:t xml:space="preserve">largely </w:t>
      </w:r>
      <w:r>
        <w:rPr>
          <w:rFonts w:ascii="Arial" w:hAnsi="Arial" w:cs="Arial"/>
          <w:sz w:val="20"/>
          <w:szCs w:val="20"/>
        </w:rPr>
        <w:t xml:space="preserve">be </w:t>
      </w:r>
      <w:r w:rsidRPr="00C23944">
        <w:rPr>
          <w:rFonts w:ascii="Arial" w:hAnsi="Arial" w:cs="Arial"/>
          <w:sz w:val="20"/>
          <w:szCs w:val="20"/>
        </w:rPr>
        <w:t>ignore</w:t>
      </w:r>
      <w:r>
        <w:rPr>
          <w:rFonts w:ascii="Arial" w:hAnsi="Arial" w:cs="Arial"/>
          <w:sz w:val="20"/>
          <w:szCs w:val="20"/>
        </w:rPr>
        <w:t>d</w:t>
      </w:r>
      <w:r w:rsidR="00B80402">
        <w:rPr>
          <w:rFonts w:ascii="Arial" w:hAnsi="Arial" w:cs="Arial"/>
          <w:sz w:val="20"/>
          <w:szCs w:val="20"/>
        </w:rPr>
        <w:t>. T</w:t>
      </w:r>
      <w:r w:rsidRPr="00C23944">
        <w:rPr>
          <w:rFonts w:ascii="Arial" w:hAnsi="Arial" w:cs="Arial"/>
          <w:sz w:val="20"/>
          <w:szCs w:val="20"/>
        </w:rPr>
        <w:t xml:space="preserve">he BTIA negotiations show how the negotiators now take </w:t>
      </w:r>
      <w:r w:rsidR="00AB64BE">
        <w:rPr>
          <w:rFonts w:ascii="Arial" w:hAnsi="Arial" w:cs="Arial"/>
          <w:sz w:val="20"/>
          <w:szCs w:val="20"/>
        </w:rPr>
        <w:t>the concerns expressed by the EP i</w:t>
      </w:r>
      <w:r w:rsidRPr="00C23944">
        <w:rPr>
          <w:rFonts w:ascii="Arial" w:hAnsi="Arial" w:cs="Arial"/>
          <w:sz w:val="20"/>
          <w:szCs w:val="20"/>
        </w:rPr>
        <w:t>nto serious consideration</w:t>
      </w:r>
      <w:r w:rsidR="00B80402">
        <w:rPr>
          <w:rFonts w:ascii="Arial" w:hAnsi="Arial" w:cs="Arial"/>
          <w:sz w:val="20"/>
          <w:szCs w:val="20"/>
        </w:rPr>
        <w:t xml:space="preserve">, and </w:t>
      </w:r>
      <w:r w:rsidR="00AB4674">
        <w:rPr>
          <w:rFonts w:ascii="Arial" w:hAnsi="Arial" w:cs="Arial"/>
          <w:sz w:val="20"/>
          <w:szCs w:val="20"/>
        </w:rPr>
        <w:t>thus in turn provide NGOs with greater influence over the negotiations.</w:t>
      </w:r>
    </w:p>
    <w:p w14:paraId="303335E7" w14:textId="77777777" w:rsidR="00504A26" w:rsidRDefault="00504A26" w:rsidP="00C23944">
      <w:pPr>
        <w:spacing w:line="480" w:lineRule="auto"/>
        <w:jc w:val="both"/>
        <w:rPr>
          <w:rFonts w:ascii="Arial" w:hAnsi="Arial" w:cs="Arial"/>
          <w:sz w:val="20"/>
          <w:szCs w:val="20"/>
        </w:rPr>
      </w:pPr>
    </w:p>
    <w:p w14:paraId="02AC2C07" w14:textId="77777777" w:rsidR="00AB64BE" w:rsidRPr="00C23944" w:rsidRDefault="00AB64BE" w:rsidP="00C23944">
      <w:pPr>
        <w:spacing w:line="480" w:lineRule="auto"/>
        <w:jc w:val="both"/>
        <w:rPr>
          <w:rFonts w:ascii="Arial" w:hAnsi="Arial" w:cs="Arial"/>
          <w:sz w:val="20"/>
          <w:szCs w:val="20"/>
        </w:rPr>
      </w:pPr>
    </w:p>
    <w:p w14:paraId="0E6E01D3" w14:textId="1C791737" w:rsidR="009B5DA6" w:rsidRPr="00C23944" w:rsidRDefault="009F77F9" w:rsidP="00C23944">
      <w:pPr>
        <w:spacing w:line="480" w:lineRule="auto"/>
        <w:jc w:val="both"/>
        <w:rPr>
          <w:rFonts w:ascii="Arial" w:hAnsi="Arial" w:cs="Arial"/>
          <w:b/>
          <w:sz w:val="20"/>
          <w:szCs w:val="20"/>
        </w:rPr>
      </w:pPr>
      <w:r w:rsidRPr="00C23944">
        <w:rPr>
          <w:rFonts w:ascii="Arial" w:hAnsi="Arial" w:cs="Arial"/>
          <w:b/>
          <w:sz w:val="20"/>
          <w:szCs w:val="20"/>
        </w:rPr>
        <w:t>5</w:t>
      </w:r>
      <w:r w:rsidR="00B652F5" w:rsidRPr="00C23944">
        <w:rPr>
          <w:rFonts w:ascii="Arial" w:hAnsi="Arial" w:cs="Arial"/>
          <w:b/>
          <w:sz w:val="20"/>
          <w:szCs w:val="20"/>
        </w:rPr>
        <w:t xml:space="preserve">. </w:t>
      </w:r>
      <w:r w:rsidR="009B5DA6" w:rsidRPr="00C23944">
        <w:rPr>
          <w:rFonts w:ascii="Arial" w:hAnsi="Arial" w:cs="Arial"/>
          <w:b/>
          <w:sz w:val="20"/>
          <w:szCs w:val="20"/>
        </w:rPr>
        <w:t>Conclusions</w:t>
      </w:r>
    </w:p>
    <w:p w14:paraId="41C9E55F" w14:textId="439BD86A" w:rsidR="00A1719F" w:rsidRDefault="004E0111" w:rsidP="00A1719F">
      <w:pPr>
        <w:spacing w:line="480" w:lineRule="auto"/>
        <w:jc w:val="both"/>
        <w:rPr>
          <w:rFonts w:ascii="Arial" w:hAnsi="Arial" w:cs="Arial"/>
          <w:sz w:val="20"/>
          <w:szCs w:val="20"/>
        </w:rPr>
      </w:pPr>
      <w:r>
        <w:rPr>
          <w:rFonts w:ascii="Arial" w:hAnsi="Arial" w:cs="Arial"/>
          <w:sz w:val="20"/>
          <w:szCs w:val="20"/>
        </w:rPr>
        <w:t xml:space="preserve">Through the use of </w:t>
      </w:r>
      <w:r w:rsidR="00D27F8C">
        <w:rPr>
          <w:rFonts w:ascii="Arial" w:hAnsi="Arial" w:cs="Arial"/>
          <w:sz w:val="20"/>
          <w:szCs w:val="20"/>
        </w:rPr>
        <w:t>two-level game analysis</w:t>
      </w:r>
      <w:r>
        <w:rPr>
          <w:rFonts w:ascii="Arial" w:hAnsi="Arial" w:cs="Arial"/>
          <w:sz w:val="20"/>
          <w:szCs w:val="20"/>
        </w:rPr>
        <w:t xml:space="preserve">, this article </w:t>
      </w:r>
      <w:r w:rsidR="00424FA8">
        <w:rPr>
          <w:rFonts w:ascii="Arial" w:hAnsi="Arial" w:cs="Arial"/>
          <w:sz w:val="20"/>
          <w:szCs w:val="20"/>
        </w:rPr>
        <w:t xml:space="preserve">shows how the EP </w:t>
      </w:r>
      <w:r>
        <w:rPr>
          <w:rFonts w:ascii="Arial" w:hAnsi="Arial" w:cs="Arial"/>
          <w:sz w:val="20"/>
          <w:szCs w:val="20"/>
        </w:rPr>
        <w:t xml:space="preserve">has </w:t>
      </w:r>
      <w:r w:rsidR="00424FA8">
        <w:rPr>
          <w:rFonts w:ascii="Arial" w:hAnsi="Arial" w:cs="Arial"/>
          <w:sz w:val="20"/>
          <w:szCs w:val="20"/>
        </w:rPr>
        <w:t>exercised significant influence over the BTIA negotiations by affecting the EU win-set</w:t>
      </w:r>
      <w:r w:rsidR="00F970F6">
        <w:rPr>
          <w:rFonts w:ascii="Arial" w:hAnsi="Arial" w:cs="Arial"/>
          <w:sz w:val="20"/>
          <w:szCs w:val="20"/>
        </w:rPr>
        <w:t xml:space="preserve">, and thereby the potential for an international agreement to be reached between the EU and India. It </w:t>
      </w:r>
      <w:r w:rsidR="00D643DC">
        <w:rPr>
          <w:rFonts w:ascii="Arial" w:hAnsi="Arial" w:cs="Arial"/>
          <w:sz w:val="20"/>
          <w:szCs w:val="20"/>
        </w:rPr>
        <w:t>explains</w:t>
      </w:r>
      <w:r w:rsidR="00F970F6">
        <w:rPr>
          <w:rFonts w:ascii="Arial" w:hAnsi="Arial" w:cs="Arial"/>
          <w:sz w:val="20"/>
          <w:szCs w:val="20"/>
        </w:rPr>
        <w:t xml:space="preserve"> </w:t>
      </w:r>
      <w:r w:rsidR="00D27F8C">
        <w:rPr>
          <w:rFonts w:ascii="Arial" w:hAnsi="Arial" w:cs="Arial"/>
          <w:sz w:val="20"/>
          <w:szCs w:val="20"/>
        </w:rPr>
        <w:t xml:space="preserve">how the EP has significantly reduced the EU win-set </w:t>
      </w:r>
      <w:r w:rsidR="00196CB3">
        <w:rPr>
          <w:rFonts w:ascii="Arial" w:hAnsi="Arial" w:cs="Arial"/>
          <w:sz w:val="20"/>
          <w:szCs w:val="20"/>
        </w:rPr>
        <w:t xml:space="preserve">concerning the inclusion of </w:t>
      </w:r>
      <w:r w:rsidR="00D27F8C">
        <w:rPr>
          <w:rFonts w:ascii="Arial" w:hAnsi="Arial" w:cs="Arial"/>
          <w:sz w:val="20"/>
          <w:szCs w:val="20"/>
        </w:rPr>
        <w:t xml:space="preserve">political and social clauses, thereby hindering an agreement with India, while it has expanded the EU win-set in the area of </w:t>
      </w:r>
      <w:r w:rsidR="00A1719F">
        <w:rPr>
          <w:rFonts w:ascii="Arial" w:hAnsi="Arial" w:cs="Arial"/>
          <w:sz w:val="20"/>
          <w:szCs w:val="20"/>
        </w:rPr>
        <w:t xml:space="preserve">IPR provisions for pharmaceuticals, </w:t>
      </w:r>
      <w:r w:rsidR="00D27F8C">
        <w:rPr>
          <w:rFonts w:ascii="Arial" w:hAnsi="Arial" w:cs="Arial"/>
          <w:sz w:val="20"/>
          <w:szCs w:val="20"/>
        </w:rPr>
        <w:t xml:space="preserve">thus facilitating an </w:t>
      </w:r>
      <w:r w:rsidR="00D643DC">
        <w:rPr>
          <w:rFonts w:ascii="Arial" w:hAnsi="Arial" w:cs="Arial"/>
          <w:sz w:val="20"/>
          <w:szCs w:val="20"/>
        </w:rPr>
        <w:t xml:space="preserve">international agreement. It also demonstrates </w:t>
      </w:r>
      <w:r w:rsidR="00600302">
        <w:rPr>
          <w:rFonts w:ascii="Arial" w:hAnsi="Arial" w:cs="Arial"/>
          <w:sz w:val="20"/>
          <w:szCs w:val="20"/>
        </w:rPr>
        <w:t xml:space="preserve">how </w:t>
      </w:r>
      <w:r w:rsidR="00D643DC">
        <w:rPr>
          <w:rFonts w:ascii="Arial" w:hAnsi="Arial" w:cs="Arial"/>
          <w:sz w:val="20"/>
          <w:szCs w:val="20"/>
        </w:rPr>
        <w:t xml:space="preserve">the EP has </w:t>
      </w:r>
      <w:r w:rsidR="00A1719F">
        <w:rPr>
          <w:rFonts w:ascii="Arial" w:hAnsi="Arial" w:cs="Arial"/>
          <w:sz w:val="20"/>
          <w:szCs w:val="20"/>
        </w:rPr>
        <w:t>affected the negotiating dynamics both internally and externally, highlighting how the negotiators have increased their interactions with the EP</w:t>
      </w:r>
      <w:r w:rsidR="00196CB3">
        <w:rPr>
          <w:rFonts w:ascii="Arial" w:hAnsi="Arial" w:cs="Arial"/>
          <w:sz w:val="20"/>
          <w:szCs w:val="20"/>
        </w:rPr>
        <w:t xml:space="preserve"> significantly</w:t>
      </w:r>
      <w:r w:rsidR="00A1719F">
        <w:rPr>
          <w:rFonts w:ascii="Arial" w:hAnsi="Arial" w:cs="Arial"/>
          <w:sz w:val="20"/>
          <w:szCs w:val="20"/>
        </w:rPr>
        <w:t xml:space="preserve">, and how they have had their </w:t>
      </w:r>
      <w:r w:rsidR="00196CB3">
        <w:rPr>
          <w:rFonts w:ascii="Arial" w:hAnsi="Arial" w:cs="Arial"/>
          <w:sz w:val="20"/>
          <w:szCs w:val="20"/>
        </w:rPr>
        <w:t>preferences somewhat compromised</w:t>
      </w:r>
      <w:r w:rsidR="00600302">
        <w:rPr>
          <w:rFonts w:ascii="Arial" w:hAnsi="Arial" w:cs="Arial"/>
          <w:sz w:val="20"/>
          <w:szCs w:val="20"/>
        </w:rPr>
        <w:t xml:space="preserve"> by the EP in their attempt at trying to reach an agreement with India</w:t>
      </w:r>
      <w:r w:rsidR="00196CB3">
        <w:rPr>
          <w:rFonts w:ascii="Arial" w:hAnsi="Arial" w:cs="Arial"/>
          <w:sz w:val="20"/>
          <w:szCs w:val="20"/>
        </w:rPr>
        <w:t>.</w:t>
      </w:r>
    </w:p>
    <w:p w14:paraId="788B431F" w14:textId="77777777" w:rsidR="00343445" w:rsidRDefault="00343445" w:rsidP="00A1719F">
      <w:pPr>
        <w:spacing w:line="480" w:lineRule="auto"/>
        <w:jc w:val="both"/>
        <w:rPr>
          <w:rFonts w:ascii="Arial" w:hAnsi="Arial" w:cs="Arial"/>
          <w:sz w:val="20"/>
          <w:szCs w:val="20"/>
        </w:rPr>
      </w:pPr>
    </w:p>
    <w:p w14:paraId="51CA3B2D" w14:textId="4E98D4FF" w:rsidR="00085B74" w:rsidRPr="00C23944" w:rsidRDefault="00343445" w:rsidP="00C23944">
      <w:pPr>
        <w:spacing w:line="480" w:lineRule="auto"/>
        <w:jc w:val="both"/>
        <w:rPr>
          <w:rFonts w:ascii="Arial" w:hAnsi="Arial" w:cs="Arial"/>
          <w:sz w:val="20"/>
          <w:szCs w:val="20"/>
        </w:rPr>
      </w:pPr>
      <w:r>
        <w:rPr>
          <w:rFonts w:ascii="Arial" w:hAnsi="Arial" w:cs="Arial"/>
          <w:sz w:val="20"/>
          <w:szCs w:val="20"/>
        </w:rPr>
        <w:t xml:space="preserve">Theoretically the article extends the two-level game analysis to include the EP as an additional domestic constituent. </w:t>
      </w:r>
      <w:r w:rsidR="007C5402" w:rsidRPr="00C23944">
        <w:rPr>
          <w:rFonts w:ascii="Arial" w:hAnsi="Arial" w:cs="Arial"/>
          <w:sz w:val="20"/>
          <w:szCs w:val="20"/>
        </w:rPr>
        <w:t xml:space="preserve">Even if the strong homogeneity in preferences between the Member States and the negotiators might be </w:t>
      </w:r>
      <w:r w:rsidR="0028745A" w:rsidRPr="00C23944">
        <w:rPr>
          <w:rFonts w:ascii="Arial" w:hAnsi="Arial" w:cs="Arial"/>
          <w:sz w:val="20"/>
          <w:szCs w:val="20"/>
        </w:rPr>
        <w:t>unique to</w:t>
      </w:r>
      <w:r w:rsidR="007C5402" w:rsidRPr="00C23944">
        <w:rPr>
          <w:rFonts w:ascii="Arial" w:hAnsi="Arial" w:cs="Arial"/>
          <w:sz w:val="20"/>
          <w:szCs w:val="20"/>
        </w:rPr>
        <w:t xml:space="preserve"> this case, </w:t>
      </w:r>
      <w:r w:rsidR="0028745A" w:rsidRPr="00C23944">
        <w:rPr>
          <w:rFonts w:ascii="Arial" w:hAnsi="Arial" w:cs="Arial"/>
          <w:sz w:val="20"/>
          <w:szCs w:val="20"/>
        </w:rPr>
        <w:t>a</w:t>
      </w:r>
      <w:r w:rsidR="0083114A">
        <w:rPr>
          <w:rFonts w:ascii="Arial" w:hAnsi="Arial" w:cs="Arial"/>
          <w:sz w:val="20"/>
          <w:szCs w:val="20"/>
        </w:rPr>
        <w:t>s</w:t>
      </w:r>
      <w:r w:rsidR="0028745A" w:rsidRPr="00C23944">
        <w:rPr>
          <w:rFonts w:ascii="Arial" w:hAnsi="Arial" w:cs="Arial"/>
          <w:sz w:val="20"/>
          <w:szCs w:val="20"/>
        </w:rPr>
        <w:t xml:space="preserve"> other negotiations might expose greater preference divergence, </w:t>
      </w:r>
      <w:r w:rsidR="007C5402" w:rsidRPr="00C23944">
        <w:rPr>
          <w:rFonts w:ascii="Arial" w:hAnsi="Arial" w:cs="Arial"/>
          <w:sz w:val="20"/>
          <w:szCs w:val="20"/>
        </w:rPr>
        <w:t xml:space="preserve">it is clear that approaches that focus mainly on the dynamics in the Council negotiations will overlook the </w:t>
      </w:r>
      <w:r w:rsidR="00085B74" w:rsidRPr="00C23944">
        <w:rPr>
          <w:rFonts w:ascii="Arial" w:hAnsi="Arial" w:cs="Arial"/>
          <w:sz w:val="20"/>
          <w:szCs w:val="20"/>
        </w:rPr>
        <w:t>i</w:t>
      </w:r>
      <w:r w:rsidR="007C5402" w:rsidRPr="00C23944">
        <w:rPr>
          <w:rFonts w:ascii="Arial" w:hAnsi="Arial" w:cs="Arial"/>
          <w:sz w:val="20"/>
          <w:szCs w:val="20"/>
        </w:rPr>
        <w:t xml:space="preserve">nfluence of the EP on the negotiation process. </w:t>
      </w:r>
      <w:r w:rsidR="004E0111">
        <w:rPr>
          <w:rFonts w:ascii="Arial" w:hAnsi="Arial" w:cs="Arial"/>
          <w:sz w:val="20"/>
          <w:szCs w:val="20"/>
        </w:rPr>
        <w:t xml:space="preserve">This article shows how the preferences of the EP need to be taken seriously, and </w:t>
      </w:r>
      <w:r w:rsidR="000901E6">
        <w:rPr>
          <w:rFonts w:ascii="Arial" w:hAnsi="Arial" w:cs="Arial"/>
          <w:sz w:val="20"/>
          <w:szCs w:val="20"/>
        </w:rPr>
        <w:t xml:space="preserve">how the EP can exercise influence over EU trade negotiations. This </w:t>
      </w:r>
      <w:r w:rsidR="004E0111">
        <w:rPr>
          <w:rFonts w:ascii="Arial" w:hAnsi="Arial" w:cs="Arial"/>
          <w:sz w:val="20"/>
          <w:szCs w:val="20"/>
        </w:rPr>
        <w:t>i</w:t>
      </w:r>
      <w:r w:rsidR="00085B74" w:rsidRPr="00C23944">
        <w:rPr>
          <w:rFonts w:ascii="Arial" w:hAnsi="Arial" w:cs="Arial"/>
          <w:sz w:val="20"/>
          <w:szCs w:val="20"/>
        </w:rPr>
        <w:t>nfluence can only be expected to increase as</w:t>
      </w:r>
      <w:r w:rsidR="00745C38">
        <w:rPr>
          <w:rFonts w:ascii="Arial" w:hAnsi="Arial" w:cs="Arial"/>
          <w:sz w:val="20"/>
          <w:szCs w:val="20"/>
        </w:rPr>
        <w:t xml:space="preserve"> the EP’s </w:t>
      </w:r>
      <w:r w:rsidR="004E0111">
        <w:rPr>
          <w:rFonts w:ascii="Arial" w:hAnsi="Arial" w:cs="Arial"/>
          <w:sz w:val="20"/>
          <w:szCs w:val="20"/>
        </w:rPr>
        <w:t>exper</w:t>
      </w:r>
      <w:r w:rsidR="00745C38">
        <w:rPr>
          <w:rFonts w:ascii="Arial" w:hAnsi="Arial" w:cs="Arial"/>
          <w:sz w:val="20"/>
          <w:szCs w:val="20"/>
        </w:rPr>
        <w:t xml:space="preserve">ience and expertise </w:t>
      </w:r>
      <w:r w:rsidR="004E0111">
        <w:rPr>
          <w:rFonts w:ascii="Arial" w:hAnsi="Arial" w:cs="Arial"/>
          <w:sz w:val="20"/>
          <w:szCs w:val="20"/>
        </w:rPr>
        <w:t xml:space="preserve">of trade negotiations </w:t>
      </w:r>
      <w:r w:rsidR="00745C38">
        <w:rPr>
          <w:rFonts w:ascii="Arial" w:hAnsi="Arial" w:cs="Arial"/>
          <w:sz w:val="20"/>
          <w:szCs w:val="20"/>
        </w:rPr>
        <w:t>deepens</w:t>
      </w:r>
      <w:r w:rsidR="00085B74" w:rsidRPr="00C23944">
        <w:rPr>
          <w:rFonts w:ascii="Arial" w:hAnsi="Arial" w:cs="Arial"/>
          <w:sz w:val="20"/>
          <w:szCs w:val="20"/>
        </w:rPr>
        <w:t>, and as the trad</w:t>
      </w:r>
      <w:r w:rsidR="0080168F">
        <w:rPr>
          <w:rFonts w:ascii="Arial" w:hAnsi="Arial" w:cs="Arial"/>
          <w:sz w:val="20"/>
          <w:szCs w:val="20"/>
        </w:rPr>
        <w:t xml:space="preserve">e agenda becomes more </w:t>
      </w:r>
      <w:r w:rsidR="004711C2">
        <w:rPr>
          <w:rFonts w:ascii="Arial" w:hAnsi="Arial" w:cs="Arial"/>
          <w:sz w:val="20"/>
          <w:szCs w:val="20"/>
        </w:rPr>
        <w:t xml:space="preserve">and more </w:t>
      </w:r>
      <w:r w:rsidR="0080168F">
        <w:rPr>
          <w:rFonts w:ascii="Arial" w:hAnsi="Arial" w:cs="Arial"/>
          <w:sz w:val="20"/>
          <w:szCs w:val="20"/>
        </w:rPr>
        <w:t>politiciz</w:t>
      </w:r>
      <w:r w:rsidR="00085B74" w:rsidRPr="00C23944">
        <w:rPr>
          <w:rFonts w:ascii="Arial" w:hAnsi="Arial" w:cs="Arial"/>
          <w:sz w:val="20"/>
          <w:szCs w:val="20"/>
        </w:rPr>
        <w:t>ed.</w:t>
      </w:r>
      <w:r w:rsidR="004335BE">
        <w:rPr>
          <w:rFonts w:ascii="Arial" w:hAnsi="Arial" w:cs="Arial"/>
          <w:sz w:val="20"/>
          <w:szCs w:val="20"/>
        </w:rPr>
        <w:t xml:space="preserve"> </w:t>
      </w:r>
    </w:p>
    <w:p w14:paraId="28C6A7A5" w14:textId="3177202B" w:rsidR="006B69E4" w:rsidRDefault="006B69E4" w:rsidP="00BD3CBD">
      <w:pPr>
        <w:rPr>
          <w:rFonts w:ascii="Arial" w:hAnsi="Arial" w:cs="Arial"/>
          <w:b/>
          <w:sz w:val="20"/>
          <w:szCs w:val="20"/>
        </w:rPr>
      </w:pPr>
      <w:r>
        <w:rPr>
          <w:rFonts w:ascii="Arial" w:hAnsi="Arial" w:cs="Arial"/>
          <w:b/>
          <w:sz w:val="20"/>
          <w:szCs w:val="20"/>
        </w:rPr>
        <w:br w:type="page"/>
      </w:r>
    </w:p>
    <w:p w14:paraId="14D4C331" w14:textId="121F0B2F" w:rsidR="002D36D8" w:rsidRPr="00C23944" w:rsidRDefault="00C23944" w:rsidP="00C23944">
      <w:pPr>
        <w:spacing w:line="480" w:lineRule="auto"/>
        <w:rPr>
          <w:rFonts w:ascii="Arial" w:hAnsi="Arial" w:cs="Arial"/>
          <w:b/>
          <w:sz w:val="20"/>
          <w:szCs w:val="20"/>
        </w:rPr>
      </w:pPr>
      <w:r w:rsidRPr="00C23944">
        <w:rPr>
          <w:rFonts w:ascii="Arial" w:hAnsi="Arial" w:cs="Arial"/>
          <w:b/>
          <w:sz w:val="20"/>
          <w:szCs w:val="20"/>
        </w:rPr>
        <w:t>References</w:t>
      </w:r>
    </w:p>
    <w:p w14:paraId="3B51DB23" w14:textId="77777777" w:rsidR="00F4148B" w:rsidRDefault="00F4148B" w:rsidP="00C23944">
      <w:pPr>
        <w:spacing w:line="480" w:lineRule="auto"/>
        <w:jc w:val="both"/>
        <w:rPr>
          <w:rFonts w:ascii="Arial" w:hAnsi="Arial" w:cs="Arial"/>
          <w:sz w:val="20"/>
          <w:szCs w:val="20"/>
        </w:rPr>
      </w:pPr>
    </w:p>
    <w:p w14:paraId="6763A8FE" w14:textId="11197A05" w:rsidR="00F4148B" w:rsidRPr="00F4148B" w:rsidRDefault="00F4148B" w:rsidP="00CB782C">
      <w:pPr>
        <w:spacing w:line="480" w:lineRule="auto"/>
        <w:jc w:val="both"/>
        <w:rPr>
          <w:rFonts w:ascii="Arial" w:hAnsi="Arial" w:cs="Arial"/>
          <w:i/>
          <w:sz w:val="20"/>
          <w:szCs w:val="20"/>
        </w:rPr>
      </w:pPr>
      <w:r>
        <w:rPr>
          <w:rFonts w:ascii="Arial" w:hAnsi="Arial" w:cs="Arial"/>
          <w:sz w:val="20"/>
          <w:szCs w:val="20"/>
        </w:rPr>
        <w:t xml:space="preserve">Armanovica, Marika and Bendini, Roberto 2014). “The role of the EP in shaping the EU’s trade policy after the entry into force of the Treaty of Lisbon.” </w:t>
      </w:r>
      <w:r>
        <w:rPr>
          <w:rFonts w:ascii="Arial" w:hAnsi="Arial" w:cs="Arial"/>
          <w:i/>
          <w:sz w:val="20"/>
          <w:szCs w:val="20"/>
        </w:rPr>
        <w:t xml:space="preserve">Directorate-General for External Policies </w:t>
      </w:r>
      <w:r>
        <w:rPr>
          <w:rFonts w:ascii="Arial" w:hAnsi="Arial" w:cs="Arial"/>
          <w:sz w:val="20"/>
          <w:szCs w:val="20"/>
        </w:rPr>
        <w:t>PE 522.336, July 2014. Brussels: European Parliament</w:t>
      </w:r>
      <w:r w:rsidR="0099293B">
        <w:rPr>
          <w:rFonts w:ascii="Arial" w:hAnsi="Arial" w:cs="Arial"/>
          <w:i/>
          <w:sz w:val="20"/>
          <w:szCs w:val="20"/>
        </w:rPr>
        <w:t>.</w:t>
      </w:r>
    </w:p>
    <w:p w14:paraId="755712C7" w14:textId="77777777" w:rsidR="00F4148B" w:rsidRDefault="00F4148B" w:rsidP="00CB782C">
      <w:pPr>
        <w:spacing w:line="480" w:lineRule="auto"/>
        <w:jc w:val="both"/>
        <w:rPr>
          <w:rFonts w:ascii="Arial" w:hAnsi="Arial" w:cs="Arial"/>
          <w:sz w:val="20"/>
          <w:szCs w:val="20"/>
        </w:rPr>
      </w:pPr>
    </w:p>
    <w:p w14:paraId="54C075F0" w14:textId="4E43DC6D" w:rsidR="00326359" w:rsidRPr="00C23944" w:rsidRDefault="00C619AE" w:rsidP="00CB782C">
      <w:pPr>
        <w:spacing w:line="480" w:lineRule="auto"/>
        <w:jc w:val="both"/>
        <w:rPr>
          <w:rFonts w:ascii="Arial" w:hAnsi="Arial" w:cs="Arial"/>
          <w:sz w:val="20"/>
          <w:szCs w:val="20"/>
        </w:rPr>
      </w:pPr>
      <w:r w:rsidRPr="00C23944">
        <w:rPr>
          <w:rFonts w:ascii="Arial" w:hAnsi="Arial" w:cs="Arial"/>
          <w:sz w:val="20"/>
          <w:szCs w:val="20"/>
        </w:rPr>
        <w:t>Bretherton</w:t>
      </w:r>
      <w:r w:rsidR="002B5C7A">
        <w:rPr>
          <w:rFonts w:ascii="Arial" w:hAnsi="Arial" w:cs="Arial"/>
          <w:sz w:val="20"/>
          <w:szCs w:val="20"/>
        </w:rPr>
        <w:t>,</w:t>
      </w:r>
      <w:r w:rsidR="00326359" w:rsidRPr="00C23944">
        <w:rPr>
          <w:rFonts w:ascii="Arial" w:hAnsi="Arial" w:cs="Arial"/>
          <w:sz w:val="20"/>
          <w:szCs w:val="20"/>
        </w:rPr>
        <w:t xml:space="preserve"> C</w:t>
      </w:r>
      <w:r w:rsidR="002B5C7A">
        <w:rPr>
          <w:rFonts w:ascii="Arial" w:hAnsi="Arial" w:cs="Arial"/>
          <w:sz w:val="20"/>
          <w:szCs w:val="20"/>
        </w:rPr>
        <w:t>harlotte</w:t>
      </w:r>
      <w:r w:rsidR="00547911" w:rsidRPr="00C23944">
        <w:rPr>
          <w:rFonts w:ascii="Arial" w:hAnsi="Arial" w:cs="Arial"/>
          <w:sz w:val="20"/>
          <w:szCs w:val="20"/>
        </w:rPr>
        <w:t xml:space="preserve"> </w:t>
      </w:r>
      <w:r w:rsidRPr="00C23944">
        <w:rPr>
          <w:rFonts w:ascii="Arial" w:hAnsi="Arial" w:cs="Arial"/>
          <w:sz w:val="20"/>
          <w:szCs w:val="20"/>
        </w:rPr>
        <w:t>and Vogler</w:t>
      </w:r>
      <w:r w:rsidR="002B5C7A">
        <w:rPr>
          <w:rFonts w:ascii="Arial" w:hAnsi="Arial" w:cs="Arial"/>
          <w:sz w:val="20"/>
          <w:szCs w:val="20"/>
        </w:rPr>
        <w:t>,</w:t>
      </w:r>
      <w:r w:rsidR="00326359" w:rsidRPr="00C23944">
        <w:rPr>
          <w:rFonts w:ascii="Arial" w:hAnsi="Arial" w:cs="Arial"/>
          <w:sz w:val="20"/>
          <w:szCs w:val="20"/>
        </w:rPr>
        <w:t xml:space="preserve"> J</w:t>
      </w:r>
      <w:r w:rsidR="002B5C7A">
        <w:rPr>
          <w:rFonts w:ascii="Arial" w:hAnsi="Arial" w:cs="Arial"/>
          <w:sz w:val="20"/>
          <w:szCs w:val="20"/>
        </w:rPr>
        <w:t>ohn</w:t>
      </w:r>
      <w:r w:rsidR="00326359" w:rsidRPr="00C23944">
        <w:rPr>
          <w:rFonts w:ascii="Arial" w:hAnsi="Arial" w:cs="Arial"/>
          <w:sz w:val="20"/>
          <w:szCs w:val="20"/>
        </w:rPr>
        <w:t xml:space="preserve"> (2006)</w:t>
      </w:r>
      <w:r w:rsidR="00462F4A">
        <w:rPr>
          <w:rFonts w:ascii="Arial" w:hAnsi="Arial" w:cs="Arial"/>
          <w:sz w:val="20"/>
          <w:szCs w:val="20"/>
        </w:rPr>
        <w:t>.</w:t>
      </w:r>
      <w:r w:rsidR="00326359" w:rsidRPr="00C23944">
        <w:rPr>
          <w:rFonts w:ascii="Arial" w:hAnsi="Arial" w:cs="Arial"/>
          <w:sz w:val="20"/>
          <w:szCs w:val="20"/>
        </w:rPr>
        <w:t xml:space="preserve"> </w:t>
      </w:r>
      <w:r w:rsidR="00326359" w:rsidRPr="00C23944">
        <w:rPr>
          <w:rFonts w:ascii="Arial" w:hAnsi="Arial" w:cs="Arial"/>
          <w:i/>
          <w:sz w:val="20"/>
          <w:szCs w:val="20"/>
        </w:rPr>
        <w:t>The European Union as a Global Actor,</w:t>
      </w:r>
      <w:r w:rsidR="00326359" w:rsidRPr="00C23944">
        <w:rPr>
          <w:rFonts w:ascii="Arial" w:hAnsi="Arial" w:cs="Arial"/>
          <w:sz w:val="20"/>
          <w:szCs w:val="20"/>
        </w:rPr>
        <w:t xml:space="preserve"> </w:t>
      </w:r>
      <w:r w:rsidR="007722EC" w:rsidRPr="00C23944">
        <w:rPr>
          <w:rFonts w:ascii="Arial" w:hAnsi="Arial" w:cs="Arial"/>
          <w:i/>
          <w:sz w:val="20"/>
          <w:szCs w:val="20"/>
        </w:rPr>
        <w:t>2</w:t>
      </w:r>
      <w:r w:rsidR="007722EC" w:rsidRPr="00C23944">
        <w:rPr>
          <w:rFonts w:ascii="Arial" w:hAnsi="Arial" w:cs="Arial"/>
          <w:i/>
          <w:sz w:val="20"/>
          <w:szCs w:val="20"/>
          <w:vertAlign w:val="superscript"/>
        </w:rPr>
        <w:t>nd</w:t>
      </w:r>
      <w:r w:rsidR="007722EC" w:rsidRPr="00C23944">
        <w:rPr>
          <w:rFonts w:ascii="Arial" w:hAnsi="Arial" w:cs="Arial"/>
          <w:i/>
          <w:sz w:val="20"/>
          <w:szCs w:val="20"/>
        </w:rPr>
        <w:t xml:space="preserve"> edn</w:t>
      </w:r>
      <w:r w:rsidRPr="00C23944">
        <w:rPr>
          <w:rFonts w:ascii="Arial" w:hAnsi="Arial" w:cs="Arial"/>
          <w:sz w:val="20"/>
          <w:szCs w:val="20"/>
        </w:rPr>
        <w:t>.</w:t>
      </w:r>
      <w:r w:rsidR="00BF2A24" w:rsidRPr="00C23944">
        <w:rPr>
          <w:rFonts w:ascii="Arial" w:hAnsi="Arial" w:cs="Arial"/>
          <w:sz w:val="20"/>
          <w:szCs w:val="20"/>
        </w:rPr>
        <w:t xml:space="preserve"> </w:t>
      </w:r>
      <w:r w:rsidR="001F3693" w:rsidRPr="00C23944">
        <w:rPr>
          <w:rFonts w:ascii="Arial" w:hAnsi="Arial" w:cs="Arial"/>
          <w:sz w:val="20"/>
          <w:szCs w:val="20"/>
        </w:rPr>
        <w:t xml:space="preserve">London: </w:t>
      </w:r>
      <w:r w:rsidR="00326359" w:rsidRPr="00C23944">
        <w:rPr>
          <w:rFonts w:ascii="Arial" w:hAnsi="Arial" w:cs="Arial"/>
          <w:sz w:val="20"/>
          <w:szCs w:val="20"/>
        </w:rPr>
        <w:t>Routledge</w:t>
      </w:r>
      <w:r w:rsidR="00FE1367" w:rsidRPr="00C23944">
        <w:rPr>
          <w:rFonts w:ascii="Arial" w:hAnsi="Arial" w:cs="Arial"/>
          <w:sz w:val="20"/>
          <w:szCs w:val="20"/>
        </w:rPr>
        <w:t>.</w:t>
      </w:r>
    </w:p>
    <w:p w14:paraId="52A3957C" w14:textId="77777777" w:rsidR="00C619AE" w:rsidRPr="00C23944" w:rsidRDefault="00C619AE" w:rsidP="00CB782C">
      <w:pPr>
        <w:spacing w:line="480" w:lineRule="auto"/>
        <w:jc w:val="both"/>
        <w:rPr>
          <w:rFonts w:ascii="Arial" w:hAnsi="Arial" w:cs="Arial"/>
          <w:sz w:val="20"/>
          <w:szCs w:val="20"/>
          <w:lang w:eastAsia="en-US"/>
        </w:rPr>
      </w:pPr>
    </w:p>
    <w:p w14:paraId="65C0A3C9" w14:textId="00209DF0" w:rsidR="00DB5523" w:rsidRPr="00C23944" w:rsidRDefault="00C619AE" w:rsidP="00CB782C">
      <w:pPr>
        <w:spacing w:line="480" w:lineRule="auto"/>
        <w:jc w:val="both"/>
        <w:rPr>
          <w:rFonts w:ascii="Arial" w:hAnsi="Arial" w:cs="Arial"/>
          <w:sz w:val="20"/>
          <w:szCs w:val="20"/>
          <w:lang w:eastAsia="en-US"/>
        </w:rPr>
      </w:pPr>
      <w:r w:rsidRPr="00C23944">
        <w:rPr>
          <w:rFonts w:ascii="Arial" w:hAnsi="Arial" w:cs="Arial"/>
          <w:sz w:val="20"/>
          <w:szCs w:val="20"/>
          <w:lang w:eastAsia="en-US"/>
        </w:rPr>
        <w:t>Correa</w:t>
      </w:r>
      <w:r w:rsidR="002B5C7A">
        <w:rPr>
          <w:rFonts w:ascii="Arial" w:hAnsi="Arial" w:cs="Arial"/>
          <w:sz w:val="20"/>
          <w:szCs w:val="20"/>
          <w:lang w:eastAsia="en-US"/>
        </w:rPr>
        <w:t>,</w:t>
      </w:r>
      <w:r w:rsidRPr="00C23944">
        <w:rPr>
          <w:rFonts w:ascii="Arial" w:hAnsi="Arial" w:cs="Arial"/>
          <w:sz w:val="20"/>
          <w:szCs w:val="20"/>
          <w:lang w:eastAsia="en-US"/>
        </w:rPr>
        <w:t xml:space="preserve"> C</w:t>
      </w:r>
      <w:r w:rsidR="002B5C7A">
        <w:rPr>
          <w:rFonts w:ascii="Arial" w:hAnsi="Arial" w:cs="Arial"/>
          <w:sz w:val="20"/>
          <w:szCs w:val="20"/>
          <w:lang w:eastAsia="en-US"/>
        </w:rPr>
        <w:t xml:space="preserve">arlos </w:t>
      </w:r>
      <w:r w:rsidR="00DB5523" w:rsidRPr="00C23944">
        <w:rPr>
          <w:rFonts w:ascii="Arial" w:hAnsi="Arial" w:cs="Arial"/>
          <w:sz w:val="20"/>
          <w:szCs w:val="20"/>
          <w:lang w:eastAsia="en-US"/>
        </w:rPr>
        <w:t>M</w:t>
      </w:r>
      <w:r w:rsidR="002B5C7A">
        <w:rPr>
          <w:rFonts w:ascii="Arial" w:hAnsi="Arial" w:cs="Arial"/>
          <w:sz w:val="20"/>
          <w:szCs w:val="20"/>
          <w:lang w:eastAsia="en-US"/>
        </w:rPr>
        <w:t>.</w:t>
      </w:r>
      <w:r w:rsidR="00DB5523" w:rsidRPr="00C23944">
        <w:rPr>
          <w:rFonts w:ascii="Arial" w:hAnsi="Arial" w:cs="Arial"/>
          <w:sz w:val="20"/>
          <w:szCs w:val="20"/>
          <w:lang w:eastAsia="en-US"/>
        </w:rPr>
        <w:t xml:space="preserve"> (2009)</w:t>
      </w:r>
      <w:r w:rsidR="00462F4A">
        <w:rPr>
          <w:rFonts w:ascii="Arial" w:hAnsi="Arial" w:cs="Arial"/>
          <w:sz w:val="20"/>
          <w:szCs w:val="20"/>
          <w:lang w:eastAsia="en-US"/>
        </w:rPr>
        <w:t>.</w:t>
      </w:r>
      <w:r w:rsidR="00DB5523" w:rsidRPr="00C23944">
        <w:rPr>
          <w:rFonts w:ascii="Arial" w:hAnsi="Arial" w:cs="Arial"/>
          <w:sz w:val="20"/>
          <w:szCs w:val="20"/>
          <w:lang w:eastAsia="en-US"/>
        </w:rPr>
        <w:t xml:space="preserve"> </w:t>
      </w:r>
      <w:r w:rsidR="0009270F">
        <w:rPr>
          <w:rFonts w:ascii="Arial" w:hAnsi="Arial" w:cs="Arial"/>
          <w:sz w:val="20"/>
          <w:szCs w:val="20"/>
          <w:lang w:eastAsia="en-US"/>
        </w:rPr>
        <w:t>“</w:t>
      </w:r>
      <w:r w:rsidR="00DB5523" w:rsidRPr="00C23944">
        <w:rPr>
          <w:rFonts w:ascii="Arial" w:hAnsi="Arial" w:cs="Arial"/>
          <w:sz w:val="20"/>
          <w:szCs w:val="20"/>
          <w:lang w:eastAsia="en-US"/>
        </w:rPr>
        <w:t>Negotiation of a Free Trade Agreement European Union-India: Will India Accept Trip-Plus Protection?</w:t>
      </w:r>
      <w:r w:rsidR="009C7BC5" w:rsidRPr="00C23944">
        <w:rPr>
          <w:rFonts w:ascii="Arial" w:hAnsi="Arial" w:cs="Arial"/>
          <w:sz w:val="20"/>
          <w:szCs w:val="20"/>
          <w:lang w:eastAsia="en-US"/>
        </w:rPr>
        <w:t>.</w:t>
      </w:r>
      <w:r w:rsidR="0009270F">
        <w:rPr>
          <w:rFonts w:ascii="Arial" w:hAnsi="Arial" w:cs="Arial"/>
          <w:sz w:val="20"/>
          <w:szCs w:val="20"/>
          <w:lang w:eastAsia="en-US"/>
        </w:rPr>
        <w:t>”</w:t>
      </w:r>
      <w:r w:rsidR="009C7BC5" w:rsidRPr="00C23944">
        <w:rPr>
          <w:rFonts w:ascii="Arial" w:hAnsi="Arial" w:cs="Arial"/>
          <w:sz w:val="20"/>
          <w:szCs w:val="20"/>
          <w:lang w:eastAsia="en-US"/>
        </w:rPr>
        <w:t xml:space="preserve"> Report for Oxfam and EED. </w:t>
      </w:r>
      <w:r w:rsidRPr="00C23944">
        <w:rPr>
          <w:rFonts w:ascii="Arial" w:hAnsi="Arial" w:cs="Arial"/>
          <w:sz w:val="20"/>
          <w:szCs w:val="20"/>
          <w:lang w:eastAsia="en-US"/>
        </w:rPr>
        <w:t xml:space="preserve">Berlin: </w:t>
      </w:r>
      <w:r w:rsidR="00DB5523" w:rsidRPr="00C23944">
        <w:rPr>
          <w:rFonts w:ascii="Arial" w:hAnsi="Arial" w:cs="Arial"/>
          <w:sz w:val="20"/>
          <w:szCs w:val="20"/>
          <w:lang w:eastAsia="en-US"/>
        </w:rPr>
        <w:t>Oxfam</w:t>
      </w:r>
      <w:r w:rsidRPr="00C23944">
        <w:rPr>
          <w:rFonts w:ascii="Arial" w:hAnsi="Arial" w:cs="Arial"/>
          <w:sz w:val="20"/>
          <w:szCs w:val="20"/>
          <w:lang w:eastAsia="en-US"/>
        </w:rPr>
        <w:t>.</w:t>
      </w:r>
    </w:p>
    <w:p w14:paraId="63DDE4E8" w14:textId="77777777" w:rsidR="00C619AE" w:rsidRPr="00C23944" w:rsidRDefault="00C619AE" w:rsidP="00CB782C">
      <w:pPr>
        <w:spacing w:line="480" w:lineRule="auto"/>
        <w:jc w:val="both"/>
        <w:rPr>
          <w:rFonts w:ascii="Arial" w:hAnsi="Arial" w:cs="Arial"/>
          <w:sz w:val="20"/>
          <w:szCs w:val="20"/>
          <w:lang w:eastAsia="en-US"/>
        </w:rPr>
      </w:pPr>
    </w:p>
    <w:p w14:paraId="05D4A78F" w14:textId="112D783B" w:rsidR="00C619AE" w:rsidRPr="00C23944" w:rsidRDefault="00C619AE" w:rsidP="00CB782C">
      <w:pPr>
        <w:spacing w:line="480" w:lineRule="auto"/>
        <w:jc w:val="both"/>
        <w:rPr>
          <w:rFonts w:ascii="Arial" w:hAnsi="Arial" w:cs="Arial"/>
          <w:sz w:val="20"/>
          <w:szCs w:val="20"/>
        </w:rPr>
      </w:pPr>
      <w:r w:rsidRPr="00C23944">
        <w:rPr>
          <w:rFonts w:ascii="Arial" w:hAnsi="Arial" w:cs="Arial"/>
          <w:sz w:val="20"/>
          <w:szCs w:val="20"/>
        </w:rPr>
        <w:t>Da Conceição-Heldt</w:t>
      </w:r>
      <w:r w:rsidR="002B5C7A">
        <w:rPr>
          <w:rFonts w:ascii="Arial" w:hAnsi="Arial" w:cs="Arial"/>
          <w:sz w:val="20"/>
          <w:szCs w:val="20"/>
        </w:rPr>
        <w:t>,</w:t>
      </w:r>
      <w:r w:rsidRPr="00C23944">
        <w:rPr>
          <w:rFonts w:ascii="Arial" w:hAnsi="Arial" w:cs="Arial"/>
          <w:sz w:val="20"/>
          <w:szCs w:val="20"/>
        </w:rPr>
        <w:t xml:space="preserve"> E</w:t>
      </w:r>
      <w:r w:rsidR="002B5C7A">
        <w:rPr>
          <w:rFonts w:ascii="Arial" w:hAnsi="Arial" w:cs="Arial"/>
          <w:sz w:val="20"/>
          <w:szCs w:val="20"/>
        </w:rPr>
        <w:t>ugénia</w:t>
      </w:r>
      <w:r w:rsidRPr="00C23944">
        <w:rPr>
          <w:rFonts w:ascii="Arial" w:hAnsi="Arial" w:cs="Arial"/>
          <w:sz w:val="20"/>
          <w:szCs w:val="20"/>
        </w:rPr>
        <w:t xml:space="preserve"> (2010)</w:t>
      </w:r>
      <w:r w:rsidR="00462F4A">
        <w:rPr>
          <w:rFonts w:ascii="Arial" w:hAnsi="Arial" w:cs="Arial"/>
          <w:sz w:val="20"/>
          <w:szCs w:val="20"/>
        </w:rPr>
        <w:t>.</w:t>
      </w:r>
      <w:r w:rsidRPr="00C23944">
        <w:rPr>
          <w:rFonts w:ascii="Arial" w:hAnsi="Arial" w:cs="Arial"/>
          <w:sz w:val="20"/>
          <w:szCs w:val="20"/>
        </w:rPr>
        <w:t xml:space="preserve"> </w:t>
      </w:r>
      <w:r w:rsidR="0009270F">
        <w:rPr>
          <w:rFonts w:ascii="Arial" w:hAnsi="Arial" w:cs="Arial"/>
          <w:sz w:val="20"/>
          <w:szCs w:val="20"/>
        </w:rPr>
        <w:t>“</w:t>
      </w:r>
      <w:r w:rsidRPr="00C23944">
        <w:rPr>
          <w:rFonts w:ascii="Arial" w:hAnsi="Arial" w:cs="Arial"/>
          <w:sz w:val="20"/>
          <w:szCs w:val="20"/>
        </w:rPr>
        <w:t>Who Controls Whom? Dynamics of Power Delegation and Agency Losses in EU Trade Politics.</w:t>
      </w:r>
      <w:r w:rsidR="0009270F">
        <w:rPr>
          <w:rFonts w:ascii="Arial" w:hAnsi="Arial" w:cs="Arial"/>
          <w:sz w:val="20"/>
          <w:szCs w:val="20"/>
        </w:rPr>
        <w:t>”</w:t>
      </w:r>
      <w:r w:rsidRPr="00C23944">
        <w:rPr>
          <w:rFonts w:ascii="Arial" w:hAnsi="Arial" w:cs="Arial"/>
          <w:sz w:val="20"/>
          <w:szCs w:val="20"/>
        </w:rPr>
        <w:t xml:space="preserve"> </w:t>
      </w:r>
      <w:r w:rsidRPr="00C23944">
        <w:rPr>
          <w:rFonts w:ascii="Arial" w:hAnsi="Arial" w:cs="Arial"/>
          <w:i/>
          <w:sz w:val="20"/>
          <w:szCs w:val="20"/>
        </w:rPr>
        <w:t xml:space="preserve">Journal of Common Market Studies </w:t>
      </w:r>
      <w:r w:rsidRPr="00C23944">
        <w:rPr>
          <w:rFonts w:ascii="Arial" w:hAnsi="Arial" w:cs="Arial"/>
          <w:sz w:val="20"/>
          <w:szCs w:val="20"/>
        </w:rPr>
        <w:t>48</w:t>
      </w:r>
      <w:r w:rsidR="00BD0B99">
        <w:rPr>
          <w:rFonts w:ascii="Arial" w:hAnsi="Arial" w:cs="Arial"/>
          <w:sz w:val="20"/>
          <w:szCs w:val="20"/>
        </w:rPr>
        <w:t>, 4</w:t>
      </w:r>
      <w:r w:rsidRPr="00C23944">
        <w:rPr>
          <w:rFonts w:ascii="Arial" w:hAnsi="Arial" w:cs="Arial"/>
          <w:sz w:val="20"/>
          <w:szCs w:val="20"/>
        </w:rPr>
        <w:t>: 1107-1126.</w:t>
      </w:r>
    </w:p>
    <w:p w14:paraId="7E0E88B9" w14:textId="77777777" w:rsidR="00C619AE" w:rsidRPr="00C23944" w:rsidRDefault="00C619AE" w:rsidP="00CB782C">
      <w:pPr>
        <w:spacing w:line="480" w:lineRule="auto"/>
        <w:jc w:val="both"/>
        <w:rPr>
          <w:rFonts w:ascii="Arial" w:hAnsi="Arial" w:cs="Arial"/>
          <w:sz w:val="20"/>
          <w:szCs w:val="20"/>
        </w:rPr>
      </w:pPr>
    </w:p>
    <w:p w14:paraId="7826DC0C" w14:textId="055B72A7" w:rsidR="00C619AE" w:rsidRPr="00EE1C9D" w:rsidRDefault="00C619AE" w:rsidP="00CB782C">
      <w:pPr>
        <w:spacing w:line="360" w:lineRule="auto"/>
        <w:jc w:val="both"/>
        <w:rPr>
          <w:rFonts w:ascii="Arial" w:hAnsi="Arial" w:cs="Arial"/>
          <w:sz w:val="20"/>
          <w:szCs w:val="20"/>
          <w:lang w:eastAsia="en-US"/>
        </w:rPr>
      </w:pPr>
      <w:r w:rsidRPr="00C23944">
        <w:rPr>
          <w:rFonts w:ascii="Arial" w:hAnsi="Arial" w:cs="Arial"/>
          <w:sz w:val="20"/>
          <w:szCs w:val="20"/>
        </w:rPr>
        <w:t>Da Conceição-Heldt</w:t>
      </w:r>
      <w:r w:rsidR="002B5C7A">
        <w:rPr>
          <w:rFonts w:ascii="Arial" w:hAnsi="Arial" w:cs="Arial"/>
          <w:sz w:val="20"/>
          <w:szCs w:val="20"/>
        </w:rPr>
        <w:t>,</w:t>
      </w:r>
      <w:r w:rsidRPr="00C23944">
        <w:rPr>
          <w:rFonts w:ascii="Arial" w:hAnsi="Arial" w:cs="Arial"/>
          <w:sz w:val="20"/>
          <w:szCs w:val="20"/>
        </w:rPr>
        <w:t xml:space="preserve"> E</w:t>
      </w:r>
      <w:r w:rsidR="002B5C7A">
        <w:rPr>
          <w:rFonts w:ascii="Arial" w:hAnsi="Arial" w:cs="Arial"/>
          <w:sz w:val="20"/>
          <w:szCs w:val="20"/>
        </w:rPr>
        <w:t>ugénia</w:t>
      </w:r>
      <w:r w:rsidRPr="00C23944">
        <w:rPr>
          <w:rFonts w:ascii="Arial" w:hAnsi="Arial" w:cs="Arial"/>
          <w:sz w:val="20"/>
          <w:szCs w:val="20"/>
        </w:rPr>
        <w:t xml:space="preserve"> and Meunier</w:t>
      </w:r>
      <w:r w:rsidR="002B5C7A">
        <w:rPr>
          <w:rFonts w:ascii="Arial" w:hAnsi="Arial" w:cs="Arial"/>
          <w:sz w:val="20"/>
          <w:szCs w:val="20"/>
        </w:rPr>
        <w:t>,</w:t>
      </w:r>
      <w:r w:rsidRPr="00C23944">
        <w:rPr>
          <w:rFonts w:ascii="Arial" w:hAnsi="Arial" w:cs="Arial"/>
          <w:sz w:val="20"/>
          <w:szCs w:val="20"/>
        </w:rPr>
        <w:t xml:space="preserve"> S</w:t>
      </w:r>
      <w:r w:rsidR="002B5C7A">
        <w:rPr>
          <w:rFonts w:ascii="Arial" w:hAnsi="Arial" w:cs="Arial"/>
          <w:sz w:val="20"/>
          <w:szCs w:val="20"/>
        </w:rPr>
        <w:t>ophie</w:t>
      </w:r>
      <w:r w:rsidRPr="00C23944">
        <w:rPr>
          <w:rFonts w:ascii="Arial" w:hAnsi="Arial" w:cs="Arial"/>
          <w:sz w:val="20"/>
          <w:szCs w:val="20"/>
        </w:rPr>
        <w:t xml:space="preserve"> </w:t>
      </w:r>
      <w:r w:rsidRPr="00C23944">
        <w:rPr>
          <w:rFonts w:ascii="Arial" w:hAnsi="Arial" w:cs="Arial"/>
          <w:sz w:val="20"/>
          <w:szCs w:val="20"/>
          <w:lang w:eastAsia="en-US"/>
        </w:rPr>
        <w:t>(2014)</w:t>
      </w:r>
      <w:r w:rsidR="00462F4A">
        <w:rPr>
          <w:rFonts w:ascii="Arial" w:hAnsi="Arial" w:cs="Arial"/>
          <w:sz w:val="20"/>
          <w:szCs w:val="20"/>
          <w:lang w:eastAsia="en-US"/>
        </w:rPr>
        <w:t>.</w:t>
      </w:r>
      <w:r w:rsidRPr="00C23944">
        <w:rPr>
          <w:rFonts w:ascii="Arial" w:hAnsi="Arial" w:cs="Arial"/>
          <w:sz w:val="20"/>
          <w:szCs w:val="20"/>
          <w:lang w:eastAsia="en-US"/>
        </w:rPr>
        <w:t xml:space="preserve"> </w:t>
      </w:r>
      <w:r w:rsidR="0009270F">
        <w:rPr>
          <w:rFonts w:ascii="Arial" w:hAnsi="Arial" w:cs="Arial"/>
          <w:sz w:val="20"/>
          <w:szCs w:val="20"/>
          <w:lang w:eastAsia="en-US"/>
        </w:rPr>
        <w:t>“</w:t>
      </w:r>
      <w:r w:rsidRPr="00C23944">
        <w:rPr>
          <w:rFonts w:ascii="Arial" w:hAnsi="Arial" w:cs="Arial"/>
          <w:sz w:val="20"/>
          <w:szCs w:val="20"/>
          <w:lang w:eastAsia="en-US"/>
        </w:rPr>
        <w:t>Speaking with a single voice: internal cohesiveness and external effectiveness of the EU in global governance.</w:t>
      </w:r>
      <w:r w:rsidR="0009270F">
        <w:rPr>
          <w:rFonts w:ascii="Arial" w:hAnsi="Arial" w:cs="Arial"/>
          <w:sz w:val="20"/>
          <w:szCs w:val="20"/>
          <w:lang w:eastAsia="en-US"/>
        </w:rPr>
        <w:t>”</w:t>
      </w:r>
      <w:r w:rsidRPr="00C23944">
        <w:rPr>
          <w:rFonts w:ascii="Arial" w:hAnsi="Arial" w:cs="Arial"/>
          <w:sz w:val="20"/>
          <w:szCs w:val="20"/>
          <w:lang w:eastAsia="en-US"/>
        </w:rPr>
        <w:t xml:space="preserve"> </w:t>
      </w:r>
      <w:r w:rsidRPr="00C23944">
        <w:rPr>
          <w:rFonts w:ascii="Arial" w:hAnsi="Arial" w:cs="Arial"/>
          <w:i/>
          <w:sz w:val="20"/>
          <w:szCs w:val="20"/>
          <w:lang w:eastAsia="en-US"/>
        </w:rPr>
        <w:t xml:space="preserve">Journal of </w:t>
      </w:r>
      <w:r w:rsidRPr="00EE1C9D">
        <w:rPr>
          <w:rFonts w:ascii="Arial" w:hAnsi="Arial" w:cs="Arial"/>
          <w:i/>
          <w:sz w:val="20"/>
          <w:szCs w:val="20"/>
          <w:lang w:eastAsia="en-US"/>
        </w:rPr>
        <w:t>European Public Policy</w:t>
      </w:r>
      <w:r w:rsidRPr="00EE1C9D">
        <w:rPr>
          <w:rFonts w:ascii="Arial" w:hAnsi="Arial" w:cs="Arial"/>
          <w:sz w:val="20"/>
          <w:szCs w:val="20"/>
          <w:lang w:eastAsia="en-US"/>
        </w:rPr>
        <w:t xml:space="preserve"> 21</w:t>
      </w:r>
      <w:r w:rsidR="00BD0B99" w:rsidRPr="00EE1C9D">
        <w:rPr>
          <w:rFonts w:ascii="Arial" w:hAnsi="Arial" w:cs="Arial"/>
          <w:sz w:val="20"/>
          <w:szCs w:val="20"/>
          <w:lang w:eastAsia="en-US"/>
        </w:rPr>
        <w:t xml:space="preserve">, </w:t>
      </w:r>
      <w:r w:rsidRPr="00EE1C9D">
        <w:rPr>
          <w:rFonts w:ascii="Arial" w:hAnsi="Arial" w:cs="Arial"/>
          <w:sz w:val="20"/>
          <w:szCs w:val="20"/>
          <w:lang w:eastAsia="en-US"/>
        </w:rPr>
        <w:t>7: 961-979.</w:t>
      </w:r>
    </w:p>
    <w:p w14:paraId="1CBE7130" w14:textId="77777777" w:rsidR="00EE1C9D" w:rsidRPr="00EE1C9D" w:rsidRDefault="00EE1C9D" w:rsidP="00CB782C">
      <w:pPr>
        <w:spacing w:line="360" w:lineRule="auto"/>
        <w:jc w:val="both"/>
        <w:rPr>
          <w:rFonts w:ascii="Arial" w:hAnsi="Arial" w:cs="Arial"/>
          <w:sz w:val="20"/>
          <w:szCs w:val="20"/>
          <w:lang w:eastAsia="en-US"/>
        </w:rPr>
      </w:pPr>
    </w:p>
    <w:p w14:paraId="618B6460" w14:textId="56DB747D" w:rsidR="00EE1C9D" w:rsidRPr="00EE1C9D" w:rsidRDefault="00EE1C9D" w:rsidP="00CB782C">
      <w:pPr>
        <w:spacing w:line="360" w:lineRule="auto"/>
        <w:jc w:val="both"/>
        <w:rPr>
          <w:rFonts w:ascii="Arial" w:hAnsi="Arial" w:cs="Arial"/>
          <w:sz w:val="20"/>
          <w:szCs w:val="20"/>
          <w:lang w:eastAsia="en-US"/>
        </w:rPr>
      </w:pPr>
      <w:r w:rsidRPr="00EE1C9D">
        <w:rPr>
          <w:rFonts w:ascii="Arial" w:hAnsi="Arial" w:cs="Arial"/>
          <w:sz w:val="20"/>
          <w:szCs w:val="20"/>
          <w:lang w:eastAsia="en-US"/>
        </w:rPr>
        <w:t>Delreux, T</w:t>
      </w:r>
      <w:r>
        <w:rPr>
          <w:rFonts w:ascii="Arial" w:hAnsi="Arial" w:cs="Arial"/>
          <w:sz w:val="20"/>
          <w:szCs w:val="20"/>
          <w:lang w:eastAsia="en-US"/>
        </w:rPr>
        <w:t>om</w:t>
      </w:r>
      <w:r w:rsidRPr="00EE1C9D">
        <w:rPr>
          <w:rFonts w:ascii="Arial" w:hAnsi="Arial" w:cs="Arial"/>
          <w:sz w:val="20"/>
          <w:szCs w:val="20"/>
          <w:lang w:eastAsia="en-US"/>
        </w:rPr>
        <w:t xml:space="preserve"> (2008)</w:t>
      </w:r>
      <w:r>
        <w:rPr>
          <w:rFonts w:ascii="Arial" w:hAnsi="Arial" w:cs="Arial"/>
          <w:sz w:val="20"/>
          <w:szCs w:val="20"/>
          <w:lang w:eastAsia="en-US"/>
        </w:rPr>
        <w:t>.</w:t>
      </w:r>
      <w:r w:rsidRPr="00EE1C9D">
        <w:rPr>
          <w:rFonts w:ascii="Arial" w:hAnsi="Arial" w:cs="Arial"/>
          <w:sz w:val="20"/>
          <w:szCs w:val="20"/>
          <w:lang w:eastAsia="en-US"/>
        </w:rPr>
        <w:t xml:space="preserve"> </w:t>
      </w:r>
      <w:r>
        <w:rPr>
          <w:rFonts w:ascii="Arial" w:hAnsi="Arial" w:cs="Arial"/>
          <w:sz w:val="20"/>
          <w:szCs w:val="20"/>
          <w:lang w:eastAsia="en-US"/>
        </w:rPr>
        <w:t>“</w:t>
      </w:r>
      <w:r w:rsidRPr="00EE1C9D">
        <w:rPr>
          <w:rFonts w:ascii="Arial" w:hAnsi="Arial" w:cs="Arial"/>
          <w:sz w:val="20"/>
          <w:szCs w:val="20"/>
          <w:lang w:eastAsia="en-US"/>
        </w:rPr>
        <w:t>The EU as a negotiator in multilateral chemicals negotiations: multiple principals, different agents</w:t>
      </w:r>
      <w:r>
        <w:rPr>
          <w:rFonts w:ascii="Arial" w:hAnsi="Arial" w:cs="Arial"/>
          <w:sz w:val="20"/>
          <w:szCs w:val="20"/>
          <w:lang w:eastAsia="en-US"/>
        </w:rPr>
        <w:t>.”</w:t>
      </w:r>
      <w:r w:rsidRPr="00EE1C9D">
        <w:rPr>
          <w:rFonts w:ascii="Arial" w:hAnsi="Arial" w:cs="Arial"/>
          <w:sz w:val="20"/>
          <w:szCs w:val="20"/>
          <w:lang w:eastAsia="en-US"/>
        </w:rPr>
        <w:t xml:space="preserve"> </w:t>
      </w:r>
      <w:r w:rsidRPr="00EE1C9D">
        <w:rPr>
          <w:rFonts w:ascii="Arial" w:hAnsi="Arial" w:cs="Arial"/>
          <w:i/>
          <w:sz w:val="20"/>
          <w:szCs w:val="20"/>
          <w:lang w:eastAsia="en-US"/>
        </w:rPr>
        <w:t>Journal of European Public Policy</w:t>
      </w:r>
      <w:r w:rsidRPr="00EE1C9D">
        <w:rPr>
          <w:rFonts w:ascii="Arial" w:hAnsi="Arial" w:cs="Arial"/>
          <w:sz w:val="20"/>
          <w:szCs w:val="20"/>
          <w:lang w:eastAsia="en-US"/>
        </w:rPr>
        <w:t xml:space="preserve"> 15</w:t>
      </w:r>
      <w:r>
        <w:rPr>
          <w:rFonts w:ascii="Arial" w:hAnsi="Arial" w:cs="Arial"/>
          <w:sz w:val="20"/>
          <w:szCs w:val="20"/>
          <w:lang w:eastAsia="en-US"/>
        </w:rPr>
        <w:t xml:space="preserve">, </w:t>
      </w:r>
      <w:r w:rsidRPr="00EE1C9D">
        <w:rPr>
          <w:rFonts w:ascii="Arial" w:hAnsi="Arial" w:cs="Arial"/>
          <w:sz w:val="20"/>
          <w:szCs w:val="20"/>
          <w:lang w:eastAsia="en-US"/>
        </w:rPr>
        <w:t>7: 1069–86.</w:t>
      </w:r>
    </w:p>
    <w:p w14:paraId="1AD867AD" w14:textId="77777777" w:rsidR="007B1B9C" w:rsidRPr="00EE1C9D" w:rsidRDefault="007B1B9C" w:rsidP="00CB782C">
      <w:pPr>
        <w:spacing w:line="360" w:lineRule="auto"/>
        <w:jc w:val="both"/>
        <w:rPr>
          <w:rFonts w:ascii="Arial" w:hAnsi="Arial" w:cs="Arial"/>
          <w:sz w:val="20"/>
          <w:szCs w:val="20"/>
          <w:lang w:eastAsia="en-US"/>
        </w:rPr>
      </w:pPr>
    </w:p>
    <w:p w14:paraId="25A6B30C" w14:textId="7CC8D150" w:rsidR="007B1B9C" w:rsidRPr="007B1B9C" w:rsidRDefault="007B1B9C" w:rsidP="00CB782C">
      <w:pPr>
        <w:spacing w:line="360" w:lineRule="auto"/>
        <w:jc w:val="both"/>
        <w:rPr>
          <w:rFonts w:ascii="Arial" w:hAnsi="Arial" w:cs="Arial"/>
          <w:sz w:val="20"/>
          <w:szCs w:val="20"/>
        </w:rPr>
      </w:pPr>
      <w:r w:rsidRPr="00EE1C9D">
        <w:rPr>
          <w:rFonts w:ascii="Arial" w:hAnsi="Arial" w:cs="Arial"/>
          <w:sz w:val="20"/>
          <w:szCs w:val="20"/>
        </w:rPr>
        <w:t xml:space="preserve">Devuyst, </w:t>
      </w:r>
      <w:r w:rsidR="00057F13">
        <w:rPr>
          <w:rFonts w:ascii="Arial" w:hAnsi="Arial" w:cs="Arial"/>
          <w:sz w:val="20"/>
          <w:szCs w:val="20"/>
        </w:rPr>
        <w:t>Youri</w:t>
      </w:r>
      <w:r w:rsidRPr="00EE1C9D">
        <w:rPr>
          <w:rFonts w:ascii="Arial" w:hAnsi="Arial" w:cs="Arial"/>
          <w:sz w:val="20"/>
          <w:szCs w:val="20"/>
        </w:rPr>
        <w:t>. (2013</w:t>
      </w:r>
      <w:r>
        <w:rPr>
          <w:rFonts w:ascii="Arial" w:hAnsi="Arial" w:cs="Arial"/>
          <w:sz w:val="20"/>
          <w:szCs w:val="20"/>
        </w:rPr>
        <w:t>).</w:t>
      </w:r>
      <w:r w:rsidRPr="007B1B9C">
        <w:rPr>
          <w:rFonts w:ascii="Arial" w:hAnsi="Arial" w:cs="Arial"/>
          <w:sz w:val="20"/>
          <w:szCs w:val="20"/>
        </w:rPr>
        <w:t xml:space="preserve"> “European Union Law and Practice in the Negotiation and Conclusion of</w:t>
      </w:r>
    </w:p>
    <w:p w14:paraId="744F5E7C" w14:textId="6AB75992" w:rsidR="00DB5523" w:rsidRDefault="007B1B9C" w:rsidP="00CB782C">
      <w:pPr>
        <w:spacing w:line="480" w:lineRule="auto"/>
        <w:jc w:val="both"/>
        <w:rPr>
          <w:rFonts w:ascii="Arial" w:hAnsi="Arial" w:cs="Arial"/>
          <w:sz w:val="20"/>
          <w:szCs w:val="20"/>
        </w:rPr>
      </w:pPr>
      <w:r w:rsidRPr="007B1B9C">
        <w:rPr>
          <w:rFonts w:ascii="Arial" w:hAnsi="Arial" w:cs="Arial"/>
          <w:sz w:val="20"/>
          <w:szCs w:val="20"/>
        </w:rPr>
        <w:t>International Trade Agreements</w:t>
      </w:r>
      <w:r>
        <w:rPr>
          <w:rFonts w:ascii="Arial" w:hAnsi="Arial" w:cs="Arial"/>
          <w:sz w:val="20"/>
          <w:szCs w:val="20"/>
        </w:rPr>
        <w:t>.”</w:t>
      </w:r>
      <w:r w:rsidRPr="007B1B9C">
        <w:rPr>
          <w:rFonts w:ascii="Arial" w:hAnsi="Arial" w:cs="Arial"/>
          <w:sz w:val="20"/>
          <w:szCs w:val="20"/>
        </w:rPr>
        <w:t xml:space="preserve"> </w:t>
      </w:r>
      <w:r w:rsidRPr="007B1B9C">
        <w:rPr>
          <w:rFonts w:ascii="Arial" w:hAnsi="Arial" w:cs="Arial"/>
          <w:i/>
          <w:sz w:val="20"/>
          <w:szCs w:val="20"/>
        </w:rPr>
        <w:t>Journal of International Business and Law</w:t>
      </w:r>
      <w:r w:rsidRPr="007B1B9C">
        <w:rPr>
          <w:rFonts w:ascii="Arial" w:hAnsi="Arial" w:cs="Arial"/>
          <w:sz w:val="20"/>
          <w:szCs w:val="20"/>
        </w:rPr>
        <w:t xml:space="preserve"> 12</w:t>
      </w:r>
      <w:r>
        <w:rPr>
          <w:rFonts w:ascii="Arial" w:hAnsi="Arial" w:cs="Arial"/>
          <w:sz w:val="20"/>
          <w:szCs w:val="20"/>
        </w:rPr>
        <w:t xml:space="preserve">, </w:t>
      </w:r>
      <w:r w:rsidRPr="007B1B9C">
        <w:rPr>
          <w:rFonts w:ascii="Arial" w:hAnsi="Arial" w:cs="Arial"/>
          <w:sz w:val="20"/>
          <w:szCs w:val="20"/>
        </w:rPr>
        <w:t>2</w:t>
      </w:r>
      <w:r>
        <w:rPr>
          <w:rFonts w:ascii="Arial" w:hAnsi="Arial" w:cs="Arial"/>
          <w:sz w:val="20"/>
          <w:szCs w:val="20"/>
        </w:rPr>
        <w:t xml:space="preserve">: </w:t>
      </w:r>
      <w:r w:rsidRPr="007B1B9C">
        <w:rPr>
          <w:rFonts w:ascii="Arial" w:hAnsi="Arial" w:cs="Arial"/>
          <w:sz w:val="20"/>
          <w:szCs w:val="20"/>
        </w:rPr>
        <w:t>259-316.</w:t>
      </w:r>
    </w:p>
    <w:p w14:paraId="4CC6EA10" w14:textId="77777777" w:rsidR="00F154E3" w:rsidRDefault="00F154E3" w:rsidP="00CB782C">
      <w:pPr>
        <w:spacing w:line="480" w:lineRule="auto"/>
        <w:jc w:val="both"/>
        <w:rPr>
          <w:rFonts w:ascii="Arial" w:hAnsi="Arial" w:cs="Arial"/>
          <w:sz w:val="20"/>
          <w:szCs w:val="20"/>
        </w:rPr>
      </w:pPr>
    </w:p>
    <w:p w14:paraId="3533F4DA" w14:textId="50248F5D" w:rsidR="00955FA9" w:rsidRPr="00B70861" w:rsidRDefault="009C7BC5" w:rsidP="00CB782C">
      <w:pPr>
        <w:spacing w:line="360" w:lineRule="auto"/>
        <w:jc w:val="both"/>
        <w:rPr>
          <w:rFonts w:ascii="Arial" w:hAnsi="Arial" w:cs="Arial"/>
          <w:sz w:val="20"/>
          <w:szCs w:val="20"/>
        </w:rPr>
      </w:pPr>
      <w:r w:rsidRPr="00C23944">
        <w:rPr>
          <w:rFonts w:ascii="Arial" w:hAnsi="Arial" w:cs="Arial"/>
          <w:sz w:val="20"/>
          <w:szCs w:val="20"/>
        </w:rPr>
        <w:t>Duchesne</w:t>
      </w:r>
      <w:r w:rsidR="002B5C7A">
        <w:rPr>
          <w:rFonts w:ascii="Arial" w:hAnsi="Arial" w:cs="Arial"/>
          <w:sz w:val="20"/>
          <w:szCs w:val="20"/>
        </w:rPr>
        <w:t>,</w:t>
      </w:r>
      <w:r w:rsidRPr="00C23944">
        <w:rPr>
          <w:rFonts w:ascii="Arial" w:hAnsi="Arial" w:cs="Arial"/>
          <w:sz w:val="20"/>
          <w:szCs w:val="20"/>
        </w:rPr>
        <w:t xml:space="preserve"> </w:t>
      </w:r>
      <w:r w:rsidR="002B5C7A">
        <w:rPr>
          <w:rFonts w:ascii="Arial" w:hAnsi="Arial" w:cs="Arial"/>
          <w:sz w:val="20"/>
          <w:szCs w:val="20"/>
        </w:rPr>
        <w:t>Éric</w:t>
      </w:r>
      <w:r w:rsidRPr="00C23944">
        <w:rPr>
          <w:rFonts w:ascii="Arial" w:hAnsi="Arial" w:cs="Arial"/>
          <w:sz w:val="20"/>
          <w:szCs w:val="20"/>
        </w:rPr>
        <w:t xml:space="preserve"> and Morin</w:t>
      </w:r>
      <w:r w:rsidR="002B5C7A">
        <w:rPr>
          <w:rFonts w:ascii="Arial" w:hAnsi="Arial" w:cs="Arial"/>
          <w:sz w:val="20"/>
          <w:szCs w:val="20"/>
        </w:rPr>
        <w:t>,</w:t>
      </w:r>
      <w:r w:rsidRPr="00C23944">
        <w:rPr>
          <w:rFonts w:ascii="Arial" w:hAnsi="Arial" w:cs="Arial"/>
          <w:sz w:val="20"/>
          <w:szCs w:val="20"/>
        </w:rPr>
        <w:t xml:space="preserve"> J</w:t>
      </w:r>
      <w:r w:rsidR="002B5C7A">
        <w:rPr>
          <w:rFonts w:ascii="Arial" w:hAnsi="Arial" w:cs="Arial"/>
          <w:sz w:val="20"/>
          <w:szCs w:val="20"/>
        </w:rPr>
        <w:t>ean-Frédéric</w:t>
      </w:r>
      <w:r w:rsidRPr="00C23944">
        <w:rPr>
          <w:rFonts w:ascii="Arial" w:hAnsi="Arial" w:cs="Arial"/>
          <w:sz w:val="20"/>
          <w:szCs w:val="20"/>
        </w:rPr>
        <w:t xml:space="preserve"> (2013)</w:t>
      </w:r>
      <w:r w:rsidR="00462F4A">
        <w:rPr>
          <w:rFonts w:ascii="Arial" w:hAnsi="Arial" w:cs="Arial"/>
          <w:sz w:val="20"/>
          <w:szCs w:val="20"/>
        </w:rPr>
        <w:t>.</w:t>
      </w:r>
      <w:r w:rsidRPr="00C23944">
        <w:rPr>
          <w:rFonts w:ascii="Arial" w:hAnsi="Arial" w:cs="Arial"/>
          <w:sz w:val="20"/>
          <w:szCs w:val="20"/>
        </w:rPr>
        <w:t xml:space="preserve"> </w:t>
      </w:r>
      <w:r w:rsidR="0009270F">
        <w:rPr>
          <w:rFonts w:ascii="Arial" w:hAnsi="Arial" w:cs="Arial"/>
          <w:sz w:val="20"/>
          <w:szCs w:val="20"/>
        </w:rPr>
        <w:t>“</w:t>
      </w:r>
      <w:r w:rsidR="00955FA9" w:rsidRPr="00C23944">
        <w:rPr>
          <w:rFonts w:ascii="Arial" w:hAnsi="Arial" w:cs="Arial"/>
          <w:sz w:val="20"/>
          <w:szCs w:val="20"/>
        </w:rPr>
        <w:t xml:space="preserve">Revisiting Structural Variables to Trade </w:t>
      </w:r>
      <w:r w:rsidR="00955FA9" w:rsidRPr="00B70861">
        <w:rPr>
          <w:rFonts w:ascii="Arial" w:hAnsi="Arial" w:cs="Arial"/>
          <w:sz w:val="20"/>
          <w:szCs w:val="20"/>
        </w:rPr>
        <w:t>Negotiations: The C</w:t>
      </w:r>
      <w:r w:rsidRPr="00B70861">
        <w:rPr>
          <w:rFonts w:ascii="Arial" w:hAnsi="Arial" w:cs="Arial"/>
          <w:sz w:val="20"/>
          <w:szCs w:val="20"/>
        </w:rPr>
        <w:t>ase of the Canada-EU Agreement.</w:t>
      </w:r>
      <w:r w:rsidR="0009270F" w:rsidRPr="00B70861">
        <w:rPr>
          <w:rFonts w:ascii="Arial" w:hAnsi="Arial" w:cs="Arial"/>
          <w:sz w:val="20"/>
          <w:szCs w:val="20"/>
        </w:rPr>
        <w:t>”</w:t>
      </w:r>
      <w:r w:rsidR="00955FA9" w:rsidRPr="00B70861">
        <w:rPr>
          <w:rFonts w:ascii="Arial" w:hAnsi="Arial" w:cs="Arial"/>
          <w:sz w:val="20"/>
          <w:szCs w:val="20"/>
        </w:rPr>
        <w:t xml:space="preserve"> </w:t>
      </w:r>
      <w:r w:rsidR="00955FA9" w:rsidRPr="00B70861">
        <w:rPr>
          <w:rFonts w:ascii="Arial" w:hAnsi="Arial" w:cs="Arial"/>
          <w:i/>
          <w:sz w:val="20"/>
          <w:szCs w:val="20"/>
        </w:rPr>
        <w:t xml:space="preserve">International Negotiation </w:t>
      </w:r>
      <w:r w:rsidR="00955FA9" w:rsidRPr="00B70861">
        <w:rPr>
          <w:rFonts w:ascii="Arial" w:hAnsi="Arial" w:cs="Arial"/>
          <w:sz w:val="20"/>
          <w:szCs w:val="20"/>
        </w:rPr>
        <w:t>18</w:t>
      </w:r>
      <w:r w:rsidR="00BD0B99" w:rsidRPr="00B70861">
        <w:rPr>
          <w:rFonts w:ascii="Arial" w:hAnsi="Arial" w:cs="Arial"/>
          <w:sz w:val="20"/>
          <w:szCs w:val="20"/>
        </w:rPr>
        <w:t xml:space="preserve">, </w:t>
      </w:r>
      <w:r w:rsidR="00955FA9" w:rsidRPr="00B70861">
        <w:rPr>
          <w:rFonts w:ascii="Arial" w:hAnsi="Arial" w:cs="Arial"/>
          <w:sz w:val="20"/>
          <w:szCs w:val="20"/>
        </w:rPr>
        <w:t>1: 5-24.</w:t>
      </w:r>
    </w:p>
    <w:p w14:paraId="799C371E" w14:textId="5C765741" w:rsidR="00B70861" w:rsidRPr="00B70861" w:rsidRDefault="00B70861" w:rsidP="00CB782C">
      <w:pPr>
        <w:spacing w:line="360" w:lineRule="auto"/>
        <w:jc w:val="both"/>
        <w:rPr>
          <w:rFonts w:ascii="Times" w:hAnsi="Times"/>
          <w:sz w:val="20"/>
          <w:szCs w:val="20"/>
          <w:lang w:eastAsia="en-US"/>
        </w:rPr>
      </w:pPr>
      <w:r w:rsidRPr="00B70861">
        <w:rPr>
          <w:rFonts w:ascii="Arial" w:hAnsi="Arial" w:cs="Arial"/>
          <w:color w:val="333333"/>
          <w:sz w:val="20"/>
          <w:szCs w:val="20"/>
          <w:lang w:eastAsia="en-US"/>
        </w:rPr>
        <w:t>Dür, A</w:t>
      </w:r>
      <w:r>
        <w:rPr>
          <w:rFonts w:ascii="Arial" w:hAnsi="Arial" w:cs="Arial"/>
          <w:color w:val="333333"/>
          <w:sz w:val="20"/>
          <w:szCs w:val="20"/>
          <w:lang w:eastAsia="en-US"/>
        </w:rPr>
        <w:t>ndreas</w:t>
      </w:r>
      <w:r w:rsidRPr="00B70861">
        <w:rPr>
          <w:rFonts w:ascii="Arial" w:hAnsi="Arial" w:cs="Arial"/>
          <w:color w:val="333333"/>
          <w:sz w:val="20"/>
          <w:szCs w:val="20"/>
          <w:lang w:eastAsia="en-US"/>
        </w:rPr>
        <w:t> (2008)</w:t>
      </w:r>
      <w:r>
        <w:rPr>
          <w:rFonts w:ascii="Arial" w:hAnsi="Arial" w:cs="Arial"/>
          <w:color w:val="333333"/>
          <w:sz w:val="20"/>
          <w:szCs w:val="20"/>
          <w:lang w:eastAsia="en-US"/>
        </w:rPr>
        <w:t>.</w:t>
      </w:r>
      <w:r w:rsidRPr="00B70861">
        <w:rPr>
          <w:rFonts w:ascii="Arial" w:hAnsi="Arial" w:cs="Arial"/>
          <w:color w:val="333333"/>
          <w:sz w:val="20"/>
          <w:szCs w:val="20"/>
          <w:lang w:eastAsia="en-US"/>
        </w:rPr>
        <w:t> </w:t>
      </w:r>
      <w:r>
        <w:rPr>
          <w:rFonts w:ascii="Arial" w:hAnsi="Arial" w:cs="Arial"/>
          <w:color w:val="333333"/>
          <w:sz w:val="20"/>
          <w:szCs w:val="20"/>
          <w:lang w:eastAsia="en-US"/>
        </w:rPr>
        <w:t>“</w:t>
      </w:r>
      <w:r w:rsidRPr="00B70861">
        <w:rPr>
          <w:rFonts w:ascii="Arial" w:hAnsi="Arial" w:cs="Arial"/>
          <w:color w:val="333333"/>
          <w:sz w:val="20"/>
          <w:szCs w:val="20"/>
          <w:lang w:eastAsia="en-US"/>
        </w:rPr>
        <w:t>Bringing economic interests back in the study of EU trade policy-making</w:t>
      </w:r>
      <w:r>
        <w:rPr>
          <w:rFonts w:ascii="Arial" w:hAnsi="Arial" w:cs="Arial"/>
          <w:color w:val="333333"/>
          <w:sz w:val="20"/>
          <w:szCs w:val="20"/>
          <w:lang w:eastAsia="en-US"/>
        </w:rPr>
        <w:t>.”</w:t>
      </w:r>
      <w:r w:rsidRPr="00B70861">
        <w:rPr>
          <w:rFonts w:ascii="Arial" w:hAnsi="Arial" w:cs="Arial"/>
          <w:color w:val="333333"/>
          <w:sz w:val="20"/>
          <w:szCs w:val="20"/>
          <w:lang w:eastAsia="en-US"/>
        </w:rPr>
        <w:t> </w:t>
      </w:r>
      <w:r w:rsidRPr="00B70861">
        <w:rPr>
          <w:rFonts w:ascii="Arial" w:hAnsi="Arial" w:cs="Arial"/>
          <w:i/>
          <w:iCs/>
          <w:color w:val="333333"/>
          <w:sz w:val="20"/>
          <w:szCs w:val="20"/>
          <w:lang w:eastAsia="en-US"/>
        </w:rPr>
        <w:t>The British Journal of Politics and International Relations</w:t>
      </w:r>
      <w:r w:rsidRPr="00B70861">
        <w:rPr>
          <w:rFonts w:ascii="Arial" w:hAnsi="Arial" w:cs="Arial"/>
          <w:color w:val="333333"/>
          <w:sz w:val="20"/>
          <w:szCs w:val="20"/>
          <w:lang w:eastAsia="en-US"/>
        </w:rPr>
        <w:t> 10</w:t>
      </w:r>
      <w:r>
        <w:rPr>
          <w:rFonts w:ascii="Arial" w:hAnsi="Arial" w:cs="Arial"/>
          <w:color w:val="333333"/>
          <w:sz w:val="20"/>
          <w:szCs w:val="20"/>
          <w:lang w:eastAsia="en-US"/>
        </w:rPr>
        <w:t>, 1:</w:t>
      </w:r>
      <w:r w:rsidRPr="00B70861">
        <w:rPr>
          <w:rFonts w:ascii="Arial" w:hAnsi="Arial" w:cs="Arial"/>
          <w:color w:val="333333"/>
          <w:sz w:val="20"/>
          <w:szCs w:val="20"/>
          <w:lang w:eastAsia="en-US"/>
        </w:rPr>
        <w:t> 27–45.</w:t>
      </w:r>
    </w:p>
    <w:p w14:paraId="051FACB2" w14:textId="77777777" w:rsidR="002D36D8" w:rsidRPr="00B70861" w:rsidRDefault="002D36D8" w:rsidP="00CB782C">
      <w:pPr>
        <w:spacing w:line="360" w:lineRule="auto"/>
        <w:jc w:val="both"/>
        <w:rPr>
          <w:rFonts w:ascii="Arial" w:hAnsi="Arial" w:cs="Arial"/>
          <w:sz w:val="20"/>
          <w:szCs w:val="20"/>
        </w:rPr>
      </w:pPr>
    </w:p>
    <w:p w14:paraId="24616CDC" w14:textId="354800A9" w:rsidR="00F11978" w:rsidRPr="00C23944" w:rsidRDefault="009C7BC5" w:rsidP="00CB782C">
      <w:pPr>
        <w:spacing w:line="360" w:lineRule="auto"/>
        <w:jc w:val="both"/>
        <w:rPr>
          <w:rFonts w:ascii="Arial" w:hAnsi="Arial" w:cs="Arial"/>
          <w:sz w:val="20"/>
          <w:szCs w:val="20"/>
        </w:rPr>
      </w:pPr>
      <w:r w:rsidRPr="00B70861">
        <w:rPr>
          <w:rFonts w:ascii="Arial" w:hAnsi="Arial" w:cs="Arial"/>
          <w:sz w:val="20"/>
          <w:szCs w:val="20"/>
        </w:rPr>
        <w:t>Dür</w:t>
      </w:r>
      <w:r w:rsidR="002B5C7A" w:rsidRPr="00B70861">
        <w:rPr>
          <w:rFonts w:ascii="Arial" w:hAnsi="Arial" w:cs="Arial"/>
          <w:sz w:val="20"/>
          <w:szCs w:val="20"/>
        </w:rPr>
        <w:t>,</w:t>
      </w:r>
      <w:r w:rsidR="00F11978" w:rsidRPr="00B70861">
        <w:rPr>
          <w:rFonts w:ascii="Arial" w:hAnsi="Arial" w:cs="Arial"/>
          <w:sz w:val="20"/>
          <w:szCs w:val="20"/>
        </w:rPr>
        <w:t xml:space="preserve"> A</w:t>
      </w:r>
      <w:r w:rsidR="002B5C7A" w:rsidRPr="00B70861">
        <w:rPr>
          <w:rFonts w:ascii="Arial" w:hAnsi="Arial" w:cs="Arial"/>
          <w:sz w:val="20"/>
          <w:szCs w:val="20"/>
        </w:rPr>
        <w:t>ndreas</w:t>
      </w:r>
      <w:r w:rsidR="00F11978" w:rsidRPr="00C23944">
        <w:rPr>
          <w:rFonts w:ascii="Arial" w:hAnsi="Arial" w:cs="Arial"/>
          <w:sz w:val="20"/>
          <w:szCs w:val="20"/>
        </w:rPr>
        <w:t xml:space="preserve"> a</w:t>
      </w:r>
      <w:r w:rsidRPr="00C23944">
        <w:rPr>
          <w:rFonts w:ascii="Arial" w:hAnsi="Arial" w:cs="Arial"/>
          <w:sz w:val="20"/>
          <w:szCs w:val="20"/>
        </w:rPr>
        <w:t>nd De Bièvre</w:t>
      </w:r>
      <w:r w:rsidR="002B5C7A">
        <w:rPr>
          <w:rFonts w:ascii="Arial" w:hAnsi="Arial" w:cs="Arial"/>
          <w:sz w:val="20"/>
          <w:szCs w:val="20"/>
        </w:rPr>
        <w:t>,</w:t>
      </w:r>
      <w:r w:rsidRPr="00C23944">
        <w:rPr>
          <w:rFonts w:ascii="Arial" w:hAnsi="Arial" w:cs="Arial"/>
          <w:sz w:val="20"/>
          <w:szCs w:val="20"/>
        </w:rPr>
        <w:t xml:space="preserve"> D</w:t>
      </w:r>
      <w:r w:rsidR="002B5C7A">
        <w:rPr>
          <w:rFonts w:ascii="Arial" w:hAnsi="Arial" w:cs="Arial"/>
          <w:sz w:val="20"/>
          <w:szCs w:val="20"/>
        </w:rPr>
        <w:t>irk</w:t>
      </w:r>
      <w:r w:rsidRPr="00C23944">
        <w:rPr>
          <w:rFonts w:ascii="Arial" w:hAnsi="Arial" w:cs="Arial"/>
          <w:sz w:val="20"/>
          <w:szCs w:val="20"/>
        </w:rPr>
        <w:t xml:space="preserve"> (2007)</w:t>
      </w:r>
      <w:r w:rsidR="00462F4A">
        <w:rPr>
          <w:rFonts w:ascii="Arial" w:hAnsi="Arial" w:cs="Arial"/>
          <w:sz w:val="20"/>
          <w:szCs w:val="20"/>
        </w:rPr>
        <w:t>.</w:t>
      </w:r>
      <w:r w:rsidRPr="00C23944">
        <w:rPr>
          <w:rFonts w:ascii="Arial" w:hAnsi="Arial" w:cs="Arial"/>
          <w:sz w:val="20"/>
          <w:szCs w:val="20"/>
        </w:rPr>
        <w:t xml:space="preserve"> </w:t>
      </w:r>
      <w:r w:rsidR="0009270F">
        <w:rPr>
          <w:rFonts w:ascii="Arial" w:hAnsi="Arial" w:cs="Arial"/>
          <w:sz w:val="20"/>
          <w:szCs w:val="20"/>
        </w:rPr>
        <w:t>“</w:t>
      </w:r>
      <w:r w:rsidR="00F11978" w:rsidRPr="00C23944">
        <w:rPr>
          <w:rFonts w:ascii="Arial" w:hAnsi="Arial" w:cs="Arial"/>
          <w:sz w:val="20"/>
          <w:szCs w:val="20"/>
        </w:rPr>
        <w:t>Inclusion without influence</w:t>
      </w:r>
      <w:r w:rsidRPr="00C23944">
        <w:rPr>
          <w:rFonts w:ascii="Arial" w:hAnsi="Arial" w:cs="Arial"/>
          <w:sz w:val="20"/>
          <w:szCs w:val="20"/>
        </w:rPr>
        <w:t>? NGOs in European Trade Policy.</w:t>
      </w:r>
      <w:r w:rsidR="0009270F">
        <w:rPr>
          <w:rFonts w:ascii="Arial" w:hAnsi="Arial" w:cs="Arial"/>
          <w:sz w:val="20"/>
          <w:szCs w:val="20"/>
        </w:rPr>
        <w:t>”</w:t>
      </w:r>
      <w:r w:rsidR="00F11978" w:rsidRPr="00C23944">
        <w:rPr>
          <w:rFonts w:ascii="Arial" w:hAnsi="Arial" w:cs="Arial"/>
          <w:sz w:val="20"/>
          <w:szCs w:val="20"/>
        </w:rPr>
        <w:t xml:space="preserve"> </w:t>
      </w:r>
      <w:r w:rsidR="00F11978" w:rsidRPr="00C23944">
        <w:rPr>
          <w:rFonts w:ascii="Arial" w:hAnsi="Arial" w:cs="Arial"/>
          <w:i/>
          <w:sz w:val="20"/>
          <w:szCs w:val="20"/>
        </w:rPr>
        <w:t xml:space="preserve">Journal of Public Policy </w:t>
      </w:r>
      <w:r w:rsidR="00F11978" w:rsidRPr="00C23944">
        <w:rPr>
          <w:rFonts w:ascii="Arial" w:hAnsi="Arial" w:cs="Arial"/>
          <w:sz w:val="20"/>
          <w:szCs w:val="20"/>
        </w:rPr>
        <w:t>27</w:t>
      </w:r>
      <w:r w:rsidR="00BD0B99">
        <w:rPr>
          <w:rFonts w:ascii="Arial" w:hAnsi="Arial" w:cs="Arial"/>
          <w:sz w:val="20"/>
          <w:szCs w:val="20"/>
        </w:rPr>
        <w:t xml:space="preserve">, </w:t>
      </w:r>
      <w:r w:rsidR="00F11978" w:rsidRPr="00C23944">
        <w:rPr>
          <w:rFonts w:ascii="Arial" w:hAnsi="Arial" w:cs="Arial"/>
          <w:sz w:val="20"/>
          <w:szCs w:val="20"/>
        </w:rPr>
        <w:t>1: 79-101.</w:t>
      </w:r>
    </w:p>
    <w:p w14:paraId="0276D8A2" w14:textId="77777777" w:rsidR="00F11978" w:rsidRPr="00C23944" w:rsidRDefault="00F11978" w:rsidP="00CB782C">
      <w:pPr>
        <w:spacing w:line="480" w:lineRule="auto"/>
        <w:jc w:val="both"/>
        <w:rPr>
          <w:rFonts w:ascii="Arial" w:hAnsi="Arial" w:cs="Arial"/>
          <w:sz w:val="20"/>
          <w:szCs w:val="20"/>
        </w:rPr>
      </w:pPr>
    </w:p>
    <w:p w14:paraId="2B30DA0B" w14:textId="75CF01C5" w:rsidR="002D36D8" w:rsidRPr="00C23944" w:rsidRDefault="009C7BC5" w:rsidP="00CB782C">
      <w:pPr>
        <w:spacing w:line="480" w:lineRule="auto"/>
        <w:jc w:val="both"/>
        <w:rPr>
          <w:rFonts w:ascii="Arial" w:hAnsi="Arial" w:cs="Arial"/>
          <w:sz w:val="20"/>
          <w:szCs w:val="20"/>
        </w:rPr>
      </w:pPr>
      <w:r w:rsidRPr="00C23944">
        <w:rPr>
          <w:rFonts w:ascii="Arial" w:hAnsi="Arial" w:cs="Arial"/>
          <w:sz w:val="20"/>
          <w:szCs w:val="20"/>
        </w:rPr>
        <w:t>Dür</w:t>
      </w:r>
      <w:r w:rsidR="002B5C7A">
        <w:rPr>
          <w:rFonts w:ascii="Arial" w:hAnsi="Arial" w:cs="Arial"/>
          <w:sz w:val="20"/>
          <w:szCs w:val="20"/>
        </w:rPr>
        <w:t>,</w:t>
      </w:r>
      <w:r w:rsidR="002D36D8" w:rsidRPr="00C23944">
        <w:rPr>
          <w:rFonts w:ascii="Arial" w:hAnsi="Arial" w:cs="Arial"/>
          <w:sz w:val="20"/>
          <w:szCs w:val="20"/>
        </w:rPr>
        <w:t xml:space="preserve"> A</w:t>
      </w:r>
      <w:r w:rsidR="002B5C7A">
        <w:rPr>
          <w:rFonts w:ascii="Arial" w:hAnsi="Arial" w:cs="Arial"/>
          <w:sz w:val="20"/>
          <w:szCs w:val="20"/>
        </w:rPr>
        <w:t>ndreas</w:t>
      </w:r>
      <w:r w:rsidRPr="00C23944">
        <w:rPr>
          <w:rFonts w:ascii="Arial" w:hAnsi="Arial" w:cs="Arial"/>
          <w:sz w:val="20"/>
          <w:szCs w:val="20"/>
        </w:rPr>
        <w:t xml:space="preserve"> and Elsig</w:t>
      </w:r>
      <w:r w:rsidR="002B5C7A">
        <w:rPr>
          <w:rFonts w:ascii="Arial" w:hAnsi="Arial" w:cs="Arial"/>
          <w:sz w:val="20"/>
          <w:szCs w:val="20"/>
        </w:rPr>
        <w:t>,</w:t>
      </w:r>
      <w:r w:rsidR="002D36D8" w:rsidRPr="00C23944">
        <w:rPr>
          <w:rFonts w:ascii="Arial" w:hAnsi="Arial" w:cs="Arial"/>
          <w:sz w:val="20"/>
          <w:szCs w:val="20"/>
        </w:rPr>
        <w:t xml:space="preserve"> M</w:t>
      </w:r>
      <w:r w:rsidR="002B5C7A">
        <w:rPr>
          <w:rFonts w:ascii="Arial" w:hAnsi="Arial" w:cs="Arial"/>
          <w:sz w:val="20"/>
          <w:szCs w:val="20"/>
        </w:rPr>
        <w:t>anfred</w:t>
      </w:r>
      <w:r w:rsidR="00547911" w:rsidRPr="00C23944">
        <w:rPr>
          <w:rFonts w:ascii="Arial" w:hAnsi="Arial" w:cs="Arial"/>
          <w:sz w:val="20"/>
          <w:szCs w:val="20"/>
        </w:rPr>
        <w:t xml:space="preserve"> </w:t>
      </w:r>
      <w:r w:rsidR="002D36D8" w:rsidRPr="00C23944">
        <w:rPr>
          <w:rFonts w:ascii="Arial" w:hAnsi="Arial" w:cs="Arial"/>
          <w:sz w:val="20"/>
          <w:szCs w:val="20"/>
        </w:rPr>
        <w:t>(2011)</w:t>
      </w:r>
      <w:r w:rsidR="00462F4A">
        <w:rPr>
          <w:rFonts w:ascii="Arial" w:hAnsi="Arial" w:cs="Arial"/>
          <w:sz w:val="20"/>
          <w:szCs w:val="20"/>
        </w:rPr>
        <w:t>.</w:t>
      </w:r>
      <w:r w:rsidR="002D36D8" w:rsidRPr="00C23944">
        <w:rPr>
          <w:rFonts w:ascii="Arial" w:hAnsi="Arial" w:cs="Arial"/>
          <w:sz w:val="20"/>
          <w:szCs w:val="20"/>
        </w:rPr>
        <w:t xml:space="preserve"> </w:t>
      </w:r>
      <w:r w:rsidR="0009270F">
        <w:rPr>
          <w:rFonts w:ascii="Arial" w:hAnsi="Arial" w:cs="Arial"/>
          <w:sz w:val="20"/>
          <w:szCs w:val="20"/>
        </w:rPr>
        <w:t>“</w:t>
      </w:r>
      <w:r w:rsidR="002D36D8" w:rsidRPr="00C23944">
        <w:rPr>
          <w:rFonts w:ascii="Arial" w:hAnsi="Arial" w:cs="Arial"/>
          <w:sz w:val="20"/>
          <w:szCs w:val="20"/>
        </w:rPr>
        <w:t>Principals, agents, and the European Union’s foreign economic policies</w:t>
      </w:r>
      <w:r w:rsidRPr="00C23944">
        <w:rPr>
          <w:rFonts w:ascii="Arial" w:hAnsi="Arial" w:cs="Arial"/>
          <w:sz w:val="20"/>
          <w:szCs w:val="20"/>
        </w:rPr>
        <w:t>.</w:t>
      </w:r>
      <w:r w:rsidR="0009270F">
        <w:rPr>
          <w:rFonts w:ascii="Arial" w:hAnsi="Arial" w:cs="Arial"/>
          <w:sz w:val="20"/>
          <w:szCs w:val="20"/>
        </w:rPr>
        <w:t>”</w:t>
      </w:r>
      <w:r w:rsidR="002D36D8" w:rsidRPr="00C23944">
        <w:rPr>
          <w:rFonts w:ascii="Arial" w:hAnsi="Arial" w:cs="Arial"/>
          <w:sz w:val="20"/>
          <w:szCs w:val="20"/>
        </w:rPr>
        <w:t xml:space="preserve"> </w:t>
      </w:r>
      <w:r w:rsidR="002D36D8" w:rsidRPr="00C23944">
        <w:rPr>
          <w:rFonts w:ascii="Arial" w:hAnsi="Arial" w:cs="Arial"/>
          <w:i/>
          <w:sz w:val="20"/>
          <w:szCs w:val="20"/>
        </w:rPr>
        <w:t xml:space="preserve">Journal of European Public Policy </w:t>
      </w:r>
      <w:r w:rsidR="00955FA9" w:rsidRPr="00C23944">
        <w:rPr>
          <w:rFonts w:ascii="Arial" w:hAnsi="Arial" w:cs="Arial"/>
          <w:sz w:val="20"/>
          <w:szCs w:val="20"/>
        </w:rPr>
        <w:t>18</w:t>
      </w:r>
      <w:r w:rsidR="00BD0B99">
        <w:rPr>
          <w:rFonts w:ascii="Arial" w:hAnsi="Arial" w:cs="Arial"/>
          <w:sz w:val="20"/>
          <w:szCs w:val="20"/>
        </w:rPr>
        <w:t xml:space="preserve">, </w:t>
      </w:r>
      <w:r w:rsidR="00955FA9" w:rsidRPr="00C23944">
        <w:rPr>
          <w:rFonts w:ascii="Arial" w:hAnsi="Arial" w:cs="Arial"/>
          <w:sz w:val="20"/>
          <w:szCs w:val="20"/>
        </w:rPr>
        <w:t xml:space="preserve">3: </w:t>
      </w:r>
      <w:r w:rsidR="002D36D8" w:rsidRPr="00C23944">
        <w:rPr>
          <w:rFonts w:ascii="Arial" w:hAnsi="Arial" w:cs="Arial"/>
          <w:sz w:val="20"/>
          <w:szCs w:val="20"/>
        </w:rPr>
        <w:t>323-338</w:t>
      </w:r>
      <w:r w:rsidR="001B34DF" w:rsidRPr="00C23944">
        <w:rPr>
          <w:rFonts w:ascii="Arial" w:hAnsi="Arial" w:cs="Arial"/>
          <w:sz w:val="20"/>
          <w:szCs w:val="20"/>
        </w:rPr>
        <w:t>.</w:t>
      </w:r>
    </w:p>
    <w:p w14:paraId="60A74BE9" w14:textId="77777777" w:rsidR="007664B6" w:rsidRPr="00C23944" w:rsidRDefault="007664B6" w:rsidP="00CB782C">
      <w:pPr>
        <w:spacing w:line="480" w:lineRule="auto"/>
        <w:jc w:val="both"/>
        <w:rPr>
          <w:rFonts w:ascii="Arial" w:hAnsi="Arial" w:cs="Arial"/>
          <w:sz w:val="20"/>
          <w:szCs w:val="20"/>
        </w:rPr>
      </w:pPr>
    </w:p>
    <w:p w14:paraId="01941BC4" w14:textId="3BD9A00C" w:rsidR="008971C9" w:rsidRPr="00C23944" w:rsidRDefault="003214E4" w:rsidP="00CB782C">
      <w:pPr>
        <w:widowControl w:val="0"/>
        <w:autoSpaceDE w:val="0"/>
        <w:autoSpaceDN w:val="0"/>
        <w:adjustRightInd w:val="0"/>
        <w:spacing w:after="240" w:line="480" w:lineRule="auto"/>
        <w:jc w:val="both"/>
        <w:rPr>
          <w:rFonts w:ascii="Arial" w:hAnsi="Arial" w:cs="Arial"/>
          <w:sz w:val="20"/>
          <w:szCs w:val="20"/>
          <w:lang w:val="en-US" w:eastAsia="en-US"/>
        </w:rPr>
      </w:pPr>
      <w:r w:rsidRPr="00C23944">
        <w:rPr>
          <w:rFonts w:ascii="Arial" w:hAnsi="Arial" w:cs="Arial"/>
          <w:sz w:val="20"/>
          <w:szCs w:val="20"/>
          <w:lang w:val="en-US" w:eastAsia="en-US"/>
        </w:rPr>
        <w:t>EFPIA (2015)</w:t>
      </w:r>
      <w:r w:rsidR="00462F4A">
        <w:rPr>
          <w:rFonts w:ascii="Arial" w:hAnsi="Arial" w:cs="Arial"/>
          <w:sz w:val="20"/>
          <w:szCs w:val="20"/>
          <w:lang w:val="en-US" w:eastAsia="en-US"/>
        </w:rPr>
        <w:t>.</w:t>
      </w:r>
      <w:r w:rsidRPr="00C23944">
        <w:rPr>
          <w:rFonts w:ascii="Arial" w:hAnsi="Arial" w:cs="Arial"/>
          <w:sz w:val="20"/>
          <w:szCs w:val="20"/>
          <w:lang w:val="en-US" w:eastAsia="en-US"/>
        </w:rPr>
        <w:t xml:space="preserve"> </w:t>
      </w:r>
      <w:r w:rsidR="0009270F">
        <w:rPr>
          <w:rFonts w:ascii="Arial" w:hAnsi="Arial" w:cs="Arial"/>
          <w:sz w:val="20"/>
          <w:szCs w:val="20"/>
          <w:lang w:val="en-US" w:eastAsia="en-US"/>
        </w:rPr>
        <w:t>“</w:t>
      </w:r>
      <w:r w:rsidRPr="00C23944">
        <w:rPr>
          <w:rFonts w:ascii="Arial" w:hAnsi="Arial" w:cs="Arial"/>
          <w:sz w:val="20"/>
          <w:szCs w:val="20"/>
          <w:lang w:val="en-US" w:eastAsia="en-US"/>
        </w:rPr>
        <w:t>The European Pharmaceutical sector is a world leader.</w:t>
      </w:r>
      <w:r w:rsidR="0009270F">
        <w:rPr>
          <w:rFonts w:ascii="Arial" w:hAnsi="Arial" w:cs="Arial"/>
          <w:sz w:val="20"/>
          <w:szCs w:val="20"/>
          <w:lang w:val="en-US" w:eastAsia="en-US"/>
        </w:rPr>
        <w:t>”</w:t>
      </w:r>
      <w:r w:rsidRPr="00C23944">
        <w:rPr>
          <w:rFonts w:ascii="Arial" w:hAnsi="Arial" w:cs="Arial"/>
          <w:sz w:val="20"/>
          <w:szCs w:val="20"/>
          <w:lang w:val="en-US" w:eastAsia="en-US"/>
        </w:rPr>
        <w:t xml:space="preserve"> Available at: </w:t>
      </w:r>
      <w:hyperlink r:id="rId9" w:history="1">
        <w:r w:rsidRPr="00C23944">
          <w:rPr>
            <w:rStyle w:val="Hyperlink"/>
            <w:rFonts w:ascii="Arial" w:hAnsi="Arial" w:cs="Arial"/>
            <w:sz w:val="20"/>
            <w:szCs w:val="20"/>
            <w:lang w:val="en-US" w:eastAsia="en-US"/>
          </w:rPr>
          <w:t>http://www.efpia.eu/topics/industry-economy/trade</w:t>
        </w:r>
      </w:hyperlink>
      <w:r w:rsidRPr="00C23944">
        <w:rPr>
          <w:rFonts w:ascii="Arial" w:hAnsi="Arial" w:cs="Arial"/>
          <w:sz w:val="20"/>
          <w:szCs w:val="20"/>
          <w:lang w:val="en-US" w:eastAsia="en-US"/>
        </w:rPr>
        <w:t xml:space="preserve"> (accessed August 2015)</w:t>
      </w:r>
      <w:r w:rsidR="009C7BC5" w:rsidRPr="00C23944">
        <w:rPr>
          <w:rFonts w:ascii="Arial" w:hAnsi="Arial" w:cs="Arial"/>
          <w:sz w:val="20"/>
          <w:szCs w:val="20"/>
          <w:lang w:val="en-US" w:eastAsia="en-US"/>
        </w:rPr>
        <w:t>.</w:t>
      </w:r>
    </w:p>
    <w:p w14:paraId="4256A393" w14:textId="38A32D8C" w:rsidR="00981DBA" w:rsidRPr="00C23944" w:rsidRDefault="009C7BC5" w:rsidP="00CB782C">
      <w:pPr>
        <w:widowControl w:val="0"/>
        <w:autoSpaceDE w:val="0"/>
        <w:autoSpaceDN w:val="0"/>
        <w:adjustRightInd w:val="0"/>
        <w:spacing w:after="240" w:line="480" w:lineRule="auto"/>
        <w:jc w:val="both"/>
        <w:rPr>
          <w:rFonts w:ascii="Arial" w:hAnsi="Arial" w:cs="Arial"/>
          <w:sz w:val="20"/>
          <w:szCs w:val="20"/>
          <w:lang w:val="en-US" w:eastAsia="en-US"/>
        </w:rPr>
      </w:pPr>
      <w:r w:rsidRPr="00C23944">
        <w:rPr>
          <w:rFonts w:ascii="Arial" w:hAnsi="Arial" w:cs="Arial"/>
          <w:sz w:val="20"/>
          <w:szCs w:val="20"/>
          <w:lang w:val="en-US" w:eastAsia="en-US"/>
        </w:rPr>
        <w:t>Egeberg</w:t>
      </w:r>
      <w:r w:rsidR="002B5C7A">
        <w:rPr>
          <w:rFonts w:ascii="Arial" w:hAnsi="Arial" w:cs="Arial"/>
          <w:sz w:val="20"/>
          <w:szCs w:val="20"/>
          <w:lang w:val="en-US" w:eastAsia="en-US"/>
        </w:rPr>
        <w:t>,</w:t>
      </w:r>
      <w:r w:rsidRPr="00C23944">
        <w:rPr>
          <w:rFonts w:ascii="Arial" w:hAnsi="Arial" w:cs="Arial"/>
          <w:sz w:val="20"/>
          <w:szCs w:val="20"/>
          <w:lang w:val="en-US" w:eastAsia="en-US"/>
        </w:rPr>
        <w:t xml:space="preserve"> M</w:t>
      </w:r>
      <w:r w:rsidR="002B5C7A">
        <w:rPr>
          <w:rFonts w:ascii="Arial" w:hAnsi="Arial" w:cs="Arial"/>
          <w:sz w:val="20"/>
          <w:szCs w:val="20"/>
          <w:lang w:val="en-US" w:eastAsia="en-US"/>
        </w:rPr>
        <w:t>orten</w:t>
      </w:r>
      <w:r w:rsidRPr="00C23944">
        <w:rPr>
          <w:rFonts w:ascii="Arial" w:hAnsi="Arial" w:cs="Arial"/>
          <w:sz w:val="20"/>
          <w:szCs w:val="20"/>
          <w:lang w:val="en-US" w:eastAsia="en-US"/>
        </w:rPr>
        <w:t xml:space="preserve"> (2002)</w:t>
      </w:r>
      <w:r w:rsidR="00462F4A">
        <w:rPr>
          <w:rFonts w:ascii="Arial" w:hAnsi="Arial" w:cs="Arial"/>
          <w:sz w:val="20"/>
          <w:szCs w:val="20"/>
          <w:lang w:val="en-US" w:eastAsia="en-US"/>
        </w:rPr>
        <w:t>.</w:t>
      </w:r>
      <w:r w:rsidRPr="00C23944">
        <w:rPr>
          <w:rFonts w:ascii="Arial" w:hAnsi="Arial" w:cs="Arial"/>
          <w:sz w:val="20"/>
          <w:szCs w:val="20"/>
          <w:lang w:val="en-US" w:eastAsia="en-US"/>
        </w:rPr>
        <w:t xml:space="preserve"> </w:t>
      </w:r>
      <w:r w:rsidR="0009270F">
        <w:rPr>
          <w:rFonts w:ascii="Arial" w:hAnsi="Arial" w:cs="Arial"/>
          <w:sz w:val="20"/>
          <w:szCs w:val="20"/>
          <w:lang w:val="en-US" w:eastAsia="en-US"/>
        </w:rPr>
        <w:t>“</w:t>
      </w:r>
      <w:r w:rsidR="00780C13" w:rsidRPr="00C23944">
        <w:rPr>
          <w:rFonts w:ascii="Arial" w:hAnsi="Arial" w:cs="Arial"/>
          <w:sz w:val="20"/>
          <w:szCs w:val="20"/>
          <w:lang w:val="en-US" w:eastAsia="en-US"/>
        </w:rPr>
        <w:t>The European Commiss</w:t>
      </w:r>
      <w:r w:rsidRPr="00C23944">
        <w:rPr>
          <w:rFonts w:ascii="Arial" w:hAnsi="Arial" w:cs="Arial"/>
          <w:sz w:val="20"/>
          <w:szCs w:val="20"/>
          <w:lang w:val="en-US" w:eastAsia="en-US"/>
        </w:rPr>
        <w:t>ion – the Evolving EU Executive</w:t>
      </w:r>
      <w:r w:rsidR="00780C13" w:rsidRPr="00C23944">
        <w:rPr>
          <w:rFonts w:ascii="Arial" w:hAnsi="Arial" w:cs="Arial"/>
          <w:sz w:val="20"/>
          <w:szCs w:val="20"/>
          <w:lang w:val="en-US" w:eastAsia="en-US"/>
        </w:rPr>
        <w:t>.</w:t>
      </w:r>
      <w:r w:rsidR="0009270F">
        <w:rPr>
          <w:rFonts w:ascii="Arial" w:hAnsi="Arial" w:cs="Arial"/>
          <w:sz w:val="20"/>
          <w:szCs w:val="20"/>
          <w:lang w:val="en-US" w:eastAsia="en-US"/>
        </w:rPr>
        <w:t>”</w:t>
      </w:r>
      <w:r w:rsidR="00780C13" w:rsidRPr="00C23944">
        <w:rPr>
          <w:rFonts w:ascii="Arial" w:hAnsi="Arial" w:cs="Arial"/>
          <w:sz w:val="20"/>
          <w:szCs w:val="20"/>
          <w:lang w:val="en-US" w:eastAsia="en-US"/>
        </w:rPr>
        <w:t xml:space="preserve"> </w:t>
      </w:r>
      <w:r w:rsidR="00780C13" w:rsidRPr="00C23944">
        <w:rPr>
          <w:rFonts w:ascii="Arial" w:hAnsi="Arial" w:cs="Arial"/>
          <w:i/>
          <w:iCs/>
          <w:sz w:val="20"/>
          <w:szCs w:val="20"/>
          <w:lang w:val="en-US" w:eastAsia="en-US"/>
        </w:rPr>
        <w:t>ARENA Working Papers</w:t>
      </w:r>
      <w:r w:rsidRPr="00C23944">
        <w:rPr>
          <w:rFonts w:ascii="Arial" w:hAnsi="Arial" w:cs="Arial"/>
          <w:sz w:val="20"/>
          <w:szCs w:val="20"/>
          <w:lang w:val="en-US" w:eastAsia="en-US"/>
        </w:rPr>
        <w:t xml:space="preserve"> 02/30</w:t>
      </w:r>
      <w:r w:rsidR="00F26CFC" w:rsidRPr="00C23944">
        <w:rPr>
          <w:rFonts w:ascii="Arial" w:hAnsi="Arial" w:cs="Arial"/>
          <w:sz w:val="20"/>
          <w:szCs w:val="20"/>
          <w:lang w:val="en-US" w:eastAsia="en-US"/>
        </w:rPr>
        <w:t xml:space="preserve"> Oslo: ARENA.</w:t>
      </w:r>
    </w:p>
    <w:p w14:paraId="3732B5C4" w14:textId="3603C66F" w:rsidR="009B7437" w:rsidRDefault="00930855" w:rsidP="00930855">
      <w:pPr>
        <w:spacing w:line="480" w:lineRule="auto"/>
        <w:jc w:val="both"/>
        <w:rPr>
          <w:rFonts w:ascii="Arial" w:hAnsi="Arial" w:cs="Arial"/>
          <w:sz w:val="20"/>
          <w:szCs w:val="20"/>
        </w:rPr>
      </w:pPr>
      <w:r>
        <w:rPr>
          <w:rFonts w:ascii="Arial" w:hAnsi="Arial" w:cs="Arial"/>
          <w:sz w:val="20"/>
          <w:szCs w:val="20"/>
        </w:rPr>
        <w:t xml:space="preserve">Elsig, Manfred (2002). </w:t>
      </w:r>
      <w:r>
        <w:rPr>
          <w:rFonts w:ascii="Arial" w:hAnsi="Arial" w:cs="Arial"/>
          <w:i/>
          <w:sz w:val="20"/>
          <w:szCs w:val="20"/>
        </w:rPr>
        <w:t xml:space="preserve">The EU’s Common Commercial Policy. </w:t>
      </w:r>
      <w:r>
        <w:rPr>
          <w:rFonts w:ascii="Arial" w:hAnsi="Arial" w:cs="Arial"/>
          <w:sz w:val="20"/>
          <w:szCs w:val="20"/>
        </w:rPr>
        <w:t>Aldershot: Ashgate.</w:t>
      </w:r>
    </w:p>
    <w:p w14:paraId="4892779E" w14:textId="77777777" w:rsidR="00930855" w:rsidRPr="00930855" w:rsidRDefault="00930855" w:rsidP="00930855">
      <w:pPr>
        <w:spacing w:line="480" w:lineRule="auto"/>
        <w:jc w:val="both"/>
        <w:rPr>
          <w:rFonts w:ascii="Arial" w:hAnsi="Arial" w:cs="Arial"/>
          <w:sz w:val="20"/>
          <w:szCs w:val="20"/>
        </w:rPr>
      </w:pPr>
    </w:p>
    <w:p w14:paraId="0D98BA60" w14:textId="591957EB" w:rsidR="009B7437" w:rsidRPr="00C23944" w:rsidRDefault="009B7437" w:rsidP="00CB782C">
      <w:pPr>
        <w:autoSpaceDE w:val="0"/>
        <w:autoSpaceDN w:val="0"/>
        <w:adjustRightInd w:val="0"/>
        <w:spacing w:line="480" w:lineRule="auto"/>
        <w:jc w:val="both"/>
        <w:rPr>
          <w:rFonts w:ascii="Arial" w:hAnsi="Arial" w:cs="Arial"/>
          <w:color w:val="231F20"/>
          <w:sz w:val="20"/>
          <w:szCs w:val="20"/>
        </w:rPr>
      </w:pPr>
      <w:r w:rsidRPr="00C23944">
        <w:rPr>
          <w:rFonts w:ascii="Arial" w:hAnsi="Arial" w:cs="Arial"/>
          <w:color w:val="231F20"/>
          <w:sz w:val="20"/>
          <w:szCs w:val="20"/>
        </w:rPr>
        <w:t>European Commission (1995)</w:t>
      </w:r>
      <w:r w:rsidR="00462F4A">
        <w:rPr>
          <w:rFonts w:ascii="Arial" w:hAnsi="Arial" w:cs="Arial"/>
          <w:color w:val="231F20"/>
          <w:sz w:val="20"/>
          <w:szCs w:val="20"/>
        </w:rPr>
        <w:t>.</w:t>
      </w:r>
      <w:r w:rsidRPr="00C23944">
        <w:rPr>
          <w:rFonts w:ascii="Arial" w:hAnsi="Arial" w:cs="Arial"/>
          <w:color w:val="231F20"/>
          <w:sz w:val="20"/>
          <w:szCs w:val="20"/>
        </w:rPr>
        <w:t xml:space="preserve"> </w:t>
      </w:r>
      <w:r w:rsidRPr="00C23944">
        <w:rPr>
          <w:rFonts w:ascii="Arial" w:hAnsi="Arial" w:cs="Arial"/>
          <w:i/>
          <w:color w:val="231F20"/>
          <w:sz w:val="20"/>
          <w:szCs w:val="20"/>
        </w:rPr>
        <w:t xml:space="preserve">Inclusion of Respect for Democratic Principles and Human Rights in Agreements between the Community and Third Countries. </w:t>
      </w:r>
      <w:r w:rsidRPr="00C23944">
        <w:rPr>
          <w:rFonts w:ascii="Arial" w:hAnsi="Arial" w:cs="Arial"/>
          <w:color w:val="231F20"/>
          <w:sz w:val="20"/>
          <w:szCs w:val="20"/>
        </w:rPr>
        <w:t>COM (95) 216. Brussels: European Commission.</w:t>
      </w:r>
    </w:p>
    <w:p w14:paraId="5E91E032" w14:textId="77777777" w:rsidR="009B7437" w:rsidRPr="00C23944" w:rsidRDefault="009B7437" w:rsidP="00CB782C">
      <w:pPr>
        <w:autoSpaceDE w:val="0"/>
        <w:autoSpaceDN w:val="0"/>
        <w:adjustRightInd w:val="0"/>
        <w:spacing w:line="480" w:lineRule="auto"/>
        <w:jc w:val="both"/>
        <w:rPr>
          <w:rFonts w:ascii="Arial" w:hAnsi="Arial" w:cs="Arial"/>
          <w:color w:val="231F20"/>
          <w:sz w:val="20"/>
          <w:szCs w:val="20"/>
        </w:rPr>
      </w:pPr>
    </w:p>
    <w:p w14:paraId="7AB3EB17" w14:textId="3C4EB0EE" w:rsidR="009B7437" w:rsidRPr="00C23944" w:rsidRDefault="009B7437" w:rsidP="00CB782C">
      <w:pPr>
        <w:autoSpaceDE w:val="0"/>
        <w:autoSpaceDN w:val="0"/>
        <w:adjustRightInd w:val="0"/>
        <w:spacing w:line="480" w:lineRule="auto"/>
        <w:jc w:val="both"/>
        <w:rPr>
          <w:rFonts w:ascii="Arial" w:hAnsi="Arial" w:cs="Arial"/>
          <w:color w:val="231F20"/>
          <w:sz w:val="20"/>
          <w:szCs w:val="20"/>
        </w:rPr>
      </w:pPr>
      <w:r w:rsidRPr="00C23944">
        <w:rPr>
          <w:rFonts w:ascii="Arial" w:hAnsi="Arial" w:cs="Arial"/>
          <w:color w:val="231F20"/>
          <w:sz w:val="20"/>
          <w:szCs w:val="20"/>
        </w:rPr>
        <w:t>European Commission (2006a)</w:t>
      </w:r>
      <w:r w:rsidR="00462F4A">
        <w:rPr>
          <w:rFonts w:ascii="Arial" w:hAnsi="Arial" w:cs="Arial"/>
          <w:color w:val="231F20"/>
          <w:sz w:val="20"/>
          <w:szCs w:val="20"/>
        </w:rPr>
        <w:t>.</w:t>
      </w:r>
      <w:r w:rsidRPr="00C23944">
        <w:rPr>
          <w:rFonts w:ascii="Arial" w:hAnsi="Arial" w:cs="Arial"/>
          <w:color w:val="231F20"/>
          <w:sz w:val="20"/>
          <w:szCs w:val="20"/>
        </w:rPr>
        <w:t xml:space="preserve"> </w:t>
      </w:r>
      <w:r w:rsidRPr="00C23944">
        <w:rPr>
          <w:rFonts w:ascii="Arial" w:hAnsi="Arial" w:cs="Arial"/>
          <w:i/>
          <w:color w:val="231F20"/>
          <w:sz w:val="20"/>
          <w:szCs w:val="20"/>
        </w:rPr>
        <w:t>Global Europe: Competing in the world – A contribution to the EU’s growth and jobs strategy</w:t>
      </w:r>
      <w:r w:rsidRPr="00C23944">
        <w:rPr>
          <w:rFonts w:ascii="Arial" w:hAnsi="Arial" w:cs="Arial"/>
          <w:color w:val="231F20"/>
          <w:sz w:val="20"/>
          <w:szCs w:val="20"/>
        </w:rPr>
        <w:t>. Brussels: DG Trade. Available at:</w:t>
      </w:r>
    </w:p>
    <w:p w14:paraId="634EC9C3" w14:textId="77777777" w:rsidR="009B7437" w:rsidRPr="00C23944" w:rsidRDefault="00790ACB" w:rsidP="00CB782C">
      <w:pPr>
        <w:autoSpaceDE w:val="0"/>
        <w:autoSpaceDN w:val="0"/>
        <w:adjustRightInd w:val="0"/>
        <w:spacing w:line="480" w:lineRule="auto"/>
        <w:jc w:val="both"/>
        <w:rPr>
          <w:rFonts w:ascii="Arial" w:hAnsi="Arial" w:cs="Arial"/>
          <w:color w:val="231F20"/>
          <w:sz w:val="20"/>
          <w:szCs w:val="20"/>
        </w:rPr>
      </w:pPr>
      <w:hyperlink r:id="rId10" w:history="1">
        <w:r w:rsidR="009B7437" w:rsidRPr="00C23944">
          <w:rPr>
            <w:rStyle w:val="Hyperlink"/>
            <w:rFonts w:ascii="Arial" w:hAnsi="Arial" w:cs="Arial"/>
            <w:sz w:val="20"/>
            <w:szCs w:val="20"/>
          </w:rPr>
          <w:t>http://trade.ec.europa.eu/doclib/docs/2006/october/tradoc_130376.pdf</w:t>
        </w:r>
      </w:hyperlink>
      <w:r w:rsidR="009B7437" w:rsidRPr="00C23944">
        <w:rPr>
          <w:rFonts w:ascii="Arial" w:hAnsi="Arial" w:cs="Arial"/>
          <w:color w:val="231F20"/>
          <w:sz w:val="20"/>
          <w:szCs w:val="20"/>
        </w:rPr>
        <w:t xml:space="preserve"> (accessed April 2015).</w:t>
      </w:r>
    </w:p>
    <w:p w14:paraId="1D52BF46" w14:textId="77777777" w:rsidR="009B7437" w:rsidRPr="00C23944" w:rsidRDefault="009B7437" w:rsidP="00CB782C">
      <w:pPr>
        <w:autoSpaceDE w:val="0"/>
        <w:autoSpaceDN w:val="0"/>
        <w:adjustRightInd w:val="0"/>
        <w:spacing w:line="480" w:lineRule="auto"/>
        <w:jc w:val="both"/>
        <w:rPr>
          <w:rFonts w:ascii="Arial" w:hAnsi="Arial" w:cs="Arial"/>
          <w:color w:val="231F20"/>
          <w:sz w:val="20"/>
          <w:szCs w:val="20"/>
        </w:rPr>
      </w:pPr>
    </w:p>
    <w:p w14:paraId="609F3A25" w14:textId="31E67D25" w:rsidR="009B7437" w:rsidRPr="00C23944" w:rsidRDefault="009B7437" w:rsidP="00CB782C">
      <w:pPr>
        <w:autoSpaceDE w:val="0"/>
        <w:autoSpaceDN w:val="0"/>
        <w:adjustRightInd w:val="0"/>
        <w:spacing w:line="480" w:lineRule="auto"/>
        <w:jc w:val="both"/>
        <w:rPr>
          <w:rFonts w:ascii="Arial" w:hAnsi="Arial" w:cs="Arial"/>
          <w:color w:val="231F20"/>
          <w:sz w:val="20"/>
          <w:szCs w:val="20"/>
        </w:rPr>
      </w:pPr>
      <w:r w:rsidRPr="00C23944">
        <w:rPr>
          <w:rFonts w:ascii="Arial" w:hAnsi="Arial" w:cs="Arial"/>
          <w:color w:val="231F20"/>
          <w:sz w:val="20"/>
          <w:szCs w:val="20"/>
        </w:rPr>
        <w:t>European Commission (2006b)</w:t>
      </w:r>
      <w:r w:rsidR="00462F4A">
        <w:rPr>
          <w:rFonts w:ascii="Arial" w:hAnsi="Arial" w:cs="Arial"/>
          <w:color w:val="231F20"/>
          <w:sz w:val="20"/>
          <w:szCs w:val="20"/>
        </w:rPr>
        <w:t>.</w:t>
      </w:r>
      <w:r w:rsidRPr="00C23944">
        <w:rPr>
          <w:rFonts w:ascii="Arial" w:hAnsi="Arial" w:cs="Arial"/>
          <w:color w:val="231F20"/>
          <w:sz w:val="20"/>
          <w:szCs w:val="20"/>
        </w:rPr>
        <w:t xml:space="preserve"> </w:t>
      </w:r>
      <w:r w:rsidRPr="00C23944">
        <w:rPr>
          <w:rFonts w:ascii="Arial" w:hAnsi="Arial" w:cs="Arial"/>
          <w:i/>
          <w:color w:val="231F20"/>
          <w:sz w:val="20"/>
          <w:szCs w:val="20"/>
        </w:rPr>
        <w:t>European Commission requests negotiating mandates for bilateral trade agreements with India, South Korea, ASEAN.</w:t>
      </w:r>
      <w:r w:rsidRPr="00C23944">
        <w:rPr>
          <w:rFonts w:ascii="Arial" w:hAnsi="Arial" w:cs="Arial"/>
          <w:color w:val="231F20"/>
          <w:sz w:val="20"/>
          <w:szCs w:val="20"/>
        </w:rPr>
        <w:t xml:space="preserve"> Press Release 6/12/2006. Brussels: DG Trade. Available at:</w:t>
      </w:r>
    </w:p>
    <w:p w14:paraId="57868464" w14:textId="77777777" w:rsidR="009B7437" w:rsidRPr="00C23944" w:rsidRDefault="00790ACB" w:rsidP="00CB782C">
      <w:pPr>
        <w:autoSpaceDE w:val="0"/>
        <w:autoSpaceDN w:val="0"/>
        <w:adjustRightInd w:val="0"/>
        <w:spacing w:line="480" w:lineRule="auto"/>
        <w:jc w:val="both"/>
        <w:rPr>
          <w:rFonts w:ascii="Arial" w:hAnsi="Arial" w:cs="Arial"/>
          <w:color w:val="231F20"/>
          <w:sz w:val="20"/>
          <w:szCs w:val="20"/>
        </w:rPr>
      </w:pPr>
      <w:hyperlink r:id="rId11" w:history="1">
        <w:r w:rsidR="009B7437" w:rsidRPr="00C23944">
          <w:rPr>
            <w:rStyle w:val="Hyperlink"/>
            <w:rFonts w:ascii="Arial" w:hAnsi="Arial" w:cs="Arial"/>
            <w:sz w:val="20"/>
            <w:szCs w:val="20"/>
          </w:rPr>
          <w:t>http://trade.ec.europa.eu/doclib/docs/2006/december/tradoc_131470.pdf</w:t>
        </w:r>
      </w:hyperlink>
      <w:r w:rsidR="009B7437" w:rsidRPr="00C23944">
        <w:rPr>
          <w:rFonts w:ascii="Arial" w:hAnsi="Arial" w:cs="Arial"/>
          <w:color w:val="231F20"/>
          <w:sz w:val="20"/>
          <w:szCs w:val="20"/>
        </w:rPr>
        <w:t xml:space="preserve"> (accessed April 2015).</w:t>
      </w:r>
    </w:p>
    <w:p w14:paraId="51E0D197" w14:textId="77777777" w:rsidR="009B7437" w:rsidRPr="00C23944" w:rsidRDefault="009B7437" w:rsidP="00CB782C">
      <w:pPr>
        <w:spacing w:line="480" w:lineRule="auto"/>
        <w:jc w:val="both"/>
        <w:rPr>
          <w:rFonts w:ascii="Arial" w:hAnsi="Arial" w:cs="Arial"/>
          <w:sz w:val="20"/>
          <w:szCs w:val="20"/>
        </w:rPr>
      </w:pPr>
    </w:p>
    <w:p w14:paraId="38D56BBE" w14:textId="428A856E" w:rsidR="009B7437" w:rsidRPr="00C23944" w:rsidRDefault="004E754D" w:rsidP="00CB782C">
      <w:pPr>
        <w:autoSpaceDE w:val="0"/>
        <w:autoSpaceDN w:val="0"/>
        <w:adjustRightInd w:val="0"/>
        <w:spacing w:line="480" w:lineRule="auto"/>
        <w:jc w:val="both"/>
        <w:rPr>
          <w:rFonts w:ascii="Arial" w:hAnsi="Arial" w:cs="Arial"/>
          <w:color w:val="231F20"/>
          <w:sz w:val="20"/>
          <w:szCs w:val="20"/>
        </w:rPr>
      </w:pPr>
      <w:r>
        <w:rPr>
          <w:rFonts w:ascii="Arial" w:hAnsi="Arial" w:cs="Arial"/>
          <w:color w:val="231F20"/>
          <w:sz w:val="20"/>
          <w:szCs w:val="20"/>
        </w:rPr>
        <w:t>European Commission (2013a</w:t>
      </w:r>
      <w:r w:rsidR="009B7437" w:rsidRPr="00C23944">
        <w:rPr>
          <w:rFonts w:ascii="Arial" w:hAnsi="Arial" w:cs="Arial"/>
          <w:color w:val="231F20"/>
          <w:sz w:val="20"/>
          <w:szCs w:val="20"/>
        </w:rPr>
        <w:t>)</w:t>
      </w:r>
      <w:r w:rsidR="00462F4A">
        <w:rPr>
          <w:rFonts w:ascii="Arial" w:hAnsi="Arial" w:cs="Arial"/>
          <w:color w:val="231F20"/>
          <w:sz w:val="20"/>
          <w:szCs w:val="20"/>
        </w:rPr>
        <w:t>.</w:t>
      </w:r>
      <w:r w:rsidR="009B7437" w:rsidRPr="00C23944">
        <w:rPr>
          <w:rFonts w:ascii="Arial" w:hAnsi="Arial" w:cs="Arial"/>
          <w:color w:val="231F20"/>
          <w:sz w:val="20"/>
          <w:szCs w:val="20"/>
        </w:rPr>
        <w:t xml:space="preserve"> </w:t>
      </w:r>
      <w:r w:rsidR="009B7437" w:rsidRPr="00C23944">
        <w:rPr>
          <w:rFonts w:ascii="Arial" w:hAnsi="Arial" w:cs="Arial"/>
          <w:i/>
          <w:color w:val="231F20"/>
          <w:sz w:val="20"/>
          <w:szCs w:val="20"/>
        </w:rPr>
        <w:t xml:space="preserve">Contribution from the Commission to the February 2013 European Council Debate on Trade, Growth and Jobs. </w:t>
      </w:r>
      <w:r w:rsidR="009B7437" w:rsidRPr="00C23944">
        <w:rPr>
          <w:rFonts w:ascii="Arial" w:hAnsi="Arial" w:cs="Arial"/>
          <w:color w:val="231F20"/>
          <w:sz w:val="20"/>
          <w:szCs w:val="20"/>
        </w:rPr>
        <w:t>7-8 February. Brussels: DG Trade. Available at:</w:t>
      </w:r>
    </w:p>
    <w:p w14:paraId="6E93225A" w14:textId="77777777" w:rsidR="009B7437" w:rsidRPr="00C23944" w:rsidRDefault="00790ACB" w:rsidP="00CB782C">
      <w:pPr>
        <w:autoSpaceDE w:val="0"/>
        <w:autoSpaceDN w:val="0"/>
        <w:adjustRightInd w:val="0"/>
        <w:spacing w:line="480" w:lineRule="auto"/>
        <w:jc w:val="both"/>
        <w:rPr>
          <w:rFonts w:ascii="Arial" w:hAnsi="Arial" w:cs="Arial"/>
          <w:color w:val="231F20"/>
          <w:sz w:val="20"/>
          <w:szCs w:val="20"/>
        </w:rPr>
      </w:pPr>
      <w:hyperlink r:id="rId12" w:history="1">
        <w:r w:rsidR="009B7437" w:rsidRPr="00C23944">
          <w:rPr>
            <w:rStyle w:val="Hyperlink"/>
            <w:rFonts w:ascii="Arial" w:hAnsi="Arial" w:cs="Arial"/>
            <w:sz w:val="20"/>
            <w:szCs w:val="20"/>
          </w:rPr>
          <w:t>http://ec.europa.eu/archives/commission_2010-2014/president/news/archives/2013/02/pdf/20130205_2_en.pdf</w:t>
        </w:r>
      </w:hyperlink>
      <w:r w:rsidR="009B7437" w:rsidRPr="00C23944">
        <w:rPr>
          <w:rFonts w:ascii="Arial" w:hAnsi="Arial" w:cs="Arial"/>
          <w:color w:val="231F20"/>
          <w:sz w:val="20"/>
          <w:szCs w:val="20"/>
        </w:rPr>
        <w:t xml:space="preserve"> (accessed April 2015).</w:t>
      </w:r>
    </w:p>
    <w:p w14:paraId="09768056" w14:textId="77777777" w:rsidR="004E754D" w:rsidRDefault="004E754D" w:rsidP="00CB782C">
      <w:pPr>
        <w:spacing w:line="480" w:lineRule="auto"/>
        <w:jc w:val="both"/>
        <w:rPr>
          <w:rFonts w:ascii="Arial" w:hAnsi="Arial" w:cs="Arial"/>
          <w:sz w:val="20"/>
          <w:szCs w:val="20"/>
        </w:rPr>
      </w:pPr>
    </w:p>
    <w:p w14:paraId="5BC5AA7F" w14:textId="572DA11B" w:rsidR="004E754D" w:rsidRPr="00C23944" w:rsidRDefault="004E754D" w:rsidP="00CB782C">
      <w:pPr>
        <w:spacing w:line="480" w:lineRule="auto"/>
        <w:jc w:val="both"/>
        <w:rPr>
          <w:rFonts w:ascii="Arial" w:hAnsi="Arial" w:cs="Arial"/>
          <w:sz w:val="20"/>
          <w:szCs w:val="20"/>
        </w:rPr>
      </w:pPr>
      <w:r w:rsidRPr="00C23944">
        <w:rPr>
          <w:rFonts w:ascii="Arial" w:hAnsi="Arial" w:cs="Arial"/>
          <w:sz w:val="20"/>
          <w:szCs w:val="20"/>
        </w:rPr>
        <w:t>European Commission (2013</w:t>
      </w:r>
      <w:r>
        <w:rPr>
          <w:rFonts w:ascii="Arial" w:hAnsi="Arial" w:cs="Arial"/>
          <w:sz w:val="20"/>
          <w:szCs w:val="20"/>
        </w:rPr>
        <w:t>b</w:t>
      </w:r>
      <w:r w:rsidRPr="00C23944">
        <w:rPr>
          <w:rFonts w:ascii="Arial" w:hAnsi="Arial" w:cs="Arial"/>
          <w:sz w:val="20"/>
          <w:szCs w:val="20"/>
        </w:rPr>
        <w:t>)</w:t>
      </w:r>
      <w:r w:rsidR="00462F4A">
        <w:rPr>
          <w:rFonts w:ascii="Arial" w:hAnsi="Arial" w:cs="Arial"/>
          <w:sz w:val="20"/>
          <w:szCs w:val="20"/>
        </w:rPr>
        <w:t>.</w:t>
      </w:r>
      <w:r w:rsidRPr="00C23944">
        <w:rPr>
          <w:rFonts w:ascii="Arial" w:hAnsi="Arial" w:cs="Arial"/>
          <w:sz w:val="20"/>
          <w:szCs w:val="20"/>
        </w:rPr>
        <w:t xml:space="preserve"> </w:t>
      </w:r>
      <w:r w:rsidRPr="00C23944">
        <w:rPr>
          <w:rFonts w:ascii="Arial" w:hAnsi="Arial" w:cs="Arial"/>
          <w:i/>
          <w:sz w:val="20"/>
          <w:szCs w:val="20"/>
        </w:rPr>
        <w:t xml:space="preserve">Factsheet – Access to medicines and the EU-India trade negotiations. </w:t>
      </w:r>
      <w:r w:rsidRPr="00C23944">
        <w:rPr>
          <w:rFonts w:ascii="Arial" w:hAnsi="Arial" w:cs="Arial"/>
          <w:sz w:val="20"/>
          <w:szCs w:val="20"/>
        </w:rPr>
        <w:t>17/4/2013.</w:t>
      </w:r>
      <w:r w:rsidRPr="00C23944">
        <w:rPr>
          <w:rFonts w:ascii="Arial" w:hAnsi="Arial" w:cs="Arial"/>
          <w:i/>
          <w:sz w:val="20"/>
          <w:szCs w:val="20"/>
        </w:rPr>
        <w:t xml:space="preserve"> </w:t>
      </w:r>
      <w:r w:rsidRPr="00C23944">
        <w:rPr>
          <w:rFonts w:ascii="Arial" w:hAnsi="Arial" w:cs="Arial"/>
          <w:sz w:val="20"/>
          <w:szCs w:val="20"/>
        </w:rPr>
        <w:t>Brussels: DG Trade. Available at:</w:t>
      </w:r>
    </w:p>
    <w:p w14:paraId="492AB01D" w14:textId="77777777" w:rsidR="004E754D" w:rsidRPr="00C23944" w:rsidRDefault="00790ACB" w:rsidP="00CB782C">
      <w:pPr>
        <w:spacing w:line="480" w:lineRule="auto"/>
        <w:jc w:val="both"/>
        <w:rPr>
          <w:rFonts w:ascii="Arial" w:hAnsi="Arial" w:cs="Arial"/>
          <w:sz w:val="20"/>
          <w:szCs w:val="20"/>
        </w:rPr>
      </w:pPr>
      <w:hyperlink r:id="rId13" w:history="1">
        <w:r w:rsidR="004E754D" w:rsidRPr="00C23944">
          <w:rPr>
            <w:rStyle w:val="Hyperlink"/>
            <w:rFonts w:ascii="Arial" w:hAnsi="Arial" w:cs="Arial"/>
            <w:sz w:val="20"/>
            <w:szCs w:val="20"/>
          </w:rPr>
          <w:t>http://trade.ec.europa.eu/doclib/docs/2013/april/tradoc_150989.pdf</w:t>
        </w:r>
      </w:hyperlink>
      <w:r w:rsidR="004E754D" w:rsidRPr="00C23944">
        <w:rPr>
          <w:rFonts w:ascii="Arial" w:hAnsi="Arial" w:cs="Arial"/>
          <w:sz w:val="20"/>
          <w:szCs w:val="20"/>
        </w:rPr>
        <w:t xml:space="preserve"> (accessed April 2015).</w:t>
      </w:r>
    </w:p>
    <w:p w14:paraId="2E5BCDB0" w14:textId="77777777" w:rsidR="00466048" w:rsidRPr="00C23944" w:rsidRDefault="00466048" w:rsidP="00CB782C">
      <w:pPr>
        <w:autoSpaceDE w:val="0"/>
        <w:autoSpaceDN w:val="0"/>
        <w:adjustRightInd w:val="0"/>
        <w:spacing w:line="480" w:lineRule="auto"/>
        <w:jc w:val="both"/>
        <w:rPr>
          <w:rFonts w:ascii="Arial" w:hAnsi="Arial" w:cs="Arial"/>
          <w:color w:val="231F20"/>
          <w:sz w:val="20"/>
          <w:szCs w:val="20"/>
        </w:rPr>
      </w:pPr>
    </w:p>
    <w:p w14:paraId="32897C52" w14:textId="4AE328FF" w:rsidR="009B7437" w:rsidRDefault="009B7437" w:rsidP="00CB782C">
      <w:pPr>
        <w:spacing w:line="480" w:lineRule="auto"/>
        <w:jc w:val="both"/>
        <w:rPr>
          <w:rFonts w:ascii="Arial" w:hAnsi="Arial" w:cs="Arial"/>
          <w:sz w:val="20"/>
          <w:szCs w:val="20"/>
        </w:rPr>
      </w:pPr>
      <w:r w:rsidRPr="00C23944">
        <w:rPr>
          <w:rFonts w:ascii="Arial" w:hAnsi="Arial" w:cs="Arial"/>
          <w:sz w:val="20"/>
          <w:szCs w:val="20"/>
        </w:rPr>
        <w:t>European Commission (2015</w:t>
      </w:r>
      <w:r w:rsidR="00083301">
        <w:rPr>
          <w:rFonts w:ascii="Arial" w:hAnsi="Arial" w:cs="Arial"/>
          <w:sz w:val="20"/>
          <w:szCs w:val="20"/>
        </w:rPr>
        <w:t>a</w:t>
      </w:r>
      <w:r w:rsidRPr="00C23944">
        <w:rPr>
          <w:rFonts w:ascii="Arial" w:hAnsi="Arial" w:cs="Arial"/>
          <w:sz w:val="20"/>
          <w:szCs w:val="20"/>
        </w:rPr>
        <w:t>)</w:t>
      </w:r>
      <w:r w:rsidR="00462F4A">
        <w:rPr>
          <w:rFonts w:ascii="Arial" w:hAnsi="Arial" w:cs="Arial"/>
          <w:sz w:val="20"/>
          <w:szCs w:val="20"/>
        </w:rPr>
        <w:t>.</w:t>
      </w:r>
      <w:r w:rsidRPr="00C23944">
        <w:rPr>
          <w:rFonts w:ascii="Arial" w:hAnsi="Arial" w:cs="Arial"/>
          <w:sz w:val="20"/>
          <w:szCs w:val="20"/>
        </w:rPr>
        <w:t xml:space="preserve"> </w:t>
      </w:r>
      <w:r w:rsidRPr="0009270F">
        <w:rPr>
          <w:rFonts w:ascii="Arial" w:hAnsi="Arial" w:cs="Arial"/>
          <w:i/>
          <w:sz w:val="20"/>
          <w:szCs w:val="20"/>
        </w:rPr>
        <w:t>European Union Trade in the World.</w:t>
      </w:r>
      <w:r w:rsidRPr="00C23944">
        <w:rPr>
          <w:rFonts w:ascii="Arial" w:hAnsi="Arial" w:cs="Arial"/>
          <w:sz w:val="20"/>
          <w:szCs w:val="20"/>
        </w:rPr>
        <w:t xml:space="preserve"> Trade-G-2-19/06/2015. Brussels: DG Trade.</w:t>
      </w:r>
    </w:p>
    <w:p w14:paraId="07A8957B" w14:textId="77777777" w:rsidR="00083301" w:rsidRDefault="00083301" w:rsidP="00CB782C">
      <w:pPr>
        <w:spacing w:line="480" w:lineRule="auto"/>
        <w:jc w:val="both"/>
        <w:rPr>
          <w:rFonts w:ascii="Arial" w:hAnsi="Arial" w:cs="Arial"/>
          <w:sz w:val="20"/>
          <w:szCs w:val="20"/>
        </w:rPr>
      </w:pPr>
    </w:p>
    <w:p w14:paraId="6EE5AEA5" w14:textId="77777777" w:rsidR="00083301" w:rsidRDefault="00083301" w:rsidP="00CB782C">
      <w:pPr>
        <w:spacing w:line="480" w:lineRule="auto"/>
        <w:jc w:val="both"/>
        <w:rPr>
          <w:rFonts w:ascii="Arial" w:hAnsi="Arial" w:cs="Arial"/>
          <w:sz w:val="20"/>
          <w:szCs w:val="20"/>
        </w:rPr>
      </w:pPr>
      <w:r>
        <w:rPr>
          <w:rFonts w:ascii="Arial" w:hAnsi="Arial" w:cs="Arial"/>
          <w:sz w:val="20"/>
          <w:szCs w:val="20"/>
        </w:rPr>
        <w:t xml:space="preserve">European Commission (2015b). </w:t>
      </w:r>
      <w:r>
        <w:rPr>
          <w:rFonts w:ascii="Arial" w:hAnsi="Arial" w:cs="Arial"/>
          <w:i/>
          <w:sz w:val="20"/>
          <w:szCs w:val="20"/>
        </w:rPr>
        <w:t xml:space="preserve">Trade for all: Towards a more responsible trade and investment policy. </w:t>
      </w:r>
      <w:r>
        <w:rPr>
          <w:rFonts w:ascii="Arial" w:hAnsi="Arial" w:cs="Arial"/>
          <w:sz w:val="20"/>
          <w:szCs w:val="20"/>
        </w:rPr>
        <w:t>Brussels: DG Trade.</w:t>
      </w:r>
    </w:p>
    <w:p w14:paraId="697B572A" w14:textId="196AD8C7" w:rsidR="00083301" w:rsidRDefault="00083301" w:rsidP="00CB782C">
      <w:pPr>
        <w:spacing w:line="480" w:lineRule="auto"/>
        <w:jc w:val="both"/>
        <w:rPr>
          <w:rFonts w:ascii="Arial" w:hAnsi="Arial" w:cs="Arial"/>
          <w:sz w:val="20"/>
          <w:szCs w:val="20"/>
        </w:rPr>
      </w:pPr>
      <w:r>
        <w:rPr>
          <w:rFonts w:ascii="Arial" w:hAnsi="Arial" w:cs="Arial"/>
          <w:sz w:val="20"/>
          <w:szCs w:val="20"/>
        </w:rPr>
        <w:t xml:space="preserve">Available at: </w:t>
      </w:r>
      <w:hyperlink r:id="rId14" w:history="1">
        <w:r w:rsidRPr="00DF6F04">
          <w:rPr>
            <w:rStyle w:val="Hyperlink"/>
            <w:rFonts w:ascii="Arial" w:hAnsi="Arial" w:cs="Arial"/>
            <w:sz w:val="20"/>
            <w:szCs w:val="20"/>
          </w:rPr>
          <w:t>http://trade.ec.europa.eu/doclib/docs/2015/october/tradoc_153846.pdf</w:t>
        </w:r>
      </w:hyperlink>
      <w:r>
        <w:rPr>
          <w:rFonts w:ascii="Arial" w:hAnsi="Arial" w:cs="Arial"/>
          <w:sz w:val="20"/>
          <w:szCs w:val="20"/>
        </w:rPr>
        <w:t xml:space="preserve"> (accessed January 2016)</w:t>
      </w:r>
      <w:r w:rsidR="0099293B">
        <w:rPr>
          <w:rFonts w:ascii="Arial" w:hAnsi="Arial" w:cs="Arial"/>
          <w:sz w:val="20"/>
          <w:szCs w:val="20"/>
        </w:rPr>
        <w:t>.</w:t>
      </w:r>
    </w:p>
    <w:p w14:paraId="0E5F507E" w14:textId="77777777" w:rsidR="00083301" w:rsidRPr="00083301" w:rsidRDefault="00083301" w:rsidP="00CB782C">
      <w:pPr>
        <w:spacing w:line="480" w:lineRule="auto"/>
        <w:jc w:val="both"/>
        <w:rPr>
          <w:rFonts w:ascii="Arial" w:hAnsi="Arial" w:cs="Arial"/>
          <w:sz w:val="20"/>
          <w:szCs w:val="20"/>
        </w:rPr>
      </w:pPr>
    </w:p>
    <w:p w14:paraId="5F732549" w14:textId="77777777" w:rsidR="009B7437" w:rsidRPr="00C23944" w:rsidRDefault="009B7437" w:rsidP="00CB782C">
      <w:pPr>
        <w:spacing w:line="480" w:lineRule="auto"/>
        <w:jc w:val="both"/>
        <w:rPr>
          <w:rFonts w:ascii="Arial" w:hAnsi="Arial" w:cs="Arial"/>
          <w:i/>
          <w:sz w:val="20"/>
          <w:szCs w:val="20"/>
        </w:rPr>
      </w:pPr>
    </w:p>
    <w:p w14:paraId="32DFBE53" w14:textId="33DD6D24" w:rsidR="002D36D8" w:rsidRPr="00C23944" w:rsidRDefault="00547911" w:rsidP="00CB782C">
      <w:pPr>
        <w:autoSpaceDE w:val="0"/>
        <w:autoSpaceDN w:val="0"/>
        <w:adjustRightInd w:val="0"/>
        <w:spacing w:line="480" w:lineRule="auto"/>
        <w:jc w:val="both"/>
        <w:rPr>
          <w:rFonts w:ascii="Arial" w:hAnsi="Arial" w:cs="Arial"/>
          <w:color w:val="231F20"/>
          <w:sz w:val="20"/>
          <w:szCs w:val="20"/>
        </w:rPr>
      </w:pPr>
      <w:r w:rsidRPr="00C23944">
        <w:rPr>
          <w:rFonts w:ascii="Arial" w:hAnsi="Arial" w:cs="Arial"/>
          <w:color w:val="231F20"/>
          <w:sz w:val="20"/>
          <w:szCs w:val="20"/>
        </w:rPr>
        <w:t>European Communities (2010)</w:t>
      </w:r>
      <w:r w:rsidR="00462F4A">
        <w:rPr>
          <w:rFonts w:ascii="Arial" w:hAnsi="Arial" w:cs="Arial"/>
          <w:color w:val="231F20"/>
          <w:sz w:val="20"/>
          <w:szCs w:val="20"/>
        </w:rPr>
        <w:t>.</w:t>
      </w:r>
      <w:r w:rsidR="002D36D8" w:rsidRPr="00C23944">
        <w:rPr>
          <w:rFonts w:ascii="Arial" w:hAnsi="Arial" w:cs="Arial"/>
          <w:color w:val="231F20"/>
          <w:sz w:val="20"/>
          <w:szCs w:val="20"/>
        </w:rPr>
        <w:t xml:space="preserve"> </w:t>
      </w:r>
      <w:r w:rsidR="002D36D8" w:rsidRPr="00C23944">
        <w:rPr>
          <w:rFonts w:ascii="Arial" w:hAnsi="Arial" w:cs="Arial"/>
          <w:i/>
          <w:color w:val="231F20"/>
          <w:sz w:val="20"/>
          <w:szCs w:val="20"/>
        </w:rPr>
        <w:t>Framework Agreement on relations between the European Parliament and the European Com</w:t>
      </w:r>
      <w:r w:rsidR="00F26CFC" w:rsidRPr="00C23944">
        <w:rPr>
          <w:rFonts w:ascii="Arial" w:hAnsi="Arial" w:cs="Arial"/>
          <w:i/>
          <w:color w:val="231F20"/>
          <w:sz w:val="20"/>
          <w:szCs w:val="20"/>
        </w:rPr>
        <w:t>mission</w:t>
      </w:r>
      <w:r w:rsidR="009C7BC5" w:rsidRPr="00C23944">
        <w:rPr>
          <w:rFonts w:ascii="Arial" w:hAnsi="Arial" w:cs="Arial"/>
          <w:color w:val="231F20"/>
          <w:sz w:val="20"/>
          <w:szCs w:val="20"/>
        </w:rPr>
        <w:t>.</w:t>
      </w:r>
      <w:r w:rsidR="00F26CFC" w:rsidRPr="00C23944">
        <w:rPr>
          <w:rFonts w:ascii="Arial" w:hAnsi="Arial" w:cs="Arial"/>
          <w:color w:val="231F20"/>
          <w:sz w:val="20"/>
          <w:szCs w:val="20"/>
        </w:rPr>
        <w:t xml:space="preserve"> Brussels: 20/10/2010.</w:t>
      </w:r>
    </w:p>
    <w:p w14:paraId="27CEDFCE" w14:textId="77777777" w:rsidR="00E56372" w:rsidRPr="00C23944" w:rsidRDefault="00E56372" w:rsidP="00CB782C">
      <w:pPr>
        <w:autoSpaceDE w:val="0"/>
        <w:autoSpaceDN w:val="0"/>
        <w:adjustRightInd w:val="0"/>
        <w:spacing w:line="480" w:lineRule="auto"/>
        <w:jc w:val="both"/>
        <w:rPr>
          <w:rFonts w:ascii="Arial" w:hAnsi="Arial" w:cs="Arial"/>
          <w:sz w:val="20"/>
          <w:szCs w:val="20"/>
        </w:rPr>
      </w:pPr>
    </w:p>
    <w:p w14:paraId="1D5F6E5A" w14:textId="50B0D631" w:rsidR="009B7437" w:rsidRPr="00C23944" w:rsidRDefault="009B7437" w:rsidP="00CB782C">
      <w:pPr>
        <w:spacing w:line="480" w:lineRule="auto"/>
        <w:jc w:val="both"/>
        <w:rPr>
          <w:rFonts w:ascii="Arial" w:hAnsi="Arial" w:cs="Arial"/>
          <w:sz w:val="20"/>
          <w:szCs w:val="20"/>
        </w:rPr>
      </w:pPr>
      <w:r w:rsidRPr="00C23944">
        <w:rPr>
          <w:rFonts w:ascii="Arial" w:hAnsi="Arial" w:cs="Arial"/>
          <w:sz w:val="20"/>
          <w:szCs w:val="20"/>
        </w:rPr>
        <w:t>European Parliament (2006)</w:t>
      </w:r>
      <w:r w:rsidR="00462F4A">
        <w:rPr>
          <w:rFonts w:ascii="Arial" w:hAnsi="Arial" w:cs="Arial"/>
          <w:sz w:val="20"/>
          <w:szCs w:val="20"/>
        </w:rPr>
        <w:t>.</w:t>
      </w:r>
      <w:r w:rsidRPr="00C23944">
        <w:rPr>
          <w:rFonts w:ascii="Arial" w:hAnsi="Arial" w:cs="Arial"/>
          <w:sz w:val="20"/>
          <w:szCs w:val="20"/>
        </w:rPr>
        <w:t xml:space="preserve"> </w:t>
      </w:r>
      <w:r w:rsidRPr="00C23944">
        <w:rPr>
          <w:rFonts w:ascii="Arial" w:hAnsi="Arial" w:cs="Arial"/>
          <w:i/>
          <w:sz w:val="20"/>
          <w:szCs w:val="20"/>
        </w:rPr>
        <w:t>Resolution on the Human Rights and Democracy Clause in European Union Agreements</w:t>
      </w:r>
      <w:r w:rsidRPr="00C23944">
        <w:rPr>
          <w:rFonts w:ascii="Arial" w:hAnsi="Arial" w:cs="Arial"/>
          <w:sz w:val="20"/>
          <w:szCs w:val="20"/>
        </w:rPr>
        <w:t>. Brussels: European Parliament.</w:t>
      </w:r>
    </w:p>
    <w:p w14:paraId="0347DE19" w14:textId="77777777" w:rsidR="00CE7B5F" w:rsidRPr="00C23944" w:rsidRDefault="00CE7B5F" w:rsidP="00CB782C">
      <w:pPr>
        <w:autoSpaceDE w:val="0"/>
        <w:autoSpaceDN w:val="0"/>
        <w:adjustRightInd w:val="0"/>
        <w:spacing w:line="480" w:lineRule="auto"/>
        <w:jc w:val="both"/>
        <w:rPr>
          <w:rFonts w:ascii="Arial" w:hAnsi="Arial" w:cs="Arial"/>
          <w:color w:val="231F20"/>
          <w:sz w:val="20"/>
          <w:szCs w:val="20"/>
        </w:rPr>
      </w:pPr>
    </w:p>
    <w:p w14:paraId="30E3B917" w14:textId="07180FE7" w:rsidR="009B7437" w:rsidRPr="00C23944" w:rsidRDefault="009B7437" w:rsidP="00CB782C">
      <w:pPr>
        <w:spacing w:line="480" w:lineRule="auto"/>
        <w:jc w:val="both"/>
        <w:rPr>
          <w:rFonts w:ascii="Arial" w:hAnsi="Arial" w:cs="Arial"/>
          <w:sz w:val="20"/>
          <w:szCs w:val="20"/>
        </w:rPr>
      </w:pPr>
      <w:r w:rsidRPr="00C23944">
        <w:rPr>
          <w:rFonts w:ascii="Arial" w:hAnsi="Arial" w:cs="Arial"/>
          <w:sz w:val="20"/>
          <w:szCs w:val="20"/>
        </w:rPr>
        <w:t>European Parliament (2007)</w:t>
      </w:r>
      <w:r w:rsidR="00462F4A">
        <w:rPr>
          <w:rFonts w:ascii="Arial" w:hAnsi="Arial" w:cs="Arial"/>
          <w:sz w:val="20"/>
          <w:szCs w:val="20"/>
        </w:rPr>
        <w:t>.</w:t>
      </w:r>
      <w:r w:rsidRPr="00C23944">
        <w:rPr>
          <w:rFonts w:ascii="Arial" w:hAnsi="Arial" w:cs="Arial"/>
          <w:sz w:val="20"/>
          <w:szCs w:val="20"/>
        </w:rPr>
        <w:t xml:space="preserve"> </w:t>
      </w:r>
      <w:r w:rsidRPr="00C23944">
        <w:rPr>
          <w:rFonts w:ascii="Arial" w:hAnsi="Arial" w:cs="Arial"/>
          <w:i/>
          <w:sz w:val="20"/>
          <w:szCs w:val="20"/>
        </w:rPr>
        <w:t xml:space="preserve">European Parliament Resolution of 12 July 2007 on the TRIPS Agreement and access to medicines. </w:t>
      </w:r>
      <w:r w:rsidRPr="00C23944">
        <w:rPr>
          <w:rFonts w:ascii="Arial" w:hAnsi="Arial" w:cs="Arial"/>
          <w:sz w:val="20"/>
          <w:szCs w:val="20"/>
        </w:rPr>
        <w:t>P6_TA(2007)0353. Strasbourg: European Parliament. Available at:</w:t>
      </w:r>
    </w:p>
    <w:p w14:paraId="2B406C84" w14:textId="77777777" w:rsidR="009B7437" w:rsidRPr="00C23944" w:rsidRDefault="00790ACB" w:rsidP="00CB782C">
      <w:pPr>
        <w:spacing w:line="480" w:lineRule="auto"/>
        <w:jc w:val="both"/>
        <w:rPr>
          <w:rFonts w:ascii="Arial" w:hAnsi="Arial" w:cs="Arial"/>
          <w:sz w:val="20"/>
          <w:szCs w:val="20"/>
        </w:rPr>
      </w:pPr>
      <w:hyperlink r:id="rId15" w:history="1">
        <w:r w:rsidR="009B7437" w:rsidRPr="00C23944">
          <w:rPr>
            <w:rStyle w:val="Hyperlink"/>
            <w:rFonts w:ascii="Arial" w:hAnsi="Arial" w:cs="Arial"/>
            <w:sz w:val="20"/>
            <w:szCs w:val="20"/>
          </w:rPr>
          <w:t>http://www.europarl.europa.eu/sides/getDoc.do?pubRef=-//EP//TEXT+TA+P6-TA-2007-0353+0+DOC+XML+V0//EN</w:t>
        </w:r>
      </w:hyperlink>
      <w:r w:rsidR="009B7437" w:rsidRPr="00C23944">
        <w:rPr>
          <w:rFonts w:ascii="Arial" w:hAnsi="Arial" w:cs="Arial"/>
          <w:sz w:val="20"/>
          <w:szCs w:val="20"/>
        </w:rPr>
        <w:t xml:space="preserve"> (accessed August 2015).</w:t>
      </w:r>
    </w:p>
    <w:p w14:paraId="2F842BF6" w14:textId="77777777" w:rsidR="0013151F" w:rsidRPr="00C23944" w:rsidRDefault="0013151F" w:rsidP="00CB782C">
      <w:pPr>
        <w:spacing w:line="480" w:lineRule="auto"/>
        <w:jc w:val="both"/>
        <w:rPr>
          <w:rFonts w:ascii="Arial" w:hAnsi="Arial" w:cs="Arial"/>
          <w:sz w:val="20"/>
          <w:szCs w:val="20"/>
        </w:rPr>
      </w:pPr>
    </w:p>
    <w:p w14:paraId="7881CAE9" w14:textId="4126D687" w:rsidR="00A10794" w:rsidRPr="00C23944" w:rsidRDefault="00271D9B" w:rsidP="00CB782C">
      <w:pPr>
        <w:spacing w:line="480" w:lineRule="auto"/>
        <w:jc w:val="both"/>
        <w:rPr>
          <w:rFonts w:ascii="Arial" w:hAnsi="Arial" w:cs="Arial"/>
          <w:sz w:val="20"/>
          <w:szCs w:val="20"/>
        </w:rPr>
      </w:pPr>
      <w:r w:rsidRPr="00C23944">
        <w:rPr>
          <w:rFonts w:ascii="Arial" w:hAnsi="Arial" w:cs="Arial"/>
          <w:sz w:val="20"/>
          <w:szCs w:val="20"/>
        </w:rPr>
        <w:t>European Parliament (2009)</w:t>
      </w:r>
      <w:r w:rsidR="00462F4A">
        <w:rPr>
          <w:rFonts w:ascii="Arial" w:hAnsi="Arial" w:cs="Arial"/>
          <w:sz w:val="20"/>
          <w:szCs w:val="20"/>
        </w:rPr>
        <w:t>.</w:t>
      </w:r>
      <w:r w:rsidRPr="00C23944">
        <w:rPr>
          <w:rFonts w:ascii="Arial" w:hAnsi="Arial" w:cs="Arial"/>
          <w:sz w:val="20"/>
          <w:szCs w:val="20"/>
        </w:rPr>
        <w:t xml:space="preserve"> </w:t>
      </w:r>
      <w:r w:rsidRPr="00C23944">
        <w:rPr>
          <w:rFonts w:ascii="Arial" w:hAnsi="Arial" w:cs="Arial"/>
          <w:i/>
          <w:sz w:val="20"/>
          <w:szCs w:val="20"/>
        </w:rPr>
        <w:t>Report on an EU-India Free Trade Agreement</w:t>
      </w:r>
      <w:r w:rsidR="00CE7B5F" w:rsidRPr="00C23944">
        <w:rPr>
          <w:rFonts w:ascii="Arial" w:hAnsi="Arial" w:cs="Arial"/>
          <w:sz w:val="20"/>
          <w:szCs w:val="20"/>
        </w:rPr>
        <w:t>.</w:t>
      </w:r>
      <w:r w:rsidRPr="00C23944">
        <w:rPr>
          <w:rFonts w:ascii="Arial" w:hAnsi="Arial" w:cs="Arial"/>
          <w:sz w:val="20"/>
          <w:szCs w:val="20"/>
        </w:rPr>
        <w:t xml:space="preserve"> </w:t>
      </w:r>
      <w:r w:rsidR="00A10794" w:rsidRPr="00C23944">
        <w:rPr>
          <w:rFonts w:ascii="Arial" w:hAnsi="Arial" w:cs="Arial"/>
          <w:sz w:val="20"/>
          <w:szCs w:val="20"/>
        </w:rPr>
        <w:t>A6-0131/20</w:t>
      </w:r>
      <w:r w:rsidR="00CE7B5F" w:rsidRPr="00C23944">
        <w:rPr>
          <w:rFonts w:ascii="Arial" w:hAnsi="Arial" w:cs="Arial"/>
          <w:sz w:val="20"/>
          <w:szCs w:val="20"/>
        </w:rPr>
        <w:t>09.</w:t>
      </w:r>
      <w:r w:rsidR="00A10794" w:rsidRPr="00C23944">
        <w:rPr>
          <w:rFonts w:ascii="Arial" w:hAnsi="Arial" w:cs="Arial"/>
          <w:sz w:val="20"/>
          <w:szCs w:val="20"/>
        </w:rPr>
        <w:t xml:space="preserve"> </w:t>
      </w:r>
      <w:r w:rsidR="00F26CFC" w:rsidRPr="00C23944">
        <w:rPr>
          <w:rFonts w:ascii="Arial" w:hAnsi="Arial" w:cs="Arial"/>
          <w:sz w:val="20"/>
          <w:szCs w:val="20"/>
        </w:rPr>
        <w:t xml:space="preserve">Brussels: </w:t>
      </w:r>
      <w:r w:rsidR="00CE7B5F" w:rsidRPr="00C23944">
        <w:rPr>
          <w:rFonts w:ascii="Arial" w:hAnsi="Arial" w:cs="Arial"/>
          <w:sz w:val="20"/>
          <w:szCs w:val="20"/>
        </w:rPr>
        <w:t>European Parliament. A</w:t>
      </w:r>
      <w:r w:rsidR="00A10794" w:rsidRPr="00C23944">
        <w:rPr>
          <w:rFonts w:ascii="Arial" w:hAnsi="Arial" w:cs="Arial"/>
          <w:sz w:val="20"/>
          <w:szCs w:val="20"/>
        </w:rPr>
        <w:t>vailable at:</w:t>
      </w:r>
    </w:p>
    <w:p w14:paraId="30F1F5B5" w14:textId="4EFCA3F3" w:rsidR="00A10794" w:rsidRPr="00C23944" w:rsidRDefault="00790ACB" w:rsidP="00CB782C">
      <w:pPr>
        <w:spacing w:line="480" w:lineRule="auto"/>
        <w:jc w:val="both"/>
        <w:rPr>
          <w:rFonts w:ascii="Arial" w:hAnsi="Arial" w:cs="Arial"/>
          <w:sz w:val="20"/>
          <w:szCs w:val="20"/>
        </w:rPr>
      </w:pPr>
      <w:hyperlink r:id="rId16" w:history="1">
        <w:r w:rsidR="00A10794" w:rsidRPr="00C23944">
          <w:rPr>
            <w:rStyle w:val="Hyperlink"/>
            <w:rFonts w:ascii="Arial" w:hAnsi="Arial" w:cs="Arial"/>
            <w:sz w:val="20"/>
            <w:szCs w:val="20"/>
          </w:rPr>
          <w:t>http://www.eicc.be/PDFs/KarimReportEU_India_Final.pdf</w:t>
        </w:r>
      </w:hyperlink>
      <w:r w:rsidR="00A10794" w:rsidRPr="00C23944">
        <w:rPr>
          <w:rFonts w:ascii="Arial" w:hAnsi="Arial" w:cs="Arial"/>
          <w:sz w:val="20"/>
          <w:szCs w:val="20"/>
        </w:rPr>
        <w:t xml:space="preserve"> (accessed July 2015)</w:t>
      </w:r>
      <w:r w:rsidR="00CE7B5F" w:rsidRPr="00C23944">
        <w:rPr>
          <w:rFonts w:ascii="Arial" w:hAnsi="Arial" w:cs="Arial"/>
          <w:sz w:val="20"/>
          <w:szCs w:val="20"/>
        </w:rPr>
        <w:t>.</w:t>
      </w:r>
    </w:p>
    <w:p w14:paraId="7409CADB" w14:textId="77777777" w:rsidR="00EA6B70" w:rsidRDefault="00EA6B70" w:rsidP="00CB782C">
      <w:pPr>
        <w:spacing w:line="480" w:lineRule="auto"/>
        <w:jc w:val="both"/>
        <w:rPr>
          <w:rFonts w:ascii="Arial" w:hAnsi="Arial" w:cs="Arial"/>
          <w:sz w:val="20"/>
          <w:szCs w:val="20"/>
        </w:rPr>
      </w:pPr>
    </w:p>
    <w:p w14:paraId="69883B1E" w14:textId="0A00C912" w:rsidR="006D1F85" w:rsidRPr="00C23944" w:rsidRDefault="006D1F85" w:rsidP="00CB782C">
      <w:pPr>
        <w:spacing w:line="480" w:lineRule="auto"/>
        <w:jc w:val="both"/>
        <w:rPr>
          <w:rFonts w:ascii="Arial" w:hAnsi="Arial" w:cs="Arial"/>
          <w:sz w:val="20"/>
          <w:szCs w:val="20"/>
          <w:lang w:eastAsia="en-US"/>
        </w:rPr>
      </w:pPr>
      <w:r>
        <w:rPr>
          <w:rFonts w:ascii="Arial" w:hAnsi="Arial" w:cs="Arial"/>
          <w:sz w:val="20"/>
          <w:szCs w:val="20"/>
        </w:rPr>
        <w:t>European Parliament (2011a</w:t>
      </w:r>
      <w:r w:rsidRPr="00C23944">
        <w:rPr>
          <w:rFonts w:ascii="Arial" w:hAnsi="Arial" w:cs="Arial"/>
          <w:sz w:val="20"/>
          <w:szCs w:val="20"/>
        </w:rPr>
        <w:t>)</w:t>
      </w:r>
      <w:r w:rsidR="00462F4A">
        <w:rPr>
          <w:rFonts w:ascii="Arial" w:hAnsi="Arial" w:cs="Arial"/>
          <w:sz w:val="20"/>
          <w:szCs w:val="20"/>
        </w:rPr>
        <w:t>.</w:t>
      </w:r>
      <w:r w:rsidRPr="00C23944">
        <w:rPr>
          <w:rFonts w:ascii="Arial" w:hAnsi="Arial" w:cs="Arial"/>
          <w:sz w:val="20"/>
          <w:szCs w:val="20"/>
        </w:rPr>
        <w:t xml:space="preserve"> </w:t>
      </w:r>
      <w:r w:rsidRPr="00C23944">
        <w:rPr>
          <w:rFonts w:ascii="Arial" w:hAnsi="Arial" w:cs="Arial"/>
          <w:i/>
          <w:sz w:val="20"/>
          <w:szCs w:val="20"/>
        </w:rPr>
        <w:t>Resolution of 11 May 2011 on the state of play in the EU-India Free Trade Agreement with India</w:t>
      </w:r>
      <w:r w:rsidRPr="00C23944">
        <w:rPr>
          <w:rFonts w:ascii="Arial" w:hAnsi="Arial" w:cs="Arial"/>
          <w:sz w:val="20"/>
          <w:szCs w:val="20"/>
        </w:rPr>
        <w:t xml:space="preserve">. </w:t>
      </w:r>
      <w:r w:rsidRPr="00C23944">
        <w:rPr>
          <w:rFonts w:ascii="Arial" w:hAnsi="Arial" w:cs="Arial"/>
          <w:sz w:val="20"/>
          <w:szCs w:val="20"/>
          <w:lang w:eastAsia="en-US"/>
        </w:rPr>
        <w:t>P7_TA(2011)0224. Strasbourg: European Parliament. Available at:</w:t>
      </w:r>
    </w:p>
    <w:p w14:paraId="2A50D65A" w14:textId="77777777" w:rsidR="006D1F85" w:rsidRPr="00C23944" w:rsidRDefault="00790ACB" w:rsidP="00CB782C">
      <w:pPr>
        <w:spacing w:line="480" w:lineRule="auto"/>
        <w:jc w:val="both"/>
        <w:rPr>
          <w:rFonts w:ascii="Arial" w:hAnsi="Arial" w:cs="Arial"/>
          <w:sz w:val="20"/>
          <w:szCs w:val="20"/>
          <w:lang w:eastAsia="en-US"/>
        </w:rPr>
      </w:pPr>
      <w:hyperlink r:id="rId17" w:history="1">
        <w:r w:rsidR="006D1F85" w:rsidRPr="00C23944">
          <w:rPr>
            <w:rStyle w:val="Hyperlink"/>
            <w:rFonts w:ascii="Arial" w:hAnsi="Arial" w:cs="Arial"/>
            <w:sz w:val="20"/>
            <w:szCs w:val="20"/>
            <w:lang w:eastAsia="en-US"/>
          </w:rPr>
          <w:t>http://www.europarl.europa.eu/sides/getDoc.do?pubRef=-%2F%2FEP%2F%2FTEXT%2BTA%2BP7-TA-2011-0224%2B0%2BDOC%2BXML%2BV0%2F%2FEN&amp;language=EN</w:t>
        </w:r>
      </w:hyperlink>
      <w:r w:rsidR="006D1F85" w:rsidRPr="00C23944">
        <w:rPr>
          <w:rFonts w:ascii="Arial" w:hAnsi="Arial" w:cs="Arial"/>
          <w:sz w:val="20"/>
          <w:szCs w:val="20"/>
          <w:lang w:eastAsia="en-US"/>
        </w:rPr>
        <w:t xml:space="preserve"> (accessed April 2015).</w:t>
      </w:r>
    </w:p>
    <w:p w14:paraId="422EA1BC" w14:textId="77777777" w:rsidR="006D1F85" w:rsidRDefault="006D1F85" w:rsidP="00CB782C">
      <w:pPr>
        <w:spacing w:line="480" w:lineRule="auto"/>
        <w:jc w:val="both"/>
        <w:rPr>
          <w:rFonts w:ascii="Arial" w:hAnsi="Arial" w:cs="Arial"/>
          <w:sz w:val="20"/>
          <w:szCs w:val="20"/>
        </w:rPr>
      </w:pPr>
    </w:p>
    <w:p w14:paraId="45B4E1D5" w14:textId="5B2E6AB7" w:rsidR="006D1F85" w:rsidRPr="00C23944" w:rsidRDefault="006D1F85" w:rsidP="00CB782C">
      <w:pPr>
        <w:spacing w:line="480" w:lineRule="auto"/>
        <w:jc w:val="both"/>
        <w:rPr>
          <w:rFonts w:ascii="Arial" w:hAnsi="Arial" w:cs="Arial"/>
          <w:sz w:val="20"/>
          <w:szCs w:val="20"/>
        </w:rPr>
      </w:pPr>
      <w:r>
        <w:rPr>
          <w:rFonts w:ascii="Arial" w:hAnsi="Arial" w:cs="Arial"/>
          <w:sz w:val="20"/>
          <w:szCs w:val="20"/>
        </w:rPr>
        <w:t>European Parliament (2011b</w:t>
      </w:r>
      <w:r w:rsidRPr="00C23944">
        <w:rPr>
          <w:rFonts w:ascii="Arial" w:hAnsi="Arial" w:cs="Arial"/>
          <w:sz w:val="20"/>
          <w:szCs w:val="20"/>
        </w:rPr>
        <w:t>)</w:t>
      </w:r>
      <w:r w:rsidR="00462F4A">
        <w:rPr>
          <w:rFonts w:ascii="Arial" w:hAnsi="Arial" w:cs="Arial"/>
          <w:sz w:val="20"/>
          <w:szCs w:val="20"/>
        </w:rPr>
        <w:t>.</w:t>
      </w:r>
      <w:r w:rsidRPr="00C23944">
        <w:rPr>
          <w:rFonts w:ascii="Arial" w:hAnsi="Arial" w:cs="Arial"/>
          <w:sz w:val="20"/>
          <w:szCs w:val="20"/>
        </w:rPr>
        <w:t xml:space="preserve"> </w:t>
      </w:r>
      <w:r w:rsidRPr="00C23944">
        <w:rPr>
          <w:rFonts w:ascii="Arial" w:hAnsi="Arial" w:cs="Arial"/>
          <w:i/>
          <w:sz w:val="20"/>
          <w:szCs w:val="20"/>
        </w:rPr>
        <w:t xml:space="preserve">Parliamentary questions 10 January 2011: Answer given by Mr De Gucht on behalf of the Commission. </w:t>
      </w:r>
      <w:r w:rsidRPr="00C23944">
        <w:rPr>
          <w:rFonts w:ascii="Arial" w:hAnsi="Arial" w:cs="Arial"/>
          <w:sz w:val="20"/>
          <w:szCs w:val="20"/>
        </w:rPr>
        <w:t xml:space="preserve">Official Journal C 265 E. 09/09/2011. Brussels: European Parliament. Available at: </w:t>
      </w:r>
    </w:p>
    <w:p w14:paraId="474877F4" w14:textId="77777777" w:rsidR="006D1F85" w:rsidRPr="00C23944" w:rsidRDefault="00790ACB" w:rsidP="00CB782C">
      <w:pPr>
        <w:spacing w:line="480" w:lineRule="auto"/>
        <w:jc w:val="both"/>
        <w:rPr>
          <w:rFonts w:ascii="Arial" w:hAnsi="Arial" w:cs="Arial"/>
          <w:sz w:val="20"/>
          <w:szCs w:val="20"/>
        </w:rPr>
      </w:pPr>
      <w:hyperlink r:id="rId18" w:history="1">
        <w:r w:rsidR="006D1F85" w:rsidRPr="00C23944">
          <w:rPr>
            <w:rStyle w:val="Hyperlink"/>
            <w:rFonts w:ascii="Arial" w:hAnsi="Arial" w:cs="Arial"/>
            <w:sz w:val="20"/>
            <w:szCs w:val="20"/>
          </w:rPr>
          <w:t>http://www.europarl.europa.eu/sides/getAllAnswers.do?reference=E-2010-010134&amp;language=EN</w:t>
        </w:r>
      </w:hyperlink>
      <w:r w:rsidR="006D1F85" w:rsidRPr="00C23944">
        <w:rPr>
          <w:rFonts w:ascii="Arial" w:hAnsi="Arial" w:cs="Arial"/>
          <w:sz w:val="20"/>
          <w:szCs w:val="20"/>
        </w:rPr>
        <w:t xml:space="preserve"> (accessed April 2015).</w:t>
      </w:r>
    </w:p>
    <w:p w14:paraId="03F64F7A" w14:textId="77777777" w:rsidR="009B7437" w:rsidRPr="00C23944" w:rsidRDefault="009B7437" w:rsidP="00CB782C">
      <w:pPr>
        <w:autoSpaceDE w:val="0"/>
        <w:autoSpaceDN w:val="0"/>
        <w:adjustRightInd w:val="0"/>
        <w:spacing w:line="480" w:lineRule="auto"/>
        <w:jc w:val="both"/>
        <w:rPr>
          <w:rFonts w:ascii="Arial" w:hAnsi="Arial" w:cs="Arial"/>
          <w:sz w:val="20"/>
          <w:szCs w:val="20"/>
        </w:rPr>
      </w:pPr>
    </w:p>
    <w:p w14:paraId="0511A886" w14:textId="1EC0CAA5" w:rsidR="009B7437" w:rsidRPr="00C23944" w:rsidRDefault="006D1F85" w:rsidP="00CB782C">
      <w:pPr>
        <w:autoSpaceDE w:val="0"/>
        <w:autoSpaceDN w:val="0"/>
        <w:adjustRightInd w:val="0"/>
        <w:spacing w:line="480" w:lineRule="auto"/>
        <w:jc w:val="both"/>
        <w:rPr>
          <w:rFonts w:ascii="Arial" w:hAnsi="Arial" w:cs="Arial"/>
          <w:sz w:val="20"/>
          <w:szCs w:val="20"/>
        </w:rPr>
      </w:pPr>
      <w:r>
        <w:rPr>
          <w:rFonts w:ascii="Arial" w:hAnsi="Arial" w:cs="Arial"/>
          <w:sz w:val="20"/>
          <w:szCs w:val="20"/>
        </w:rPr>
        <w:t>European Parliament (2011c</w:t>
      </w:r>
      <w:r w:rsidR="009B7437" w:rsidRPr="00C23944">
        <w:rPr>
          <w:rFonts w:ascii="Arial" w:hAnsi="Arial" w:cs="Arial"/>
          <w:sz w:val="20"/>
          <w:szCs w:val="20"/>
        </w:rPr>
        <w:t>)</w:t>
      </w:r>
      <w:r w:rsidR="00462F4A">
        <w:rPr>
          <w:rFonts w:ascii="Arial" w:hAnsi="Arial" w:cs="Arial"/>
          <w:sz w:val="20"/>
          <w:szCs w:val="20"/>
        </w:rPr>
        <w:t>.</w:t>
      </w:r>
      <w:r w:rsidR="009B7437" w:rsidRPr="00C23944">
        <w:rPr>
          <w:rFonts w:ascii="Arial" w:hAnsi="Arial" w:cs="Arial"/>
          <w:sz w:val="20"/>
          <w:szCs w:val="20"/>
        </w:rPr>
        <w:t xml:space="preserve"> </w:t>
      </w:r>
      <w:r w:rsidR="009B7437" w:rsidRPr="00C23944">
        <w:rPr>
          <w:rFonts w:ascii="Arial" w:hAnsi="Arial" w:cs="Arial"/>
          <w:i/>
          <w:sz w:val="20"/>
          <w:szCs w:val="20"/>
        </w:rPr>
        <w:t>Plenary Debate on the State of Play of the EU-India Free Trade Agreement Negotiations 09.05.2011</w:t>
      </w:r>
      <w:r w:rsidR="009B7437" w:rsidRPr="00C23944">
        <w:rPr>
          <w:rFonts w:ascii="Arial" w:hAnsi="Arial" w:cs="Arial"/>
          <w:sz w:val="20"/>
          <w:szCs w:val="20"/>
        </w:rPr>
        <w:t>. Strasbourg: European Parliament. Available at:</w:t>
      </w:r>
    </w:p>
    <w:p w14:paraId="117AD3E8" w14:textId="77777777" w:rsidR="009B7437" w:rsidRPr="00C23944" w:rsidRDefault="00790ACB" w:rsidP="00CB782C">
      <w:pPr>
        <w:autoSpaceDE w:val="0"/>
        <w:autoSpaceDN w:val="0"/>
        <w:adjustRightInd w:val="0"/>
        <w:spacing w:line="480" w:lineRule="auto"/>
        <w:jc w:val="both"/>
        <w:rPr>
          <w:rFonts w:ascii="Arial" w:hAnsi="Arial" w:cs="Arial"/>
          <w:sz w:val="20"/>
          <w:szCs w:val="20"/>
        </w:rPr>
      </w:pPr>
      <w:hyperlink r:id="rId19" w:history="1">
        <w:r w:rsidR="009B7437" w:rsidRPr="00C23944">
          <w:rPr>
            <w:rStyle w:val="Hyperlink"/>
            <w:rFonts w:ascii="Arial" w:hAnsi="Arial" w:cs="Arial"/>
            <w:sz w:val="20"/>
            <w:szCs w:val="20"/>
          </w:rPr>
          <w:t>http://www.europarl.europa.eu/sides/getDoc.do?pubRef=-//EP//TEXT+CRE+20110509+ITEM-020+DOC+XML+V0//EN</w:t>
        </w:r>
      </w:hyperlink>
      <w:r w:rsidR="009B7437" w:rsidRPr="00C23944">
        <w:rPr>
          <w:rFonts w:ascii="Arial" w:hAnsi="Arial" w:cs="Arial"/>
          <w:sz w:val="20"/>
          <w:szCs w:val="20"/>
        </w:rPr>
        <w:t xml:space="preserve"> (accessed April 2015).</w:t>
      </w:r>
    </w:p>
    <w:p w14:paraId="302019BD" w14:textId="77777777" w:rsidR="009B7437" w:rsidRPr="00C23944" w:rsidRDefault="009B7437" w:rsidP="00CB782C">
      <w:pPr>
        <w:spacing w:line="480" w:lineRule="auto"/>
        <w:jc w:val="both"/>
        <w:rPr>
          <w:rFonts w:ascii="Arial" w:hAnsi="Arial" w:cs="Arial"/>
          <w:sz w:val="20"/>
          <w:szCs w:val="20"/>
        </w:rPr>
      </w:pPr>
    </w:p>
    <w:p w14:paraId="1D9AEA36" w14:textId="652ADF73" w:rsidR="009B7437" w:rsidRPr="00C23944" w:rsidRDefault="009B7437" w:rsidP="00CB782C">
      <w:pPr>
        <w:autoSpaceDE w:val="0"/>
        <w:autoSpaceDN w:val="0"/>
        <w:adjustRightInd w:val="0"/>
        <w:spacing w:line="480" w:lineRule="auto"/>
        <w:jc w:val="both"/>
        <w:rPr>
          <w:rFonts w:ascii="Arial" w:hAnsi="Arial" w:cs="Arial"/>
          <w:color w:val="231F20"/>
          <w:sz w:val="20"/>
          <w:szCs w:val="20"/>
        </w:rPr>
      </w:pPr>
      <w:r w:rsidRPr="00C23944">
        <w:rPr>
          <w:rFonts w:ascii="Arial" w:hAnsi="Arial" w:cs="Arial"/>
          <w:color w:val="231F20"/>
          <w:sz w:val="20"/>
          <w:szCs w:val="20"/>
        </w:rPr>
        <w:t>European Parliament (2013)</w:t>
      </w:r>
      <w:r w:rsidR="00462F4A">
        <w:rPr>
          <w:rFonts w:ascii="Arial" w:hAnsi="Arial" w:cs="Arial"/>
          <w:color w:val="231F20"/>
          <w:sz w:val="20"/>
          <w:szCs w:val="20"/>
        </w:rPr>
        <w:t>.</w:t>
      </w:r>
      <w:r w:rsidRPr="00C23944">
        <w:rPr>
          <w:rFonts w:ascii="Arial" w:hAnsi="Arial" w:cs="Arial"/>
          <w:color w:val="231F20"/>
          <w:sz w:val="20"/>
          <w:szCs w:val="20"/>
        </w:rPr>
        <w:t xml:space="preserve"> </w:t>
      </w:r>
      <w:r w:rsidRPr="00C23944">
        <w:rPr>
          <w:rFonts w:ascii="Arial" w:hAnsi="Arial" w:cs="Arial"/>
          <w:i/>
          <w:color w:val="231F20"/>
          <w:sz w:val="20"/>
          <w:szCs w:val="20"/>
        </w:rPr>
        <w:t xml:space="preserve">The Long Road towards an EU-India Free Trade Agreement. </w:t>
      </w:r>
      <w:r w:rsidRPr="00C23944">
        <w:rPr>
          <w:rFonts w:ascii="Arial" w:hAnsi="Arial" w:cs="Arial"/>
          <w:color w:val="231F20"/>
          <w:sz w:val="20"/>
          <w:szCs w:val="20"/>
        </w:rPr>
        <w:t xml:space="preserve">PE 433.709. Brussels: Directorate-General for External Policies of the Union. Available at: </w:t>
      </w:r>
    </w:p>
    <w:p w14:paraId="5B17E345" w14:textId="77777777" w:rsidR="009B7437" w:rsidRPr="00C23944" w:rsidRDefault="00790ACB" w:rsidP="00CB782C">
      <w:pPr>
        <w:autoSpaceDE w:val="0"/>
        <w:autoSpaceDN w:val="0"/>
        <w:adjustRightInd w:val="0"/>
        <w:spacing w:line="480" w:lineRule="auto"/>
        <w:jc w:val="both"/>
        <w:rPr>
          <w:rFonts w:ascii="Arial" w:hAnsi="Arial" w:cs="Arial"/>
          <w:color w:val="231F20"/>
          <w:sz w:val="20"/>
          <w:szCs w:val="20"/>
        </w:rPr>
      </w:pPr>
      <w:hyperlink r:id="rId20" w:history="1">
        <w:r w:rsidR="009B7437" w:rsidRPr="00C23944">
          <w:rPr>
            <w:rStyle w:val="Hyperlink"/>
            <w:rFonts w:ascii="Arial" w:hAnsi="Arial" w:cs="Arial"/>
            <w:sz w:val="20"/>
            <w:szCs w:val="20"/>
          </w:rPr>
          <w:t>http://www.europarl.europa.eu/document/activities/cont/201310/20131023ATT73262/20131023ATT73262EN.pdf</w:t>
        </w:r>
      </w:hyperlink>
      <w:r w:rsidR="009B7437" w:rsidRPr="00C23944">
        <w:rPr>
          <w:rFonts w:ascii="Arial" w:hAnsi="Arial" w:cs="Arial"/>
          <w:color w:val="231F20"/>
          <w:sz w:val="20"/>
          <w:szCs w:val="20"/>
        </w:rPr>
        <w:t xml:space="preserve"> (accessed July 2015).</w:t>
      </w:r>
    </w:p>
    <w:p w14:paraId="47EBE04F" w14:textId="77777777" w:rsidR="00F11978" w:rsidRPr="00C23944" w:rsidRDefault="00F11978" w:rsidP="00CB782C">
      <w:pPr>
        <w:spacing w:line="480" w:lineRule="auto"/>
        <w:jc w:val="both"/>
        <w:rPr>
          <w:rFonts w:ascii="Arial" w:hAnsi="Arial" w:cs="Arial"/>
          <w:sz w:val="20"/>
          <w:szCs w:val="20"/>
        </w:rPr>
      </w:pPr>
    </w:p>
    <w:p w14:paraId="5B9507C7" w14:textId="38CB31DE" w:rsidR="009B7437" w:rsidRPr="00C23944" w:rsidRDefault="006F133A" w:rsidP="00CB782C">
      <w:pPr>
        <w:autoSpaceDE w:val="0"/>
        <w:autoSpaceDN w:val="0"/>
        <w:adjustRightInd w:val="0"/>
        <w:spacing w:line="480" w:lineRule="auto"/>
        <w:jc w:val="both"/>
        <w:rPr>
          <w:rFonts w:ascii="Arial" w:hAnsi="Arial" w:cs="Arial"/>
          <w:color w:val="231F20"/>
          <w:sz w:val="20"/>
          <w:szCs w:val="20"/>
        </w:rPr>
      </w:pPr>
      <w:r>
        <w:rPr>
          <w:rFonts w:ascii="Arial" w:hAnsi="Arial" w:cs="Arial"/>
          <w:color w:val="231F20"/>
          <w:sz w:val="20"/>
          <w:szCs w:val="20"/>
        </w:rPr>
        <w:t>European Parliament (2014</w:t>
      </w:r>
      <w:r w:rsidR="009B7437" w:rsidRPr="00C23944">
        <w:rPr>
          <w:rFonts w:ascii="Arial" w:hAnsi="Arial" w:cs="Arial"/>
          <w:color w:val="231F20"/>
          <w:sz w:val="20"/>
          <w:szCs w:val="20"/>
        </w:rPr>
        <w:t>)</w:t>
      </w:r>
      <w:r w:rsidR="00462F4A">
        <w:rPr>
          <w:rFonts w:ascii="Arial" w:hAnsi="Arial" w:cs="Arial"/>
          <w:color w:val="231F20"/>
          <w:sz w:val="20"/>
          <w:szCs w:val="20"/>
        </w:rPr>
        <w:t>.</w:t>
      </w:r>
      <w:r w:rsidR="009B7437" w:rsidRPr="00C23944">
        <w:rPr>
          <w:rFonts w:ascii="Arial" w:hAnsi="Arial" w:cs="Arial"/>
          <w:color w:val="231F20"/>
          <w:sz w:val="20"/>
          <w:szCs w:val="20"/>
        </w:rPr>
        <w:t xml:space="preserve"> </w:t>
      </w:r>
      <w:r w:rsidR="009B7437" w:rsidRPr="00C23944">
        <w:rPr>
          <w:rFonts w:ascii="Arial" w:hAnsi="Arial" w:cs="Arial"/>
          <w:i/>
          <w:color w:val="231F20"/>
          <w:sz w:val="20"/>
          <w:szCs w:val="20"/>
        </w:rPr>
        <w:t xml:space="preserve">The European Parliament’s Role in Relation to Human Rights in Trade and Investment Agreements. </w:t>
      </w:r>
      <w:r w:rsidR="009B7437" w:rsidRPr="00C23944">
        <w:rPr>
          <w:rFonts w:ascii="Arial" w:hAnsi="Arial" w:cs="Arial"/>
          <w:color w:val="231F20"/>
          <w:sz w:val="20"/>
          <w:szCs w:val="20"/>
        </w:rPr>
        <w:t>EXPO/B/DROI/2012-09, PE 433.751. Brussels: Directorate-General for External Policies of the Union Directorate B. Available at:</w:t>
      </w:r>
    </w:p>
    <w:p w14:paraId="7F5843B7" w14:textId="77777777" w:rsidR="009B7437" w:rsidRPr="00C23944" w:rsidRDefault="00790ACB" w:rsidP="00CB782C">
      <w:pPr>
        <w:autoSpaceDE w:val="0"/>
        <w:autoSpaceDN w:val="0"/>
        <w:adjustRightInd w:val="0"/>
        <w:spacing w:line="480" w:lineRule="auto"/>
        <w:jc w:val="both"/>
        <w:rPr>
          <w:rFonts w:ascii="Arial" w:hAnsi="Arial" w:cs="Arial"/>
          <w:color w:val="231F20"/>
          <w:sz w:val="20"/>
          <w:szCs w:val="20"/>
        </w:rPr>
      </w:pPr>
      <w:hyperlink r:id="rId21" w:history="1">
        <w:r w:rsidR="009B7437" w:rsidRPr="00C23944">
          <w:rPr>
            <w:rStyle w:val="Hyperlink"/>
            <w:rFonts w:ascii="Arial" w:hAnsi="Arial" w:cs="Arial"/>
            <w:sz w:val="20"/>
            <w:szCs w:val="20"/>
            <w:lang w:eastAsia="en-US"/>
          </w:rPr>
          <w:t>http://www.europarl.europa.eu/RegData/etudes/etudes/join/2014/433751/EXPO-JOIN_ET(2014)433751_EN.pdf</w:t>
        </w:r>
      </w:hyperlink>
      <w:r w:rsidR="009B7437" w:rsidRPr="00C23944">
        <w:rPr>
          <w:rFonts w:ascii="Arial" w:hAnsi="Arial" w:cs="Arial"/>
          <w:color w:val="231F20"/>
          <w:sz w:val="20"/>
          <w:szCs w:val="20"/>
        </w:rPr>
        <w:t xml:space="preserve">  (accessed August 2015).</w:t>
      </w:r>
    </w:p>
    <w:p w14:paraId="5B25F48A" w14:textId="77777777" w:rsidR="00F11978" w:rsidRDefault="00F11978" w:rsidP="00CB782C">
      <w:pPr>
        <w:spacing w:line="480" w:lineRule="auto"/>
        <w:jc w:val="both"/>
        <w:rPr>
          <w:rFonts w:ascii="Arial" w:hAnsi="Arial" w:cs="Arial"/>
          <w:sz w:val="20"/>
          <w:szCs w:val="20"/>
        </w:rPr>
      </w:pPr>
    </w:p>
    <w:p w14:paraId="12E16186" w14:textId="69D11154" w:rsidR="00955FA9" w:rsidRDefault="00955FA9" w:rsidP="00CB782C">
      <w:pPr>
        <w:spacing w:line="360" w:lineRule="auto"/>
        <w:jc w:val="both"/>
        <w:rPr>
          <w:rFonts w:ascii="Arial" w:hAnsi="Arial" w:cs="Arial"/>
          <w:sz w:val="20"/>
          <w:szCs w:val="20"/>
        </w:rPr>
      </w:pPr>
      <w:r w:rsidRPr="00FD319F">
        <w:rPr>
          <w:rFonts w:ascii="Arial" w:hAnsi="Arial" w:cs="Arial"/>
          <w:sz w:val="20"/>
          <w:szCs w:val="20"/>
        </w:rPr>
        <w:t>Frennhoff Lars</w:t>
      </w:r>
      <w:r w:rsidR="00CE7B5F" w:rsidRPr="00FD319F">
        <w:rPr>
          <w:rFonts w:ascii="Arial" w:hAnsi="Arial" w:cs="Arial"/>
          <w:sz w:val="20"/>
          <w:szCs w:val="20"/>
        </w:rPr>
        <w:t>én</w:t>
      </w:r>
      <w:r w:rsidR="002B5C7A" w:rsidRPr="00FD319F">
        <w:rPr>
          <w:rFonts w:ascii="Arial" w:hAnsi="Arial" w:cs="Arial"/>
          <w:sz w:val="20"/>
          <w:szCs w:val="20"/>
        </w:rPr>
        <w:t>,</w:t>
      </w:r>
      <w:r w:rsidR="00CE7B5F" w:rsidRPr="00FD319F">
        <w:rPr>
          <w:rFonts w:ascii="Arial" w:hAnsi="Arial" w:cs="Arial"/>
          <w:sz w:val="20"/>
          <w:szCs w:val="20"/>
        </w:rPr>
        <w:t xml:space="preserve"> M</w:t>
      </w:r>
      <w:r w:rsidR="002B5C7A" w:rsidRPr="00FD319F">
        <w:rPr>
          <w:rFonts w:ascii="Arial" w:hAnsi="Arial" w:cs="Arial"/>
          <w:sz w:val="20"/>
          <w:szCs w:val="20"/>
        </w:rPr>
        <w:t>agdalena</w:t>
      </w:r>
      <w:r w:rsidR="00CE7B5F" w:rsidRPr="00FD319F">
        <w:rPr>
          <w:rFonts w:ascii="Arial" w:hAnsi="Arial" w:cs="Arial"/>
          <w:sz w:val="20"/>
          <w:szCs w:val="20"/>
        </w:rPr>
        <w:t xml:space="preserve"> (2007)</w:t>
      </w:r>
      <w:r w:rsidR="00462F4A" w:rsidRPr="00FD319F">
        <w:rPr>
          <w:rFonts w:ascii="Arial" w:hAnsi="Arial" w:cs="Arial"/>
          <w:sz w:val="20"/>
          <w:szCs w:val="20"/>
        </w:rPr>
        <w:t>.</w:t>
      </w:r>
      <w:r w:rsidR="00CE7B5F" w:rsidRPr="00FD319F">
        <w:rPr>
          <w:rFonts w:ascii="Arial" w:hAnsi="Arial" w:cs="Arial"/>
          <w:sz w:val="20"/>
          <w:szCs w:val="20"/>
        </w:rPr>
        <w:t xml:space="preserve"> </w:t>
      </w:r>
      <w:r w:rsidR="0009270F" w:rsidRPr="00FD319F">
        <w:rPr>
          <w:rFonts w:ascii="Arial" w:hAnsi="Arial" w:cs="Arial"/>
          <w:sz w:val="20"/>
          <w:szCs w:val="20"/>
        </w:rPr>
        <w:t>“</w:t>
      </w:r>
      <w:r w:rsidR="00F26CFC" w:rsidRPr="00FD319F">
        <w:rPr>
          <w:rFonts w:ascii="Arial" w:hAnsi="Arial" w:cs="Arial"/>
          <w:sz w:val="20"/>
          <w:szCs w:val="20"/>
        </w:rPr>
        <w:t>Trade Negotiations between the EU and S</w:t>
      </w:r>
      <w:r w:rsidR="00CE7B5F" w:rsidRPr="00FD319F">
        <w:rPr>
          <w:rFonts w:ascii="Arial" w:hAnsi="Arial" w:cs="Arial"/>
          <w:sz w:val="20"/>
          <w:szCs w:val="20"/>
        </w:rPr>
        <w:t>outh Africa: A Three-Level Game.</w:t>
      </w:r>
      <w:r w:rsidR="0009270F" w:rsidRPr="00FD319F">
        <w:rPr>
          <w:rFonts w:ascii="Arial" w:hAnsi="Arial" w:cs="Arial"/>
          <w:sz w:val="20"/>
          <w:szCs w:val="20"/>
        </w:rPr>
        <w:t>”</w:t>
      </w:r>
      <w:r w:rsidR="00F26CFC" w:rsidRPr="00FD319F">
        <w:rPr>
          <w:rFonts w:ascii="Arial" w:hAnsi="Arial" w:cs="Arial"/>
          <w:sz w:val="20"/>
          <w:szCs w:val="20"/>
        </w:rPr>
        <w:t xml:space="preserve"> </w:t>
      </w:r>
      <w:r w:rsidR="00F26CFC" w:rsidRPr="00FD319F">
        <w:rPr>
          <w:rFonts w:ascii="Arial" w:hAnsi="Arial" w:cs="Arial"/>
          <w:i/>
          <w:sz w:val="20"/>
          <w:szCs w:val="20"/>
        </w:rPr>
        <w:t xml:space="preserve">Journal of Common Market Studies </w:t>
      </w:r>
      <w:r w:rsidR="001174E5" w:rsidRPr="00FD319F">
        <w:rPr>
          <w:rFonts w:ascii="Arial" w:hAnsi="Arial" w:cs="Arial"/>
          <w:sz w:val="20"/>
          <w:szCs w:val="20"/>
        </w:rPr>
        <w:t>45</w:t>
      </w:r>
      <w:r w:rsidR="00BD0B99" w:rsidRPr="00FD319F">
        <w:rPr>
          <w:rFonts w:ascii="Arial" w:hAnsi="Arial" w:cs="Arial"/>
          <w:sz w:val="20"/>
          <w:szCs w:val="20"/>
        </w:rPr>
        <w:t xml:space="preserve">, </w:t>
      </w:r>
      <w:r w:rsidR="001174E5" w:rsidRPr="00FD319F">
        <w:rPr>
          <w:rFonts w:ascii="Arial" w:hAnsi="Arial" w:cs="Arial"/>
          <w:sz w:val="20"/>
          <w:szCs w:val="20"/>
        </w:rPr>
        <w:t>4: 857-881.</w:t>
      </w:r>
    </w:p>
    <w:p w14:paraId="07BCC444" w14:textId="77777777" w:rsidR="00FD319F" w:rsidRDefault="00FD319F" w:rsidP="00CB782C">
      <w:pPr>
        <w:spacing w:line="360" w:lineRule="auto"/>
        <w:jc w:val="both"/>
        <w:rPr>
          <w:rFonts w:ascii="Arial" w:hAnsi="Arial" w:cs="Arial"/>
          <w:sz w:val="20"/>
          <w:szCs w:val="20"/>
        </w:rPr>
      </w:pPr>
    </w:p>
    <w:p w14:paraId="6FC2109C" w14:textId="0D628D51" w:rsidR="00FD319F" w:rsidRDefault="00FD319F" w:rsidP="00CB782C">
      <w:pPr>
        <w:spacing w:line="360" w:lineRule="auto"/>
        <w:jc w:val="both"/>
        <w:rPr>
          <w:rFonts w:ascii="Arial" w:hAnsi="Arial" w:cs="Arial"/>
          <w:sz w:val="20"/>
          <w:szCs w:val="20"/>
        </w:rPr>
      </w:pPr>
      <w:r>
        <w:rPr>
          <w:rFonts w:ascii="Arial" w:hAnsi="Arial" w:cs="Arial"/>
          <w:sz w:val="20"/>
          <w:szCs w:val="20"/>
        </w:rPr>
        <w:t xml:space="preserve">Heron, Tony and Siles-Brügge, Gabriel (2012). “Competitive liberalization and the “Global Europe” services and investment agenda: locating the commercial drivers of the EU-ACP Economic Partnership Agreements.” </w:t>
      </w:r>
      <w:r>
        <w:rPr>
          <w:rFonts w:ascii="Arial" w:hAnsi="Arial" w:cs="Arial"/>
          <w:i/>
          <w:sz w:val="20"/>
          <w:szCs w:val="20"/>
        </w:rPr>
        <w:t>Journal of Common Market Studies</w:t>
      </w:r>
      <w:r w:rsidR="00CB782C">
        <w:rPr>
          <w:rFonts w:ascii="Arial" w:hAnsi="Arial" w:cs="Arial"/>
          <w:i/>
          <w:sz w:val="20"/>
          <w:szCs w:val="20"/>
        </w:rPr>
        <w:t xml:space="preserve"> </w:t>
      </w:r>
      <w:r w:rsidR="00CB782C">
        <w:rPr>
          <w:rFonts w:ascii="Arial" w:hAnsi="Arial" w:cs="Arial"/>
          <w:sz w:val="20"/>
          <w:szCs w:val="20"/>
        </w:rPr>
        <w:t>50, 2: 250-266.</w:t>
      </w:r>
    </w:p>
    <w:p w14:paraId="6BEA8C8D" w14:textId="77777777" w:rsidR="003E41F8" w:rsidRDefault="003E41F8" w:rsidP="00CB782C">
      <w:pPr>
        <w:spacing w:line="360" w:lineRule="auto"/>
        <w:jc w:val="both"/>
        <w:rPr>
          <w:rFonts w:ascii="Arial" w:hAnsi="Arial" w:cs="Arial"/>
          <w:sz w:val="20"/>
          <w:szCs w:val="20"/>
        </w:rPr>
      </w:pPr>
    </w:p>
    <w:p w14:paraId="56FF35E7" w14:textId="614A62E2" w:rsidR="003E41F8" w:rsidRPr="003E41F8" w:rsidRDefault="003E41F8" w:rsidP="00CB782C">
      <w:pPr>
        <w:spacing w:line="360" w:lineRule="auto"/>
        <w:jc w:val="both"/>
        <w:rPr>
          <w:rFonts w:ascii="Arial" w:hAnsi="Arial" w:cs="Arial"/>
          <w:sz w:val="20"/>
          <w:szCs w:val="20"/>
        </w:rPr>
      </w:pPr>
      <w:r>
        <w:rPr>
          <w:rFonts w:ascii="Arial" w:hAnsi="Arial" w:cs="Arial"/>
          <w:sz w:val="20"/>
          <w:szCs w:val="20"/>
        </w:rPr>
        <w:t xml:space="preserve">Hix, Simon and Høyland, Bjørn (2013). “Empowerment of the European Parliament.” </w:t>
      </w:r>
      <w:r>
        <w:rPr>
          <w:rFonts w:ascii="Arial" w:hAnsi="Arial" w:cs="Arial"/>
          <w:i/>
          <w:sz w:val="20"/>
          <w:szCs w:val="20"/>
        </w:rPr>
        <w:t xml:space="preserve">Annual Review of Political Science </w:t>
      </w:r>
      <w:r>
        <w:rPr>
          <w:rFonts w:ascii="Arial" w:hAnsi="Arial" w:cs="Arial"/>
          <w:sz w:val="20"/>
          <w:szCs w:val="20"/>
        </w:rPr>
        <w:t>16: 171-189.</w:t>
      </w:r>
    </w:p>
    <w:p w14:paraId="49F12E10" w14:textId="77777777" w:rsidR="00FD319F" w:rsidRPr="00FD319F" w:rsidRDefault="00FD319F" w:rsidP="00CB782C">
      <w:pPr>
        <w:spacing w:line="360" w:lineRule="auto"/>
        <w:jc w:val="both"/>
        <w:rPr>
          <w:rFonts w:ascii="Arial" w:hAnsi="Arial" w:cs="Arial"/>
          <w:sz w:val="20"/>
          <w:szCs w:val="20"/>
        </w:rPr>
      </w:pPr>
    </w:p>
    <w:p w14:paraId="08CE9A62" w14:textId="21867D1E" w:rsidR="00F71575" w:rsidRPr="00FD319F" w:rsidRDefault="002D36D8" w:rsidP="00CB782C">
      <w:pPr>
        <w:spacing w:line="360" w:lineRule="auto"/>
        <w:jc w:val="both"/>
        <w:rPr>
          <w:rFonts w:ascii="Arial" w:hAnsi="Arial" w:cs="Arial"/>
          <w:sz w:val="20"/>
          <w:szCs w:val="20"/>
        </w:rPr>
      </w:pPr>
      <w:r w:rsidRPr="00FD319F">
        <w:rPr>
          <w:rFonts w:ascii="Arial" w:hAnsi="Arial" w:cs="Arial"/>
          <w:sz w:val="20"/>
          <w:szCs w:val="20"/>
        </w:rPr>
        <w:t>H</w:t>
      </w:r>
      <w:r w:rsidR="000934AC" w:rsidRPr="00FD319F">
        <w:rPr>
          <w:rFonts w:ascii="Arial" w:hAnsi="Arial" w:cs="Arial"/>
          <w:sz w:val="20"/>
          <w:szCs w:val="20"/>
        </w:rPr>
        <w:t>LTG</w:t>
      </w:r>
      <w:r w:rsidR="00547911" w:rsidRPr="00FD319F">
        <w:rPr>
          <w:rFonts w:ascii="Arial" w:hAnsi="Arial" w:cs="Arial"/>
          <w:sz w:val="20"/>
          <w:szCs w:val="20"/>
        </w:rPr>
        <w:t xml:space="preserve"> (2006)</w:t>
      </w:r>
      <w:r w:rsidR="0009270F" w:rsidRPr="00FD319F">
        <w:rPr>
          <w:rFonts w:ascii="Arial" w:hAnsi="Arial" w:cs="Arial"/>
          <w:sz w:val="20"/>
          <w:szCs w:val="20"/>
        </w:rPr>
        <w:t>.</w:t>
      </w:r>
      <w:r w:rsidRPr="00FD319F">
        <w:rPr>
          <w:rFonts w:ascii="Arial" w:hAnsi="Arial" w:cs="Arial"/>
          <w:sz w:val="20"/>
          <w:szCs w:val="20"/>
        </w:rPr>
        <w:t xml:space="preserve"> </w:t>
      </w:r>
      <w:r w:rsidRPr="00FD319F">
        <w:rPr>
          <w:rFonts w:ascii="Arial" w:hAnsi="Arial" w:cs="Arial"/>
          <w:i/>
          <w:sz w:val="20"/>
          <w:szCs w:val="20"/>
        </w:rPr>
        <w:t xml:space="preserve">Report of the EU-India High Level Trade Group to the EU-India Summit </w:t>
      </w:r>
      <w:r w:rsidRPr="00FD319F">
        <w:rPr>
          <w:rFonts w:ascii="Arial" w:hAnsi="Arial" w:cs="Arial"/>
          <w:sz w:val="20"/>
          <w:szCs w:val="20"/>
        </w:rPr>
        <w:t>(13/10/2006)</w:t>
      </w:r>
      <w:r w:rsidR="00CE7B5F" w:rsidRPr="00FD319F">
        <w:rPr>
          <w:rFonts w:ascii="Arial" w:hAnsi="Arial" w:cs="Arial"/>
          <w:sz w:val="20"/>
          <w:szCs w:val="20"/>
        </w:rPr>
        <w:t>. A</w:t>
      </w:r>
      <w:r w:rsidR="00F71575" w:rsidRPr="00FD319F">
        <w:rPr>
          <w:rFonts w:ascii="Arial" w:hAnsi="Arial" w:cs="Arial"/>
          <w:sz w:val="20"/>
          <w:szCs w:val="20"/>
        </w:rPr>
        <w:t>vailable at:</w:t>
      </w:r>
    </w:p>
    <w:p w14:paraId="39B2406E" w14:textId="3A148CB6" w:rsidR="002D36D8" w:rsidRPr="00C23944" w:rsidRDefault="00790ACB" w:rsidP="00CB782C">
      <w:pPr>
        <w:spacing w:line="360" w:lineRule="auto"/>
        <w:jc w:val="both"/>
        <w:rPr>
          <w:rFonts w:ascii="Arial" w:hAnsi="Arial" w:cs="Arial"/>
          <w:sz w:val="20"/>
          <w:szCs w:val="20"/>
        </w:rPr>
      </w:pPr>
      <w:hyperlink r:id="rId22" w:history="1">
        <w:r w:rsidR="00F71575" w:rsidRPr="00FD319F">
          <w:rPr>
            <w:rStyle w:val="Hyperlink"/>
            <w:rFonts w:ascii="Arial" w:hAnsi="Arial" w:cs="Arial"/>
            <w:sz w:val="20"/>
            <w:szCs w:val="20"/>
          </w:rPr>
          <w:t>http://trade.ec.europa.eu/doclib/docs/2006/september/tradoc_130306.pdf</w:t>
        </w:r>
      </w:hyperlink>
      <w:r w:rsidR="00F71575" w:rsidRPr="00FD319F">
        <w:rPr>
          <w:rFonts w:ascii="Arial" w:hAnsi="Arial" w:cs="Arial"/>
          <w:sz w:val="20"/>
          <w:szCs w:val="20"/>
        </w:rPr>
        <w:t xml:space="preserve"> (accessed April</w:t>
      </w:r>
      <w:r w:rsidR="00F71575" w:rsidRPr="00C23944">
        <w:rPr>
          <w:rFonts w:ascii="Arial" w:hAnsi="Arial" w:cs="Arial"/>
          <w:sz w:val="20"/>
          <w:szCs w:val="20"/>
        </w:rPr>
        <w:t xml:space="preserve"> 2015</w:t>
      </w:r>
      <w:r w:rsidR="00E275A0" w:rsidRPr="00C23944">
        <w:rPr>
          <w:rFonts w:ascii="Arial" w:hAnsi="Arial" w:cs="Arial"/>
          <w:sz w:val="20"/>
          <w:szCs w:val="20"/>
        </w:rPr>
        <w:t>).</w:t>
      </w:r>
    </w:p>
    <w:p w14:paraId="0C1F7E28" w14:textId="77777777" w:rsidR="00417C11" w:rsidRPr="00C23944" w:rsidRDefault="00417C11" w:rsidP="00CB782C">
      <w:pPr>
        <w:spacing w:line="480" w:lineRule="auto"/>
        <w:jc w:val="both"/>
        <w:rPr>
          <w:rFonts w:ascii="Arial" w:hAnsi="Arial" w:cs="Arial"/>
          <w:sz w:val="20"/>
          <w:szCs w:val="20"/>
        </w:rPr>
      </w:pPr>
    </w:p>
    <w:p w14:paraId="065E8EE9" w14:textId="1EA7ABC5" w:rsidR="002D36D8" w:rsidRPr="00C23944" w:rsidRDefault="00E1073B" w:rsidP="00CB782C">
      <w:pPr>
        <w:spacing w:line="480" w:lineRule="auto"/>
        <w:jc w:val="both"/>
        <w:rPr>
          <w:rFonts w:ascii="Arial" w:hAnsi="Arial" w:cs="Arial"/>
          <w:sz w:val="20"/>
          <w:szCs w:val="20"/>
        </w:rPr>
      </w:pPr>
      <w:r w:rsidRPr="00C23944">
        <w:rPr>
          <w:rFonts w:ascii="Arial" w:hAnsi="Arial" w:cs="Arial"/>
          <w:sz w:val="20"/>
          <w:szCs w:val="20"/>
        </w:rPr>
        <w:t>Johnson</w:t>
      </w:r>
      <w:r w:rsidR="002B5C7A">
        <w:rPr>
          <w:rFonts w:ascii="Arial" w:hAnsi="Arial" w:cs="Arial"/>
          <w:sz w:val="20"/>
          <w:szCs w:val="20"/>
        </w:rPr>
        <w:t>,</w:t>
      </w:r>
      <w:r w:rsidR="00CE7B5F" w:rsidRPr="00C23944">
        <w:rPr>
          <w:rFonts w:ascii="Arial" w:hAnsi="Arial" w:cs="Arial"/>
          <w:sz w:val="20"/>
          <w:szCs w:val="20"/>
        </w:rPr>
        <w:t xml:space="preserve"> J</w:t>
      </w:r>
      <w:r w:rsidR="002B5C7A">
        <w:rPr>
          <w:rFonts w:ascii="Arial" w:hAnsi="Arial" w:cs="Arial"/>
          <w:sz w:val="20"/>
          <w:szCs w:val="20"/>
        </w:rPr>
        <w:t>o</w:t>
      </w:r>
      <w:r w:rsidR="00AD0F55" w:rsidRPr="00C23944">
        <w:rPr>
          <w:rFonts w:ascii="Arial" w:hAnsi="Arial" w:cs="Arial"/>
          <w:sz w:val="20"/>
          <w:szCs w:val="20"/>
        </w:rPr>
        <w:t xml:space="preserve"> (2007)</w:t>
      </w:r>
      <w:r w:rsidR="0009270F">
        <w:rPr>
          <w:rFonts w:ascii="Arial" w:hAnsi="Arial" w:cs="Arial"/>
          <w:sz w:val="20"/>
          <w:szCs w:val="20"/>
        </w:rPr>
        <w:t>.</w:t>
      </w:r>
      <w:r w:rsidRPr="00C23944">
        <w:rPr>
          <w:rFonts w:ascii="Arial" w:hAnsi="Arial" w:cs="Arial"/>
          <w:sz w:val="20"/>
          <w:szCs w:val="20"/>
        </w:rPr>
        <w:t xml:space="preserve"> </w:t>
      </w:r>
      <w:r w:rsidR="0009270F">
        <w:rPr>
          <w:rFonts w:ascii="Arial" w:hAnsi="Arial" w:cs="Arial"/>
          <w:sz w:val="20"/>
          <w:szCs w:val="20"/>
        </w:rPr>
        <w:t>“</w:t>
      </w:r>
      <w:r w:rsidRPr="00C23944">
        <w:rPr>
          <w:rFonts w:ascii="Arial" w:hAnsi="Arial" w:cs="Arial"/>
          <w:sz w:val="20"/>
          <w:szCs w:val="20"/>
        </w:rPr>
        <w:t>EU-India Trade Pact Stumbles on Human Rights Rider</w:t>
      </w:r>
      <w:r w:rsidR="00CE7B5F" w:rsidRPr="00C23944">
        <w:rPr>
          <w:rFonts w:ascii="Arial" w:hAnsi="Arial" w:cs="Arial"/>
          <w:sz w:val="20"/>
          <w:szCs w:val="20"/>
        </w:rPr>
        <w:t>.</w:t>
      </w:r>
      <w:r w:rsidR="0009270F">
        <w:rPr>
          <w:rFonts w:ascii="Arial" w:hAnsi="Arial" w:cs="Arial"/>
          <w:sz w:val="20"/>
          <w:szCs w:val="20"/>
        </w:rPr>
        <w:t>”</w:t>
      </w:r>
      <w:r w:rsidRPr="00C23944">
        <w:rPr>
          <w:rFonts w:ascii="Arial" w:hAnsi="Arial" w:cs="Arial"/>
          <w:sz w:val="20"/>
          <w:szCs w:val="20"/>
        </w:rPr>
        <w:t xml:space="preserve"> </w:t>
      </w:r>
      <w:r w:rsidR="00326885" w:rsidRPr="00C23944">
        <w:rPr>
          <w:rFonts w:ascii="Arial" w:hAnsi="Arial" w:cs="Arial"/>
          <w:i/>
          <w:sz w:val="20"/>
          <w:szCs w:val="20"/>
        </w:rPr>
        <w:t xml:space="preserve">Financial Times, </w:t>
      </w:r>
      <w:r w:rsidR="00562599" w:rsidRPr="00C23944">
        <w:rPr>
          <w:rFonts w:ascii="Arial" w:hAnsi="Arial" w:cs="Arial"/>
          <w:sz w:val="20"/>
          <w:szCs w:val="20"/>
        </w:rPr>
        <w:t>5 March</w:t>
      </w:r>
      <w:r w:rsidR="001174E5" w:rsidRPr="00C23944">
        <w:rPr>
          <w:rFonts w:ascii="Arial" w:hAnsi="Arial" w:cs="Arial"/>
          <w:sz w:val="20"/>
          <w:szCs w:val="20"/>
        </w:rPr>
        <w:t>.</w:t>
      </w:r>
    </w:p>
    <w:p w14:paraId="1EBEA8E5" w14:textId="77777777" w:rsidR="00F267FE" w:rsidRPr="00C23944" w:rsidRDefault="00F267FE" w:rsidP="00CB782C">
      <w:pPr>
        <w:spacing w:line="480" w:lineRule="auto"/>
        <w:jc w:val="both"/>
        <w:rPr>
          <w:rFonts w:ascii="Arial" w:hAnsi="Arial" w:cs="Arial"/>
          <w:sz w:val="20"/>
          <w:szCs w:val="20"/>
        </w:rPr>
      </w:pPr>
    </w:p>
    <w:p w14:paraId="36934190" w14:textId="4490E25F" w:rsidR="00F267FE" w:rsidRPr="00C23944" w:rsidRDefault="00CE7B5F" w:rsidP="00CB782C">
      <w:pPr>
        <w:spacing w:line="480" w:lineRule="auto"/>
        <w:jc w:val="both"/>
        <w:rPr>
          <w:rFonts w:ascii="Arial" w:hAnsi="Arial" w:cs="Arial"/>
          <w:sz w:val="20"/>
          <w:szCs w:val="20"/>
        </w:rPr>
      </w:pPr>
      <w:r w:rsidRPr="00C23944">
        <w:rPr>
          <w:rFonts w:ascii="Arial" w:hAnsi="Arial" w:cs="Arial"/>
          <w:sz w:val="20"/>
          <w:szCs w:val="20"/>
        </w:rPr>
        <w:t>Jurje</w:t>
      </w:r>
      <w:r w:rsidR="002B5C7A">
        <w:rPr>
          <w:rFonts w:ascii="Arial" w:hAnsi="Arial" w:cs="Arial"/>
          <w:sz w:val="20"/>
          <w:szCs w:val="20"/>
        </w:rPr>
        <w:t>,</w:t>
      </w:r>
      <w:r w:rsidRPr="00C23944">
        <w:rPr>
          <w:rFonts w:ascii="Arial" w:hAnsi="Arial" w:cs="Arial"/>
          <w:sz w:val="20"/>
          <w:szCs w:val="20"/>
        </w:rPr>
        <w:t xml:space="preserve"> F</w:t>
      </w:r>
      <w:r w:rsidR="002B5C7A">
        <w:rPr>
          <w:rFonts w:ascii="Arial" w:hAnsi="Arial" w:cs="Arial"/>
          <w:sz w:val="20"/>
          <w:szCs w:val="20"/>
        </w:rPr>
        <w:t>lavia</w:t>
      </w:r>
      <w:r w:rsidRPr="00C23944">
        <w:rPr>
          <w:rFonts w:ascii="Arial" w:hAnsi="Arial" w:cs="Arial"/>
          <w:sz w:val="20"/>
          <w:szCs w:val="20"/>
        </w:rPr>
        <w:t xml:space="preserve"> and Lavenex</w:t>
      </w:r>
      <w:r w:rsidR="002B5C7A">
        <w:rPr>
          <w:rFonts w:ascii="Arial" w:hAnsi="Arial" w:cs="Arial"/>
          <w:sz w:val="20"/>
          <w:szCs w:val="20"/>
        </w:rPr>
        <w:t>,</w:t>
      </w:r>
      <w:r w:rsidRPr="00C23944">
        <w:rPr>
          <w:rFonts w:ascii="Arial" w:hAnsi="Arial" w:cs="Arial"/>
          <w:sz w:val="20"/>
          <w:szCs w:val="20"/>
        </w:rPr>
        <w:t xml:space="preserve"> S</w:t>
      </w:r>
      <w:r w:rsidR="002B5C7A">
        <w:rPr>
          <w:rFonts w:ascii="Arial" w:hAnsi="Arial" w:cs="Arial"/>
          <w:sz w:val="20"/>
          <w:szCs w:val="20"/>
        </w:rPr>
        <w:t>andra</w:t>
      </w:r>
      <w:r w:rsidRPr="00C23944">
        <w:rPr>
          <w:rFonts w:ascii="Arial" w:hAnsi="Arial" w:cs="Arial"/>
          <w:sz w:val="20"/>
          <w:szCs w:val="20"/>
        </w:rPr>
        <w:t xml:space="preserve"> (2014)</w:t>
      </w:r>
      <w:r w:rsidR="0009270F">
        <w:rPr>
          <w:rFonts w:ascii="Arial" w:hAnsi="Arial" w:cs="Arial"/>
          <w:sz w:val="20"/>
          <w:szCs w:val="20"/>
        </w:rPr>
        <w:t>.</w:t>
      </w:r>
      <w:r w:rsidRPr="00C23944">
        <w:rPr>
          <w:rFonts w:ascii="Arial" w:hAnsi="Arial" w:cs="Arial"/>
          <w:sz w:val="20"/>
          <w:szCs w:val="20"/>
        </w:rPr>
        <w:t xml:space="preserve"> </w:t>
      </w:r>
      <w:r w:rsidR="0009270F">
        <w:rPr>
          <w:rFonts w:ascii="Arial" w:hAnsi="Arial" w:cs="Arial"/>
          <w:sz w:val="20"/>
          <w:szCs w:val="20"/>
        </w:rPr>
        <w:t>“</w:t>
      </w:r>
      <w:r w:rsidR="00F267FE" w:rsidRPr="00C23944">
        <w:rPr>
          <w:rFonts w:ascii="Arial" w:hAnsi="Arial" w:cs="Arial"/>
          <w:sz w:val="20"/>
          <w:szCs w:val="20"/>
        </w:rPr>
        <w:t>Rising powers’ venue-shopping on international mobility</w:t>
      </w:r>
      <w:r w:rsidRPr="00C23944">
        <w:rPr>
          <w:rFonts w:ascii="Arial" w:hAnsi="Arial" w:cs="Arial"/>
          <w:sz w:val="20"/>
          <w:szCs w:val="20"/>
        </w:rPr>
        <w:t>.</w:t>
      </w:r>
      <w:r w:rsidR="0009270F">
        <w:rPr>
          <w:rFonts w:ascii="Arial" w:hAnsi="Arial" w:cs="Arial"/>
          <w:sz w:val="20"/>
          <w:szCs w:val="20"/>
        </w:rPr>
        <w:t>”</w:t>
      </w:r>
      <w:r w:rsidR="00F267FE" w:rsidRPr="00C23944">
        <w:rPr>
          <w:rFonts w:ascii="Arial" w:hAnsi="Arial" w:cs="Arial"/>
          <w:i/>
          <w:sz w:val="20"/>
          <w:szCs w:val="20"/>
        </w:rPr>
        <w:t xml:space="preserve"> </w:t>
      </w:r>
      <w:r w:rsidR="00F267FE" w:rsidRPr="0009270F">
        <w:rPr>
          <w:rFonts w:ascii="Arial" w:hAnsi="Arial" w:cs="Arial"/>
          <w:i/>
          <w:sz w:val="20"/>
          <w:szCs w:val="20"/>
        </w:rPr>
        <w:t>NCCR Working Paper</w:t>
      </w:r>
      <w:r w:rsidR="00F267FE" w:rsidRPr="00C23944">
        <w:rPr>
          <w:rFonts w:ascii="Arial" w:hAnsi="Arial" w:cs="Arial"/>
          <w:sz w:val="20"/>
          <w:szCs w:val="20"/>
        </w:rPr>
        <w:t xml:space="preserve"> No 2014/3</w:t>
      </w:r>
      <w:r w:rsidRPr="00C23944">
        <w:rPr>
          <w:rFonts w:ascii="Arial" w:hAnsi="Arial" w:cs="Arial"/>
          <w:sz w:val="20"/>
          <w:szCs w:val="20"/>
        </w:rPr>
        <w:t>.</w:t>
      </w:r>
      <w:r w:rsidR="00F267FE" w:rsidRPr="00C23944">
        <w:rPr>
          <w:rFonts w:ascii="Arial" w:hAnsi="Arial" w:cs="Arial"/>
          <w:sz w:val="20"/>
          <w:szCs w:val="20"/>
        </w:rPr>
        <w:t xml:space="preserve"> </w:t>
      </w:r>
      <w:r w:rsidR="009B7437" w:rsidRPr="00C23944">
        <w:rPr>
          <w:rFonts w:ascii="Arial" w:hAnsi="Arial" w:cs="Arial"/>
          <w:sz w:val="20"/>
          <w:szCs w:val="20"/>
        </w:rPr>
        <w:t xml:space="preserve">Berne: </w:t>
      </w:r>
      <w:r w:rsidR="00F267FE" w:rsidRPr="00C23944">
        <w:rPr>
          <w:rFonts w:ascii="Arial" w:hAnsi="Arial" w:cs="Arial"/>
          <w:sz w:val="20"/>
          <w:szCs w:val="20"/>
        </w:rPr>
        <w:t>Swiss National C</w:t>
      </w:r>
      <w:r w:rsidR="009B7437" w:rsidRPr="00C23944">
        <w:rPr>
          <w:rFonts w:ascii="Arial" w:hAnsi="Arial" w:cs="Arial"/>
          <w:sz w:val="20"/>
          <w:szCs w:val="20"/>
        </w:rPr>
        <w:t>entre of Competence in Research.</w:t>
      </w:r>
    </w:p>
    <w:p w14:paraId="7BC7FE67" w14:textId="77777777" w:rsidR="00F267FE" w:rsidRPr="00C23944" w:rsidRDefault="00F267FE" w:rsidP="00CB782C">
      <w:pPr>
        <w:spacing w:line="480" w:lineRule="auto"/>
        <w:jc w:val="both"/>
        <w:rPr>
          <w:rFonts w:ascii="Arial" w:hAnsi="Arial" w:cs="Arial"/>
          <w:sz w:val="20"/>
          <w:szCs w:val="20"/>
        </w:rPr>
      </w:pPr>
    </w:p>
    <w:p w14:paraId="58278FFC" w14:textId="330AFE4B" w:rsidR="00B832AF" w:rsidRPr="00C23944" w:rsidRDefault="00CE7B5F" w:rsidP="00CB782C">
      <w:pPr>
        <w:spacing w:line="480" w:lineRule="auto"/>
        <w:jc w:val="both"/>
        <w:rPr>
          <w:rFonts w:ascii="Arial" w:hAnsi="Arial" w:cs="Arial"/>
          <w:sz w:val="20"/>
          <w:szCs w:val="20"/>
        </w:rPr>
      </w:pPr>
      <w:r w:rsidRPr="00C23944">
        <w:rPr>
          <w:rFonts w:ascii="Arial" w:hAnsi="Arial" w:cs="Arial"/>
          <w:sz w:val="20"/>
          <w:szCs w:val="20"/>
        </w:rPr>
        <w:t>Khandekar</w:t>
      </w:r>
      <w:r w:rsidR="002B5C7A">
        <w:rPr>
          <w:rFonts w:ascii="Arial" w:hAnsi="Arial" w:cs="Arial"/>
          <w:sz w:val="20"/>
          <w:szCs w:val="20"/>
        </w:rPr>
        <w:t>,</w:t>
      </w:r>
      <w:r w:rsidRPr="00C23944">
        <w:rPr>
          <w:rFonts w:ascii="Arial" w:hAnsi="Arial" w:cs="Arial"/>
          <w:sz w:val="20"/>
          <w:szCs w:val="20"/>
        </w:rPr>
        <w:t xml:space="preserve"> G</w:t>
      </w:r>
      <w:r w:rsidR="002B5C7A">
        <w:rPr>
          <w:rFonts w:ascii="Arial" w:hAnsi="Arial" w:cs="Arial"/>
          <w:sz w:val="20"/>
          <w:szCs w:val="20"/>
        </w:rPr>
        <w:t>auri</w:t>
      </w:r>
      <w:r w:rsidRPr="00C23944">
        <w:rPr>
          <w:rFonts w:ascii="Arial" w:hAnsi="Arial" w:cs="Arial"/>
          <w:sz w:val="20"/>
          <w:szCs w:val="20"/>
        </w:rPr>
        <w:t xml:space="preserve"> (2012)</w:t>
      </w:r>
      <w:r w:rsidR="0099293B">
        <w:rPr>
          <w:rFonts w:ascii="Arial" w:hAnsi="Arial" w:cs="Arial"/>
          <w:sz w:val="20"/>
          <w:szCs w:val="20"/>
        </w:rPr>
        <w:t>.</w:t>
      </w:r>
      <w:r w:rsidRPr="00C23944">
        <w:rPr>
          <w:rFonts w:ascii="Arial" w:hAnsi="Arial" w:cs="Arial"/>
          <w:sz w:val="20"/>
          <w:szCs w:val="20"/>
        </w:rPr>
        <w:t xml:space="preserve"> </w:t>
      </w:r>
      <w:r w:rsidR="0009270F">
        <w:rPr>
          <w:rFonts w:ascii="Arial" w:hAnsi="Arial" w:cs="Arial"/>
          <w:sz w:val="20"/>
          <w:szCs w:val="20"/>
        </w:rPr>
        <w:t>“</w:t>
      </w:r>
      <w:r w:rsidR="00C55499" w:rsidRPr="00C23944">
        <w:rPr>
          <w:rFonts w:ascii="Arial" w:hAnsi="Arial" w:cs="Arial"/>
          <w:sz w:val="20"/>
          <w:szCs w:val="20"/>
        </w:rPr>
        <w:t xml:space="preserve">The </w:t>
      </w:r>
      <w:r w:rsidR="001174E5" w:rsidRPr="00C23944">
        <w:rPr>
          <w:rFonts w:ascii="Arial" w:hAnsi="Arial" w:cs="Arial"/>
          <w:sz w:val="20"/>
          <w:szCs w:val="20"/>
        </w:rPr>
        <w:t xml:space="preserve">EU-India </w:t>
      </w:r>
      <w:r w:rsidR="00C55499" w:rsidRPr="00C23944">
        <w:rPr>
          <w:rFonts w:ascii="Arial" w:hAnsi="Arial" w:cs="Arial"/>
          <w:sz w:val="20"/>
          <w:szCs w:val="20"/>
        </w:rPr>
        <w:t>Sum</w:t>
      </w:r>
      <w:r w:rsidRPr="00C23944">
        <w:rPr>
          <w:rFonts w:ascii="Arial" w:hAnsi="Arial" w:cs="Arial"/>
          <w:sz w:val="20"/>
          <w:szCs w:val="20"/>
        </w:rPr>
        <w:t>mit: On the Threshold of Change.</w:t>
      </w:r>
      <w:r w:rsidR="0009270F">
        <w:rPr>
          <w:rFonts w:ascii="Arial" w:hAnsi="Arial" w:cs="Arial"/>
          <w:sz w:val="20"/>
          <w:szCs w:val="20"/>
        </w:rPr>
        <w:t>”</w:t>
      </w:r>
      <w:r w:rsidRPr="00C23944">
        <w:rPr>
          <w:rFonts w:ascii="Arial" w:hAnsi="Arial" w:cs="Arial"/>
          <w:sz w:val="20"/>
          <w:szCs w:val="20"/>
        </w:rPr>
        <w:t xml:space="preserve"> ESP Policy Brief 1.</w:t>
      </w:r>
      <w:r w:rsidR="00C55499" w:rsidRPr="00C23944">
        <w:rPr>
          <w:rFonts w:ascii="Arial" w:hAnsi="Arial" w:cs="Arial"/>
          <w:sz w:val="20"/>
          <w:szCs w:val="20"/>
        </w:rPr>
        <w:t xml:space="preserve"> </w:t>
      </w:r>
      <w:r w:rsidR="001174E5" w:rsidRPr="00C23944">
        <w:rPr>
          <w:rFonts w:ascii="Arial" w:hAnsi="Arial" w:cs="Arial"/>
          <w:i/>
          <w:sz w:val="20"/>
          <w:szCs w:val="20"/>
        </w:rPr>
        <w:t xml:space="preserve">FRIDE </w:t>
      </w:r>
      <w:r w:rsidRPr="00C23944">
        <w:rPr>
          <w:rFonts w:ascii="Arial" w:hAnsi="Arial" w:cs="Arial"/>
          <w:sz w:val="20"/>
          <w:szCs w:val="20"/>
        </w:rPr>
        <w:t>10.</w:t>
      </w:r>
      <w:r w:rsidR="001174E5" w:rsidRPr="00C23944">
        <w:rPr>
          <w:rFonts w:ascii="Arial" w:hAnsi="Arial" w:cs="Arial"/>
          <w:sz w:val="20"/>
          <w:szCs w:val="20"/>
        </w:rPr>
        <w:t xml:space="preserve"> </w:t>
      </w:r>
      <w:r w:rsidR="00C55499" w:rsidRPr="00C23944">
        <w:rPr>
          <w:rFonts w:ascii="Arial" w:hAnsi="Arial" w:cs="Arial"/>
          <w:sz w:val="20"/>
          <w:szCs w:val="20"/>
        </w:rPr>
        <w:t>February</w:t>
      </w:r>
      <w:r w:rsidR="001174E5" w:rsidRPr="00C23944">
        <w:rPr>
          <w:rFonts w:ascii="Arial" w:hAnsi="Arial" w:cs="Arial"/>
          <w:sz w:val="20"/>
          <w:szCs w:val="20"/>
        </w:rPr>
        <w:t xml:space="preserve"> 2012.</w:t>
      </w:r>
    </w:p>
    <w:p w14:paraId="5974318A" w14:textId="77777777" w:rsidR="00C55499" w:rsidRPr="00C23944" w:rsidRDefault="00C55499" w:rsidP="00CB782C">
      <w:pPr>
        <w:spacing w:line="480" w:lineRule="auto"/>
        <w:jc w:val="both"/>
        <w:rPr>
          <w:rFonts w:ascii="Arial" w:hAnsi="Arial" w:cs="Arial"/>
          <w:sz w:val="20"/>
          <w:szCs w:val="20"/>
          <w:lang w:eastAsia="en-US"/>
        </w:rPr>
      </w:pPr>
    </w:p>
    <w:p w14:paraId="00CB8E4B" w14:textId="23B35F62" w:rsidR="0070522E" w:rsidRPr="00C23944" w:rsidRDefault="00CE7B5F" w:rsidP="00CB782C">
      <w:pPr>
        <w:spacing w:line="480" w:lineRule="auto"/>
        <w:jc w:val="both"/>
        <w:rPr>
          <w:rFonts w:ascii="Arial" w:hAnsi="Arial" w:cs="Arial"/>
          <w:sz w:val="20"/>
          <w:szCs w:val="20"/>
        </w:rPr>
      </w:pPr>
      <w:r w:rsidRPr="00C23944">
        <w:rPr>
          <w:rFonts w:ascii="Arial" w:hAnsi="Arial" w:cs="Arial"/>
          <w:sz w:val="20"/>
          <w:szCs w:val="20"/>
        </w:rPr>
        <w:t>Khandekar</w:t>
      </w:r>
      <w:r w:rsidR="002B5C7A">
        <w:rPr>
          <w:rFonts w:ascii="Arial" w:hAnsi="Arial" w:cs="Arial"/>
          <w:sz w:val="20"/>
          <w:szCs w:val="20"/>
        </w:rPr>
        <w:t>,</w:t>
      </w:r>
      <w:r w:rsidR="0070522E" w:rsidRPr="00C23944">
        <w:rPr>
          <w:rFonts w:ascii="Arial" w:hAnsi="Arial" w:cs="Arial"/>
          <w:sz w:val="20"/>
          <w:szCs w:val="20"/>
        </w:rPr>
        <w:t xml:space="preserve"> G</w:t>
      </w:r>
      <w:r w:rsidR="002B5C7A">
        <w:rPr>
          <w:rFonts w:ascii="Arial" w:hAnsi="Arial" w:cs="Arial"/>
          <w:sz w:val="20"/>
          <w:szCs w:val="20"/>
        </w:rPr>
        <w:t>auri</w:t>
      </w:r>
      <w:r w:rsidRPr="00C23944">
        <w:rPr>
          <w:rFonts w:ascii="Arial" w:hAnsi="Arial" w:cs="Arial"/>
          <w:sz w:val="20"/>
          <w:szCs w:val="20"/>
        </w:rPr>
        <w:t xml:space="preserve"> and Sengupta</w:t>
      </w:r>
      <w:r w:rsidR="002B5C7A">
        <w:rPr>
          <w:rFonts w:ascii="Arial" w:hAnsi="Arial" w:cs="Arial"/>
          <w:sz w:val="20"/>
          <w:szCs w:val="20"/>
        </w:rPr>
        <w:t>,</w:t>
      </w:r>
      <w:r w:rsidR="0070522E" w:rsidRPr="00C23944">
        <w:rPr>
          <w:rFonts w:ascii="Arial" w:hAnsi="Arial" w:cs="Arial"/>
          <w:sz w:val="20"/>
          <w:szCs w:val="20"/>
        </w:rPr>
        <w:t xml:space="preserve"> J</w:t>
      </w:r>
      <w:r w:rsidR="002B5C7A">
        <w:rPr>
          <w:rFonts w:ascii="Arial" w:hAnsi="Arial" w:cs="Arial"/>
          <w:sz w:val="20"/>
          <w:szCs w:val="20"/>
        </w:rPr>
        <w:t>ayshree</w:t>
      </w:r>
      <w:r w:rsidRPr="00C23944">
        <w:rPr>
          <w:rFonts w:ascii="Arial" w:hAnsi="Arial" w:cs="Arial"/>
          <w:sz w:val="20"/>
          <w:szCs w:val="20"/>
        </w:rPr>
        <w:t xml:space="preserve"> (2012)</w:t>
      </w:r>
      <w:r w:rsidR="0009270F">
        <w:rPr>
          <w:rFonts w:ascii="Arial" w:hAnsi="Arial" w:cs="Arial"/>
          <w:sz w:val="20"/>
          <w:szCs w:val="20"/>
        </w:rPr>
        <w:t>.</w:t>
      </w:r>
      <w:r w:rsidRPr="00C23944">
        <w:rPr>
          <w:rFonts w:ascii="Arial" w:hAnsi="Arial" w:cs="Arial"/>
          <w:sz w:val="20"/>
          <w:szCs w:val="20"/>
        </w:rPr>
        <w:t xml:space="preserve"> </w:t>
      </w:r>
      <w:r w:rsidR="0009270F">
        <w:rPr>
          <w:rFonts w:ascii="Arial" w:hAnsi="Arial" w:cs="Arial"/>
          <w:sz w:val="20"/>
          <w:szCs w:val="20"/>
        </w:rPr>
        <w:t>“</w:t>
      </w:r>
      <w:r w:rsidR="0070522E" w:rsidRPr="00C23944">
        <w:rPr>
          <w:rFonts w:ascii="Arial" w:hAnsi="Arial" w:cs="Arial"/>
          <w:sz w:val="20"/>
          <w:szCs w:val="20"/>
        </w:rPr>
        <w:t>EU-</w:t>
      </w:r>
      <w:r w:rsidRPr="00C23944">
        <w:rPr>
          <w:rFonts w:ascii="Arial" w:hAnsi="Arial" w:cs="Arial"/>
          <w:sz w:val="20"/>
          <w:szCs w:val="20"/>
        </w:rPr>
        <w:t>India free trade: make or brake.</w:t>
      </w:r>
      <w:r w:rsidR="0009270F">
        <w:rPr>
          <w:rFonts w:ascii="Arial" w:hAnsi="Arial" w:cs="Arial"/>
          <w:sz w:val="20"/>
          <w:szCs w:val="20"/>
        </w:rPr>
        <w:t>”</w:t>
      </w:r>
      <w:r w:rsidR="00326885" w:rsidRPr="00C23944">
        <w:rPr>
          <w:rFonts w:ascii="Arial" w:hAnsi="Arial" w:cs="Arial"/>
          <w:sz w:val="20"/>
          <w:szCs w:val="20"/>
        </w:rPr>
        <w:t xml:space="preserve"> </w:t>
      </w:r>
      <w:r w:rsidR="00326885" w:rsidRPr="00C23944">
        <w:rPr>
          <w:rFonts w:ascii="Arial" w:hAnsi="Arial" w:cs="Arial"/>
          <w:i/>
          <w:sz w:val="20"/>
          <w:szCs w:val="20"/>
        </w:rPr>
        <w:t>FRIDE</w:t>
      </w:r>
      <w:r w:rsidRPr="00C23944">
        <w:rPr>
          <w:rFonts w:ascii="Arial" w:hAnsi="Arial" w:cs="Arial"/>
          <w:i/>
          <w:sz w:val="20"/>
          <w:szCs w:val="20"/>
        </w:rPr>
        <w:t>.</w:t>
      </w:r>
      <w:r w:rsidR="00326885" w:rsidRPr="00C23944">
        <w:rPr>
          <w:rFonts w:ascii="Arial" w:hAnsi="Arial" w:cs="Arial"/>
          <w:i/>
          <w:sz w:val="20"/>
          <w:szCs w:val="20"/>
        </w:rPr>
        <w:t xml:space="preserve"> </w:t>
      </w:r>
      <w:r w:rsidRPr="00C23944">
        <w:rPr>
          <w:rFonts w:ascii="Arial" w:hAnsi="Arial" w:cs="Arial"/>
          <w:sz w:val="20"/>
          <w:szCs w:val="20"/>
        </w:rPr>
        <w:t>10</w:t>
      </w:r>
      <w:r w:rsidR="00643790" w:rsidRPr="00C23944">
        <w:rPr>
          <w:rFonts w:ascii="Arial" w:hAnsi="Arial" w:cs="Arial"/>
          <w:sz w:val="20"/>
          <w:szCs w:val="20"/>
        </w:rPr>
        <w:t xml:space="preserve"> June 2012</w:t>
      </w:r>
      <w:r w:rsidR="001174E5" w:rsidRPr="00C23944">
        <w:rPr>
          <w:rFonts w:ascii="Arial" w:hAnsi="Arial" w:cs="Arial"/>
          <w:sz w:val="20"/>
          <w:szCs w:val="20"/>
        </w:rPr>
        <w:t>.</w:t>
      </w:r>
    </w:p>
    <w:p w14:paraId="1C1E7B43" w14:textId="77777777" w:rsidR="002D36D8" w:rsidRPr="00C23944" w:rsidRDefault="002D36D8" w:rsidP="00CB782C">
      <w:pPr>
        <w:spacing w:line="480" w:lineRule="auto"/>
        <w:jc w:val="both"/>
        <w:rPr>
          <w:rFonts w:ascii="Arial" w:hAnsi="Arial" w:cs="Arial"/>
          <w:sz w:val="20"/>
          <w:szCs w:val="20"/>
        </w:rPr>
      </w:pPr>
    </w:p>
    <w:p w14:paraId="586B6CAA" w14:textId="5D89DFED" w:rsidR="002D36D8" w:rsidRPr="00C23944" w:rsidRDefault="00CE7B5F" w:rsidP="00CB782C">
      <w:pPr>
        <w:spacing w:line="480" w:lineRule="auto"/>
        <w:jc w:val="both"/>
        <w:rPr>
          <w:rFonts w:ascii="Arial" w:hAnsi="Arial" w:cs="Arial"/>
          <w:color w:val="000000"/>
          <w:sz w:val="20"/>
          <w:szCs w:val="20"/>
          <w:shd w:val="clear" w:color="auto" w:fill="FFFFFF"/>
        </w:rPr>
      </w:pPr>
      <w:r w:rsidRPr="00C23944">
        <w:rPr>
          <w:rFonts w:ascii="Arial" w:hAnsi="Arial" w:cs="Arial"/>
          <w:color w:val="000000"/>
          <w:sz w:val="20"/>
          <w:szCs w:val="20"/>
          <w:shd w:val="clear" w:color="auto" w:fill="FFFFFF"/>
        </w:rPr>
        <w:t>Khorana</w:t>
      </w:r>
      <w:r w:rsidR="002B5C7A">
        <w:rPr>
          <w:rFonts w:ascii="Arial" w:hAnsi="Arial" w:cs="Arial"/>
          <w:color w:val="000000"/>
          <w:sz w:val="20"/>
          <w:szCs w:val="20"/>
          <w:shd w:val="clear" w:color="auto" w:fill="FFFFFF"/>
        </w:rPr>
        <w:t>,</w:t>
      </w:r>
      <w:r w:rsidR="002D36D8" w:rsidRPr="00C23944">
        <w:rPr>
          <w:rFonts w:ascii="Arial" w:hAnsi="Arial" w:cs="Arial"/>
          <w:color w:val="000000"/>
          <w:sz w:val="20"/>
          <w:szCs w:val="20"/>
          <w:shd w:val="clear" w:color="auto" w:fill="FFFFFF"/>
        </w:rPr>
        <w:t xml:space="preserve"> S</w:t>
      </w:r>
      <w:r w:rsidR="002B5C7A">
        <w:rPr>
          <w:rFonts w:ascii="Arial" w:hAnsi="Arial" w:cs="Arial"/>
          <w:color w:val="000000"/>
          <w:sz w:val="20"/>
          <w:szCs w:val="20"/>
          <w:shd w:val="clear" w:color="auto" w:fill="FFFFFF"/>
        </w:rPr>
        <w:t>angeeta</w:t>
      </w:r>
      <w:r w:rsidR="00547911" w:rsidRPr="00C23944">
        <w:rPr>
          <w:rFonts w:ascii="Arial" w:hAnsi="Arial" w:cs="Arial"/>
          <w:color w:val="000000"/>
          <w:sz w:val="20"/>
          <w:szCs w:val="20"/>
          <w:shd w:val="clear" w:color="auto" w:fill="FFFFFF"/>
        </w:rPr>
        <w:t xml:space="preserve"> </w:t>
      </w:r>
      <w:r w:rsidRPr="00C23944">
        <w:rPr>
          <w:rFonts w:ascii="Arial" w:hAnsi="Arial" w:cs="Arial"/>
          <w:color w:val="000000"/>
          <w:sz w:val="20"/>
          <w:szCs w:val="20"/>
          <w:shd w:val="clear" w:color="auto" w:fill="FFFFFF"/>
        </w:rPr>
        <w:t>and Garcia</w:t>
      </w:r>
      <w:r w:rsidR="002B5C7A">
        <w:rPr>
          <w:rFonts w:ascii="Arial" w:hAnsi="Arial" w:cs="Arial"/>
          <w:color w:val="000000"/>
          <w:sz w:val="20"/>
          <w:szCs w:val="20"/>
          <w:shd w:val="clear" w:color="auto" w:fill="FFFFFF"/>
        </w:rPr>
        <w:t>,</w:t>
      </w:r>
      <w:r w:rsidR="002D36D8" w:rsidRPr="00C23944">
        <w:rPr>
          <w:rFonts w:ascii="Arial" w:hAnsi="Arial" w:cs="Arial"/>
          <w:color w:val="000000"/>
          <w:sz w:val="20"/>
          <w:szCs w:val="20"/>
          <w:shd w:val="clear" w:color="auto" w:fill="FFFFFF"/>
        </w:rPr>
        <w:t xml:space="preserve"> M</w:t>
      </w:r>
      <w:r w:rsidR="002B5C7A">
        <w:rPr>
          <w:rFonts w:ascii="Arial" w:hAnsi="Arial" w:cs="Arial"/>
          <w:color w:val="000000"/>
          <w:sz w:val="20"/>
          <w:szCs w:val="20"/>
          <w:shd w:val="clear" w:color="auto" w:fill="FFFFFF"/>
        </w:rPr>
        <w:t>aria</w:t>
      </w:r>
      <w:r w:rsidR="002D36D8" w:rsidRPr="00C23944">
        <w:rPr>
          <w:rFonts w:ascii="Arial" w:hAnsi="Arial" w:cs="Arial"/>
          <w:color w:val="000000"/>
          <w:sz w:val="20"/>
          <w:szCs w:val="20"/>
          <w:shd w:val="clear" w:color="auto" w:fill="FFFFFF"/>
        </w:rPr>
        <w:t xml:space="preserve"> (2013)</w:t>
      </w:r>
      <w:r w:rsidR="0009270F">
        <w:rPr>
          <w:rFonts w:ascii="Arial" w:hAnsi="Arial" w:cs="Arial"/>
          <w:color w:val="000000"/>
          <w:sz w:val="20"/>
          <w:szCs w:val="20"/>
          <w:shd w:val="clear" w:color="auto" w:fill="FFFFFF"/>
        </w:rPr>
        <w:t>.</w:t>
      </w:r>
      <w:r w:rsidR="002D36D8" w:rsidRPr="00C23944">
        <w:rPr>
          <w:rFonts w:ascii="Arial" w:hAnsi="Arial" w:cs="Arial"/>
          <w:color w:val="000000"/>
          <w:sz w:val="20"/>
          <w:szCs w:val="20"/>
          <w:shd w:val="clear" w:color="auto" w:fill="FFFFFF"/>
        </w:rPr>
        <w:t xml:space="preserve"> </w:t>
      </w:r>
      <w:r w:rsidR="0009270F">
        <w:rPr>
          <w:rFonts w:ascii="Arial" w:hAnsi="Arial" w:cs="Arial"/>
          <w:color w:val="000000"/>
          <w:sz w:val="20"/>
          <w:szCs w:val="20"/>
          <w:shd w:val="clear" w:color="auto" w:fill="FFFFFF"/>
        </w:rPr>
        <w:t>“</w:t>
      </w:r>
      <w:r w:rsidR="002D36D8" w:rsidRPr="00C23944">
        <w:rPr>
          <w:rFonts w:ascii="Arial" w:hAnsi="Arial" w:cs="Arial"/>
          <w:color w:val="000000"/>
          <w:sz w:val="20"/>
          <w:szCs w:val="20"/>
          <w:shd w:val="clear" w:color="auto" w:fill="FFFFFF"/>
        </w:rPr>
        <w:t>European Union–India Trade Negotiations: One Step Forward, One Back?</w:t>
      </w:r>
      <w:r w:rsidRPr="00C23944">
        <w:rPr>
          <w:rFonts w:ascii="Arial" w:hAnsi="Arial" w:cs="Arial"/>
          <w:color w:val="000000"/>
          <w:sz w:val="20"/>
          <w:szCs w:val="20"/>
          <w:shd w:val="clear" w:color="auto" w:fill="FFFFFF"/>
        </w:rPr>
        <w:t>.</w:t>
      </w:r>
      <w:r w:rsidR="0009270F">
        <w:rPr>
          <w:rFonts w:ascii="Arial" w:hAnsi="Arial" w:cs="Arial"/>
          <w:color w:val="000000"/>
          <w:sz w:val="20"/>
          <w:szCs w:val="20"/>
          <w:shd w:val="clear" w:color="auto" w:fill="FFFFFF"/>
        </w:rPr>
        <w:t>”</w:t>
      </w:r>
      <w:r w:rsidR="002D36D8" w:rsidRPr="00C23944">
        <w:rPr>
          <w:rFonts w:ascii="Arial" w:hAnsi="Arial" w:cs="Arial"/>
          <w:color w:val="000000"/>
          <w:sz w:val="20"/>
          <w:szCs w:val="20"/>
          <w:shd w:val="clear" w:color="auto" w:fill="FFFFFF"/>
        </w:rPr>
        <w:t xml:space="preserve"> </w:t>
      </w:r>
      <w:r w:rsidR="002D36D8" w:rsidRPr="00C23944">
        <w:rPr>
          <w:rFonts w:ascii="Arial" w:hAnsi="Arial" w:cs="Arial"/>
          <w:i/>
          <w:color w:val="000000"/>
          <w:sz w:val="20"/>
          <w:szCs w:val="20"/>
          <w:shd w:val="clear" w:color="auto" w:fill="FFFFFF"/>
        </w:rPr>
        <w:t xml:space="preserve">Journal of Common Market Studies </w:t>
      </w:r>
      <w:r w:rsidR="001174E5" w:rsidRPr="00C23944">
        <w:rPr>
          <w:rFonts w:ascii="Arial" w:hAnsi="Arial" w:cs="Arial"/>
          <w:color w:val="000000"/>
          <w:sz w:val="20"/>
          <w:szCs w:val="20"/>
          <w:shd w:val="clear" w:color="auto" w:fill="FFFFFF"/>
        </w:rPr>
        <w:t>51</w:t>
      </w:r>
      <w:r w:rsidR="00BD0B99">
        <w:rPr>
          <w:rFonts w:ascii="Arial" w:hAnsi="Arial" w:cs="Arial"/>
          <w:color w:val="000000"/>
          <w:sz w:val="20"/>
          <w:szCs w:val="20"/>
          <w:shd w:val="clear" w:color="auto" w:fill="FFFFFF"/>
        </w:rPr>
        <w:t xml:space="preserve">, </w:t>
      </w:r>
      <w:r w:rsidR="00643790" w:rsidRPr="00C23944">
        <w:rPr>
          <w:rFonts w:ascii="Arial" w:hAnsi="Arial" w:cs="Arial"/>
          <w:color w:val="000000"/>
          <w:sz w:val="20"/>
          <w:szCs w:val="20"/>
          <w:shd w:val="clear" w:color="auto" w:fill="FFFFFF"/>
        </w:rPr>
        <w:t>4: 684-700</w:t>
      </w:r>
      <w:r w:rsidR="001174E5" w:rsidRPr="00C23944">
        <w:rPr>
          <w:rFonts w:ascii="Arial" w:hAnsi="Arial" w:cs="Arial"/>
          <w:color w:val="000000"/>
          <w:sz w:val="20"/>
          <w:szCs w:val="20"/>
          <w:shd w:val="clear" w:color="auto" w:fill="FFFFFF"/>
        </w:rPr>
        <w:t>.</w:t>
      </w:r>
    </w:p>
    <w:p w14:paraId="2C34AB5C" w14:textId="77777777" w:rsidR="00643790" w:rsidRPr="00C23944" w:rsidRDefault="00643790" w:rsidP="00CB782C">
      <w:pPr>
        <w:spacing w:line="480" w:lineRule="auto"/>
        <w:jc w:val="both"/>
        <w:rPr>
          <w:rFonts w:ascii="Arial" w:hAnsi="Arial" w:cs="Arial"/>
          <w:sz w:val="20"/>
          <w:szCs w:val="20"/>
        </w:rPr>
      </w:pPr>
    </w:p>
    <w:p w14:paraId="7B9EB24C" w14:textId="159A33D2" w:rsidR="002D36D8" w:rsidRPr="00C23944" w:rsidRDefault="00CE7B5F" w:rsidP="00CB782C">
      <w:pPr>
        <w:spacing w:line="480" w:lineRule="auto"/>
        <w:jc w:val="both"/>
        <w:rPr>
          <w:rFonts w:ascii="Arial" w:hAnsi="Arial" w:cs="Arial"/>
          <w:sz w:val="20"/>
          <w:szCs w:val="20"/>
        </w:rPr>
      </w:pPr>
      <w:r w:rsidRPr="00C23944">
        <w:rPr>
          <w:rFonts w:ascii="Arial" w:hAnsi="Arial" w:cs="Arial"/>
          <w:sz w:val="20"/>
          <w:szCs w:val="20"/>
        </w:rPr>
        <w:t>Khorana</w:t>
      </w:r>
      <w:r w:rsidR="002B5C7A">
        <w:rPr>
          <w:rFonts w:ascii="Arial" w:hAnsi="Arial" w:cs="Arial"/>
          <w:sz w:val="20"/>
          <w:szCs w:val="20"/>
        </w:rPr>
        <w:t>,</w:t>
      </w:r>
      <w:r w:rsidR="002D36D8" w:rsidRPr="00C23944">
        <w:rPr>
          <w:rFonts w:ascii="Arial" w:hAnsi="Arial" w:cs="Arial"/>
          <w:sz w:val="20"/>
          <w:szCs w:val="20"/>
        </w:rPr>
        <w:t xml:space="preserve"> S</w:t>
      </w:r>
      <w:r w:rsidR="002B5C7A">
        <w:rPr>
          <w:rFonts w:ascii="Arial" w:hAnsi="Arial" w:cs="Arial"/>
          <w:sz w:val="20"/>
          <w:szCs w:val="20"/>
        </w:rPr>
        <w:t>angeeta;</w:t>
      </w:r>
      <w:r w:rsidR="00547911" w:rsidRPr="00C23944">
        <w:rPr>
          <w:rFonts w:ascii="Arial" w:hAnsi="Arial" w:cs="Arial"/>
          <w:sz w:val="20"/>
          <w:szCs w:val="20"/>
        </w:rPr>
        <w:t xml:space="preserve"> </w:t>
      </w:r>
      <w:r w:rsidRPr="00C23944">
        <w:rPr>
          <w:rFonts w:ascii="Arial" w:hAnsi="Arial" w:cs="Arial"/>
          <w:sz w:val="20"/>
          <w:szCs w:val="20"/>
        </w:rPr>
        <w:t>Perdikis</w:t>
      </w:r>
      <w:r w:rsidR="002D36D8" w:rsidRPr="00C23944">
        <w:rPr>
          <w:rFonts w:ascii="Arial" w:hAnsi="Arial" w:cs="Arial"/>
          <w:sz w:val="20"/>
          <w:szCs w:val="20"/>
        </w:rPr>
        <w:t xml:space="preserve"> N</w:t>
      </w:r>
      <w:r w:rsidR="003D0236">
        <w:rPr>
          <w:rFonts w:ascii="Arial" w:hAnsi="Arial" w:cs="Arial"/>
          <w:sz w:val="20"/>
          <w:szCs w:val="20"/>
        </w:rPr>
        <w:t xml:space="preserve">icholas; </w:t>
      </w:r>
      <w:r w:rsidRPr="00C23944">
        <w:rPr>
          <w:rFonts w:ascii="Arial" w:hAnsi="Arial" w:cs="Arial"/>
          <w:sz w:val="20"/>
          <w:szCs w:val="20"/>
        </w:rPr>
        <w:t>Yeung</w:t>
      </w:r>
      <w:r w:rsidR="003D0236">
        <w:rPr>
          <w:rFonts w:ascii="Arial" w:hAnsi="Arial" w:cs="Arial"/>
          <w:sz w:val="20"/>
          <w:szCs w:val="20"/>
        </w:rPr>
        <w:t>,</w:t>
      </w:r>
      <w:r w:rsidR="002D36D8" w:rsidRPr="00C23944">
        <w:rPr>
          <w:rFonts w:ascii="Arial" w:hAnsi="Arial" w:cs="Arial"/>
          <w:sz w:val="20"/>
          <w:szCs w:val="20"/>
        </w:rPr>
        <w:t xml:space="preserve"> May</w:t>
      </w:r>
      <w:r w:rsidR="00547911" w:rsidRPr="00C23944">
        <w:rPr>
          <w:rFonts w:ascii="Arial" w:hAnsi="Arial" w:cs="Arial"/>
          <w:sz w:val="20"/>
          <w:szCs w:val="20"/>
        </w:rPr>
        <w:t xml:space="preserve"> T</w:t>
      </w:r>
      <w:r w:rsidR="003D0236">
        <w:rPr>
          <w:rFonts w:ascii="Arial" w:hAnsi="Arial" w:cs="Arial"/>
          <w:sz w:val="20"/>
          <w:szCs w:val="20"/>
        </w:rPr>
        <w:t xml:space="preserve">. </w:t>
      </w:r>
      <w:r w:rsidRPr="00C23944">
        <w:rPr>
          <w:rFonts w:ascii="Arial" w:hAnsi="Arial" w:cs="Arial"/>
          <w:sz w:val="20"/>
          <w:szCs w:val="20"/>
        </w:rPr>
        <w:t>and Kerr</w:t>
      </w:r>
      <w:r w:rsidR="003D0236">
        <w:rPr>
          <w:rFonts w:ascii="Arial" w:hAnsi="Arial" w:cs="Arial"/>
          <w:sz w:val="20"/>
          <w:szCs w:val="20"/>
        </w:rPr>
        <w:t>, William A.</w:t>
      </w:r>
      <w:r w:rsidR="00547911" w:rsidRPr="00C23944">
        <w:rPr>
          <w:rFonts w:ascii="Arial" w:hAnsi="Arial" w:cs="Arial"/>
          <w:sz w:val="20"/>
          <w:szCs w:val="20"/>
        </w:rPr>
        <w:t xml:space="preserve"> (2010)</w:t>
      </w:r>
      <w:r w:rsidR="0009270F">
        <w:rPr>
          <w:rFonts w:ascii="Arial" w:hAnsi="Arial" w:cs="Arial"/>
          <w:sz w:val="20"/>
          <w:szCs w:val="20"/>
        </w:rPr>
        <w:t>.</w:t>
      </w:r>
      <w:r w:rsidR="002D36D8" w:rsidRPr="00C23944">
        <w:rPr>
          <w:rFonts w:ascii="Arial" w:hAnsi="Arial" w:cs="Arial"/>
          <w:sz w:val="20"/>
          <w:szCs w:val="20"/>
        </w:rPr>
        <w:t xml:space="preserve"> </w:t>
      </w:r>
      <w:r w:rsidR="002D36D8" w:rsidRPr="00C23944">
        <w:rPr>
          <w:rFonts w:ascii="Arial" w:hAnsi="Arial" w:cs="Arial"/>
          <w:i/>
          <w:sz w:val="20"/>
          <w:szCs w:val="20"/>
        </w:rPr>
        <w:t>Bilateral Trade Agreements in the Era of Globalization: The EU and India in Search of a Partnership</w:t>
      </w:r>
      <w:r w:rsidRPr="00C23944">
        <w:rPr>
          <w:rFonts w:ascii="Arial" w:hAnsi="Arial" w:cs="Arial"/>
          <w:i/>
          <w:sz w:val="20"/>
          <w:szCs w:val="20"/>
        </w:rPr>
        <w:t>.</w:t>
      </w:r>
      <w:r w:rsidR="002D36D8" w:rsidRPr="00C23944">
        <w:rPr>
          <w:rFonts w:ascii="Arial" w:hAnsi="Arial" w:cs="Arial"/>
          <w:i/>
          <w:sz w:val="20"/>
          <w:szCs w:val="20"/>
        </w:rPr>
        <w:t xml:space="preserve"> </w:t>
      </w:r>
      <w:r w:rsidR="001174E5" w:rsidRPr="00C23944">
        <w:rPr>
          <w:rFonts w:ascii="Arial" w:hAnsi="Arial" w:cs="Arial"/>
          <w:sz w:val="20"/>
          <w:szCs w:val="20"/>
        </w:rPr>
        <w:t>Cheltenham: Edward Elgar.</w:t>
      </w:r>
    </w:p>
    <w:p w14:paraId="4FABCED2" w14:textId="77777777" w:rsidR="001174E5" w:rsidRPr="00C23944" w:rsidRDefault="001174E5" w:rsidP="00CB782C">
      <w:pPr>
        <w:spacing w:line="480" w:lineRule="auto"/>
        <w:jc w:val="both"/>
        <w:rPr>
          <w:rFonts w:ascii="Arial" w:hAnsi="Arial" w:cs="Arial"/>
          <w:sz w:val="20"/>
          <w:szCs w:val="20"/>
        </w:rPr>
      </w:pPr>
    </w:p>
    <w:p w14:paraId="096D14B2" w14:textId="6598609F" w:rsidR="002D36D8" w:rsidRDefault="00CE7B5F" w:rsidP="00CB782C">
      <w:pPr>
        <w:spacing w:line="480" w:lineRule="auto"/>
        <w:jc w:val="both"/>
        <w:rPr>
          <w:rFonts w:ascii="Arial" w:hAnsi="Arial" w:cs="Arial"/>
          <w:sz w:val="20"/>
          <w:szCs w:val="20"/>
        </w:rPr>
      </w:pPr>
      <w:r w:rsidRPr="00C23944">
        <w:rPr>
          <w:rFonts w:ascii="Arial" w:hAnsi="Arial" w:cs="Arial"/>
          <w:sz w:val="20"/>
          <w:szCs w:val="20"/>
        </w:rPr>
        <w:t>Kleimann</w:t>
      </w:r>
      <w:r w:rsidR="003D0236">
        <w:rPr>
          <w:rFonts w:ascii="Arial" w:hAnsi="Arial" w:cs="Arial"/>
          <w:sz w:val="20"/>
          <w:szCs w:val="20"/>
        </w:rPr>
        <w:t>,</w:t>
      </w:r>
      <w:r w:rsidRPr="00C23944">
        <w:rPr>
          <w:rFonts w:ascii="Arial" w:hAnsi="Arial" w:cs="Arial"/>
          <w:sz w:val="20"/>
          <w:szCs w:val="20"/>
        </w:rPr>
        <w:t xml:space="preserve"> D</w:t>
      </w:r>
      <w:r w:rsidR="003D0236">
        <w:rPr>
          <w:rFonts w:ascii="Arial" w:hAnsi="Arial" w:cs="Arial"/>
          <w:sz w:val="20"/>
          <w:szCs w:val="20"/>
        </w:rPr>
        <w:t>avid</w:t>
      </w:r>
      <w:r w:rsidR="00547911" w:rsidRPr="00C23944">
        <w:rPr>
          <w:rFonts w:ascii="Arial" w:hAnsi="Arial" w:cs="Arial"/>
          <w:sz w:val="20"/>
          <w:szCs w:val="20"/>
        </w:rPr>
        <w:t xml:space="preserve"> (2011)</w:t>
      </w:r>
      <w:r w:rsidR="0009270F">
        <w:rPr>
          <w:rFonts w:ascii="Arial" w:hAnsi="Arial" w:cs="Arial"/>
          <w:sz w:val="20"/>
          <w:szCs w:val="20"/>
        </w:rPr>
        <w:t>.</w:t>
      </w:r>
      <w:r w:rsidR="002D36D8" w:rsidRPr="00C23944">
        <w:rPr>
          <w:rFonts w:ascii="Arial" w:hAnsi="Arial" w:cs="Arial"/>
          <w:sz w:val="20"/>
          <w:szCs w:val="20"/>
        </w:rPr>
        <w:t xml:space="preserve"> </w:t>
      </w:r>
      <w:r w:rsidR="0009270F">
        <w:rPr>
          <w:rFonts w:ascii="Arial" w:hAnsi="Arial" w:cs="Arial"/>
          <w:sz w:val="20"/>
          <w:szCs w:val="20"/>
        </w:rPr>
        <w:t>“</w:t>
      </w:r>
      <w:r w:rsidR="002D36D8" w:rsidRPr="00C23944">
        <w:rPr>
          <w:rFonts w:ascii="Arial" w:hAnsi="Arial" w:cs="Arial"/>
          <w:sz w:val="20"/>
          <w:szCs w:val="20"/>
        </w:rPr>
        <w:t>Taking Stock: EU Common Commercial Policy in the Lisbon Era</w:t>
      </w:r>
      <w:r w:rsidR="007E1764" w:rsidRPr="00C23944">
        <w:rPr>
          <w:rFonts w:ascii="Arial" w:hAnsi="Arial" w:cs="Arial"/>
          <w:sz w:val="20"/>
          <w:szCs w:val="20"/>
        </w:rPr>
        <w:t>.</w:t>
      </w:r>
      <w:r w:rsidR="0009270F">
        <w:rPr>
          <w:rFonts w:ascii="Arial" w:hAnsi="Arial" w:cs="Arial"/>
          <w:sz w:val="20"/>
          <w:szCs w:val="20"/>
        </w:rPr>
        <w:t>”</w:t>
      </w:r>
      <w:r w:rsidR="002D36D8" w:rsidRPr="00C23944">
        <w:rPr>
          <w:rFonts w:ascii="Arial" w:hAnsi="Arial" w:cs="Arial"/>
          <w:sz w:val="20"/>
          <w:szCs w:val="20"/>
        </w:rPr>
        <w:t xml:space="preserve"> </w:t>
      </w:r>
      <w:r w:rsidR="002D36D8" w:rsidRPr="00C23944">
        <w:rPr>
          <w:rFonts w:ascii="Arial" w:hAnsi="Arial" w:cs="Arial"/>
          <w:i/>
          <w:sz w:val="20"/>
          <w:szCs w:val="20"/>
        </w:rPr>
        <w:t xml:space="preserve">CEPS Working Document </w:t>
      </w:r>
      <w:r w:rsidR="007E1764" w:rsidRPr="00C23944">
        <w:rPr>
          <w:rFonts w:ascii="Arial" w:hAnsi="Arial" w:cs="Arial"/>
          <w:sz w:val="20"/>
          <w:szCs w:val="20"/>
        </w:rPr>
        <w:t>no. 346.</w:t>
      </w:r>
      <w:r w:rsidR="001174E5" w:rsidRPr="00C23944">
        <w:rPr>
          <w:rFonts w:ascii="Arial" w:hAnsi="Arial" w:cs="Arial"/>
          <w:sz w:val="20"/>
          <w:szCs w:val="20"/>
        </w:rPr>
        <w:t xml:space="preserve"> </w:t>
      </w:r>
      <w:r w:rsidR="002D36D8" w:rsidRPr="00C23944">
        <w:rPr>
          <w:rFonts w:ascii="Arial" w:hAnsi="Arial" w:cs="Arial"/>
          <w:sz w:val="20"/>
          <w:szCs w:val="20"/>
        </w:rPr>
        <w:t>Brussels: Cen</w:t>
      </w:r>
      <w:r w:rsidR="001174E5" w:rsidRPr="00C23944">
        <w:rPr>
          <w:rFonts w:ascii="Arial" w:hAnsi="Arial" w:cs="Arial"/>
          <w:sz w:val="20"/>
          <w:szCs w:val="20"/>
        </w:rPr>
        <w:t>tre for European Policy Studies</w:t>
      </w:r>
      <w:r w:rsidR="00FE1367" w:rsidRPr="00C23944">
        <w:rPr>
          <w:rFonts w:ascii="Arial" w:hAnsi="Arial" w:cs="Arial"/>
          <w:sz w:val="20"/>
          <w:szCs w:val="20"/>
        </w:rPr>
        <w:t>.</w:t>
      </w:r>
    </w:p>
    <w:p w14:paraId="08587ACF" w14:textId="77777777" w:rsidR="00B12618" w:rsidRDefault="00B12618" w:rsidP="00CB782C">
      <w:pPr>
        <w:spacing w:line="480" w:lineRule="auto"/>
        <w:jc w:val="both"/>
        <w:rPr>
          <w:rFonts w:ascii="Arial" w:hAnsi="Arial" w:cs="Arial"/>
          <w:sz w:val="20"/>
          <w:szCs w:val="20"/>
        </w:rPr>
      </w:pPr>
    </w:p>
    <w:p w14:paraId="41A20BF2" w14:textId="024CB9C5" w:rsidR="005D5486" w:rsidRPr="0070106F" w:rsidRDefault="00B12618" w:rsidP="00CB782C">
      <w:pPr>
        <w:spacing w:line="480" w:lineRule="auto"/>
        <w:jc w:val="both"/>
        <w:rPr>
          <w:rFonts w:ascii="Arial" w:hAnsi="Arial" w:cs="Arial"/>
          <w:sz w:val="20"/>
          <w:szCs w:val="20"/>
        </w:rPr>
      </w:pPr>
      <w:r>
        <w:rPr>
          <w:rFonts w:ascii="Arial" w:hAnsi="Arial" w:cs="Arial"/>
          <w:sz w:val="20"/>
          <w:szCs w:val="20"/>
        </w:rPr>
        <w:t xml:space="preserve">Koivasulo, Meri and Watt, Nicola (2014). “Policy space for health in the context of emerging European trade policies” in Michael Freeman; Sarah Hawkes and Belinda Bennett, editors, </w:t>
      </w:r>
      <w:r w:rsidR="005D5486">
        <w:rPr>
          <w:rFonts w:ascii="Arial" w:hAnsi="Arial" w:cs="Arial"/>
          <w:i/>
          <w:sz w:val="20"/>
          <w:szCs w:val="20"/>
        </w:rPr>
        <w:t>Law and Global Health: Current and Legal Issues</w:t>
      </w:r>
      <w:r>
        <w:rPr>
          <w:rFonts w:ascii="Arial" w:hAnsi="Arial" w:cs="Arial"/>
          <w:i/>
          <w:sz w:val="20"/>
          <w:szCs w:val="20"/>
        </w:rPr>
        <w:t xml:space="preserve">. </w:t>
      </w:r>
      <w:r>
        <w:rPr>
          <w:rFonts w:ascii="Arial" w:hAnsi="Arial" w:cs="Arial"/>
          <w:sz w:val="20"/>
          <w:szCs w:val="20"/>
        </w:rPr>
        <w:t>Oxford: Oxford University Press.</w:t>
      </w:r>
    </w:p>
    <w:p w14:paraId="38BFA62A" w14:textId="77777777" w:rsidR="00B751F7" w:rsidRPr="00C23944" w:rsidRDefault="00B751F7" w:rsidP="00CB782C">
      <w:pPr>
        <w:spacing w:line="480" w:lineRule="auto"/>
        <w:jc w:val="both"/>
        <w:rPr>
          <w:rFonts w:ascii="Arial" w:hAnsi="Arial" w:cs="Arial"/>
          <w:sz w:val="20"/>
          <w:szCs w:val="20"/>
        </w:rPr>
      </w:pPr>
    </w:p>
    <w:p w14:paraId="2B566742" w14:textId="7ABD472E" w:rsidR="000101E9" w:rsidRPr="00C23944" w:rsidRDefault="007E1764" w:rsidP="00CB782C">
      <w:pPr>
        <w:spacing w:line="480" w:lineRule="auto"/>
        <w:jc w:val="both"/>
        <w:rPr>
          <w:rFonts w:ascii="Arial" w:hAnsi="Arial" w:cs="Arial"/>
          <w:sz w:val="20"/>
          <w:szCs w:val="20"/>
        </w:rPr>
      </w:pPr>
      <w:r w:rsidRPr="00C23944">
        <w:rPr>
          <w:rFonts w:ascii="Arial" w:hAnsi="Arial" w:cs="Arial"/>
          <w:sz w:val="20"/>
          <w:szCs w:val="20"/>
        </w:rPr>
        <w:t>Leeg</w:t>
      </w:r>
      <w:r w:rsidR="003D0236">
        <w:rPr>
          <w:rFonts w:ascii="Arial" w:hAnsi="Arial" w:cs="Arial"/>
          <w:sz w:val="20"/>
          <w:szCs w:val="20"/>
        </w:rPr>
        <w:t>,</w:t>
      </w:r>
      <w:r w:rsidRPr="00C23944">
        <w:rPr>
          <w:rFonts w:ascii="Arial" w:hAnsi="Arial" w:cs="Arial"/>
          <w:sz w:val="20"/>
          <w:szCs w:val="20"/>
        </w:rPr>
        <w:t xml:space="preserve"> T</w:t>
      </w:r>
      <w:r w:rsidR="003D0236">
        <w:rPr>
          <w:rFonts w:ascii="Arial" w:hAnsi="Arial" w:cs="Arial"/>
          <w:sz w:val="20"/>
          <w:szCs w:val="20"/>
        </w:rPr>
        <w:t>obias</w:t>
      </w:r>
      <w:r w:rsidRPr="00C23944">
        <w:rPr>
          <w:rFonts w:ascii="Arial" w:hAnsi="Arial" w:cs="Arial"/>
          <w:sz w:val="20"/>
          <w:szCs w:val="20"/>
        </w:rPr>
        <w:t xml:space="preserve"> (2014)</w:t>
      </w:r>
      <w:r w:rsidR="0009270F">
        <w:rPr>
          <w:rFonts w:ascii="Arial" w:hAnsi="Arial" w:cs="Arial"/>
          <w:sz w:val="20"/>
          <w:szCs w:val="20"/>
        </w:rPr>
        <w:t>.</w:t>
      </w:r>
      <w:r w:rsidRPr="00C23944">
        <w:rPr>
          <w:rFonts w:ascii="Arial" w:hAnsi="Arial" w:cs="Arial"/>
          <w:sz w:val="20"/>
          <w:szCs w:val="20"/>
        </w:rPr>
        <w:t xml:space="preserve"> </w:t>
      </w:r>
      <w:r w:rsidR="0009270F">
        <w:rPr>
          <w:rFonts w:ascii="Arial" w:hAnsi="Arial" w:cs="Arial"/>
          <w:sz w:val="20"/>
          <w:szCs w:val="20"/>
        </w:rPr>
        <w:t>“</w:t>
      </w:r>
      <w:r w:rsidR="00B751F7" w:rsidRPr="00C23944">
        <w:rPr>
          <w:rFonts w:ascii="Arial" w:hAnsi="Arial" w:cs="Arial"/>
          <w:sz w:val="20"/>
          <w:szCs w:val="20"/>
        </w:rPr>
        <w:t>Normative Power Europe? The European Union in the Negotiations on a F</w:t>
      </w:r>
      <w:r w:rsidRPr="00C23944">
        <w:rPr>
          <w:rFonts w:ascii="Arial" w:hAnsi="Arial" w:cs="Arial"/>
          <w:sz w:val="20"/>
          <w:szCs w:val="20"/>
        </w:rPr>
        <w:t>ree Trade Agreement with India.</w:t>
      </w:r>
      <w:r w:rsidR="0009270F">
        <w:rPr>
          <w:rFonts w:ascii="Arial" w:hAnsi="Arial" w:cs="Arial"/>
          <w:sz w:val="20"/>
          <w:szCs w:val="20"/>
        </w:rPr>
        <w:t>”</w:t>
      </w:r>
      <w:r w:rsidR="00B751F7" w:rsidRPr="00C23944">
        <w:rPr>
          <w:rFonts w:ascii="Arial" w:hAnsi="Arial" w:cs="Arial"/>
          <w:sz w:val="20"/>
          <w:szCs w:val="20"/>
        </w:rPr>
        <w:t xml:space="preserve"> </w:t>
      </w:r>
      <w:r w:rsidR="00B751F7" w:rsidRPr="00C23944">
        <w:rPr>
          <w:rFonts w:ascii="Arial" w:hAnsi="Arial" w:cs="Arial"/>
          <w:i/>
          <w:sz w:val="20"/>
          <w:szCs w:val="20"/>
        </w:rPr>
        <w:t>European Foreign Affairs Review</w:t>
      </w:r>
      <w:r w:rsidR="00B751F7" w:rsidRPr="00C23944">
        <w:rPr>
          <w:rFonts w:ascii="Arial" w:hAnsi="Arial" w:cs="Arial"/>
          <w:sz w:val="20"/>
          <w:szCs w:val="20"/>
        </w:rPr>
        <w:t xml:space="preserve"> 19</w:t>
      </w:r>
      <w:r w:rsidR="00BD0B99">
        <w:rPr>
          <w:rFonts w:ascii="Arial" w:hAnsi="Arial" w:cs="Arial"/>
          <w:sz w:val="20"/>
          <w:szCs w:val="20"/>
        </w:rPr>
        <w:t xml:space="preserve">, </w:t>
      </w:r>
      <w:r w:rsidR="00B751F7" w:rsidRPr="00C23944">
        <w:rPr>
          <w:rFonts w:ascii="Arial" w:hAnsi="Arial" w:cs="Arial"/>
          <w:sz w:val="20"/>
          <w:szCs w:val="20"/>
        </w:rPr>
        <w:t>3: 335–356.</w:t>
      </w:r>
    </w:p>
    <w:p w14:paraId="1E94DD40" w14:textId="77777777" w:rsidR="00A46484" w:rsidRPr="00C23944" w:rsidRDefault="00A46484" w:rsidP="00CB782C">
      <w:pPr>
        <w:spacing w:line="480" w:lineRule="auto"/>
        <w:jc w:val="both"/>
        <w:rPr>
          <w:rFonts w:ascii="Arial" w:hAnsi="Arial" w:cs="Arial"/>
          <w:sz w:val="20"/>
          <w:szCs w:val="20"/>
        </w:rPr>
      </w:pPr>
    </w:p>
    <w:p w14:paraId="7CE005C6" w14:textId="3E73E4CE" w:rsidR="002D36D8" w:rsidRDefault="007E1764" w:rsidP="00CB782C">
      <w:pPr>
        <w:autoSpaceDE w:val="0"/>
        <w:autoSpaceDN w:val="0"/>
        <w:adjustRightInd w:val="0"/>
        <w:spacing w:line="480" w:lineRule="auto"/>
        <w:jc w:val="both"/>
        <w:rPr>
          <w:rFonts w:ascii="Arial" w:hAnsi="Arial" w:cs="Arial"/>
          <w:color w:val="231F20"/>
          <w:sz w:val="20"/>
          <w:szCs w:val="20"/>
        </w:rPr>
      </w:pPr>
      <w:r w:rsidRPr="00C23944">
        <w:rPr>
          <w:rFonts w:ascii="Arial" w:hAnsi="Arial" w:cs="Arial"/>
          <w:color w:val="231F20"/>
          <w:sz w:val="20"/>
          <w:szCs w:val="20"/>
        </w:rPr>
        <w:t>McGuire</w:t>
      </w:r>
      <w:r w:rsidR="003D0236">
        <w:rPr>
          <w:rFonts w:ascii="Arial" w:hAnsi="Arial" w:cs="Arial"/>
          <w:color w:val="231F20"/>
          <w:sz w:val="20"/>
          <w:szCs w:val="20"/>
        </w:rPr>
        <w:t>,</w:t>
      </w:r>
      <w:r w:rsidR="002D36D8" w:rsidRPr="00C23944">
        <w:rPr>
          <w:rFonts w:ascii="Arial" w:hAnsi="Arial" w:cs="Arial"/>
          <w:color w:val="231F20"/>
          <w:sz w:val="20"/>
          <w:szCs w:val="20"/>
        </w:rPr>
        <w:t xml:space="preserve"> S</w:t>
      </w:r>
      <w:r w:rsidR="003D0236">
        <w:rPr>
          <w:rFonts w:ascii="Arial" w:hAnsi="Arial" w:cs="Arial"/>
          <w:color w:val="231F20"/>
          <w:sz w:val="20"/>
          <w:szCs w:val="20"/>
        </w:rPr>
        <w:t xml:space="preserve">teven </w:t>
      </w:r>
      <w:r w:rsidRPr="00C23944">
        <w:rPr>
          <w:rFonts w:ascii="Arial" w:hAnsi="Arial" w:cs="Arial"/>
          <w:color w:val="231F20"/>
          <w:sz w:val="20"/>
          <w:szCs w:val="20"/>
        </w:rPr>
        <w:t>M</w:t>
      </w:r>
      <w:r w:rsidR="003D0236">
        <w:rPr>
          <w:rFonts w:ascii="Arial" w:hAnsi="Arial" w:cs="Arial"/>
          <w:color w:val="231F20"/>
          <w:sz w:val="20"/>
          <w:szCs w:val="20"/>
        </w:rPr>
        <w:t>.</w:t>
      </w:r>
      <w:r w:rsidRPr="00C23944">
        <w:rPr>
          <w:rFonts w:ascii="Arial" w:hAnsi="Arial" w:cs="Arial"/>
          <w:color w:val="231F20"/>
          <w:sz w:val="20"/>
          <w:szCs w:val="20"/>
        </w:rPr>
        <w:t xml:space="preserve"> and Lindeque</w:t>
      </w:r>
      <w:r w:rsidR="003D0236">
        <w:rPr>
          <w:rFonts w:ascii="Arial" w:hAnsi="Arial" w:cs="Arial"/>
          <w:color w:val="231F20"/>
          <w:sz w:val="20"/>
          <w:szCs w:val="20"/>
        </w:rPr>
        <w:t xml:space="preserve">, Johan </w:t>
      </w:r>
      <w:r w:rsidR="002D36D8" w:rsidRPr="00C23944">
        <w:rPr>
          <w:rFonts w:ascii="Arial" w:hAnsi="Arial" w:cs="Arial"/>
          <w:color w:val="231F20"/>
          <w:sz w:val="20"/>
          <w:szCs w:val="20"/>
        </w:rPr>
        <w:t>P</w:t>
      </w:r>
      <w:r w:rsidR="003D0236">
        <w:rPr>
          <w:rFonts w:ascii="Arial" w:hAnsi="Arial" w:cs="Arial"/>
          <w:color w:val="231F20"/>
          <w:sz w:val="20"/>
          <w:szCs w:val="20"/>
        </w:rPr>
        <w:t>.</w:t>
      </w:r>
      <w:r w:rsidR="002D36D8" w:rsidRPr="00C23944">
        <w:rPr>
          <w:rFonts w:ascii="Arial" w:hAnsi="Arial" w:cs="Arial"/>
          <w:color w:val="231F20"/>
          <w:sz w:val="20"/>
          <w:szCs w:val="20"/>
        </w:rPr>
        <w:t xml:space="preserve"> (2010)</w:t>
      </w:r>
      <w:r w:rsidR="0009270F">
        <w:rPr>
          <w:rFonts w:ascii="Arial" w:hAnsi="Arial" w:cs="Arial"/>
          <w:color w:val="231F20"/>
          <w:sz w:val="20"/>
          <w:szCs w:val="20"/>
        </w:rPr>
        <w:t>.</w:t>
      </w:r>
      <w:r w:rsidR="002D36D8" w:rsidRPr="00C23944">
        <w:rPr>
          <w:rFonts w:ascii="Arial" w:hAnsi="Arial" w:cs="Arial"/>
          <w:color w:val="231F20"/>
          <w:sz w:val="20"/>
          <w:szCs w:val="20"/>
        </w:rPr>
        <w:t xml:space="preserve"> </w:t>
      </w:r>
      <w:r w:rsidR="0009270F">
        <w:rPr>
          <w:rFonts w:ascii="Arial" w:hAnsi="Arial" w:cs="Arial"/>
          <w:color w:val="231F20"/>
          <w:sz w:val="20"/>
          <w:szCs w:val="20"/>
        </w:rPr>
        <w:t>“</w:t>
      </w:r>
      <w:r w:rsidR="002D36D8" w:rsidRPr="00C23944">
        <w:rPr>
          <w:rFonts w:ascii="Arial" w:hAnsi="Arial" w:cs="Arial"/>
          <w:color w:val="231F20"/>
          <w:sz w:val="20"/>
          <w:szCs w:val="20"/>
        </w:rPr>
        <w:t>The Diminishing Returns to Trade Policy in the European Union</w:t>
      </w:r>
      <w:r w:rsidRPr="00C23944">
        <w:rPr>
          <w:rFonts w:ascii="Arial" w:hAnsi="Arial" w:cs="Arial"/>
          <w:color w:val="231F20"/>
          <w:sz w:val="20"/>
          <w:szCs w:val="20"/>
        </w:rPr>
        <w:t>.</w:t>
      </w:r>
      <w:r w:rsidR="0009270F">
        <w:rPr>
          <w:rFonts w:ascii="Arial" w:hAnsi="Arial" w:cs="Arial"/>
          <w:color w:val="231F20"/>
          <w:sz w:val="20"/>
          <w:szCs w:val="20"/>
        </w:rPr>
        <w:t>”</w:t>
      </w:r>
      <w:r w:rsidR="002D36D8" w:rsidRPr="00C23944">
        <w:rPr>
          <w:rFonts w:ascii="Arial" w:hAnsi="Arial" w:cs="Arial"/>
          <w:color w:val="231F20"/>
          <w:sz w:val="20"/>
          <w:szCs w:val="20"/>
        </w:rPr>
        <w:t xml:space="preserve"> </w:t>
      </w:r>
      <w:r w:rsidR="002D36D8" w:rsidRPr="00C23944">
        <w:rPr>
          <w:rFonts w:ascii="Arial" w:hAnsi="Arial" w:cs="Arial"/>
          <w:i/>
          <w:color w:val="231F20"/>
          <w:sz w:val="20"/>
          <w:szCs w:val="20"/>
        </w:rPr>
        <w:t>Journal of Common Market Studies</w:t>
      </w:r>
      <w:r w:rsidR="001B34DF" w:rsidRPr="00C23944">
        <w:rPr>
          <w:rFonts w:ascii="Arial" w:hAnsi="Arial" w:cs="Arial"/>
          <w:color w:val="231F20"/>
          <w:sz w:val="20"/>
          <w:szCs w:val="20"/>
        </w:rPr>
        <w:t xml:space="preserve"> 48</w:t>
      </w:r>
      <w:r w:rsidR="00BD0B99">
        <w:rPr>
          <w:rFonts w:ascii="Arial" w:hAnsi="Arial" w:cs="Arial"/>
          <w:color w:val="231F20"/>
          <w:sz w:val="20"/>
          <w:szCs w:val="20"/>
        </w:rPr>
        <w:t xml:space="preserve">, </w:t>
      </w:r>
      <w:r w:rsidR="002D36D8" w:rsidRPr="00C23944">
        <w:rPr>
          <w:rFonts w:ascii="Arial" w:hAnsi="Arial" w:cs="Arial"/>
          <w:color w:val="231F20"/>
          <w:sz w:val="20"/>
          <w:szCs w:val="20"/>
        </w:rPr>
        <w:t>5</w:t>
      </w:r>
      <w:r w:rsidR="001174E5" w:rsidRPr="00C23944">
        <w:rPr>
          <w:rFonts w:ascii="Arial" w:hAnsi="Arial" w:cs="Arial"/>
          <w:color w:val="231F20"/>
          <w:sz w:val="20"/>
          <w:szCs w:val="20"/>
        </w:rPr>
        <w:t xml:space="preserve">: </w:t>
      </w:r>
      <w:r w:rsidR="002D36D8" w:rsidRPr="00C23944">
        <w:rPr>
          <w:rFonts w:ascii="Arial" w:hAnsi="Arial" w:cs="Arial"/>
          <w:color w:val="231F20"/>
          <w:sz w:val="20"/>
          <w:szCs w:val="20"/>
        </w:rPr>
        <w:t>1</w:t>
      </w:r>
      <w:r w:rsidR="001B34DF" w:rsidRPr="00C23944">
        <w:rPr>
          <w:rFonts w:ascii="Arial" w:hAnsi="Arial" w:cs="Arial"/>
          <w:color w:val="231F20"/>
          <w:sz w:val="20"/>
          <w:szCs w:val="20"/>
        </w:rPr>
        <w:t>329-1</w:t>
      </w:r>
      <w:r w:rsidR="002D36D8" w:rsidRPr="00C23944">
        <w:rPr>
          <w:rFonts w:ascii="Arial" w:hAnsi="Arial" w:cs="Arial"/>
          <w:color w:val="231F20"/>
          <w:sz w:val="20"/>
          <w:szCs w:val="20"/>
        </w:rPr>
        <w:t>349</w:t>
      </w:r>
      <w:r w:rsidR="00FE1367" w:rsidRPr="00C23944">
        <w:rPr>
          <w:rFonts w:ascii="Arial" w:hAnsi="Arial" w:cs="Arial"/>
          <w:color w:val="231F20"/>
          <w:sz w:val="20"/>
          <w:szCs w:val="20"/>
        </w:rPr>
        <w:t>.</w:t>
      </w:r>
    </w:p>
    <w:p w14:paraId="19DD3A0C" w14:textId="77777777" w:rsidR="001B1D38" w:rsidRDefault="001B1D38" w:rsidP="00CB782C">
      <w:pPr>
        <w:autoSpaceDE w:val="0"/>
        <w:autoSpaceDN w:val="0"/>
        <w:adjustRightInd w:val="0"/>
        <w:spacing w:line="480" w:lineRule="auto"/>
        <w:jc w:val="both"/>
        <w:rPr>
          <w:rFonts w:ascii="Arial" w:hAnsi="Arial" w:cs="Arial"/>
          <w:color w:val="231F20"/>
          <w:sz w:val="20"/>
          <w:szCs w:val="20"/>
        </w:rPr>
      </w:pPr>
    </w:p>
    <w:p w14:paraId="5708AD1C" w14:textId="68F71456" w:rsidR="001B1D38" w:rsidRPr="00BE356D" w:rsidRDefault="001B1D38" w:rsidP="00CB782C">
      <w:pPr>
        <w:autoSpaceDE w:val="0"/>
        <w:autoSpaceDN w:val="0"/>
        <w:adjustRightInd w:val="0"/>
        <w:spacing w:line="480" w:lineRule="auto"/>
        <w:jc w:val="both"/>
        <w:rPr>
          <w:rFonts w:ascii="Arial" w:hAnsi="Arial" w:cs="Arial"/>
          <w:color w:val="231F20"/>
          <w:sz w:val="20"/>
          <w:szCs w:val="20"/>
        </w:rPr>
      </w:pPr>
      <w:r>
        <w:rPr>
          <w:rFonts w:ascii="Arial" w:hAnsi="Arial" w:cs="Arial"/>
          <w:color w:val="231F20"/>
          <w:sz w:val="20"/>
          <w:szCs w:val="20"/>
        </w:rPr>
        <w:t>Meunier, Sophie (2000). “What Single Voice? European Institutions and EU-U.S. Trade Negotiations.”</w:t>
      </w:r>
      <w:r w:rsidR="00BE356D">
        <w:rPr>
          <w:rFonts w:ascii="Arial" w:hAnsi="Arial" w:cs="Arial"/>
          <w:color w:val="231F20"/>
          <w:sz w:val="20"/>
          <w:szCs w:val="20"/>
        </w:rPr>
        <w:t xml:space="preserve"> </w:t>
      </w:r>
      <w:r w:rsidR="00BE356D">
        <w:rPr>
          <w:rFonts w:ascii="Arial" w:hAnsi="Arial" w:cs="Arial"/>
          <w:i/>
          <w:color w:val="231F20"/>
          <w:sz w:val="20"/>
          <w:szCs w:val="20"/>
        </w:rPr>
        <w:t xml:space="preserve">International Organization </w:t>
      </w:r>
      <w:r w:rsidR="00BE356D">
        <w:rPr>
          <w:rFonts w:ascii="Arial" w:hAnsi="Arial" w:cs="Arial"/>
          <w:color w:val="231F20"/>
          <w:sz w:val="20"/>
          <w:szCs w:val="20"/>
        </w:rPr>
        <w:t>54, 1: 103-135.</w:t>
      </w:r>
    </w:p>
    <w:p w14:paraId="39E9B59B" w14:textId="77777777" w:rsidR="001B1D38" w:rsidRDefault="001B1D38" w:rsidP="00CB782C">
      <w:pPr>
        <w:autoSpaceDE w:val="0"/>
        <w:autoSpaceDN w:val="0"/>
        <w:adjustRightInd w:val="0"/>
        <w:spacing w:line="480" w:lineRule="auto"/>
        <w:jc w:val="both"/>
        <w:rPr>
          <w:rFonts w:ascii="Arial" w:hAnsi="Arial" w:cs="Arial"/>
          <w:color w:val="231F20"/>
          <w:sz w:val="20"/>
          <w:szCs w:val="20"/>
        </w:rPr>
      </w:pPr>
    </w:p>
    <w:p w14:paraId="4283D137" w14:textId="2F924098" w:rsidR="000934AC" w:rsidRPr="00C23944" w:rsidRDefault="000934AC" w:rsidP="00CB782C">
      <w:pPr>
        <w:autoSpaceDE w:val="0"/>
        <w:autoSpaceDN w:val="0"/>
        <w:adjustRightInd w:val="0"/>
        <w:spacing w:line="480" w:lineRule="auto"/>
        <w:jc w:val="both"/>
        <w:rPr>
          <w:rFonts w:ascii="Arial" w:hAnsi="Arial" w:cs="Arial"/>
          <w:color w:val="231F20"/>
          <w:sz w:val="20"/>
          <w:szCs w:val="20"/>
        </w:rPr>
      </w:pPr>
      <w:r w:rsidRPr="00C23944">
        <w:rPr>
          <w:rFonts w:ascii="Arial" w:hAnsi="Arial" w:cs="Arial"/>
          <w:color w:val="231F20"/>
          <w:sz w:val="20"/>
          <w:szCs w:val="20"/>
        </w:rPr>
        <w:t>Meun</w:t>
      </w:r>
      <w:r w:rsidR="00132B7D" w:rsidRPr="00C23944">
        <w:rPr>
          <w:rFonts w:ascii="Arial" w:hAnsi="Arial" w:cs="Arial"/>
          <w:color w:val="231F20"/>
          <w:sz w:val="20"/>
          <w:szCs w:val="20"/>
        </w:rPr>
        <w:t>i</w:t>
      </w:r>
      <w:r w:rsidR="007E1764" w:rsidRPr="00C23944">
        <w:rPr>
          <w:rFonts w:ascii="Arial" w:hAnsi="Arial" w:cs="Arial"/>
          <w:color w:val="231F20"/>
          <w:sz w:val="20"/>
          <w:szCs w:val="20"/>
        </w:rPr>
        <w:t>er</w:t>
      </w:r>
      <w:r w:rsidR="003D0236">
        <w:rPr>
          <w:rFonts w:ascii="Arial" w:hAnsi="Arial" w:cs="Arial"/>
          <w:color w:val="231F20"/>
          <w:sz w:val="20"/>
          <w:szCs w:val="20"/>
        </w:rPr>
        <w:t>,</w:t>
      </w:r>
      <w:r w:rsidRPr="00C23944">
        <w:rPr>
          <w:rFonts w:ascii="Arial" w:hAnsi="Arial" w:cs="Arial"/>
          <w:color w:val="231F20"/>
          <w:sz w:val="20"/>
          <w:szCs w:val="20"/>
        </w:rPr>
        <w:t xml:space="preserve"> S</w:t>
      </w:r>
      <w:r w:rsidR="003D0236">
        <w:rPr>
          <w:rFonts w:ascii="Arial" w:hAnsi="Arial" w:cs="Arial"/>
          <w:color w:val="231F20"/>
          <w:sz w:val="20"/>
          <w:szCs w:val="20"/>
        </w:rPr>
        <w:t>ophie</w:t>
      </w:r>
      <w:r w:rsidR="00547911" w:rsidRPr="00C23944">
        <w:rPr>
          <w:rFonts w:ascii="Arial" w:hAnsi="Arial" w:cs="Arial"/>
          <w:color w:val="231F20"/>
          <w:sz w:val="20"/>
          <w:szCs w:val="20"/>
        </w:rPr>
        <w:t xml:space="preserve"> (2005)</w:t>
      </w:r>
      <w:r w:rsidR="0009270F">
        <w:rPr>
          <w:rFonts w:ascii="Arial" w:hAnsi="Arial" w:cs="Arial"/>
          <w:color w:val="231F20"/>
          <w:sz w:val="20"/>
          <w:szCs w:val="20"/>
        </w:rPr>
        <w:t>.</w:t>
      </w:r>
      <w:r w:rsidRPr="00C23944">
        <w:rPr>
          <w:rFonts w:ascii="Arial" w:hAnsi="Arial" w:cs="Arial"/>
          <w:color w:val="231F20"/>
          <w:sz w:val="20"/>
          <w:szCs w:val="20"/>
        </w:rPr>
        <w:t xml:space="preserve"> </w:t>
      </w:r>
      <w:r w:rsidRPr="00C23944">
        <w:rPr>
          <w:rFonts w:ascii="Arial" w:hAnsi="Arial" w:cs="Arial"/>
          <w:i/>
          <w:color w:val="231F20"/>
          <w:sz w:val="20"/>
          <w:szCs w:val="20"/>
        </w:rPr>
        <w:t>Trading Voices: The European Union in International Commercial Negotiations</w:t>
      </w:r>
      <w:r w:rsidR="007E1764" w:rsidRPr="00C23944">
        <w:rPr>
          <w:rFonts w:ascii="Arial" w:hAnsi="Arial" w:cs="Arial"/>
          <w:i/>
          <w:color w:val="231F20"/>
          <w:sz w:val="20"/>
          <w:szCs w:val="20"/>
        </w:rPr>
        <w:t>.</w:t>
      </w:r>
      <w:r w:rsidRPr="00C23944">
        <w:rPr>
          <w:rFonts w:ascii="Arial" w:hAnsi="Arial" w:cs="Arial"/>
          <w:i/>
          <w:color w:val="231F20"/>
          <w:sz w:val="20"/>
          <w:szCs w:val="20"/>
        </w:rPr>
        <w:t xml:space="preserve"> </w:t>
      </w:r>
      <w:r w:rsidRPr="00C23944">
        <w:rPr>
          <w:rFonts w:ascii="Arial" w:hAnsi="Arial" w:cs="Arial"/>
          <w:color w:val="231F20"/>
          <w:sz w:val="20"/>
          <w:szCs w:val="20"/>
        </w:rPr>
        <w:t>Prince</w:t>
      </w:r>
      <w:r w:rsidR="00994D8E" w:rsidRPr="00C23944">
        <w:rPr>
          <w:rFonts w:ascii="Arial" w:hAnsi="Arial" w:cs="Arial"/>
          <w:color w:val="231F20"/>
          <w:sz w:val="20"/>
          <w:szCs w:val="20"/>
        </w:rPr>
        <w:t>ton</w:t>
      </w:r>
      <w:r w:rsidR="00BD0B99">
        <w:rPr>
          <w:rFonts w:ascii="Arial" w:hAnsi="Arial" w:cs="Arial"/>
          <w:color w:val="231F20"/>
          <w:sz w:val="20"/>
          <w:szCs w:val="20"/>
        </w:rPr>
        <w:t>, NJ</w:t>
      </w:r>
      <w:r w:rsidR="00994D8E" w:rsidRPr="00C23944">
        <w:rPr>
          <w:rFonts w:ascii="Arial" w:hAnsi="Arial" w:cs="Arial"/>
          <w:color w:val="231F20"/>
          <w:sz w:val="20"/>
          <w:szCs w:val="20"/>
        </w:rPr>
        <w:t>: Princeton University Press.</w:t>
      </w:r>
    </w:p>
    <w:p w14:paraId="18984AC1" w14:textId="77777777" w:rsidR="002561E0" w:rsidRDefault="002561E0" w:rsidP="00CB782C">
      <w:pPr>
        <w:autoSpaceDE w:val="0"/>
        <w:autoSpaceDN w:val="0"/>
        <w:adjustRightInd w:val="0"/>
        <w:spacing w:line="480" w:lineRule="auto"/>
        <w:jc w:val="both"/>
        <w:rPr>
          <w:rFonts w:ascii="Arial" w:hAnsi="Arial" w:cs="Arial"/>
          <w:color w:val="231F20"/>
          <w:sz w:val="20"/>
          <w:szCs w:val="20"/>
        </w:rPr>
      </w:pPr>
    </w:p>
    <w:p w14:paraId="155CB845" w14:textId="0F78D9A4" w:rsidR="002E699C" w:rsidRDefault="005D5486" w:rsidP="00CB782C">
      <w:pPr>
        <w:autoSpaceDE w:val="0"/>
        <w:autoSpaceDN w:val="0"/>
        <w:adjustRightInd w:val="0"/>
        <w:spacing w:line="480" w:lineRule="auto"/>
        <w:jc w:val="both"/>
        <w:rPr>
          <w:rFonts w:ascii="Arial" w:hAnsi="Arial" w:cs="Arial"/>
          <w:color w:val="231F20"/>
          <w:sz w:val="20"/>
          <w:szCs w:val="20"/>
        </w:rPr>
      </w:pPr>
      <w:r>
        <w:rPr>
          <w:rFonts w:ascii="Arial" w:hAnsi="Arial" w:cs="Arial"/>
          <w:color w:val="231F20"/>
          <w:sz w:val="20"/>
          <w:szCs w:val="20"/>
        </w:rPr>
        <w:t>Migration Watch UK (2010).</w:t>
      </w:r>
      <w:r w:rsidR="002E699C">
        <w:rPr>
          <w:rFonts w:ascii="Arial" w:hAnsi="Arial" w:cs="Arial"/>
          <w:color w:val="231F20"/>
          <w:sz w:val="20"/>
          <w:szCs w:val="20"/>
        </w:rPr>
        <w:t xml:space="preserve"> </w:t>
      </w:r>
      <w:r w:rsidR="002E699C">
        <w:rPr>
          <w:rFonts w:ascii="Arial" w:hAnsi="Arial" w:cs="Arial"/>
          <w:i/>
          <w:color w:val="231F20"/>
          <w:sz w:val="20"/>
          <w:szCs w:val="20"/>
        </w:rPr>
        <w:t>EU/India Free Trade Agreement,</w:t>
      </w:r>
      <w:r w:rsidR="002E699C">
        <w:rPr>
          <w:rFonts w:ascii="Arial" w:hAnsi="Arial" w:cs="Arial"/>
          <w:color w:val="231F20"/>
          <w:sz w:val="20"/>
          <w:szCs w:val="20"/>
        </w:rPr>
        <w:t xml:space="preserve"> European Union: MW 207, 25 October 2010. Available at: </w:t>
      </w:r>
      <w:hyperlink r:id="rId23" w:history="1">
        <w:r w:rsidR="002561E0" w:rsidRPr="00DF6F04">
          <w:rPr>
            <w:rStyle w:val="Hyperlink"/>
            <w:rFonts w:ascii="Arial" w:hAnsi="Arial" w:cs="Arial"/>
            <w:sz w:val="20"/>
            <w:szCs w:val="20"/>
          </w:rPr>
          <w:t>http://www.migrationwatchuk.org/briefing-paper/207</w:t>
        </w:r>
      </w:hyperlink>
      <w:r w:rsidR="002561E0">
        <w:rPr>
          <w:rFonts w:ascii="Arial" w:hAnsi="Arial" w:cs="Arial"/>
          <w:color w:val="231F20"/>
          <w:sz w:val="20"/>
          <w:szCs w:val="20"/>
        </w:rPr>
        <w:t xml:space="preserve"> </w:t>
      </w:r>
      <w:r w:rsidR="002E699C">
        <w:rPr>
          <w:rFonts w:ascii="Arial" w:hAnsi="Arial" w:cs="Arial"/>
          <w:color w:val="231F20"/>
          <w:sz w:val="20"/>
          <w:szCs w:val="20"/>
        </w:rPr>
        <w:t xml:space="preserve">(Accessed </w:t>
      </w:r>
      <w:r w:rsidR="002561E0">
        <w:rPr>
          <w:rFonts w:ascii="Arial" w:hAnsi="Arial" w:cs="Arial"/>
          <w:color w:val="231F20"/>
          <w:sz w:val="20"/>
          <w:szCs w:val="20"/>
        </w:rPr>
        <w:t>January 2016).</w:t>
      </w:r>
    </w:p>
    <w:p w14:paraId="2115FF2B" w14:textId="77777777" w:rsidR="002E699C" w:rsidRPr="00C23944" w:rsidRDefault="002E699C" w:rsidP="00CB782C">
      <w:pPr>
        <w:autoSpaceDE w:val="0"/>
        <w:autoSpaceDN w:val="0"/>
        <w:adjustRightInd w:val="0"/>
        <w:spacing w:line="480" w:lineRule="auto"/>
        <w:jc w:val="both"/>
        <w:rPr>
          <w:rFonts w:ascii="Arial" w:hAnsi="Arial" w:cs="Arial"/>
          <w:color w:val="231F20"/>
          <w:sz w:val="20"/>
          <w:szCs w:val="20"/>
        </w:rPr>
      </w:pPr>
    </w:p>
    <w:p w14:paraId="6579E39C" w14:textId="5FE1A827" w:rsidR="002D36D8" w:rsidRPr="00C23944" w:rsidRDefault="007E1764" w:rsidP="00CB782C">
      <w:pPr>
        <w:autoSpaceDE w:val="0"/>
        <w:autoSpaceDN w:val="0"/>
        <w:adjustRightInd w:val="0"/>
        <w:spacing w:line="480" w:lineRule="auto"/>
        <w:jc w:val="both"/>
        <w:rPr>
          <w:rFonts w:ascii="Arial" w:hAnsi="Arial" w:cs="Arial"/>
          <w:color w:val="231F20"/>
          <w:sz w:val="20"/>
          <w:szCs w:val="20"/>
        </w:rPr>
      </w:pPr>
      <w:r w:rsidRPr="00C23944">
        <w:rPr>
          <w:rFonts w:ascii="Arial" w:hAnsi="Arial" w:cs="Arial"/>
          <w:color w:val="231F20"/>
          <w:sz w:val="20"/>
          <w:szCs w:val="20"/>
        </w:rPr>
        <w:t>Modwel</w:t>
      </w:r>
      <w:r w:rsidR="003D0236">
        <w:rPr>
          <w:rFonts w:ascii="Arial" w:hAnsi="Arial" w:cs="Arial"/>
          <w:color w:val="231F20"/>
          <w:sz w:val="20"/>
          <w:szCs w:val="20"/>
        </w:rPr>
        <w:t>,</w:t>
      </w:r>
      <w:r w:rsidR="002D36D8" w:rsidRPr="00C23944">
        <w:rPr>
          <w:rFonts w:ascii="Arial" w:hAnsi="Arial" w:cs="Arial"/>
          <w:color w:val="231F20"/>
          <w:sz w:val="20"/>
          <w:szCs w:val="20"/>
        </w:rPr>
        <w:t xml:space="preserve"> S</w:t>
      </w:r>
      <w:r w:rsidR="003D0236">
        <w:rPr>
          <w:rFonts w:ascii="Arial" w:hAnsi="Arial" w:cs="Arial"/>
          <w:color w:val="231F20"/>
          <w:sz w:val="20"/>
          <w:szCs w:val="20"/>
        </w:rPr>
        <w:t>uman</w:t>
      </w:r>
      <w:r w:rsidR="00547911" w:rsidRPr="00C23944">
        <w:rPr>
          <w:rFonts w:ascii="Arial" w:hAnsi="Arial" w:cs="Arial"/>
          <w:color w:val="231F20"/>
          <w:sz w:val="20"/>
          <w:szCs w:val="20"/>
        </w:rPr>
        <w:t xml:space="preserve"> </w:t>
      </w:r>
      <w:r w:rsidRPr="00C23944">
        <w:rPr>
          <w:rFonts w:ascii="Arial" w:hAnsi="Arial" w:cs="Arial"/>
          <w:color w:val="231F20"/>
          <w:sz w:val="20"/>
          <w:szCs w:val="20"/>
        </w:rPr>
        <w:t>and Singh</w:t>
      </w:r>
      <w:r w:rsidR="003D0236">
        <w:rPr>
          <w:rFonts w:ascii="Arial" w:hAnsi="Arial" w:cs="Arial"/>
          <w:color w:val="231F20"/>
          <w:sz w:val="20"/>
          <w:szCs w:val="20"/>
        </w:rPr>
        <w:t>,</w:t>
      </w:r>
      <w:r w:rsidR="002D36D8" w:rsidRPr="00C23944">
        <w:rPr>
          <w:rFonts w:ascii="Arial" w:hAnsi="Arial" w:cs="Arial"/>
          <w:color w:val="231F20"/>
          <w:sz w:val="20"/>
          <w:szCs w:val="20"/>
        </w:rPr>
        <w:t xml:space="preserve"> S</w:t>
      </w:r>
      <w:r w:rsidR="003D0236">
        <w:rPr>
          <w:rFonts w:ascii="Arial" w:hAnsi="Arial" w:cs="Arial"/>
          <w:color w:val="231F20"/>
          <w:sz w:val="20"/>
          <w:szCs w:val="20"/>
        </w:rPr>
        <w:t>urendra</w:t>
      </w:r>
      <w:r w:rsidR="00547911" w:rsidRPr="00C23944">
        <w:rPr>
          <w:rFonts w:ascii="Arial" w:hAnsi="Arial" w:cs="Arial"/>
          <w:color w:val="231F20"/>
          <w:sz w:val="20"/>
          <w:szCs w:val="20"/>
        </w:rPr>
        <w:t xml:space="preserve"> </w:t>
      </w:r>
      <w:r w:rsidR="002D36D8" w:rsidRPr="00C23944">
        <w:rPr>
          <w:rFonts w:ascii="Arial" w:hAnsi="Arial" w:cs="Arial"/>
          <w:color w:val="231F20"/>
          <w:sz w:val="20"/>
          <w:szCs w:val="20"/>
        </w:rPr>
        <w:t>(2012)</w:t>
      </w:r>
      <w:r w:rsidR="0009270F">
        <w:rPr>
          <w:rFonts w:ascii="Arial" w:hAnsi="Arial" w:cs="Arial"/>
          <w:color w:val="231F20"/>
          <w:sz w:val="20"/>
          <w:szCs w:val="20"/>
        </w:rPr>
        <w:t>.</w:t>
      </w:r>
      <w:r w:rsidR="002D36D8" w:rsidRPr="00C23944">
        <w:rPr>
          <w:rFonts w:ascii="Arial" w:hAnsi="Arial" w:cs="Arial"/>
          <w:color w:val="231F20"/>
          <w:sz w:val="20"/>
          <w:szCs w:val="20"/>
        </w:rPr>
        <w:t xml:space="preserve"> </w:t>
      </w:r>
      <w:r w:rsidR="002D36D8" w:rsidRPr="00C23944">
        <w:rPr>
          <w:rFonts w:ascii="Arial" w:hAnsi="Arial" w:cs="Arial"/>
          <w:i/>
          <w:color w:val="231F20"/>
          <w:sz w:val="20"/>
          <w:szCs w:val="20"/>
        </w:rPr>
        <w:t>The EU-India FTA Negotiat</w:t>
      </w:r>
      <w:r w:rsidR="00954C45" w:rsidRPr="00C23944">
        <w:rPr>
          <w:rFonts w:ascii="Arial" w:hAnsi="Arial" w:cs="Arial"/>
          <w:i/>
          <w:color w:val="231F20"/>
          <w:sz w:val="20"/>
          <w:szCs w:val="20"/>
        </w:rPr>
        <w:t>i</w:t>
      </w:r>
      <w:r w:rsidR="002D36D8" w:rsidRPr="00C23944">
        <w:rPr>
          <w:rFonts w:ascii="Arial" w:hAnsi="Arial" w:cs="Arial"/>
          <w:i/>
          <w:color w:val="231F20"/>
          <w:sz w:val="20"/>
          <w:szCs w:val="20"/>
        </w:rPr>
        <w:t>ons: Leading to an Agreement or Disagreement?</w:t>
      </w:r>
      <w:r w:rsidRPr="00C23944">
        <w:rPr>
          <w:rFonts w:ascii="Arial" w:hAnsi="Arial" w:cs="Arial"/>
          <w:i/>
          <w:color w:val="231F20"/>
          <w:sz w:val="20"/>
          <w:szCs w:val="20"/>
        </w:rPr>
        <w:t>.</w:t>
      </w:r>
      <w:r w:rsidR="002D36D8" w:rsidRPr="00C23944">
        <w:rPr>
          <w:rFonts w:ascii="Arial" w:hAnsi="Arial" w:cs="Arial"/>
          <w:i/>
          <w:color w:val="231F20"/>
          <w:sz w:val="20"/>
          <w:szCs w:val="20"/>
        </w:rPr>
        <w:t xml:space="preserve"> </w:t>
      </w:r>
      <w:r w:rsidRPr="00C23944">
        <w:rPr>
          <w:rFonts w:ascii="Arial" w:hAnsi="Arial" w:cs="Arial"/>
          <w:color w:val="231F20"/>
          <w:sz w:val="20"/>
          <w:szCs w:val="20"/>
        </w:rPr>
        <w:t xml:space="preserve">Policy Brief. 30/1/2012. </w:t>
      </w:r>
      <w:r w:rsidR="002D36D8" w:rsidRPr="00C23944">
        <w:rPr>
          <w:rFonts w:ascii="Arial" w:hAnsi="Arial" w:cs="Arial"/>
          <w:color w:val="231F20"/>
          <w:sz w:val="20"/>
          <w:szCs w:val="20"/>
        </w:rPr>
        <w:t>Pari</w:t>
      </w:r>
      <w:r w:rsidR="00994D8E" w:rsidRPr="00C23944">
        <w:rPr>
          <w:rFonts w:ascii="Arial" w:hAnsi="Arial" w:cs="Arial"/>
          <w:color w:val="231F20"/>
          <w:sz w:val="20"/>
          <w:szCs w:val="20"/>
        </w:rPr>
        <w:t>s: Sciences-Po</w:t>
      </w:r>
      <w:r w:rsidR="00FE1367" w:rsidRPr="00C23944">
        <w:rPr>
          <w:rFonts w:ascii="Arial" w:hAnsi="Arial" w:cs="Arial"/>
          <w:color w:val="231F20"/>
          <w:sz w:val="20"/>
          <w:szCs w:val="20"/>
        </w:rPr>
        <w:t>.</w:t>
      </w:r>
    </w:p>
    <w:p w14:paraId="31F38CDF" w14:textId="77777777" w:rsidR="006814FE" w:rsidRPr="00C23944" w:rsidRDefault="006814FE" w:rsidP="00CB782C">
      <w:pPr>
        <w:autoSpaceDE w:val="0"/>
        <w:autoSpaceDN w:val="0"/>
        <w:adjustRightInd w:val="0"/>
        <w:spacing w:line="480" w:lineRule="auto"/>
        <w:jc w:val="both"/>
        <w:rPr>
          <w:rFonts w:ascii="Arial" w:hAnsi="Arial" w:cs="Arial"/>
          <w:color w:val="231F20"/>
          <w:sz w:val="20"/>
          <w:szCs w:val="20"/>
        </w:rPr>
      </w:pPr>
    </w:p>
    <w:p w14:paraId="772DC535" w14:textId="63C0A6F2" w:rsidR="006814FE" w:rsidRPr="00C23944" w:rsidRDefault="007E1764" w:rsidP="00CB782C">
      <w:pPr>
        <w:autoSpaceDE w:val="0"/>
        <w:autoSpaceDN w:val="0"/>
        <w:adjustRightInd w:val="0"/>
        <w:spacing w:line="480" w:lineRule="auto"/>
        <w:jc w:val="both"/>
        <w:rPr>
          <w:rFonts w:ascii="Arial" w:hAnsi="Arial" w:cs="Arial"/>
          <w:color w:val="231F20"/>
          <w:sz w:val="20"/>
          <w:szCs w:val="20"/>
        </w:rPr>
      </w:pPr>
      <w:r w:rsidRPr="00C23944">
        <w:rPr>
          <w:rFonts w:ascii="Arial" w:hAnsi="Arial" w:cs="Arial"/>
          <w:color w:val="231F20"/>
          <w:sz w:val="20"/>
          <w:szCs w:val="20"/>
        </w:rPr>
        <w:t>Mortensen</w:t>
      </w:r>
      <w:r w:rsidR="003D0236">
        <w:rPr>
          <w:rFonts w:ascii="Arial" w:hAnsi="Arial" w:cs="Arial"/>
          <w:color w:val="231F20"/>
          <w:sz w:val="20"/>
          <w:szCs w:val="20"/>
        </w:rPr>
        <w:t>,</w:t>
      </w:r>
      <w:r w:rsidR="006814FE" w:rsidRPr="00C23944">
        <w:rPr>
          <w:rFonts w:ascii="Arial" w:hAnsi="Arial" w:cs="Arial"/>
          <w:color w:val="231F20"/>
          <w:sz w:val="20"/>
          <w:szCs w:val="20"/>
        </w:rPr>
        <w:t xml:space="preserve"> J</w:t>
      </w:r>
      <w:r w:rsidR="003D0236">
        <w:rPr>
          <w:rFonts w:ascii="Arial" w:hAnsi="Arial" w:cs="Arial"/>
          <w:color w:val="231F20"/>
          <w:sz w:val="20"/>
          <w:szCs w:val="20"/>
        </w:rPr>
        <w:t xml:space="preserve">ens Lagefoged </w:t>
      </w:r>
      <w:r w:rsidRPr="00C23944">
        <w:rPr>
          <w:rFonts w:ascii="Arial" w:hAnsi="Arial" w:cs="Arial"/>
          <w:color w:val="231F20"/>
          <w:sz w:val="20"/>
          <w:szCs w:val="20"/>
        </w:rPr>
        <w:t>(2009)</w:t>
      </w:r>
      <w:r w:rsidR="0009270F">
        <w:rPr>
          <w:rFonts w:ascii="Arial" w:hAnsi="Arial" w:cs="Arial"/>
          <w:color w:val="231F20"/>
          <w:sz w:val="20"/>
          <w:szCs w:val="20"/>
        </w:rPr>
        <w:t>.</w:t>
      </w:r>
      <w:r w:rsidRPr="00C23944">
        <w:rPr>
          <w:rFonts w:ascii="Arial" w:hAnsi="Arial" w:cs="Arial"/>
          <w:color w:val="231F20"/>
          <w:sz w:val="20"/>
          <w:szCs w:val="20"/>
        </w:rPr>
        <w:t xml:space="preserve"> </w:t>
      </w:r>
      <w:r w:rsidR="0009270F">
        <w:rPr>
          <w:rFonts w:ascii="Arial" w:hAnsi="Arial" w:cs="Arial"/>
          <w:color w:val="231F20"/>
          <w:sz w:val="20"/>
          <w:szCs w:val="20"/>
        </w:rPr>
        <w:t>“</w:t>
      </w:r>
      <w:r w:rsidR="006814FE" w:rsidRPr="00C23944">
        <w:rPr>
          <w:rFonts w:ascii="Arial" w:hAnsi="Arial" w:cs="Arial"/>
          <w:color w:val="231F20"/>
          <w:sz w:val="20"/>
          <w:szCs w:val="20"/>
        </w:rPr>
        <w:t>The World Trade Organization and the European Union</w:t>
      </w:r>
      <w:r w:rsidRPr="00C23944">
        <w:rPr>
          <w:rFonts w:ascii="Arial" w:hAnsi="Arial" w:cs="Arial"/>
          <w:color w:val="231F20"/>
          <w:sz w:val="20"/>
          <w:szCs w:val="20"/>
        </w:rPr>
        <w:t>.</w:t>
      </w:r>
      <w:r w:rsidR="0009270F">
        <w:rPr>
          <w:rFonts w:ascii="Arial" w:hAnsi="Arial" w:cs="Arial"/>
          <w:color w:val="231F20"/>
          <w:sz w:val="20"/>
          <w:szCs w:val="20"/>
        </w:rPr>
        <w:t>”</w:t>
      </w:r>
      <w:r w:rsidRPr="00C23944">
        <w:rPr>
          <w:rFonts w:ascii="Arial" w:hAnsi="Arial" w:cs="Arial"/>
          <w:color w:val="231F20"/>
          <w:sz w:val="20"/>
          <w:szCs w:val="20"/>
        </w:rPr>
        <w:t xml:space="preserve"> </w:t>
      </w:r>
      <w:r w:rsidR="003D0236">
        <w:rPr>
          <w:rFonts w:ascii="Arial" w:hAnsi="Arial" w:cs="Arial"/>
          <w:color w:val="231F20"/>
          <w:sz w:val="20"/>
          <w:szCs w:val="20"/>
        </w:rPr>
        <w:t>i</w:t>
      </w:r>
      <w:r w:rsidRPr="00C23944">
        <w:rPr>
          <w:rFonts w:ascii="Arial" w:hAnsi="Arial" w:cs="Arial"/>
          <w:color w:val="231F20"/>
          <w:sz w:val="20"/>
          <w:szCs w:val="20"/>
        </w:rPr>
        <w:t>n</w:t>
      </w:r>
      <w:r w:rsidR="006814FE" w:rsidRPr="00C23944">
        <w:rPr>
          <w:rFonts w:ascii="Arial" w:hAnsi="Arial" w:cs="Arial"/>
          <w:color w:val="231F20"/>
          <w:sz w:val="20"/>
          <w:szCs w:val="20"/>
        </w:rPr>
        <w:t xml:space="preserve"> </w:t>
      </w:r>
      <w:r w:rsidR="003D0236">
        <w:rPr>
          <w:rFonts w:ascii="Arial" w:hAnsi="Arial" w:cs="Arial"/>
          <w:color w:val="231F20"/>
          <w:sz w:val="20"/>
          <w:szCs w:val="20"/>
        </w:rPr>
        <w:t xml:space="preserve">Knud Erik </w:t>
      </w:r>
      <w:r w:rsidR="006814FE" w:rsidRPr="00C23944">
        <w:rPr>
          <w:rFonts w:ascii="Arial" w:hAnsi="Arial" w:cs="Arial"/>
          <w:color w:val="231F20"/>
          <w:sz w:val="20"/>
          <w:szCs w:val="20"/>
        </w:rPr>
        <w:t>Jørgensen</w:t>
      </w:r>
      <w:r w:rsidR="003D0236">
        <w:rPr>
          <w:rFonts w:ascii="Arial" w:hAnsi="Arial" w:cs="Arial"/>
          <w:color w:val="231F20"/>
          <w:sz w:val="20"/>
          <w:szCs w:val="20"/>
        </w:rPr>
        <w:t xml:space="preserve">, editor, </w:t>
      </w:r>
      <w:r w:rsidR="006814FE" w:rsidRPr="00C23944">
        <w:rPr>
          <w:rFonts w:ascii="Arial" w:hAnsi="Arial" w:cs="Arial"/>
          <w:i/>
          <w:color w:val="231F20"/>
          <w:sz w:val="20"/>
          <w:szCs w:val="20"/>
        </w:rPr>
        <w:t>The European Union and International Organizations</w:t>
      </w:r>
      <w:r w:rsidRPr="00C23944">
        <w:rPr>
          <w:rFonts w:ascii="Arial" w:hAnsi="Arial" w:cs="Arial"/>
          <w:i/>
          <w:color w:val="231F20"/>
          <w:sz w:val="20"/>
          <w:szCs w:val="20"/>
        </w:rPr>
        <w:t>.</w:t>
      </w:r>
      <w:r w:rsidR="006814FE" w:rsidRPr="00C23944">
        <w:rPr>
          <w:rFonts w:ascii="Arial" w:hAnsi="Arial" w:cs="Arial"/>
          <w:i/>
          <w:color w:val="231F20"/>
          <w:sz w:val="20"/>
          <w:szCs w:val="20"/>
        </w:rPr>
        <w:t xml:space="preserve"> </w:t>
      </w:r>
      <w:r w:rsidR="00BD0B99">
        <w:rPr>
          <w:rFonts w:ascii="Arial" w:hAnsi="Arial" w:cs="Arial"/>
          <w:color w:val="231F20"/>
          <w:sz w:val="20"/>
          <w:szCs w:val="20"/>
        </w:rPr>
        <w:t>London: Routledge.</w:t>
      </w:r>
    </w:p>
    <w:p w14:paraId="79E0FDF8" w14:textId="77777777" w:rsidR="001C384A" w:rsidRPr="00C23944" w:rsidRDefault="001C384A" w:rsidP="00CB782C">
      <w:pPr>
        <w:autoSpaceDE w:val="0"/>
        <w:autoSpaceDN w:val="0"/>
        <w:adjustRightInd w:val="0"/>
        <w:spacing w:line="480" w:lineRule="auto"/>
        <w:jc w:val="both"/>
        <w:rPr>
          <w:rFonts w:ascii="Arial" w:hAnsi="Arial" w:cs="Arial"/>
          <w:color w:val="231F20"/>
          <w:sz w:val="20"/>
          <w:szCs w:val="20"/>
        </w:rPr>
      </w:pPr>
    </w:p>
    <w:p w14:paraId="42CAD1D7" w14:textId="07DE298D" w:rsidR="001C384A" w:rsidRPr="00C23944" w:rsidRDefault="007E1764" w:rsidP="00CB782C">
      <w:pPr>
        <w:spacing w:line="480" w:lineRule="auto"/>
        <w:jc w:val="both"/>
        <w:rPr>
          <w:rFonts w:ascii="Arial" w:hAnsi="Arial" w:cs="Arial"/>
          <w:sz w:val="20"/>
          <w:szCs w:val="20"/>
        </w:rPr>
      </w:pPr>
      <w:r w:rsidRPr="00C23944">
        <w:rPr>
          <w:rFonts w:ascii="Arial" w:hAnsi="Arial" w:cs="Arial"/>
          <w:sz w:val="20"/>
          <w:szCs w:val="20"/>
        </w:rPr>
        <w:t>Mukherjee</w:t>
      </w:r>
      <w:r w:rsidR="00D049BA">
        <w:rPr>
          <w:rFonts w:ascii="Arial" w:hAnsi="Arial" w:cs="Arial"/>
          <w:sz w:val="20"/>
          <w:szCs w:val="20"/>
        </w:rPr>
        <w:t>,</w:t>
      </w:r>
      <w:r w:rsidR="001C384A" w:rsidRPr="00C23944">
        <w:rPr>
          <w:rFonts w:ascii="Arial" w:hAnsi="Arial" w:cs="Arial"/>
          <w:sz w:val="20"/>
          <w:szCs w:val="20"/>
        </w:rPr>
        <w:t xml:space="preserve"> A</w:t>
      </w:r>
      <w:r w:rsidR="00D049BA">
        <w:rPr>
          <w:rFonts w:ascii="Arial" w:hAnsi="Arial" w:cs="Arial"/>
          <w:sz w:val="20"/>
          <w:szCs w:val="20"/>
        </w:rPr>
        <w:t>rpita</w:t>
      </w:r>
      <w:r w:rsidR="001C384A" w:rsidRPr="00C23944">
        <w:rPr>
          <w:rFonts w:ascii="Arial" w:hAnsi="Arial" w:cs="Arial"/>
          <w:sz w:val="20"/>
          <w:szCs w:val="20"/>
        </w:rPr>
        <w:t xml:space="preserve"> and Goswami</w:t>
      </w:r>
      <w:r w:rsidR="00D049BA">
        <w:rPr>
          <w:rFonts w:ascii="Arial" w:hAnsi="Arial" w:cs="Arial"/>
          <w:sz w:val="20"/>
          <w:szCs w:val="20"/>
        </w:rPr>
        <w:t>,</w:t>
      </w:r>
      <w:r w:rsidRPr="00C23944">
        <w:rPr>
          <w:rFonts w:ascii="Arial" w:hAnsi="Arial" w:cs="Arial"/>
          <w:sz w:val="20"/>
          <w:szCs w:val="20"/>
        </w:rPr>
        <w:t xml:space="preserve"> R</w:t>
      </w:r>
      <w:r w:rsidR="00D049BA">
        <w:rPr>
          <w:rFonts w:ascii="Arial" w:hAnsi="Arial" w:cs="Arial"/>
          <w:sz w:val="20"/>
          <w:szCs w:val="20"/>
        </w:rPr>
        <w:t>amneet</w:t>
      </w:r>
      <w:r w:rsidR="001C384A" w:rsidRPr="00C23944">
        <w:rPr>
          <w:rFonts w:ascii="Arial" w:hAnsi="Arial" w:cs="Arial"/>
          <w:sz w:val="20"/>
          <w:szCs w:val="20"/>
        </w:rPr>
        <w:t xml:space="preserve"> (2011)</w:t>
      </w:r>
      <w:r w:rsidR="0009270F">
        <w:rPr>
          <w:rFonts w:ascii="Arial" w:hAnsi="Arial" w:cs="Arial"/>
          <w:sz w:val="20"/>
          <w:szCs w:val="20"/>
        </w:rPr>
        <w:t>.</w:t>
      </w:r>
      <w:r w:rsidRPr="00C23944">
        <w:rPr>
          <w:rFonts w:ascii="Arial" w:hAnsi="Arial" w:cs="Arial"/>
          <w:sz w:val="20"/>
          <w:szCs w:val="20"/>
        </w:rPr>
        <w:t xml:space="preserve"> </w:t>
      </w:r>
      <w:r w:rsidR="0009270F">
        <w:rPr>
          <w:rFonts w:ascii="Arial" w:hAnsi="Arial" w:cs="Arial"/>
          <w:sz w:val="20"/>
          <w:szCs w:val="20"/>
        </w:rPr>
        <w:t>“</w:t>
      </w:r>
      <w:r w:rsidR="001C384A" w:rsidRPr="00C23944">
        <w:rPr>
          <w:rFonts w:ascii="Arial" w:hAnsi="Arial" w:cs="Arial"/>
          <w:sz w:val="20"/>
          <w:szCs w:val="20"/>
        </w:rPr>
        <w:t>India-EU BTIA: Implications for Services Sector</w:t>
      </w:r>
      <w:r w:rsidRPr="00C23944">
        <w:rPr>
          <w:rFonts w:ascii="Arial" w:hAnsi="Arial" w:cs="Arial"/>
          <w:sz w:val="20"/>
          <w:szCs w:val="20"/>
        </w:rPr>
        <w:t>.</w:t>
      </w:r>
      <w:r w:rsidR="0009270F">
        <w:rPr>
          <w:rFonts w:ascii="Arial" w:hAnsi="Arial" w:cs="Arial"/>
          <w:sz w:val="20"/>
          <w:szCs w:val="20"/>
        </w:rPr>
        <w:t>”</w:t>
      </w:r>
      <w:r w:rsidR="00D049BA">
        <w:rPr>
          <w:rFonts w:ascii="Arial" w:hAnsi="Arial" w:cs="Arial"/>
          <w:sz w:val="20"/>
          <w:szCs w:val="20"/>
        </w:rPr>
        <w:t xml:space="preserve"> </w:t>
      </w:r>
      <w:r w:rsidR="001C384A" w:rsidRPr="00C23944">
        <w:rPr>
          <w:rFonts w:ascii="Arial" w:hAnsi="Arial" w:cs="Arial"/>
          <w:i/>
          <w:sz w:val="20"/>
          <w:szCs w:val="20"/>
        </w:rPr>
        <w:t>Journal of Indo-European Business Studies</w:t>
      </w:r>
      <w:r w:rsidR="001C384A" w:rsidRPr="00C23944">
        <w:rPr>
          <w:rFonts w:ascii="Arial" w:hAnsi="Arial" w:cs="Arial"/>
          <w:sz w:val="20"/>
          <w:szCs w:val="20"/>
        </w:rPr>
        <w:t xml:space="preserve"> </w:t>
      </w:r>
      <w:r w:rsidRPr="00C23944">
        <w:rPr>
          <w:rFonts w:ascii="Arial" w:hAnsi="Arial" w:cs="Arial"/>
          <w:sz w:val="20"/>
          <w:szCs w:val="20"/>
        </w:rPr>
        <w:t>1</w:t>
      </w:r>
      <w:r w:rsidR="00BD0B99">
        <w:rPr>
          <w:rFonts w:ascii="Arial" w:hAnsi="Arial" w:cs="Arial"/>
          <w:sz w:val="20"/>
          <w:szCs w:val="20"/>
        </w:rPr>
        <w:t xml:space="preserve">, </w:t>
      </w:r>
      <w:r w:rsidR="001C384A" w:rsidRPr="00C23944">
        <w:rPr>
          <w:rFonts w:ascii="Arial" w:hAnsi="Arial" w:cs="Arial"/>
          <w:sz w:val="20"/>
          <w:szCs w:val="20"/>
        </w:rPr>
        <w:t>1: 2-22.</w:t>
      </w:r>
    </w:p>
    <w:p w14:paraId="101DB7F5" w14:textId="77777777" w:rsidR="0010389A" w:rsidRPr="00C23944" w:rsidRDefault="0010389A" w:rsidP="00CB782C">
      <w:pPr>
        <w:autoSpaceDE w:val="0"/>
        <w:autoSpaceDN w:val="0"/>
        <w:adjustRightInd w:val="0"/>
        <w:spacing w:line="480" w:lineRule="auto"/>
        <w:jc w:val="both"/>
        <w:rPr>
          <w:rFonts w:ascii="Arial" w:hAnsi="Arial" w:cs="Arial"/>
          <w:color w:val="231F20"/>
          <w:sz w:val="20"/>
          <w:szCs w:val="20"/>
        </w:rPr>
      </w:pPr>
    </w:p>
    <w:p w14:paraId="7215710D" w14:textId="4E90BA89" w:rsidR="00A82BAF" w:rsidRPr="00C23944" w:rsidRDefault="007E1764" w:rsidP="00CB782C">
      <w:pPr>
        <w:autoSpaceDE w:val="0"/>
        <w:autoSpaceDN w:val="0"/>
        <w:adjustRightInd w:val="0"/>
        <w:spacing w:line="480" w:lineRule="auto"/>
        <w:jc w:val="both"/>
        <w:rPr>
          <w:rFonts w:ascii="Arial" w:hAnsi="Arial" w:cs="Arial"/>
          <w:color w:val="231F20"/>
          <w:sz w:val="20"/>
          <w:szCs w:val="20"/>
        </w:rPr>
      </w:pPr>
      <w:r w:rsidRPr="00C23944">
        <w:rPr>
          <w:rFonts w:ascii="Arial" w:hAnsi="Arial" w:cs="Arial"/>
          <w:color w:val="231F20"/>
          <w:sz w:val="20"/>
          <w:szCs w:val="20"/>
        </w:rPr>
        <w:t>Putnam</w:t>
      </w:r>
      <w:r w:rsidR="00D049BA">
        <w:rPr>
          <w:rFonts w:ascii="Arial" w:hAnsi="Arial" w:cs="Arial"/>
          <w:color w:val="231F20"/>
          <w:sz w:val="20"/>
          <w:szCs w:val="20"/>
        </w:rPr>
        <w:t>,</w:t>
      </w:r>
      <w:r w:rsidRPr="00C23944">
        <w:rPr>
          <w:rFonts w:ascii="Arial" w:hAnsi="Arial" w:cs="Arial"/>
          <w:color w:val="231F20"/>
          <w:sz w:val="20"/>
          <w:szCs w:val="20"/>
        </w:rPr>
        <w:t xml:space="preserve"> R</w:t>
      </w:r>
      <w:r w:rsidR="00D049BA">
        <w:rPr>
          <w:rFonts w:ascii="Arial" w:hAnsi="Arial" w:cs="Arial"/>
          <w:color w:val="231F20"/>
          <w:sz w:val="20"/>
          <w:szCs w:val="20"/>
        </w:rPr>
        <w:t>obert</w:t>
      </w:r>
      <w:r w:rsidRPr="00C23944">
        <w:rPr>
          <w:rFonts w:ascii="Arial" w:hAnsi="Arial" w:cs="Arial"/>
          <w:color w:val="231F20"/>
          <w:sz w:val="20"/>
          <w:szCs w:val="20"/>
        </w:rPr>
        <w:t xml:space="preserve"> (1988)</w:t>
      </w:r>
      <w:r w:rsidR="0009270F">
        <w:rPr>
          <w:rFonts w:ascii="Arial" w:hAnsi="Arial" w:cs="Arial"/>
          <w:color w:val="231F20"/>
          <w:sz w:val="20"/>
          <w:szCs w:val="20"/>
        </w:rPr>
        <w:t>.</w:t>
      </w:r>
      <w:r w:rsidRPr="00C23944">
        <w:rPr>
          <w:rFonts w:ascii="Arial" w:hAnsi="Arial" w:cs="Arial"/>
          <w:color w:val="231F20"/>
          <w:sz w:val="20"/>
          <w:szCs w:val="20"/>
        </w:rPr>
        <w:t xml:space="preserve"> </w:t>
      </w:r>
      <w:r w:rsidR="00577A92">
        <w:rPr>
          <w:rFonts w:ascii="Arial" w:hAnsi="Arial" w:cs="Arial"/>
          <w:color w:val="231F20"/>
          <w:sz w:val="20"/>
          <w:szCs w:val="20"/>
        </w:rPr>
        <w:t>“</w:t>
      </w:r>
      <w:r w:rsidR="00A82BAF" w:rsidRPr="00C23944">
        <w:rPr>
          <w:rFonts w:ascii="Arial" w:hAnsi="Arial" w:cs="Arial"/>
          <w:color w:val="231F20"/>
          <w:sz w:val="20"/>
          <w:szCs w:val="20"/>
        </w:rPr>
        <w:t>Diplomacy and Domestic Politics</w:t>
      </w:r>
      <w:r w:rsidRPr="00C23944">
        <w:rPr>
          <w:rFonts w:ascii="Arial" w:hAnsi="Arial" w:cs="Arial"/>
          <w:color w:val="231F20"/>
          <w:sz w:val="20"/>
          <w:szCs w:val="20"/>
        </w:rPr>
        <w:t>: The Logic of Two-Level Games.</w:t>
      </w:r>
      <w:r w:rsidR="00577A92">
        <w:rPr>
          <w:rFonts w:ascii="Arial" w:hAnsi="Arial" w:cs="Arial"/>
          <w:color w:val="231F20"/>
          <w:sz w:val="20"/>
          <w:szCs w:val="20"/>
        </w:rPr>
        <w:t>”</w:t>
      </w:r>
      <w:r w:rsidR="00A82BAF" w:rsidRPr="00C23944">
        <w:rPr>
          <w:rFonts w:ascii="Arial" w:hAnsi="Arial" w:cs="Arial"/>
          <w:color w:val="231F20"/>
          <w:sz w:val="20"/>
          <w:szCs w:val="20"/>
        </w:rPr>
        <w:t xml:space="preserve"> </w:t>
      </w:r>
      <w:r w:rsidR="00A82BAF" w:rsidRPr="00C23944">
        <w:rPr>
          <w:rFonts w:ascii="Arial" w:hAnsi="Arial" w:cs="Arial"/>
          <w:i/>
          <w:color w:val="231F20"/>
          <w:sz w:val="20"/>
          <w:szCs w:val="20"/>
        </w:rPr>
        <w:t xml:space="preserve">International Organization </w:t>
      </w:r>
      <w:r w:rsidR="00A82BAF" w:rsidRPr="00C23944">
        <w:rPr>
          <w:rFonts w:ascii="Arial" w:hAnsi="Arial" w:cs="Arial"/>
          <w:color w:val="231F20"/>
          <w:sz w:val="20"/>
          <w:szCs w:val="20"/>
        </w:rPr>
        <w:t>42</w:t>
      </w:r>
      <w:r w:rsidR="00BD0B99">
        <w:rPr>
          <w:rFonts w:ascii="Arial" w:hAnsi="Arial" w:cs="Arial"/>
          <w:color w:val="231F20"/>
          <w:sz w:val="20"/>
          <w:szCs w:val="20"/>
        </w:rPr>
        <w:t xml:space="preserve">, </w:t>
      </w:r>
      <w:r w:rsidR="00A82BAF" w:rsidRPr="00C23944">
        <w:rPr>
          <w:rFonts w:ascii="Arial" w:hAnsi="Arial" w:cs="Arial"/>
          <w:color w:val="231F20"/>
          <w:sz w:val="20"/>
          <w:szCs w:val="20"/>
        </w:rPr>
        <w:t>3: 427-460.</w:t>
      </w:r>
    </w:p>
    <w:p w14:paraId="31324F35" w14:textId="77777777" w:rsidR="00A82BAF" w:rsidRPr="00C23944" w:rsidRDefault="00A82BAF" w:rsidP="00CB782C">
      <w:pPr>
        <w:autoSpaceDE w:val="0"/>
        <w:autoSpaceDN w:val="0"/>
        <w:adjustRightInd w:val="0"/>
        <w:spacing w:line="480" w:lineRule="auto"/>
        <w:jc w:val="both"/>
        <w:rPr>
          <w:rFonts w:ascii="Arial" w:hAnsi="Arial" w:cs="Arial"/>
          <w:color w:val="231F20"/>
          <w:sz w:val="20"/>
          <w:szCs w:val="20"/>
        </w:rPr>
      </w:pPr>
    </w:p>
    <w:p w14:paraId="5481D98E" w14:textId="52C1001B" w:rsidR="002D36D8" w:rsidRPr="00C23944" w:rsidRDefault="007E1764" w:rsidP="00CB782C">
      <w:pPr>
        <w:autoSpaceDE w:val="0"/>
        <w:autoSpaceDN w:val="0"/>
        <w:adjustRightInd w:val="0"/>
        <w:spacing w:line="480" w:lineRule="auto"/>
        <w:jc w:val="both"/>
        <w:rPr>
          <w:rFonts w:ascii="Arial" w:hAnsi="Arial" w:cs="Arial"/>
          <w:color w:val="231F20"/>
          <w:sz w:val="20"/>
          <w:szCs w:val="20"/>
          <w:lang w:val="fr-FR"/>
        </w:rPr>
      </w:pPr>
      <w:r w:rsidRPr="00C23944">
        <w:rPr>
          <w:rFonts w:ascii="Arial" w:hAnsi="Arial" w:cs="Arial"/>
          <w:color w:val="231F20"/>
          <w:sz w:val="20"/>
          <w:szCs w:val="20"/>
          <w:lang w:val="fr-FR"/>
        </w:rPr>
        <w:t>Ramdasi</w:t>
      </w:r>
      <w:r w:rsidR="00D049BA">
        <w:rPr>
          <w:rFonts w:ascii="Arial" w:hAnsi="Arial" w:cs="Arial"/>
          <w:color w:val="231F20"/>
          <w:sz w:val="20"/>
          <w:szCs w:val="20"/>
          <w:lang w:val="fr-FR"/>
        </w:rPr>
        <w:t>,</w:t>
      </w:r>
      <w:r w:rsidRPr="00C23944">
        <w:rPr>
          <w:rFonts w:ascii="Arial" w:hAnsi="Arial" w:cs="Arial"/>
          <w:color w:val="231F20"/>
          <w:sz w:val="20"/>
          <w:szCs w:val="20"/>
          <w:lang w:val="fr-FR"/>
        </w:rPr>
        <w:t xml:space="preserve"> P</w:t>
      </w:r>
      <w:r w:rsidR="00D049BA">
        <w:rPr>
          <w:rFonts w:ascii="Arial" w:hAnsi="Arial" w:cs="Arial"/>
          <w:color w:val="231F20"/>
          <w:sz w:val="20"/>
          <w:szCs w:val="20"/>
          <w:lang w:val="fr-FR"/>
        </w:rPr>
        <w:t>reeti</w:t>
      </w:r>
      <w:r w:rsidR="002D36D8" w:rsidRPr="00C23944">
        <w:rPr>
          <w:rFonts w:ascii="Arial" w:hAnsi="Arial" w:cs="Arial"/>
          <w:color w:val="231F20"/>
          <w:sz w:val="20"/>
          <w:szCs w:val="20"/>
          <w:lang w:val="fr-FR"/>
        </w:rPr>
        <w:t xml:space="preserve"> (2010)</w:t>
      </w:r>
      <w:r w:rsidR="0009270F">
        <w:rPr>
          <w:rFonts w:ascii="Arial" w:hAnsi="Arial" w:cs="Arial"/>
          <w:color w:val="231F20"/>
          <w:sz w:val="20"/>
          <w:szCs w:val="20"/>
          <w:lang w:val="fr-FR"/>
        </w:rPr>
        <w:t>.</w:t>
      </w:r>
      <w:r w:rsidR="002D36D8" w:rsidRPr="00C23944">
        <w:rPr>
          <w:rFonts w:ascii="Arial" w:hAnsi="Arial" w:cs="Arial"/>
          <w:color w:val="231F20"/>
          <w:sz w:val="20"/>
          <w:szCs w:val="20"/>
          <w:lang w:val="fr-FR"/>
        </w:rPr>
        <w:t xml:space="preserve"> </w:t>
      </w:r>
      <w:r w:rsidR="002B5C7A">
        <w:rPr>
          <w:rFonts w:ascii="Arial" w:hAnsi="Arial" w:cs="Arial"/>
          <w:color w:val="231F20"/>
          <w:sz w:val="20"/>
          <w:szCs w:val="20"/>
        </w:rPr>
        <w:t>“</w:t>
      </w:r>
      <w:r w:rsidR="002D36D8" w:rsidRPr="00C23944">
        <w:rPr>
          <w:rFonts w:ascii="Arial" w:hAnsi="Arial" w:cs="Arial"/>
          <w:color w:val="231F20"/>
          <w:sz w:val="20"/>
          <w:szCs w:val="20"/>
          <w:lang w:val="fr-FR"/>
        </w:rPr>
        <w:t>An Overview of India’s Trade Strategy</w:t>
      </w:r>
      <w:r w:rsidRPr="00C23944">
        <w:rPr>
          <w:rFonts w:ascii="Arial" w:hAnsi="Arial" w:cs="Arial"/>
          <w:color w:val="231F20"/>
          <w:sz w:val="20"/>
          <w:szCs w:val="20"/>
          <w:lang w:val="fr-FR"/>
        </w:rPr>
        <w:t>.</w:t>
      </w:r>
      <w:r w:rsidR="002B5C7A">
        <w:rPr>
          <w:rFonts w:ascii="Arial" w:hAnsi="Arial" w:cs="Arial"/>
          <w:color w:val="231F20"/>
          <w:sz w:val="20"/>
          <w:szCs w:val="20"/>
        </w:rPr>
        <w:t>“</w:t>
      </w:r>
      <w:r w:rsidR="002D36D8" w:rsidRPr="00C23944">
        <w:rPr>
          <w:rFonts w:ascii="Arial" w:hAnsi="Arial" w:cs="Arial"/>
          <w:i/>
          <w:color w:val="231F20"/>
          <w:sz w:val="20"/>
          <w:szCs w:val="20"/>
          <w:lang w:val="fr-FR"/>
        </w:rPr>
        <w:t xml:space="preserve"> Idées pour le Débat de l’Institut Du Développement Durable et des Relations Internationales</w:t>
      </w:r>
      <w:r w:rsidRPr="00C23944">
        <w:rPr>
          <w:rFonts w:ascii="Arial" w:hAnsi="Arial" w:cs="Arial"/>
          <w:i/>
          <w:color w:val="231F20"/>
          <w:sz w:val="20"/>
          <w:szCs w:val="20"/>
          <w:lang w:val="fr-FR"/>
        </w:rPr>
        <w:t>.</w:t>
      </w:r>
      <w:r w:rsidR="00994D8E" w:rsidRPr="00C23944">
        <w:rPr>
          <w:rFonts w:ascii="Arial" w:hAnsi="Arial" w:cs="Arial"/>
          <w:i/>
          <w:color w:val="231F20"/>
          <w:sz w:val="20"/>
          <w:szCs w:val="20"/>
          <w:lang w:val="fr-FR"/>
        </w:rPr>
        <w:t xml:space="preserve"> </w:t>
      </w:r>
      <w:r w:rsidR="00994D8E" w:rsidRPr="00C23944">
        <w:rPr>
          <w:rFonts w:ascii="Arial" w:hAnsi="Arial" w:cs="Arial"/>
          <w:color w:val="231F20"/>
          <w:sz w:val="20"/>
          <w:szCs w:val="20"/>
          <w:lang w:val="fr-FR"/>
        </w:rPr>
        <w:t>Paris : Sciences Po.</w:t>
      </w:r>
    </w:p>
    <w:p w14:paraId="1D1CC799" w14:textId="77777777" w:rsidR="00136701" w:rsidRPr="00C23944" w:rsidRDefault="00136701" w:rsidP="00CB782C">
      <w:pPr>
        <w:autoSpaceDE w:val="0"/>
        <w:autoSpaceDN w:val="0"/>
        <w:adjustRightInd w:val="0"/>
        <w:spacing w:line="480" w:lineRule="auto"/>
        <w:jc w:val="both"/>
        <w:rPr>
          <w:rFonts w:ascii="Arial" w:hAnsi="Arial" w:cs="Arial"/>
          <w:color w:val="231F20"/>
          <w:sz w:val="20"/>
          <w:szCs w:val="20"/>
          <w:lang w:val="fr-FR"/>
        </w:rPr>
      </w:pPr>
    </w:p>
    <w:p w14:paraId="02EAF7D2" w14:textId="0551C775" w:rsidR="00136701" w:rsidRDefault="007E1764" w:rsidP="00CB782C">
      <w:pPr>
        <w:autoSpaceDE w:val="0"/>
        <w:autoSpaceDN w:val="0"/>
        <w:adjustRightInd w:val="0"/>
        <w:spacing w:line="480" w:lineRule="auto"/>
        <w:jc w:val="both"/>
        <w:rPr>
          <w:rFonts w:ascii="Arial" w:hAnsi="Arial" w:cs="Arial"/>
          <w:color w:val="231F20"/>
          <w:sz w:val="20"/>
          <w:szCs w:val="20"/>
          <w:lang w:val="fr-FR"/>
        </w:rPr>
      </w:pPr>
      <w:r w:rsidRPr="00C23944">
        <w:rPr>
          <w:rFonts w:ascii="Arial" w:hAnsi="Arial" w:cs="Arial"/>
          <w:color w:val="231F20"/>
          <w:sz w:val="20"/>
          <w:szCs w:val="20"/>
          <w:lang w:val="fr-FR"/>
        </w:rPr>
        <w:t>Ranjan Mishra</w:t>
      </w:r>
      <w:r w:rsidR="00D049BA">
        <w:rPr>
          <w:rFonts w:ascii="Arial" w:hAnsi="Arial" w:cs="Arial"/>
          <w:color w:val="231F20"/>
          <w:sz w:val="20"/>
          <w:szCs w:val="20"/>
          <w:lang w:val="fr-FR"/>
        </w:rPr>
        <w:t>,</w:t>
      </w:r>
      <w:r w:rsidRPr="00C23944">
        <w:rPr>
          <w:rFonts w:ascii="Arial" w:hAnsi="Arial" w:cs="Arial"/>
          <w:color w:val="231F20"/>
          <w:sz w:val="20"/>
          <w:szCs w:val="20"/>
          <w:lang w:val="fr-FR"/>
        </w:rPr>
        <w:t xml:space="preserve"> A</w:t>
      </w:r>
      <w:r w:rsidR="00D049BA">
        <w:rPr>
          <w:rFonts w:ascii="Arial" w:hAnsi="Arial" w:cs="Arial"/>
          <w:color w:val="231F20"/>
          <w:sz w:val="20"/>
          <w:szCs w:val="20"/>
          <w:lang w:val="fr-FR"/>
        </w:rPr>
        <w:t>sit</w:t>
      </w:r>
      <w:r w:rsidRPr="00C23944">
        <w:rPr>
          <w:rFonts w:ascii="Arial" w:hAnsi="Arial" w:cs="Arial"/>
          <w:color w:val="231F20"/>
          <w:sz w:val="20"/>
          <w:szCs w:val="20"/>
          <w:lang w:val="fr-FR"/>
        </w:rPr>
        <w:t xml:space="preserve"> (2015)</w:t>
      </w:r>
      <w:r w:rsidR="0009270F">
        <w:rPr>
          <w:rFonts w:ascii="Arial" w:hAnsi="Arial" w:cs="Arial"/>
          <w:color w:val="231F20"/>
          <w:sz w:val="20"/>
          <w:szCs w:val="20"/>
          <w:lang w:val="fr-FR"/>
        </w:rPr>
        <w:t>.</w:t>
      </w:r>
      <w:r w:rsidR="002B5C7A" w:rsidRPr="002B5C7A">
        <w:rPr>
          <w:rFonts w:ascii="Arial" w:hAnsi="Arial" w:cs="Arial"/>
          <w:color w:val="231F20"/>
          <w:sz w:val="20"/>
          <w:szCs w:val="20"/>
        </w:rPr>
        <w:t xml:space="preserve"> </w:t>
      </w:r>
      <w:r w:rsidR="002B5C7A">
        <w:rPr>
          <w:rFonts w:ascii="Arial" w:hAnsi="Arial" w:cs="Arial"/>
          <w:color w:val="231F20"/>
          <w:sz w:val="20"/>
          <w:szCs w:val="20"/>
        </w:rPr>
        <w:t>“</w:t>
      </w:r>
      <w:r w:rsidR="00136701" w:rsidRPr="00C23944">
        <w:rPr>
          <w:rFonts w:ascii="Arial" w:hAnsi="Arial" w:cs="Arial"/>
          <w:color w:val="231F20"/>
          <w:sz w:val="20"/>
          <w:szCs w:val="20"/>
          <w:lang w:val="fr-FR"/>
        </w:rPr>
        <w:t>Sitharaman to m</w:t>
      </w:r>
      <w:r w:rsidRPr="00C23944">
        <w:rPr>
          <w:rFonts w:ascii="Arial" w:hAnsi="Arial" w:cs="Arial"/>
          <w:color w:val="231F20"/>
          <w:sz w:val="20"/>
          <w:szCs w:val="20"/>
          <w:lang w:val="fr-FR"/>
        </w:rPr>
        <w:t>eet EU counterpart of FTA talks.</w:t>
      </w:r>
      <w:r w:rsidR="002B5C7A">
        <w:rPr>
          <w:rFonts w:ascii="Arial" w:hAnsi="Arial" w:cs="Arial"/>
          <w:color w:val="231F20"/>
          <w:sz w:val="20"/>
          <w:szCs w:val="20"/>
        </w:rPr>
        <w:t>“</w:t>
      </w:r>
      <w:r w:rsidR="00136701" w:rsidRPr="00C23944">
        <w:rPr>
          <w:rFonts w:ascii="Arial" w:hAnsi="Arial" w:cs="Arial"/>
          <w:color w:val="231F20"/>
          <w:sz w:val="20"/>
          <w:szCs w:val="20"/>
          <w:lang w:val="fr-FR"/>
        </w:rPr>
        <w:t xml:space="preserve"> </w:t>
      </w:r>
      <w:r w:rsidR="00136701" w:rsidRPr="00C23944">
        <w:rPr>
          <w:rFonts w:ascii="Arial" w:hAnsi="Arial" w:cs="Arial"/>
          <w:i/>
          <w:color w:val="231F20"/>
          <w:sz w:val="20"/>
          <w:szCs w:val="20"/>
          <w:lang w:val="fr-FR"/>
        </w:rPr>
        <w:t>Live</w:t>
      </w:r>
      <w:r w:rsidRPr="00C23944">
        <w:rPr>
          <w:rFonts w:ascii="Arial" w:hAnsi="Arial" w:cs="Arial"/>
          <w:i/>
          <w:color w:val="231F20"/>
          <w:sz w:val="20"/>
          <w:szCs w:val="20"/>
          <w:lang w:val="fr-FR"/>
        </w:rPr>
        <w:t xml:space="preserve"> Mint.</w:t>
      </w:r>
      <w:r w:rsidR="00136701" w:rsidRPr="00C23944">
        <w:rPr>
          <w:rFonts w:ascii="Arial" w:hAnsi="Arial" w:cs="Arial"/>
          <w:i/>
          <w:color w:val="231F20"/>
          <w:sz w:val="20"/>
          <w:szCs w:val="20"/>
          <w:lang w:val="fr-FR"/>
        </w:rPr>
        <w:t xml:space="preserve"> </w:t>
      </w:r>
      <w:r w:rsidR="00136701" w:rsidRPr="00C23944">
        <w:rPr>
          <w:rFonts w:ascii="Arial" w:hAnsi="Arial" w:cs="Arial"/>
          <w:color w:val="231F20"/>
          <w:sz w:val="20"/>
          <w:szCs w:val="20"/>
          <w:lang w:val="fr-FR"/>
        </w:rPr>
        <w:t>11 May 2015.</w:t>
      </w:r>
    </w:p>
    <w:p w14:paraId="4C2E6B3E" w14:textId="77777777" w:rsidR="00AE7EA1" w:rsidRDefault="00AE7EA1" w:rsidP="00CB782C">
      <w:pPr>
        <w:autoSpaceDE w:val="0"/>
        <w:autoSpaceDN w:val="0"/>
        <w:adjustRightInd w:val="0"/>
        <w:spacing w:line="480" w:lineRule="auto"/>
        <w:jc w:val="both"/>
        <w:rPr>
          <w:rFonts w:ascii="Arial" w:hAnsi="Arial" w:cs="Arial"/>
          <w:color w:val="231F20"/>
          <w:sz w:val="20"/>
          <w:szCs w:val="20"/>
          <w:lang w:val="fr-FR"/>
        </w:rPr>
      </w:pPr>
    </w:p>
    <w:p w14:paraId="346656C7" w14:textId="285B5C52" w:rsidR="00421346" w:rsidRDefault="007E1764" w:rsidP="00CB782C">
      <w:pPr>
        <w:autoSpaceDE w:val="0"/>
        <w:autoSpaceDN w:val="0"/>
        <w:adjustRightInd w:val="0"/>
        <w:spacing w:line="480" w:lineRule="auto"/>
        <w:jc w:val="both"/>
        <w:rPr>
          <w:rFonts w:ascii="Arial" w:hAnsi="Arial" w:cs="Arial"/>
          <w:color w:val="231F20"/>
          <w:sz w:val="20"/>
          <w:szCs w:val="20"/>
        </w:rPr>
      </w:pPr>
      <w:r w:rsidRPr="00BB7BE9">
        <w:rPr>
          <w:rFonts w:ascii="Arial" w:hAnsi="Arial" w:cs="Arial"/>
          <w:color w:val="231F20"/>
          <w:sz w:val="20"/>
          <w:szCs w:val="20"/>
        </w:rPr>
        <w:t>Ripoll Servent</w:t>
      </w:r>
      <w:r w:rsidR="00D049BA" w:rsidRPr="00BB7BE9">
        <w:rPr>
          <w:rFonts w:ascii="Arial" w:hAnsi="Arial" w:cs="Arial"/>
          <w:color w:val="231F20"/>
          <w:sz w:val="20"/>
          <w:szCs w:val="20"/>
        </w:rPr>
        <w:t>,</w:t>
      </w:r>
      <w:r w:rsidRPr="00BB7BE9">
        <w:rPr>
          <w:rFonts w:ascii="Arial" w:hAnsi="Arial" w:cs="Arial"/>
          <w:color w:val="231F20"/>
          <w:sz w:val="20"/>
          <w:szCs w:val="20"/>
        </w:rPr>
        <w:t xml:space="preserve"> A</w:t>
      </w:r>
      <w:r w:rsidR="00D049BA" w:rsidRPr="00BB7BE9">
        <w:rPr>
          <w:rFonts w:ascii="Arial" w:hAnsi="Arial" w:cs="Arial"/>
          <w:color w:val="231F20"/>
          <w:sz w:val="20"/>
          <w:szCs w:val="20"/>
        </w:rPr>
        <w:t>riadna</w:t>
      </w:r>
      <w:r w:rsidR="00421346" w:rsidRPr="00BB7BE9">
        <w:rPr>
          <w:rFonts w:ascii="Arial" w:hAnsi="Arial" w:cs="Arial"/>
          <w:color w:val="231F20"/>
          <w:sz w:val="20"/>
          <w:szCs w:val="20"/>
        </w:rPr>
        <w:t xml:space="preserve"> (2014)</w:t>
      </w:r>
      <w:r w:rsidR="0009270F" w:rsidRPr="00BB7BE9">
        <w:rPr>
          <w:rFonts w:ascii="Arial" w:hAnsi="Arial" w:cs="Arial"/>
          <w:color w:val="231F20"/>
          <w:sz w:val="20"/>
          <w:szCs w:val="20"/>
        </w:rPr>
        <w:t>.</w:t>
      </w:r>
      <w:r w:rsidR="00421346" w:rsidRPr="00BB7BE9">
        <w:rPr>
          <w:rFonts w:ascii="Arial" w:hAnsi="Arial" w:cs="Arial"/>
          <w:color w:val="231F20"/>
          <w:sz w:val="20"/>
          <w:szCs w:val="20"/>
        </w:rPr>
        <w:t xml:space="preserve"> </w:t>
      </w:r>
      <w:r w:rsidR="002B5C7A" w:rsidRPr="00BB7BE9">
        <w:rPr>
          <w:rFonts w:ascii="Arial" w:hAnsi="Arial" w:cs="Arial"/>
          <w:color w:val="231F20"/>
          <w:sz w:val="20"/>
          <w:szCs w:val="20"/>
        </w:rPr>
        <w:t>“</w:t>
      </w:r>
      <w:r w:rsidR="00421346" w:rsidRPr="00BB7BE9">
        <w:rPr>
          <w:rFonts w:ascii="Arial" w:hAnsi="Arial" w:cs="Arial"/>
          <w:color w:val="231F20"/>
          <w:sz w:val="20"/>
          <w:szCs w:val="20"/>
        </w:rPr>
        <w:t>The role of the European Parliament in international</w:t>
      </w:r>
      <w:r w:rsidRPr="00BB7BE9">
        <w:rPr>
          <w:rFonts w:ascii="Arial" w:hAnsi="Arial" w:cs="Arial"/>
          <w:color w:val="231F20"/>
          <w:sz w:val="20"/>
          <w:szCs w:val="20"/>
        </w:rPr>
        <w:t xml:space="preserve"> negotiations after Lisbon.</w:t>
      </w:r>
      <w:r w:rsidR="002B5C7A" w:rsidRPr="00BB7BE9">
        <w:rPr>
          <w:rFonts w:ascii="Arial" w:hAnsi="Arial" w:cs="Arial"/>
          <w:color w:val="231F20"/>
          <w:sz w:val="20"/>
          <w:szCs w:val="20"/>
        </w:rPr>
        <w:t>”</w:t>
      </w:r>
      <w:r w:rsidR="00421346" w:rsidRPr="00BB7BE9">
        <w:rPr>
          <w:rFonts w:ascii="Arial" w:hAnsi="Arial" w:cs="Arial"/>
          <w:color w:val="231F20"/>
          <w:sz w:val="20"/>
          <w:szCs w:val="20"/>
        </w:rPr>
        <w:t xml:space="preserve"> </w:t>
      </w:r>
      <w:r w:rsidR="00421346" w:rsidRPr="00BB7BE9">
        <w:rPr>
          <w:rFonts w:ascii="Arial" w:hAnsi="Arial" w:cs="Arial"/>
          <w:i/>
          <w:color w:val="231F20"/>
          <w:sz w:val="20"/>
          <w:szCs w:val="20"/>
        </w:rPr>
        <w:t xml:space="preserve">Journal of European Public Policy </w:t>
      </w:r>
      <w:r w:rsidR="00421346" w:rsidRPr="00BB7BE9">
        <w:rPr>
          <w:rFonts w:ascii="Arial" w:hAnsi="Arial" w:cs="Arial"/>
          <w:color w:val="231F20"/>
          <w:sz w:val="20"/>
          <w:szCs w:val="20"/>
        </w:rPr>
        <w:t>21</w:t>
      </w:r>
      <w:r w:rsidR="00BD0B99" w:rsidRPr="00BB7BE9">
        <w:rPr>
          <w:rFonts w:ascii="Arial" w:hAnsi="Arial" w:cs="Arial"/>
          <w:color w:val="231F20"/>
          <w:sz w:val="20"/>
          <w:szCs w:val="20"/>
        </w:rPr>
        <w:t xml:space="preserve">, </w:t>
      </w:r>
      <w:r w:rsidR="00421346" w:rsidRPr="00BB7BE9">
        <w:rPr>
          <w:rFonts w:ascii="Arial" w:hAnsi="Arial" w:cs="Arial"/>
          <w:color w:val="231F20"/>
          <w:sz w:val="20"/>
          <w:szCs w:val="20"/>
        </w:rPr>
        <w:t>4: 568-586.</w:t>
      </w:r>
      <w:r w:rsidR="00615D1F">
        <w:rPr>
          <w:rFonts w:ascii="Arial" w:hAnsi="Arial" w:cs="Arial"/>
          <w:color w:val="231F20"/>
          <w:sz w:val="20"/>
          <w:szCs w:val="20"/>
        </w:rPr>
        <w:t xml:space="preserve"> </w:t>
      </w:r>
    </w:p>
    <w:p w14:paraId="6E6A7A96" w14:textId="77777777" w:rsidR="00615D1F" w:rsidRDefault="00615D1F" w:rsidP="00CB782C">
      <w:pPr>
        <w:autoSpaceDE w:val="0"/>
        <w:autoSpaceDN w:val="0"/>
        <w:adjustRightInd w:val="0"/>
        <w:spacing w:line="480" w:lineRule="auto"/>
        <w:jc w:val="both"/>
        <w:rPr>
          <w:rFonts w:ascii="Arial" w:hAnsi="Arial" w:cs="Arial"/>
          <w:color w:val="231F20"/>
          <w:sz w:val="20"/>
          <w:szCs w:val="20"/>
        </w:rPr>
      </w:pPr>
    </w:p>
    <w:p w14:paraId="1CFBAAA5" w14:textId="53F190E7" w:rsidR="00615D1F" w:rsidRPr="00615D1F" w:rsidRDefault="00615D1F" w:rsidP="00CB782C">
      <w:pPr>
        <w:autoSpaceDE w:val="0"/>
        <w:autoSpaceDN w:val="0"/>
        <w:adjustRightInd w:val="0"/>
        <w:spacing w:line="480" w:lineRule="auto"/>
        <w:jc w:val="both"/>
        <w:rPr>
          <w:rFonts w:ascii="Arial" w:hAnsi="Arial" w:cs="Arial"/>
          <w:color w:val="231F20"/>
          <w:sz w:val="20"/>
          <w:szCs w:val="20"/>
        </w:rPr>
      </w:pPr>
      <w:r>
        <w:rPr>
          <w:rFonts w:ascii="Arial" w:hAnsi="Arial" w:cs="Arial"/>
          <w:color w:val="231F20"/>
          <w:sz w:val="20"/>
          <w:szCs w:val="20"/>
        </w:rPr>
        <w:t xml:space="preserve">Shaohua, Yan (2015). “The European Parliament’s Role in EU Trade Policy after Lisbon: Analysis from and Actorness Approach.” </w:t>
      </w:r>
      <w:r>
        <w:rPr>
          <w:rFonts w:ascii="Arial" w:hAnsi="Arial" w:cs="Arial"/>
          <w:i/>
          <w:color w:val="231F20"/>
          <w:sz w:val="20"/>
          <w:szCs w:val="20"/>
        </w:rPr>
        <w:t xml:space="preserve">Online Papers on Parliamentary Democracy </w:t>
      </w:r>
      <w:r>
        <w:rPr>
          <w:rFonts w:ascii="Arial" w:hAnsi="Arial" w:cs="Arial"/>
          <w:color w:val="231F20"/>
          <w:sz w:val="20"/>
          <w:szCs w:val="20"/>
        </w:rPr>
        <w:t>3/2015. PADEMIA.</w:t>
      </w:r>
    </w:p>
    <w:p w14:paraId="7550C2F5" w14:textId="77777777" w:rsidR="00615D1F" w:rsidRDefault="00615D1F" w:rsidP="00CB782C">
      <w:pPr>
        <w:spacing w:line="480" w:lineRule="auto"/>
        <w:jc w:val="both"/>
        <w:rPr>
          <w:rFonts w:ascii="Times" w:hAnsi="Times"/>
          <w:sz w:val="20"/>
          <w:szCs w:val="20"/>
          <w:lang w:eastAsia="en-US"/>
        </w:rPr>
      </w:pPr>
    </w:p>
    <w:p w14:paraId="1483EF29" w14:textId="45B1EF77" w:rsidR="002D36D8" w:rsidRPr="00BB7BE9" w:rsidRDefault="007E1764" w:rsidP="00CB782C">
      <w:pPr>
        <w:spacing w:line="480" w:lineRule="auto"/>
        <w:jc w:val="both"/>
        <w:rPr>
          <w:rFonts w:ascii="Arial" w:hAnsi="Arial" w:cs="Arial"/>
          <w:sz w:val="20"/>
          <w:szCs w:val="20"/>
        </w:rPr>
      </w:pPr>
      <w:r w:rsidRPr="00BB7BE9">
        <w:rPr>
          <w:rFonts w:ascii="Arial" w:hAnsi="Arial" w:cs="Arial"/>
          <w:sz w:val="20"/>
          <w:szCs w:val="20"/>
        </w:rPr>
        <w:t>Schelling</w:t>
      </w:r>
      <w:r w:rsidR="00D049BA" w:rsidRPr="00BB7BE9">
        <w:rPr>
          <w:rFonts w:ascii="Arial" w:hAnsi="Arial" w:cs="Arial"/>
          <w:sz w:val="20"/>
          <w:szCs w:val="20"/>
        </w:rPr>
        <w:t>,</w:t>
      </w:r>
      <w:r w:rsidR="002D36D8" w:rsidRPr="00BB7BE9">
        <w:rPr>
          <w:rFonts w:ascii="Arial" w:hAnsi="Arial" w:cs="Arial"/>
          <w:sz w:val="20"/>
          <w:szCs w:val="20"/>
        </w:rPr>
        <w:t xml:space="preserve"> T</w:t>
      </w:r>
      <w:r w:rsidR="00D049BA" w:rsidRPr="00BB7BE9">
        <w:rPr>
          <w:rFonts w:ascii="Arial" w:hAnsi="Arial" w:cs="Arial"/>
          <w:sz w:val="20"/>
          <w:szCs w:val="20"/>
        </w:rPr>
        <w:t>homas</w:t>
      </w:r>
      <w:r w:rsidR="002D36D8" w:rsidRPr="00BB7BE9">
        <w:rPr>
          <w:rFonts w:ascii="Arial" w:hAnsi="Arial" w:cs="Arial"/>
          <w:sz w:val="20"/>
          <w:szCs w:val="20"/>
        </w:rPr>
        <w:t xml:space="preserve"> (1960)</w:t>
      </w:r>
      <w:r w:rsidR="0009270F" w:rsidRPr="00BB7BE9">
        <w:rPr>
          <w:rFonts w:ascii="Arial" w:hAnsi="Arial" w:cs="Arial"/>
          <w:sz w:val="20"/>
          <w:szCs w:val="20"/>
        </w:rPr>
        <w:t>.</w:t>
      </w:r>
      <w:r w:rsidR="002D36D8" w:rsidRPr="00BB7BE9">
        <w:rPr>
          <w:rFonts w:ascii="Arial" w:hAnsi="Arial" w:cs="Arial"/>
          <w:sz w:val="20"/>
          <w:szCs w:val="20"/>
        </w:rPr>
        <w:t xml:space="preserve"> </w:t>
      </w:r>
      <w:r w:rsidR="002D36D8" w:rsidRPr="00BB7BE9">
        <w:rPr>
          <w:rFonts w:ascii="Arial" w:hAnsi="Arial" w:cs="Arial"/>
          <w:i/>
          <w:iCs/>
          <w:sz w:val="20"/>
          <w:szCs w:val="20"/>
        </w:rPr>
        <w:t>The Strategy of Conflict</w:t>
      </w:r>
      <w:r w:rsidRPr="00BB7BE9">
        <w:rPr>
          <w:rFonts w:ascii="Arial" w:hAnsi="Arial" w:cs="Arial"/>
          <w:i/>
          <w:iCs/>
          <w:sz w:val="20"/>
          <w:szCs w:val="20"/>
        </w:rPr>
        <w:t>.</w:t>
      </w:r>
      <w:r w:rsidR="002D36D8" w:rsidRPr="00BB7BE9">
        <w:rPr>
          <w:rFonts w:ascii="Arial" w:hAnsi="Arial" w:cs="Arial"/>
          <w:i/>
          <w:iCs/>
          <w:sz w:val="20"/>
          <w:szCs w:val="20"/>
        </w:rPr>
        <w:t xml:space="preserve"> </w:t>
      </w:r>
      <w:r w:rsidR="001F3693" w:rsidRPr="00BB7BE9">
        <w:rPr>
          <w:rFonts w:ascii="Arial" w:hAnsi="Arial" w:cs="Arial"/>
          <w:sz w:val="20"/>
          <w:szCs w:val="20"/>
        </w:rPr>
        <w:t>Cambridge</w:t>
      </w:r>
      <w:r w:rsidR="00BD0B99" w:rsidRPr="00BB7BE9">
        <w:rPr>
          <w:rFonts w:ascii="Arial" w:hAnsi="Arial" w:cs="Arial"/>
          <w:sz w:val="20"/>
          <w:szCs w:val="20"/>
        </w:rPr>
        <w:t>, MA</w:t>
      </w:r>
      <w:r w:rsidR="001F3693" w:rsidRPr="00BB7BE9">
        <w:rPr>
          <w:rFonts w:ascii="Arial" w:hAnsi="Arial" w:cs="Arial"/>
          <w:sz w:val="20"/>
          <w:szCs w:val="20"/>
        </w:rPr>
        <w:t xml:space="preserve">: </w:t>
      </w:r>
      <w:r w:rsidR="00994D8E" w:rsidRPr="00BB7BE9">
        <w:rPr>
          <w:rFonts w:ascii="Arial" w:hAnsi="Arial" w:cs="Arial"/>
          <w:sz w:val="20"/>
          <w:szCs w:val="20"/>
        </w:rPr>
        <w:t>Harvard University Press</w:t>
      </w:r>
      <w:r w:rsidR="00FE1367" w:rsidRPr="00BB7BE9">
        <w:rPr>
          <w:rFonts w:ascii="Arial" w:hAnsi="Arial" w:cs="Arial"/>
          <w:sz w:val="20"/>
          <w:szCs w:val="20"/>
        </w:rPr>
        <w:t>.</w:t>
      </w:r>
    </w:p>
    <w:p w14:paraId="1B8DA4D3" w14:textId="77777777" w:rsidR="007E1764" w:rsidRPr="00BB7BE9" w:rsidRDefault="007E1764" w:rsidP="00CB782C">
      <w:pPr>
        <w:spacing w:line="480" w:lineRule="auto"/>
        <w:jc w:val="both"/>
        <w:rPr>
          <w:rFonts w:ascii="Arial" w:hAnsi="Arial" w:cs="Arial"/>
          <w:sz w:val="20"/>
          <w:szCs w:val="20"/>
        </w:rPr>
      </w:pPr>
    </w:p>
    <w:p w14:paraId="0E4D7FB9" w14:textId="3CED9655" w:rsidR="007E1764" w:rsidRPr="00BB7BE9" w:rsidRDefault="007E1764" w:rsidP="00CB782C">
      <w:pPr>
        <w:spacing w:line="480" w:lineRule="auto"/>
        <w:jc w:val="both"/>
        <w:rPr>
          <w:rFonts w:ascii="Arial" w:hAnsi="Arial" w:cs="Arial"/>
          <w:sz w:val="20"/>
          <w:szCs w:val="20"/>
        </w:rPr>
      </w:pPr>
      <w:r w:rsidRPr="00BB7BE9">
        <w:rPr>
          <w:rFonts w:ascii="Arial" w:hAnsi="Arial" w:cs="Arial"/>
          <w:sz w:val="20"/>
          <w:szCs w:val="20"/>
        </w:rPr>
        <w:t>Shepard</w:t>
      </w:r>
      <w:r w:rsidR="00D049BA" w:rsidRPr="00BB7BE9">
        <w:rPr>
          <w:rFonts w:ascii="Arial" w:hAnsi="Arial" w:cs="Arial"/>
          <w:sz w:val="20"/>
          <w:szCs w:val="20"/>
        </w:rPr>
        <w:t>,</w:t>
      </w:r>
      <w:r w:rsidRPr="00BB7BE9">
        <w:rPr>
          <w:rFonts w:ascii="Arial" w:hAnsi="Arial" w:cs="Arial"/>
          <w:sz w:val="20"/>
          <w:szCs w:val="20"/>
        </w:rPr>
        <w:t xml:space="preserve"> J</w:t>
      </w:r>
      <w:r w:rsidR="00D049BA" w:rsidRPr="00BB7BE9">
        <w:rPr>
          <w:rFonts w:ascii="Arial" w:hAnsi="Arial" w:cs="Arial"/>
          <w:sz w:val="20"/>
          <w:szCs w:val="20"/>
        </w:rPr>
        <w:t>asper M.</w:t>
      </w:r>
      <w:r w:rsidRPr="00BB7BE9">
        <w:rPr>
          <w:rFonts w:ascii="Arial" w:hAnsi="Arial" w:cs="Arial"/>
          <w:sz w:val="20"/>
          <w:szCs w:val="20"/>
        </w:rPr>
        <w:t xml:space="preserve"> and Wauters</w:t>
      </w:r>
      <w:r w:rsidR="00D049BA" w:rsidRPr="00BB7BE9">
        <w:rPr>
          <w:rFonts w:ascii="Arial" w:hAnsi="Arial" w:cs="Arial"/>
          <w:sz w:val="20"/>
          <w:szCs w:val="20"/>
        </w:rPr>
        <w:t>,</w:t>
      </w:r>
      <w:r w:rsidRPr="00BB7BE9">
        <w:rPr>
          <w:rFonts w:ascii="Arial" w:hAnsi="Arial" w:cs="Arial"/>
          <w:sz w:val="20"/>
          <w:szCs w:val="20"/>
        </w:rPr>
        <w:t xml:space="preserve"> J</w:t>
      </w:r>
      <w:r w:rsidR="00D049BA" w:rsidRPr="00BB7BE9">
        <w:rPr>
          <w:rFonts w:ascii="Arial" w:hAnsi="Arial" w:cs="Arial"/>
          <w:sz w:val="20"/>
          <w:szCs w:val="20"/>
        </w:rPr>
        <w:t>ordan</w:t>
      </w:r>
      <w:r w:rsidRPr="00BB7BE9">
        <w:rPr>
          <w:rFonts w:ascii="Arial" w:hAnsi="Arial" w:cs="Arial"/>
          <w:sz w:val="20"/>
          <w:szCs w:val="20"/>
        </w:rPr>
        <w:t xml:space="preserve"> (2013)</w:t>
      </w:r>
      <w:r w:rsidR="0009270F" w:rsidRPr="00BB7BE9">
        <w:rPr>
          <w:rFonts w:ascii="Arial" w:hAnsi="Arial" w:cs="Arial"/>
          <w:sz w:val="20"/>
          <w:szCs w:val="20"/>
        </w:rPr>
        <w:t>.</w:t>
      </w:r>
      <w:r w:rsidRPr="00BB7BE9">
        <w:rPr>
          <w:rFonts w:ascii="Arial" w:hAnsi="Arial" w:cs="Arial"/>
          <w:sz w:val="20"/>
          <w:szCs w:val="20"/>
        </w:rPr>
        <w:t xml:space="preserve"> </w:t>
      </w:r>
      <w:r w:rsidR="002B5C7A" w:rsidRPr="00BB7BE9">
        <w:rPr>
          <w:rFonts w:ascii="Arial" w:hAnsi="Arial" w:cs="Arial"/>
          <w:sz w:val="20"/>
          <w:szCs w:val="20"/>
        </w:rPr>
        <w:t>“</w:t>
      </w:r>
      <w:r w:rsidRPr="00BB7BE9">
        <w:rPr>
          <w:rFonts w:ascii="Arial" w:hAnsi="Arial" w:cs="Arial"/>
          <w:sz w:val="20"/>
          <w:szCs w:val="20"/>
        </w:rPr>
        <w:t>EU-India Free Trade Agreement: pharmaceutical IP protection remains an issue.</w:t>
      </w:r>
      <w:r w:rsidR="002B5C7A" w:rsidRPr="00BB7BE9">
        <w:rPr>
          <w:rFonts w:ascii="Arial" w:hAnsi="Arial" w:cs="Arial"/>
          <w:sz w:val="20"/>
          <w:szCs w:val="20"/>
        </w:rPr>
        <w:t>”</w:t>
      </w:r>
      <w:r w:rsidRPr="00BB7BE9">
        <w:rPr>
          <w:rFonts w:ascii="Arial" w:hAnsi="Arial" w:cs="Arial"/>
          <w:sz w:val="20"/>
          <w:szCs w:val="20"/>
        </w:rPr>
        <w:t xml:space="preserve"> </w:t>
      </w:r>
      <w:r w:rsidRPr="00BB7BE9">
        <w:rPr>
          <w:rFonts w:ascii="Arial" w:hAnsi="Arial" w:cs="Arial"/>
          <w:i/>
          <w:sz w:val="20"/>
          <w:szCs w:val="20"/>
        </w:rPr>
        <w:t xml:space="preserve">International Law Office </w:t>
      </w:r>
      <w:r w:rsidRPr="00BB7BE9">
        <w:rPr>
          <w:rFonts w:ascii="Arial" w:hAnsi="Arial" w:cs="Arial"/>
          <w:sz w:val="20"/>
          <w:szCs w:val="20"/>
        </w:rPr>
        <w:t>10 May. Available at:</w:t>
      </w:r>
    </w:p>
    <w:p w14:paraId="4E2984E4" w14:textId="77777777" w:rsidR="007E1764" w:rsidRPr="00BB7BE9" w:rsidRDefault="00790ACB" w:rsidP="00CB782C">
      <w:pPr>
        <w:spacing w:line="480" w:lineRule="auto"/>
        <w:jc w:val="both"/>
        <w:rPr>
          <w:rFonts w:ascii="Arial" w:hAnsi="Arial" w:cs="Arial"/>
          <w:sz w:val="20"/>
          <w:szCs w:val="20"/>
        </w:rPr>
      </w:pPr>
      <w:hyperlink r:id="rId24" w:history="1">
        <w:r w:rsidR="007E1764" w:rsidRPr="00BB7BE9">
          <w:rPr>
            <w:rStyle w:val="Hyperlink"/>
            <w:rFonts w:ascii="Arial" w:hAnsi="Arial" w:cs="Arial"/>
            <w:sz w:val="20"/>
            <w:szCs w:val="20"/>
          </w:rPr>
          <w:t>http://www.internationallawoffice.com/newsletters/detail.aspx?g=d4da9325-9d9c-44fa-baa0-e5e92e30ec73</w:t>
        </w:r>
      </w:hyperlink>
      <w:r w:rsidR="007E1764" w:rsidRPr="00BB7BE9">
        <w:rPr>
          <w:rFonts w:ascii="Arial" w:hAnsi="Arial" w:cs="Arial"/>
          <w:sz w:val="20"/>
          <w:szCs w:val="20"/>
        </w:rPr>
        <w:t xml:space="preserve"> (accessed July 2015).</w:t>
      </w:r>
    </w:p>
    <w:p w14:paraId="29DC10DF" w14:textId="77777777" w:rsidR="007E1764" w:rsidRPr="00BB7BE9" w:rsidRDefault="007E1764" w:rsidP="00CB782C">
      <w:pPr>
        <w:spacing w:line="480" w:lineRule="auto"/>
        <w:jc w:val="both"/>
        <w:rPr>
          <w:rFonts w:ascii="Arial" w:hAnsi="Arial" w:cs="Arial"/>
          <w:sz w:val="20"/>
          <w:szCs w:val="20"/>
        </w:rPr>
      </w:pPr>
    </w:p>
    <w:p w14:paraId="7A800004" w14:textId="214049FD" w:rsidR="007E1764" w:rsidRPr="00BB7BE9" w:rsidRDefault="007E1764" w:rsidP="00CB782C">
      <w:pPr>
        <w:spacing w:line="480" w:lineRule="auto"/>
        <w:jc w:val="both"/>
        <w:rPr>
          <w:rFonts w:ascii="Arial" w:hAnsi="Arial" w:cs="Arial"/>
          <w:sz w:val="20"/>
          <w:szCs w:val="20"/>
        </w:rPr>
      </w:pPr>
      <w:r w:rsidRPr="00BB7BE9">
        <w:rPr>
          <w:rFonts w:ascii="Arial" w:hAnsi="Arial" w:cs="Arial"/>
          <w:sz w:val="20"/>
          <w:szCs w:val="20"/>
        </w:rPr>
        <w:t>Sicurelli</w:t>
      </w:r>
      <w:r w:rsidR="00D049BA" w:rsidRPr="00BB7BE9">
        <w:rPr>
          <w:rFonts w:ascii="Arial" w:hAnsi="Arial" w:cs="Arial"/>
          <w:sz w:val="20"/>
          <w:szCs w:val="20"/>
        </w:rPr>
        <w:t>,</w:t>
      </w:r>
      <w:r w:rsidRPr="00BB7BE9">
        <w:rPr>
          <w:rFonts w:ascii="Arial" w:hAnsi="Arial" w:cs="Arial"/>
          <w:sz w:val="20"/>
          <w:szCs w:val="20"/>
        </w:rPr>
        <w:t xml:space="preserve"> D</w:t>
      </w:r>
      <w:r w:rsidR="00D049BA" w:rsidRPr="00BB7BE9">
        <w:rPr>
          <w:rFonts w:ascii="Arial" w:hAnsi="Arial" w:cs="Arial"/>
          <w:sz w:val="20"/>
          <w:szCs w:val="20"/>
        </w:rPr>
        <w:t>aniela</w:t>
      </w:r>
      <w:r w:rsidRPr="00BB7BE9">
        <w:rPr>
          <w:rFonts w:ascii="Arial" w:hAnsi="Arial" w:cs="Arial"/>
          <w:sz w:val="20"/>
          <w:szCs w:val="20"/>
        </w:rPr>
        <w:t xml:space="preserve"> (2015)</w:t>
      </w:r>
      <w:r w:rsidR="0009270F" w:rsidRPr="00BB7BE9">
        <w:rPr>
          <w:rFonts w:ascii="Arial" w:hAnsi="Arial" w:cs="Arial"/>
          <w:sz w:val="20"/>
          <w:szCs w:val="20"/>
        </w:rPr>
        <w:t>.</w:t>
      </w:r>
      <w:r w:rsidRPr="00BB7BE9">
        <w:rPr>
          <w:rFonts w:ascii="Arial" w:hAnsi="Arial" w:cs="Arial"/>
          <w:sz w:val="20"/>
          <w:szCs w:val="20"/>
        </w:rPr>
        <w:t xml:space="preserve"> </w:t>
      </w:r>
      <w:r w:rsidR="002B5C7A" w:rsidRPr="00BB7BE9">
        <w:rPr>
          <w:rFonts w:ascii="Arial" w:hAnsi="Arial" w:cs="Arial"/>
          <w:sz w:val="20"/>
          <w:szCs w:val="20"/>
        </w:rPr>
        <w:t>“</w:t>
      </w:r>
      <w:r w:rsidRPr="00BB7BE9">
        <w:rPr>
          <w:rFonts w:ascii="Arial" w:hAnsi="Arial" w:cs="Arial"/>
          <w:sz w:val="20"/>
          <w:szCs w:val="20"/>
        </w:rPr>
        <w:t>The EU as a Promoter of Human Rights in Bilateral Trade Agreements: The Case of the Negotiations with Vietnam.</w:t>
      </w:r>
      <w:r w:rsidR="002B5C7A" w:rsidRPr="00BB7BE9">
        <w:rPr>
          <w:rFonts w:ascii="Arial" w:hAnsi="Arial" w:cs="Arial"/>
          <w:sz w:val="20"/>
          <w:szCs w:val="20"/>
        </w:rPr>
        <w:t>”</w:t>
      </w:r>
      <w:r w:rsidRPr="00BB7BE9">
        <w:rPr>
          <w:rFonts w:ascii="Arial" w:hAnsi="Arial" w:cs="Arial"/>
          <w:sz w:val="20"/>
          <w:szCs w:val="20"/>
        </w:rPr>
        <w:t xml:space="preserve"> </w:t>
      </w:r>
      <w:r w:rsidRPr="00BB7BE9">
        <w:rPr>
          <w:rFonts w:ascii="Arial" w:hAnsi="Arial" w:cs="Arial"/>
          <w:i/>
          <w:sz w:val="20"/>
          <w:szCs w:val="20"/>
        </w:rPr>
        <w:t xml:space="preserve">Journal of Contemporary European Research </w:t>
      </w:r>
      <w:r w:rsidRPr="00BB7BE9">
        <w:rPr>
          <w:rFonts w:ascii="Arial" w:hAnsi="Arial" w:cs="Arial"/>
          <w:sz w:val="20"/>
          <w:szCs w:val="20"/>
        </w:rPr>
        <w:t>11</w:t>
      </w:r>
      <w:r w:rsidR="00BD0B99" w:rsidRPr="00BB7BE9">
        <w:rPr>
          <w:rFonts w:ascii="Arial" w:hAnsi="Arial" w:cs="Arial"/>
          <w:sz w:val="20"/>
          <w:szCs w:val="20"/>
        </w:rPr>
        <w:t xml:space="preserve">, </w:t>
      </w:r>
      <w:r w:rsidRPr="00BB7BE9">
        <w:rPr>
          <w:rFonts w:ascii="Arial" w:hAnsi="Arial" w:cs="Arial"/>
          <w:sz w:val="20"/>
          <w:szCs w:val="20"/>
        </w:rPr>
        <w:t>2: 231-245.</w:t>
      </w:r>
    </w:p>
    <w:p w14:paraId="0A31E67D" w14:textId="77777777" w:rsidR="001B010B" w:rsidRPr="00BB7BE9" w:rsidRDefault="001B010B" w:rsidP="00CB782C">
      <w:pPr>
        <w:spacing w:line="480" w:lineRule="auto"/>
        <w:jc w:val="both"/>
        <w:rPr>
          <w:rFonts w:ascii="Arial" w:hAnsi="Arial" w:cs="Arial"/>
          <w:sz w:val="20"/>
          <w:szCs w:val="20"/>
        </w:rPr>
      </w:pPr>
    </w:p>
    <w:p w14:paraId="7F24CC40" w14:textId="1AAC2A7C" w:rsidR="001B010B" w:rsidRPr="00BB7BE9" w:rsidRDefault="007E1764" w:rsidP="00CB782C">
      <w:pPr>
        <w:spacing w:line="480" w:lineRule="auto"/>
        <w:jc w:val="both"/>
        <w:rPr>
          <w:rFonts w:ascii="Arial" w:hAnsi="Arial" w:cs="Arial"/>
          <w:sz w:val="20"/>
          <w:szCs w:val="20"/>
          <w:lang w:eastAsia="en-US"/>
        </w:rPr>
      </w:pPr>
      <w:r w:rsidRPr="00BB7BE9">
        <w:rPr>
          <w:rFonts w:ascii="Arial" w:hAnsi="Arial" w:cs="Arial"/>
          <w:sz w:val="20"/>
          <w:szCs w:val="20"/>
          <w:lang w:eastAsia="en-US"/>
        </w:rPr>
        <w:t>Siles-Brügge</w:t>
      </w:r>
      <w:r w:rsidR="00D049BA" w:rsidRPr="00BB7BE9">
        <w:rPr>
          <w:rFonts w:ascii="Arial" w:hAnsi="Arial" w:cs="Arial"/>
          <w:sz w:val="20"/>
          <w:szCs w:val="20"/>
          <w:lang w:eastAsia="en-US"/>
        </w:rPr>
        <w:t>,</w:t>
      </w:r>
      <w:r w:rsidRPr="00BB7BE9">
        <w:rPr>
          <w:rFonts w:ascii="Arial" w:hAnsi="Arial" w:cs="Arial"/>
          <w:sz w:val="20"/>
          <w:szCs w:val="20"/>
          <w:lang w:eastAsia="en-US"/>
        </w:rPr>
        <w:t xml:space="preserve"> G</w:t>
      </w:r>
      <w:r w:rsidR="00D049BA" w:rsidRPr="00BB7BE9">
        <w:rPr>
          <w:rFonts w:ascii="Arial" w:hAnsi="Arial" w:cs="Arial"/>
          <w:sz w:val="20"/>
          <w:szCs w:val="20"/>
          <w:lang w:eastAsia="en-US"/>
        </w:rPr>
        <w:t>abriel</w:t>
      </w:r>
      <w:r w:rsidRPr="00BB7BE9">
        <w:rPr>
          <w:rFonts w:ascii="Arial" w:hAnsi="Arial" w:cs="Arial"/>
          <w:sz w:val="20"/>
          <w:szCs w:val="20"/>
          <w:lang w:eastAsia="en-US"/>
        </w:rPr>
        <w:t xml:space="preserve"> (2013)</w:t>
      </w:r>
      <w:r w:rsidR="0009270F" w:rsidRPr="00BB7BE9">
        <w:rPr>
          <w:rFonts w:ascii="Arial" w:hAnsi="Arial" w:cs="Arial"/>
          <w:sz w:val="20"/>
          <w:szCs w:val="20"/>
          <w:lang w:eastAsia="en-US"/>
        </w:rPr>
        <w:t>.</w:t>
      </w:r>
      <w:r w:rsidRPr="00BB7BE9">
        <w:rPr>
          <w:rFonts w:ascii="Arial" w:hAnsi="Arial" w:cs="Arial"/>
          <w:sz w:val="20"/>
          <w:szCs w:val="20"/>
          <w:lang w:eastAsia="en-US"/>
        </w:rPr>
        <w:t xml:space="preserve"> </w:t>
      </w:r>
      <w:r w:rsidR="002B5C7A" w:rsidRPr="00BB7BE9">
        <w:rPr>
          <w:rFonts w:ascii="Arial" w:hAnsi="Arial" w:cs="Arial"/>
          <w:sz w:val="20"/>
          <w:szCs w:val="20"/>
          <w:lang w:eastAsia="en-US"/>
        </w:rPr>
        <w:t>“</w:t>
      </w:r>
      <w:r w:rsidR="001B010B" w:rsidRPr="00BB7BE9">
        <w:rPr>
          <w:rFonts w:ascii="Arial" w:hAnsi="Arial" w:cs="Arial"/>
          <w:sz w:val="20"/>
          <w:szCs w:val="20"/>
          <w:lang w:eastAsia="en-US"/>
        </w:rPr>
        <w:t>The Power of Economic Ideas: A Constructivist Politi</w:t>
      </w:r>
      <w:r w:rsidRPr="00BB7BE9">
        <w:rPr>
          <w:rFonts w:ascii="Arial" w:hAnsi="Arial" w:cs="Arial"/>
          <w:sz w:val="20"/>
          <w:szCs w:val="20"/>
          <w:lang w:eastAsia="en-US"/>
        </w:rPr>
        <w:t>cal Economy of EU Trade Policy,</w:t>
      </w:r>
      <w:r w:rsidR="002B5C7A" w:rsidRPr="00BB7BE9">
        <w:rPr>
          <w:rFonts w:ascii="Arial" w:hAnsi="Arial" w:cs="Arial"/>
          <w:sz w:val="20"/>
          <w:szCs w:val="20"/>
          <w:lang w:eastAsia="en-US"/>
        </w:rPr>
        <w:t>”</w:t>
      </w:r>
      <w:r w:rsidR="001B010B" w:rsidRPr="00BB7BE9">
        <w:rPr>
          <w:rFonts w:ascii="Arial" w:hAnsi="Arial" w:cs="Arial"/>
          <w:sz w:val="20"/>
          <w:szCs w:val="20"/>
          <w:lang w:eastAsia="en-US"/>
        </w:rPr>
        <w:t xml:space="preserve"> </w:t>
      </w:r>
      <w:r w:rsidR="001B010B" w:rsidRPr="00BB7BE9">
        <w:rPr>
          <w:rFonts w:ascii="Arial" w:hAnsi="Arial" w:cs="Arial"/>
          <w:i/>
          <w:sz w:val="20"/>
          <w:szCs w:val="20"/>
          <w:lang w:eastAsia="en-US"/>
        </w:rPr>
        <w:t>Journal of Contemporary European Research</w:t>
      </w:r>
      <w:r w:rsidR="001B010B" w:rsidRPr="00BB7BE9">
        <w:rPr>
          <w:rFonts w:ascii="Arial" w:hAnsi="Arial" w:cs="Arial"/>
          <w:sz w:val="20"/>
          <w:szCs w:val="20"/>
          <w:lang w:eastAsia="en-US"/>
        </w:rPr>
        <w:t xml:space="preserve"> 9</w:t>
      </w:r>
      <w:r w:rsidR="00BD0B99" w:rsidRPr="00BB7BE9">
        <w:rPr>
          <w:rFonts w:ascii="Arial" w:hAnsi="Arial" w:cs="Arial"/>
          <w:sz w:val="20"/>
          <w:szCs w:val="20"/>
          <w:lang w:eastAsia="en-US"/>
        </w:rPr>
        <w:t xml:space="preserve">, </w:t>
      </w:r>
      <w:r w:rsidR="001B010B" w:rsidRPr="00BB7BE9">
        <w:rPr>
          <w:rFonts w:ascii="Arial" w:hAnsi="Arial" w:cs="Arial"/>
          <w:sz w:val="20"/>
          <w:szCs w:val="20"/>
          <w:lang w:eastAsia="en-US"/>
        </w:rPr>
        <w:t>4: 597-617.</w:t>
      </w:r>
    </w:p>
    <w:p w14:paraId="6E18D2B3" w14:textId="77777777" w:rsidR="00514EDB" w:rsidRPr="00BB7BE9" w:rsidRDefault="00514EDB" w:rsidP="00CB782C">
      <w:pPr>
        <w:spacing w:line="480" w:lineRule="auto"/>
        <w:jc w:val="both"/>
        <w:rPr>
          <w:rFonts w:ascii="Arial" w:hAnsi="Arial" w:cs="Arial"/>
          <w:sz w:val="20"/>
          <w:szCs w:val="20"/>
          <w:lang w:eastAsia="en-US"/>
        </w:rPr>
      </w:pPr>
    </w:p>
    <w:p w14:paraId="5620D975" w14:textId="48EDE1BE" w:rsidR="00207207" w:rsidRPr="00BB7BE9" w:rsidRDefault="00207207" w:rsidP="00CB782C">
      <w:pPr>
        <w:spacing w:line="480" w:lineRule="auto"/>
        <w:jc w:val="both"/>
        <w:rPr>
          <w:rFonts w:ascii="Arial" w:hAnsi="Arial" w:cs="Arial"/>
          <w:sz w:val="20"/>
          <w:szCs w:val="20"/>
          <w:lang w:eastAsia="en-US"/>
        </w:rPr>
      </w:pPr>
      <w:r w:rsidRPr="00BB7BE9">
        <w:rPr>
          <w:rFonts w:ascii="Arial" w:hAnsi="Arial" w:cs="Arial"/>
          <w:sz w:val="20"/>
          <w:szCs w:val="20"/>
          <w:lang w:eastAsia="en-US"/>
        </w:rPr>
        <w:t>Van den Putte, L; De Ville, F. and Orbie, J. (2015). “The European Parliament as an international actor in trade: from power to impact.” In Stelios Stavridis and Daniela Irreru</w:t>
      </w:r>
      <w:r w:rsidR="006A26A9" w:rsidRPr="00BB7BE9">
        <w:rPr>
          <w:rFonts w:ascii="Arial" w:hAnsi="Arial" w:cs="Arial"/>
          <w:sz w:val="20"/>
          <w:szCs w:val="20"/>
          <w:lang w:eastAsia="en-US"/>
        </w:rPr>
        <w:t xml:space="preserve">, editors, </w:t>
      </w:r>
      <w:r w:rsidR="006A26A9" w:rsidRPr="00BB7BE9">
        <w:rPr>
          <w:rFonts w:ascii="Arial" w:hAnsi="Arial" w:cs="Arial"/>
          <w:i/>
          <w:sz w:val="20"/>
          <w:szCs w:val="20"/>
          <w:lang w:eastAsia="en-US"/>
        </w:rPr>
        <w:t xml:space="preserve">The European Parliament and its International Relations. </w:t>
      </w:r>
      <w:r w:rsidR="006A26A9" w:rsidRPr="00BB7BE9">
        <w:rPr>
          <w:rFonts w:ascii="Arial" w:hAnsi="Arial" w:cs="Arial"/>
          <w:sz w:val="20"/>
          <w:szCs w:val="20"/>
          <w:lang w:eastAsia="en-US"/>
        </w:rPr>
        <w:t>London: Routledge.</w:t>
      </w:r>
    </w:p>
    <w:p w14:paraId="6DD0CC36" w14:textId="77777777" w:rsidR="00BB7BE9" w:rsidRPr="00BB7BE9" w:rsidRDefault="00BB7BE9" w:rsidP="00CB782C">
      <w:pPr>
        <w:spacing w:line="480" w:lineRule="auto"/>
        <w:jc w:val="both"/>
        <w:rPr>
          <w:rFonts w:ascii="Arial" w:hAnsi="Arial" w:cs="Arial"/>
          <w:sz w:val="20"/>
          <w:szCs w:val="20"/>
          <w:lang w:eastAsia="en-US"/>
        </w:rPr>
      </w:pPr>
    </w:p>
    <w:p w14:paraId="4DBD314A" w14:textId="20F4B30E" w:rsidR="00514EDB" w:rsidRPr="00BB7BE9" w:rsidRDefault="00514EDB" w:rsidP="00CB782C">
      <w:pPr>
        <w:spacing w:line="480" w:lineRule="auto"/>
        <w:jc w:val="both"/>
        <w:rPr>
          <w:rFonts w:ascii="Arial" w:hAnsi="Arial" w:cs="Arial"/>
          <w:sz w:val="20"/>
          <w:szCs w:val="20"/>
        </w:rPr>
      </w:pPr>
      <w:r w:rsidRPr="00BB7BE9">
        <w:rPr>
          <w:rFonts w:ascii="Arial" w:hAnsi="Arial" w:cs="Arial"/>
          <w:sz w:val="20"/>
          <w:szCs w:val="20"/>
          <w:lang w:eastAsia="en-US"/>
        </w:rPr>
        <w:t>Van den Putte, L</w:t>
      </w:r>
      <w:r w:rsidRPr="00BB7BE9">
        <w:rPr>
          <w:rFonts w:ascii="Arial" w:hAnsi="Arial" w:cs="Arial"/>
          <w:sz w:val="20"/>
          <w:szCs w:val="20"/>
        </w:rPr>
        <w:t xml:space="preserve">; De Ville, F. and Orbie, J. (2014). “The European Parliament’s New Role in Trade Policy: Turning power into impact.” </w:t>
      </w:r>
      <w:r w:rsidRPr="00BB7BE9">
        <w:rPr>
          <w:rFonts w:ascii="Arial" w:hAnsi="Arial" w:cs="Arial"/>
          <w:i/>
          <w:sz w:val="20"/>
          <w:szCs w:val="20"/>
        </w:rPr>
        <w:t>CEPS Special Report</w:t>
      </w:r>
      <w:r w:rsidRPr="00BB7BE9">
        <w:rPr>
          <w:rFonts w:ascii="Arial" w:hAnsi="Arial" w:cs="Arial"/>
          <w:sz w:val="20"/>
          <w:szCs w:val="20"/>
        </w:rPr>
        <w:t xml:space="preserve"> No. 89 / May 2014.</w:t>
      </w:r>
    </w:p>
    <w:p w14:paraId="55BC5DFC" w14:textId="77777777" w:rsidR="00BB7BE9" w:rsidRPr="00BB7BE9" w:rsidRDefault="00BB7BE9" w:rsidP="00CB782C">
      <w:pPr>
        <w:spacing w:line="480" w:lineRule="auto"/>
        <w:jc w:val="both"/>
        <w:rPr>
          <w:rFonts w:ascii="Arial" w:hAnsi="Arial" w:cs="Arial"/>
          <w:sz w:val="20"/>
          <w:szCs w:val="20"/>
        </w:rPr>
      </w:pPr>
    </w:p>
    <w:p w14:paraId="05240A52" w14:textId="4D97BFA6" w:rsidR="00BB7BE9" w:rsidRDefault="00BB7BE9" w:rsidP="00CB782C">
      <w:pPr>
        <w:spacing w:line="480" w:lineRule="auto"/>
        <w:jc w:val="both"/>
        <w:rPr>
          <w:rFonts w:ascii="Arial" w:hAnsi="Arial" w:cs="Arial"/>
          <w:sz w:val="20"/>
          <w:szCs w:val="20"/>
        </w:rPr>
      </w:pPr>
      <w:r w:rsidRPr="00BB7BE9">
        <w:rPr>
          <w:rFonts w:ascii="Arial" w:hAnsi="Arial" w:cs="Arial"/>
          <w:sz w:val="20"/>
          <w:szCs w:val="20"/>
        </w:rPr>
        <w:t xml:space="preserve">Vincenti, Daniela (2015). “India ready to revive trade talks with the EU.” </w:t>
      </w:r>
      <w:r w:rsidRPr="00BB7BE9">
        <w:rPr>
          <w:rFonts w:ascii="Arial" w:hAnsi="Arial" w:cs="Arial"/>
          <w:i/>
          <w:sz w:val="20"/>
          <w:szCs w:val="20"/>
        </w:rPr>
        <w:t xml:space="preserve">EurActive.com </w:t>
      </w:r>
      <w:r w:rsidRPr="00BB7BE9">
        <w:rPr>
          <w:rFonts w:ascii="Arial" w:hAnsi="Arial" w:cs="Arial"/>
          <w:sz w:val="20"/>
          <w:szCs w:val="20"/>
        </w:rPr>
        <w:t>24/3/2015. Available at</w:t>
      </w:r>
      <w:r>
        <w:rPr>
          <w:rFonts w:ascii="Arial" w:hAnsi="Arial" w:cs="Arial"/>
          <w:sz w:val="20"/>
          <w:szCs w:val="20"/>
        </w:rPr>
        <w:t xml:space="preserve">: </w:t>
      </w:r>
      <w:hyperlink r:id="rId25" w:history="1">
        <w:r w:rsidRPr="00DF6F04">
          <w:rPr>
            <w:rStyle w:val="Hyperlink"/>
            <w:rFonts w:ascii="Arial" w:hAnsi="Arial" w:cs="Arial"/>
            <w:sz w:val="20"/>
            <w:szCs w:val="20"/>
          </w:rPr>
          <w:t>http://www.euractiv.com/section/trade-society/news/india-ready-to-revive-trade-talks-with-the-eu/</w:t>
        </w:r>
      </w:hyperlink>
      <w:r>
        <w:rPr>
          <w:rFonts w:ascii="Arial" w:hAnsi="Arial" w:cs="Arial"/>
          <w:sz w:val="20"/>
          <w:szCs w:val="20"/>
        </w:rPr>
        <w:t xml:space="preserve"> (accessed January 2016).</w:t>
      </w:r>
    </w:p>
    <w:p w14:paraId="4574A7C6" w14:textId="77777777" w:rsidR="00BB7BE9" w:rsidRDefault="00BB7BE9" w:rsidP="00CB782C">
      <w:pPr>
        <w:spacing w:line="480" w:lineRule="auto"/>
        <w:jc w:val="both"/>
        <w:rPr>
          <w:rFonts w:ascii="Arial" w:hAnsi="Arial" w:cs="Arial"/>
          <w:sz w:val="20"/>
          <w:szCs w:val="20"/>
        </w:rPr>
      </w:pPr>
    </w:p>
    <w:p w14:paraId="5755CBFB" w14:textId="2C1F17AA" w:rsidR="00421346" w:rsidRPr="00BB7BE9" w:rsidRDefault="007E1764" w:rsidP="00CB782C">
      <w:pPr>
        <w:autoSpaceDE w:val="0"/>
        <w:autoSpaceDN w:val="0"/>
        <w:adjustRightInd w:val="0"/>
        <w:spacing w:line="480" w:lineRule="auto"/>
        <w:jc w:val="both"/>
        <w:rPr>
          <w:rFonts w:ascii="Arial" w:hAnsi="Arial" w:cs="Arial"/>
          <w:color w:val="231F20"/>
          <w:sz w:val="20"/>
          <w:szCs w:val="20"/>
        </w:rPr>
      </w:pPr>
      <w:r w:rsidRPr="00BB7BE9">
        <w:rPr>
          <w:rFonts w:ascii="Arial" w:hAnsi="Arial" w:cs="Arial"/>
          <w:color w:val="231F20"/>
          <w:sz w:val="20"/>
          <w:szCs w:val="20"/>
        </w:rPr>
        <w:t>Winand</w:t>
      </w:r>
      <w:r w:rsidR="00D049BA" w:rsidRPr="00BB7BE9">
        <w:rPr>
          <w:rFonts w:ascii="Arial" w:hAnsi="Arial" w:cs="Arial"/>
          <w:color w:val="231F20"/>
          <w:sz w:val="20"/>
          <w:szCs w:val="20"/>
        </w:rPr>
        <w:t>,</w:t>
      </w:r>
      <w:r w:rsidR="00421346" w:rsidRPr="00BB7BE9">
        <w:rPr>
          <w:rFonts w:ascii="Arial" w:hAnsi="Arial" w:cs="Arial"/>
          <w:color w:val="231F20"/>
          <w:sz w:val="20"/>
          <w:szCs w:val="20"/>
        </w:rPr>
        <w:t xml:space="preserve"> P</w:t>
      </w:r>
      <w:r w:rsidR="00D049BA" w:rsidRPr="00BB7BE9">
        <w:rPr>
          <w:rFonts w:ascii="Arial" w:hAnsi="Arial" w:cs="Arial"/>
          <w:color w:val="231F20"/>
          <w:sz w:val="20"/>
          <w:szCs w:val="20"/>
        </w:rPr>
        <w:t xml:space="preserve">ascaline; </w:t>
      </w:r>
      <w:r w:rsidRPr="00BB7BE9">
        <w:rPr>
          <w:rFonts w:ascii="Arial" w:hAnsi="Arial" w:cs="Arial"/>
          <w:color w:val="231F20"/>
          <w:sz w:val="20"/>
          <w:szCs w:val="20"/>
        </w:rPr>
        <w:t>Vicziany</w:t>
      </w:r>
      <w:r w:rsidR="00D049BA" w:rsidRPr="00BB7BE9">
        <w:rPr>
          <w:rFonts w:ascii="Arial" w:hAnsi="Arial" w:cs="Arial"/>
          <w:color w:val="231F20"/>
          <w:sz w:val="20"/>
          <w:szCs w:val="20"/>
        </w:rPr>
        <w:t>,</w:t>
      </w:r>
      <w:r w:rsidRPr="00BB7BE9">
        <w:rPr>
          <w:rFonts w:ascii="Arial" w:hAnsi="Arial" w:cs="Arial"/>
          <w:color w:val="231F20"/>
          <w:sz w:val="20"/>
          <w:szCs w:val="20"/>
        </w:rPr>
        <w:t xml:space="preserve"> M</w:t>
      </w:r>
      <w:r w:rsidR="00D049BA" w:rsidRPr="00BB7BE9">
        <w:rPr>
          <w:rFonts w:ascii="Arial" w:hAnsi="Arial" w:cs="Arial"/>
          <w:color w:val="231F20"/>
          <w:sz w:val="20"/>
          <w:szCs w:val="20"/>
        </w:rPr>
        <w:t>arika</w:t>
      </w:r>
      <w:r w:rsidRPr="00BB7BE9">
        <w:rPr>
          <w:rFonts w:ascii="Arial" w:hAnsi="Arial" w:cs="Arial"/>
          <w:color w:val="231F20"/>
          <w:sz w:val="20"/>
          <w:szCs w:val="20"/>
        </w:rPr>
        <w:t xml:space="preserve"> and Datar</w:t>
      </w:r>
      <w:r w:rsidR="00D049BA" w:rsidRPr="00BB7BE9">
        <w:rPr>
          <w:rFonts w:ascii="Arial" w:hAnsi="Arial" w:cs="Arial"/>
          <w:color w:val="231F20"/>
          <w:sz w:val="20"/>
          <w:szCs w:val="20"/>
        </w:rPr>
        <w:t>,</w:t>
      </w:r>
      <w:r w:rsidRPr="00BB7BE9">
        <w:rPr>
          <w:rFonts w:ascii="Arial" w:hAnsi="Arial" w:cs="Arial"/>
          <w:color w:val="231F20"/>
          <w:sz w:val="20"/>
          <w:szCs w:val="20"/>
        </w:rPr>
        <w:t xml:space="preserve"> P</w:t>
      </w:r>
      <w:r w:rsidR="00D049BA" w:rsidRPr="00BB7BE9">
        <w:rPr>
          <w:rFonts w:ascii="Arial" w:hAnsi="Arial" w:cs="Arial"/>
          <w:color w:val="231F20"/>
          <w:sz w:val="20"/>
          <w:szCs w:val="20"/>
        </w:rPr>
        <w:t>oonam</w:t>
      </w:r>
      <w:r w:rsidR="00421346" w:rsidRPr="00BB7BE9">
        <w:rPr>
          <w:rFonts w:ascii="Arial" w:hAnsi="Arial" w:cs="Arial"/>
          <w:color w:val="231F20"/>
          <w:sz w:val="20"/>
          <w:szCs w:val="20"/>
        </w:rPr>
        <w:t xml:space="preserve"> (2015)</w:t>
      </w:r>
      <w:r w:rsidR="0009270F" w:rsidRPr="00BB7BE9">
        <w:rPr>
          <w:rFonts w:ascii="Arial" w:hAnsi="Arial" w:cs="Arial"/>
          <w:color w:val="231F20"/>
          <w:sz w:val="20"/>
          <w:szCs w:val="20"/>
        </w:rPr>
        <w:t>.</w:t>
      </w:r>
      <w:r w:rsidR="00421346" w:rsidRPr="00BB7BE9">
        <w:rPr>
          <w:rFonts w:ascii="Arial" w:hAnsi="Arial" w:cs="Arial"/>
          <w:color w:val="231F20"/>
          <w:sz w:val="20"/>
          <w:szCs w:val="20"/>
        </w:rPr>
        <w:t xml:space="preserve"> </w:t>
      </w:r>
      <w:r w:rsidR="00421346" w:rsidRPr="00BB7BE9">
        <w:rPr>
          <w:rFonts w:ascii="Arial" w:hAnsi="Arial" w:cs="Arial"/>
          <w:i/>
          <w:color w:val="231F20"/>
          <w:sz w:val="20"/>
          <w:szCs w:val="20"/>
        </w:rPr>
        <w:t>The European Union and India: Rhetoric or Meaningful Partnership?</w:t>
      </w:r>
      <w:r w:rsidRPr="00BB7BE9">
        <w:rPr>
          <w:rFonts w:ascii="Arial" w:hAnsi="Arial" w:cs="Arial"/>
          <w:i/>
          <w:color w:val="231F20"/>
          <w:sz w:val="20"/>
          <w:szCs w:val="20"/>
        </w:rPr>
        <w:t>.</w:t>
      </w:r>
      <w:r w:rsidR="00421346" w:rsidRPr="00BB7BE9">
        <w:rPr>
          <w:rFonts w:ascii="Arial" w:hAnsi="Arial" w:cs="Arial"/>
          <w:i/>
          <w:color w:val="231F20"/>
          <w:sz w:val="20"/>
          <w:szCs w:val="20"/>
        </w:rPr>
        <w:t xml:space="preserve"> </w:t>
      </w:r>
      <w:r w:rsidR="00F00B1D" w:rsidRPr="00BB7BE9">
        <w:rPr>
          <w:rFonts w:ascii="Arial" w:hAnsi="Arial" w:cs="Arial"/>
          <w:color w:val="231F20"/>
          <w:sz w:val="20"/>
          <w:szCs w:val="20"/>
        </w:rPr>
        <w:t>Cheltenham: Edward Elgar</w:t>
      </w:r>
      <w:r w:rsidR="008317FC" w:rsidRPr="00BB7BE9">
        <w:rPr>
          <w:rFonts w:ascii="Arial" w:hAnsi="Arial" w:cs="Arial"/>
          <w:color w:val="231F20"/>
          <w:sz w:val="20"/>
          <w:szCs w:val="20"/>
        </w:rPr>
        <w:t>.</w:t>
      </w:r>
    </w:p>
    <w:p w14:paraId="33BAB7C1" w14:textId="77777777" w:rsidR="009B7437" w:rsidRPr="00BB7BE9" w:rsidRDefault="009B7437" w:rsidP="00CB782C">
      <w:pPr>
        <w:autoSpaceDE w:val="0"/>
        <w:autoSpaceDN w:val="0"/>
        <w:adjustRightInd w:val="0"/>
        <w:spacing w:line="480" w:lineRule="auto"/>
        <w:jc w:val="both"/>
        <w:rPr>
          <w:rFonts w:ascii="Arial" w:hAnsi="Arial" w:cs="Arial"/>
          <w:color w:val="231F20"/>
          <w:sz w:val="20"/>
          <w:szCs w:val="20"/>
        </w:rPr>
      </w:pPr>
    </w:p>
    <w:p w14:paraId="522A16D5" w14:textId="698207C7" w:rsidR="009B7437" w:rsidRPr="00BB7BE9" w:rsidRDefault="009B7437" w:rsidP="00CB782C">
      <w:pPr>
        <w:autoSpaceDE w:val="0"/>
        <w:autoSpaceDN w:val="0"/>
        <w:adjustRightInd w:val="0"/>
        <w:spacing w:line="480" w:lineRule="auto"/>
        <w:jc w:val="both"/>
        <w:rPr>
          <w:rFonts w:ascii="Arial" w:hAnsi="Arial" w:cs="Arial"/>
          <w:color w:val="231F20"/>
          <w:sz w:val="20"/>
          <w:szCs w:val="20"/>
        </w:rPr>
      </w:pPr>
      <w:r w:rsidRPr="00BB7BE9">
        <w:rPr>
          <w:rFonts w:ascii="Arial" w:hAnsi="Arial" w:cs="Arial"/>
          <w:color w:val="231F20"/>
          <w:sz w:val="20"/>
          <w:szCs w:val="20"/>
        </w:rPr>
        <w:t>Woolcock</w:t>
      </w:r>
      <w:r w:rsidR="00D049BA" w:rsidRPr="00BB7BE9">
        <w:rPr>
          <w:rFonts w:ascii="Arial" w:hAnsi="Arial" w:cs="Arial"/>
          <w:color w:val="231F20"/>
          <w:sz w:val="20"/>
          <w:szCs w:val="20"/>
        </w:rPr>
        <w:t>,</w:t>
      </w:r>
      <w:r w:rsidRPr="00BB7BE9">
        <w:rPr>
          <w:rFonts w:ascii="Arial" w:hAnsi="Arial" w:cs="Arial"/>
          <w:color w:val="231F20"/>
          <w:sz w:val="20"/>
          <w:szCs w:val="20"/>
        </w:rPr>
        <w:t xml:space="preserve"> S</w:t>
      </w:r>
      <w:r w:rsidR="00D049BA" w:rsidRPr="00BB7BE9">
        <w:rPr>
          <w:rFonts w:ascii="Arial" w:hAnsi="Arial" w:cs="Arial"/>
          <w:color w:val="231F20"/>
          <w:sz w:val="20"/>
          <w:szCs w:val="20"/>
        </w:rPr>
        <w:t>tephen</w:t>
      </w:r>
      <w:r w:rsidRPr="00BB7BE9">
        <w:rPr>
          <w:rFonts w:ascii="Arial" w:hAnsi="Arial" w:cs="Arial"/>
          <w:color w:val="231F20"/>
          <w:sz w:val="20"/>
          <w:szCs w:val="20"/>
        </w:rPr>
        <w:t xml:space="preserve"> (2005)</w:t>
      </w:r>
      <w:r w:rsidR="0009270F" w:rsidRPr="00BB7BE9">
        <w:rPr>
          <w:rFonts w:ascii="Arial" w:hAnsi="Arial" w:cs="Arial"/>
          <w:color w:val="231F20"/>
          <w:sz w:val="20"/>
          <w:szCs w:val="20"/>
        </w:rPr>
        <w:t>.</w:t>
      </w:r>
      <w:r w:rsidRPr="00BB7BE9">
        <w:rPr>
          <w:rFonts w:ascii="Arial" w:hAnsi="Arial" w:cs="Arial"/>
          <w:color w:val="231F20"/>
          <w:sz w:val="20"/>
          <w:szCs w:val="20"/>
        </w:rPr>
        <w:t xml:space="preserve"> </w:t>
      </w:r>
      <w:r w:rsidR="002B5C7A" w:rsidRPr="00BB7BE9">
        <w:rPr>
          <w:rFonts w:ascii="Arial" w:hAnsi="Arial" w:cs="Arial"/>
          <w:color w:val="231F20"/>
          <w:sz w:val="20"/>
          <w:szCs w:val="20"/>
        </w:rPr>
        <w:t>“</w:t>
      </w:r>
      <w:r w:rsidRPr="00BB7BE9">
        <w:rPr>
          <w:rFonts w:ascii="Arial" w:hAnsi="Arial" w:cs="Arial"/>
          <w:color w:val="231F20"/>
          <w:sz w:val="20"/>
          <w:szCs w:val="20"/>
        </w:rPr>
        <w:t>Trade Policy - From Uruguay to Doha and Beyond.</w:t>
      </w:r>
      <w:r w:rsidR="002B5C7A" w:rsidRPr="00BB7BE9">
        <w:rPr>
          <w:rFonts w:ascii="Arial" w:hAnsi="Arial" w:cs="Arial"/>
          <w:color w:val="231F20"/>
          <w:sz w:val="20"/>
          <w:szCs w:val="20"/>
        </w:rPr>
        <w:t>”</w:t>
      </w:r>
      <w:r w:rsidRPr="00BB7BE9">
        <w:rPr>
          <w:rFonts w:ascii="Arial" w:hAnsi="Arial" w:cs="Arial"/>
          <w:color w:val="231F20"/>
          <w:sz w:val="20"/>
          <w:szCs w:val="20"/>
        </w:rPr>
        <w:t xml:space="preserve"> </w:t>
      </w:r>
      <w:r w:rsidR="00BD0B99" w:rsidRPr="00BB7BE9">
        <w:rPr>
          <w:rFonts w:ascii="Arial" w:hAnsi="Arial" w:cs="Arial"/>
          <w:color w:val="231F20"/>
          <w:sz w:val="20"/>
          <w:szCs w:val="20"/>
        </w:rPr>
        <w:t>i</w:t>
      </w:r>
      <w:r w:rsidRPr="00BB7BE9">
        <w:rPr>
          <w:rFonts w:ascii="Arial" w:hAnsi="Arial" w:cs="Arial"/>
          <w:color w:val="231F20"/>
          <w:sz w:val="20"/>
          <w:szCs w:val="20"/>
        </w:rPr>
        <w:t>n</w:t>
      </w:r>
      <w:r w:rsidR="00D049BA" w:rsidRPr="00BB7BE9">
        <w:rPr>
          <w:rFonts w:ascii="Arial" w:hAnsi="Arial" w:cs="Arial"/>
          <w:color w:val="231F20"/>
          <w:sz w:val="20"/>
          <w:szCs w:val="20"/>
        </w:rPr>
        <w:t xml:space="preserve"> Helen</w:t>
      </w:r>
      <w:r w:rsidRPr="00BB7BE9">
        <w:rPr>
          <w:rFonts w:ascii="Arial" w:hAnsi="Arial" w:cs="Arial"/>
          <w:color w:val="231F20"/>
          <w:sz w:val="20"/>
          <w:szCs w:val="20"/>
        </w:rPr>
        <w:t xml:space="preserve"> Wallace</w:t>
      </w:r>
      <w:r w:rsidR="00D049BA" w:rsidRPr="00BB7BE9">
        <w:rPr>
          <w:rFonts w:ascii="Arial" w:hAnsi="Arial" w:cs="Arial"/>
          <w:color w:val="231F20"/>
          <w:sz w:val="20"/>
          <w:szCs w:val="20"/>
        </w:rPr>
        <w:t>; William Wallace</w:t>
      </w:r>
      <w:r w:rsidRPr="00BB7BE9">
        <w:rPr>
          <w:rFonts w:ascii="Arial" w:hAnsi="Arial" w:cs="Arial"/>
          <w:color w:val="231F20"/>
          <w:sz w:val="20"/>
          <w:szCs w:val="20"/>
        </w:rPr>
        <w:t xml:space="preserve"> and </w:t>
      </w:r>
      <w:r w:rsidR="00D049BA" w:rsidRPr="00BB7BE9">
        <w:rPr>
          <w:rFonts w:ascii="Arial" w:hAnsi="Arial" w:cs="Arial"/>
          <w:color w:val="231F20"/>
          <w:sz w:val="20"/>
          <w:szCs w:val="20"/>
        </w:rPr>
        <w:t xml:space="preserve">Mark A. </w:t>
      </w:r>
      <w:r w:rsidRPr="00BB7BE9">
        <w:rPr>
          <w:rFonts w:ascii="Arial" w:hAnsi="Arial" w:cs="Arial"/>
          <w:color w:val="231F20"/>
          <w:sz w:val="20"/>
          <w:szCs w:val="20"/>
        </w:rPr>
        <w:t>Pollack</w:t>
      </w:r>
      <w:r w:rsidR="00D049BA" w:rsidRPr="00BB7BE9">
        <w:rPr>
          <w:rFonts w:ascii="Arial" w:hAnsi="Arial" w:cs="Arial"/>
          <w:color w:val="231F20"/>
          <w:sz w:val="20"/>
          <w:szCs w:val="20"/>
        </w:rPr>
        <w:t>, editors,</w:t>
      </w:r>
      <w:r w:rsidRPr="00BB7BE9">
        <w:rPr>
          <w:rFonts w:ascii="Arial" w:hAnsi="Arial" w:cs="Arial"/>
          <w:color w:val="231F20"/>
          <w:sz w:val="20"/>
          <w:szCs w:val="20"/>
        </w:rPr>
        <w:t xml:space="preserve"> </w:t>
      </w:r>
      <w:r w:rsidRPr="00BB7BE9">
        <w:rPr>
          <w:rFonts w:ascii="Arial" w:hAnsi="Arial" w:cs="Arial"/>
          <w:i/>
          <w:iCs/>
          <w:color w:val="231F20"/>
          <w:sz w:val="20"/>
          <w:szCs w:val="20"/>
        </w:rPr>
        <w:t xml:space="preserve">Policy-Making in the European Union, </w:t>
      </w:r>
      <w:r w:rsidRPr="00BB7BE9">
        <w:rPr>
          <w:rFonts w:ascii="Arial" w:hAnsi="Arial" w:cs="Arial"/>
          <w:iCs/>
          <w:color w:val="231F20"/>
          <w:sz w:val="20"/>
          <w:szCs w:val="20"/>
        </w:rPr>
        <w:t>5</w:t>
      </w:r>
      <w:r w:rsidRPr="00BB7BE9">
        <w:rPr>
          <w:rFonts w:ascii="Arial" w:hAnsi="Arial" w:cs="Arial"/>
          <w:iCs/>
          <w:color w:val="231F20"/>
          <w:sz w:val="20"/>
          <w:szCs w:val="20"/>
          <w:vertAlign w:val="superscript"/>
        </w:rPr>
        <w:t>th</w:t>
      </w:r>
      <w:r w:rsidRPr="00BB7BE9">
        <w:rPr>
          <w:rFonts w:ascii="Arial" w:hAnsi="Arial" w:cs="Arial"/>
          <w:iCs/>
          <w:color w:val="231F20"/>
          <w:sz w:val="20"/>
          <w:szCs w:val="20"/>
        </w:rPr>
        <w:t xml:space="preserve"> </w:t>
      </w:r>
      <w:r w:rsidRPr="00BB7BE9">
        <w:rPr>
          <w:rFonts w:ascii="Arial" w:hAnsi="Arial" w:cs="Arial"/>
          <w:i/>
          <w:iCs/>
          <w:color w:val="231F20"/>
          <w:sz w:val="20"/>
          <w:szCs w:val="20"/>
        </w:rPr>
        <w:t>edn</w:t>
      </w:r>
      <w:r w:rsidRPr="00BB7BE9">
        <w:rPr>
          <w:rFonts w:ascii="Arial" w:hAnsi="Arial" w:cs="Arial"/>
          <w:iCs/>
          <w:color w:val="231F20"/>
          <w:sz w:val="20"/>
          <w:szCs w:val="20"/>
        </w:rPr>
        <w:t xml:space="preserve">. </w:t>
      </w:r>
      <w:r w:rsidRPr="00BB7BE9">
        <w:rPr>
          <w:rFonts w:ascii="Arial" w:hAnsi="Arial" w:cs="Arial"/>
          <w:color w:val="231F20"/>
          <w:sz w:val="20"/>
          <w:szCs w:val="20"/>
        </w:rPr>
        <w:t>Oxford: Oxfo</w:t>
      </w:r>
      <w:r w:rsidR="00BD0B99" w:rsidRPr="00BB7BE9">
        <w:rPr>
          <w:rFonts w:ascii="Arial" w:hAnsi="Arial" w:cs="Arial"/>
          <w:color w:val="231F20"/>
          <w:sz w:val="20"/>
          <w:szCs w:val="20"/>
        </w:rPr>
        <w:t>rd University Press.</w:t>
      </w:r>
    </w:p>
    <w:p w14:paraId="0A2A091B" w14:textId="77777777" w:rsidR="00785869" w:rsidRPr="00BB7BE9" w:rsidRDefault="00785869" w:rsidP="00CB782C">
      <w:pPr>
        <w:autoSpaceDE w:val="0"/>
        <w:autoSpaceDN w:val="0"/>
        <w:adjustRightInd w:val="0"/>
        <w:spacing w:line="480" w:lineRule="auto"/>
        <w:jc w:val="both"/>
        <w:rPr>
          <w:rFonts w:ascii="Arial" w:hAnsi="Arial" w:cs="Arial"/>
          <w:color w:val="231F20"/>
          <w:sz w:val="20"/>
          <w:szCs w:val="20"/>
        </w:rPr>
      </w:pPr>
    </w:p>
    <w:p w14:paraId="09ABF467" w14:textId="13C3345A" w:rsidR="002D36D8" w:rsidRPr="00BB7BE9" w:rsidRDefault="007E1764" w:rsidP="00CB782C">
      <w:pPr>
        <w:autoSpaceDE w:val="0"/>
        <w:autoSpaceDN w:val="0"/>
        <w:adjustRightInd w:val="0"/>
        <w:spacing w:line="480" w:lineRule="auto"/>
        <w:jc w:val="both"/>
        <w:rPr>
          <w:rFonts w:ascii="Arial" w:hAnsi="Arial" w:cs="Arial"/>
          <w:color w:val="231F20"/>
          <w:sz w:val="20"/>
          <w:szCs w:val="20"/>
        </w:rPr>
      </w:pPr>
      <w:r w:rsidRPr="00BB7BE9">
        <w:rPr>
          <w:rFonts w:ascii="Arial" w:hAnsi="Arial" w:cs="Arial"/>
          <w:color w:val="231F20"/>
          <w:sz w:val="20"/>
          <w:szCs w:val="20"/>
        </w:rPr>
        <w:t>Woolcock</w:t>
      </w:r>
      <w:r w:rsidR="00D049BA" w:rsidRPr="00BB7BE9">
        <w:rPr>
          <w:rFonts w:ascii="Arial" w:hAnsi="Arial" w:cs="Arial"/>
          <w:color w:val="231F20"/>
          <w:sz w:val="20"/>
          <w:szCs w:val="20"/>
        </w:rPr>
        <w:t>,</w:t>
      </w:r>
      <w:r w:rsidR="002D36D8" w:rsidRPr="00BB7BE9">
        <w:rPr>
          <w:rFonts w:ascii="Arial" w:hAnsi="Arial" w:cs="Arial"/>
          <w:color w:val="231F20"/>
          <w:sz w:val="20"/>
          <w:szCs w:val="20"/>
        </w:rPr>
        <w:t xml:space="preserve"> S</w:t>
      </w:r>
      <w:r w:rsidR="00D049BA" w:rsidRPr="00BB7BE9">
        <w:rPr>
          <w:rFonts w:ascii="Arial" w:hAnsi="Arial" w:cs="Arial"/>
          <w:color w:val="231F20"/>
          <w:sz w:val="20"/>
          <w:szCs w:val="20"/>
        </w:rPr>
        <w:t>tephen</w:t>
      </w:r>
      <w:r w:rsidR="00547911" w:rsidRPr="00BB7BE9">
        <w:rPr>
          <w:rFonts w:ascii="Arial" w:hAnsi="Arial" w:cs="Arial"/>
          <w:color w:val="231F20"/>
          <w:sz w:val="20"/>
          <w:szCs w:val="20"/>
        </w:rPr>
        <w:t xml:space="preserve"> (2012)</w:t>
      </w:r>
      <w:r w:rsidR="0009270F" w:rsidRPr="00BB7BE9">
        <w:rPr>
          <w:rFonts w:ascii="Arial" w:hAnsi="Arial" w:cs="Arial"/>
          <w:color w:val="231F20"/>
          <w:sz w:val="20"/>
          <w:szCs w:val="20"/>
        </w:rPr>
        <w:t>.</w:t>
      </w:r>
      <w:r w:rsidR="002D36D8" w:rsidRPr="00BB7BE9">
        <w:rPr>
          <w:rFonts w:ascii="Arial" w:hAnsi="Arial" w:cs="Arial"/>
          <w:color w:val="231F20"/>
          <w:sz w:val="20"/>
          <w:szCs w:val="20"/>
        </w:rPr>
        <w:t xml:space="preserve"> </w:t>
      </w:r>
      <w:r w:rsidR="002D36D8" w:rsidRPr="00BB7BE9">
        <w:rPr>
          <w:rFonts w:ascii="Arial" w:hAnsi="Arial" w:cs="Arial"/>
          <w:i/>
          <w:color w:val="231F20"/>
          <w:sz w:val="20"/>
          <w:szCs w:val="20"/>
        </w:rPr>
        <w:t>European Union Economic Diplomacy: The Role of the EU in External Economic Relations</w:t>
      </w:r>
      <w:r w:rsidRPr="00BB7BE9">
        <w:rPr>
          <w:rFonts w:ascii="Arial" w:hAnsi="Arial" w:cs="Arial"/>
          <w:i/>
          <w:color w:val="231F20"/>
          <w:sz w:val="20"/>
          <w:szCs w:val="20"/>
        </w:rPr>
        <w:t>.</w:t>
      </w:r>
      <w:r w:rsidR="00421346" w:rsidRPr="00BB7BE9">
        <w:rPr>
          <w:rFonts w:ascii="Arial" w:hAnsi="Arial" w:cs="Arial"/>
          <w:color w:val="231F20"/>
          <w:sz w:val="20"/>
          <w:szCs w:val="20"/>
        </w:rPr>
        <w:t xml:space="preserve"> Farnham: Ashgate</w:t>
      </w:r>
      <w:r w:rsidR="00FE1367" w:rsidRPr="00BB7BE9">
        <w:rPr>
          <w:rFonts w:ascii="Arial" w:hAnsi="Arial" w:cs="Arial"/>
          <w:color w:val="231F20"/>
          <w:sz w:val="20"/>
          <w:szCs w:val="20"/>
        </w:rPr>
        <w:t>.</w:t>
      </w:r>
    </w:p>
    <w:p w14:paraId="0B91D32B" w14:textId="77777777" w:rsidR="009B7437" w:rsidRPr="00BB7BE9" w:rsidRDefault="009B7437" w:rsidP="00CB782C">
      <w:pPr>
        <w:autoSpaceDE w:val="0"/>
        <w:autoSpaceDN w:val="0"/>
        <w:adjustRightInd w:val="0"/>
        <w:spacing w:line="480" w:lineRule="auto"/>
        <w:jc w:val="both"/>
        <w:rPr>
          <w:rFonts w:ascii="Arial" w:hAnsi="Arial" w:cs="Arial"/>
          <w:color w:val="231F20"/>
          <w:sz w:val="20"/>
          <w:szCs w:val="20"/>
        </w:rPr>
      </w:pPr>
    </w:p>
    <w:p w14:paraId="4FE2DCAC" w14:textId="1D7D0661" w:rsidR="009B7437" w:rsidRPr="00BB7BE9" w:rsidRDefault="009B7437" w:rsidP="00CB782C">
      <w:pPr>
        <w:autoSpaceDE w:val="0"/>
        <w:autoSpaceDN w:val="0"/>
        <w:adjustRightInd w:val="0"/>
        <w:spacing w:line="480" w:lineRule="auto"/>
        <w:jc w:val="both"/>
        <w:rPr>
          <w:rFonts w:ascii="Arial" w:hAnsi="Arial" w:cs="Arial"/>
          <w:color w:val="231F20"/>
          <w:sz w:val="20"/>
          <w:szCs w:val="20"/>
        </w:rPr>
      </w:pPr>
      <w:r w:rsidRPr="00BB7BE9">
        <w:rPr>
          <w:rFonts w:ascii="Arial" w:hAnsi="Arial" w:cs="Arial"/>
          <w:color w:val="231F20"/>
          <w:sz w:val="20"/>
          <w:szCs w:val="20"/>
        </w:rPr>
        <w:t>Woolcock</w:t>
      </w:r>
      <w:r w:rsidR="00D049BA" w:rsidRPr="00BB7BE9">
        <w:rPr>
          <w:rFonts w:ascii="Arial" w:hAnsi="Arial" w:cs="Arial"/>
          <w:color w:val="231F20"/>
          <w:sz w:val="20"/>
          <w:szCs w:val="20"/>
        </w:rPr>
        <w:t>,</w:t>
      </w:r>
      <w:r w:rsidRPr="00BB7BE9">
        <w:rPr>
          <w:rFonts w:ascii="Arial" w:hAnsi="Arial" w:cs="Arial"/>
          <w:color w:val="231F20"/>
          <w:sz w:val="20"/>
          <w:szCs w:val="20"/>
        </w:rPr>
        <w:t xml:space="preserve"> S</w:t>
      </w:r>
      <w:r w:rsidR="00D049BA" w:rsidRPr="00BB7BE9">
        <w:rPr>
          <w:rFonts w:ascii="Arial" w:hAnsi="Arial" w:cs="Arial"/>
          <w:color w:val="231F20"/>
          <w:sz w:val="20"/>
          <w:szCs w:val="20"/>
        </w:rPr>
        <w:t>tephen</w:t>
      </w:r>
      <w:r w:rsidRPr="00BB7BE9">
        <w:rPr>
          <w:rFonts w:ascii="Arial" w:hAnsi="Arial" w:cs="Arial"/>
          <w:color w:val="231F20"/>
          <w:sz w:val="20"/>
          <w:szCs w:val="20"/>
        </w:rPr>
        <w:t xml:space="preserve"> (2014)</w:t>
      </w:r>
      <w:r w:rsidR="0009270F" w:rsidRPr="00BB7BE9">
        <w:rPr>
          <w:rFonts w:ascii="Arial" w:hAnsi="Arial" w:cs="Arial"/>
          <w:color w:val="231F20"/>
          <w:sz w:val="20"/>
          <w:szCs w:val="20"/>
        </w:rPr>
        <w:t>.</w:t>
      </w:r>
      <w:r w:rsidRPr="00BB7BE9">
        <w:rPr>
          <w:rFonts w:ascii="Arial" w:hAnsi="Arial" w:cs="Arial"/>
          <w:color w:val="231F20"/>
          <w:sz w:val="20"/>
          <w:szCs w:val="20"/>
        </w:rPr>
        <w:t xml:space="preserve"> </w:t>
      </w:r>
      <w:r w:rsidR="002B5C7A" w:rsidRPr="00BB7BE9">
        <w:rPr>
          <w:rFonts w:ascii="Arial" w:hAnsi="Arial" w:cs="Arial"/>
          <w:color w:val="231F20"/>
          <w:sz w:val="20"/>
          <w:szCs w:val="20"/>
        </w:rPr>
        <w:t>“</w:t>
      </w:r>
      <w:r w:rsidRPr="00BB7BE9">
        <w:rPr>
          <w:rFonts w:ascii="Arial" w:hAnsi="Arial" w:cs="Arial"/>
          <w:color w:val="231F20"/>
          <w:sz w:val="20"/>
          <w:szCs w:val="20"/>
        </w:rPr>
        <w:t>Differentiation within Reciprocity: The European Union Approach to Preferential Trade Agreements.</w:t>
      </w:r>
      <w:r w:rsidR="002B5C7A" w:rsidRPr="00BB7BE9">
        <w:rPr>
          <w:rFonts w:ascii="Arial" w:hAnsi="Arial" w:cs="Arial"/>
          <w:color w:val="231F20"/>
          <w:sz w:val="20"/>
          <w:szCs w:val="20"/>
        </w:rPr>
        <w:t>”</w:t>
      </w:r>
      <w:r w:rsidRPr="00BB7BE9">
        <w:rPr>
          <w:rFonts w:ascii="Arial" w:hAnsi="Arial" w:cs="Arial"/>
          <w:color w:val="231F20"/>
          <w:sz w:val="20"/>
          <w:szCs w:val="20"/>
        </w:rPr>
        <w:t xml:space="preserve"> </w:t>
      </w:r>
      <w:r w:rsidRPr="00BB7BE9">
        <w:rPr>
          <w:rFonts w:ascii="Arial" w:hAnsi="Arial" w:cs="Arial"/>
          <w:i/>
          <w:color w:val="231F20"/>
          <w:sz w:val="20"/>
          <w:szCs w:val="20"/>
        </w:rPr>
        <w:t xml:space="preserve">Contemporary Politics </w:t>
      </w:r>
      <w:r w:rsidRPr="00BB7BE9">
        <w:rPr>
          <w:rFonts w:ascii="Arial" w:hAnsi="Arial" w:cs="Arial"/>
          <w:color w:val="231F20"/>
          <w:sz w:val="20"/>
          <w:szCs w:val="20"/>
        </w:rPr>
        <w:t>20</w:t>
      </w:r>
      <w:r w:rsidR="00BD0B99" w:rsidRPr="00BB7BE9">
        <w:rPr>
          <w:rFonts w:ascii="Arial" w:hAnsi="Arial" w:cs="Arial"/>
          <w:color w:val="231F20"/>
          <w:sz w:val="20"/>
          <w:szCs w:val="20"/>
        </w:rPr>
        <w:t xml:space="preserve">, </w:t>
      </w:r>
      <w:r w:rsidRPr="00BB7BE9">
        <w:rPr>
          <w:rFonts w:ascii="Arial" w:hAnsi="Arial" w:cs="Arial"/>
          <w:color w:val="231F20"/>
          <w:sz w:val="20"/>
          <w:szCs w:val="20"/>
        </w:rPr>
        <w:t>1: 36-48.</w:t>
      </w:r>
    </w:p>
    <w:p w14:paraId="5FFD993D" w14:textId="77777777" w:rsidR="00FE260C" w:rsidRPr="00BB7BE9" w:rsidRDefault="00FE260C" w:rsidP="00CB782C">
      <w:pPr>
        <w:autoSpaceDE w:val="0"/>
        <w:autoSpaceDN w:val="0"/>
        <w:adjustRightInd w:val="0"/>
        <w:spacing w:line="480" w:lineRule="auto"/>
        <w:jc w:val="both"/>
        <w:rPr>
          <w:rFonts w:ascii="Arial" w:hAnsi="Arial" w:cs="Arial"/>
          <w:color w:val="231F20"/>
          <w:sz w:val="20"/>
          <w:szCs w:val="20"/>
        </w:rPr>
      </w:pPr>
    </w:p>
    <w:p w14:paraId="554FEEA5" w14:textId="0404C2CD" w:rsidR="004B05F3" w:rsidRPr="00BB7BE9" w:rsidRDefault="00236CD7" w:rsidP="00CB782C">
      <w:pPr>
        <w:autoSpaceDE w:val="0"/>
        <w:autoSpaceDN w:val="0"/>
        <w:adjustRightInd w:val="0"/>
        <w:spacing w:line="480" w:lineRule="auto"/>
        <w:jc w:val="both"/>
        <w:rPr>
          <w:rFonts w:ascii="Arial" w:hAnsi="Arial" w:cs="Arial"/>
          <w:color w:val="231F20"/>
          <w:sz w:val="20"/>
          <w:szCs w:val="20"/>
        </w:rPr>
      </w:pPr>
      <w:r w:rsidRPr="00BB7BE9">
        <w:rPr>
          <w:rFonts w:ascii="Arial" w:hAnsi="Arial" w:cs="Arial"/>
          <w:color w:val="231F20"/>
          <w:sz w:val="20"/>
          <w:szCs w:val="20"/>
        </w:rPr>
        <w:t>Wouters</w:t>
      </w:r>
      <w:r w:rsidR="00D049BA" w:rsidRPr="00BB7BE9">
        <w:rPr>
          <w:rFonts w:ascii="Arial" w:hAnsi="Arial" w:cs="Arial"/>
          <w:color w:val="231F20"/>
          <w:sz w:val="20"/>
          <w:szCs w:val="20"/>
        </w:rPr>
        <w:t>,</w:t>
      </w:r>
      <w:r w:rsidR="002D36D8" w:rsidRPr="00BB7BE9">
        <w:rPr>
          <w:rFonts w:ascii="Arial" w:hAnsi="Arial" w:cs="Arial"/>
          <w:color w:val="231F20"/>
          <w:sz w:val="20"/>
          <w:szCs w:val="20"/>
        </w:rPr>
        <w:t xml:space="preserve"> J</w:t>
      </w:r>
      <w:r w:rsidR="00D049BA" w:rsidRPr="00BB7BE9">
        <w:rPr>
          <w:rFonts w:ascii="Arial" w:hAnsi="Arial" w:cs="Arial"/>
          <w:color w:val="231F20"/>
          <w:sz w:val="20"/>
          <w:szCs w:val="20"/>
        </w:rPr>
        <w:t>an;</w:t>
      </w:r>
      <w:r w:rsidRPr="00BB7BE9">
        <w:rPr>
          <w:rFonts w:ascii="Arial" w:hAnsi="Arial" w:cs="Arial"/>
          <w:color w:val="231F20"/>
          <w:sz w:val="20"/>
          <w:szCs w:val="20"/>
        </w:rPr>
        <w:t xml:space="preserve"> Goddeeris</w:t>
      </w:r>
      <w:r w:rsidR="00D049BA" w:rsidRPr="00BB7BE9">
        <w:rPr>
          <w:rFonts w:ascii="Arial" w:hAnsi="Arial" w:cs="Arial"/>
          <w:color w:val="231F20"/>
          <w:sz w:val="20"/>
          <w:szCs w:val="20"/>
        </w:rPr>
        <w:t>, Idesbald;</w:t>
      </w:r>
      <w:r w:rsidRPr="00BB7BE9">
        <w:rPr>
          <w:rFonts w:ascii="Arial" w:hAnsi="Arial" w:cs="Arial"/>
          <w:color w:val="231F20"/>
          <w:sz w:val="20"/>
          <w:szCs w:val="20"/>
        </w:rPr>
        <w:t xml:space="preserve"> Natens</w:t>
      </w:r>
      <w:r w:rsidR="00D049BA" w:rsidRPr="00BB7BE9">
        <w:rPr>
          <w:rFonts w:ascii="Arial" w:hAnsi="Arial" w:cs="Arial"/>
          <w:color w:val="231F20"/>
          <w:sz w:val="20"/>
          <w:szCs w:val="20"/>
        </w:rPr>
        <w:t>,</w:t>
      </w:r>
      <w:r w:rsidR="002D36D8" w:rsidRPr="00BB7BE9">
        <w:rPr>
          <w:rFonts w:ascii="Arial" w:hAnsi="Arial" w:cs="Arial"/>
          <w:color w:val="231F20"/>
          <w:sz w:val="20"/>
          <w:szCs w:val="20"/>
        </w:rPr>
        <w:t xml:space="preserve"> B</w:t>
      </w:r>
      <w:r w:rsidR="00D049BA" w:rsidRPr="00BB7BE9">
        <w:rPr>
          <w:rFonts w:ascii="Arial" w:hAnsi="Arial" w:cs="Arial"/>
          <w:color w:val="231F20"/>
          <w:sz w:val="20"/>
          <w:szCs w:val="20"/>
        </w:rPr>
        <w:t>regt</w:t>
      </w:r>
      <w:r w:rsidR="00547911" w:rsidRPr="00BB7BE9">
        <w:rPr>
          <w:rFonts w:ascii="Arial" w:hAnsi="Arial" w:cs="Arial"/>
          <w:color w:val="231F20"/>
          <w:sz w:val="20"/>
          <w:szCs w:val="20"/>
        </w:rPr>
        <w:t xml:space="preserve"> and</w:t>
      </w:r>
      <w:r w:rsidRPr="00BB7BE9">
        <w:rPr>
          <w:rFonts w:ascii="Arial" w:hAnsi="Arial" w:cs="Arial"/>
          <w:color w:val="231F20"/>
          <w:sz w:val="20"/>
          <w:szCs w:val="20"/>
        </w:rPr>
        <w:t xml:space="preserve"> Ciortuz</w:t>
      </w:r>
      <w:r w:rsidR="00D049BA" w:rsidRPr="00BB7BE9">
        <w:rPr>
          <w:rFonts w:ascii="Arial" w:hAnsi="Arial" w:cs="Arial"/>
          <w:color w:val="231F20"/>
          <w:sz w:val="20"/>
          <w:szCs w:val="20"/>
        </w:rPr>
        <w:t>,</w:t>
      </w:r>
      <w:r w:rsidR="002D36D8" w:rsidRPr="00BB7BE9">
        <w:rPr>
          <w:rFonts w:ascii="Arial" w:hAnsi="Arial" w:cs="Arial"/>
          <w:color w:val="231F20"/>
          <w:sz w:val="20"/>
          <w:szCs w:val="20"/>
        </w:rPr>
        <w:t xml:space="preserve"> F</w:t>
      </w:r>
      <w:r w:rsidR="00D049BA" w:rsidRPr="00BB7BE9">
        <w:rPr>
          <w:rFonts w:ascii="Arial" w:hAnsi="Arial" w:cs="Arial"/>
          <w:color w:val="231F20"/>
          <w:sz w:val="20"/>
          <w:szCs w:val="20"/>
        </w:rPr>
        <w:t>ilip</w:t>
      </w:r>
      <w:r w:rsidR="002D36D8" w:rsidRPr="00BB7BE9">
        <w:rPr>
          <w:rFonts w:ascii="Arial" w:hAnsi="Arial" w:cs="Arial"/>
          <w:color w:val="231F20"/>
          <w:sz w:val="20"/>
          <w:szCs w:val="20"/>
        </w:rPr>
        <w:t xml:space="preserve"> (201</w:t>
      </w:r>
      <w:r w:rsidR="00FE260C" w:rsidRPr="00BB7BE9">
        <w:rPr>
          <w:rFonts w:ascii="Arial" w:hAnsi="Arial" w:cs="Arial"/>
          <w:color w:val="231F20"/>
          <w:sz w:val="20"/>
          <w:szCs w:val="20"/>
        </w:rPr>
        <w:t>4</w:t>
      </w:r>
      <w:r w:rsidR="002D36D8" w:rsidRPr="00BB7BE9">
        <w:rPr>
          <w:rFonts w:ascii="Arial" w:hAnsi="Arial" w:cs="Arial"/>
          <w:color w:val="231F20"/>
          <w:sz w:val="20"/>
          <w:szCs w:val="20"/>
        </w:rPr>
        <w:t>)</w:t>
      </w:r>
      <w:r w:rsidR="0009270F" w:rsidRPr="00BB7BE9">
        <w:rPr>
          <w:rFonts w:ascii="Arial" w:hAnsi="Arial" w:cs="Arial"/>
          <w:color w:val="231F20"/>
          <w:sz w:val="20"/>
          <w:szCs w:val="20"/>
        </w:rPr>
        <w:t>.</w:t>
      </w:r>
      <w:r w:rsidRPr="00BB7BE9">
        <w:rPr>
          <w:rFonts w:ascii="Arial" w:hAnsi="Arial" w:cs="Arial"/>
          <w:color w:val="231F20"/>
          <w:sz w:val="20"/>
          <w:szCs w:val="20"/>
        </w:rPr>
        <w:t xml:space="preserve"> </w:t>
      </w:r>
      <w:r w:rsidR="002B5C7A" w:rsidRPr="00BB7BE9">
        <w:rPr>
          <w:rFonts w:ascii="Arial" w:hAnsi="Arial" w:cs="Arial"/>
          <w:color w:val="231F20"/>
          <w:sz w:val="20"/>
          <w:szCs w:val="20"/>
        </w:rPr>
        <w:t>“</w:t>
      </w:r>
      <w:r w:rsidR="002D36D8" w:rsidRPr="00BB7BE9">
        <w:rPr>
          <w:rFonts w:ascii="Arial" w:hAnsi="Arial" w:cs="Arial"/>
          <w:color w:val="231F20"/>
          <w:sz w:val="20"/>
          <w:szCs w:val="20"/>
        </w:rPr>
        <w:t>Some Critical Issues in EU-India Free Trade Agreement Negotiations</w:t>
      </w:r>
      <w:r w:rsidRPr="00BB7BE9">
        <w:rPr>
          <w:rFonts w:ascii="Arial" w:hAnsi="Arial" w:cs="Arial"/>
          <w:color w:val="231F20"/>
          <w:sz w:val="20"/>
          <w:szCs w:val="20"/>
        </w:rPr>
        <w:t>.</w:t>
      </w:r>
      <w:r w:rsidR="002B5C7A" w:rsidRPr="00BB7BE9">
        <w:rPr>
          <w:rFonts w:ascii="Arial" w:hAnsi="Arial" w:cs="Arial"/>
          <w:color w:val="231F20"/>
          <w:sz w:val="20"/>
          <w:szCs w:val="20"/>
        </w:rPr>
        <w:t>”</w:t>
      </w:r>
      <w:r w:rsidR="00FE260C" w:rsidRPr="00BB7BE9">
        <w:rPr>
          <w:rFonts w:ascii="Arial" w:hAnsi="Arial" w:cs="Arial"/>
          <w:color w:val="231F20"/>
          <w:sz w:val="20"/>
          <w:szCs w:val="20"/>
        </w:rPr>
        <w:t xml:space="preserve"> </w:t>
      </w:r>
      <w:r w:rsidR="00FE260C" w:rsidRPr="00BB7BE9">
        <w:rPr>
          <w:rFonts w:ascii="Arial" w:hAnsi="Arial" w:cs="Arial"/>
          <w:i/>
          <w:color w:val="231F20"/>
          <w:sz w:val="20"/>
          <w:szCs w:val="20"/>
        </w:rPr>
        <w:t xml:space="preserve">European Law Journal </w:t>
      </w:r>
      <w:r w:rsidR="00FE260C" w:rsidRPr="00BB7BE9">
        <w:rPr>
          <w:rFonts w:ascii="Arial" w:hAnsi="Arial" w:cs="Arial"/>
          <w:color w:val="231F20"/>
          <w:sz w:val="20"/>
          <w:szCs w:val="20"/>
        </w:rPr>
        <w:t>20</w:t>
      </w:r>
      <w:r w:rsidR="00BD0B99" w:rsidRPr="00BB7BE9">
        <w:rPr>
          <w:rFonts w:ascii="Arial" w:hAnsi="Arial" w:cs="Arial"/>
          <w:color w:val="231F20"/>
          <w:sz w:val="20"/>
          <w:szCs w:val="20"/>
        </w:rPr>
        <w:t xml:space="preserve">, </w:t>
      </w:r>
      <w:r w:rsidR="00FE260C" w:rsidRPr="00BB7BE9">
        <w:rPr>
          <w:rFonts w:ascii="Arial" w:hAnsi="Arial" w:cs="Arial"/>
          <w:color w:val="231F20"/>
          <w:sz w:val="20"/>
          <w:szCs w:val="20"/>
        </w:rPr>
        <w:t xml:space="preserve">6: 848-869. </w:t>
      </w:r>
    </w:p>
    <w:p w14:paraId="5EC14D8D" w14:textId="77777777" w:rsidR="004F5C12" w:rsidRPr="00BB7BE9" w:rsidRDefault="004F5C12" w:rsidP="00CB782C">
      <w:pPr>
        <w:autoSpaceDE w:val="0"/>
        <w:autoSpaceDN w:val="0"/>
        <w:adjustRightInd w:val="0"/>
        <w:spacing w:line="480" w:lineRule="auto"/>
        <w:jc w:val="both"/>
        <w:rPr>
          <w:rFonts w:ascii="Arial" w:hAnsi="Arial" w:cs="Arial"/>
          <w:color w:val="231F20"/>
          <w:sz w:val="20"/>
          <w:szCs w:val="20"/>
        </w:rPr>
      </w:pPr>
    </w:p>
    <w:p w14:paraId="1CE5F293" w14:textId="4F3DBEB1" w:rsidR="0074695A" w:rsidRPr="00BB7BE9" w:rsidRDefault="0074695A" w:rsidP="00CB782C">
      <w:pPr>
        <w:autoSpaceDE w:val="0"/>
        <w:autoSpaceDN w:val="0"/>
        <w:adjustRightInd w:val="0"/>
        <w:spacing w:line="480" w:lineRule="auto"/>
        <w:jc w:val="both"/>
        <w:rPr>
          <w:rFonts w:ascii="Arial" w:hAnsi="Arial" w:cs="Arial"/>
          <w:color w:val="231F20"/>
          <w:sz w:val="20"/>
          <w:szCs w:val="20"/>
        </w:rPr>
      </w:pPr>
      <w:r w:rsidRPr="00BB7BE9">
        <w:rPr>
          <w:rFonts w:ascii="Arial" w:hAnsi="Arial" w:cs="Arial"/>
          <w:color w:val="231F20"/>
          <w:sz w:val="20"/>
          <w:szCs w:val="20"/>
        </w:rPr>
        <w:t xml:space="preserve">Young, Alasdair R. (2012). “Trade Policy.” in Anand Menon; Erik Jones and Stephen Weatherill, editors, </w:t>
      </w:r>
      <w:r w:rsidRPr="00BB7BE9">
        <w:rPr>
          <w:rFonts w:ascii="Arial" w:hAnsi="Arial" w:cs="Arial"/>
          <w:i/>
          <w:color w:val="231F20"/>
          <w:sz w:val="20"/>
          <w:szCs w:val="20"/>
        </w:rPr>
        <w:t xml:space="preserve">The Oxford Handbook of the European Union. </w:t>
      </w:r>
      <w:r w:rsidRPr="00BB7BE9">
        <w:rPr>
          <w:rFonts w:ascii="Arial" w:hAnsi="Arial" w:cs="Arial"/>
          <w:color w:val="231F20"/>
          <w:sz w:val="20"/>
          <w:szCs w:val="20"/>
        </w:rPr>
        <w:t>Oxford: Oxford University Press.</w:t>
      </w:r>
    </w:p>
    <w:p w14:paraId="080F71C0" w14:textId="77777777" w:rsidR="0074695A" w:rsidRPr="00BB7BE9" w:rsidRDefault="0074695A" w:rsidP="00CB782C">
      <w:pPr>
        <w:autoSpaceDE w:val="0"/>
        <w:autoSpaceDN w:val="0"/>
        <w:adjustRightInd w:val="0"/>
        <w:spacing w:line="480" w:lineRule="auto"/>
        <w:jc w:val="both"/>
        <w:rPr>
          <w:rFonts w:ascii="Arial" w:hAnsi="Arial" w:cs="Arial"/>
          <w:color w:val="231F20"/>
          <w:sz w:val="20"/>
          <w:szCs w:val="20"/>
        </w:rPr>
      </w:pPr>
    </w:p>
    <w:p w14:paraId="38C8F87C" w14:textId="3DD4C710" w:rsidR="004F5C12" w:rsidRPr="00BB7BE9" w:rsidRDefault="004F5C12" w:rsidP="00CB782C">
      <w:pPr>
        <w:autoSpaceDE w:val="0"/>
        <w:autoSpaceDN w:val="0"/>
        <w:adjustRightInd w:val="0"/>
        <w:spacing w:line="480" w:lineRule="auto"/>
        <w:jc w:val="both"/>
        <w:rPr>
          <w:rFonts w:ascii="Arial" w:hAnsi="Arial" w:cs="Arial"/>
          <w:color w:val="231F20"/>
          <w:sz w:val="20"/>
          <w:szCs w:val="20"/>
        </w:rPr>
      </w:pPr>
      <w:r w:rsidRPr="00BB7BE9">
        <w:rPr>
          <w:rFonts w:ascii="Arial" w:hAnsi="Arial" w:cs="Arial"/>
          <w:color w:val="231F20"/>
          <w:sz w:val="20"/>
          <w:szCs w:val="20"/>
        </w:rPr>
        <w:t xml:space="preserve">Young, Alasdair R. and Peterson, John (2014). </w:t>
      </w:r>
      <w:r w:rsidRPr="00BB7BE9">
        <w:rPr>
          <w:rFonts w:ascii="Arial" w:hAnsi="Arial" w:cs="Arial"/>
          <w:i/>
          <w:color w:val="231F20"/>
          <w:sz w:val="20"/>
          <w:szCs w:val="20"/>
        </w:rPr>
        <w:t>Parochial Global Europe: 21</w:t>
      </w:r>
      <w:r w:rsidRPr="00BB7BE9">
        <w:rPr>
          <w:rFonts w:ascii="Arial" w:hAnsi="Arial" w:cs="Arial"/>
          <w:i/>
          <w:color w:val="231F20"/>
          <w:sz w:val="20"/>
          <w:szCs w:val="20"/>
          <w:vertAlign w:val="superscript"/>
        </w:rPr>
        <w:t>st</w:t>
      </w:r>
      <w:r w:rsidRPr="00BB7BE9">
        <w:rPr>
          <w:rFonts w:ascii="Arial" w:hAnsi="Arial" w:cs="Arial"/>
          <w:i/>
          <w:color w:val="231F20"/>
          <w:sz w:val="20"/>
          <w:szCs w:val="20"/>
        </w:rPr>
        <w:t xml:space="preserve"> Century Trade Politics. </w:t>
      </w:r>
      <w:r w:rsidRPr="00BB7BE9">
        <w:rPr>
          <w:rFonts w:ascii="Arial" w:hAnsi="Arial" w:cs="Arial"/>
          <w:color w:val="231F20"/>
          <w:sz w:val="20"/>
          <w:szCs w:val="20"/>
        </w:rPr>
        <w:t xml:space="preserve">Oxford: Oxford University Press. </w:t>
      </w:r>
    </w:p>
    <w:sectPr w:rsidR="004F5C12" w:rsidRPr="00BB7BE9" w:rsidSect="00027B4C">
      <w:footerReference w:type="even" r:id="rId26"/>
      <w:footerReference w:type="default" r:id="rId27"/>
      <w:pgSz w:w="11906" w:h="16838"/>
      <w:pgMar w:top="2268" w:right="1701" w:bottom="2835"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44DB1" w14:textId="77777777" w:rsidR="004E0111" w:rsidRDefault="004E0111">
      <w:r>
        <w:separator/>
      </w:r>
    </w:p>
  </w:endnote>
  <w:endnote w:type="continuationSeparator" w:id="0">
    <w:p w14:paraId="26A73EF7" w14:textId="77777777" w:rsidR="004E0111" w:rsidRDefault="004E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C0901" w14:textId="77777777" w:rsidR="004E0111" w:rsidRDefault="004E0111" w:rsidP="00BD4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26AF7" w14:textId="77777777" w:rsidR="004E0111" w:rsidRDefault="004E0111" w:rsidP="002551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39F8C" w14:textId="77777777" w:rsidR="004E0111" w:rsidRPr="00CC29D5" w:rsidRDefault="004E0111" w:rsidP="00CC29D5">
    <w:pPr>
      <w:pStyle w:val="Footer"/>
      <w:framePr w:wrap="around" w:vAnchor="text" w:hAnchor="page" w:x="10428" w:y="-73"/>
      <w:rPr>
        <w:rStyle w:val="PageNumber"/>
        <w:rFonts w:ascii="Arial" w:hAnsi="Arial" w:cs="Arial"/>
        <w:sz w:val="20"/>
        <w:szCs w:val="20"/>
      </w:rPr>
    </w:pPr>
    <w:r w:rsidRPr="00CC29D5">
      <w:rPr>
        <w:rStyle w:val="PageNumber"/>
        <w:rFonts w:ascii="Arial" w:hAnsi="Arial" w:cs="Arial"/>
        <w:sz w:val="20"/>
        <w:szCs w:val="20"/>
      </w:rPr>
      <w:fldChar w:fldCharType="begin"/>
    </w:r>
    <w:r w:rsidRPr="00CC29D5">
      <w:rPr>
        <w:rStyle w:val="PageNumber"/>
        <w:rFonts w:ascii="Arial" w:hAnsi="Arial" w:cs="Arial"/>
        <w:sz w:val="20"/>
        <w:szCs w:val="20"/>
      </w:rPr>
      <w:instrText xml:space="preserve">PAGE  </w:instrText>
    </w:r>
    <w:r w:rsidRPr="00CC29D5">
      <w:rPr>
        <w:rStyle w:val="PageNumber"/>
        <w:rFonts w:ascii="Arial" w:hAnsi="Arial" w:cs="Arial"/>
        <w:sz w:val="20"/>
        <w:szCs w:val="20"/>
      </w:rPr>
      <w:fldChar w:fldCharType="separate"/>
    </w:r>
    <w:r w:rsidR="00790ACB">
      <w:rPr>
        <w:rStyle w:val="PageNumber"/>
        <w:rFonts w:ascii="Arial" w:hAnsi="Arial" w:cs="Arial"/>
        <w:noProof/>
        <w:sz w:val="20"/>
        <w:szCs w:val="20"/>
      </w:rPr>
      <w:t>1</w:t>
    </w:r>
    <w:r w:rsidRPr="00CC29D5">
      <w:rPr>
        <w:rStyle w:val="PageNumber"/>
        <w:rFonts w:ascii="Arial" w:hAnsi="Arial" w:cs="Arial"/>
        <w:sz w:val="20"/>
        <w:szCs w:val="20"/>
      </w:rPr>
      <w:fldChar w:fldCharType="end"/>
    </w:r>
  </w:p>
  <w:p w14:paraId="30CC6593" w14:textId="77777777" w:rsidR="004E0111" w:rsidRDefault="004E0111" w:rsidP="002551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9C132" w14:textId="77777777" w:rsidR="004E0111" w:rsidRDefault="004E0111">
      <w:r>
        <w:separator/>
      </w:r>
    </w:p>
  </w:footnote>
  <w:footnote w:type="continuationSeparator" w:id="0">
    <w:p w14:paraId="6014A279" w14:textId="77777777" w:rsidR="004E0111" w:rsidRDefault="004E0111">
      <w:r>
        <w:continuationSeparator/>
      </w:r>
    </w:p>
  </w:footnote>
  <w:footnote w:id="1">
    <w:p w14:paraId="0C461F22" w14:textId="3279A661" w:rsidR="004E0111" w:rsidRPr="002914DA" w:rsidRDefault="004E0111" w:rsidP="00F11689">
      <w:pPr>
        <w:pStyle w:val="FootnoteText"/>
        <w:spacing w:line="360" w:lineRule="auto"/>
        <w:jc w:val="both"/>
        <w:rPr>
          <w:rFonts w:ascii="Arial" w:hAnsi="Arial" w:cs="Arial"/>
          <w:sz w:val="18"/>
          <w:szCs w:val="18"/>
          <w:lang w:val="en-US"/>
        </w:rPr>
      </w:pPr>
      <w:r w:rsidRPr="002914DA">
        <w:rPr>
          <w:rStyle w:val="FootnoteReference"/>
          <w:rFonts w:ascii="Arial" w:hAnsi="Arial" w:cs="Arial"/>
          <w:sz w:val="18"/>
          <w:szCs w:val="18"/>
        </w:rPr>
        <w:footnoteRef/>
      </w:r>
      <w:r w:rsidRPr="002914DA">
        <w:rPr>
          <w:rFonts w:ascii="Arial" w:hAnsi="Arial" w:cs="Arial"/>
          <w:sz w:val="18"/>
          <w:szCs w:val="18"/>
        </w:rPr>
        <w:t xml:space="preserve"> Sometimes three-level game analysis is used with the argument that there is a third level of negotiations domestically within the Member States. However, this approach is not adopted here as, first, Putnam’s claim that the negotiator provides the link between the negotiating levels needs to be respected. Most three-level game analyses break this link by focusing on the Commission as the link between the international and EU level negotiations, and the national representative as the link between the EU-Level and the domestic negotiations (Frennhoff Larsén 2007). Second, although many trade negotiations in the past could be likened to a three-level game as any agreement had to be ratified both by the Council </w:t>
      </w:r>
      <w:r w:rsidRPr="002914DA">
        <w:rPr>
          <w:rFonts w:ascii="Arial" w:hAnsi="Arial" w:cs="Arial"/>
          <w:i/>
          <w:sz w:val="18"/>
          <w:szCs w:val="18"/>
        </w:rPr>
        <w:t xml:space="preserve">and </w:t>
      </w:r>
      <w:r w:rsidRPr="002914DA">
        <w:rPr>
          <w:rFonts w:ascii="Arial" w:hAnsi="Arial" w:cs="Arial"/>
          <w:sz w:val="18"/>
          <w:szCs w:val="18"/>
        </w:rPr>
        <w:t>by the national parliaments, this is no longer the case since the Lisbon Treaty moved the ratification requirement from the national parliaments to the EP for agreements of exclusive EU competence (Ripoll Servent 2014: 570). Consequently most formal ratification takes place at the EU domestic level.</w:t>
      </w:r>
    </w:p>
  </w:footnote>
  <w:footnote w:id="2">
    <w:p w14:paraId="588B4EDD" w14:textId="0DFEF4EB" w:rsidR="004E0111" w:rsidRPr="002914DA" w:rsidRDefault="004E0111" w:rsidP="00F11689">
      <w:pPr>
        <w:pStyle w:val="FootnoteText"/>
        <w:spacing w:line="360" w:lineRule="auto"/>
        <w:jc w:val="both"/>
        <w:rPr>
          <w:rFonts w:ascii="Arial" w:hAnsi="Arial" w:cs="Arial"/>
          <w:sz w:val="18"/>
          <w:szCs w:val="18"/>
          <w:lang w:val="en-US"/>
        </w:rPr>
      </w:pPr>
      <w:r w:rsidRPr="002914DA">
        <w:rPr>
          <w:rStyle w:val="FootnoteReference"/>
          <w:rFonts w:ascii="Arial" w:hAnsi="Arial" w:cs="Arial"/>
          <w:sz w:val="18"/>
          <w:szCs w:val="18"/>
        </w:rPr>
        <w:footnoteRef/>
      </w:r>
      <w:r w:rsidRPr="002914DA">
        <w:rPr>
          <w:rFonts w:ascii="Arial" w:hAnsi="Arial" w:cs="Arial"/>
          <w:sz w:val="18"/>
          <w:szCs w:val="18"/>
        </w:rPr>
        <w:t xml:space="preserve"> While</w:t>
      </w:r>
      <w:r w:rsidRPr="002914DA">
        <w:rPr>
          <w:rFonts w:ascii="Arial" w:hAnsi="Arial" w:cs="Arial"/>
          <w:sz w:val="18"/>
          <w:szCs w:val="18"/>
          <w:lang w:val="en-US"/>
        </w:rPr>
        <w:t xml:space="preserve"> principal-agent and two-level game approaches can complement each other (e.g. Ripoll Servent 2014; Young 2012; Young and Peterson), principal-agent analysis is not adopted here as 1) its key assumption of divergence of preference between principals and agent does not reflect the strong unity in preferences between the EU negotiators and the Member States in the BTIA negotiations. 2) In order to include the EP in the model the other key assumption of a clear contractual relationship between agent and principal would have to be relaxed. </w:t>
      </w:r>
    </w:p>
  </w:footnote>
  <w:footnote w:id="3">
    <w:p w14:paraId="702509A0" w14:textId="1F735699" w:rsidR="004E0111" w:rsidRPr="00C5266A" w:rsidRDefault="004E0111" w:rsidP="00F11689">
      <w:pPr>
        <w:pStyle w:val="FootnoteText"/>
        <w:spacing w:line="360" w:lineRule="auto"/>
        <w:jc w:val="both"/>
        <w:rPr>
          <w:rFonts w:ascii="Arial" w:hAnsi="Arial" w:cs="Arial"/>
          <w:sz w:val="18"/>
          <w:szCs w:val="18"/>
          <w:lang w:val="en-US"/>
        </w:rPr>
      </w:pPr>
      <w:r w:rsidRPr="00C5266A">
        <w:rPr>
          <w:rStyle w:val="FootnoteReference"/>
          <w:rFonts w:ascii="Arial" w:hAnsi="Arial" w:cs="Arial"/>
          <w:sz w:val="18"/>
          <w:szCs w:val="18"/>
        </w:rPr>
        <w:footnoteRef/>
      </w:r>
      <w:r>
        <w:rPr>
          <w:rFonts w:ascii="Arial" w:hAnsi="Arial" w:cs="Arial"/>
          <w:sz w:val="18"/>
          <w:szCs w:val="18"/>
        </w:rPr>
        <w:t xml:space="preserve"> T</w:t>
      </w:r>
      <w:r w:rsidRPr="00C5266A">
        <w:rPr>
          <w:rFonts w:ascii="Arial" w:hAnsi="Arial" w:cs="Arial"/>
          <w:sz w:val="18"/>
          <w:szCs w:val="18"/>
        </w:rPr>
        <w:t xml:space="preserve">he EU negotiators (which are based in DG Trade) also </w:t>
      </w:r>
      <w:r>
        <w:rPr>
          <w:rFonts w:ascii="Arial" w:hAnsi="Arial" w:cs="Arial"/>
          <w:sz w:val="18"/>
          <w:szCs w:val="18"/>
        </w:rPr>
        <w:t xml:space="preserve">formally </w:t>
      </w:r>
      <w:r w:rsidRPr="00C5266A">
        <w:rPr>
          <w:rFonts w:ascii="Arial" w:hAnsi="Arial" w:cs="Arial"/>
          <w:sz w:val="18"/>
          <w:szCs w:val="18"/>
        </w:rPr>
        <w:t xml:space="preserve">interact internally with </w:t>
      </w:r>
      <w:r>
        <w:rPr>
          <w:rFonts w:ascii="Arial" w:hAnsi="Arial" w:cs="Arial"/>
          <w:sz w:val="18"/>
          <w:szCs w:val="18"/>
        </w:rPr>
        <w:t xml:space="preserve">other DGs </w:t>
      </w:r>
      <w:r w:rsidRPr="00C5266A">
        <w:rPr>
          <w:rFonts w:ascii="Arial" w:hAnsi="Arial" w:cs="Arial"/>
          <w:sz w:val="18"/>
          <w:szCs w:val="18"/>
        </w:rPr>
        <w:t xml:space="preserve">of the Commission. However, in the case of the BTIA negotiations there is strong convergence in interest </w:t>
      </w:r>
      <w:r>
        <w:rPr>
          <w:rFonts w:ascii="Arial" w:hAnsi="Arial" w:cs="Arial"/>
          <w:sz w:val="18"/>
          <w:szCs w:val="18"/>
        </w:rPr>
        <w:t>between the Directorate-Generals due to the small number of defensive interests expressed by DG Agriculture and the limited involvement of DG Development</w:t>
      </w:r>
      <w:r w:rsidRPr="00C5266A">
        <w:rPr>
          <w:rFonts w:ascii="Arial" w:hAnsi="Arial" w:cs="Arial"/>
          <w:sz w:val="18"/>
          <w:szCs w:val="18"/>
        </w:rPr>
        <w:t xml:space="preserve"> (Interview</w:t>
      </w:r>
      <w:r>
        <w:rPr>
          <w:rFonts w:ascii="Arial" w:hAnsi="Arial" w:cs="Arial"/>
          <w:sz w:val="18"/>
          <w:szCs w:val="18"/>
        </w:rPr>
        <w:t>s</w:t>
      </w:r>
      <w:r w:rsidRPr="00C5266A">
        <w:rPr>
          <w:rFonts w:ascii="Arial" w:hAnsi="Arial" w:cs="Arial"/>
          <w:sz w:val="18"/>
          <w:szCs w:val="18"/>
        </w:rPr>
        <w:t>, Commission official, 7</w:t>
      </w:r>
      <w:r>
        <w:rPr>
          <w:rFonts w:ascii="Arial" w:hAnsi="Arial" w:cs="Arial"/>
          <w:sz w:val="18"/>
          <w:szCs w:val="18"/>
        </w:rPr>
        <w:t>-8</w:t>
      </w:r>
      <w:r w:rsidRPr="00C5266A">
        <w:rPr>
          <w:rFonts w:ascii="Arial" w:hAnsi="Arial" w:cs="Arial"/>
          <w:sz w:val="18"/>
          <w:szCs w:val="18"/>
        </w:rPr>
        <w:t>/3/2013), and the negotiators can be seen as representatives of the Commission as a whole</w:t>
      </w:r>
      <w:r>
        <w:rPr>
          <w:rFonts w:ascii="Arial" w:hAnsi="Arial" w:cs="Arial"/>
          <w:sz w:val="18"/>
          <w:szCs w:val="18"/>
        </w:rPr>
        <w:t>. Consequently,</w:t>
      </w:r>
      <w:r w:rsidRPr="00C5266A">
        <w:rPr>
          <w:rFonts w:ascii="Arial" w:hAnsi="Arial" w:cs="Arial"/>
          <w:sz w:val="18"/>
          <w:szCs w:val="18"/>
        </w:rPr>
        <w:t xml:space="preserve"> these internal interactions do not form part of this analysis.</w:t>
      </w:r>
    </w:p>
  </w:footnote>
  <w:footnote w:id="4">
    <w:p w14:paraId="09D074E8" w14:textId="3373C753" w:rsidR="004E0111" w:rsidRPr="002914DA" w:rsidRDefault="004E0111" w:rsidP="00862011">
      <w:pPr>
        <w:pStyle w:val="FootnoteText"/>
        <w:spacing w:line="360" w:lineRule="auto"/>
        <w:rPr>
          <w:rFonts w:ascii="Arial" w:hAnsi="Arial" w:cs="Arial"/>
          <w:sz w:val="18"/>
          <w:szCs w:val="18"/>
          <w:lang w:val="en-US"/>
        </w:rPr>
      </w:pPr>
      <w:r w:rsidRPr="002914DA">
        <w:rPr>
          <w:rStyle w:val="FootnoteReference"/>
          <w:rFonts w:ascii="Arial" w:hAnsi="Arial" w:cs="Arial"/>
          <w:sz w:val="18"/>
          <w:szCs w:val="18"/>
        </w:rPr>
        <w:footnoteRef/>
      </w:r>
      <w:r w:rsidRPr="002914DA">
        <w:rPr>
          <w:rFonts w:ascii="Arial" w:hAnsi="Arial" w:cs="Arial"/>
          <w:sz w:val="18"/>
          <w:szCs w:val="18"/>
        </w:rPr>
        <w:t xml:space="preserve"> </w:t>
      </w:r>
      <w:r w:rsidRPr="002914DA">
        <w:rPr>
          <w:rFonts w:ascii="Arial" w:hAnsi="Arial" w:cs="Arial"/>
          <w:sz w:val="18"/>
          <w:szCs w:val="18"/>
          <w:lang w:val="en-US"/>
        </w:rPr>
        <w:t>Even when decisions are taken by qualified majority voting, there is a general practice in the Council to try and find a consensus (Woolcock 2005).</w:t>
      </w:r>
    </w:p>
  </w:footnote>
  <w:footnote w:id="5">
    <w:p w14:paraId="0ACCD2FF" w14:textId="752ECD3B" w:rsidR="004E0111" w:rsidRPr="002914DA" w:rsidRDefault="004E0111" w:rsidP="002914DA">
      <w:pPr>
        <w:pStyle w:val="FootnoteText"/>
        <w:spacing w:line="360" w:lineRule="auto"/>
        <w:jc w:val="both"/>
        <w:rPr>
          <w:rFonts w:ascii="Arial" w:hAnsi="Arial" w:cs="Arial"/>
          <w:sz w:val="18"/>
          <w:szCs w:val="18"/>
          <w:lang w:val="en-US"/>
        </w:rPr>
      </w:pPr>
      <w:r w:rsidRPr="00FA2BB4">
        <w:rPr>
          <w:rStyle w:val="FootnoteReference"/>
          <w:rFonts w:ascii="Arial" w:hAnsi="Arial" w:cs="Arial"/>
        </w:rPr>
        <w:footnoteRef/>
      </w:r>
      <w:r w:rsidRPr="00FA2BB4">
        <w:rPr>
          <w:rFonts w:ascii="Arial" w:hAnsi="Arial" w:cs="Arial"/>
        </w:rPr>
        <w:t xml:space="preserve"> </w:t>
      </w:r>
      <w:r w:rsidRPr="002914DA">
        <w:rPr>
          <w:rFonts w:ascii="Arial" w:hAnsi="Arial" w:cs="Arial"/>
          <w:sz w:val="18"/>
          <w:szCs w:val="18"/>
          <w:lang w:val="en-US"/>
        </w:rPr>
        <w:t>To the Indian negotiators it is clear that they negotiate with the EU negotiators, and there are no direct contacts between them and the EP (Interview, Member of the Indian negotiating Team, 8/3/2013). Similarly there are limited interactions between MEPs and their Indian counterpart, since India is one of few countries that does not have a standing group of MPs who have relations with the EP (Interview, EP Official, 8/3/2013).</w:t>
      </w:r>
    </w:p>
    <w:p w14:paraId="6EC746FE" w14:textId="77777777" w:rsidR="004E0111" w:rsidRPr="002914DA" w:rsidRDefault="004E0111" w:rsidP="002914DA">
      <w:pPr>
        <w:pStyle w:val="FootnoteText"/>
        <w:spacing w:line="360" w:lineRule="auto"/>
        <w:jc w:val="both"/>
        <w:rPr>
          <w:rFonts w:ascii="Arial" w:hAnsi="Arial" w:cs="Arial"/>
          <w:sz w:val="18"/>
          <w:szCs w:val="18"/>
          <w:lang w:val="en-US"/>
        </w:rPr>
      </w:pPr>
    </w:p>
  </w:footnote>
  <w:footnote w:id="6">
    <w:p w14:paraId="06C62F04" w14:textId="0CD5180A" w:rsidR="004E0111" w:rsidRPr="00A33649" w:rsidRDefault="004E0111" w:rsidP="004B1824">
      <w:pPr>
        <w:pStyle w:val="FootnoteText"/>
        <w:spacing w:line="360" w:lineRule="auto"/>
        <w:rPr>
          <w:rFonts w:ascii="Arial" w:hAnsi="Arial" w:cs="Arial"/>
          <w:sz w:val="18"/>
          <w:szCs w:val="18"/>
          <w:lang w:val="en-US"/>
        </w:rPr>
      </w:pPr>
      <w:r w:rsidRPr="00A33649">
        <w:rPr>
          <w:rStyle w:val="FootnoteReference"/>
          <w:rFonts w:ascii="Arial" w:hAnsi="Arial" w:cs="Arial"/>
          <w:sz w:val="18"/>
          <w:szCs w:val="18"/>
        </w:rPr>
        <w:footnoteRef/>
      </w:r>
      <w:r w:rsidRPr="00A33649">
        <w:rPr>
          <w:rFonts w:ascii="Arial" w:hAnsi="Arial" w:cs="Arial"/>
          <w:sz w:val="18"/>
          <w:szCs w:val="18"/>
        </w:rPr>
        <w:t xml:space="preserve"> </w:t>
      </w:r>
      <w:r w:rsidRPr="00A33649">
        <w:rPr>
          <w:rFonts w:ascii="Arial" w:hAnsi="Arial" w:cs="Arial"/>
          <w:sz w:val="18"/>
          <w:szCs w:val="18"/>
          <w:lang w:val="en-US"/>
        </w:rPr>
        <w:t xml:space="preserve">For a comprehensive overview of the process and discussions leading to the agreement to increase the legal powers of the EP with the Lisbon Treaty, see Devuyrst 2013.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E2ACC"/>
    <w:multiLevelType w:val="hybridMultilevel"/>
    <w:tmpl w:val="44329E8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654E253C"/>
    <w:multiLevelType w:val="multilevel"/>
    <w:tmpl w:val="5E66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74492E"/>
    <w:multiLevelType w:val="multilevel"/>
    <w:tmpl w:val="6B2A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79"/>
    <w:rsid w:val="0000096E"/>
    <w:rsid w:val="00000BC1"/>
    <w:rsid w:val="000014D8"/>
    <w:rsid w:val="00002411"/>
    <w:rsid w:val="000026ED"/>
    <w:rsid w:val="000044AA"/>
    <w:rsid w:val="00004F8B"/>
    <w:rsid w:val="0000600C"/>
    <w:rsid w:val="00007301"/>
    <w:rsid w:val="000075A8"/>
    <w:rsid w:val="000077F7"/>
    <w:rsid w:val="000101E9"/>
    <w:rsid w:val="0001063E"/>
    <w:rsid w:val="00010823"/>
    <w:rsid w:val="00011A78"/>
    <w:rsid w:val="00012EDE"/>
    <w:rsid w:val="0001332E"/>
    <w:rsid w:val="00013FE7"/>
    <w:rsid w:val="0001513A"/>
    <w:rsid w:val="000163EA"/>
    <w:rsid w:val="00016BB8"/>
    <w:rsid w:val="0001726A"/>
    <w:rsid w:val="00020149"/>
    <w:rsid w:val="000209FA"/>
    <w:rsid w:val="00020DE5"/>
    <w:rsid w:val="000210D2"/>
    <w:rsid w:val="00021B64"/>
    <w:rsid w:val="00021DFC"/>
    <w:rsid w:val="00021EF1"/>
    <w:rsid w:val="00023299"/>
    <w:rsid w:val="00023918"/>
    <w:rsid w:val="00023A22"/>
    <w:rsid w:val="00023A67"/>
    <w:rsid w:val="00025E75"/>
    <w:rsid w:val="0002792F"/>
    <w:rsid w:val="00027B4C"/>
    <w:rsid w:val="00027CAE"/>
    <w:rsid w:val="00027E83"/>
    <w:rsid w:val="00031582"/>
    <w:rsid w:val="0003196E"/>
    <w:rsid w:val="00032128"/>
    <w:rsid w:val="0003259C"/>
    <w:rsid w:val="0003308E"/>
    <w:rsid w:val="00035263"/>
    <w:rsid w:val="0003642B"/>
    <w:rsid w:val="000404A9"/>
    <w:rsid w:val="000406E2"/>
    <w:rsid w:val="0004078A"/>
    <w:rsid w:val="0004114B"/>
    <w:rsid w:val="00041160"/>
    <w:rsid w:val="00041968"/>
    <w:rsid w:val="00041E50"/>
    <w:rsid w:val="000421AF"/>
    <w:rsid w:val="00042670"/>
    <w:rsid w:val="00042AE3"/>
    <w:rsid w:val="0004351D"/>
    <w:rsid w:val="0004468B"/>
    <w:rsid w:val="00045104"/>
    <w:rsid w:val="00045182"/>
    <w:rsid w:val="000456F1"/>
    <w:rsid w:val="000458A5"/>
    <w:rsid w:val="000468B5"/>
    <w:rsid w:val="00046950"/>
    <w:rsid w:val="00047074"/>
    <w:rsid w:val="000479B7"/>
    <w:rsid w:val="00050427"/>
    <w:rsid w:val="00051570"/>
    <w:rsid w:val="00051D6A"/>
    <w:rsid w:val="000522EA"/>
    <w:rsid w:val="000529BB"/>
    <w:rsid w:val="00053129"/>
    <w:rsid w:val="00053499"/>
    <w:rsid w:val="00053C67"/>
    <w:rsid w:val="00054249"/>
    <w:rsid w:val="000545A0"/>
    <w:rsid w:val="0005622B"/>
    <w:rsid w:val="00056DE9"/>
    <w:rsid w:val="000578B4"/>
    <w:rsid w:val="00057F13"/>
    <w:rsid w:val="00060AFB"/>
    <w:rsid w:val="00060C15"/>
    <w:rsid w:val="0006178D"/>
    <w:rsid w:val="000633CE"/>
    <w:rsid w:val="0006404F"/>
    <w:rsid w:val="00064F53"/>
    <w:rsid w:val="0006580E"/>
    <w:rsid w:val="00066145"/>
    <w:rsid w:val="00066765"/>
    <w:rsid w:val="000670C6"/>
    <w:rsid w:val="00067AAA"/>
    <w:rsid w:val="000712EC"/>
    <w:rsid w:val="000715DD"/>
    <w:rsid w:val="000727C5"/>
    <w:rsid w:val="000748D1"/>
    <w:rsid w:val="00074BD3"/>
    <w:rsid w:val="00074FA4"/>
    <w:rsid w:val="00075C6A"/>
    <w:rsid w:val="00075EE8"/>
    <w:rsid w:val="000769B8"/>
    <w:rsid w:val="00077569"/>
    <w:rsid w:val="00077792"/>
    <w:rsid w:val="00080AC3"/>
    <w:rsid w:val="00083301"/>
    <w:rsid w:val="000842B4"/>
    <w:rsid w:val="00084C4A"/>
    <w:rsid w:val="00084F19"/>
    <w:rsid w:val="000859AD"/>
    <w:rsid w:val="00085A6D"/>
    <w:rsid w:val="00085B74"/>
    <w:rsid w:val="00087277"/>
    <w:rsid w:val="000901E6"/>
    <w:rsid w:val="000906DB"/>
    <w:rsid w:val="00092177"/>
    <w:rsid w:val="00092545"/>
    <w:rsid w:val="000925D0"/>
    <w:rsid w:val="0009270F"/>
    <w:rsid w:val="00092823"/>
    <w:rsid w:val="00092B48"/>
    <w:rsid w:val="000934AC"/>
    <w:rsid w:val="0009371C"/>
    <w:rsid w:val="00093AEC"/>
    <w:rsid w:val="00094DC4"/>
    <w:rsid w:val="00095368"/>
    <w:rsid w:val="000953DB"/>
    <w:rsid w:val="000954AB"/>
    <w:rsid w:val="00095E0A"/>
    <w:rsid w:val="00095E22"/>
    <w:rsid w:val="00096B06"/>
    <w:rsid w:val="00097048"/>
    <w:rsid w:val="0009745F"/>
    <w:rsid w:val="000A0C4B"/>
    <w:rsid w:val="000A0E8C"/>
    <w:rsid w:val="000A19F1"/>
    <w:rsid w:val="000A238F"/>
    <w:rsid w:val="000A3A65"/>
    <w:rsid w:val="000A3CE8"/>
    <w:rsid w:val="000A4679"/>
    <w:rsid w:val="000A4AFE"/>
    <w:rsid w:val="000A58B2"/>
    <w:rsid w:val="000A5A41"/>
    <w:rsid w:val="000A5D04"/>
    <w:rsid w:val="000A6852"/>
    <w:rsid w:val="000A6AB5"/>
    <w:rsid w:val="000A7ACD"/>
    <w:rsid w:val="000A7E06"/>
    <w:rsid w:val="000B0C51"/>
    <w:rsid w:val="000B0F55"/>
    <w:rsid w:val="000B1BA1"/>
    <w:rsid w:val="000B27E8"/>
    <w:rsid w:val="000B2C9B"/>
    <w:rsid w:val="000B3062"/>
    <w:rsid w:val="000B36D4"/>
    <w:rsid w:val="000B39E7"/>
    <w:rsid w:val="000B507D"/>
    <w:rsid w:val="000B526E"/>
    <w:rsid w:val="000B5FE2"/>
    <w:rsid w:val="000B6734"/>
    <w:rsid w:val="000B7CCC"/>
    <w:rsid w:val="000C0512"/>
    <w:rsid w:val="000C0E22"/>
    <w:rsid w:val="000C1157"/>
    <w:rsid w:val="000C181C"/>
    <w:rsid w:val="000C1906"/>
    <w:rsid w:val="000C1C79"/>
    <w:rsid w:val="000C2DE9"/>
    <w:rsid w:val="000C3981"/>
    <w:rsid w:val="000C3C1F"/>
    <w:rsid w:val="000C4568"/>
    <w:rsid w:val="000C45F3"/>
    <w:rsid w:val="000C585E"/>
    <w:rsid w:val="000C62AB"/>
    <w:rsid w:val="000C6550"/>
    <w:rsid w:val="000C6A78"/>
    <w:rsid w:val="000D01EF"/>
    <w:rsid w:val="000D0D0A"/>
    <w:rsid w:val="000D0E91"/>
    <w:rsid w:val="000D2746"/>
    <w:rsid w:val="000D2E91"/>
    <w:rsid w:val="000D4FB4"/>
    <w:rsid w:val="000D52DE"/>
    <w:rsid w:val="000D5D7C"/>
    <w:rsid w:val="000D5E0D"/>
    <w:rsid w:val="000D6124"/>
    <w:rsid w:val="000D6352"/>
    <w:rsid w:val="000D660A"/>
    <w:rsid w:val="000D7BAA"/>
    <w:rsid w:val="000E095A"/>
    <w:rsid w:val="000E1151"/>
    <w:rsid w:val="000E160A"/>
    <w:rsid w:val="000E16B6"/>
    <w:rsid w:val="000E2187"/>
    <w:rsid w:val="000E34C3"/>
    <w:rsid w:val="000E3E7A"/>
    <w:rsid w:val="000E554C"/>
    <w:rsid w:val="000E633E"/>
    <w:rsid w:val="000E7910"/>
    <w:rsid w:val="000F0E7B"/>
    <w:rsid w:val="000F0FCA"/>
    <w:rsid w:val="000F1F62"/>
    <w:rsid w:val="000F25A9"/>
    <w:rsid w:val="000F2EE2"/>
    <w:rsid w:val="000F30CF"/>
    <w:rsid w:val="000F365F"/>
    <w:rsid w:val="000F410F"/>
    <w:rsid w:val="000F4E3D"/>
    <w:rsid w:val="000F4E65"/>
    <w:rsid w:val="000F5AE3"/>
    <w:rsid w:val="000F6149"/>
    <w:rsid w:val="000F6E0F"/>
    <w:rsid w:val="001017B8"/>
    <w:rsid w:val="00101A5C"/>
    <w:rsid w:val="00102D03"/>
    <w:rsid w:val="0010389A"/>
    <w:rsid w:val="00104A76"/>
    <w:rsid w:val="00106381"/>
    <w:rsid w:val="00107270"/>
    <w:rsid w:val="001119F1"/>
    <w:rsid w:val="00112166"/>
    <w:rsid w:val="00112272"/>
    <w:rsid w:val="00112A33"/>
    <w:rsid w:val="001133EE"/>
    <w:rsid w:val="00113F70"/>
    <w:rsid w:val="001155E3"/>
    <w:rsid w:val="00115BC0"/>
    <w:rsid w:val="001166C1"/>
    <w:rsid w:val="00116F25"/>
    <w:rsid w:val="001174D6"/>
    <w:rsid w:val="001174E5"/>
    <w:rsid w:val="00117EAF"/>
    <w:rsid w:val="00120919"/>
    <w:rsid w:val="001212B3"/>
    <w:rsid w:val="001214A2"/>
    <w:rsid w:val="00121804"/>
    <w:rsid w:val="00121D83"/>
    <w:rsid w:val="001220BE"/>
    <w:rsid w:val="0012294D"/>
    <w:rsid w:val="00123376"/>
    <w:rsid w:val="00124096"/>
    <w:rsid w:val="00124BAF"/>
    <w:rsid w:val="00124CF4"/>
    <w:rsid w:val="00125708"/>
    <w:rsid w:val="00125BDC"/>
    <w:rsid w:val="001264A3"/>
    <w:rsid w:val="00126A3B"/>
    <w:rsid w:val="0012754F"/>
    <w:rsid w:val="00130319"/>
    <w:rsid w:val="00130F9F"/>
    <w:rsid w:val="001314C0"/>
    <w:rsid w:val="001314CC"/>
    <w:rsid w:val="0013151F"/>
    <w:rsid w:val="0013168F"/>
    <w:rsid w:val="00131F7A"/>
    <w:rsid w:val="001325B1"/>
    <w:rsid w:val="00132B7D"/>
    <w:rsid w:val="00133058"/>
    <w:rsid w:val="0013345F"/>
    <w:rsid w:val="00134102"/>
    <w:rsid w:val="001344D1"/>
    <w:rsid w:val="00134EDE"/>
    <w:rsid w:val="00134FCB"/>
    <w:rsid w:val="00135C7F"/>
    <w:rsid w:val="00136701"/>
    <w:rsid w:val="001369B5"/>
    <w:rsid w:val="0013701E"/>
    <w:rsid w:val="0014034C"/>
    <w:rsid w:val="00141B61"/>
    <w:rsid w:val="00143B58"/>
    <w:rsid w:val="00144C29"/>
    <w:rsid w:val="00145510"/>
    <w:rsid w:val="0014564B"/>
    <w:rsid w:val="00145895"/>
    <w:rsid w:val="00145DBB"/>
    <w:rsid w:val="0014667A"/>
    <w:rsid w:val="00147F8D"/>
    <w:rsid w:val="00150212"/>
    <w:rsid w:val="001504DF"/>
    <w:rsid w:val="00151243"/>
    <w:rsid w:val="0015131A"/>
    <w:rsid w:val="001513C1"/>
    <w:rsid w:val="001514D6"/>
    <w:rsid w:val="001518C8"/>
    <w:rsid w:val="001524A4"/>
    <w:rsid w:val="0015275C"/>
    <w:rsid w:val="00152E73"/>
    <w:rsid w:val="001535BA"/>
    <w:rsid w:val="00153E37"/>
    <w:rsid w:val="00154122"/>
    <w:rsid w:val="00154499"/>
    <w:rsid w:val="00156774"/>
    <w:rsid w:val="00157A24"/>
    <w:rsid w:val="001600B5"/>
    <w:rsid w:val="001600EB"/>
    <w:rsid w:val="00160D8F"/>
    <w:rsid w:val="00160E25"/>
    <w:rsid w:val="00161003"/>
    <w:rsid w:val="00161045"/>
    <w:rsid w:val="00161587"/>
    <w:rsid w:val="0016223D"/>
    <w:rsid w:val="00162A82"/>
    <w:rsid w:val="0016312E"/>
    <w:rsid w:val="00164D2A"/>
    <w:rsid w:val="00165950"/>
    <w:rsid w:val="00166202"/>
    <w:rsid w:val="00166D9D"/>
    <w:rsid w:val="0016773A"/>
    <w:rsid w:val="001703D6"/>
    <w:rsid w:val="00171370"/>
    <w:rsid w:val="00173021"/>
    <w:rsid w:val="00173B8D"/>
    <w:rsid w:val="00174DA0"/>
    <w:rsid w:val="0017589F"/>
    <w:rsid w:val="00175A4A"/>
    <w:rsid w:val="00177111"/>
    <w:rsid w:val="00177C10"/>
    <w:rsid w:val="00180C57"/>
    <w:rsid w:val="00181A2A"/>
    <w:rsid w:val="00182BB3"/>
    <w:rsid w:val="00183DAE"/>
    <w:rsid w:val="00186CDF"/>
    <w:rsid w:val="0018721D"/>
    <w:rsid w:val="00190CBB"/>
    <w:rsid w:val="001912AB"/>
    <w:rsid w:val="00191825"/>
    <w:rsid w:val="001919B1"/>
    <w:rsid w:val="0019224D"/>
    <w:rsid w:val="00192BD8"/>
    <w:rsid w:val="00193071"/>
    <w:rsid w:val="001945A2"/>
    <w:rsid w:val="00194765"/>
    <w:rsid w:val="001967FC"/>
    <w:rsid w:val="00196CB3"/>
    <w:rsid w:val="0019714F"/>
    <w:rsid w:val="001976FC"/>
    <w:rsid w:val="001A047C"/>
    <w:rsid w:val="001A0763"/>
    <w:rsid w:val="001A0A66"/>
    <w:rsid w:val="001A1285"/>
    <w:rsid w:val="001A18A1"/>
    <w:rsid w:val="001A2A5C"/>
    <w:rsid w:val="001A373A"/>
    <w:rsid w:val="001A432A"/>
    <w:rsid w:val="001A4648"/>
    <w:rsid w:val="001A4710"/>
    <w:rsid w:val="001A513D"/>
    <w:rsid w:val="001A79EC"/>
    <w:rsid w:val="001B010B"/>
    <w:rsid w:val="001B0D76"/>
    <w:rsid w:val="001B125E"/>
    <w:rsid w:val="001B13D6"/>
    <w:rsid w:val="001B1D38"/>
    <w:rsid w:val="001B1E70"/>
    <w:rsid w:val="001B34DF"/>
    <w:rsid w:val="001B4203"/>
    <w:rsid w:val="001B6500"/>
    <w:rsid w:val="001B665E"/>
    <w:rsid w:val="001B69B1"/>
    <w:rsid w:val="001C2263"/>
    <w:rsid w:val="001C244B"/>
    <w:rsid w:val="001C28E8"/>
    <w:rsid w:val="001C384A"/>
    <w:rsid w:val="001C3E71"/>
    <w:rsid w:val="001C608B"/>
    <w:rsid w:val="001C6BC8"/>
    <w:rsid w:val="001D0EF8"/>
    <w:rsid w:val="001D1460"/>
    <w:rsid w:val="001D270E"/>
    <w:rsid w:val="001D27A8"/>
    <w:rsid w:val="001D41CF"/>
    <w:rsid w:val="001D41E6"/>
    <w:rsid w:val="001D4617"/>
    <w:rsid w:val="001D6344"/>
    <w:rsid w:val="001E0432"/>
    <w:rsid w:val="001E1017"/>
    <w:rsid w:val="001E1123"/>
    <w:rsid w:val="001E1D61"/>
    <w:rsid w:val="001E1FE5"/>
    <w:rsid w:val="001E2A3D"/>
    <w:rsid w:val="001E307F"/>
    <w:rsid w:val="001E30E1"/>
    <w:rsid w:val="001E38AC"/>
    <w:rsid w:val="001E3BCC"/>
    <w:rsid w:val="001E455D"/>
    <w:rsid w:val="001E46EB"/>
    <w:rsid w:val="001E65F6"/>
    <w:rsid w:val="001E6AEB"/>
    <w:rsid w:val="001E7A18"/>
    <w:rsid w:val="001E7AF0"/>
    <w:rsid w:val="001F02AC"/>
    <w:rsid w:val="001F04D8"/>
    <w:rsid w:val="001F1682"/>
    <w:rsid w:val="001F1B53"/>
    <w:rsid w:val="001F1BCB"/>
    <w:rsid w:val="001F2E9B"/>
    <w:rsid w:val="001F3693"/>
    <w:rsid w:val="001F3AD6"/>
    <w:rsid w:val="001F5A2D"/>
    <w:rsid w:val="001F63A8"/>
    <w:rsid w:val="001F6430"/>
    <w:rsid w:val="001F7724"/>
    <w:rsid w:val="001F78B3"/>
    <w:rsid w:val="001F7B45"/>
    <w:rsid w:val="00200709"/>
    <w:rsid w:val="00202B74"/>
    <w:rsid w:val="002032BB"/>
    <w:rsid w:val="00203348"/>
    <w:rsid w:val="002033A1"/>
    <w:rsid w:val="002035D0"/>
    <w:rsid w:val="00203B00"/>
    <w:rsid w:val="002056A7"/>
    <w:rsid w:val="00205AA0"/>
    <w:rsid w:val="00206781"/>
    <w:rsid w:val="00206A4D"/>
    <w:rsid w:val="00207207"/>
    <w:rsid w:val="00207354"/>
    <w:rsid w:val="00210D82"/>
    <w:rsid w:val="00211C6B"/>
    <w:rsid w:val="00212252"/>
    <w:rsid w:val="00212A0D"/>
    <w:rsid w:val="00212E52"/>
    <w:rsid w:val="00213118"/>
    <w:rsid w:val="002147B9"/>
    <w:rsid w:val="00214B29"/>
    <w:rsid w:val="00214C54"/>
    <w:rsid w:val="002153A2"/>
    <w:rsid w:val="002157A5"/>
    <w:rsid w:val="00215BAB"/>
    <w:rsid w:val="00215C8A"/>
    <w:rsid w:val="00216DA4"/>
    <w:rsid w:val="00220F57"/>
    <w:rsid w:val="00221075"/>
    <w:rsid w:val="0022141B"/>
    <w:rsid w:val="00221C0D"/>
    <w:rsid w:val="00223379"/>
    <w:rsid w:val="00224846"/>
    <w:rsid w:val="00224A94"/>
    <w:rsid w:val="00224B42"/>
    <w:rsid w:val="00224F60"/>
    <w:rsid w:val="002276FB"/>
    <w:rsid w:val="0023200E"/>
    <w:rsid w:val="00232242"/>
    <w:rsid w:val="002325A6"/>
    <w:rsid w:val="00232CB8"/>
    <w:rsid w:val="00232D1E"/>
    <w:rsid w:val="00232F9A"/>
    <w:rsid w:val="00233B63"/>
    <w:rsid w:val="002347BA"/>
    <w:rsid w:val="002347BC"/>
    <w:rsid w:val="00234BDA"/>
    <w:rsid w:val="002357C6"/>
    <w:rsid w:val="00236CD7"/>
    <w:rsid w:val="00236E05"/>
    <w:rsid w:val="00237598"/>
    <w:rsid w:val="00240053"/>
    <w:rsid w:val="0024013E"/>
    <w:rsid w:val="002403EB"/>
    <w:rsid w:val="002406AC"/>
    <w:rsid w:val="00241372"/>
    <w:rsid w:val="002432B7"/>
    <w:rsid w:val="00243A2B"/>
    <w:rsid w:val="00244281"/>
    <w:rsid w:val="002442E1"/>
    <w:rsid w:val="002444C1"/>
    <w:rsid w:val="0024470A"/>
    <w:rsid w:val="00244795"/>
    <w:rsid w:val="0024497C"/>
    <w:rsid w:val="00244B96"/>
    <w:rsid w:val="00245F54"/>
    <w:rsid w:val="00246D66"/>
    <w:rsid w:val="00247119"/>
    <w:rsid w:val="00247346"/>
    <w:rsid w:val="002475C7"/>
    <w:rsid w:val="00247E75"/>
    <w:rsid w:val="00250CCA"/>
    <w:rsid w:val="00252E5F"/>
    <w:rsid w:val="002538DA"/>
    <w:rsid w:val="00253EA9"/>
    <w:rsid w:val="00254118"/>
    <w:rsid w:val="00254A73"/>
    <w:rsid w:val="00254C4D"/>
    <w:rsid w:val="00255042"/>
    <w:rsid w:val="00255198"/>
    <w:rsid w:val="0025594A"/>
    <w:rsid w:val="00255DAA"/>
    <w:rsid w:val="002560F2"/>
    <w:rsid w:val="002561E0"/>
    <w:rsid w:val="00256216"/>
    <w:rsid w:val="00256378"/>
    <w:rsid w:val="0025658D"/>
    <w:rsid w:val="002567EE"/>
    <w:rsid w:val="00257184"/>
    <w:rsid w:val="0025726C"/>
    <w:rsid w:val="002601ED"/>
    <w:rsid w:val="00260B12"/>
    <w:rsid w:val="0026193D"/>
    <w:rsid w:val="0026204A"/>
    <w:rsid w:val="00262D19"/>
    <w:rsid w:val="00262EAC"/>
    <w:rsid w:val="0026325D"/>
    <w:rsid w:val="0026357F"/>
    <w:rsid w:val="002645E7"/>
    <w:rsid w:val="00264C3C"/>
    <w:rsid w:val="00265268"/>
    <w:rsid w:val="00265EFF"/>
    <w:rsid w:val="002668B4"/>
    <w:rsid w:val="00266A37"/>
    <w:rsid w:val="00271D9B"/>
    <w:rsid w:val="00271DAC"/>
    <w:rsid w:val="00272206"/>
    <w:rsid w:val="00272D75"/>
    <w:rsid w:val="00272FFD"/>
    <w:rsid w:val="00275B92"/>
    <w:rsid w:val="002763BE"/>
    <w:rsid w:val="00277DBC"/>
    <w:rsid w:val="00280841"/>
    <w:rsid w:val="00280A96"/>
    <w:rsid w:val="00280B9C"/>
    <w:rsid w:val="002812B7"/>
    <w:rsid w:val="00281764"/>
    <w:rsid w:val="00281FD2"/>
    <w:rsid w:val="00282C62"/>
    <w:rsid w:val="00282E68"/>
    <w:rsid w:val="00282EF2"/>
    <w:rsid w:val="002832BC"/>
    <w:rsid w:val="002837BD"/>
    <w:rsid w:val="00283874"/>
    <w:rsid w:val="00283CC9"/>
    <w:rsid w:val="00283E88"/>
    <w:rsid w:val="00284453"/>
    <w:rsid w:val="002854DF"/>
    <w:rsid w:val="002869E6"/>
    <w:rsid w:val="00286BCF"/>
    <w:rsid w:val="0028745A"/>
    <w:rsid w:val="00287657"/>
    <w:rsid w:val="0028770F"/>
    <w:rsid w:val="00287B02"/>
    <w:rsid w:val="002914DA"/>
    <w:rsid w:val="0029189F"/>
    <w:rsid w:val="00292B46"/>
    <w:rsid w:val="00292E2D"/>
    <w:rsid w:val="002936DC"/>
    <w:rsid w:val="00293957"/>
    <w:rsid w:val="00294327"/>
    <w:rsid w:val="00295C00"/>
    <w:rsid w:val="00296446"/>
    <w:rsid w:val="002967CD"/>
    <w:rsid w:val="002968D3"/>
    <w:rsid w:val="002A01C4"/>
    <w:rsid w:val="002A1C6B"/>
    <w:rsid w:val="002A2D3D"/>
    <w:rsid w:val="002A3CFA"/>
    <w:rsid w:val="002A4531"/>
    <w:rsid w:val="002A46A6"/>
    <w:rsid w:val="002A4F0B"/>
    <w:rsid w:val="002A54F7"/>
    <w:rsid w:val="002A58D9"/>
    <w:rsid w:val="002A6297"/>
    <w:rsid w:val="002A6884"/>
    <w:rsid w:val="002A7623"/>
    <w:rsid w:val="002B0824"/>
    <w:rsid w:val="002B0861"/>
    <w:rsid w:val="002B1B3B"/>
    <w:rsid w:val="002B221A"/>
    <w:rsid w:val="002B22D4"/>
    <w:rsid w:val="002B2551"/>
    <w:rsid w:val="002B3ACC"/>
    <w:rsid w:val="002B5B28"/>
    <w:rsid w:val="002B5C7A"/>
    <w:rsid w:val="002B6E78"/>
    <w:rsid w:val="002B7152"/>
    <w:rsid w:val="002C0093"/>
    <w:rsid w:val="002C0A41"/>
    <w:rsid w:val="002C0CEA"/>
    <w:rsid w:val="002C115B"/>
    <w:rsid w:val="002C142B"/>
    <w:rsid w:val="002C1914"/>
    <w:rsid w:val="002C197A"/>
    <w:rsid w:val="002C3033"/>
    <w:rsid w:val="002C3DB8"/>
    <w:rsid w:val="002C4A2C"/>
    <w:rsid w:val="002C5AF0"/>
    <w:rsid w:val="002C6128"/>
    <w:rsid w:val="002C7DDF"/>
    <w:rsid w:val="002D1255"/>
    <w:rsid w:val="002D36D8"/>
    <w:rsid w:val="002D3E18"/>
    <w:rsid w:val="002D46EE"/>
    <w:rsid w:val="002D4A99"/>
    <w:rsid w:val="002D55A3"/>
    <w:rsid w:val="002D60D5"/>
    <w:rsid w:val="002D6CF7"/>
    <w:rsid w:val="002E0C4E"/>
    <w:rsid w:val="002E1526"/>
    <w:rsid w:val="002E2E1F"/>
    <w:rsid w:val="002E36F7"/>
    <w:rsid w:val="002E3905"/>
    <w:rsid w:val="002E424F"/>
    <w:rsid w:val="002E4298"/>
    <w:rsid w:val="002E479B"/>
    <w:rsid w:val="002E51F5"/>
    <w:rsid w:val="002E5EF1"/>
    <w:rsid w:val="002E6609"/>
    <w:rsid w:val="002E6820"/>
    <w:rsid w:val="002E699C"/>
    <w:rsid w:val="002E69CF"/>
    <w:rsid w:val="002E6D2E"/>
    <w:rsid w:val="002E7461"/>
    <w:rsid w:val="002E78AB"/>
    <w:rsid w:val="002E7C23"/>
    <w:rsid w:val="002F0299"/>
    <w:rsid w:val="002F0BB0"/>
    <w:rsid w:val="002F1F45"/>
    <w:rsid w:val="002F4161"/>
    <w:rsid w:val="002F687B"/>
    <w:rsid w:val="002F758F"/>
    <w:rsid w:val="002F75EF"/>
    <w:rsid w:val="003012C3"/>
    <w:rsid w:val="00301688"/>
    <w:rsid w:val="0030270A"/>
    <w:rsid w:val="003037E7"/>
    <w:rsid w:val="00304973"/>
    <w:rsid w:val="0030612C"/>
    <w:rsid w:val="00306410"/>
    <w:rsid w:val="003068DD"/>
    <w:rsid w:val="00306DD6"/>
    <w:rsid w:val="00310A17"/>
    <w:rsid w:val="00310EEE"/>
    <w:rsid w:val="00311A66"/>
    <w:rsid w:val="00311CB5"/>
    <w:rsid w:val="003126E4"/>
    <w:rsid w:val="0031274C"/>
    <w:rsid w:val="00312FDE"/>
    <w:rsid w:val="00313868"/>
    <w:rsid w:val="00313FE0"/>
    <w:rsid w:val="00314B02"/>
    <w:rsid w:val="00314BEE"/>
    <w:rsid w:val="003151C9"/>
    <w:rsid w:val="00315213"/>
    <w:rsid w:val="0031521F"/>
    <w:rsid w:val="0031536D"/>
    <w:rsid w:val="00315D9D"/>
    <w:rsid w:val="003161AA"/>
    <w:rsid w:val="003211A8"/>
    <w:rsid w:val="003214E4"/>
    <w:rsid w:val="00321799"/>
    <w:rsid w:val="003220A1"/>
    <w:rsid w:val="00322F89"/>
    <w:rsid w:val="00323CC3"/>
    <w:rsid w:val="00324FB7"/>
    <w:rsid w:val="00326359"/>
    <w:rsid w:val="00326885"/>
    <w:rsid w:val="00326FD8"/>
    <w:rsid w:val="00327AFE"/>
    <w:rsid w:val="00327E9B"/>
    <w:rsid w:val="00331B95"/>
    <w:rsid w:val="00332900"/>
    <w:rsid w:val="00332ADF"/>
    <w:rsid w:val="00332EF4"/>
    <w:rsid w:val="0033496D"/>
    <w:rsid w:val="003350AA"/>
    <w:rsid w:val="00335DDA"/>
    <w:rsid w:val="00335E07"/>
    <w:rsid w:val="00336462"/>
    <w:rsid w:val="0033711A"/>
    <w:rsid w:val="0033726F"/>
    <w:rsid w:val="00337FF8"/>
    <w:rsid w:val="003408E0"/>
    <w:rsid w:val="003414D8"/>
    <w:rsid w:val="003416E3"/>
    <w:rsid w:val="00342235"/>
    <w:rsid w:val="00342A19"/>
    <w:rsid w:val="00343060"/>
    <w:rsid w:val="00343445"/>
    <w:rsid w:val="00343492"/>
    <w:rsid w:val="00344017"/>
    <w:rsid w:val="00344710"/>
    <w:rsid w:val="00345C2A"/>
    <w:rsid w:val="00346B10"/>
    <w:rsid w:val="003479BD"/>
    <w:rsid w:val="00347BC1"/>
    <w:rsid w:val="00350A31"/>
    <w:rsid w:val="0035286C"/>
    <w:rsid w:val="00352E89"/>
    <w:rsid w:val="00354390"/>
    <w:rsid w:val="00354946"/>
    <w:rsid w:val="00354AB1"/>
    <w:rsid w:val="00355B75"/>
    <w:rsid w:val="003564C7"/>
    <w:rsid w:val="003566D3"/>
    <w:rsid w:val="003607CF"/>
    <w:rsid w:val="00361A23"/>
    <w:rsid w:val="00363315"/>
    <w:rsid w:val="003637FA"/>
    <w:rsid w:val="0036401C"/>
    <w:rsid w:val="00364AA2"/>
    <w:rsid w:val="00365612"/>
    <w:rsid w:val="00365CA7"/>
    <w:rsid w:val="00365D95"/>
    <w:rsid w:val="00366323"/>
    <w:rsid w:val="003663F1"/>
    <w:rsid w:val="00367531"/>
    <w:rsid w:val="003700E9"/>
    <w:rsid w:val="003708B3"/>
    <w:rsid w:val="003721A0"/>
    <w:rsid w:val="00372AAD"/>
    <w:rsid w:val="00372C04"/>
    <w:rsid w:val="00373559"/>
    <w:rsid w:val="0037371F"/>
    <w:rsid w:val="0037375E"/>
    <w:rsid w:val="00373E04"/>
    <w:rsid w:val="00374E3D"/>
    <w:rsid w:val="003776DF"/>
    <w:rsid w:val="003805D5"/>
    <w:rsid w:val="00381B36"/>
    <w:rsid w:val="00382BD3"/>
    <w:rsid w:val="003830F2"/>
    <w:rsid w:val="00383515"/>
    <w:rsid w:val="003836BD"/>
    <w:rsid w:val="00385F9A"/>
    <w:rsid w:val="0038620F"/>
    <w:rsid w:val="0038630E"/>
    <w:rsid w:val="00387884"/>
    <w:rsid w:val="00387B26"/>
    <w:rsid w:val="00387C00"/>
    <w:rsid w:val="00390E1C"/>
    <w:rsid w:val="0039104B"/>
    <w:rsid w:val="003918CC"/>
    <w:rsid w:val="00392336"/>
    <w:rsid w:val="003934C8"/>
    <w:rsid w:val="003951D5"/>
    <w:rsid w:val="003A194C"/>
    <w:rsid w:val="003A1B62"/>
    <w:rsid w:val="003A1EC0"/>
    <w:rsid w:val="003A2376"/>
    <w:rsid w:val="003A2B6A"/>
    <w:rsid w:val="003A4091"/>
    <w:rsid w:val="003A40AE"/>
    <w:rsid w:val="003A4CE6"/>
    <w:rsid w:val="003A6309"/>
    <w:rsid w:val="003A6C2F"/>
    <w:rsid w:val="003A6E6A"/>
    <w:rsid w:val="003A7203"/>
    <w:rsid w:val="003A72F1"/>
    <w:rsid w:val="003B0695"/>
    <w:rsid w:val="003B09F5"/>
    <w:rsid w:val="003B0B02"/>
    <w:rsid w:val="003B106A"/>
    <w:rsid w:val="003B1313"/>
    <w:rsid w:val="003B16FD"/>
    <w:rsid w:val="003B1C18"/>
    <w:rsid w:val="003B2938"/>
    <w:rsid w:val="003B5456"/>
    <w:rsid w:val="003B5AB0"/>
    <w:rsid w:val="003B61D7"/>
    <w:rsid w:val="003B6F7F"/>
    <w:rsid w:val="003B746D"/>
    <w:rsid w:val="003B76C2"/>
    <w:rsid w:val="003C0EE0"/>
    <w:rsid w:val="003C1E71"/>
    <w:rsid w:val="003C2412"/>
    <w:rsid w:val="003C3AF7"/>
    <w:rsid w:val="003C4ACC"/>
    <w:rsid w:val="003C4B50"/>
    <w:rsid w:val="003C586E"/>
    <w:rsid w:val="003C5FDA"/>
    <w:rsid w:val="003C682C"/>
    <w:rsid w:val="003C732B"/>
    <w:rsid w:val="003C7A4E"/>
    <w:rsid w:val="003D0236"/>
    <w:rsid w:val="003D0359"/>
    <w:rsid w:val="003D0AE4"/>
    <w:rsid w:val="003D18F5"/>
    <w:rsid w:val="003D1CC6"/>
    <w:rsid w:val="003D2226"/>
    <w:rsid w:val="003D2B96"/>
    <w:rsid w:val="003D3733"/>
    <w:rsid w:val="003D536A"/>
    <w:rsid w:val="003D5C0E"/>
    <w:rsid w:val="003D6191"/>
    <w:rsid w:val="003D6544"/>
    <w:rsid w:val="003E0038"/>
    <w:rsid w:val="003E01A8"/>
    <w:rsid w:val="003E07D9"/>
    <w:rsid w:val="003E0D36"/>
    <w:rsid w:val="003E121A"/>
    <w:rsid w:val="003E212F"/>
    <w:rsid w:val="003E38D1"/>
    <w:rsid w:val="003E41F8"/>
    <w:rsid w:val="003E44A4"/>
    <w:rsid w:val="003E536D"/>
    <w:rsid w:val="003E5B77"/>
    <w:rsid w:val="003E603F"/>
    <w:rsid w:val="003E7136"/>
    <w:rsid w:val="003E73BA"/>
    <w:rsid w:val="003E757A"/>
    <w:rsid w:val="003E7E53"/>
    <w:rsid w:val="003F0151"/>
    <w:rsid w:val="003F054C"/>
    <w:rsid w:val="003F063C"/>
    <w:rsid w:val="003F141D"/>
    <w:rsid w:val="003F1667"/>
    <w:rsid w:val="003F1709"/>
    <w:rsid w:val="003F19D0"/>
    <w:rsid w:val="003F1F2B"/>
    <w:rsid w:val="003F2069"/>
    <w:rsid w:val="003F2F5D"/>
    <w:rsid w:val="003F3131"/>
    <w:rsid w:val="003F31C2"/>
    <w:rsid w:val="003F4718"/>
    <w:rsid w:val="003F512E"/>
    <w:rsid w:val="003F5D9E"/>
    <w:rsid w:val="003F6067"/>
    <w:rsid w:val="003F6352"/>
    <w:rsid w:val="003F64D7"/>
    <w:rsid w:val="003F6DF0"/>
    <w:rsid w:val="003F6FAF"/>
    <w:rsid w:val="003F79CF"/>
    <w:rsid w:val="003F7FA0"/>
    <w:rsid w:val="00401E45"/>
    <w:rsid w:val="00401EB5"/>
    <w:rsid w:val="004021BC"/>
    <w:rsid w:val="00402622"/>
    <w:rsid w:val="00402A2C"/>
    <w:rsid w:val="0040464C"/>
    <w:rsid w:val="00404D42"/>
    <w:rsid w:val="00404FC0"/>
    <w:rsid w:val="004053A0"/>
    <w:rsid w:val="00405489"/>
    <w:rsid w:val="004061C8"/>
    <w:rsid w:val="0040657D"/>
    <w:rsid w:val="00410E9F"/>
    <w:rsid w:val="0041111A"/>
    <w:rsid w:val="00413FE2"/>
    <w:rsid w:val="00414C97"/>
    <w:rsid w:val="00416AAE"/>
    <w:rsid w:val="00416B37"/>
    <w:rsid w:val="00416B80"/>
    <w:rsid w:val="00417415"/>
    <w:rsid w:val="00417725"/>
    <w:rsid w:val="00417AB5"/>
    <w:rsid w:val="00417C11"/>
    <w:rsid w:val="00420BE7"/>
    <w:rsid w:val="00421346"/>
    <w:rsid w:val="00421DBB"/>
    <w:rsid w:val="00421F1B"/>
    <w:rsid w:val="00422542"/>
    <w:rsid w:val="00422730"/>
    <w:rsid w:val="004228EA"/>
    <w:rsid w:val="00423B19"/>
    <w:rsid w:val="00424266"/>
    <w:rsid w:val="00424471"/>
    <w:rsid w:val="00424FA8"/>
    <w:rsid w:val="00425CBD"/>
    <w:rsid w:val="00426AC4"/>
    <w:rsid w:val="00426B63"/>
    <w:rsid w:val="004277F7"/>
    <w:rsid w:val="00427853"/>
    <w:rsid w:val="00430484"/>
    <w:rsid w:val="00430C5B"/>
    <w:rsid w:val="004335BE"/>
    <w:rsid w:val="00434AAA"/>
    <w:rsid w:val="00435099"/>
    <w:rsid w:val="00440440"/>
    <w:rsid w:val="00440906"/>
    <w:rsid w:val="0044210E"/>
    <w:rsid w:val="0044253A"/>
    <w:rsid w:val="00443317"/>
    <w:rsid w:val="00443B89"/>
    <w:rsid w:val="00445265"/>
    <w:rsid w:val="004453F6"/>
    <w:rsid w:val="00445B33"/>
    <w:rsid w:val="00445F8F"/>
    <w:rsid w:val="004468F5"/>
    <w:rsid w:val="00447450"/>
    <w:rsid w:val="004475E8"/>
    <w:rsid w:val="0044764C"/>
    <w:rsid w:val="00447FD7"/>
    <w:rsid w:val="00450048"/>
    <w:rsid w:val="00450FCF"/>
    <w:rsid w:val="004515D7"/>
    <w:rsid w:val="00451AC0"/>
    <w:rsid w:val="00454004"/>
    <w:rsid w:val="00454EE4"/>
    <w:rsid w:val="00455B68"/>
    <w:rsid w:val="00455FAF"/>
    <w:rsid w:val="00456DED"/>
    <w:rsid w:val="0046152F"/>
    <w:rsid w:val="00461A6B"/>
    <w:rsid w:val="00462995"/>
    <w:rsid w:val="00462EA8"/>
    <w:rsid w:val="00462F4A"/>
    <w:rsid w:val="00466048"/>
    <w:rsid w:val="004704C9"/>
    <w:rsid w:val="00470BE9"/>
    <w:rsid w:val="00470CC1"/>
    <w:rsid w:val="004711C2"/>
    <w:rsid w:val="00471474"/>
    <w:rsid w:val="004717D9"/>
    <w:rsid w:val="00472CA5"/>
    <w:rsid w:val="00472EE4"/>
    <w:rsid w:val="0047476E"/>
    <w:rsid w:val="00474DA7"/>
    <w:rsid w:val="00474F89"/>
    <w:rsid w:val="0047533C"/>
    <w:rsid w:val="00475513"/>
    <w:rsid w:val="00475682"/>
    <w:rsid w:val="004756E1"/>
    <w:rsid w:val="00475FC8"/>
    <w:rsid w:val="00476018"/>
    <w:rsid w:val="004761B8"/>
    <w:rsid w:val="00476C69"/>
    <w:rsid w:val="00480755"/>
    <w:rsid w:val="00481DBA"/>
    <w:rsid w:val="00482144"/>
    <w:rsid w:val="004823BC"/>
    <w:rsid w:val="004824EA"/>
    <w:rsid w:val="00483190"/>
    <w:rsid w:val="004834D7"/>
    <w:rsid w:val="0048369D"/>
    <w:rsid w:val="00483F89"/>
    <w:rsid w:val="004841B4"/>
    <w:rsid w:val="00485332"/>
    <w:rsid w:val="004859E0"/>
    <w:rsid w:val="00486799"/>
    <w:rsid w:val="00486948"/>
    <w:rsid w:val="00486B02"/>
    <w:rsid w:val="00486EE9"/>
    <w:rsid w:val="004903CF"/>
    <w:rsid w:val="004906CC"/>
    <w:rsid w:val="0049150D"/>
    <w:rsid w:val="00491A4F"/>
    <w:rsid w:val="00491ADB"/>
    <w:rsid w:val="00491BF5"/>
    <w:rsid w:val="00491EE5"/>
    <w:rsid w:val="00493845"/>
    <w:rsid w:val="004938A9"/>
    <w:rsid w:val="004938CF"/>
    <w:rsid w:val="00493EA8"/>
    <w:rsid w:val="00494649"/>
    <w:rsid w:val="00495996"/>
    <w:rsid w:val="00496457"/>
    <w:rsid w:val="00496F71"/>
    <w:rsid w:val="00497572"/>
    <w:rsid w:val="004A0532"/>
    <w:rsid w:val="004A08AB"/>
    <w:rsid w:val="004A0D47"/>
    <w:rsid w:val="004A1BC2"/>
    <w:rsid w:val="004A2299"/>
    <w:rsid w:val="004A270E"/>
    <w:rsid w:val="004A2DF4"/>
    <w:rsid w:val="004A2EFC"/>
    <w:rsid w:val="004A33EA"/>
    <w:rsid w:val="004A3751"/>
    <w:rsid w:val="004A3FAA"/>
    <w:rsid w:val="004A4337"/>
    <w:rsid w:val="004A487E"/>
    <w:rsid w:val="004A4BE2"/>
    <w:rsid w:val="004A5233"/>
    <w:rsid w:val="004A5545"/>
    <w:rsid w:val="004A5A56"/>
    <w:rsid w:val="004A7259"/>
    <w:rsid w:val="004B0304"/>
    <w:rsid w:val="004B05DF"/>
    <w:rsid w:val="004B05F3"/>
    <w:rsid w:val="004B0B67"/>
    <w:rsid w:val="004B1312"/>
    <w:rsid w:val="004B1824"/>
    <w:rsid w:val="004B22D8"/>
    <w:rsid w:val="004B310F"/>
    <w:rsid w:val="004B3EE0"/>
    <w:rsid w:val="004B4C32"/>
    <w:rsid w:val="004B4C60"/>
    <w:rsid w:val="004B5E6F"/>
    <w:rsid w:val="004B62A1"/>
    <w:rsid w:val="004B64A1"/>
    <w:rsid w:val="004B6629"/>
    <w:rsid w:val="004B69CD"/>
    <w:rsid w:val="004B6A13"/>
    <w:rsid w:val="004B7705"/>
    <w:rsid w:val="004B7CBA"/>
    <w:rsid w:val="004C0F4A"/>
    <w:rsid w:val="004C1459"/>
    <w:rsid w:val="004C166E"/>
    <w:rsid w:val="004C3287"/>
    <w:rsid w:val="004C404D"/>
    <w:rsid w:val="004C54A2"/>
    <w:rsid w:val="004C635B"/>
    <w:rsid w:val="004C66ED"/>
    <w:rsid w:val="004C67D3"/>
    <w:rsid w:val="004C75D9"/>
    <w:rsid w:val="004C7CE1"/>
    <w:rsid w:val="004D045F"/>
    <w:rsid w:val="004D0C21"/>
    <w:rsid w:val="004D101B"/>
    <w:rsid w:val="004D113C"/>
    <w:rsid w:val="004D1305"/>
    <w:rsid w:val="004D17DB"/>
    <w:rsid w:val="004D23A6"/>
    <w:rsid w:val="004D23D1"/>
    <w:rsid w:val="004D2DBC"/>
    <w:rsid w:val="004D2F72"/>
    <w:rsid w:val="004D3362"/>
    <w:rsid w:val="004D3BBB"/>
    <w:rsid w:val="004D3D7E"/>
    <w:rsid w:val="004D4106"/>
    <w:rsid w:val="004D4138"/>
    <w:rsid w:val="004D41ED"/>
    <w:rsid w:val="004D4338"/>
    <w:rsid w:val="004D4C7B"/>
    <w:rsid w:val="004D512A"/>
    <w:rsid w:val="004D5559"/>
    <w:rsid w:val="004D5723"/>
    <w:rsid w:val="004D63DF"/>
    <w:rsid w:val="004D65BD"/>
    <w:rsid w:val="004D7392"/>
    <w:rsid w:val="004D75E0"/>
    <w:rsid w:val="004D79C0"/>
    <w:rsid w:val="004D7C7E"/>
    <w:rsid w:val="004E0111"/>
    <w:rsid w:val="004E107A"/>
    <w:rsid w:val="004E13E4"/>
    <w:rsid w:val="004E1EB4"/>
    <w:rsid w:val="004E24F9"/>
    <w:rsid w:val="004E35DC"/>
    <w:rsid w:val="004E3971"/>
    <w:rsid w:val="004E54AA"/>
    <w:rsid w:val="004E556A"/>
    <w:rsid w:val="004E5B3E"/>
    <w:rsid w:val="004E62D8"/>
    <w:rsid w:val="004E62F9"/>
    <w:rsid w:val="004E661A"/>
    <w:rsid w:val="004E693F"/>
    <w:rsid w:val="004E6B67"/>
    <w:rsid w:val="004E70CD"/>
    <w:rsid w:val="004E754D"/>
    <w:rsid w:val="004E7590"/>
    <w:rsid w:val="004E76DC"/>
    <w:rsid w:val="004E796D"/>
    <w:rsid w:val="004E7EFD"/>
    <w:rsid w:val="004F0F4A"/>
    <w:rsid w:val="004F12CE"/>
    <w:rsid w:val="004F1E39"/>
    <w:rsid w:val="004F4017"/>
    <w:rsid w:val="004F5981"/>
    <w:rsid w:val="004F5C12"/>
    <w:rsid w:val="004F76F9"/>
    <w:rsid w:val="0050102A"/>
    <w:rsid w:val="005039A0"/>
    <w:rsid w:val="00504A26"/>
    <w:rsid w:val="005050EC"/>
    <w:rsid w:val="00505F25"/>
    <w:rsid w:val="00506A5F"/>
    <w:rsid w:val="00506B30"/>
    <w:rsid w:val="00506BB1"/>
    <w:rsid w:val="00506FF3"/>
    <w:rsid w:val="0050701E"/>
    <w:rsid w:val="00507A90"/>
    <w:rsid w:val="005102D3"/>
    <w:rsid w:val="00510B5A"/>
    <w:rsid w:val="00510BF7"/>
    <w:rsid w:val="00511094"/>
    <w:rsid w:val="00512EC0"/>
    <w:rsid w:val="0051310A"/>
    <w:rsid w:val="00513F90"/>
    <w:rsid w:val="00514EDB"/>
    <w:rsid w:val="00515F4D"/>
    <w:rsid w:val="00516253"/>
    <w:rsid w:val="005162C3"/>
    <w:rsid w:val="00517128"/>
    <w:rsid w:val="00517BC0"/>
    <w:rsid w:val="00521E6D"/>
    <w:rsid w:val="00523630"/>
    <w:rsid w:val="00523788"/>
    <w:rsid w:val="005245AF"/>
    <w:rsid w:val="00525DB6"/>
    <w:rsid w:val="0052601D"/>
    <w:rsid w:val="0052709B"/>
    <w:rsid w:val="00531BD7"/>
    <w:rsid w:val="00532544"/>
    <w:rsid w:val="005327D6"/>
    <w:rsid w:val="00532845"/>
    <w:rsid w:val="00532AA1"/>
    <w:rsid w:val="00533D26"/>
    <w:rsid w:val="005340A9"/>
    <w:rsid w:val="00535911"/>
    <w:rsid w:val="00535A27"/>
    <w:rsid w:val="00536B38"/>
    <w:rsid w:val="00536D54"/>
    <w:rsid w:val="0053740B"/>
    <w:rsid w:val="005379FE"/>
    <w:rsid w:val="005419DA"/>
    <w:rsid w:val="005437B4"/>
    <w:rsid w:val="005450FC"/>
    <w:rsid w:val="00545D09"/>
    <w:rsid w:val="005466F6"/>
    <w:rsid w:val="005473B0"/>
    <w:rsid w:val="00547911"/>
    <w:rsid w:val="005501EA"/>
    <w:rsid w:val="0055068F"/>
    <w:rsid w:val="005506BD"/>
    <w:rsid w:val="00550777"/>
    <w:rsid w:val="00550B33"/>
    <w:rsid w:val="00550B72"/>
    <w:rsid w:val="00550C5A"/>
    <w:rsid w:val="00550D4E"/>
    <w:rsid w:val="00550F4F"/>
    <w:rsid w:val="00551540"/>
    <w:rsid w:val="00551FCB"/>
    <w:rsid w:val="00552950"/>
    <w:rsid w:val="0055346A"/>
    <w:rsid w:val="00553ADE"/>
    <w:rsid w:val="005544D2"/>
    <w:rsid w:val="005559F0"/>
    <w:rsid w:val="00555E66"/>
    <w:rsid w:val="00555F65"/>
    <w:rsid w:val="00556FC3"/>
    <w:rsid w:val="0056030E"/>
    <w:rsid w:val="00561867"/>
    <w:rsid w:val="00561C11"/>
    <w:rsid w:val="00562514"/>
    <w:rsid w:val="00562599"/>
    <w:rsid w:val="0056274F"/>
    <w:rsid w:val="00564203"/>
    <w:rsid w:val="005644A8"/>
    <w:rsid w:val="00565CBA"/>
    <w:rsid w:val="005660B8"/>
    <w:rsid w:val="0056612A"/>
    <w:rsid w:val="0056621D"/>
    <w:rsid w:val="00570B9A"/>
    <w:rsid w:val="00571C81"/>
    <w:rsid w:val="0057247D"/>
    <w:rsid w:val="005726AB"/>
    <w:rsid w:val="00573A89"/>
    <w:rsid w:val="00573B79"/>
    <w:rsid w:val="00573CD2"/>
    <w:rsid w:val="00574BED"/>
    <w:rsid w:val="00575546"/>
    <w:rsid w:val="00575698"/>
    <w:rsid w:val="005763C2"/>
    <w:rsid w:val="005767C3"/>
    <w:rsid w:val="00577163"/>
    <w:rsid w:val="00577234"/>
    <w:rsid w:val="005777B1"/>
    <w:rsid w:val="00577A92"/>
    <w:rsid w:val="005813B1"/>
    <w:rsid w:val="0058162D"/>
    <w:rsid w:val="00582DF6"/>
    <w:rsid w:val="005832FD"/>
    <w:rsid w:val="005833A1"/>
    <w:rsid w:val="00583DBB"/>
    <w:rsid w:val="00583DD6"/>
    <w:rsid w:val="00584CB7"/>
    <w:rsid w:val="00585A17"/>
    <w:rsid w:val="00586F4B"/>
    <w:rsid w:val="0058728C"/>
    <w:rsid w:val="00587DC3"/>
    <w:rsid w:val="005907FF"/>
    <w:rsid w:val="00590C5D"/>
    <w:rsid w:val="00592899"/>
    <w:rsid w:val="00594A25"/>
    <w:rsid w:val="00594BEC"/>
    <w:rsid w:val="00594CBF"/>
    <w:rsid w:val="0059509B"/>
    <w:rsid w:val="0059515F"/>
    <w:rsid w:val="0059613D"/>
    <w:rsid w:val="00596149"/>
    <w:rsid w:val="0059616B"/>
    <w:rsid w:val="00596B52"/>
    <w:rsid w:val="005A0F8D"/>
    <w:rsid w:val="005A1009"/>
    <w:rsid w:val="005A1B4E"/>
    <w:rsid w:val="005A34B8"/>
    <w:rsid w:val="005A4E52"/>
    <w:rsid w:val="005A53BA"/>
    <w:rsid w:val="005A5732"/>
    <w:rsid w:val="005A792C"/>
    <w:rsid w:val="005A7A2B"/>
    <w:rsid w:val="005B02DA"/>
    <w:rsid w:val="005B0525"/>
    <w:rsid w:val="005B0E77"/>
    <w:rsid w:val="005B112E"/>
    <w:rsid w:val="005B1F9E"/>
    <w:rsid w:val="005B27F1"/>
    <w:rsid w:val="005B3515"/>
    <w:rsid w:val="005B385C"/>
    <w:rsid w:val="005B40C7"/>
    <w:rsid w:val="005B40DD"/>
    <w:rsid w:val="005B4CD8"/>
    <w:rsid w:val="005B4E0F"/>
    <w:rsid w:val="005B64A7"/>
    <w:rsid w:val="005B687F"/>
    <w:rsid w:val="005B7AB7"/>
    <w:rsid w:val="005B7FB2"/>
    <w:rsid w:val="005C0049"/>
    <w:rsid w:val="005C03EE"/>
    <w:rsid w:val="005C0737"/>
    <w:rsid w:val="005C0DEC"/>
    <w:rsid w:val="005C1804"/>
    <w:rsid w:val="005C22C6"/>
    <w:rsid w:val="005C2B03"/>
    <w:rsid w:val="005C391B"/>
    <w:rsid w:val="005C5B0F"/>
    <w:rsid w:val="005C6DEA"/>
    <w:rsid w:val="005C71B0"/>
    <w:rsid w:val="005C7541"/>
    <w:rsid w:val="005C77B1"/>
    <w:rsid w:val="005C7BF6"/>
    <w:rsid w:val="005D00F0"/>
    <w:rsid w:val="005D030C"/>
    <w:rsid w:val="005D12B7"/>
    <w:rsid w:val="005D186E"/>
    <w:rsid w:val="005D20A2"/>
    <w:rsid w:val="005D2B15"/>
    <w:rsid w:val="005D2FB8"/>
    <w:rsid w:val="005D3BE0"/>
    <w:rsid w:val="005D46E4"/>
    <w:rsid w:val="005D4EE0"/>
    <w:rsid w:val="005D52FA"/>
    <w:rsid w:val="005D545F"/>
    <w:rsid w:val="005D5486"/>
    <w:rsid w:val="005D5802"/>
    <w:rsid w:val="005D5A66"/>
    <w:rsid w:val="005D60E3"/>
    <w:rsid w:val="005D64AC"/>
    <w:rsid w:val="005D6B3D"/>
    <w:rsid w:val="005D7039"/>
    <w:rsid w:val="005D70BA"/>
    <w:rsid w:val="005D74F0"/>
    <w:rsid w:val="005D775E"/>
    <w:rsid w:val="005D7A6E"/>
    <w:rsid w:val="005E001C"/>
    <w:rsid w:val="005E0906"/>
    <w:rsid w:val="005E2614"/>
    <w:rsid w:val="005E3924"/>
    <w:rsid w:val="005E3B78"/>
    <w:rsid w:val="005E49FB"/>
    <w:rsid w:val="005E4E80"/>
    <w:rsid w:val="005E4E90"/>
    <w:rsid w:val="005E5A93"/>
    <w:rsid w:val="005E781F"/>
    <w:rsid w:val="005F03AD"/>
    <w:rsid w:val="005F0AA4"/>
    <w:rsid w:val="005F11AF"/>
    <w:rsid w:val="005F14D8"/>
    <w:rsid w:val="005F1CB6"/>
    <w:rsid w:val="005F2EE1"/>
    <w:rsid w:val="005F3412"/>
    <w:rsid w:val="005F4916"/>
    <w:rsid w:val="005F5223"/>
    <w:rsid w:val="005F55D6"/>
    <w:rsid w:val="005F58E1"/>
    <w:rsid w:val="005F5E95"/>
    <w:rsid w:val="005F6362"/>
    <w:rsid w:val="005F6E6C"/>
    <w:rsid w:val="00600302"/>
    <w:rsid w:val="006011AC"/>
    <w:rsid w:val="00601714"/>
    <w:rsid w:val="00601745"/>
    <w:rsid w:val="00601FF1"/>
    <w:rsid w:val="00602157"/>
    <w:rsid w:val="00603004"/>
    <w:rsid w:val="00603D4F"/>
    <w:rsid w:val="0060443A"/>
    <w:rsid w:val="00604FDE"/>
    <w:rsid w:val="00605248"/>
    <w:rsid w:val="00605A61"/>
    <w:rsid w:val="00605AFB"/>
    <w:rsid w:val="006067EA"/>
    <w:rsid w:val="006068FC"/>
    <w:rsid w:val="00606E54"/>
    <w:rsid w:val="0061077C"/>
    <w:rsid w:val="006108EA"/>
    <w:rsid w:val="006109F0"/>
    <w:rsid w:val="00610BED"/>
    <w:rsid w:val="00610FF4"/>
    <w:rsid w:val="00611AED"/>
    <w:rsid w:val="00611D96"/>
    <w:rsid w:val="006124FD"/>
    <w:rsid w:val="00612BFF"/>
    <w:rsid w:val="00612D3E"/>
    <w:rsid w:val="006130B9"/>
    <w:rsid w:val="00613DF5"/>
    <w:rsid w:val="00615D1F"/>
    <w:rsid w:val="00615FDE"/>
    <w:rsid w:val="00616586"/>
    <w:rsid w:val="00616B73"/>
    <w:rsid w:val="00617D3E"/>
    <w:rsid w:val="006205B2"/>
    <w:rsid w:val="00620860"/>
    <w:rsid w:val="006209D9"/>
    <w:rsid w:val="00620B76"/>
    <w:rsid w:val="0062101B"/>
    <w:rsid w:val="00621493"/>
    <w:rsid w:val="006230DE"/>
    <w:rsid w:val="0062329F"/>
    <w:rsid w:val="00623954"/>
    <w:rsid w:val="00623BC3"/>
    <w:rsid w:val="006240C8"/>
    <w:rsid w:val="006243E2"/>
    <w:rsid w:val="00625990"/>
    <w:rsid w:val="00627F42"/>
    <w:rsid w:val="006302A4"/>
    <w:rsid w:val="00630C85"/>
    <w:rsid w:val="00630D51"/>
    <w:rsid w:val="0063111F"/>
    <w:rsid w:val="00631300"/>
    <w:rsid w:val="00631DFA"/>
    <w:rsid w:val="0063202C"/>
    <w:rsid w:val="006323E3"/>
    <w:rsid w:val="006340F8"/>
    <w:rsid w:val="006344F9"/>
    <w:rsid w:val="00634B4D"/>
    <w:rsid w:val="00634BD4"/>
    <w:rsid w:val="006354FA"/>
    <w:rsid w:val="00635C67"/>
    <w:rsid w:val="006362DE"/>
    <w:rsid w:val="00636398"/>
    <w:rsid w:val="0063733B"/>
    <w:rsid w:val="00637D03"/>
    <w:rsid w:val="00637E37"/>
    <w:rsid w:val="0064014C"/>
    <w:rsid w:val="00640195"/>
    <w:rsid w:val="00641264"/>
    <w:rsid w:val="006427D9"/>
    <w:rsid w:val="006435E3"/>
    <w:rsid w:val="0064370A"/>
    <w:rsid w:val="00643790"/>
    <w:rsid w:val="00643E2F"/>
    <w:rsid w:val="00644120"/>
    <w:rsid w:val="00644569"/>
    <w:rsid w:val="0064464F"/>
    <w:rsid w:val="006451E4"/>
    <w:rsid w:val="00645347"/>
    <w:rsid w:val="0064648D"/>
    <w:rsid w:val="00647B77"/>
    <w:rsid w:val="00647E70"/>
    <w:rsid w:val="006505E4"/>
    <w:rsid w:val="00651443"/>
    <w:rsid w:val="0065156B"/>
    <w:rsid w:val="006519D6"/>
    <w:rsid w:val="00652073"/>
    <w:rsid w:val="00652354"/>
    <w:rsid w:val="00652B49"/>
    <w:rsid w:val="00652FDD"/>
    <w:rsid w:val="006532B2"/>
    <w:rsid w:val="0065527B"/>
    <w:rsid w:val="006553C9"/>
    <w:rsid w:val="0065568D"/>
    <w:rsid w:val="00656D15"/>
    <w:rsid w:val="006576EC"/>
    <w:rsid w:val="00662F45"/>
    <w:rsid w:val="00662FA6"/>
    <w:rsid w:val="00663190"/>
    <w:rsid w:val="006637A7"/>
    <w:rsid w:val="00663DFA"/>
    <w:rsid w:val="00671082"/>
    <w:rsid w:val="006718EE"/>
    <w:rsid w:val="00671F97"/>
    <w:rsid w:val="00672123"/>
    <w:rsid w:val="00674F50"/>
    <w:rsid w:val="006765DA"/>
    <w:rsid w:val="0067662C"/>
    <w:rsid w:val="0067684C"/>
    <w:rsid w:val="006768E5"/>
    <w:rsid w:val="0067787C"/>
    <w:rsid w:val="00680092"/>
    <w:rsid w:val="00680CB1"/>
    <w:rsid w:val="006814FE"/>
    <w:rsid w:val="00682278"/>
    <w:rsid w:val="0068375A"/>
    <w:rsid w:val="0068486F"/>
    <w:rsid w:val="00685162"/>
    <w:rsid w:val="0068592E"/>
    <w:rsid w:val="00686120"/>
    <w:rsid w:val="006862DB"/>
    <w:rsid w:val="0068727C"/>
    <w:rsid w:val="006879E8"/>
    <w:rsid w:val="00687A36"/>
    <w:rsid w:val="00691384"/>
    <w:rsid w:val="006917F9"/>
    <w:rsid w:val="0069188B"/>
    <w:rsid w:val="006934B2"/>
    <w:rsid w:val="00694EFE"/>
    <w:rsid w:val="006954A1"/>
    <w:rsid w:val="006955D9"/>
    <w:rsid w:val="0069573A"/>
    <w:rsid w:val="0069671C"/>
    <w:rsid w:val="00697B88"/>
    <w:rsid w:val="00697D40"/>
    <w:rsid w:val="006A14BD"/>
    <w:rsid w:val="006A1853"/>
    <w:rsid w:val="006A1FB2"/>
    <w:rsid w:val="006A26A9"/>
    <w:rsid w:val="006A2725"/>
    <w:rsid w:val="006A2B35"/>
    <w:rsid w:val="006A6E9F"/>
    <w:rsid w:val="006A6F49"/>
    <w:rsid w:val="006A7073"/>
    <w:rsid w:val="006A741C"/>
    <w:rsid w:val="006A7E7E"/>
    <w:rsid w:val="006B08F4"/>
    <w:rsid w:val="006B09A7"/>
    <w:rsid w:val="006B1F7B"/>
    <w:rsid w:val="006B22E3"/>
    <w:rsid w:val="006B2B36"/>
    <w:rsid w:val="006B347A"/>
    <w:rsid w:val="006B3858"/>
    <w:rsid w:val="006B4BB6"/>
    <w:rsid w:val="006B5DE7"/>
    <w:rsid w:val="006B69E4"/>
    <w:rsid w:val="006B6CD8"/>
    <w:rsid w:val="006B6E90"/>
    <w:rsid w:val="006B7C19"/>
    <w:rsid w:val="006C0057"/>
    <w:rsid w:val="006C0E56"/>
    <w:rsid w:val="006C280F"/>
    <w:rsid w:val="006C34FB"/>
    <w:rsid w:val="006C37DF"/>
    <w:rsid w:val="006C3DB6"/>
    <w:rsid w:val="006C53D2"/>
    <w:rsid w:val="006C5695"/>
    <w:rsid w:val="006C5D53"/>
    <w:rsid w:val="006C5E7F"/>
    <w:rsid w:val="006C60C8"/>
    <w:rsid w:val="006C6894"/>
    <w:rsid w:val="006C70A0"/>
    <w:rsid w:val="006C7580"/>
    <w:rsid w:val="006C777D"/>
    <w:rsid w:val="006C79F1"/>
    <w:rsid w:val="006D053C"/>
    <w:rsid w:val="006D05F3"/>
    <w:rsid w:val="006D1AC3"/>
    <w:rsid w:val="006D1F85"/>
    <w:rsid w:val="006D361B"/>
    <w:rsid w:val="006D3A41"/>
    <w:rsid w:val="006D43E8"/>
    <w:rsid w:val="006D4998"/>
    <w:rsid w:val="006D4BCC"/>
    <w:rsid w:val="006D4E63"/>
    <w:rsid w:val="006D53CA"/>
    <w:rsid w:val="006D57F6"/>
    <w:rsid w:val="006D6058"/>
    <w:rsid w:val="006D619D"/>
    <w:rsid w:val="006D6D23"/>
    <w:rsid w:val="006D7069"/>
    <w:rsid w:val="006D776E"/>
    <w:rsid w:val="006D7E75"/>
    <w:rsid w:val="006E0C0D"/>
    <w:rsid w:val="006E2543"/>
    <w:rsid w:val="006E280D"/>
    <w:rsid w:val="006E317A"/>
    <w:rsid w:val="006E4EA9"/>
    <w:rsid w:val="006E5335"/>
    <w:rsid w:val="006E556B"/>
    <w:rsid w:val="006E577C"/>
    <w:rsid w:val="006E66DB"/>
    <w:rsid w:val="006E7ED8"/>
    <w:rsid w:val="006F02C0"/>
    <w:rsid w:val="006F050D"/>
    <w:rsid w:val="006F0A19"/>
    <w:rsid w:val="006F133A"/>
    <w:rsid w:val="006F1656"/>
    <w:rsid w:val="006F4089"/>
    <w:rsid w:val="006F5027"/>
    <w:rsid w:val="006F5C48"/>
    <w:rsid w:val="006F5E98"/>
    <w:rsid w:val="006F7DFA"/>
    <w:rsid w:val="0070059E"/>
    <w:rsid w:val="0070106F"/>
    <w:rsid w:val="00702CFC"/>
    <w:rsid w:val="00703802"/>
    <w:rsid w:val="00704969"/>
    <w:rsid w:val="00704FB4"/>
    <w:rsid w:val="00705070"/>
    <w:rsid w:val="0070522E"/>
    <w:rsid w:val="00705B81"/>
    <w:rsid w:val="00707A2B"/>
    <w:rsid w:val="00707A6C"/>
    <w:rsid w:val="00707DB9"/>
    <w:rsid w:val="007106B4"/>
    <w:rsid w:val="00710DF2"/>
    <w:rsid w:val="00711097"/>
    <w:rsid w:val="007133EE"/>
    <w:rsid w:val="0071412F"/>
    <w:rsid w:val="00714A64"/>
    <w:rsid w:val="00716108"/>
    <w:rsid w:val="007169B2"/>
    <w:rsid w:val="00717F66"/>
    <w:rsid w:val="00720439"/>
    <w:rsid w:val="00720C80"/>
    <w:rsid w:val="00720F6E"/>
    <w:rsid w:val="00720FDC"/>
    <w:rsid w:val="00721A71"/>
    <w:rsid w:val="00722DE4"/>
    <w:rsid w:val="00722ED3"/>
    <w:rsid w:val="007232E6"/>
    <w:rsid w:val="0072394D"/>
    <w:rsid w:val="00723A74"/>
    <w:rsid w:val="00723F8A"/>
    <w:rsid w:val="007240D7"/>
    <w:rsid w:val="007258D2"/>
    <w:rsid w:val="007263A9"/>
    <w:rsid w:val="00727151"/>
    <w:rsid w:val="00727D23"/>
    <w:rsid w:val="00730FEB"/>
    <w:rsid w:val="00732A23"/>
    <w:rsid w:val="00732B8D"/>
    <w:rsid w:val="007339DC"/>
    <w:rsid w:val="00734757"/>
    <w:rsid w:val="00735858"/>
    <w:rsid w:val="00736376"/>
    <w:rsid w:val="0073692D"/>
    <w:rsid w:val="00736F0B"/>
    <w:rsid w:val="007375B8"/>
    <w:rsid w:val="00737BD4"/>
    <w:rsid w:val="007414D9"/>
    <w:rsid w:val="007421A3"/>
    <w:rsid w:val="00743E8A"/>
    <w:rsid w:val="00744CE1"/>
    <w:rsid w:val="007453D8"/>
    <w:rsid w:val="00745657"/>
    <w:rsid w:val="00745C38"/>
    <w:rsid w:val="00745CFF"/>
    <w:rsid w:val="00745D12"/>
    <w:rsid w:val="0074695A"/>
    <w:rsid w:val="00746C8D"/>
    <w:rsid w:val="00746CB4"/>
    <w:rsid w:val="0074773A"/>
    <w:rsid w:val="00750045"/>
    <w:rsid w:val="00750150"/>
    <w:rsid w:val="00750B23"/>
    <w:rsid w:val="007514CB"/>
    <w:rsid w:val="0075163B"/>
    <w:rsid w:val="007526E3"/>
    <w:rsid w:val="00752739"/>
    <w:rsid w:val="00752A8E"/>
    <w:rsid w:val="00753A0A"/>
    <w:rsid w:val="007554D8"/>
    <w:rsid w:val="007564E9"/>
    <w:rsid w:val="0075691D"/>
    <w:rsid w:val="0075789F"/>
    <w:rsid w:val="0075797A"/>
    <w:rsid w:val="00760731"/>
    <w:rsid w:val="00761004"/>
    <w:rsid w:val="007615A7"/>
    <w:rsid w:val="00761BBD"/>
    <w:rsid w:val="00762C44"/>
    <w:rsid w:val="00763005"/>
    <w:rsid w:val="00763BBC"/>
    <w:rsid w:val="00764F29"/>
    <w:rsid w:val="00765099"/>
    <w:rsid w:val="0076512B"/>
    <w:rsid w:val="007664B6"/>
    <w:rsid w:val="007666C7"/>
    <w:rsid w:val="00766F1B"/>
    <w:rsid w:val="00767310"/>
    <w:rsid w:val="007673F7"/>
    <w:rsid w:val="0076782D"/>
    <w:rsid w:val="00767B6A"/>
    <w:rsid w:val="00770427"/>
    <w:rsid w:val="00770A8E"/>
    <w:rsid w:val="00770DD8"/>
    <w:rsid w:val="00770FFF"/>
    <w:rsid w:val="007722EC"/>
    <w:rsid w:val="007723D9"/>
    <w:rsid w:val="00772711"/>
    <w:rsid w:val="0077286D"/>
    <w:rsid w:val="00773B83"/>
    <w:rsid w:val="00774AE9"/>
    <w:rsid w:val="00775781"/>
    <w:rsid w:val="0077657C"/>
    <w:rsid w:val="00776669"/>
    <w:rsid w:val="00776785"/>
    <w:rsid w:val="00777300"/>
    <w:rsid w:val="0077771E"/>
    <w:rsid w:val="007805A8"/>
    <w:rsid w:val="00780C13"/>
    <w:rsid w:val="00781DBA"/>
    <w:rsid w:val="00782273"/>
    <w:rsid w:val="00782CD6"/>
    <w:rsid w:val="00784469"/>
    <w:rsid w:val="00784A57"/>
    <w:rsid w:val="00785639"/>
    <w:rsid w:val="00785869"/>
    <w:rsid w:val="00786C5D"/>
    <w:rsid w:val="00786F15"/>
    <w:rsid w:val="0079000E"/>
    <w:rsid w:val="0079028C"/>
    <w:rsid w:val="00790786"/>
    <w:rsid w:val="00790ACB"/>
    <w:rsid w:val="00790D97"/>
    <w:rsid w:val="0079140B"/>
    <w:rsid w:val="00791C4C"/>
    <w:rsid w:val="007922F0"/>
    <w:rsid w:val="0079291E"/>
    <w:rsid w:val="00792F1B"/>
    <w:rsid w:val="007931FD"/>
    <w:rsid w:val="007932ED"/>
    <w:rsid w:val="00793545"/>
    <w:rsid w:val="00793C0D"/>
    <w:rsid w:val="00793DE1"/>
    <w:rsid w:val="00794050"/>
    <w:rsid w:val="0079438B"/>
    <w:rsid w:val="007947A9"/>
    <w:rsid w:val="0079504C"/>
    <w:rsid w:val="00795A2F"/>
    <w:rsid w:val="00796639"/>
    <w:rsid w:val="00796B0F"/>
    <w:rsid w:val="00797B5F"/>
    <w:rsid w:val="00797F44"/>
    <w:rsid w:val="007A080F"/>
    <w:rsid w:val="007A1774"/>
    <w:rsid w:val="007A2B0C"/>
    <w:rsid w:val="007A2F8C"/>
    <w:rsid w:val="007A45ED"/>
    <w:rsid w:val="007A4C0F"/>
    <w:rsid w:val="007A544B"/>
    <w:rsid w:val="007A5543"/>
    <w:rsid w:val="007A62F3"/>
    <w:rsid w:val="007B1271"/>
    <w:rsid w:val="007B16AD"/>
    <w:rsid w:val="007B1B7A"/>
    <w:rsid w:val="007B1B9C"/>
    <w:rsid w:val="007B2562"/>
    <w:rsid w:val="007B2CDB"/>
    <w:rsid w:val="007B2E0E"/>
    <w:rsid w:val="007B440D"/>
    <w:rsid w:val="007B4553"/>
    <w:rsid w:val="007B4BB5"/>
    <w:rsid w:val="007B4DB3"/>
    <w:rsid w:val="007B6310"/>
    <w:rsid w:val="007B6AD6"/>
    <w:rsid w:val="007B6C60"/>
    <w:rsid w:val="007B7438"/>
    <w:rsid w:val="007C00B5"/>
    <w:rsid w:val="007C0445"/>
    <w:rsid w:val="007C1672"/>
    <w:rsid w:val="007C1857"/>
    <w:rsid w:val="007C208F"/>
    <w:rsid w:val="007C2A39"/>
    <w:rsid w:val="007C329F"/>
    <w:rsid w:val="007C396A"/>
    <w:rsid w:val="007C3E67"/>
    <w:rsid w:val="007C4E12"/>
    <w:rsid w:val="007C5402"/>
    <w:rsid w:val="007C5A3F"/>
    <w:rsid w:val="007C64C3"/>
    <w:rsid w:val="007C73D8"/>
    <w:rsid w:val="007C7567"/>
    <w:rsid w:val="007D01F6"/>
    <w:rsid w:val="007D0BD1"/>
    <w:rsid w:val="007D1758"/>
    <w:rsid w:val="007D2267"/>
    <w:rsid w:val="007D23A0"/>
    <w:rsid w:val="007D2819"/>
    <w:rsid w:val="007D335C"/>
    <w:rsid w:val="007D45FF"/>
    <w:rsid w:val="007D4EB5"/>
    <w:rsid w:val="007D4F98"/>
    <w:rsid w:val="007D75B5"/>
    <w:rsid w:val="007D7C66"/>
    <w:rsid w:val="007E0185"/>
    <w:rsid w:val="007E0656"/>
    <w:rsid w:val="007E104E"/>
    <w:rsid w:val="007E1764"/>
    <w:rsid w:val="007E17F0"/>
    <w:rsid w:val="007E1BD6"/>
    <w:rsid w:val="007E24AC"/>
    <w:rsid w:val="007E255F"/>
    <w:rsid w:val="007E37D5"/>
    <w:rsid w:val="007E455A"/>
    <w:rsid w:val="007E59AA"/>
    <w:rsid w:val="007E67C5"/>
    <w:rsid w:val="007E7063"/>
    <w:rsid w:val="007F0D5E"/>
    <w:rsid w:val="007F1065"/>
    <w:rsid w:val="007F132D"/>
    <w:rsid w:val="007F2F7A"/>
    <w:rsid w:val="007F30E5"/>
    <w:rsid w:val="007F31C8"/>
    <w:rsid w:val="007F4DD2"/>
    <w:rsid w:val="007F683B"/>
    <w:rsid w:val="007F779C"/>
    <w:rsid w:val="00800FB1"/>
    <w:rsid w:val="0080110D"/>
    <w:rsid w:val="0080168F"/>
    <w:rsid w:val="00801B16"/>
    <w:rsid w:val="008032A7"/>
    <w:rsid w:val="00804A1F"/>
    <w:rsid w:val="00806053"/>
    <w:rsid w:val="0080648B"/>
    <w:rsid w:val="00806994"/>
    <w:rsid w:val="00806D6D"/>
    <w:rsid w:val="00806FE7"/>
    <w:rsid w:val="008076B1"/>
    <w:rsid w:val="008102E9"/>
    <w:rsid w:val="008126EB"/>
    <w:rsid w:val="00812A3F"/>
    <w:rsid w:val="008131F6"/>
    <w:rsid w:val="00813A0B"/>
    <w:rsid w:val="00813AC1"/>
    <w:rsid w:val="00813BC6"/>
    <w:rsid w:val="008161C6"/>
    <w:rsid w:val="008170A9"/>
    <w:rsid w:val="00817251"/>
    <w:rsid w:val="00817EA5"/>
    <w:rsid w:val="00821902"/>
    <w:rsid w:val="00821F98"/>
    <w:rsid w:val="008225DA"/>
    <w:rsid w:val="00822BD9"/>
    <w:rsid w:val="0082361F"/>
    <w:rsid w:val="0082555C"/>
    <w:rsid w:val="0082594E"/>
    <w:rsid w:val="008259EB"/>
    <w:rsid w:val="0082623D"/>
    <w:rsid w:val="00826E78"/>
    <w:rsid w:val="00827A26"/>
    <w:rsid w:val="00827DA7"/>
    <w:rsid w:val="008308F7"/>
    <w:rsid w:val="0083114A"/>
    <w:rsid w:val="008317FC"/>
    <w:rsid w:val="00831E0B"/>
    <w:rsid w:val="00833013"/>
    <w:rsid w:val="008332F5"/>
    <w:rsid w:val="00835E7E"/>
    <w:rsid w:val="0083649C"/>
    <w:rsid w:val="0083756E"/>
    <w:rsid w:val="0084022D"/>
    <w:rsid w:val="008411A5"/>
    <w:rsid w:val="0084139C"/>
    <w:rsid w:val="00841DCF"/>
    <w:rsid w:val="0084231A"/>
    <w:rsid w:val="00842D17"/>
    <w:rsid w:val="008437B4"/>
    <w:rsid w:val="00843B16"/>
    <w:rsid w:val="00844785"/>
    <w:rsid w:val="00845A65"/>
    <w:rsid w:val="00846D6B"/>
    <w:rsid w:val="00846D7D"/>
    <w:rsid w:val="00846FB1"/>
    <w:rsid w:val="008477EB"/>
    <w:rsid w:val="00850659"/>
    <w:rsid w:val="00851A5A"/>
    <w:rsid w:val="008535A5"/>
    <w:rsid w:val="0085396A"/>
    <w:rsid w:val="00853B5E"/>
    <w:rsid w:val="008546C5"/>
    <w:rsid w:val="00854705"/>
    <w:rsid w:val="008547F8"/>
    <w:rsid w:val="008548E0"/>
    <w:rsid w:val="008549AA"/>
    <w:rsid w:val="008551A5"/>
    <w:rsid w:val="008554EE"/>
    <w:rsid w:val="00856545"/>
    <w:rsid w:val="00856C4D"/>
    <w:rsid w:val="00857B91"/>
    <w:rsid w:val="00857C01"/>
    <w:rsid w:val="008604E8"/>
    <w:rsid w:val="00860D54"/>
    <w:rsid w:val="00861AED"/>
    <w:rsid w:val="00861FF8"/>
    <w:rsid w:val="00862011"/>
    <w:rsid w:val="00862C21"/>
    <w:rsid w:val="008633BE"/>
    <w:rsid w:val="0086412F"/>
    <w:rsid w:val="00864AA1"/>
    <w:rsid w:val="008654B4"/>
    <w:rsid w:val="008666FF"/>
    <w:rsid w:val="00866E0F"/>
    <w:rsid w:val="0086706E"/>
    <w:rsid w:val="008677B4"/>
    <w:rsid w:val="008679C7"/>
    <w:rsid w:val="00867B36"/>
    <w:rsid w:val="00867B39"/>
    <w:rsid w:val="0087035F"/>
    <w:rsid w:val="008703E8"/>
    <w:rsid w:val="00870D8A"/>
    <w:rsid w:val="008711CC"/>
    <w:rsid w:val="00871A1C"/>
    <w:rsid w:val="00871B83"/>
    <w:rsid w:val="00871CAD"/>
    <w:rsid w:val="008743AC"/>
    <w:rsid w:val="0087443D"/>
    <w:rsid w:val="00874D9A"/>
    <w:rsid w:val="008758E3"/>
    <w:rsid w:val="00876D19"/>
    <w:rsid w:val="0087704D"/>
    <w:rsid w:val="00877056"/>
    <w:rsid w:val="00880711"/>
    <w:rsid w:val="0088185C"/>
    <w:rsid w:val="00881FC4"/>
    <w:rsid w:val="00882E64"/>
    <w:rsid w:val="00882EC0"/>
    <w:rsid w:val="00883060"/>
    <w:rsid w:val="00883B81"/>
    <w:rsid w:val="00884191"/>
    <w:rsid w:val="008841C6"/>
    <w:rsid w:val="008858EC"/>
    <w:rsid w:val="00885989"/>
    <w:rsid w:val="00885D22"/>
    <w:rsid w:val="0088606F"/>
    <w:rsid w:val="00890C5E"/>
    <w:rsid w:val="00891371"/>
    <w:rsid w:val="00892501"/>
    <w:rsid w:val="00893EF9"/>
    <w:rsid w:val="00894BE7"/>
    <w:rsid w:val="008971C9"/>
    <w:rsid w:val="00897D23"/>
    <w:rsid w:val="008A19A3"/>
    <w:rsid w:val="008A2446"/>
    <w:rsid w:val="008A2664"/>
    <w:rsid w:val="008A39AE"/>
    <w:rsid w:val="008A3D82"/>
    <w:rsid w:val="008A4166"/>
    <w:rsid w:val="008A4914"/>
    <w:rsid w:val="008A4DD8"/>
    <w:rsid w:val="008A4DE6"/>
    <w:rsid w:val="008A50EC"/>
    <w:rsid w:val="008A53E1"/>
    <w:rsid w:val="008A5AE1"/>
    <w:rsid w:val="008A6279"/>
    <w:rsid w:val="008A6297"/>
    <w:rsid w:val="008A7278"/>
    <w:rsid w:val="008A7601"/>
    <w:rsid w:val="008B0310"/>
    <w:rsid w:val="008B1A6D"/>
    <w:rsid w:val="008B1C16"/>
    <w:rsid w:val="008B2ED1"/>
    <w:rsid w:val="008B32A4"/>
    <w:rsid w:val="008B4D34"/>
    <w:rsid w:val="008B63FB"/>
    <w:rsid w:val="008B6BD4"/>
    <w:rsid w:val="008B790F"/>
    <w:rsid w:val="008B7D4E"/>
    <w:rsid w:val="008B7FCB"/>
    <w:rsid w:val="008C0E0D"/>
    <w:rsid w:val="008C1A22"/>
    <w:rsid w:val="008C222C"/>
    <w:rsid w:val="008C27D0"/>
    <w:rsid w:val="008C3317"/>
    <w:rsid w:val="008C450F"/>
    <w:rsid w:val="008C6CFF"/>
    <w:rsid w:val="008C78DB"/>
    <w:rsid w:val="008D0096"/>
    <w:rsid w:val="008D1093"/>
    <w:rsid w:val="008D32FA"/>
    <w:rsid w:val="008D36F4"/>
    <w:rsid w:val="008D3714"/>
    <w:rsid w:val="008D4848"/>
    <w:rsid w:val="008D4C92"/>
    <w:rsid w:val="008D4F2D"/>
    <w:rsid w:val="008D4F7B"/>
    <w:rsid w:val="008D622A"/>
    <w:rsid w:val="008D742C"/>
    <w:rsid w:val="008D7A67"/>
    <w:rsid w:val="008D7F29"/>
    <w:rsid w:val="008E2842"/>
    <w:rsid w:val="008E2EC6"/>
    <w:rsid w:val="008E314D"/>
    <w:rsid w:val="008E3583"/>
    <w:rsid w:val="008E4E0E"/>
    <w:rsid w:val="008E5C27"/>
    <w:rsid w:val="008E6E6F"/>
    <w:rsid w:val="008E701C"/>
    <w:rsid w:val="008E755B"/>
    <w:rsid w:val="008F09C9"/>
    <w:rsid w:val="008F1D7D"/>
    <w:rsid w:val="008F1D90"/>
    <w:rsid w:val="008F219D"/>
    <w:rsid w:val="008F2A2F"/>
    <w:rsid w:val="008F2D6A"/>
    <w:rsid w:val="008F3797"/>
    <w:rsid w:val="008F3E7C"/>
    <w:rsid w:val="008F54CB"/>
    <w:rsid w:val="008F5B54"/>
    <w:rsid w:val="008F5F3B"/>
    <w:rsid w:val="008F76C6"/>
    <w:rsid w:val="008F799F"/>
    <w:rsid w:val="008F7B3C"/>
    <w:rsid w:val="0090068C"/>
    <w:rsid w:val="0090115D"/>
    <w:rsid w:val="009012F5"/>
    <w:rsid w:val="00901463"/>
    <w:rsid w:val="009020DE"/>
    <w:rsid w:val="009028D8"/>
    <w:rsid w:val="00902D13"/>
    <w:rsid w:val="00903101"/>
    <w:rsid w:val="00903C6E"/>
    <w:rsid w:val="00903F3E"/>
    <w:rsid w:val="00904B7D"/>
    <w:rsid w:val="00904C4A"/>
    <w:rsid w:val="00904D69"/>
    <w:rsid w:val="00905589"/>
    <w:rsid w:val="00905CCC"/>
    <w:rsid w:val="00905E9D"/>
    <w:rsid w:val="00906B61"/>
    <w:rsid w:val="00906C2D"/>
    <w:rsid w:val="0090700A"/>
    <w:rsid w:val="00911B94"/>
    <w:rsid w:val="00911C33"/>
    <w:rsid w:val="00911DAE"/>
    <w:rsid w:val="00912A78"/>
    <w:rsid w:val="00913B76"/>
    <w:rsid w:val="00913DB9"/>
    <w:rsid w:val="00915957"/>
    <w:rsid w:val="0091662F"/>
    <w:rsid w:val="00916C1E"/>
    <w:rsid w:val="00916D1E"/>
    <w:rsid w:val="0091758D"/>
    <w:rsid w:val="009176D9"/>
    <w:rsid w:val="00917D75"/>
    <w:rsid w:val="00920E27"/>
    <w:rsid w:val="00921096"/>
    <w:rsid w:val="0092168C"/>
    <w:rsid w:val="0092186E"/>
    <w:rsid w:val="00923080"/>
    <w:rsid w:val="00923315"/>
    <w:rsid w:val="00923A95"/>
    <w:rsid w:val="00924ED5"/>
    <w:rsid w:val="00926AE8"/>
    <w:rsid w:val="00927E20"/>
    <w:rsid w:val="00930855"/>
    <w:rsid w:val="00931925"/>
    <w:rsid w:val="00933CE7"/>
    <w:rsid w:val="00934807"/>
    <w:rsid w:val="00934EBA"/>
    <w:rsid w:val="009350C1"/>
    <w:rsid w:val="00936DEE"/>
    <w:rsid w:val="009405E3"/>
    <w:rsid w:val="00940825"/>
    <w:rsid w:val="009419DA"/>
    <w:rsid w:val="00941B69"/>
    <w:rsid w:val="00941C19"/>
    <w:rsid w:val="00942194"/>
    <w:rsid w:val="00942717"/>
    <w:rsid w:val="0094384F"/>
    <w:rsid w:val="00943FE9"/>
    <w:rsid w:val="00944133"/>
    <w:rsid w:val="0094539F"/>
    <w:rsid w:val="00945860"/>
    <w:rsid w:val="00945F62"/>
    <w:rsid w:val="00946B5A"/>
    <w:rsid w:val="0094755A"/>
    <w:rsid w:val="009477BC"/>
    <w:rsid w:val="00950597"/>
    <w:rsid w:val="0095076C"/>
    <w:rsid w:val="00950DA5"/>
    <w:rsid w:val="0095143A"/>
    <w:rsid w:val="00951EFA"/>
    <w:rsid w:val="00952D6D"/>
    <w:rsid w:val="00952E94"/>
    <w:rsid w:val="00954044"/>
    <w:rsid w:val="00954421"/>
    <w:rsid w:val="00954C45"/>
    <w:rsid w:val="0095501D"/>
    <w:rsid w:val="00955A3B"/>
    <w:rsid w:val="00955F29"/>
    <w:rsid w:val="00955FA9"/>
    <w:rsid w:val="0095603A"/>
    <w:rsid w:val="009566AC"/>
    <w:rsid w:val="00957027"/>
    <w:rsid w:val="00960BC9"/>
    <w:rsid w:val="0096131C"/>
    <w:rsid w:val="00962975"/>
    <w:rsid w:val="00962ACF"/>
    <w:rsid w:val="00963791"/>
    <w:rsid w:val="00963AEA"/>
    <w:rsid w:val="009646C7"/>
    <w:rsid w:val="0096494A"/>
    <w:rsid w:val="0096662A"/>
    <w:rsid w:val="00967D76"/>
    <w:rsid w:val="009705EC"/>
    <w:rsid w:val="00970F1A"/>
    <w:rsid w:val="00970F45"/>
    <w:rsid w:val="00970FBE"/>
    <w:rsid w:val="00972968"/>
    <w:rsid w:val="009736B2"/>
    <w:rsid w:val="009741E5"/>
    <w:rsid w:val="00975E5D"/>
    <w:rsid w:val="0097635B"/>
    <w:rsid w:val="009769B2"/>
    <w:rsid w:val="00976A70"/>
    <w:rsid w:val="00976C69"/>
    <w:rsid w:val="00976C85"/>
    <w:rsid w:val="00976D89"/>
    <w:rsid w:val="00976DBC"/>
    <w:rsid w:val="00977965"/>
    <w:rsid w:val="0098003F"/>
    <w:rsid w:val="00980498"/>
    <w:rsid w:val="00980969"/>
    <w:rsid w:val="00980DA8"/>
    <w:rsid w:val="00981DBA"/>
    <w:rsid w:val="00982E1B"/>
    <w:rsid w:val="00982F86"/>
    <w:rsid w:val="00983E67"/>
    <w:rsid w:val="00984933"/>
    <w:rsid w:val="00984C0A"/>
    <w:rsid w:val="00984D91"/>
    <w:rsid w:val="0098513A"/>
    <w:rsid w:val="00985365"/>
    <w:rsid w:val="00985C14"/>
    <w:rsid w:val="00986550"/>
    <w:rsid w:val="00987386"/>
    <w:rsid w:val="0098772F"/>
    <w:rsid w:val="00987BEC"/>
    <w:rsid w:val="00990519"/>
    <w:rsid w:val="00990632"/>
    <w:rsid w:val="00990890"/>
    <w:rsid w:val="00990A1B"/>
    <w:rsid w:val="00990CC6"/>
    <w:rsid w:val="00990EC5"/>
    <w:rsid w:val="009911A8"/>
    <w:rsid w:val="009911BD"/>
    <w:rsid w:val="0099125E"/>
    <w:rsid w:val="009918F0"/>
    <w:rsid w:val="0099293B"/>
    <w:rsid w:val="00994BE4"/>
    <w:rsid w:val="00994D8E"/>
    <w:rsid w:val="00995B96"/>
    <w:rsid w:val="00995E7D"/>
    <w:rsid w:val="0099608B"/>
    <w:rsid w:val="0099681C"/>
    <w:rsid w:val="00996939"/>
    <w:rsid w:val="009969BF"/>
    <w:rsid w:val="00996ACA"/>
    <w:rsid w:val="00996C6E"/>
    <w:rsid w:val="00996E78"/>
    <w:rsid w:val="00997672"/>
    <w:rsid w:val="009A0406"/>
    <w:rsid w:val="009A0658"/>
    <w:rsid w:val="009A06BD"/>
    <w:rsid w:val="009A081C"/>
    <w:rsid w:val="009A0A45"/>
    <w:rsid w:val="009A2C8B"/>
    <w:rsid w:val="009A396F"/>
    <w:rsid w:val="009A3E9A"/>
    <w:rsid w:val="009A4980"/>
    <w:rsid w:val="009A4F51"/>
    <w:rsid w:val="009A6384"/>
    <w:rsid w:val="009A63C3"/>
    <w:rsid w:val="009A6BFE"/>
    <w:rsid w:val="009A6E74"/>
    <w:rsid w:val="009A73FB"/>
    <w:rsid w:val="009A76F5"/>
    <w:rsid w:val="009B1414"/>
    <w:rsid w:val="009B14F0"/>
    <w:rsid w:val="009B1633"/>
    <w:rsid w:val="009B19A4"/>
    <w:rsid w:val="009B2311"/>
    <w:rsid w:val="009B25DC"/>
    <w:rsid w:val="009B2A72"/>
    <w:rsid w:val="009B2DBE"/>
    <w:rsid w:val="009B2F4B"/>
    <w:rsid w:val="009B424B"/>
    <w:rsid w:val="009B4A71"/>
    <w:rsid w:val="009B5DA6"/>
    <w:rsid w:val="009B5F25"/>
    <w:rsid w:val="009B7437"/>
    <w:rsid w:val="009C0B4E"/>
    <w:rsid w:val="009C24BA"/>
    <w:rsid w:val="009C29A6"/>
    <w:rsid w:val="009C305A"/>
    <w:rsid w:val="009C3068"/>
    <w:rsid w:val="009C35C2"/>
    <w:rsid w:val="009C43EA"/>
    <w:rsid w:val="009C458B"/>
    <w:rsid w:val="009C471A"/>
    <w:rsid w:val="009C4FD2"/>
    <w:rsid w:val="009C51BE"/>
    <w:rsid w:val="009C6725"/>
    <w:rsid w:val="009C6C67"/>
    <w:rsid w:val="009C7BC5"/>
    <w:rsid w:val="009C7CD3"/>
    <w:rsid w:val="009C7DF8"/>
    <w:rsid w:val="009D15F7"/>
    <w:rsid w:val="009D1A26"/>
    <w:rsid w:val="009D1DCD"/>
    <w:rsid w:val="009D1E5C"/>
    <w:rsid w:val="009D268D"/>
    <w:rsid w:val="009D27DB"/>
    <w:rsid w:val="009D2DA1"/>
    <w:rsid w:val="009D2EA0"/>
    <w:rsid w:val="009D328D"/>
    <w:rsid w:val="009D4015"/>
    <w:rsid w:val="009D52EA"/>
    <w:rsid w:val="009D5A08"/>
    <w:rsid w:val="009D5E0B"/>
    <w:rsid w:val="009D7A7A"/>
    <w:rsid w:val="009E0AC9"/>
    <w:rsid w:val="009E0C8D"/>
    <w:rsid w:val="009E1438"/>
    <w:rsid w:val="009E21E9"/>
    <w:rsid w:val="009E340E"/>
    <w:rsid w:val="009E45DB"/>
    <w:rsid w:val="009E6A18"/>
    <w:rsid w:val="009E6C17"/>
    <w:rsid w:val="009E7587"/>
    <w:rsid w:val="009F0B06"/>
    <w:rsid w:val="009F1148"/>
    <w:rsid w:val="009F1442"/>
    <w:rsid w:val="009F247E"/>
    <w:rsid w:val="009F37A5"/>
    <w:rsid w:val="009F3A5C"/>
    <w:rsid w:val="009F3C8F"/>
    <w:rsid w:val="009F4E70"/>
    <w:rsid w:val="009F55CC"/>
    <w:rsid w:val="009F5858"/>
    <w:rsid w:val="009F5DE3"/>
    <w:rsid w:val="009F5E3A"/>
    <w:rsid w:val="009F6392"/>
    <w:rsid w:val="009F6785"/>
    <w:rsid w:val="009F6B5B"/>
    <w:rsid w:val="009F71CF"/>
    <w:rsid w:val="009F77F9"/>
    <w:rsid w:val="009F7D57"/>
    <w:rsid w:val="00A008A6"/>
    <w:rsid w:val="00A00B0A"/>
    <w:rsid w:val="00A0180E"/>
    <w:rsid w:val="00A019D6"/>
    <w:rsid w:val="00A04591"/>
    <w:rsid w:val="00A0473E"/>
    <w:rsid w:val="00A0553E"/>
    <w:rsid w:val="00A0691D"/>
    <w:rsid w:val="00A0699A"/>
    <w:rsid w:val="00A076D8"/>
    <w:rsid w:val="00A077B7"/>
    <w:rsid w:val="00A1000D"/>
    <w:rsid w:val="00A1066C"/>
    <w:rsid w:val="00A10794"/>
    <w:rsid w:val="00A11D43"/>
    <w:rsid w:val="00A12D98"/>
    <w:rsid w:val="00A134FF"/>
    <w:rsid w:val="00A1357C"/>
    <w:rsid w:val="00A1420E"/>
    <w:rsid w:val="00A14D96"/>
    <w:rsid w:val="00A150C3"/>
    <w:rsid w:val="00A15467"/>
    <w:rsid w:val="00A16027"/>
    <w:rsid w:val="00A1719F"/>
    <w:rsid w:val="00A17ABA"/>
    <w:rsid w:val="00A17BBE"/>
    <w:rsid w:val="00A207DC"/>
    <w:rsid w:val="00A2081C"/>
    <w:rsid w:val="00A210A7"/>
    <w:rsid w:val="00A21960"/>
    <w:rsid w:val="00A219B6"/>
    <w:rsid w:val="00A22A56"/>
    <w:rsid w:val="00A2363C"/>
    <w:rsid w:val="00A2420D"/>
    <w:rsid w:val="00A24472"/>
    <w:rsid w:val="00A25444"/>
    <w:rsid w:val="00A25F77"/>
    <w:rsid w:val="00A264B0"/>
    <w:rsid w:val="00A26F06"/>
    <w:rsid w:val="00A27AAE"/>
    <w:rsid w:val="00A27B3B"/>
    <w:rsid w:val="00A27D2F"/>
    <w:rsid w:val="00A27FCB"/>
    <w:rsid w:val="00A306B4"/>
    <w:rsid w:val="00A309DD"/>
    <w:rsid w:val="00A30EC9"/>
    <w:rsid w:val="00A30F62"/>
    <w:rsid w:val="00A317C2"/>
    <w:rsid w:val="00A33649"/>
    <w:rsid w:val="00A340D9"/>
    <w:rsid w:val="00A35754"/>
    <w:rsid w:val="00A361F2"/>
    <w:rsid w:val="00A36E3B"/>
    <w:rsid w:val="00A37036"/>
    <w:rsid w:val="00A3722E"/>
    <w:rsid w:val="00A37F28"/>
    <w:rsid w:val="00A4022A"/>
    <w:rsid w:val="00A4143B"/>
    <w:rsid w:val="00A4195A"/>
    <w:rsid w:val="00A42506"/>
    <w:rsid w:val="00A43057"/>
    <w:rsid w:val="00A445A0"/>
    <w:rsid w:val="00A461FD"/>
    <w:rsid w:val="00A46484"/>
    <w:rsid w:val="00A466C3"/>
    <w:rsid w:val="00A46A66"/>
    <w:rsid w:val="00A47A62"/>
    <w:rsid w:val="00A506C8"/>
    <w:rsid w:val="00A510D0"/>
    <w:rsid w:val="00A51110"/>
    <w:rsid w:val="00A52B5F"/>
    <w:rsid w:val="00A53405"/>
    <w:rsid w:val="00A535CB"/>
    <w:rsid w:val="00A538DC"/>
    <w:rsid w:val="00A54188"/>
    <w:rsid w:val="00A54931"/>
    <w:rsid w:val="00A54D07"/>
    <w:rsid w:val="00A54D81"/>
    <w:rsid w:val="00A54DCC"/>
    <w:rsid w:val="00A562AE"/>
    <w:rsid w:val="00A5657D"/>
    <w:rsid w:val="00A5690D"/>
    <w:rsid w:val="00A5788F"/>
    <w:rsid w:val="00A57F95"/>
    <w:rsid w:val="00A60432"/>
    <w:rsid w:val="00A60563"/>
    <w:rsid w:val="00A606A5"/>
    <w:rsid w:val="00A60778"/>
    <w:rsid w:val="00A62916"/>
    <w:rsid w:val="00A62A58"/>
    <w:rsid w:val="00A62CAC"/>
    <w:rsid w:val="00A64450"/>
    <w:rsid w:val="00A652A4"/>
    <w:rsid w:val="00A653BB"/>
    <w:rsid w:val="00A65545"/>
    <w:rsid w:val="00A65739"/>
    <w:rsid w:val="00A65BD0"/>
    <w:rsid w:val="00A661F3"/>
    <w:rsid w:val="00A66ECC"/>
    <w:rsid w:val="00A67920"/>
    <w:rsid w:val="00A67EF9"/>
    <w:rsid w:val="00A704D1"/>
    <w:rsid w:val="00A709FE"/>
    <w:rsid w:val="00A70EA6"/>
    <w:rsid w:val="00A71273"/>
    <w:rsid w:val="00A715EA"/>
    <w:rsid w:val="00A719B4"/>
    <w:rsid w:val="00A72577"/>
    <w:rsid w:val="00A72A83"/>
    <w:rsid w:val="00A72CE5"/>
    <w:rsid w:val="00A72DC1"/>
    <w:rsid w:val="00A731D3"/>
    <w:rsid w:val="00A73CB1"/>
    <w:rsid w:val="00A7411A"/>
    <w:rsid w:val="00A74388"/>
    <w:rsid w:val="00A744BB"/>
    <w:rsid w:val="00A75B2E"/>
    <w:rsid w:val="00A77690"/>
    <w:rsid w:val="00A77C1C"/>
    <w:rsid w:val="00A80651"/>
    <w:rsid w:val="00A80687"/>
    <w:rsid w:val="00A80945"/>
    <w:rsid w:val="00A8280B"/>
    <w:rsid w:val="00A82BAF"/>
    <w:rsid w:val="00A83296"/>
    <w:rsid w:val="00A8376B"/>
    <w:rsid w:val="00A83B46"/>
    <w:rsid w:val="00A8421B"/>
    <w:rsid w:val="00A84DE7"/>
    <w:rsid w:val="00A860EE"/>
    <w:rsid w:val="00A86354"/>
    <w:rsid w:val="00A86D1D"/>
    <w:rsid w:val="00A87F3F"/>
    <w:rsid w:val="00A90498"/>
    <w:rsid w:val="00A90504"/>
    <w:rsid w:val="00A9145A"/>
    <w:rsid w:val="00A916EA"/>
    <w:rsid w:val="00A91FED"/>
    <w:rsid w:val="00A92B8F"/>
    <w:rsid w:val="00A9341F"/>
    <w:rsid w:val="00A940DC"/>
    <w:rsid w:val="00A94F20"/>
    <w:rsid w:val="00A95095"/>
    <w:rsid w:val="00A95A8F"/>
    <w:rsid w:val="00A972CA"/>
    <w:rsid w:val="00AA00A7"/>
    <w:rsid w:val="00AA07EA"/>
    <w:rsid w:val="00AA0BCF"/>
    <w:rsid w:val="00AA1B91"/>
    <w:rsid w:val="00AA1C2F"/>
    <w:rsid w:val="00AA2294"/>
    <w:rsid w:val="00AA2829"/>
    <w:rsid w:val="00AA2EBA"/>
    <w:rsid w:val="00AA318F"/>
    <w:rsid w:val="00AA3893"/>
    <w:rsid w:val="00AA4F17"/>
    <w:rsid w:val="00AA5386"/>
    <w:rsid w:val="00AA59C3"/>
    <w:rsid w:val="00AA6C0C"/>
    <w:rsid w:val="00AB0263"/>
    <w:rsid w:val="00AB0E75"/>
    <w:rsid w:val="00AB1071"/>
    <w:rsid w:val="00AB12AA"/>
    <w:rsid w:val="00AB2865"/>
    <w:rsid w:val="00AB307F"/>
    <w:rsid w:val="00AB30C6"/>
    <w:rsid w:val="00AB32B6"/>
    <w:rsid w:val="00AB332A"/>
    <w:rsid w:val="00AB38F1"/>
    <w:rsid w:val="00AB3B20"/>
    <w:rsid w:val="00AB3ECD"/>
    <w:rsid w:val="00AB4674"/>
    <w:rsid w:val="00AB50F3"/>
    <w:rsid w:val="00AB5150"/>
    <w:rsid w:val="00AB5553"/>
    <w:rsid w:val="00AB5FE4"/>
    <w:rsid w:val="00AB64BE"/>
    <w:rsid w:val="00AB664E"/>
    <w:rsid w:val="00AB7F79"/>
    <w:rsid w:val="00AC044E"/>
    <w:rsid w:val="00AC0F8E"/>
    <w:rsid w:val="00AC1519"/>
    <w:rsid w:val="00AC1E6D"/>
    <w:rsid w:val="00AC2180"/>
    <w:rsid w:val="00AC2579"/>
    <w:rsid w:val="00AC332C"/>
    <w:rsid w:val="00AC3E1D"/>
    <w:rsid w:val="00AC45F6"/>
    <w:rsid w:val="00AC46A7"/>
    <w:rsid w:val="00AC5052"/>
    <w:rsid w:val="00AC509F"/>
    <w:rsid w:val="00AC673D"/>
    <w:rsid w:val="00AC6A3E"/>
    <w:rsid w:val="00AC7645"/>
    <w:rsid w:val="00AC7C9A"/>
    <w:rsid w:val="00AC7D74"/>
    <w:rsid w:val="00AD0B0E"/>
    <w:rsid w:val="00AD0F55"/>
    <w:rsid w:val="00AD17DF"/>
    <w:rsid w:val="00AD1DF5"/>
    <w:rsid w:val="00AD1E24"/>
    <w:rsid w:val="00AD1E35"/>
    <w:rsid w:val="00AD2027"/>
    <w:rsid w:val="00AD24D2"/>
    <w:rsid w:val="00AD27B5"/>
    <w:rsid w:val="00AD28F2"/>
    <w:rsid w:val="00AD2E43"/>
    <w:rsid w:val="00AD43FB"/>
    <w:rsid w:val="00AD4F37"/>
    <w:rsid w:val="00AD571F"/>
    <w:rsid w:val="00AD5AEE"/>
    <w:rsid w:val="00AD5E00"/>
    <w:rsid w:val="00AD6416"/>
    <w:rsid w:val="00AD66BC"/>
    <w:rsid w:val="00AD6CCD"/>
    <w:rsid w:val="00AD799D"/>
    <w:rsid w:val="00AE02C7"/>
    <w:rsid w:val="00AE083F"/>
    <w:rsid w:val="00AE0F8A"/>
    <w:rsid w:val="00AE241B"/>
    <w:rsid w:val="00AE2ABE"/>
    <w:rsid w:val="00AE31D6"/>
    <w:rsid w:val="00AE4096"/>
    <w:rsid w:val="00AE4122"/>
    <w:rsid w:val="00AE4AD0"/>
    <w:rsid w:val="00AE5F95"/>
    <w:rsid w:val="00AE67D6"/>
    <w:rsid w:val="00AE797B"/>
    <w:rsid w:val="00AE7CC2"/>
    <w:rsid w:val="00AE7EA1"/>
    <w:rsid w:val="00AF07F8"/>
    <w:rsid w:val="00AF13BB"/>
    <w:rsid w:val="00AF14EB"/>
    <w:rsid w:val="00AF1F1B"/>
    <w:rsid w:val="00AF325D"/>
    <w:rsid w:val="00AF34DB"/>
    <w:rsid w:val="00AF442B"/>
    <w:rsid w:val="00AF44C7"/>
    <w:rsid w:val="00AF4B97"/>
    <w:rsid w:val="00AF641E"/>
    <w:rsid w:val="00AF6562"/>
    <w:rsid w:val="00B005A3"/>
    <w:rsid w:val="00B00C56"/>
    <w:rsid w:val="00B00EB8"/>
    <w:rsid w:val="00B017D0"/>
    <w:rsid w:val="00B01DB7"/>
    <w:rsid w:val="00B03AD4"/>
    <w:rsid w:val="00B0485E"/>
    <w:rsid w:val="00B05949"/>
    <w:rsid w:val="00B0596D"/>
    <w:rsid w:val="00B05F1B"/>
    <w:rsid w:val="00B070CD"/>
    <w:rsid w:val="00B07131"/>
    <w:rsid w:val="00B072AE"/>
    <w:rsid w:val="00B07FC8"/>
    <w:rsid w:val="00B102E1"/>
    <w:rsid w:val="00B11793"/>
    <w:rsid w:val="00B11994"/>
    <w:rsid w:val="00B11BA0"/>
    <w:rsid w:val="00B1255A"/>
    <w:rsid w:val="00B12618"/>
    <w:rsid w:val="00B1272F"/>
    <w:rsid w:val="00B12B34"/>
    <w:rsid w:val="00B13F30"/>
    <w:rsid w:val="00B14A09"/>
    <w:rsid w:val="00B1578C"/>
    <w:rsid w:val="00B16301"/>
    <w:rsid w:val="00B169A9"/>
    <w:rsid w:val="00B1711F"/>
    <w:rsid w:val="00B21F11"/>
    <w:rsid w:val="00B22127"/>
    <w:rsid w:val="00B22460"/>
    <w:rsid w:val="00B22740"/>
    <w:rsid w:val="00B22BE3"/>
    <w:rsid w:val="00B2322C"/>
    <w:rsid w:val="00B23994"/>
    <w:rsid w:val="00B23AE1"/>
    <w:rsid w:val="00B23CE1"/>
    <w:rsid w:val="00B24442"/>
    <w:rsid w:val="00B24847"/>
    <w:rsid w:val="00B30433"/>
    <w:rsid w:val="00B308C7"/>
    <w:rsid w:val="00B31080"/>
    <w:rsid w:val="00B31235"/>
    <w:rsid w:val="00B31C67"/>
    <w:rsid w:val="00B3358A"/>
    <w:rsid w:val="00B337E0"/>
    <w:rsid w:val="00B33D9D"/>
    <w:rsid w:val="00B34BEB"/>
    <w:rsid w:val="00B34DA9"/>
    <w:rsid w:val="00B35854"/>
    <w:rsid w:val="00B362FB"/>
    <w:rsid w:val="00B37525"/>
    <w:rsid w:val="00B37929"/>
    <w:rsid w:val="00B37F17"/>
    <w:rsid w:val="00B40C08"/>
    <w:rsid w:val="00B40CD8"/>
    <w:rsid w:val="00B411A6"/>
    <w:rsid w:val="00B41266"/>
    <w:rsid w:val="00B4222F"/>
    <w:rsid w:val="00B4231E"/>
    <w:rsid w:val="00B438BB"/>
    <w:rsid w:val="00B43F22"/>
    <w:rsid w:val="00B449FB"/>
    <w:rsid w:val="00B45F88"/>
    <w:rsid w:val="00B4674C"/>
    <w:rsid w:val="00B46EBB"/>
    <w:rsid w:val="00B47699"/>
    <w:rsid w:val="00B47911"/>
    <w:rsid w:val="00B502F9"/>
    <w:rsid w:val="00B50AEE"/>
    <w:rsid w:val="00B50ECA"/>
    <w:rsid w:val="00B51371"/>
    <w:rsid w:val="00B51400"/>
    <w:rsid w:val="00B515C4"/>
    <w:rsid w:val="00B51AB9"/>
    <w:rsid w:val="00B54123"/>
    <w:rsid w:val="00B54D68"/>
    <w:rsid w:val="00B5526C"/>
    <w:rsid w:val="00B56CD4"/>
    <w:rsid w:val="00B56D68"/>
    <w:rsid w:val="00B57E04"/>
    <w:rsid w:val="00B60B41"/>
    <w:rsid w:val="00B610F7"/>
    <w:rsid w:val="00B61265"/>
    <w:rsid w:val="00B61B2A"/>
    <w:rsid w:val="00B61DDD"/>
    <w:rsid w:val="00B62202"/>
    <w:rsid w:val="00B62CBA"/>
    <w:rsid w:val="00B6463D"/>
    <w:rsid w:val="00B6507C"/>
    <w:rsid w:val="00B65230"/>
    <w:rsid w:val="00B652F5"/>
    <w:rsid w:val="00B65714"/>
    <w:rsid w:val="00B65E01"/>
    <w:rsid w:val="00B66A01"/>
    <w:rsid w:val="00B67914"/>
    <w:rsid w:val="00B70861"/>
    <w:rsid w:val="00B709D7"/>
    <w:rsid w:val="00B70B26"/>
    <w:rsid w:val="00B71124"/>
    <w:rsid w:val="00B72115"/>
    <w:rsid w:val="00B73A1E"/>
    <w:rsid w:val="00B745E9"/>
    <w:rsid w:val="00B751F7"/>
    <w:rsid w:val="00B75C28"/>
    <w:rsid w:val="00B75DAB"/>
    <w:rsid w:val="00B770CC"/>
    <w:rsid w:val="00B8003B"/>
    <w:rsid w:val="00B8015A"/>
    <w:rsid w:val="00B80402"/>
    <w:rsid w:val="00B80A8C"/>
    <w:rsid w:val="00B81542"/>
    <w:rsid w:val="00B81561"/>
    <w:rsid w:val="00B825EE"/>
    <w:rsid w:val="00B82AD3"/>
    <w:rsid w:val="00B832AF"/>
    <w:rsid w:val="00B849FA"/>
    <w:rsid w:val="00B84BF6"/>
    <w:rsid w:val="00B84D15"/>
    <w:rsid w:val="00B85B22"/>
    <w:rsid w:val="00B86029"/>
    <w:rsid w:val="00B86869"/>
    <w:rsid w:val="00B90460"/>
    <w:rsid w:val="00B9140E"/>
    <w:rsid w:val="00B9178D"/>
    <w:rsid w:val="00B91E0A"/>
    <w:rsid w:val="00B924D1"/>
    <w:rsid w:val="00B93271"/>
    <w:rsid w:val="00B944CB"/>
    <w:rsid w:val="00B95041"/>
    <w:rsid w:val="00B955D0"/>
    <w:rsid w:val="00B9666F"/>
    <w:rsid w:val="00B97142"/>
    <w:rsid w:val="00B9799B"/>
    <w:rsid w:val="00BA0E75"/>
    <w:rsid w:val="00BA18FC"/>
    <w:rsid w:val="00BA203E"/>
    <w:rsid w:val="00BA28AB"/>
    <w:rsid w:val="00BA2AD9"/>
    <w:rsid w:val="00BA2BD6"/>
    <w:rsid w:val="00BA2C9D"/>
    <w:rsid w:val="00BA3DAD"/>
    <w:rsid w:val="00BA52E0"/>
    <w:rsid w:val="00BA5A45"/>
    <w:rsid w:val="00BA6277"/>
    <w:rsid w:val="00BA64A7"/>
    <w:rsid w:val="00BA6E78"/>
    <w:rsid w:val="00BA7398"/>
    <w:rsid w:val="00BA7431"/>
    <w:rsid w:val="00BB099D"/>
    <w:rsid w:val="00BB0DEE"/>
    <w:rsid w:val="00BB10ED"/>
    <w:rsid w:val="00BB2221"/>
    <w:rsid w:val="00BB25AB"/>
    <w:rsid w:val="00BB36FA"/>
    <w:rsid w:val="00BB3B4F"/>
    <w:rsid w:val="00BB43D3"/>
    <w:rsid w:val="00BB5075"/>
    <w:rsid w:val="00BB51B1"/>
    <w:rsid w:val="00BB599F"/>
    <w:rsid w:val="00BB5F44"/>
    <w:rsid w:val="00BB5F4C"/>
    <w:rsid w:val="00BB613A"/>
    <w:rsid w:val="00BB6EA9"/>
    <w:rsid w:val="00BB71D7"/>
    <w:rsid w:val="00BB7728"/>
    <w:rsid w:val="00BB7BE9"/>
    <w:rsid w:val="00BC04D5"/>
    <w:rsid w:val="00BC05DC"/>
    <w:rsid w:val="00BC0D2A"/>
    <w:rsid w:val="00BC1576"/>
    <w:rsid w:val="00BC1F9D"/>
    <w:rsid w:val="00BC2051"/>
    <w:rsid w:val="00BC2CD3"/>
    <w:rsid w:val="00BC4961"/>
    <w:rsid w:val="00BC5420"/>
    <w:rsid w:val="00BC5D5A"/>
    <w:rsid w:val="00BC5EB4"/>
    <w:rsid w:val="00BC6542"/>
    <w:rsid w:val="00BC6AFB"/>
    <w:rsid w:val="00BC7905"/>
    <w:rsid w:val="00BD00E7"/>
    <w:rsid w:val="00BD0438"/>
    <w:rsid w:val="00BD0B99"/>
    <w:rsid w:val="00BD1E40"/>
    <w:rsid w:val="00BD20D1"/>
    <w:rsid w:val="00BD2785"/>
    <w:rsid w:val="00BD3CBD"/>
    <w:rsid w:val="00BD3F14"/>
    <w:rsid w:val="00BD4DA5"/>
    <w:rsid w:val="00BD5855"/>
    <w:rsid w:val="00BD6B00"/>
    <w:rsid w:val="00BD7B50"/>
    <w:rsid w:val="00BE1199"/>
    <w:rsid w:val="00BE13AA"/>
    <w:rsid w:val="00BE23C5"/>
    <w:rsid w:val="00BE29D3"/>
    <w:rsid w:val="00BE2BC3"/>
    <w:rsid w:val="00BE2E17"/>
    <w:rsid w:val="00BE356D"/>
    <w:rsid w:val="00BE4BCA"/>
    <w:rsid w:val="00BE4C1E"/>
    <w:rsid w:val="00BE553F"/>
    <w:rsid w:val="00BE5930"/>
    <w:rsid w:val="00BE60AB"/>
    <w:rsid w:val="00BE65B1"/>
    <w:rsid w:val="00BE6FE4"/>
    <w:rsid w:val="00BE786B"/>
    <w:rsid w:val="00BE7970"/>
    <w:rsid w:val="00BE7B1B"/>
    <w:rsid w:val="00BE7EF5"/>
    <w:rsid w:val="00BF004B"/>
    <w:rsid w:val="00BF0965"/>
    <w:rsid w:val="00BF0B77"/>
    <w:rsid w:val="00BF1511"/>
    <w:rsid w:val="00BF28B8"/>
    <w:rsid w:val="00BF296A"/>
    <w:rsid w:val="00BF2A24"/>
    <w:rsid w:val="00BF414F"/>
    <w:rsid w:val="00BF44B4"/>
    <w:rsid w:val="00BF4FE5"/>
    <w:rsid w:val="00BF5368"/>
    <w:rsid w:val="00BF5457"/>
    <w:rsid w:val="00BF562F"/>
    <w:rsid w:val="00BF5676"/>
    <w:rsid w:val="00BF695D"/>
    <w:rsid w:val="00BF7604"/>
    <w:rsid w:val="00C0094C"/>
    <w:rsid w:val="00C017A8"/>
    <w:rsid w:val="00C02406"/>
    <w:rsid w:val="00C02B83"/>
    <w:rsid w:val="00C04025"/>
    <w:rsid w:val="00C04253"/>
    <w:rsid w:val="00C046C0"/>
    <w:rsid w:val="00C04C93"/>
    <w:rsid w:val="00C0595F"/>
    <w:rsid w:val="00C05CD4"/>
    <w:rsid w:val="00C06B55"/>
    <w:rsid w:val="00C0755B"/>
    <w:rsid w:val="00C07D2C"/>
    <w:rsid w:val="00C10500"/>
    <w:rsid w:val="00C10691"/>
    <w:rsid w:val="00C10B58"/>
    <w:rsid w:val="00C111F3"/>
    <w:rsid w:val="00C11E05"/>
    <w:rsid w:val="00C12483"/>
    <w:rsid w:val="00C12F83"/>
    <w:rsid w:val="00C1317E"/>
    <w:rsid w:val="00C1383F"/>
    <w:rsid w:val="00C13AAB"/>
    <w:rsid w:val="00C144FA"/>
    <w:rsid w:val="00C149EB"/>
    <w:rsid w:val="00C154D8"/>
    <w:rsid w:val="00C15692"/>
    <w:rsid w:val="00C1590E"/>
    <w:rsid w:val="00C15D58"/>
    <w:rsid w:val="00C15ED0"/>
    <w:rsid w:val="00C16451"/>
    <w:rsid w:val="00C1668E"/>
    <w:rsid w:val="00C16A48"/>
    <w:rsid w:val="00C17CC9"/>
    <w:rsid w:val="00C20270"/>
    <w:rsid w:val="00C20308"/>
    <w:rsid w:val="00C2289A"/>
    <w:rsid w:val="00C23944"/>
    <w:rsid w:val="00C239B1"/>
    <w:rsid w:val="00C24F40"/>
    <w:rsid w:val="00C265DE"/>
    <w:rsid w:val="00C26ACA"/>
    <w:rsid w:val="00C26D6A"/>
    <w:rsid w:val="00C30844"/>
    <w:rsid w:val="00C31226"/>
    <w:rsid w:val="00C3264C"/>
    <w:rsid w:val="00C32974"/>
    <w:rsid w:val="00C329B2"/>
    <w:rsid w:val="00C32E10"/>
    <w:rsid w:val="00C3452F"/>
    <w:rsid w:val="00C346D3"/>
    <w:rsid w:val="00C34DBA"/>
    <w:rsid w:val="00C350F2"/>
    <w:rsid w:val="00C35FFD"/>
    <w:rsid w:val="00C37036"/>
    <w:rsid w:val="00C37195"/>
    <w:rsid w:val="00C37573"/>
    <w:rsid w:val="00C37995"/>
    <w:rsid w:val="00C413B9"/>
    <w:rsid w:val="00C42C61"/>
    <w:rsid w:val="00C43F94"/>
    <w:rsid w:val="00C43FC9"/>
    <w:rsid w:val="00C4405D"/>
    <w:rsid w:val="00C44162"/>
    <w:rsid w:val="00C44BB3"/>
    <w:rsid w:val="00C463AB"/>
    <w:rsid w:val="00C465F7"/>
    <w:rsid w:val="00C469BF"/>
    <w:rsid w:val="00C47A65"/>
    <w:rsid w:val="00C51B2B"/>
    <w:rsid w:val="00C5266A"/>
    <w:rsid w:val="00C527F3"/>
    <w:rsid w:val="00C52D9B"/>
    <w:rsid w:val="00C531DB"/>
    <w:rsid w:val="00C53ADE"/>
    <w:rsid w:val="00C53D60"/>
    <w:rsid w:val="00C54A4F"/>
    <w:rsid w:val="00C550F4"/>
    <w:rsid w:val="00C55499"/>
    <w:rsid w:val="00C55E79"/>
    <w:rsid w:val="00C560B0"/>
    <w:rsid w:val="00C5652B"/>
    <w:rsid w:val="00C5673B"/>
    <w:rsid w:val="00C56AB7"/>
    <w:rsid w:val="00C57141"/>
    <w:rsid w:val="00C577E7"/>
    <w:rsid w:val="00C57C52"/>
    <w:rsid w:val="00C57CC5"/>
    <w:rsid w:val="00C60030"/>
    <w:rsid w:val="00C60BA5"/>
    <w:rsid w:val="00C60BE3"/>
    <w:rsid w:val="00C60F8B"/>
    <w:rsid w:val="00C6178E"/>
    <w:rsid w:val="00C619AE"/>
    <w:rsid w:val="00C61A0A"/>
    <w:rsid w:val="00C61C72"/>
    <w:rsid w:val="00C61D8F"/>
    <w:rsid w:val="00C62494"/>
    <w:rsid w:val="00C634E3"/>
    <w:rsid w:val="00C63B1B"/>
    <w:rsid w:val="00C63C18"/>
    <w:rsid w:val="00C63F96"/>
    <w:rsid w:val="00C640C0"/>
    <w:rsid w:val="00C6415B"/>
    <w:rsid w:val="00C64CF0"/>
    <w:rsid w:val="00C657D1"/>
    <w:rsid w:val="00C657FB"/>
    <w:rsid w:val="00C663AE"/>
    <w:rsid w:val="00C66852"/>
    <w:rsid w:val="00C66BC9"/>
    <w:rsid w:val="00C6705D"/>
    <w:rsid w:val="00C67325"/>
    <w:rsid w:val="00C67934"/>
    <w:rsid w:val="00C67E30"/>
    <w:rsid w:val="00C67FC0"/>
    <w:rsid w:val="00C701B0"/>
    <w:rsid w:val="00C710AA"/>
    <w:rsid w:val="00C7155B"/>
    <w:rsid w:val="00C71B03"/>
    <w:rsid w:val="00C71CAC"/>
    <w:rsid w:val="00C71E79"/>
    <w:rsid w:val="00C73220"/>
    <w:rsid w:val="00C74FE9"/>
    <w:rsid w:val="00C7631A"/>
    <w:rsid w:val="00C764FC"/>
    <w:rsid w:val="00C76F45"/>
    <w:rsid w:val="00C77003"/>
    <w:rsid w:val="00C77258"/>
    <w:rsid w:val="00C77AE6"/>
    <w:rsid w:val="00C77BD3"/>
    <w:rsid w:val="00C77FD3"/>
    <w:rsid w:val="00C80182"/>
    <w:rsid w:val="00C805A2"/>
    <w:rsid w:val="00C810BE"/>
    <w:rsid w:val="00C81574"/>
    <w:rsid w:val="00C82174"/>
    <w:rsid w:val="00C823BE"/>
    <w:rsid w:val="00C82618"/>
    <w:rsid w:val="00C82B08"/>
    <w:rsid w:val="00C83B1B"/>
    <w:rsid w:val="00C83D86"/>
    <w:rsid w:val="00C83F93"/>
    <w:rsid w:val="00C85DF8"/>
    <w:rsid w:val="00C86AA9"/>
    <w:rsid w:val="00C86EF6"/>
    <w:rsid w:val="00C87EB1"/>
    <w:rsid w:val="00C87F88"/>
    <w:rsid w:val="00C90BCF"/>
    <w:rsid w:val="00C9117B"/>
    <w:rsid w:val="00C9124B"/>
    <w:rsid w:val="00C91C38"/>
    <w:rsid w:val="00C933E4"/>
    <w:rsid w:val="00C93A25"/>
    <w:rsid w:val="00C94386"/>
    <w:rsid w:val="00C943C2"/>
    <w:rsid w:val="00C9506B"/>
    <w:rsid w:val="00C9534F"/>
    <w:rsid w:val="00C95391"/>
    <w:rsid w:val="00C959DB"/>
    <w:rsid w:val="00C95E89"/>
    <w:rsid w:val="00C968FA"/>
    <w:rsid w:val="00C97729"/>
    <w:rsid w:val="00CA0734"/>
    <w:rsid w:val="00CA12D7"/>
    <w:rsid w:val="00CA15AF"/>
    <w:rsid w:val="00CA1F35"/>
    <w:rsid w:val="00CA32C2"/>
    <w:rsid w:val="00CA3939"/>
    <w:rsid w:val="00CA5281"/>
    <w:rsid w:val="00CA5641"/>
    <w:rsid w:val="00CA587C"/>
    <w:rsid w:val="00CA5BF3"/>
    <w:rsid w:val="00CA5C04"/>
    <w:rsid w:val="00CA5E5F"/>
    <w:rsid w:val="00CA6915"/>
    <w:rsid w:val="00CA6B43"/>
    <w:rsid w:val="00CB22F0"/>
    <w:rsid w:val="00CB2C5D"/>
    <w:rsid w:val="00CB2DF4"/>
    <w:rsid w:val="00CB318E"/>
    <w:rsid w:val="00CB374F"/>
    <w:rsid w:val="00CB3DE3"/>
    <w:rsid w:val="00CB3F2F"/>
    <w:rsid w:val="00CB58BC"/>
    <w:rsid w:val="00CB6383"/>
    <w:rsid w:val="00CB63DB"/>
    <w:rsid w:val="00CB66D8"/>
    <w:rsid w:val="00CB6F4E"/>
    <w:rsid w:val="00CB782C"/>
    <w:rsid w:val="00CB7D21"/>
    <w:rsid w:val="00CB7E48"/>
    <w:rsid w:val="00CC0322"/>
    <w:rsid w:val="00CC1D91"/>
    <w:rsid w:val="00CC20B8"/>
    <w:rsid w:val="00CC2193"/>
    <w:rsid w:val="00CC26C4"/>
    <w:rsid w:val="00CC29D5"/>
    <w:rsid w:val="00CC2B78"/>
    <w:rsid w:val="00CC2C2F"/>
    <w:rsid w:val="00CC351D"/>
    <w:rsid w:val="00CC38EE"/>
    <w:rsid w:val="00CC53D8"/>
    <w:rsid w:val="00CC57BC"/>
    <w:rsid w:val="00CC63E6"/>
    <w:rsid w:val="00CC6BA6"/>
    <w:rsid w:val="00CC6C56"/>
    <w:rsid w:val="00CC74A9"/>
    <w:rsid w:val="00CD18DB"/>
    <w:rsid w:val="00CD251E"/>
    <w:rsid w:val="00CD2681"/>
    <w:rsid w:val="00CD33F6"/>
    <w:rsid w:val="00CD379C"/>
    <w:rsid w:val="00CD4D82"/>
    <w:rsid w:val="00CD5010"/>
    <w:rsid w:val="00CD5DA4"/>
    <w:rsid w:val="00CD5F4E"/>
    <w:rsid w:val="00CD6B8E"/>
    <w:rsid w:val="00CD6CA4"/>
    <w:rsid w:val="00CD6FFC"/>
    <w:rsid w:val="00CD71AC"/>
    <w:rsid w:val="00CD7F44"/>
    <w:rsid w:val="00CE0808"/>
    <w:rsid w:val="00CE097B"/>
    <w:rsid w:val="00CE0A30"/>
    <w:rsid w:val="00CE0C33"/>
    <w:rsid w:val="00CE0EBC"/>
    <w:rsid w:val="00CE16FD"/>
    <w:rsid w:val="00CE2432"/>
    <w:rsid w:val="00CE2CA5"/>
    <w:rsid w:val="00CE2CBF"/>
    <w:rsid w:val="00CE2F16"/>
    <w:rsid w:val="00CE411A"/>
    <w:rsid w:val="00CE4FD5"/>
    <w:rsid w:val="00CE5F10"/>
    <w:rsid w:val="00CE67FC"/>
    <w:rsid w:val="00CE75DD"/>
    <w:rsid w:val="00CE7B5F"/>
    <w:rsid w:val="00CF1082"/>
    <w:rsid w:val="00CF1AFD"/>
    <w:rsid w:val="00CF2503"/>
    <w:rsid w:val="00CF28F5"/>
    <w:rsid w:val="00CF2B0E"/>
    <w:rsid w:val="00CF3A73"/>
    <w:rsid w:val="00CF4069"/>
    <w:rsid w:val="00CF4D68"/>
    <w:rsid w:val="00CF625E"/>
    <w:rsid w:val="00CF6915"/>
    <w:rsid w:val="00CF7068"/>
    <w:rsid w:val="00CF7DF8"/>
    <w:rsid w:val="00D00570"/>
    <w:rsid w:val="00D00FDC"/>
    <w:rsid w:val="00D014A5"/>
    <w:rsid w:val="00D01533"/>
    <w:rsid w:val="00D0169A"/>
    <w:rsid w:val="00D02016"/>
    <w:rsid w:val="00D02757"/>
    <w:rsid w:val="00D02F46"/>
    <w:rsid w:val="00D0302A"/>
    <w:rsid w:val="00D038F7"/>
    <w:rsid w:val="00D03D22"/>
    <w:rsid w:val="00D03F35"/>
    <w:rsid w:val="00D04930"/>
    <w:rsid w:val="00D04969"/>
    <w:rsid w:val="00D049BA"/>
    <w:rsid w:val="00D0601B"/>
    <w:rsid w:val="00D072B0"/>
    <w:rsid w:val="00D075E8"/>
    <w:rsid w:val="00D075F4"/>
    <w:rsid w:val="00D07888"/>
    <w:rsid w:val="00D105DE"/>
    <w:rsid w:val="00D10D3D"/>
    <w:rsid w:val="00D11988"/>
    <w:rsid w:val="00D12C6A"/>
    <w:rsid w:val="00D13433"/>
    <w:rsid w:val="00D1377E"/>
    <w:rsid w:val="00D13BC7"/>
    <w:rsid w:val="00D13F99"/>
    <w:rsid w:val="00D14444"/>
    <w:rsid w:val="00D14526"/>
    <w:rsid w:val="00D155C1"/>
    <w:rsid w:val="00D16D0B"/>
    <w:rsid w:val="00D17693"/>
    <w:rsid w:val="00D17A9A"/>
    <w:rsid w:val="00D20273"/>
    <w:rsid w:val="00D2091A"/>
    <w:rsid w:val="00D21440"/>
    <w:rsid w:val="00D21490"/>
    <w:rsid w:val="00D21934"/>
    <w:rsid w:val="00D21D42"/>
    <w:rsid w:val="00D21D8D"/>
    <w:rsid w:val="00D22037"/>
    <w:rsid w:val="00D22150"/>
    <w:rsid w:val="00D22C6C"/>
    <w:rsid w:val="00D23497"/>
    <w:rsid w:val="00D236A4"/>
    <w:rsid w:val="00D23EE4"/>
    <w:rsid w:val="00D25C75"/>
    <w:rsid w:val="00D25F4C"/>
    <w:rsid w:val="00D260F3"/>
    <w:rsid w:val="00D26E22"/>
    <w:rsid w:val="00D27258"/>
    <w:rsid w:val="00D274FB"/>
    <w:rsid w:val="00D278DF"/>
    <w:rsid w:val="00D27F8C"/>
    <w:rsid w:val="00D3027D"/>
    <w:rsid w:val="00D30419"/>
    <w:rsid w:val="00D306F9"/>
    <w:rsid w:val="00D30830"/>
    <w:rsid w:val="00D30F5B"/>
    <w:rsid w:val="00D31624"/>
    <w:rsid w:val="00D31C65"/>
    <w:rsid w:val="00D31D17"/>
    <w:rsid w:val="00D33ECE"/>
    <w:rsid w:val="00D362FB"/>
    <w:rsid w:val="00D36852"/>
    <w:rsid w:val="00D37F95"/>
    <w:rsid w:val="00D40790"/>
    <w:rsid w:val="00D42536"/>
    <w:rsid w:val="00D4289B"/>
    <w:rsid w:val="00D444DC"/>
    <w:rsid w:val="00D44CEC"/>
    <w:rsid w:val="00D4618E"/>
    <w:rsid w:val="00D463A7"/>
    <w:rsid w:val="00D46B85"/>
    <w:rsid w:val="00D47321"/>
    <w:rsid w:val="00D47D60"/>
    <w:rsid w:val="00D51277"/>
    <w:rsid w:val="00D51B2A"/>
    <w:rsid w:val="00D523FC"/>
    <w:rsid w:val="00D52EC6"/>
    <w:rsid w:val="00D54A01"/>
    <w:rsid w:val="00D55BA1"/>
    <w:rsid w:val="00D56082"/>
    <w:rsid w:val="00D56277"/>
    <w:rsid w:val="00D568DB"/>
    <w:rsid w:val="00D57800"/>
    <w:rsid w:val="00D5789D"/>
    <w:rsid w:val="00D57D1C"/>
    <w:rsid w:val="00D57E7C"/>
    <w:rsid w:val="00D60CC2"/>
    <w:rsid w:val="00D619B4"/>
    <w:rsid w:val="00D62855"/>
    <w:rsid w:val="00D63852"/>
    <w:rsid w:val="00D63B87"/>
    <w:rsid w:val="00D640F5"/>
    <w:rsid w:val="00D643DC"/>
    <w:rsid w:val="00D646E0"/>
    <w:rsid w:val="00D647CC"/>
    <w:rsid w:val="00D65F28"/>
    <w:rsid w:val="00D67F1C"/>
    <w:rsid w:val="00D70CEA"/>
    <w:rsid w:val="00D7108B"/>
    <w:rsid w:val="00D71B52"/>
    <w:rsid w:val="00D72256"/>
    <w:rsid w:val="00D722AD"/>
    <w:rsid w:val="00D7288A"/>
    <w:rsid w:val="00D73081"/>
    <w:rsid w:val="00D74AE2"/>
    <w:rsid w:val="00D76900"/>
    <w:rsid w:val="00D8004E"/>
    <w:rsid w:val="00D81C37"/>
    <w:rsid w:val="00D82043"/>
    <w:rsid w:val="00D83CA5"/>
    <w:rsid w:val="00D83F48"/>
    <w:rsid w:val="00D8449F"/>
    <w:rsid w:val="00D84A36"/>
    <w:rsid w:val="00D86F44"/>
    <w:rsid w:val="00D87ADC"/>
    <w:rsid w:val="00D90511"/>
    <w:rsid w:val="00D905BB"/>
    <w:rsid w:val="00D90E3A"/>
    <w:rsid w:val="00D91004"/>
    <w:rsid w:val="00D922C6"/>
    <w:rsid w:val="00D92544"/>
    <w:rsid w:val="00D933D9"/>
    <w:rsid w:val="00D93EE6"/>
    <w:rsid w:val="00D93FC1"/>
    <w:rsid w:val="00D94EC2"/>
    <w:rsid w:val="00D95939"/>
    <w:rsid w:val="00D959C4"/>
    <w:rsid w:val="00D96362"/>
    <w:rsid w:val="00D96FF8"/>
    <w:rsid w:val="00D970BB"/>
    <w:rsid w:val="00D9786C"/>
    <w:rsid w:val="00DA0222"/>
    <w:rsid w:val="00DA2100"/>
    <w:rsid w:val="00DA41B0"/>
    <w:rsid w:val="00DA46C4"/>
    <w:rsid w:val="00DA53E2"/>
    <w:rsid w:val="00DA5501"/>
    <w:rsid w:val="00DA677A"/>
    <w:rsid w:val="00DA70B5"/>
    <w:rsid w:val="00DA7DF7"/>
    <w:rsid w:val="00DB07CB"/>
    <w:rsid w:val="00DB07F9"/>
    <w:rsid w:val="00DB0CE0"/>
    <w:rsid w:val="00DB16F5"/>
    <w:rsid w:val="00DB1A8D"/>
    <w:rsid w:val="00DB1C70"/>
    <w:rsid w:val="00DB1F58"/>
    <w:rsid w:val="00DB2B4E"/>
    <w:rsid w:val="00DB2FA0"/>
    <w:rsid w:val="00DB3224"/>
    <w:rsid w:val="00DB4775"/>
    <w:rsid w:val="00DB4DF1"/>
    <w:rsid w:val="00DB5523"/>
    <w:rsid w:val="00DB60E5"/>
    <w:rsid w:val="00DB618E"/>
    <w:rsid w:val="00DB6E85"/>
    <w:rsid w:val="00DC0066"/>
    <w:rsid w:val="00DC01D4"/>
    <w:rsid w:val="00DC0C6C"/>
    <w:rsid w:val="00DC1347"/>
    <w:rsid w:val="00DC13DF"/>
    <w:rsid w:val="00DC3B34"/>
    <w:rsid w:val="00DC3F45"/>
    <w:rsid w:val="00DC44EA"/>
    <w:rsid w:val="00DC4D0B"/>
    <w:rsid w:val="00DC5D5C"/>
    <w:rsid w:val="00DC5DC6"/>
    <w:rsid w:val="00DC6B38"/>
    <w:rsid w:val="00DC714A"/>
    <w:rsid w:val="00DD0B9C"/>
    <w:rsid w:val="00DD173E"/>
    <w:rsid w:val="00DD1AB0"/>
    <w:rsid w:val="00DD2FEE"/>
    <w:rsid w:val="00DD3182"/>
    <w:rsid w:val="00DD4C7A"/>
    <w:rsid w:val="00DD531E"/>
    <w:rsid w:val="00DD540D"/>
    <w:rsid w:val="00DD574A"/>
    <w:rsid w:val="00DD6628"/>
    <w:rsid w:val="00DD6EFF"/>
    <w:rsid w:val="00DD77DB"/>
    <w:rsid w:val="00DD7D86"/>
    <w:rsid w:val="00DE033C"/>
    <w:rsid w:val="00DE0AC7"/>
    <w:rsid w:val="00DE1AEA"/>
    <w:rsid w:val="00DE26A8"/>
    <w:rsid w:val="00DE2771"/>
    <w:rsid w:val="00DE2E23"/>
    <w:rsid w:val="00DE32B8"/>
    <w:rsid w:val="00DE4C82"/>
    <w:rsid w:val="00DE6720"/>
    <w:rsid w:val="00DF0457"/>
    <w:rsid w:val="00DF04B3"/>
    <w:rsid w:val="00DF2C9D"/>
    <w:rsid w:val="00DF2FB1"/>
    <w:rsid w:val="00DF377F"/>
    <w:rsid w:val="00DF393E"/>
    <w:rsid w:val="00DF4118"/>
    <w:rsid w:val="00DF4174"/>
    <w:rsid w:val="00DF4DC1"/>
    <w:rsid w:val="00DF5065"/>
    <w:rsid w:val="00DF52FB"/>
    <w:rsid w:val="00DF57B9"/>
    <w:rsid w:val="00DF57EB"/>
    <w:rsid w:val="00DF5D7B"/>
    <w:rsid w:val="00DF76E2"/>
    <w:rsid w:val="00DF79FC"/>
    <w:rsid w:val="00E01EAF"/>
    <w:rsid w:val="00E024B0"/>
    <w:rsid w:val="00E02D8B"/>
    <w:rsid w:val="00E038D2"/>
    <w:rsid w:val="00E04F42"/>
    <w:rsid w:val="00E05C3A"/>
    <w:rsid w:val="00E0610F"/>
    <w:rsid w:val="00E06533"/>
    <w:rsid w:val="00E06CED"/>
    <w:rsid w:val="00E07088"/>
    <w:rsid w:val="00E07315"/>
    <w:rsid w:val="00E07B8F"/>
    <w:rsid w:val="00E1073B"/>
    <w:rsid w:val="00E11184"/>
    <w:rsid w:val="00E115D1"/>
    <w:rsid w:val="00E12D43"/>
    <w:rsid w:val="00E14002"/>
    <w:rsid w:val="00E14479"/>
    <w:rsid w:val="00E145E3"/>
    <w:rsid w:val="00E145FC"/>
    <w:rsid w:val="00E1502B"/>
    <w:rsid w:val="00E1582D"/>
    <w:rsid w:val="00E15F11"/>
    <w:rsid w:val="00E161CD"/>
    <w:rsid w:val="00E17EAD"/>
    <w:rsid w:val="00E17EB1"/>
    <w:rsid w:val="00E17FA1"/>
    <w:rsid w:val="00E22117"/>
    <w:rsid w:val="00E222C6"/>
    <w:rsid w:val="00E22474"/>
    <w:rsid w:val="00E22CAF"/>
    <w:rsid w:val="00E235BC"/>
    <w:rsid w:val="00E23BC7"/>
    <w:rsid w:val="00E23F0C"/>
    <w:rsid w:val="00E23F85"/>
    <w:rsid w:val="00E242B7"/>
    <w:rsid w:val="00E24B40"/>
    <w:rsid w:val="00E25998"/>
    <w:rsid w:val="00E26566"/>
    <w:rsid w:val="00E265F3"/>
    <w:rsid w:val="00E26E5C"/>
    <w:rsid w:val="00E275A0"/>
    <w:rsid w:val="00E301ED"/>
    <w:rsid w:val="00E313E9"/>
    <w:rsid w:val="00E32FAA"/>
    <w:rsid w:val="00E333DF"/>
    <w:rsid w:val="00E3382F"/>
    <w:rsid w:val="00E33BFD"/>
    <w:rsid w:val="00E33FD3"/>
    <w:rsid w:val="00E37297"/>
    <w:rsid w:val="00E37C05"/>
    <w:rsid w:val="00E40C98"/>
    <w:rsid w:val="00E41E14"/>
    <w:rsid w:val="00E41F1C"/>
    <w:rsid w:val="00E42715"/>
    <w:rsid w:val="00E42ED9"/>
    <w:rsid w:val="00E435BD"/>
    <w:rsid w:val="00E43FC5"/>
    <w:rsid w:val="00E44266"/>
    <w:rsid w:val="00E45006"/>
    <w:rsid w:val="00E45114"/>
    <w:rsid w:val="00E46309"/>
    <w:rsid w:val="00E4656A"/>
    <w:rsid w:val="00E4664C"/>
    <w:rsid w:val="00E46710"/>
    <w:rsid w:val="00E4675E"/>
    <w:rsid w:val="00E46EBD"/>
    <w:rsid w:val="00E47DBF"/>
    <w:rsid w:val="00E51E09"/>
    <w:rsid w:val="00E529B7"/>
    <w:rsid w:val="00E52A16"/>
    <w:rsid w:val="00E533E8"/>
    <w:rsid w:val="00E5369B"/>
    <w:rsid w:val="00E53F3B"/>
    <w:rsid w:val="00E5432E"/>
    <w:rsid w:val="00E551A2"/>
    <w:rsid w:val="00E56372"/>
    <w:rsid w:val="00E570EE"/>
    <w:rsid w:val="00E575CB"/>
    <w:rsid w:val="00E600A1"/>
    <w:rsid w:val="00E611C2"/>
    <w:rsid w:val="00E61BBE"/>
    <w:rsid w:val="00E63988"/>
    <w:rsid w:val="00E63D43"/>
    <w:rsid w:val="00E66B8A"/>
    <w:rsid w:val="00E66E24"/>
    <w:rsid w:val="00E670B9"/>
    <w:rsid w:val="00E7012E"/>
    <w:rsid w:val="00E70724"/>
    <w:rsid w:val="00E70AB0"/>
    <w:rsid w:val="00E713CB"/>
    <w:rsid w:val="00E736BB"/>
    <w:rsid w:val="00E745C6"/>
    <w:rsid w:val="00E75E92"/>
    <w:rsid w:val="00E7754E"/>
    <w:rsid w:val="00E802DB"/>
    <w:rsid w:val="00E813E8"/>
    <w:rsid w:val="00E818CB"/>
    <w:rsid w:val="00E8197E"/>
    <w:rsid w:val="00E8235D"/>
    <w:rsid w:val="00E8242F"/>
    <w:rsid w:val="00E82A9D"/>
    <w:rsid w:val="00E8306F"/>
    <w:rsid w:val="00E83C03"/>
    <w:rsid w:val="00E83C8F"/>
    <w:rsid w:val="00E83D58"/>
    <w:rsid w:val="00E83FCF"/>
    <w:rsid w:val="00E84BBE"/>
    <w:rsid w:val="00E84C73"/>
    <w:rsid w:val="00E8502E"/>
    <w:rsid w:val="00E85E2B"/>
    <w:rsid w:val="00E86D9E"/>
    <w:rsid w:val="00E8723F"/>
    <w:rsid w:val="00E8748B"/>
    <w:rsid w:val="00E87E8B"/>
    <w:rsid w:val="00E90239"/>
    <w:rsid w:val="00E912DC"/>
    <w:rsid w:val="00E913DA"/>
    <w:rsid w:val="00E91BAF"/>
    <w:rsid w:val="00E92787"/>
    <w:rsid w:val="00E93CC7"/>
    <w:rsid w:val="00E93F11"/>
    <w:rsid w:val="00E94F9D"/>
    <w:rsid w:val="00E9504A"/>
    <w:rsid w:val="00E952F1"/>
    <w:rsid w:val="00E954F0"/>
    <w:rsid w:val="00E9554C"/>
    <w:rsid w:val="00E95AE0"/>
    <w:rsid w:val="00E95D41"/>
    <w:rsid w:val="00E96DC6"/>
    <w:rsid w:val="00E972DE"/>
    <w:rsid w:val="00E9769F"/>
    <w:rsid w:val="00E97F7A"/>
    <w:rsid w:val="00EA0259"/>
    <w:rsid w:val="00EA0400"/>
    <w:rsid w:val="00EA05E9"/>
    <w:rsid w:val="00EA0716"/>
    <w:rsid w:val="00EA1461"/>
    <w:rsid w:val="00EA18BD"/>
    <w:rsid w:val="00EA1BA2"/>
    <w:rsid w:val="00EA1FCE"/>
    <w:rsid w:val="00EA333B"/>
    <w:rsid w:val="00EA3C5D"/>
    <w:rsid w:val="00EA54F1"/>
    <w:rsid w:val="00EA6647"/>
    <w:rsid w:val="00EA6B70"/>
    <w:rsid w:val="00EA7D0A"/>
    <w:rsid w:val="00EB05B8"/>
    <w:rsid w:val="00EB1180"/>
    <w:rsid w:val="00EB168F"/>
    <w:rsid w:val="00EB348C"/>
    <w:rsid w:val="00EB391D"/>
    <w:rsid w:val="00EB611B"/>
    <w:rsid w:val="00EB62C0"/>
    <w:rsid w:val="00EB689A"/>
    <w:rsid w:val="00EB6B3D"/>
    <w:rsid w:val="00EC01C0"/>
    <w:rsid w:val="00EC0322"/>
    <w:rsid w:val="00EC0941"/>
    <w:rsid w:val="00EC19DA"/>
    <w:rsid w:val="00EC1C83"/>
    <w:rsid w:val="00EC2347"/>
    <w:rsid w:val="00EC2E0D"/>
    <w:rsid w:val="00EC324F"/>
    <w:rsid w:val="00EC33C1"/>
    <w:rsid w:val="00EC3448"/>
    <w:rsid w:val="00EC3B48"/>
    <w:rsid w:val="00EC420D"/>
    <w:rsid w:val="00EC4CF8"/>
    <w:rsid w:val="00EC4E79"/>
    <w:rsid w:val="00EC577A"/>
    <w:rsid w:val="00EC5CD5"/>
    <w:rsid w:val="00EC701A"/>
    <w:rsid w:val="00EC70F2"/>
    <w:rsid w:val="00EC77FD"/>
    <w:rsid w:val="00ED080C"/>
    <w:rsid w:val="00ED1026"/>
    <w:rsid w:val="00ED1B55"/>
    <w:rsid w:val="00ED1E95"/>
    <w:rsid w:val="00ED2C1B"/>
    <w:rsid w:val="00ED393C"/>
    <w:rsid w:val="00ED3FEE"/>
    <w:rsid w:val="00ED434A"/>
    <w:rsid w:val="00ED5A93"/>
    <w:rsid w:val="00ED661C"/>
    <w:rsid w:val="00ED6AF0"/>
    <w:rsid w:val="00ED728E"/>
    <w:rsid w:val="00EE1C9D"/>
    <w:rsid w:val="00EE1D3C"/>
    <w:rsid w:val="00EE2480"/>
    <w:rsid w:val="00EE5531"/>
    <w:rsid w:val="00EE55C4"/>
    <w:rsid w:val="00EE5DB9"/>
    <w:rsid w:val="00EE6358"/>
    <w:rsid w:val="00EE683F"/>
    <w:rsid w:val="00EE7320"/>
    <w:rsid w:val="00EE74A1"/>
    <w:rsid w:val="00EE756B"/>
    <w:rsid w:val="00EE7F3C"/>
    <w:rsid w:val="00EF072A"/>
    <w:rsid w:val="00EF09D6"/>
    <w:rsid w:val="00EF162D"/>
    <w:rsid w:val="00EF175F"/>
    <w:rsid w:val="00EF2027"/>
    <w:rsid w:val="00EF2427"/>
    <w:rsid w:val="00EF39DA"/>
    <w:rsid w:val="00EF3D53"/>
    <w:rsid w:val="00EF42BA"/>
    <w:rsid w:val="00EF4BFB"/>
    <w:rsid w:val="00EF6FD7"/>
    <w:rsid w:val="00EF712D"/>
    <w:rsid w:val="00EF7D97"/>
    <w:rsid w:val="00F00ABD"/>
    <w:rsid w:val="00F00B1D"/>
    <w:rsid w:val="00F00CF4"/>
    <w:rsid w:val="00F0185E"/>
    <w:rsid w:val="00F02580"/>
    <w:rsid w:val="00F028E8"/>
    <w:rsid w:val="00F02E19"/>
    <w:rsid w:val="00F02EC0"/>
    <w:rsid w:val="00F0347D"/>
    <w:rsid w:val="00F03953"/>
    <w:rsid w:val="00F03B10"/>
    <w:rsid w:val="00F063D3"/>
    <w:rsid w:val="00F068A3"/>
    <w:rsid w:val="00F07415"/>
    <w:rsid w:val="00F07532"/>
    <w:rsid w:val="00F078FE"/>
    <w:rsid w:val="00F1042E"/>
    <w:rsid w:val="00F10450"/>
    <w:rsid w:val="00F10629"/>
    <w:rsid w:val="00F10BF5"/>
    <w:rsid w:val="00F10EC4"/>
    <w:rsid w:val="00F110B4"/>
    <w:rsid w:val="00F110DA"/>
    <w:rsid w:val="00F11689"/>
    <w:rsid w:val="00F11978"/>
    <w:rsid w:val="00F12A3B"/>
    <w:rsid w:val="00F13680"/>
    <w:rsid w:val="00F136FE"/>
    <w:rsid w:val="00F14246"/>
    <w:rsid w:val="00F154E3"/>
    <w:rsid w:val="00F15848"/>
    <w:rsid w:val="00F15DA7"/>
    <w:rsid w:val="00F1665D"/>
    <w:rsid w:val="00F16960"/>
    <w:rsid w:val="00F1709B"/>
    <w:rsid w:val="00F170A0"/>
    <w:rsid w:val="00F17FBE"/>
    <w:rsid w:val="00F20117"/>
    <w:rsid w:val="00F2051A"/>
    <w:rsid w:val="00F2088E"/>
    <w:rsid w:val="00F223C6"/>
    <w:rsid w:val="00F22A69"/>
    <w:rsid w:val="00F22F80"/>
    <w:rsid w:val="00F24477"/>
    <w:rsid w:val="00F25D75"/>
    <w:rsid w:val="00F267FE"/>
    <w:rsid w:val="00F26806"/>
    <w:rsid w:val="00F26CFC"/>
    <w:rsid w:val="00F26E0A"/>
    <w:rsid w:val="00F27283"/>
    <w:rsid w:val="00F27EC2"/>
    <w:rsid w:val="00F300AC"/>
    <w:rsid w:val="00F30351"/>
    <w:rsid w:val="00F30383"/>
    <w:rsid w:val="00F305D1"/>
    <w:rsid w:val="00F30768"/>
    <w:rsid w:val="00F30914"/>
    <w:rsid w:val="00F31D9D"/>
    <w:rsid w:val="00F333BE"/>
    <w:rsid w:val="00F3354A"/>
    <w:rsid w:val="00F339AD"/>
    <w:rsid w:val="00F33C93"/>
    <w:rsid w:val="00F3445D"/>
    <w:rsid w:val="00F3584F"/>
    <w:rsid w:val="00F3588F"/>
    <w:rsid w:val="00F36255"/>
    <w:rsid w:val="00F36AE1"/>
    <w:rsid w:val="00F3715A"/>
    <w:rsid w:val="00F404EA"/>
    <w:rsid w:val="00F4088B"/>
    <w:rsid w:val="00F40C96"/>
    <w:rsid w:val="00F4130D"/>
    <w:rsid w:val="00F4148B"/>
    <w:rsid w:val="00F425E6"/>
    <w:rsid w:val="00F429D5"/>
    <w:rsid w:val="00F4515F"/>
    <w:rsid w:val="00F45567"/>
    <w:rsid w:val="00F46396"/>
    <w:rsid w:val="00F46413"/>
    <w:rsid w:val="00F465F5"/>
    <w:rsid w:val="00F46D11"/>
    <w:rsid w:val="00F5069E"/>
    <w:rsid w:val="00F53CA6"/>
    <w:rsid w:val="00F5626A"/>
    <w:rsid w:val="00F56A16"/>
    <w:rsid w:val="00F570E9"/>
    <w:rsid w:val="00F578F5"/>
    <w:rsid w:val="00F57E87"/>
    <w:rsid w:val="00F6034F"/>
    <w:rsid w:val="00F60D5C"/>
    <w:rsid w:val="00F60E17"/>
    <w:rsid w:val="00F61101"/>
    <w:rsid w:val="00F6172E"/>
    <w:rsid w:val="00F61B57"/>
    <w:rsid w:val="00F61FEA"/>
    <w:rsid w:val="00F62282"/>
    <w:rsid w:val="00F6433D"/>
    <w:rsid w:val="00F6548F"/>
    <w:rsid w:val="00F67DDC"/>
    <w:rsid w:val="00F67F92"/>
    <w:rsid w:val="00F70188"/>
    <w:rsid w:val="00F70C24"/>
    <w:rsid w:val="00F71575"/>
    <w:rsid w:val="00F715EC"/>
    <w:rsid w:val="00F7203D"/>
    <w:rsid w:val="00F72454"/>
    <w:rsid w:val="00F7310F"/>
    <w:rsid w:val="00F73110"/>
    <w:rsid w:val="00F7342F"/>
    <w:rsid w:val="00F73AB8"/>
    <w:rsid w:val="00F73E6D"/>
    <w:rsid w:val="00F74291"/>
    <w:rsid w:val="00F742A9"/>
    <w:rsid w:val="00F7452F"/>
    <w:rsid w:val="00F75219"/>
    <w:rsid w:val="00F769DF"/>
    <w:rsid w:val="00F77A0F"/>
    <w:rsid w:val="00F80D55"/>
    <w:rsid w:val="00F80F18"/>
    <w:rsid w:val="00F8116C"/>
    <w:rsid w:val="00F82659"/>
    <w:rsid w:val="00F835DA"/>
    <w:rsid w:val="00F85C0D"/>
    <w:rsid w:val="00F86514"/>
    <w:rsid w:val="00F86781"/>
    <w:rsid w:val="00F91049"/>
    <w:rsid w:val="00F91CDD"/>
    <w:rsid w:val="00F91CE1"/>
    <w:rsid w:val="00F929AC"/>
    <w:rsid w:val="00F9305A"/>
    <w:rsid w:val="00F931B5"/>
    <w:rsid w:val="00F9382C"/>
    <w:rsid w:val="00F938B8"/>
    <w:rsid w:val="00F93F8E"/>
    <w:rsid w:val="00F93FD7"/>
    <w:rsid w:val="00F94794"/>
    <w:rsid w:val="00F9534A"/>
    <w:rsid w:val="00F954B3"/>
    <w:rsid w:val="00F96851"/>
    <w:rsid w:val="00F970F6"/>
    <w:rsid w:val="00F97B01"/>
    <w:rsid w:val="00F97D27"/>
    <w:rsid w:val="00FA0362"/>
    <w:rsid w:val="00FA05DC"/>
    <w:rsid w:val="00FA20B3"/>
    <w:rsid w:val="00FA2207"/>
    <w:rsid w:val="00FA2643"/>
    <w:rsid w:val="00FA2BB4"/>
    <w:rsid w:val="00FA2EA5"/>
    <w:rsid w:val="00FA45DB"/>
    <w:rsid w:val="00FA52A4"/>
    <w:rsid w:val="00FA56FE"/>
    <w:rsid w:val="00FA5839"/>
    <w:rsid w:val="00FA6711"/>
    <w:rsid w:val="00FA75DE"/>
    <w:rsid w:val="00FB0472"/>
    <w:rsid w:val="00FB1180"/>
    <w:rsid w:val="00FB1763"/>
    <w:rsid w:val="00FB222E"/>
    <w:rsid w:val="00FB2EF2"/>
    <w:rsid w:val="00FB31D0"/>
    <w:rsid w:val="00FB3341"/>
    <w:rsid w:val="00FB35A2"/>
    <w:rsid w:val="00FB37E0"/>
    <w:rsid w:val="00FB4F8F"/>
    <w:rsid w:val="00FB63DC"/>
    <w:rsid w:val="00FB71F1"/>
    <w:rsid w:val="00FB765F"/>
    <w:rsid w:val="00FB7682"/>
    <w:rsid w:val="00FB7F0B"/>
    <w:rsid w:val="00FC02E9"/>
    <w:rsid w:val="00FC13CB"/>
    <w:rsid w:val="00FC31F9"/>
    <w:rsid w:val="00FC3516"/>
    <w:rsid w:val="00FC3B95"/>
    <w:rsid w:val="00FC5EED"/>
    <w:rsid w:val="00FC5FDE"/>
    <w:rsid w:val="00FC66E2"/>
    <w:rsid w:val="00FD001C"/>
    <w:rsid w:val="00FD09AF"/>
    <w:rsid w:val="00FD0AD4"/>
    <w:rsid w:val="00FD17BD"/>
    <w:rsid w:val="00FD1E59"/>
    <w:rsid w:val="00FD3119"/>
    <w:rsid w:val="00FD319F"/>
    <w:rsid w:val="00FD39BE"/>
    <w:rsid w:val="00FD3D31"/>
    <w:rsid w:val="00FD3E67"/>
    <w:rsid w:val="00FD480D"/>
    <w:rsid w:val="00FD4AB9"/>
    <w:rsid w:val="00FD5FED"/>
    <w:rsid w:val="00FD6E8E"/>
    <w:rsid w:val="00FE0701"/>
    <w:rsid w:val="00FE0B0E"/>
    <w:rsid w:val="00FE0B26"/>
    <w:rsid w:val="00FE1367"/>
    <w:rsid w:val="00FE19F2"/>
    <w:rsid w:val="00FE260C"/>
    <w:rsid w:val="00FE4329"/>
    <w:rsid w:val="00FE59FE"/>
    <w:rsid w:val="00FE5A3D"/>
    <w:rsid w:val="00FE640B"/>
    <w:rsid w:val="00FE6FAA"/>
    <w:rsid w:val="00FE7AB9"/>
    <w:rsid w:val="00FF0225"/>
    <w:rsid w:val="00FF0624"/>
    <w:rsid w:val="00FF0FEF"/>
    <w:rsid w:val="00FF0FFD"/>
    <w:rsid w:val="00FF1147"/>
    <w:rsid w:val="00FF1A02"/>
    <w:rsid w:val="00FF1A5D"/>
    <w:rsid w:val="00FF1D91"/>
    <w:rsid w:val="00FF4527"/>
    <w:rsid w:val="00FF5BB1"/>
    <w:rsid w:val="00FF6697"/>
    <w:rsid w:val="00FF741E"/>
    <w:rsid w:val="00FF7526"/>
    <w:rsid w:val="00FF7A69"/>
    <w:rsid w:val="00FF7D4D"/>
    <w:rsid w:val="00FF7E1B"/>
    <w:rsid w:val="00FF7E84"/>
    <w:rsid w:val="00FF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C44D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link w:val="Heading1Char"/>
    <w:qFormat/>
    <w:rsid w:val="0096494A"/>
    <w:pPr>
      <w:spacing w:before="100" w:beforeAutospacing="1" w:after="100" w:afterAutospacing="1"/>
      <w:outlineLvl w:val="0"/>
    </w:pPr>
    <w:rPr>
      <w:b/>
      <w:bCs/>
      <w:kern w:val="36"/>
      <w:sz w:val="48"/>
      <w:szCs w:val="48"/>
    </w:rPr>
  </w:style>
  <w:style w:type="paragraph" w:styleId="Heading2">
    <w:name w:val="heading 2"/>
    <w:basedOn w:val="Normal"/>
    <w:next w:val="Normal"/>
    <w:qFormat/>
    <w:rsid w:val="0000096E"/>
    <w:pPr>
      <w:keepNext/>
      <w:spacing w:before="240" w:after="60"/>
      <w:outlineLvl w:val="1"/>
    </w:pPr>
    <w:rPr>
      <w:rFonts w:ascii="Arial" w:hAnsi="Arial" w:cs="Arial"/>
      <w:b/>
      <w:bCs/>
      <w:i/>
      <w:iCs/>
      <w:sz w:val="28"/>
      <w:szCs w:val="28"/>
    </w:rPr>
  </w:style>
  <w:style w:type="paragraph" w:styleId="Heading3">
    <w:name w:val="heading 3"/>
    <w:basedOn w:val="Normal"/>
    <w:qFormat/>
    <w:rsid w:val="0096494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C37195"/>
  </w:style>
  <w:style w:type="character" w:customStyle="1" w:styleId="l6">
    <w:name w:val="l6"/>
    <w:basedOn w:val="DefaultParagraphFont"/>
    <w:rsid w:val="00C37195"/>
  </w:style>
  <w:style w:type="character" w:customStyle="1" w:styleId="apple-converted-space">
    <w:name w:val="apple-converted-space"/>
    <w:basedOn w:val="DefaultParagraphFont"/>
    <w:rsid w:val="00C37195"/>
  </w:style>
  <w:style w:type="paragraph" w:styleId="ListParagraph">
    <w:name w:val="List Paragraph"/>
    <w:basedOn w:val="Normal"/>
    <w:qFormat/>
    <w:rsid w:val="001514D6"/>
    <w:pPr>
      <w:spacing w:after="200" w:line="276" w:lineRule="auto"/>
      <w:ind w:left="720"/>
    </w:pPr>
    <w:rPr>
      <w:rFonts w:ascii="Calibri" w:hAnsi="Calibri"/>
      <w:sz w:val="22"/>
      <w:szCs w:val="22"/>
      <w:lang w:eastAsia="en-US"/>
    </w:rPr>
  </w:style>
  <w:style w:type="paragraph" w:customStyle="1" w:styleId="body">
    <w:name w:val="body"/>
    <w:basedOn w:val="Normal"/>
    <w:rsid w:val="008D7A67"/>
    <w:pPr>
      <w:spacing w:before="100" w:beforeAutospacing="1" w:after="100" w:afterAutospacing="1"/>
    </w:pPr>
  </w:style>
  <w:style w:type="character" w:styleId="Hyperlink">
    <w:name w:val="Hyperlink"/>
    <w:uiPriority w:val="99"/>
    <w:rsid w:val="008D7A67"/>
    <w:rPr>
      <w:color w:val="0000FF"/>
      <w:u w:val="single"/>
    </w:rPr>
  </w:style>
  <w:style w:type="paragraph" w:styleId="FootnoteText">
    <w:name w:val="footnote text"/>
    <w:basedOn w:val="Normal"/>
    <w:semiHidden/>
    <w:rsid w:val="00BA18FC"/>
    <w:rPr>
      <w:sz w:val="20"/>
      <w:szCs w:val="20"/>
    </w:rPr>
  </w:style>
  <w:style w:type="character" w:styleId="FootnoteReference">
    <w:name w:val="footnote reference"/>
    <w:rsid w:val="00BA18FC"/>
    <w:rPr>
      <w:vertAlign w:val="superscript"/>
    </w:rPr>
  </w:style>
  <w:style w:type="paragraph" w:styleId="NormalWeb">
    <w:name w:val="Normal (Web)"/>
    <w:basedOn w:val="Normal"/>
    <w:uiPriority w:val="99"/>
    <w:rsid w:val="001E30E1"/>
    <w:pPr>
      <w:spacing w:before="100" w:beforeAutospacing="1" w:after="100" w:afterAutospacing="1"/>
    </w:pPr>
  </w:style>
  <w:style w:type="character" w:styleId="Strong">
    <w:name w:val="Strong"/>
    <w:uiPriority w:val="22"/>
    <w:qFormat/>
    <w:rsid w:val="00F7452F"/>
    <w:rPr>
      <w:b/>
      <w:bCs/>
    </w:rPr>
  </w:style>
  <w:style w:type="character" w:styleId="Emphasis">
    <w:name w:val="Emphasis"/>
    <w:uiPriority w:val="20"/>
    <w:qFormat/>
    <w:rsid w:val="00F7452F"/>
    <w:rPr>
      <w:i/>
      <w:iCs/>
    </w:rPr>
  </w:style>
  <w:style w:type="paragraph" w:styleId="Footer">
    <w:name w:val="footer"/>
    <w:basedOn w:val="Normal"/>
    <w:rsid w:val="00255198"/>
    <w:pPr>
      <w:tabs>
        <w:tab w:val="center" w:pos="4153"/>
        <w:tab w:val="right" w:pos="8306"/>
      </w:tabs>
    </w:pPr>
  </w:style>
  <w:style w:type="character" w:styleId="PageNumber">
    <w:name w:val="page number"/>
    <w:basedOn w:val="DefaultParagraphFont"/>
    <w:rsid w:val="00255198"/>
  </w:style>
  <w:style w:type="paragraph" w:customStyle="1" w:styleId="Default">
    <w:name w:val="Default"/>
    <w:rsid w:val="006E577C"/>
    <w:pPr>
      <w:autoSpaceDE w:val="0"/>
      <w:autoSpaceDN w:val="0"/>
      <w:adjustRightInd w:val="0"/>
    </w:pPr>
    <w:rPr>
      <w:color w:val="000000"/>
      <w:sz w:val="24"/>
      <w:szCs w:val="24"/>
      <w:lang w:val="en-GB" w:eastAsia="en-GB"/>
    </w:rPr>
  </w:style>
  <w:style w:type="paragraph" w:styleId="PlainText">
    <w:name w:val="Plain Text"/>
    <w:basedOn w:val="Normal"/>
    <w:link w:val="PlainTextChar"/>
    <w:semiHidden/>
    <w:rsid w:val="005437B4"/>
    <w:rPr>
      <w:rFonts w:ascii="Consolas" w:hAnsi="Consolas"/>
      <w:sz w:val="21"/>
      <w:szCs w:val="21"/>
      <w:lang w:eastAsia="en-US"/>
    </w:rPr>
  </w:style>
  <w:style w:type="character" w:customStyle="1" w:styleId="PlainTextChar">
    <w:name w:val="Plain Text Char"/>
    <w:link w:val="PlainText"/>
    <w:semiHidden/>
    <w:locked/>
    <w:rsid w:val="005437B4"/>
    <w:rPr>
      <w:rFonts w:ascii="Consolas" w:hAnsi="Consolas"/>
      <w:sz w:val="21"/>
      <w:szCs w:val="21"/>
      <w:lang w:val="en-GB" w:eastAsia="en-US" w:bidi="ar-SA"/>
    </w:rPr>
  </w:style>
  <w:style w:type="character" w:customStyle="1" w:styleId="addmd">
    <w:name w:val="addmd"/>
    <w:rsid w:val="00AE31D6"/>
  </w:style>
  <w:style w:type="paragraph" w:styleId="BalloonText">
    <w:name w:val="Balloon Text"/>
    <w:basedOn w:val="Normal"/>
    <w:link w:val="BalloonTextChar"/>
    <w:rsid w:val="00AA07EA"/>
    <w:rPr>
      <w:rFonts w:ascii="Lucida Grande" w:hAnsi="Lucida Grande" w:cs="Lucida Grande"/>
      <w:sz w:val="18"/>
      <w:szCs w:val="18"/>
    </w:rPr>
  </w:style>
  <w:style w:type="character" w:customStyle="1" w:styleId="BalloonTextChar">
    <w:name w:val="Balloon Text Char"/>
    <w:basedOn w:val="DefaultParagraphFont"/>
    <w:link w:val="BalloonText"/>
    <w:rsid w:val="00AA07EA"/>
    <w:rPr>
      <w:rFonts w:ascii="Lucida Grande" w:hAnsi="Lucida Grande" w:cs="Lucida Grande"/>
      <w:sz w:val="18"/>
      <w:szCs w:val="18"/>
      <w:lang w:val="en-GB" w:eastAsia="en-GB"/>
    </w:rPr>
  </w:style>
  <w:style w:type="character" w:customStyle="1" w:styleId="Heading1Char">
    <w:name w:val="Heading 1 Char"/>
    <w:basedOn w:val="DefaultParagraphFont"/>
    <w:link w:val="Heading1"/>
    <w:rsid w:val="00421346"/>
    <w:rPr>
      <w:b/>
      <w:bCs/>
      <w:kern w:val="36"/>
      <w:sz w:val="48"/>
      <w:szCs w:val="48"/>
      <w:lang w:val="en-GB" w:eastAsia="en-GB"/>
    </w:rPr>
  </w:style>
  <w:style w:type="character" w:styleId="FollowedHyperlink">
    <w:name w:val="FollowedHyperlink"/>
    <w:basedOn w:val="DefaultParagraphFont"/>
    <w:rsid w:val="006230DE"/>
    <w:rPr>
      <w:color w:val="800080" w:themeColor="followedHyperlink"/>
      <w:u w:val="single"/>
    </w:rPr>
  </w:style>
  <w:style w:type="paragraph" w:styleId="Header">
    <w:name w:val="header"/>
    <w:basedOn w:val="Normal"/>
    <w:link w:val="HeaderChar"/>
    <w:rsid w:val="00CC29D5"/>
    <w:pPr>
      <w:tabs>
        <w:tab w:val="center" w:pos="4320"/>
        <w:tab w:val="right" w:pos="8640"/>
      </w:tabs>
    </w:pPr>
  </w:style>
  <w:style w:type="character" w:customStyle="1" w:styleId="HeaderChar">
    <w:name w:val="Header Char"/>
    <w:basedOn w:val="DefaultParagraphFont"/>
    <w:link w:val="Header"/>
    <w:rsid w:val="00CC29D5"/>
    <w:rPr>
      <w:sz w:val="24"/>
      <w:szCs w:val="24"/>
      <w:lang w:val="en-GB" w:eastAsia="en-GB"/>
    </w:rPr>
  </w:style>
  <w:style w:type="paragraph" w:styleId="EndnoteText">
    <w:name w:val="endnote text"/>
    <w:basedOn w:val="Normal"/>
    <w:link w:val="EndnoteTextChar"/>
    <w:rsid w:val="00DC5D5C"/>
  </w:style>
  <w:style w:type="character" w:customStyle="1" w:styleId="EndnoteTextChar">
    <w:name w:val="Endnote Text Char"/>
    <w:basedOn w:val="DefaultParagraphFont"/>
    <w:link w:val="EndnoteText"/>
    <w:rsid w:val="00DC5D5C"/>
    <w:rPr>
      <w:sz w:val="24"/>
      <w:szCs w:val="24"/>
      <w:lang w:val="en-GB" w:eastAsia="en-GB"/>
    </w:rPr>
  </w:style>
  <w:style w:type="character" w:styleId="EndnoteReference">
    <w:name w:val="endnote reference"/>
    <w:basedOn w:val="DefaultParagraphFont"/>
    <w:rsid w:val="00DC5D5C"/>
    <w:rPr>
      <w:vertAlign w:val="superscript"/>
    </w:rPr>
  </w:style>
  <w:style w:type="character" w:customStyle="1" w:styleId="persname">
    <w:name w:val="persname"/>
    <w:basedOn w:val="DefaultParagraphFont"/>
    <w:rsid w:val="00B70861"/>
  </w:style>
  <w:style w:type="character" w:customStyle="1" w:styleId="surname">
    <w:name w:val="surname"/>
    <w:basedOn w:val="DefaultParagraphFont"/>
    <w:rsid w:val="00B70861"/>
  </w:style>
  <w:style w:type="character" w:customStyle="1" w:styleId="forename">
    <w:name w:val="forename"/>
    <w:basedOn w:val="DefaultParagraphFont"/>
    <w:rsid w:val="00B70861"/>
  </w:style>
  <w:style w:type="character" w:customStyle="1" w:styleId="biblscope">
    <w:name w:val="biblscope"/>
    <w:basedOn w:val="DefaultParagraphFont"/>
    <w:rsid w:val="00B70861"/>
  </w:style>
  <w:style w:type="character" w:customStyle="1" w:styleId="title1">
    <w:name w:val="title1"/>
    <w:basedOn w:val="DefaultParagraphFont"/>
    <w:rsid w:val="00B70861"/>
  </w:style>
  <w:style w:type="paragraph" w:customStyle="1" w:styleId="pdf">
    <w:name w:val="pdf"/>
    <w:basedOn w:val="Normal"/>
    <w:rsid w:val="00ED5A93"/>
    <w:pPr>
      <w:spacing w:before="100" w:beforeAutospacing="1" w:after="100" w:afterAutospacing="1"/>
    </w:pPr>
    <w:rPr>
      <w:rFonts w:ascii="Times" w:hAnsi="Times"/>
      <w:sz w:val="20"/>
      <w:szCs w:val="20"/>
      <w:lang w:eastAsia="en-US"/>
    </w:rPr>
  </w:style>
  <w:style w:type="character" w:customStyle="1" w:styleId="bold">
    <w:name w:val="bold"/>
    <w:basedOn w:val="DefaultParagraphFont"/>
    <w:rsid w:val="00ED5A93"/>
  </w:style>
  <w:style w:type="paragraph" w:customStyle="1" w:styleId="pull-left">
    <w:name w:val="pull-left"/>
    <w:basedOn w:val="Normal"/>
    <w:rsid w:val="00BB7BE9"/>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link w:val="Heading1Char"/>
    <w:qFormat/>
    <w:rsid w:val="0096494A"/>
    <w:pPr>
      <w:spacing w:before="100" w:beforeAutospacing="1" w:after="100" w:afterAutospacing="1"/>
      <w:outlineLvl w:val="0"/>
    </w:pPr>
    <w:rPr>
      <w:b/>
      <w:bCs/>
      <w:kern w:val="36"/>
      <w:sz w:val="48"/>
      <w:szCs w:val="48"/>
    </w:rPr>
  </w:style>
  <w:style w:type="paragraph" w:styleId="Heading2">
    <w:name w:val="heading 2"/>
    <w:basedOn w:val="Normal"/>
    <w:next w:val="Normal"/>
    <w:qFormat/>
    <w:rsid w:val="0000096E"/>
    <w:pPr>
      <w:keepNext/>
      <w:spacing w:before="240" w:after="60"/>
      <w:outlineLvl w:val="1"/>
    </w:pPr>
    <w:rPr>
      <w:rFonts w:ascii="Arial" w:hAnsi="Arial" w:cs="Arial"/>
      <w:b/>
      <w:bCs/>
      <w:i/>
      <w:iCs/>
      <w:sz w:val="28"/>
      <w:szCs w:val="28"/>
    </w:rPr>
  </w:style>
  <w:style w:type="paragraph" w:styleId="Heading3">
    <w:name w:val="heading 3"/>
    <w:basedOn w:val="Normal"/>
    <w:qFormat/>
    <w:rsid w:val="0096494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C37195"/>
  </w:style>
  <w:style w:type="character" w:customStyle="1" w:styleId="l6">
    <w:name w:val="l6"/>
    <w:basedOn w:val="DefaultParagraphFont"/>
    <w:rsid w:val="00C37195"/>
  </w:style>
  <w:style w:type="character" w:customStyle="1" w:styleId="apple-converted-space">
    <w:name w:val="apple-converted-space"/>
    <w:basedOn w:val="DefaultParagraphFont"/>
    <w:rsid w:val="00C37195"/>
  </w:style>
  <w:style w:type="paragraph" w:styleId="ListParagraph">
    <w:name w:val="List Paragraph"/>
    <w:basedOn w:val="Normal"/>
    <w:qFormat/>
    <w:rsid w:val="001514D6"/>
    <w:pPr>
      <w:spacing w:after="200" w:line="276" w:lineRule="auto"/>
      <w:ind w:left="720"/>
    </w:pPr>
    <w:rPr>
      <w:rFonts w:ascii="Calibri" w:hAnsi="Calibri"/>
      <w:sz w:val="22"/>
      <w:szCs w:val="22"/>
      <w:lang w:eastAsia="en-US"/>
    </w:rPr>
  </w:style>
  <w:style w:type="paragraph" w:customStyle="1" w:styleId="body">
    <w:name w:val="body"/>
    <w:basedOn w:val="Normal"/>
    <w:rsid w:val="008D7A67"/>
    <w:pPr>
      <w:spacing w:before="100" w:beforeAutospacing="1" w:after="100" w:afterAutospacing="1"/>
    </w:pPr>
  </w:style>
  <w:style w:type="character" w:styleId="Hyperlink">
    <w:name w:val="Hyperlink"/>
    <w:uiPriority w:val="99"/>
    <w:rsid w:val="008D7A67"/>
    <w:rPr>
      <w:color w:val="0000FF"/>
      <w:u w:val="single"/>
    </w:rPr>
  </w:style>
  <w:style w:type="paragraph" w:styleId="FootnoteText">
    <w:name w:val="footnote text"/>
    <w:basedOn w:val="Normal"/>
    <w:semiHidden/>
    <w:rsid w:val="00BA18FC"/>
    <w:rPr>
      <w:sz w:val="20"/>
      <w:szCs w:val="20"/>
    </w:rPr>
  </w:style>
  <w:style w:type="character" w:styleId="FootnoteReference">
    <w:name w:val="footnote reference"/>
    <w:rsid w:val="00BA18FC"/>
    <w:rPr>
      <w:vertAlign w:val="superscript"/>
    </w:rPr>
  </w:style>
  <w:style w:type="paragraph" w:styleId="NormalWeb">
    <w:name w:val="Normal (Web)"/>
    <w:basedOn w:val="Normal"/>
    <w:uiPriority w:val="99"/>
    <w:rsid w:val="001E30E1"/>
    <w:pPr>
      <w:spacing w:before="100" w:beforeAutospacing="1" w:after="100" w:afterAutospacing="1"/>
    </w:pPr>
  </w:style>
  <w:style w:type="character" w:styleId="Strong">
    <w:name w:val="Strong"/>
    <w:uiPriority w:val="22"/>
    <w:qFormat/>
    <w:rsid w:val="00F7452F"/>
    <w:rPr>
      <w:b/>
      <w:bCs/>
    </w:rPr>
  </w:style>
  <w:style w:type="character" w:styleId="Emphasis">
    <w:name w:val="Emphasis"/>
    <w:uiPriority w:val="20"/>
    <w:qFormat/>
    <w:rsid w:val="00F7452F"/>
    <w:rPr>
      <w:i/>
      <w:iCs/>
    </w:rPr>
  </w:style>
  <w:style w:type="paragraph" w:styleId="Footer">
    <w:name w:val="footer"/>
    <w:basedOn w:val="Normal"/>
    <w:rsid w:val="00255198"/>
    <w:pPr>
      <w:tabs>
        <w:tab w:val="center" w:pos="4153"/>
        <w:tab w:val="right" w:pos="8306"/>
      </w:tabs>
    </w:pPr>
  </w:style>
  <w:style w:type="character" w:styleId="PageNumber">
    <w:name w:val="page number"/>
    <w:basedOn w:val="DefaultParagraphFont"/>
    <w:rsid w:val="00255198"/>
  </w:style>
  <w:style w:type="paragraph" w:customStyle="1" w:styleId="Default">
    <w:name w:val="Default"/>
    <w:rsid w:val="006E577C"/>
    <w:pPr>
      <w:autoSpaceDE w:val="0"/>
      <w:autoSpaceDN w:val="0"/>
      <w:adjustRightInd w:val="0"/>
    </w:pPr>
    <w:rPr>
      <w:color w:val="000000"/>
      <w:sz w:val="24"/>
      <w:szCs w:val="24"/>
      <w:lang w:val="en-GB" w:eastAsia="en-GB"/>
    </w:rPr>
  </w:style>
  <w:style w:type="paragraph" w:styleId="PlainText">
    <w:name w:val="Plain Text"/>
    <w:basedOn w:val="Normal"/>
    <w:link w:val="PlainTextChar"/>
    <w:semiHidden/>
    <w:rsid w:val="005437B4"/>
    <w:rPr>
      <w:rFonts w:ascii="Consolas" w:hAnsi="Consolas"/>
      <w:sz w:val="21"/>
      <w:szCs w:val="21"/>
      <w:lang w:eastAsia="en-US"/>
    </w:rPr>
  </w:style>
  <w:style w:type="character" w:customStyle="1" w:styleId="PlainTextChar">
    <w:name w:val="Plain Text Char"/>
    <w:link w:val="PlainText"/>
    <w:semiHidden/>
    <w:locked/>
    <w:rsid w:val="005437B4"/>
    <w:rPr>
      <w:rFonts w:ascii="Consolas" w:hAnsi="Consolas"/>
      <w:sz w:val="21"/>
      <w:szCs w:val="21"/>
      <w:lang w:val="en-GB" w:eastAsia="en-US" w:bidi="ar-SA"/>
    </w:rPr>
  </w:style>
  <w:style w:type="character" w:customStyle="1" w:styleId="addmd">
    <w:name w:val="addmd"/>
    <w:rsid w:val="00AE31D6"/>
  </w:style>
  <w:style w:type="paragraph" w:styleId="BalloonText">
    <w:name w:val="Balloon Text"/>
    <w:basedOn w:val="Normal"/>
    <w:link w:val="BalloonTextChar"/>
    <w:rsid w:val="00AA07EA"/>
    <w:rPr>
      <w:rFonts w:ascii="Lucida Grande" w:hAnsi="Lucida Grande" w:cs="Lucida Grande"/>
      <w:sz w:val="18"/>
      <w:szCs w:val="18"/>
    </w:rPr>
  </w:style>
  <w:style w:type="character" w:customStyle="1" w:styleId="BalloonTextChar">
    <w:name w:val="Balloon Text Char"/>
    <w:basedOn w:val="DefaultParagraphFont"/>
    <w:link w:val="BalloonText"/>
    <w:rsid w:val="00AA07EA"/>
    <w:rPr>
      <w:rFonts w:ascii="Lucida Grande" w:hAnsi="Lucida Grande" w:cs="Lucida Grande"/>
      <w:sz w:val="18"/>
      <w:szCs w:val="18"/>
      <w:lang w:val="en-GB" w:eastAsia="en-GB"/>
    </w:rPr>
  </w:style>
  <w:style w:type="character" w:customStyle="1" w:styleId="Heading1Char">
    <w:name w:val="Heading 1 Char"/>
    <w:basedOn w:val="DefaultParagraphFont"/>
    <w:link w:val="Heading1"/>
    <w:rsid w:val="00421346"/>
    <w:rPr>
      <w:b/>
      <w:bCs/>
      <w:kern w:val="36"/>
      <w:sz w:val="48"/>
      <w:szCs w:val="48"/>
      <w:lang w:val="en-GB" w:eastAsia="en-GB"/>
    </w:rPr>
  </w:style>
  <w:style w:type="character" w:styleId="FollowedHyperlink">
    <w:name w:val="FollowedHyperlink"/>
    <w:basedOn w:val="DefaultParagraphFont"/>
    <w:rsid w:val="006230DE"/>
    <w:rPr>
      <w:color w:val="800080" w:themeColor="followedHyperlink"/>
      <w:u w:val="single"/>
    </w:rPr>
  </w:style>
  <w:style w:type="paragraph" w:styleId="Header">
    <w:name w:val="header"/>
    <w:basedOn w:val="Normal"/>
    <w:link w:val="HeaderChar"/>
    <w:rsid w:val="00CC29D5"/>
    <w:pPr>
      <w:tabs>
        <w:tab w:val="center" w:pos="4320"/>
        <w:tab w:val="right" w:pos="8640"/>
      </w:tabs>
    </w:pPr>
  </w:style>
  <w:style w:type="character" w:customStyle="1" w:styleId="HeaderChar">
    <w:name w:val="Header Char"/>
    <w:basedOn w:val="DefaultParagraphFont"/>
    <w:link w:val="Header"/>
    <w:rsid w:val="00CC29D5"/>
    <w:rPr>
      <w:sz w:val="24"/>
      <w:szCs w:val="24"/>
      <w:lang w:val="en-GB" w:eastAsia="en-GB"/>
    </w:rPr>
  </w:style>
  <w:style w:type="paragraph" w:styleId="EndnoteText">
    <w:name w:val="endnote text"/>
    <w:basedOn w:val="Normal"/>
    <w:link w:val="EndnoteTextChar"/>
    <w:rsid w:val="00DC5D5C"/>
  </w:style>
  <w:style w:type="character" w:customStyle="1" w:styleId="EndnoteTextChar">
    <w:name w:val="Endnote Text Char"/>
    <w:basedOn w:val="DefaultParagraphFont"/>
    <w:link w:val="EndnoteText"/>
    <w:rsid w:val="00DC5D5C"/>
    <w:rPr>
      <w:sz w:val="24"/>
      <w:szCs w:val="24"/>
      <w:lang w:val="en-GB" w:eastAsia="en-GB"/>
    </w:rPr>
  </w:style>
  <w:style w:type="character" w:styleId="EndnoteReference">
    <w:name w:val="endnote reference"/>
    <w:basedOn w:val="DefaultParagraphFont"/>
    <w:rsid w:val="00DC5D5C"/>
    <w:rPr>
      <w:vertAlign w:val="superscript"/>
    </w:rPr>
  </w:style>
  <w:style w:type="character" w:customStyle="1" w:styleId="persname">
    <w:name w:val="persname"/>
    <w:basedOn w:val="DefaultParagraphFont"/>
    <w:rsid w:val="00B70861"/>
  </w:style>
  <w:style w:type="character" w:customStyle="1" w:styleId="surname">
    <w:name w:val="surname"/>
    <w:basedOn w:val="DefaultParagraphFont"/>
    <w:rsid w:val="00B70861"/>
  </w:style>
  <w:style w:type="character" w:customStyle="1" w:styleId="forename">
    <w:name w:val="forename"/>
    <w:basedOn w:val="DefaultParagraphFont"/>
    <w:rsid w:val="00B70861"/>
  </w:style>
  <w:style w:type="character" w:customStyle="1" w:styleId="biblscope">
    <w:name w:val="biblscope"/>
    <w:basedOn w:val="DefaultParagraphFont"/>
    <w:rsid w:val="00B70861"/>
  </w:style>
  <w:style w:type="character" w:customStyle="1" w:styleId="title1">
    <w:name w:val="title1"/>
    <w:basedOn w:val="DefaultParagraphFont"/>
    <w:rsid w:val="00B70861"/>
  </w:style>
  <w:style w:type="paragraph" w:customStyle="1" w:styleId="pdf">
    <w:name w:val="pdf"/>
    <w:basedOn w:val="Normal"/>
    <w:rsid w:val="00ED5A93"/>
    <w:pPr>
      <w:spacing w:before="100" w:beforeAutospacing="1" w:after="100" w:afterAutospacing="1"/>
    </w:pPr>
    <w:rPr>
      <w:rFonts w:ascii="Times" w:hAnsi="Times"/>
      <w:sz w:val="20"/>
      <w:szCs w:val="20"/>
      <w:lang w:eastAsia="en-US"/>
    </w:rPr>
  </w:style>
  <w:style w:type="character" w:customStyle="1" w:styleId="bold">
    <w:name w:val="bold"/>
    <w:basedOn w:val="DefaultParagraphFont"/>
    <w:rsid w:val="00ED5A93"/>
  </w:style>
  <w:style w:type="paragraph" w:customStyle="1" w:styleId="pull-left">
    <w:name w:val="pull-left"/>
    <w:basedOn w:val="Normal"/>
    <w:rsid w:val="00BB7BE9"/>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210">
      <w:bodyDiv w:val="1"/>
      <w:marLeft w:val="0"/>
      <w:marRight w:val="0"/>
      <w:marTop w:val="0"/>
      <w:marBottom w:val="0"/>
      <w:divBdr>
        <w:top w:val="none" w:sz="0" w:space="0" w:color="auto"/>
        <w:left w:val="none" w:sz="0" w:space="0" w:color="auto"/>
        <w:bottom w:val="none" w:sz="0" w:space="0" w:color="auto"/>
        <w:right w:val="none" w:sz="0" w:space="0" w:color="auto"/>
      </w:divBdr>
    </w:div>
    <w:div w:id="14042904">
      <w:bodyDiv w:val="1"/>
      <w:marLeft w:val="0"/>
      <w:marRight w:val="0"/>
      <w:marTop w:val="0"/>
      <w:marBottom w:val="0"/>
      <w:divBdr>
        <w:top w:val="none" w:sz="0" w:space="0" w:color="auto"/>
        <w:left w:val="none" w:sz="0" w:space="0" w:color="auto"/>
        <w:bottom w:val="none" w:sz="0" w:space="0" w:color="auto"/>
        <w:right w:val="none" w:sz="0" w:space="0" w:color="auto"/>
      </w:divBdr>
    </w:div>
    <w:div w:id="31616844">
      <w:bodyDiv w:val="1"/>
      <w:marLeft w:val="0"/>
      <w:marRight w:val="0"/>
      <w:marTop w:val="0"/>
      <w:marBottom w:val="0"/>
      <w:divBdr>
        <w:top w:val="none" w:sz="0" w:space="0" w:color="auto"/>
        <w:left w:val="none" w:sz="0" w:space="0" w:color="auto"/>
        <w:bottom w:val="none" w:sz="0" w:space="0" w:color="auto"/>
        <w:right w:val="none" w:sz="0" w:space="0" w:color="auto"/>
      </w:divBdr>
    </w:div>
    <w:div w:id="83689501">
      <w:bodyDiv w:val="1"/>
      <w:marLeft w:val="0"/>
      <w:marRight w:val="0"/>
      <w:marTop w:val="0"/>
      <w:marBottom w:val="0"/>
      <w:divBdr>
        <w:top w:val="none" w:sz="0" w:space="0" w:color="auto"/>
        <w:left w:val="none" w:sz="0" w:space="0" w:color="auto"/>
        <w:bottom w:val="none" w:sz="0" w:space="0" w:color="auto"/>
        <w:right w:val="none" w:sz="0" w:space="0" w:color="auto"/>
      </w:divBdr>
    </w:div>
    <w:div w:id="84542425">
      <w:bodyDiv w:val="1"/>
      <w:marLeft w:val="0"/>
      <w:marRight w:val="0"/>
      <w:marTop w:val="0"/>
      <w:marBottom w:val="0"/>
      <w:divBdr>
        <w:top w:val="none" w:sz="0" w:space="0" w:color="auto"/>
        <w:left w:val="none" w:sz="0" w:space="0" w:color="auto"/>
        <w:bottom w:val="none" w:sz="0" w:space="0" w:color="auto"/>
        <w:right w:val="none" w:sz="0" w:space="0" w:color="auto"/>
      </w:divBdr>
    </w:div>
    <w:div w:id="95683036">
      <w:bodyDiv w:val="1"/>
      <w:marLeft w:val="0"/>
      <w:marRight w:val="0"/>
      <w:marTop w:val="0"/>
      <w:marBottom w:val="0"/>
      <w:divBdr>
        <w:top w:val="none" w:sz="0" w:space="0" w:color="auto"/>
        <w:left w:val="none" w:sz="0" w:space="0" w:color="auto"/>
        <w:bottom w:val="none" w:sz="0" w:space="0" w:color="auto"/>
        <w:right w:val="none" w:sz="0" w:space="0" w:color="auto"/>
      </w:divBdr>
    </w:div>
    <w:div w:id="103619059">
      <w:bodyDiv w:val="1"/>
      <w:marLeft w:val="0"/>
      <w:marRight w:val="0"/>
      <w:marTop w:val="0"/>
      <w:marBottom w:val="0"/>
      <w:divBdr>
        <w:top w:val="none" w:sz="0" w:space="0" w:color="auto"/>
        <w:left w:val="none" w:sz="0" w:space="0" w:color="auto"/>
        <w:bottom w:val="none" w:sz="0" w:space="0" w:color="auto"/>
        <w:right w:val="none" w:sz="0" w:space="0" w:color="auto"/>
      </w:divBdr>
    </w:div>
    <w:div w:id="111025453">
      <w:bodyDiv w:val="1"/>
      <w:marLeft w:val="0"/>
      <w:marRight w:val="0"/>
      <w:marTop w:val="0"/>
      <w:marBottom w:val="0"/>
      <w:divBdr>
        <w:top w:val="none" w:sz="0" w:space="0" w:color="auto"/>
        <w:left w:val="none" w:sz="0" w:space="0" w:color="auto"/>
        <w:bottom w:val="none" w:sz="0" w:space="0" w:color="auto"/>
        <w:right w:val="none" w:sz="0" w:space="0" w:color="auto"/>
      </w:divBdr>
    </w:div>
    <w:div w:id="131025740">
      <w:bodyDiv w:val="1"/>
      <w:marLeft w:val="0"/>
      <w:marRight w:val="0"/>
      <w:marTop w:val="0"/>
      <w:marBottom w:val="0"/>
      <w:divBdr>
        <w:top w:val="none" w:sz="0" w:space="0" w:color="auto"/>
        <w:left w:val="none" w:sz="0" w:space="0" w:color="auto"/>
        <w:bottom w:val="none" w:sz="0" w:space="0" w:color="auto"/>
        <w:right w:val="none" w:sz="0" w:space="0" w:color="auto"/>
      </w:divBdr>
    </w:div>
    <w:div w:id="168372887">
      <w:bodyDiv w:val="1"/>
      <w:marLeft w:val="0"/>
      <w:marRight w:val="0"/>
      <w:marTop w:val="0"/>
      <w:marBottom w:val="0"/>
      <w:divBdr>
        <w:top w:val="none" w:sz="0" w:space="0" w:color="auto"/>
        <w:left w:val="none" w:sz="0" w:space="0" w:color="auto"/>
        <w:bottom w:val="none" w:sz="0" w:space="0" w:color="auto"/>
        <w:right w:val="none" w:sz="0" w:space="0" w:color="auto"/>
      </w:divBdr>
    </w:div>
    <w:div w:id="206722512">
      <w:bodyDiv w:val="1"/>
      <w:marLeft w:val="0"/>
      <w:marRight w:val="0"/>
      <w:marTop w:val="0"/>
      <w:marBottom w:val="0"/>
      <w:divBdr>
        <w:top w:val="none" w:sz="0" w:space="0" w:color="auto"/>
        <w:left w:val="none" w:sz="0" w:space="0" w:color="auto"/>
        <w:bottom w:val="none" w:sz="0" w:space="0" w:color="auto"/>
        <w:right w:val="none" w:sz="0" w:space="0" w:color="auto"/>
      </w:divBdr>
    </w:div>
    <w:div w:id="215511078">
      <w:bodyDiv w:val="1"/>
      <w:marLeft w:val="0"/>
      <w:marRight w:val="0"/>
      <w:marTop w:val="0"/>
      <w:marBottom w:val="0"/>
      <w:divBdr>
        <w:top w:val="none" w:sz="0" w:space="0" w:color="auto"/>
        <w:left w:val="none" w:sz="0" w:space="0" w:color="auto"/>
        <w:bottom w:val="none" w:sz="0" w:space="0" w:color="auto"/>
        <w:right w:val="none" w:sz="0" w:space="0" w:color="auto"/>
      </w:divBdr>
    </w:div>
    <w:div w:id="216167356">
      <w:bodyDiv w:val="1"/>
      <w:marLeft w:val="0"/>
      <w:marRight w:val="0"/>
      <w:marTop w:val="0"/>
      <w:marBottom w:val="0"/>
      <w:divBdr>
        <w:top w:val="none" w:sz="0" w:space="0" w:color="auto"/>
        <w:left w:val="none" w:sz="0" w:space="0" w:color="auto"/>
        <w:bottom w:val="none" w:sz="0" w:space="0" w:color="auto"/>
        <w:right w:val="none" w:sz="0" w:space="0" w:color="auto"/>
      </w:divBdr>
    </w:div>
    <w:div w:id="222645105">
      <w:bodyDiv w:val="1"/>
      <w:marLeft w:val="0"/>
      <w:marRight w:val="0"/>
      <w:marTop w:val="0"/>
      <w:marBottom w:val="0"/>
      <w:divBdr>
        <w:top w:val="none" w:sz="0" w:space="0" w:color="auto"/>
        <w:left w:val="none" w:sz="0" w:space="0" w:color="auto"/>
        <w:bottom w:val="none" w:sz="0" w:space="0" w:color="auto"/>
        <w:right w:val="none" w:sz="0" w:space="0" w:color="auto"/>
      </w:divBdr>
    </w:div>
    <w:div w:id="290018513">
      <w:bodyDiv w:val="1"/>
      <w:marLeft w:val="0"/>
      <w:marRight w:val="0"/>
      <w:marTop w:val="0"/>
      <w:marBottom w:val="0"/>
      <w:divBdr>
        <w:top w:val="none" w:sz="0" w:space="0" w:color="auto"/>
        <w:left w:val="none" w:sz="0" w:space="0" w:color="auto"/>
        <w:bottom w:val="none" w:sz="0" w:space="0" w:color="auto"/>
        <w:right w:val="none" w:sz="0" w:space="0" w:color="auto"/>
      </w:divBdr>
    </w:div>
    <w:div w:id="330527452">
      <w:bodyDiv w:val="1"/>
      <w:marLeft w:val="0"/>
      <w:marRight w:val="0"/>
      <w:marTop w:val="0"/>
      <w:marBottom w:val="0"/>
      <w:divBdr>
        <w:top w:val="none" w:sz="0" w:space="0" w:color="auto"/>
        <w:left w:val="none" w:sz="0" w:space="0" w:color="auto"/>
        <w:bottom w:val="none" w:sz="0" w:space="0" w:color="auto"/>
        <w:right w:val="none" w:sz="0" w:space="0" w:color="auto"/>
      </w:divBdr>
    </w:div>
    <w:div w:id="331880367">
      <w:bodyDiv w:val="1"/>
      <w:marLeft w:val="0"/>
      <w:marRight w:val="0"/>
      <w:marTop w:val="0"/>
      <w:marBottom w:val="0"/>
      <w:divBdr>
        <w:top w:val="none" w:sz="0" w:space="0" w:color="auto"/>
        <w:left w:val="none" w:sz="0" w:space="0" w:color="auto"/>
        <w:bottom w:val="none" w:sz="0" w:space="0" w:color="auto"/>
        <w:right w:val="none" w:sz="0" w:space="0" w:color="auto"/>
      </w:divBdr>
    </w:div>
    <w:div w:id="365638008">
      <w:bodyDiv w:val="1"/>
      <w:marLeft w:val="0"/>
      <w:marRight w:val="0"/>
      <w:marTop w:val="0"/>
      <w:marBottom w:val="0"/>
      <w:divBdr>
        <w:top w:val="none" w:sz="0" w:space="0" w:color="auto"/>
        <w:left w:val="none" w:sz="0" w:space="0" w:color="auto"/>
        <w:bottom w:val="none" w:sz="0" w:space="0" w:color="auto"/>
        <w:right w:val="none" w:sz="0" w:space="0" w:color="auto"/>
      </w:divBdr>
    </w:div>
    <w:div w:id="378550047">
      <w:bodyDiv w:val="1"/>
      <w:marLeft w:val="0"/>
      <w:marRight w:val="0"/>
      <w:marTop w:val="0"/>
      <w:marBottom w:val="0"/>
      <w:divBdr>
        <w:top w:val="none" w:sz="0" w:space="0" w:color="auto"/>
        <w:left w:val="none" w:sz="0" w:space="0" w:color="auto"/>
        <w:bottom w:val="none" w:sz="0" w:space="0" w:color="auto"/>
        <w:right w:val="none" w:sz="0" w:space="0" w:color="auto"/>
      </w:divBdr>
    </w:div>
    <w:div w:id="402488259">
      <w:bodyDiv w:val="1"/>
      <w:marLeft w:val="0"/>
      <w:marRight w:val="0"/>
      <w:marTop w:val="0"/>
      <w:marBottom w:val="0"/>
      <w:divBdr>
        <w:top w:val="none" w:sz="0" w:space="0" w:color="auto"/>
        <w:left w:val="none" w:sz="0" w:space="0" w:color="auto"/>
        <w:bottom w:val="none" w:sz="0" w:space="0" w:color="auto"/>
        <w:right w:val="none" w:sz="0" w:space="0" w:color="auto"/>
      </w:divBdr>
    </w:div>
    <w:div w:id="429666947">
      <w:bodyDiv w:val="1"/>
      <w:marLeft w:val="0"/>
      <w:marRight w:val="0"/>
      <w:marTop w:val="0"/>
      <w:marBottom w:val="0"/>
      <w:divBdr>
        <w:top w:val="none" w:sz="0" w:space="0" w:color="auto"/>
        <w:left w:val="none" w:sz="0" w:space="0" w:color="auto"/>
        <w:bottom w:val="none" w:sz="0" w:space="0" w:color="auto"/>
        <w:right w:val="none" w:sz="0" w:space="0" w:color="auto"/>
      </w:divBdr>
    </w:div>
    <w:div w:id="442773684">
      <w:bodyDiv w:val="1"/>
      <w:marLeft w:val="0"/>
      <w:marRight w:val="0"/>
      <w:marTop w:val="0"/>
      <w:marBottom w:val="0"/>
      <w:divBdr>
        <w:top w:val="none" w:sz="0" w:space="0" w:color="auto"/>
        <w:left w:val="none" w:sz="0" w:space="0" w:color="auto"/>
        <w:bottom w:val="none" w:sz="0" w:space="0" w:color="auto"/>
        <w:right w:val="none" w:sz="0" w:space="0" w:color="auto"/>
      </w:divBdr>
    </w:div>
    <w:div w:id="449203051">
      <w:bodyDiv w:val="1"/>
      <w:marLeft w:val="0"/>
      <w:marRight w:val="0"/>
      <w:marTop w:val="0"/>
      <w:marBottom w:val="0"/>
      <w:divBdr>
        <w:top w:val="none" w:sz="0" w:space="0" w:color="auto"/>
        <w:left w:val="none" w:sz="0" w:space="0" w:color="auto"/>
        <w:bottom w:val="none" w:sz="0" w:space="0" w:color="auto"/>
        <w:right w:val="none" w:sz="0" w:space="0" w:color="auto"/>
      </w:divBdr>
      <w:divsChild>
        <w:div w:id="2040204751">
          <w:marLeft w:val="0"/>
          <w:marRight w:val="0"/>
          <w:marTop w:val="0"/>
          <w:marBottom w:val="0"/>
          <w:divBdr>
            <w:top w:val="none" w:sz="0" w:space="0" w:color="auto"/>
            <w:left w:val="none" w:sz="0" w:space="0" w:color="auto"/>
            <w:bottom w:val="none" w:sz="0" w:space="0" w:color="auto"/>
            <w:right w:val="none" w:sz="0" w:space="0" w:color="auto"/>
          </w:divBdr>
        </w:div>
        <w:div w:id="5864137">
          <w:marLeft w:val="0"/>
          <w:marRight w:val="0"/>
          <w:marTop w:val="60"/>
          <w:marBottom w:val="60"/>
          <w:divBdr>
            <w:top w:val="none" w:sz="0" w:space="0" w:color="auto"/>
            <w:left w:val="none" w:sz="0" w:space="0" w:color="auto"/>
            <w:bottom w:val="single" w:sz="6" w:space="0" w:color="CCCCCC"/>
            <w:right w:val="none" w:sz="0" w:space="0" w:color="auto"/>
          </w:divBdr>
          <w:divsChild>
            <w:div w:id="1073897687">
              <w:marLeft w:val="0"/>
              <w:marRight w:val="0"/>
              <w:marTop w:val="0"/>
              <w:marBottom w:val="0"/>
              <w:divBdr>
                <w:top w:val="none" w:sz="0" w:space="0" w:color="auto"/>
                <w:left w:val="none" w:sz="0" w:space="0" w:color="auto"/>
                <w:bottom w:val="none" w:sz="0" w:space="0" w:color="auto"/>
                <w:right w:val="none" w:sz="0" w:space="0" w:color="auto"/>
              </w:divBdr>
            </w:div>
            <w:div w:id="11332124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4807214">
      <w:bodyDiv w:val="1"/>
      <w:marLeft w:val="0"/>
      <w:marRight w:val="0"/>
      <w:marTop w:val="0"/>
      <w:marBottom w:val="0"/>
      <w:divBdr>
        <w:top w:val="none" w:sz="0" w:space="0" w:color="auto"/>
        <w:left w:val="none" w:sz="0" w:space="0" w:color="auto"/>
        <w:bottom w:val="none" w:sz="0" w:space="0" w:color="auto"/>
        <w:right w:val="none" w:sz="0" w:space="0" w:color="auto"/>
      </w:divBdr>
    </w:div>
    <w:div w:id="521631218">
      <w:bodyDiv w:val="1"/>
      <w:marLeft w:val="0"/>
      <w:marRight w:val="0"/>
      <w:marTop w:val="0"/>
      <w:marBottom w:val="0"/>
      <w:divBdr>
        <w:top w:val="none" w:sz="0" w:space="0" w:color="auto"/>
        <w:left w:val="none" w:sz="0" w:space="0" w:color="auto"/>
        <w:bottom w:val="none" w:sz="0" w:space="0" w:color="auto"/>
        <w:right w:val="none" w:sz="0" w:space="0" w:color="auto"/>
      </w:divBdr>
    </w:div>
    <w:div w:id="524442412">
      <w:bodyDiv w:val="1"/>
      <w:marLeft w:val="0"/>
      <w:marRight w:val="0"/>
      <w:marTop w:val="0"/>
      <w:marBottom w:val="0"/>
      <w:divBdr>
        <w:top w:val="none" w:sz="0" w:space="0" w:color="auto"/>
        <w:left w:val="none" w:sz="0" w:space="0" w:color="auto"/>
        <w:bottom w:val="none" w:sz="0" w:space="0" w:color="auto"/>
        <w:right w:val="none" w:sz="0" w:space="0" w:color="auto"/>
      </w:divBdr>
    </w:div>
    <w:div w:id="534002867">
      <w:bodyDiv w:val="1"/>
      <w:marLeft w:val="0"/>
      <w:marRight w:val="0"/>
      <w:marTop w:val="0"/>
      <w:marBottom w:val="0"/>
      <w:divBdr>
        <w:top w:val="none" w:sz="0" w:space="0" w:color="auto"/>
        <w:left w:val="none" w:sz="0" w:space="0" w:color="auto"/>
        <w:bottom w:val="none" w:sz="0" w:space="0" w:color="auto"/>
        <w:right w:val="none" w:sz="0" w:space="0" w:color="auto"/>
      </w:divBdr>
    </w:div>
    <w:div w:id="534466867">
      <w:bodyDiv w:val="1"/>
      <w:marLeft w:val="0"/>
      <w:marRight w:val="0"/>
      <w:marTop w:val="0"/>
      <w:marBottom w:val="0"/>
      <w:divBdr>
        <w:top w:val="none" w:sz="0" w:space="0" w:color="auto"/>
        <w:left w:val="none" w:sz="0" w:space="0" w:color="auto"/>
        <w:bottom w:val="none" w:sz="0" w:space="0" w:color="auto"/>
        <w:right w:val="none" w:sz="0" w:space="0" w:color="auto"/>
      </w:divBdr>
    </w:div>
    <w:div w:id="551382398">
      <w:bodyDiv w:val="1"/>
      <w:marLeft w:val="0"/>
      <w:marRight w:val="0"/>
      <w:marTop w:val="0"/>
      <w:marBottom w:val="0"/>
      <w:divBdr>
        <w:top w:val="none" w:sz="0" w:space="0" w:color="auto"/>
        <w:left w:val="none" w:sz="0" w:space="0" w:color="auto"/>
        <w:bottom w:val="none" w:sz="0" w:space="0" w:color="auto"/>
        <w:right w:val="none" w:sz="0" w:space="0" w:color="auto"/>
      </w:divBdr>
    </w:div>
    <w:div w:id="587230985">
      <w:bodyDiv w:val="1"/>
      <w:marLeft w:val="0"/>
      <w:marRight w:val="0"/>
      <w:marTop w:val="0"/>
      <w:marBottom w:val="0"/>
      <w:divBdr>
        <w:top w:val="none" w:sz="0" w:space="0" w:color="auto"/>
        <w:left w:val="none" w:sz="0" w:space="0" w:color="auto"/>
        <w:bottom w:val="none" w:sz="0" w:space="0" w:color="auto"/>
        <w:right w:val="none" w:sz="0" w:space="0" w:color="auto"/>
      </w:divBdr>
    </w:div>
    <w:div w:id="612326914">
      <w:bodyDiv w:val="1"/>
      <w:marLeft w:val="0"/>
      <w:marRight w:val="0"/>
      <w:marTop w:val="0"/>
      <w:marBottom w:val="0"/>
      <w:divBdr>
        <w:top w:val="none" w:sz="0" w:space="0" w:color="auto"/>
        <w:left w:val="none" w:sz="0" w:space="0" w:color="auto"/>
        <w:bottom w:val="none" w:sz="0" w:space="0" w:color="auto"/>
        <w:right w:val="none" w:sz="0" w:space="0" w:color="auto"/>
      </w:divBdr>
    </w:div>
    <w:div w:id="612908573">
      <w:bodyDiv w:val="1"/>
      <w:marLeft w:val="0"/>
      <w:marRight w:val="0"/>
      <w:marTop w:val="0"/>
      <w:marBottom w:val="0"/>
      <w:divBdr>
        <w:top w:val="none" w:sz="0" w:space="0" w:color="auto"/>
        <w:left w:val="none" w:sz="0" w:space="0" w:color="auto"/>
        <w:bottom w:val="none" w:sz="0" w:space="0" w:color="auto"/>
        <w:right w:val="none" w:sz="0" w:space="0" w:color="auto"/>
      </w:divBdr>
    </w:div>
    <w:div w:id="621963224">
      <w:bodyDiv w:val="1"/>
      <w:marLeft w:val="0"/>
      <w:marRight w:val="0"/>
      <w:marTop w:val="0"/>
      <w:marBottom w:val="0"/>
      <w:divBdr>
        <w:top w:val="none" w:sz="0" w:space="0" w:color="auto"/>
        <w:left w:val="none" w:sz="0" w:space="0" w:color="auto"/>
        <w:bottom w:val="none" w:sz="0" w:space="0" w:color="auto"/>
        <w:right w:val="none" w:sz="0" w:space="0" w:color="auto"/>
      </w:divBdr>
    </w:div>
    <w:div w:id="624192892">
      <w:bodyDiv w:val="1"/>
      <w:marLeft w:val="0"/>
      <w:marRight w:val="0"/>
      <w:marTop w:val="0"/>
      <w:marBottom w:val="0"/>
      <w:divBdr>
        <w:top w:val="none" w:sz="0" w:space="0" w:color="auto"/>
        <w:left w:val="none" w:sz="0" w:space="0" w:color="auto"/>
        <w:bottom w:val="none" w:sz="0" w:space="0" w:color="auto"/>
        <w:right w:val="none" w:sz="0" w:space="0" w:color="auto"/>
      </w:divBdr>
    </w:div>
    <w:div w:id="627978204">
      <w:bodyDiv w:val="1"/>
      <w:marLeft w:val="0"/>
      <w:marRight w:val="0"/>
      <w:marTop w:val="0"/>
      <w:marBottom w:val="0"/>
      <w:divBdr>
        <w:top w:val="none" w:sz="0" w:space="0" w:color="auto"/>
        <w:left w:val="none" w:sz="0" w:space="0" w:color="auto"/>
        <w:bottom w:val="none" w:sz="0" w:space="0" w:color="auto"/>
        <w:right w:val="none" w:sz="0" w:space="0" w:color="auto"/>
      </w:divBdr>
    </w:div>
    <w:div w:id="640617498">
      <w:bodyDiv w:val="1"/>
      <w:marLeft w:val="0"/>
      <w:marRight w:val="0"/>
      <w:marTop w:val="0"/>
      <w:marBottom w:val="0"/>
      <w:divBdr>
        <w:top w:val="none" w:sz="0" w:space="0" w:color="auto"/>
        <w:left w:val="none" w:sz="0" w:space="0" w:color="auto"/>
        <w:bottom w:val="none" w:sz="0" w:space="0" w:color="auto"/>
        <w:right w:val="none" w:sz="0" w:space="0" w:color="auto"/>
      </w:divBdr>
      <w:divsChild>
        <w:div w:id="42021826">
          <w:marLeft w:val="0"/>
          <w:marRight w:val="0"/>
          <w:marTop w:val="0"/>
          <w:marBottom w:val="0"/>
          <w:divBdr>
            <w:top w:val="none" w:sz="0" w:space="8" w:color="A0A4AD"/>
            <w:left w:val="none" w:sz="0" w:space="0" w:color="A0A4AD"/>
            <w:bottom w:val="none" w:sz="0" w:space="8" w:color="A0A4AD"/>
            <w:right w:val="none" w:sz="0" w:space="0" w:color="A0A4AD"/>
          </w:divBdr>
        </w:div>
      </w:divsChild>
    </w:div>
    <w:div w:id="694617705">
      <w:bodyDiv w:val="1"/>
      <w:marLeft w:val="0"/>
      <w:marRight w:val="0"/>
      <w:marTop w:val="0"/>
      <w:marBottom w:val="0"/>
      <w:divBdr>
        <w:top w:val="none" w:sz="0" w:space="0" w:color="auto"/>
        <w:left w:val="none" w:sz="0" w:space="0" w:color="auto"/>
        <w:bottom w:val="none" w:sz="0" w:space="0" w:color="auto"/>
        <w:right w:val="none" w:sz="0" w:space="0" w:color="auto"/>
      </w:divBdr>
    </w:div>
    <w:div w:id="759719553">
      <w:bodyDiv w:val="1"/>
      <w:marLeft w:val="0"/>
      <w:marRight w:val="0"/>
      <w:marTop w:val="0"/>
      <w:marBottom w:val="0"/>
      <w:divBdr>
        <w:top w:val="none" w:sz="0" w:space="0" w:color="auto"/>
        <w:left w:val="none" w:sz="0" w:space="0" w:color="auto"/>
        <w:bottom w:val="none" w:sz="0" w:space="0" w:color="auto"/>
        <w:right w:val="none" w:sz="0" w:space="0" w:color="auto"/>
      </w:divBdr>
    </w:div>
    <w:div w:id="793016275">
      <w:bodyDiv w:val="1"/>
      <w:marLeft w:val="0"/>
      <w:marRight w:val="0"/>
      <w:marTop w:val="0"/>
      <w:marBottom w:val="0"/>
      <w:divBdr>
        <w:top w:val="none" w:sz="0" w:space="0" w:color="auto"/>
        <w:left w:val="none" w:sz="0" w:space="0" w:color="auto"/>
        <w:bottom w:val="none" w:sz="0" w:space="0" w:color="auto"/>
        <w:right w:val="none" w:sz="0" w:space="0" w:color="auto"/>
      </w:divBdr>
    </w:div>
    <w:div w:id="811098410">
      <w:bodyDiv w:val="1"/>
      <w:marLeft w:val="0"/>
      <w:marRight w:val="0"/>
      <w:marTop w:val="0"/>
      <w:marBottom w:val="0"/>
      <w:divBdr>
        <w:top w:val="none" w:sz="0" w:space="0" w:color="auto"/>
        <w:left w:val="none" w:sz="0" w:space="0" w:color="auto"/>
        <w:bottom w:val="none" w:sz="0" w:space="0" w:color="auto"/>
        <w:right w:val="none" w:sz="0" w:space="0" w:color="auto"/>
      </w:divBdr>
    </w:div>
    <w:div w:id="813254171">
      <w:bodyDiv w:val="1"/>
      <w:marLeft w:val="0"/>
      <w:marRight w:val="0"/>
      <w:marTop w:val="0"/>
      <w:marBottom w:val="0"/>
      <w:divBdr>
        <w:top w:val="none" w:sz="0" w:space="0" w:color="auto"/>
        <w:left w:val="none" w:sz="0" w:space="0" w:color="auto"/>
        <w:bottom w:val="none" w:sz="0" w:space="0" w:color="auto"/>
        <w:right w:val="none" w:sz="0" w:space="0" w:color="auto"/>
      </w:divBdr>
    </w:div>
    <w:div w:id="816264238">
      <w:bodyDiv w:val="1"/>
      <w:marLeft w:val="0"/>
      <w:marRight w:val="0"/>
      <w:marTop w:val="0"/>
      <w:marBottom w:val="0"/>
      <w:divBdr>
        <w:top w:val="none" w:sz="0" w:space="0" w:color="auto"/>
        <w:left w:val="none" w:sz="0" w:space="0" w:color="auto"/>
        <w:bottom w:val="none" w:sz="0" w:space="0" w:color="auto"/>
        <w:right w:val="none" w:sz="0" w:space="0" w:color="auto"/>
      </w:divBdr>
    </w:div>
    <w:div w:id="817259038">
      <w:bodyDiv w:val="1"/>
      <w:marLeft w:val="0"/>
      <w:marRight w:val="0"/>
      <w:marTop w:val="0"/>
      <w:marBottom w:val="0"/>
      <w:divBdr>
        <w:top w:val="none" w:sz="0" w:space="0" w:color="auto"/>
        <w:left w:val="none" w:sz="0" w:space="0" w:color="auto"/>
        <w:bottom w:val="none" w:sz="0" w:space="0" w:color="auto"/>
        <w:right w:val="none" w:sz="0" w:space="0" w:color="auto"/>
      </w:divBdr>
    </w:div>
    <w:div w:id="836773333">
      <w:bodyDiv w:val="1"/>
      <w:marLeft w:val="0"/>
      <w:marRight w:val="0"/>
      <w:marTop w:val="0"/>
      <w:marBottom w:val="0"/>
      <w:divBdr>
        <w:top w:val="none" w:sz="0" w:space="0" w:color="auto"/>
        <w:left w:val="none" w:sz="0" w:space="0" w:color="auto"/>
        <w:bottom w:val="none" w:sz="0" w:space="0" w:color="auto"/>
        <w:right w:val="none" w:sz="0" w:space="0" w:color="auto"/>
      </w:divBdr>
    </w:div>
    <w:div w:id="837426460">
      <w:bodyDiv w:val="1"/>
      <w:marLeft w:val="0"/>
      <w:marRight w:val="0"/>
      <w:marTop w:val="0"/>
      <w:marBottom w:val="0"/>
      <w:divBdr>
        <w:top w:val="none" w:sz="0" w:space="0" w:color="auto"/>
        <w:left w:val="none" w:sz="0" w:space="0" w:color="auto"/>
        <w:bottom w:val="none" w:sz="0" w:space="0" w:color="auto"/>
        <w:right w:val="none" w:sz="0" w:space="0" w:color="auto"/>
      </w:divBdr>
    </w:div>
    <w:div w:id="842430378">
      <w:bodyDiv w:val="1"/>
      <w:marLeft w:val="0"/>
      <w:marRight w:val="0"/>
      <w:marTop w:val="0"/>
      <w:marBottom w:val="0"/>
      <w:divBdr>
        <w:top w:val="none" w:sz="0" w:space="0" w:color="auto"/>
        <w:left w:val="none" w:sz="0" w:space="0" w:color="auto"/>
        <w:bottom w:val="none" w:sz="0" w:space="0" w:color="auto"/>
        <w:right w:val="none" w:sz="0" w:space="0" w:color="auto"/>
      </w:divBdr>
    </w:div>
    <w:div w:id="872381497">
      <w:bodyDiv w:val="1"/>
      <w:marLeft w:val="0"/>
      <w:marRight w:val="0"/>
      <w:marTop w:val="0"/>
      <w:marBottom w:val="0"/>
      <w:divBdr>
        <w:top w:val="none" w:sz="0" w:space="0" w:color="auto"/>
        <w:left w:val="none" w:sz="0" w:space="0" w:color="auto"/>
        <w:bottom w:val="none" w:sz="0" w:space="0" w:color="auto"/>
        <w:right w:val="none" w:sz="0" w:space="0" w:color="auto"/>
      </w:divBdr>
    </w:div>
    <w:div w:id="901868667">
      <w:bodyDiv w:val="1"/>
      <w:marLeft w:val="0"/>
      <w:marRight w:val="0"/>
      <w:marTop w:val="0"/>
      <w:marBottom w:val="0"/>
      <w:divBdr>
        <w:top w:val="none" w:sz="0" w:space="0" w:color="auto"/>
        <w:left w:val="none" w:sz="0" w:space="0" w:color="auto"/>
        <w:bottom w:val="none" w:sz="0" w:space="0" w:color="auto"/>
        <w:right w:val="none" w:sz="0" w:space="0" w:color="auto"/>
      </w:divBdr>
    </w:div>
    <w:div w:id="947274018">
      <w:bodyDiv w:val="1"/>
      <w:marLeft w:val="0"/>
      <w:marRight w:val="0"/>
      <w:marTop w:val="0"/>
      <w:marBottom w:val="0"/>
      <w:divBdr>
        <w:top w:val="none" w:sz="0" w:space="0" w:color="auto"/>
        <w:left w:val="none" w:sz="0" w:space="0" w:color="auto"/>
        <w:bottom w:val="none" w:sz="0" w:space="0" w:color="auto"/>
        <w:right w:val="none" w:sz="0" w:space="0" w:color="auto"/>
      </w:divBdr>
    </w:div>
    <w:div w:id="961959353">
      <w:bodyDiv w:val="1"/>
      <w:marLeft w:val="0"/>
      <w:marRight w:val="0"/>
      <w:marTop w:val="0"/>
      <w:marBottom w:val="0"/>
      <w:divBdr>
        <w:top w:val="none" w:sz="0" w:space="0" w:color="auto"/>
        <w:left w:val="none" w:sz="0" w:space="0" w:color="auto"/>
        <w:bottom w:val="none" w:sz="0" w:space="0" w:color="auto"/>
        <w:right w:val="none" w:sz="0" w:space="0" w:color="auto"/>
      </w:divBdr>
    </w:div>
    <w:div w:id="985624816">
      <w:bodyDiv w:val="1"/>
      <w:marLeft w:val="0"/>
      <w:marRight w:val="0"/>
      <w:marTop w:val="0"/>
      <w:marBottom w:val="0"/>
      <w:divBdr>
        <w:top w:val="none" w:sz="0" w:space="0" w:color="auto"/>
        <w:left w:val="none" w:sz="0" w:space="0" w:color="auto"/>
        <w:bottom w:val="none" w:sz="0" w:space="0" w:color="auto"/>
        <w:right w:val="none" w:sz="0" w:space="0" w:color="auto"/>
      </w:divBdr>
    </w:div>
    <w:div w:id="1023898681">
      <w:bodyDiv w:val="1"/>
      <w:marLeft w:val="0"/>
      <w:marRight w:val="0"/>
      <w:marTop w:val="0"/>
      <w:marBottom w:val="0"/>
      <w:divBdr>
        <w:top w:val="none" w:sz="0" w:space="0" w:color="auto"/>
        <w:left w:val="none" w:sz="0" w:space="0" w:color="auto"/>
        <w:bottom w:val="none" w:sz="0" w:space="0" w:color="auto"/>
        <w:right w:val="none" w:sz="0" w:space="0" w:color="auto"/>
      </w:divBdr>
    </w:div>
    <w:div w:id="1050223082">
      <w:bodyDiv w:val="1"/>
      <w:marLeft w:val="0"/>
      <w:marRight w:val="0"/>
      <w:marTop w:val="0"/>
      <w:marBottom w:val="0"/>
      <w:divBdr>
        <w:top w:val="none" w:sz="0" w:space="0" w:color="auto"/>
        <w:left w:val="none" w:sz="0" w:space="0" w:color="auto"/>
        <w:bottom w:val="none" w:sz="0" w:space="0" w:color="auto"/>
        <w:right w:val="none" w:sz="0" w:space="0" w:color="auto"/>
      </w:divBdr>
    </w:div>
    <w:div w:id="1056054221">
      <w:bodyDiv w:val="1"/>
      <w:marLeft w:val="0"/>
      <w:marRight w:val="0"/>
      <w:marTop w:val="0"/>
      <w:marBottom w:val="0"/>
      <w:divBdr>
        <w:top w:val="none" w:sz="0" w:space="0" w:color="auto"/>
        <w:left w:val="none" w:sz="0" w:space="0" w:color="auto"/>
        <w:bottom w:val="none" w:sz="0" w:space="0" w:color="auto"/>
        <w:right w:val="none" w:sz="0" w:space="0" w:color="auto"/>
      </w:divBdr>
    </w:div>
    <w:div w:id="1075782202">
      <w:bodyDiv w:val="1"/>
      <w:marLeft w:val="0"/>
      <w:marRight w:val="0"/>
      <w:marTop w:val="0"/>
      <w:marBottom w:val="0"/>
      <w:divBdr>
        <w:top w:val="none" w:sz="0" w:space="0" w:color="auto"/>
        <w:left w:val="none" w:sz="0" w:space="0" w:color="auto"/>
        <w:bottom w:val="none" w:sz="0" w:space="0" w:color="auto"/>
        <w:right w:val="none" w:sz="0" w:space="0" w:color="auto"/>
      </w:divBdr>
    </w:div>
    <w:div w:id="1086151505">
      <w:bodyDiv w:val="1"/>
      <w:marLeft w:val="0"/>
      <w:marRight w:val="0"/>
      <w:marTop w:val="0"/>
      <w:marBottom w:val="0"/>
      <w:divBdr>
        <w:top w:val="none" w:sz="0" w:space="0" w:color="auto"/>
        <w:left w:val="none" w:sz="0" w:space="0" w:color="auto"/>
        <w:bottom w:val="none" w:sz="0" w:space="0" w:color="auto"/>
        <w:right w:val="none" w:sz="0" w:space="0" w:color="auto"/>
      </w:divBdr>
    </w:div>
    <w:div w:id="1087925331">
      <w:bodyDiv w:val="1"/>
      <w:marLeft w:val="0"/>
      <w:marRight w:val="0"/>
      <w:marTop w:val="0"/>
      <w:marBottom w:val="0"/>
      <w:divBdr>
        <w:top w:val="none" w:sz="0" w:space="0" w:color="auto"/>
        <w:left w:val="none" w:sz="0" w:space="0" w:color="auto"/>
        <w:bottom w:val="none" w:sz="0" w:space="0" w:color="auto"/>
        <w:right w:val="none" w:sz="0" w:space="0" w:color="auto"/>
      </w:divBdr>
    </w:div>
    <w:div w:id="1116873732">
      <w:bodyDiv w:val="1"/>
      <w:marLeft w:val="0"/>
      <w:marRight w:val="0"/>
      <w:marTop w:val="0"/>
      <w:marBottom w:val="0"/>
      <w:divBdr>
        <w:top w:val="none" w:sz="0" w:space="0" w:color="auto"/>
        <w:left w:val="none" w:sz="0" w:space="0" w:color="auto"/>
        <w:bottom w:val="none" w:sz="0" w:space="0" w:color="auto"/>
        <w:right w:val="none" w:sz="0" w:space="0" w:color="auto"/>
      </w:divBdr>
      <w:divsChild>
        <w:div w:id="1584140100">
          <w:marLeft w:val="0"/>
          <w:marRight w:val="0"/>
          <w:marTop w:val="0"/>
          <w:marBottom w:val="0"/>
          <w:divBdr>
            <w:top w:val="none" w:sz="0" w:space="0" w:color="auto"/>
            <w:left w:val="none" w:sz="0" w:space="0" w:color="auto"/>
            <w:bottom w:val="none" w:sz="0" w:space="0" w:color="auto"/>
            <w:right w:val="none" w:sz="0" w:space="0" w:color="auto"/>
          </w:divBdr>
          <w:divsChild>
            <w:div w:id="1808352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1555501">
      <w:bodyDiv w:val="1"/>
      <w:marLeft w:val="0"/>
      <w:marRight w:val="0"/>
      <w:marTop w:val="0"/>
      <w:marBottom w:val="0"/>
      <w:divBdr>
        <w:top w:val="none" w:sz="0" w:space="0" w:color="auto"/>
        <w:left w:val="none" w:sz="0" w:space="0" w:color="auto"/>
        <w:bottom w:val="none" w:sz="0" w:space="0" w:color="auto"/>
        <w:right w:val="none" w:sz="0" w:space="0" w:color="auto"/>
      </w:divBdr>
    </w:div>
    <w:div w:id="1165785850">
      <w:bodyDiv w:val="1"/>
      <w:marLeft w:val="0"/>
      <w:marRight w:val="0"/>
      <w:marTop w:val="0"/>
      <w:marBottom w:val="0"/>
      <w:divBdr>
        <w:top w:val="none" w:sz="0" w:space="0" w:color="auto"/>
        <w:left w:val="none" w:sz="0" w:space="0" w:color="auto"/>
        <w:bottom w:val="none" w:sz="0" w:space="0" w:color="auto"/>
        <w:right w:val="none" w:sz="0" w:space="0" w:color="auto"/>
      </w:divBdr>
    </w:div>
    <w:div w:id="1167669804">
      <w:bodyDiv w:val="1"/>
      <w:marLeft w:val="0"/>
      <w:marRight w:val="0"/>
      <w:marTop w:val="0"/>
      <w:marBottom w:val="0"/>
      <w:divBdr>
        <w:top w:val="none" w:sz="0" w:space="0" w:color="auto"/>
        <w:left w:val="none" w:sz="0" w:space="0" w:color="auto"/>
        <w:bottom w:val="none" w:sz="0" w:space="0" w:color="auto"/>
        <w:right w:val="none" w:sz="0" w:space="0" w:color="auto"/>
      </w:divBdr>
    </w:div>
    <w:div w:id="1173951472">
      <w:bodyDiv w:val="1"/>
      <w:marLeft w:val="0"/>
      <w:marRight w:val="0"/>
      <w:marTop w:val="0"/>
      <w:marBottom w:val="0"/>
      <w:divBdr>
        <w:top w:val="none" w:sz="0" w:space="0" w:color="auto"/>
        <w:left w:val="none" w:sz="0" w:space="0" w:color="auto"/>
        <w:bottom w:val="none" w:sz="0" w:space="0" w:color="auto"/>
        <w:right w:val="none" w:sz="0" w:space="0" w:color="auto"/>
      </w:divBdr>
    </w:div>
    <w:div w:id="1176458663">
      <w:bodyDiv w:val="1"/>
      <w:marLeft w:val="0"/>
      <w:marRight w:val="0"/>
      <w:marTop w:val="0"/>
      <w:marBottom w:val="0"/>
      <w:divBdr>
        <w:top w:val="none" w:sz="0" w:space="0" w:color="auto"/>
        <w:left w:val="none" w:sz="0" w:space="0" w:color="auto"/>
        <w:bottom w:val="none" w:sz="0" w:space="0" w:color="auto"/>
        <w:right w:val="none" w:sz="0" w:space="0" w:color="auto"/>
      </w:divBdr>
    </w:div>
    <w:div w:id="1259873594">
      <w:bodyDiv w:val="1"/>
      <w:marLeft w:val="0"/>
      <w:marRight w:val="0"/>
      <w:marTop w:val="0"/>
      <w:marBottom w:val="0"/>
      <w:divBdr>
        <w:top w:val="none" w:sz="0" w:space="0" w:color="auto"/>
        <w:left w:val="none" w:sz="0" w:space="0" w:color="auto"/>
        <w:bottom w:val="none" w:sz="0" w:space="0" w:color="auto"/>
        <w:right w:val="none" w:sz="0" w:space="0" w:color="auto"/>
      </w:divBdr>
    </w:div>
    <w:div w:id="1273049146">
      <w:bodyDiv w:val="1"/>
      <w:marLeft w:val="0"/>
      <w:marRight w:val="0"/>
      <w:marTop w:val="0"/>
      <w:marBottom w:val="0"/>
      <w:divBdr>
        <w:top w:val="none" w:sz="0" w:space="0" w:color="auto"/>
        <w:left w:val="none" w:sz="0" w:space="0" w:color="auto"/>
        <w:bottom w:val="none" w:sz="0" w:space="0" w:color="auto"/>
        <w:right w:val="none" w:sz="0" w:space="0" w:color="auto"/>
      </w:divBdr>
    </w:div>
    <w:div w:id="1292437912">
      <w:bodyDiv w:val="1"/>
      <w:marLeft w:val="0"/>
      <w:marRight w:val="0"/>
      <w:marTop w:val="0"/>
      <w:marBottom w:val="0"/>
      <w:divBdr>
        <w:top w:val="none" w:sz="0" w:space="0" w:color="auto"/>
        <w:left w:val="none" w:sz="0" w:space="0" w:color="auto"/>
        <w:bottom w:val="none" w:sz="0" w:space="0" w:color="auto"/>
        <w:right w:val="none" w:sz="0" w:space="0" w:color="auto"/>
      </w:divBdr>
    </w:div>
    <w:div w:id="1300115534">
      <w:bodyDiv w:val="1"/>
      <w:marLeft w:val="0"/>
      <w:marRight w:val="0"/>
      <w:marTop w:val="0"/>
      <w:marBottom w:val="0"/>
      <w:divBdr>
        <w:top w:val="none" w:sz="0" w:space="0" w:color="auto"/>
        <w:left w:val="none" w:sz="0" w:space="0" w:color="auto"/>
        <w:bottom w:val="none" w:sz="0" w:space="0" w:color="auto"/>
        <w:right w:val="none" w:sz="0" w:space="0" w:color="auto"/>
      </w:divBdr>
    </w:div>
    <w:div w:id="1326864205">
      <w:bodyDiv w:val="1"/>
      <w:marLeft w:val="0"/>
      <w:marRight w:val="0"/>
      <w:marTop w:val="0"/>
      <w:marBottom w:val="0"/>
      <w:divBdr>
        <w:top w:val="none" w:sz="0" w:space="0" w:color="auto"/>
        <w:left w:val="none" w:sz="0" w:space="0" w:color="auto"/>
        <w:bottom w:val="none" w:sz="0" w:space="0" w:color="auto"/>
        <w:right w:val="none" w:sz="0" w:space="0" w:color="auto"/>
      </w:divBdr>
    </w:div>
    <w:div w:id="1345279613">
      <w:bodyDiv w:val="1"/>
      <w:marLeft w:val="0"/>
      <w:marRight w:val="0"/>
      <w:marTop w:val="0"/>
      <w:marBottom w:val="0"/>
      <w:divBdr>
        <w:top w:val="none" w:sz="0" w:space="0" w:color="auto"/>
        <w:left w:val="none" w:sz="0" w:space="0" w:color="auto"/>
        <w:bottom w:val="none" w:sz="0" w:space="0" w:color="auto"/>
        <w:right w:val="none" w:sz="0" w:space="0" w:color="auto"/>
      </w:divBdr>
    </w:div>
    <w:div w:id="1348486687">
      <w:bodyDiv w:val="1"/>
      <w:marLeft w:val="0"/>
      <w:marRight w:val="0"/>
      <w:marTop w:val="0"/>
      <w:marBottom w:val="0"/>
      <w:divBdr>
        <w:top w:val="none" w:sz="0" w:space="0" w:color="auto"/>
        <w:left w:val="none" w:sz="0" w:space="0" w:color="auto"/>
        <w:bottom w:val="none" w:sz="0" w:space="0" w:color="auto"/>
        <w:right w:val="none" w:sz="0" w:space="0" w:color="auto"/>
      </w:divBdr>
    </w:div>
    <w:div w:id="1349873057">
      <w:bodyDiv w:val="1"/>
      <w:marLeft w:val="0"/>
      <w:marRight w:val="0"/>
      <w:marTop w:val="0"/>
      <w:marBottom w:val="0"/>
      <w:divBdr>
        <w:top w:val="none" w:sz="0" w:space="0" w:color="auto"/>
        <w:left w:val="none" w:sz="0" w:space="0" w:color="auto"/>
        <w:bottom w:val="none" w:sz="0" w:space="0" w:color="auto"/>
        <w:right w:val="none" w:sz="0" w:space="0" w:color="auto"/>
      </w:divBdr>
    </w:div>
    <w:div w:id="1437675013">
      <w:bodyDiv w:val="1"/>
      <w:marLeft w:val="0"/>
      <w:marRight w:val="0"/>
      <w:marTop w:val="0"/>
      <w:marBottom w:val="0"/>
      <w:divBdr>
        <w:top w:val="none" w:sz="0" w:space="0" w:color="auto"/>
        <w:left w:val="none" w:sz="0" w:space="0" w:color="auto"/>
        <w:bottom w:val="none" w:sz="0" w:space="0" w:color="auto"/>
        <w:right w:val="none" w:sz="0" w:space="0" w:color="auto"/>
      </w:divBdr>
    </w:div>
    <w:div w:id="1457674320">
      <w:bodyDiv w:val="1"/>
      <w:marLeft w:val="0"/>
      <w:marRight w:val="0"/>
      <w:marTop w:val="0"/>
      <w:marBottom w:val="0"/>
      <w:divBdr>
        <w:top w:val="none" w:sz="0" w:space="0" w:color="auto"/>
        <w:left w:val="none" w:sz="0" w:space="0" w:color="auto"/>
        <w:bottom w:val="none" w:sz="0" w:space="0" w:color="auto"/>
        <w:right w:val="none" w:sz="0" w:space="0" w:color="auto"/>
      </w:divBdr>
    </w:div>
    <w:div w:id="1461412688">
      <w:bodyDiv w:val="1"/>
      <w:marLeft w:val="0"/>
      <w:marRight w:val="0"/>
      <w:marTop w:val="0"/>
      <w:marBottom w:val="0"/>
      <w:divBdr>
        <w:top w:val="none" w:sz="0" w:space="0" w:color="auto"/>
        <w:left w:val="none" w:sz="0" w:space="0" w:color="auto"/>
        <w:bottom w:val="none" w:sz="0" w:space="0" w:color="auto"/>
        <w:right w:val="none" w:sz="0" w:space="0" w:color="auto"/>
      </w:divBdr>
    </w:div>
    <w:div w:id="1463647941">
      <w:bodyDiv w:val="1"/>
      <w:marLeft w:val="0"/>
      <w:marRight w:val="0"/>
      <w:marTop w:val="0"/>
      <w:marBottom w:val="0"/>
      <w:divBdr>
        <w:top w:val="none" w:sz="0" w:space="0" w:color="auto"/>
        <w:left w:val="none" w:sz="0" w:space="0" w:color="auto"/>
        <w:bottom w:val="none" w:sz="0" w:space="0" w:color="auto"/>
        <w:right w:val="none" w:sz="0" w:space="0" w:color="auto"/>
      </w:divBdr>
    </w:div>
    <w:div w:id="1511984601">
      <w:bodyDiv w:val="1"/>
      <w:marLeft w:val="0"/>
      <w:marRight w:val="0"/>
      <w:marTop w:val="0"/>
      <w:marBottom w:val="0"/>
      <w:divBdr>
        <w:top w:val="none" w:sz="0" w:space="0" w:color="auto"/>
        <w:left w:val="none" w:sz="0" w:space="0" w:color="auto"/>
        <w:bottom w:val="none" w:sz="0" w:space="0" w:color="auto"/>
        <w:right w:val="none" w:sz="0" w:space="0" w:color="auto"/>
      </w:divBdr>
    </w:div>
    <w:div w:id="1516728942">
      <w:bodyDiv w:val="1"/>
      <w:marLeft w:val="0"/>
      <w:marRight w:val="0"/>
      <w:marTop w:val="0"/>
      <w:marBottom w:val="0"/>
      <w:divBdr>
        <w:top w:val="none" w:sz="0" w:space="0" w:color="auto"/>
        <w:left w:val="none" w:sz="0" w:space="0" w:color="auto"/>
        <w:bottom w:val="none" w:sz="0" w:space="0" w:color="auto"/>
        <w:right w:val="none" w:sz="0" w:space="0" w:color="auto"/>
      </w:divBdr>
    </w:div>
    <w:div w:id="1518230926">
      <w:bodyDiv w:val="1"/>
      <w:marLeft w:val="0"/>
      <w:marRight w:val="0"/>
      <w:marTop w:val="0"/>
      <w:marBottom w:val="0"/>
      <w:divBdr>
        <w:top w:val="none" w:sz="0" w:space="0" w:color="auto"/>
        <w:left w:val="none" w:sz="0" w:space="0" w:color="auto"/>
        <w:bottom w:val="none" w:sz="0" w:space="0" w:color="auto"/>
        <w:right w:val="none" w:sz="0" w:space="0" w:color="auto"/>
      </w:divBdr>
    </w:div>
    <w:div w:id="1522549387">
      <w:bodyDiv w:val="1"/>
      <w:marLeft w:val="0"/>
      <w:marRight w:val="0"/>
      <w:marTop w:val="0"/>
      <w:marBottom w:val="0"/>
      <w:divBdr>
        <w:top w:val="none" w:sz="0" w:space="0" w:color="auto"/>
        <w:left w:val="none" w:sz="0" w:space="0" w:color="auto"/>
        <w:bottom w:val="none" w:sz="0" w:space="0" w:color="auto"/>
        <w:right w:val="none" w:sz="0" w:space="0" w:color="auto"/>
      </w:divBdr>
    </w:div>
    <w:div w:id="1528327709">
      <w:bodyDiv w:val="1"/>
      <w:marLeft w:val="0"/>
      <w:marRight w:val="0"/>
      <w:marTop w:val="0"/>
      <w:marBottom w:val="0"/>
      <w:divBdr>
        <w:top w:val="none" w:sz="0" w:space="0" w:color="auto"/>
        <w:left w:val="none" w:sz="0" w:space="0" w:color="auto"/>
        <w:bottom w:val="none" w:sz="0" w:space="0" w:color="auto"/>
        <w:right w:val="none" w:sz="0" w:space="0" w:color="auto"/>
      </w:divBdr>
      <w:divsChild>
        <w:div w:id="1992905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415827">
      <w:bodyDiv w:val="1"/>
      <w:marLeft w:val="0"/>
      <w:marRight w:val="0"/>
      <w:marTop w:val="0"/>
      <w:marBottom w:val="0"/>
      <w:divBdr>
        <w:top w:val="none" w:sz="0" w:space="0" w:color="auto"/>
        <w:left w:val="none" w:sz="0" w:space="0" w:color="auto"/>
        <w:bottom w:val="none" w:sz="0" w:space="0" w:color="auto"/>
        <w:right w:val="none" w:sz="0" w:space="0" w:color="auto"/>
      </w:divBdr>
    </w:div>
    <w:div w:id="1594318832">
      <w:bodyDiv w:val="1"/>
      <w:marLeft w:val="0"/>
      <w:marRight w:val="0"/>
      <w:marTop w:val="0"/>
      <w:marBottom w:val="0"/>
      <w:divBdr>
        <w:top w:val="none" w:sz="0" w:space="0" w:color="auto"/>
        <w:left w:val="none" w:sz="0" w:space="0" w:color="auto"/>
        <w:bottom w:val="none" w:sz="0" w:space="0" w:color="auto"/>
        <w:right w:val="none" w:sz="0" w:space="0" w:color="auto"/>
      </w:divBdr>
    </w:div>
    <w:div w:id="1598632677">
      <w:bodyDiv w:val="1"/>
      <w:marLeft w:val="0"/>
      <w:marRight w:val="0"/>
      <w:marTop w:val="0"/>
      <w:marBottom w:val="0"/>
      <w:divBdr>
        <w:top w:val="none" w:sz="0" w:space="0" w:color="auto"/>
        <w:left w:val="none" w:sz="0" w:space="0" w:color="auto"/>
        <w:bottom w:val="none" w:sz="0" w:space="0" w:color="auto"/>
        <w:right w:val="none" w:sz="0" w:space="0" w:color="auto"/>
      </w:divBdr>
    </w:div>
    <w:div w:id="1630699028">
      <w:bodyDiv w:val="1"/>
      <w:marLeft w:val="0"/>
      <w:marRight w:val="0"/>
      <w:marTop w:val="0"/>
      <w:marBottom w:val="0"/>
      <w:divBdr>
        <w:top w:val="none" w:sz="0" w:space="0" w:color="auto"/>
        <w:left w:val="none" w:sz="0" w:space="0" w:color="auto"/>
        <w:bottom w:val="none" w:sz="0" w:space="0" w:color="auto"/>
        <w:right w:val="none" w:sz="0" w:space="0" w:color="auto"/>
      </w:divBdr>
    </w:div>
    <w:div w:id="1636525184">
      <w:bodyDiv w:val="1"/>
      <w:marLeft w:val="0"/>
      <w:marRight w:val="0"/>
      <w:marTop w:val="0"/>
      <w:marBottom w:val="0"/>
      <w:divBdr>
        <w:top w:val="none" w:sz="0" w:space="0" w:color="auto"/>
        <w:left w:val="none" w:sz="0" w:space="0" w:color="auto"/>
        <w:bottom w:val="none" w:sz="0" w:space="0" w:color="auto"/>
        <w:right w:val="none" w:sz="0" w:space="0" w:color="auto"/>
      </w:divBdr>
    </w:div>
    <w:div w:id="1647586653">
      <w:bodyDiv w:val="1"/>
      <w:marLeft w:val="0"/>
      <w:marRight w:val="0"/>
      <w:marTop w:val="0"/>
      <w:marBottom w:val="0"/>
      <w:divBdr>
        <w:top w:val="none" w:sz="0" w:space="0" w:color="auto"/>
        <w:left w:val="none" w:sz="0" w:space="0" w:color="auto"/>
        <w:bottom w:val="none" w:sz="0" w:space="0" w:color="auto"/>
        <w:right w:val="none" w:sz="0" w:space="0" w:color="auto"/>
      </w:divBdr>
    </w:div>
    <w:div w:id="1663385085">
      <w:bodyDiv w:val="1"/>
      <w:marLeft w:val="0"/>
      <w:marRight w:val="0"/>
      <w:marTop w:val="0"/>
      <w:marBottom w:val="0"/>
      <w:divBdr>
        <w:top w:val="none" w:sz="0" w:space="0" w:color="auto"/>
        <w:left w:val="none" w:sz="0" w:space="0" w:color="auto"/>
        <w:bottom w:val="none" w:sz="0" w:space="0" w:color="auto"/>
        <w:right w:val="none" w:sz="0" w:space="0" w:color="auto"/>
      </w:divBdr>
    </w:div>
    <w:div w:id="1671985304">
      <w:bodyDiv w:val="1"/>
      <w:marLeft w:val="0"/>
      <w:marRight w:val="0"/>
      <w:marTop w:val="0"/>
      <w:marBottom w:val="0"/>
      <w:divBdr>
        <w:top w:val="none" w:sz="0" w:space="0" w:color="auto"/>
        <w:left w:val="none" w:sz="0" w:space="0" w:color="auto"/>
        <w:bottom w:val="none" w:sz="0" w:space="0" w:color="auto"/>
        <w:right w:val="none" w:sz="0" w:space="0" w:color="auto"/>
      </w:divBdr>
    </w:div>
    <w:div w:id="1694188129">
      <w:bodyDiv w:val="1"/>
      <w:marLeft w:val="0"/>
      <w:marRight w:val="0"/>
      <w:marTop w:val="0"/>
      <w:marBottom w:val="0"/>
      <w:divBdr>
        <w:top w:val="none" w:sz="0" w:space="0" w:color="auto"/>
        <w:left w:val="none" w:sz="0" w:space="0" w:color="auto"/>
        <w:bottom w:val="none" w:sz="0" w:space="0" w:color="auto"/>
        <w:right w:val="none" w:sz="0" w:space="0" w:color="auto"/>
      </w:divBdr>
    </w:div>
    <w:div w:id="1729650328">
      <w:bodyDiv w:val="1"/>
      <w:marLeft w:val="0"/>
      <w:marRight w:val="0"/>
      <w:marTop w:val="0"/>
      <w:marBottom w:val="0"/>
      <w:divBdr>
        <w:top w:val="none" w:sz="0" w:space="0" w:color="auto"/>
        <w:left w:val="none" w:sz="0" w:space="0" w:color="auto"/>
        <w:bottom w:val="none" w:sz="0" w:space="0" w:color="auto"/>
        <w:right w:val="none" w:sz="0" w:space="0" w:color="auto"/>
      </w:divBdr>
    </w:div>
    <w:div w:id="1779787370">
      <w:bodyDiv w:val="1"/>
      <w:marLeft w:val="0"/>
      <w:marRight w:val="0"/>
      <w:marTop w:val="0"/>
      <w:marBottom w:val="0"/>
      <w:divBdr>
        <w:top w:val="none" w:sz="0" w:space="0" w:color="auto"/>
        <w:left w:val="none" w:sz="0" w:space="0" w:color="auto"/>
        <w:bottom w:val="none" w:sz="0" w:space="0" w:color="auto"/>
        <w:right w:val="none" w:sz="0" w:space="0" w:color="auto"/>
      </w:divBdr>
    </w:div>
    <w:div w:id="1815754665">
      <w:bodyDiv w:val="1"/>
      <w:marLeft w:val="0"/>
      <w:marRight w:val="0"/>
      <w:marTop w:val="0"/>
      <w:marBottom w:val="0"/>
      <w:divBdr>
        <w:top w:val="none" w:sz="0" w:space="0" w:color="auto"/>
        <w:left w:val="none" w:sz="0" w:space="0" w:color="auto"/>
        <w:bottom w:val="none" w:sz="0" w:space="0" w:color="auto"/>
        <w:right w:val="none" w:sz="0" w:space="0" w:color="auto"/>
      </w:divBdr>
    </w:div>
    <w:div w:id="1818915022">
      <w:bodyDiv w:val="1"/>
      <w:marLeft w:val="0"/>
      <w:marRight w:val="0"/>
      <w:marTop w:val="0"/>
      <w:marBottom w:val="0"/>
      <w:divBdr>
        <w:top w:val="none" w:sz="0" w:space="0" w:color="auto"/>
        <w:left w:val="none" w:sz="0" w:space="0" w:color="auto"/>
        <w:bottom w:val="none" w:sz="0" w:space="0" w:color="auto"/>
        <w:right w:val="none" w:sz="0" w:space="0" w:color="auto"/>
      </w:divBdr>
    </w:div>
    <w:div w:id="1841964840">
      <w:bodyDiv w:val="1"/>
      <w:marLeft w:val="0"/>
      <w:marRight w:val="0"/>
      <w:marTop w:val="0"/>
      <w:marBottom w:val="0"/>
      <w:divBdr>
        <w:top w:val="none" w:sz="0" w:space="0" w:color="auto"/>
        <w:left w:val="none" w:sz="0" w:space="0" w:color="auto"/>
        <w:bottom w:val="none" w:sz="0" w:space="0" w:color="auto"/>
        <w:right w:val="none" w:sz="0" w:space="0" w:color="auto"/>
      </w:divBdr>
    </w:div>
    <w:div w:id="1867593980">
      <w:bodyDiv w:val="1"/>
      <w:marLeft w:val="0"/>
      <w:marRight w:val="0"/>
      <w:marTop w:val="0"/>
      <w:marBottom w:val="0"/>
      <w:divBdr>
        <w:top w:val="none" w:sz="0" w:space="0" w:color="auto"/>
        <w:left w:val="none" w:sz="0" w:space="0" w:color="auto"/>
        <w:bottom w:val="none" w:sz="0" w:space="0" w:color="auto"/>
        <w:right w:val="none" w:sz="0" w:space="0" w:color="auto"/>
      </w:divBdr>
    </w:div>
    <w:div w:id="1889144833">
      <w:bodyDiv w:val="1"/>
      <w:marLeft w:val="0"/>
      <w:marRight w:val="0"/>
      <w:marTop w:val="0"/>
      <w:marBottom w:val="0"/>
      <w:divBdr>
        <w:top w:val="none" w:sz="0" w:space="0" w:color="auto"/>
        <w:left w:val="none" w:sz="0" w:space="0" w:color="auto"/>
        <w:bottom w:val="none" w:sz="0" w:space="0" w:color="auto"/>
        <w:right w:val="none" w:sz="0" w:space="0" w:color="auto"/>
      </w:divBdr>
    </w:div>
    <w:div w:id="1918052358">
      <w:bodyDiv w:val="1"/>
      <w:marLeft w:val="0"/>
      <w:marRight w:val="0"/>
      <w:marTop w:val="0"/>
      <w:marBottom w:val="0"/>
      <w:divBdr>
        <w:top w:val="none" w:sz="0" w:space="0" w:color="auto"/>
        <w:left w:val="none" w:sz="0" w:space="0" w:color="auto"/>
        <w:bottom w:val="none" w:sz="0" w:space="0" w:color="auto"/>
        <w:right w:val="none" w:sz="0" w:space="0" w:color="auto"/>
      </w:divBdr>
    </w:div>
    <w:div w:id="1946302351">
      <w:bodyDiv w:val="1"/>
      <w:marLeft w:val="0"/>
      <w:marRight w:val="0"/>
      <w:marTop w:val="0"/>
      <w:marBottom w:val="0"/>
      <w:divBdr>
        <w:top w:val="none" w:sz="0" w:space="0" w:color="auto"/>
        <w:left w:val="none" w:sz="0" w:space="0" w:color="auto"/>
        <w:bottom w:val="none" w:sz="0" w:space="0" w:color="auto"/>
        <w:right w:val="none" w:sz="0" w:space="0" w:color="auto"/>
      </w:divBdr>
    </w:div>
    <w:div w:id="2009602255">
      <w:bodyDiv w:val="1"/>
      <w:marLeft w:val="0"/>
      <w:marRight w:val="0"/>
      <w:marTop w:val="0"/>
      <w:marBottom w:val="0"/>
      <w:divBdr>
        <w:top w:val="none" w:sz="0" w:space="0" w:color="auto"/>
        <w:left w:val="none" w:sz="0" w:space="0" w:color="auto"/>
        <w:bottom w:val="none" w:sz="0" w:space="0" w:color="auto"/>
        <w:right w:val="none" w:sz="0" w:space="0" w:color="auto"/>
      </w:divBdr>
    </w:div>
    <w:div w:id="2047674522">
      <w:bodyDiv w:val="1"/>
      <w:marLeft w:val="0"/>
      <w:marRight w:val="0"/>
      <w:marTop w:val="0"/>
      <w:marBottom w:val="0"/>
      <w:divBdr>
        <w:top w:val="none" w:sz="0" w:space="0" w:color="auto"/>
        <w:left w:val="none" w:sz="0" w:space="0" w:color="auto"/>
        <w:bottom w:val="none" w:sz="0" w:space="0" w:color="auto"/>
        <w:right w:val="none" w:sz="0" w:space="0" w:color="auto"/>
      </w:divBdr>
    </w:div>
    <w:div w:id="2068333811">
      <w:bodyDiv w:val="1"/>
      <w:marLeft w:val="0"/>
      <w:marRight w:val="0"/>
      <w:marTop w:val="0"/>
      <w:marBottom w:val="0"/>
      <w:divBdr>
        <w:top w:val="none" w:sz="0" w:space="0" w:color="auto"/>
        <w:left w:val="none" w:sz="0" w:space="0" w:color="auto"/>
        <w:bottom w:val="none" w:sz="0" w:space="0" w:color="auto"/>
        <w:right w:val="none" w:sz="0" w:space="0" w:color="auto"/>
      </w:divBdr>
    </w:div>
    <w:div w:id="2070372693">
      <w:bodyDiv w:val="1"/>
      <w:marLeft w:val="0"/>
      <w:marRight w:val="0"/>
      <w:marTop w:val="0"/>
      <w:marBottom w:val="0"/>
      <w:divBdr>
        <w:top w:val="none" w:sz="0" w:space="0" w:color="auto"/>
        <w:left w:val="none" w:sz="0" w:space="0" w:color="auto"/>
        <w:bottom w:val="none" w:sz="0" w:space="0" w:color="auto"/>
        <w:right w:val="none" w:sz="0" w:space="0" w:color="auto"/>
      </w:divBdr>
    </w:div>
    <w:div w:id="2073114363">
      <w:bodyDiv w:val="1"/>
      <w:marLeft w:val="0"/>
      <w:marRight w:val="0"/>
      <w:marTop w:val="0"/>
      <w:marBottom w:val="0"/>
      <w:divBdr>
        <w:top w:val="none" w:sz="0" w:space="0" w:color="auto"/>
        <w:left w:val="none" w:sz="0" w:space="0" w:color="auto"/>
        <w:bottom w:val="none" w:sz="0" w:space="0" w:color="auto"/>
        <w:right w:val="none" w:sz="0" w:space="0" w:color="auto"/>
      </w:divBdr>
    </w:div>
    <w:div w:id="2076853417">
      <w:bodyDiv w:val="1"/>
      <w:marLeft w:val="0"/>
      <w:marRight w:val="0"/>
      <w:marTop w:val="0"/>
      <w:marBottom w:val="0"/>
      <w:divBdr>
        <w:top w:val="none" w:sz="0" w:space="0" w:color="auto"/>
        <w:left w:val="none" w:sz="0" w:space="0" w:color="auto"/>
        <w:bottom w:val="none" w:sz="0" w:space="0" w:color="auto"/>
        <w:right w:val="none" w:sz="0" w:space="0" w:color="auto"/>
      </w:divBdr>
    </w:div>
    <w:div w:id="2080130680">
      <w:bodyDiv w:val="1"/>
      <w:marLeft w:val="0"/>
      <w:marRight w:val="0"/>
      <w:marTop w:val="0"/>
      <w:marBottom w:val="0"/>
      <w:divBdr>
        <w:top w:val="none" w:sz="0" w:space="0" w:color="auto"/>
        <w:left w:val="none" w:sz="0" w:space="0" w:color="auto"/>
        <w:bottom w:val="none" w:sz="0" w:space="0" w:color="auto"/>
        <w:right w:val="none" w:sz="0" w:space="0" w:color="auto"/>
      </w:divBdr>
    </w:div>
    <w:div w:id="2084834294">
      <w:bodyDiv w:val="1"/>
      <w:marLeft w:val="0"/>
      <w:marRight w:val="0"/>
      <w:marTop w:val="0"/>
      <w:marBottom w:val="0"/>
      <w:divBdr>
        <w:top w:val="none" w:sz="0" w:space="0" w:color="auto"/>
        <w:left w:val="none" w:sz="0" w:space="0" w:color="auto"/>
        <w:bottom w:val="none" w:sz="0" w:space="0" w:color="auto"/>
        <w:right w:val="none" w:sz="0" w:space="0" w:color="auto"/>
      </w:divBdr>
    </w:div>
    <w:div w:id="20872170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efpia.eu/topics/industry-economy/trade" TargetMode="External"/><Relationship Id="rId20" Type="http://schemas.openxmlformats.org/officeDocument/2006/relationships/hyperlink" Target="http://www.europarl.europa.eu/document/activities/cont/201310/20131023ATT73262/20131023ATT73262EN.pdf" TargetMode="External"/><Relationship Id="rId21" Type="http://schemas.openxmlformats.org/officeDocument/2006/relationships/hyperlink" Target="http://www.europarl.europa.eu/RegData/etudes/etudes/join/2014/433751/EXPO-JOIN_ET(2014)433751_EN.pdf" TargetMode="External"/><Relationship Id="rId22" Type="http://schemas.openxmlformats.org/officeDocument/2006/relationships/hyperlink" Target="http://trade.ec.europa.eu/doclib/docs/2006/september/tradoc_130306.pdf" TargetMode="External"/><Relationship Id="rId23" Type="http://schemas.openxmlformats.org/officeDocument/2006/relationships/hyperlink" Target="http://www.migrationwatchuk.org/briefing-paper/207" TargetMode="External"/><Relationship Id="rId24" Type="http://schemas.openxmlformats.org/officeDocument/2006/relationships/hyperlink" Target="http://www.internationallawoffice.com/newsletters/detail.aspx?g=d4da9325-9d9c-44fa-baa0-e5e92e30ec73" TargetMode="External"/><Relationship Id="rId25" Type="http://schemas.openxmlformats.org/officeDocument/2006/relationships/hyperlink" Target="http://www.euractiv.com/section/trade-society/news/india-ready-to-revive-trade-talks-with-the-eu/"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trade.ec.europa.eu/doclib/docs/2006/october/tradoc_130376.pdf" TargetMode="External"/><Relationship Id="rId11" Type="http://schemas.openxmlformats.org/officeDocument/2006/relationships/hyperlink" Target="http://trade.ec.europa.eu/doclib/docs/2006/december/tradoc_131470.pdf" TargetMode="External"/><Relationship Id="rId12" Type="http://schemas.openxmlformats.org/officeDocument/2006/relationships/hyperlink" Target="http://ec.europa.eu/archives/commission_2010-2014/president/news/archives/2013/02/pdf/20130205_2_en.pdf" TargetMode="External"/><Relationship Id="rId13" Type="http://schemas.openxmlformats.org/officeDocument/2006/relationships/hyperlink" Target="http://trade.ec.europa.eu/doclib/docs/2013/april/tradoc_150989.pdf" TargetMode="External"/><Relationship Id="rId14" Type="http://schemas.openxmlformats.org/officeDocument/2006/relationships/hyperlink" Target="http://trade.ec.europa.eu/doclib/docs/2015/october/tradoc_153846.pdf" TargetMode="External"/><Relationship Id="rId15" Type="http://schemas.openxmlformats.org/officeDocument/2006/relationships/hyperlink" Target="http://www.europarl.europa.eu/sides/getDoc.do?pubRef=-//EP//TEXT+TA+P6-TA-2007-0353+0+DOC+XML+V0//EN" TargetMode="External"/><Relationship Id="rId16" Type="http://schemas.openxmlformats.org/officeDocument/2006/relationships/hyperlink" Target="http://www.eicc.be/PDFs/KarimReportEU_India_Final.pdf" TargetMode="External"/><Relationship Id="rId17" Type="http://schemas.openxmlformats.org/officeDocument/2006/relationships/hyperlink" Target="http://www.europarl.europa.eu/sides/getDoc.do?pubRef=-%2F%2FEP%2F%2FTEXT%2BTA%2BP7-TA-2011-0224%2B0%2BDOC%2BXML%2BV0%2F%2FEN&amp;language=EN" TargetMode="External"/><Relationship Id="rId18" Type="http://schemas.openxmlformats.org/officeDocument/2006/relationships/hyperlink" Target="http://www.europarl.europa.eu/sides/getAllAnswers.do?reference=E-2010-010134&amp;language=EN" TargetMode="External"/><Relationship Id="rId19" Type="http://schemas.openxmlformats.org/officeDocument/2006/relationships/hyperlink" Target="http://www.europarl.europa.eu/sides/getDoc.do?pubRef=-//EP//TEXT+CRE+20110509+ITEM-020+DOC+XML+V0//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6E795-F949-4741-BAA2-7D3FD3A1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2522</TotalTime>
  <Pages>39</Pages>
  <Words>10784</Words>
  <Characters>61472</Characters>
  <Application>Microsoft Macintosh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Intrioduction</vt:lpstr>
    </vt:vector>
  </TitlesOfParts>
  <Manager/>
  <Company/>
  <LinksUpToDate>false</LinksUpToDate>
  <CharactersWithSpaces>72112</CharactersWithSpaces>
  <SharedDoc>false</SharedDoc>
  <HyperlinkBase/>
  <HLinks>
    <vt:vector size="18" baseType="variant">
      <vt:variant>
        <vt:i4>4522007</vt:i4>
      </vt:variant>
      <vt:variant>
        <vt:i4>6</vt:i4>
      </vt:variant>
      <vt:variant>
        <vt:i4>0</vt:i4>
      </vt:variant>
      <vt:variant>
        <vt:i4>5</vt:i4>
      </vt:variant>
      <vt:variant>
        <vt:lpwstr>http://www.europarl.europa.eu/tools/disclaimer/default_en.htm</vt:lpwstr>
      </vt:variant>
      <vt:variant>
        <vt:lpwstr/>
      </vt:variant>
      <vt:variant>
        <vt:i4>1835071</vt:i4>
      </vt:variant>
      <vt:variant>
        <vt:i4>3</vt:i4>
      </vt:variant>
      <vt:variant>
        <vt:i4>0</vt:i4>
      </vt:variant>
      <vt:variant>
        <vt:i4>5</vt:i4>
      </vt:variant>
      <vt:variant>
        <vt:lpwstr>http://www.europarl.europa.eu/sides/getDoc.do?type=WQ&amp;reference=E-2014-009101&amp;language=EN</vt:lpwstr>
      </vt:variant>
      <vt:variant>
        <vt:lpwstr/>
      </vt:variant>
      <vt:variant>
        <vt:i4>4915319</vt:i4>
      </vt:variant>
      <vt:variant>
        <vt:i4>0</vt:i4>
      </vt:variant>
      <vt:variant>
        <vt:i4>0</vt:i4>
      </vt:variant>
      <vt:variant>
        <vt:i4>5</vt:i4>
      </vt:variant>
      <vt:variant>
        <vt:lpwstr>http://www.mea.gov.in/in-focus-article.htm?24797/India+and+the+European+Union+Future+Perspectives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Intrioduction</dc:title>
  <dc:subject/>
  <dc:creator>Magdalena</dc:creator>
  <cp:keywords/>
  <dc:description/>
  <cp:lastModifiedBy>Magdalena Frennhoff Larsen</cp:lastModifiedBy>
  <cp:revision>283</cp:revision>
  <cp:lastPrinted>2016-02-14T13:26:00Z</cp:lastPrinted>
  <dcterms:created xsi:type="dcterms:W3CDTF">2016-02-01T10:42:00Z</dcterms:created>
  <dcterms:modified xsi:type="dcterms:W3CDTF">2016-02-14T18:48:00Z</dcterms:modified>
  <cp:category/>
</cp:coreProperties>
</file>