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1990C" w14:textId="1386AE17" w:rsidR="00050F9E" w:rsidRDefault="00E94304">
      <w:pPr>
        <w:rPr>
          <w:b/>
          <w:bCs/>
        </w:rPr>
      </w:pPr>
      <w:r w:rsidRPr="006A51F2">
        <w:rPr>
          <w:b/>
          <w:bCs/>
        </w:rPr>
        <w:t>A</w:t>
      </w:r>
      <w:r w:rsidR="007751A2" w:rsidRPr="006A51F2">
        <w:rPr>
          <w:b/>
          <w:bCs/>
        </w:rPr>
        <w:t xml:space="preserve">uthentic </w:t>
      </w:r>
      <w:r w:rsidRPr="006A51F2">
        <w:rPr>
          <w:b/>
          <w:bCs/>
        </w:rPr>
        <w:t>A</w:t>
      </w:r>
      <w:r w:rsidR="007751A2" w:rsidRPr="006A51F2">
        <w:rPr>
          <w:b/>
          <w:bCs/>
        </w:rPr>
        <w:t>ssessment</w:t>
      </w:r>
      <w:r w:rsidR="00C31750">
        <w:rPr>
          <w:b/>
          <w:bCs/>
        </w:rPr>
        <w:t xml:space="preserve"> and</w:t>
      </w:r>
      <w:r w:rsidR="009D1DC7" w:rsidRPr="006A51F2">
        <w:rPr>
          <w:b/>
          <w:bCs/>
        </w:rPr>
        <w:t xml:space="preserve"> </w:t>
      </w:r>
      <w:r w:rsidRPr="006A51F2">
        <w:rPr>
          <w:b/>
          <w:bCs/>
        </w:rPr>
        <w:t>I</w:t>
      </w:r>
      <w:r w:rsidR="009D1DC7" w:rsidRPr="006A51F2">
        <w:rPr>
          <w:b/>
          <w:bCs/>
        </w:rPr>
        <w:t xml:space="preserve">nteractive </w:t>
      </w:r>
      <w:r w:rsidRPr="006A51F2">
        <w:rPr>
          <w:b/>
          <w:bCs/>
        </w:rPr>
        <w:t>L</w:t>
      </w:r>
      <w:r w:rsidR="009D1DC7" w:rsidRPr="006A51F2">
        <w:rPr>
          <w:b/>
          <w:bCs/>
        </w:rPr>
        <w:t xml:space="preserve">earning </w:t>
      </w:r>
      <w:r w:rsidRPr="006A51F2">
        <w:rPr>
          <w:b/>
          <w:bCs/>
        </w:rPr>
        <w:t>E</w:t>
      </w:r>
      <w:r w:rsidR="009D1DC7" w:rsidRPr="006A51F2">
        <w:rPr>
          <w:b/>
          <w:bCs/>
        </w:rPr>
        <w:t>nvironments</w:t>
      </w:r>
    </w:p>
    <w:p w14:paraId="3AEC9194" w14:textId="77777777" w:rsidR="00F302C4" w:rsidRDefault="00F302C4" w:rsidP="00F302C4">
      <w:r>
        <w:t>Pericles asher Rospigliosi</w:t>
      </w:r>
    </w:p>
    <w:p w14:paraId="2099BB81" w14:textId="77777777" w:rsidR="00F302C4" w:rsidRDefault="00F302C4" w:rsidP="00F302C4">
      <w:r>
        <w:t>Lecturer in Emerging Technology</w:t>
      </w:r>
    </w:p>
    <w:p w14:paraId="44BAFB16" w14:textId="77777777" w:rsidR="00F302C4" w:rsidRDefault="00F302C4" w:rsidP="00F302C4">
      <w:r>
        <w:t>Westminster Business School, University of Westminster, London.</w:t>
      </w:r>
    </w:p>
    <w:p w14:paraId="2CC6B7FF" w14:textId="77777777" w:rsidR="009568C5" w:rsidRPr="006A51F2" w:rsidRDefault="009568C5">
      <w:pPr>
        <w:rPr>
          <w:b/>
          <w:bCs/>
        </w:rPr>
      </w:pPr>
    </w:p>
    <w:p w14:paraId="68046A48" w14:textId="2136E97B" w:rsidR="0072687C" w:rsidRDefault="0072687C">
      <w:r>
        <w:t xml:space="preserve">Over the last decade, interest in assessing learning through </w:t>
      </w:r>
      <w:r w:rsidR="00E06C49">
        <w:t xml:space="preserve">student </w:t>
      </w:r>
      <w:r>
        <w:t>activities</w:t>
      </w:r>
      <w:r w:rsidR="00E06C49">
        <w:t xml:space="preserve"> which relate </w:t>
      </w:r>
      <w:r w:rsidR="00737D19">
        <w:t>closely</w:t>
      </w:r>
      <w:r w:rsidR="00E06C49">
        <w:t xml:space="preserve"> to the applied use of </w:t>
      </w:r>
      <w:r w:rsidR="00A44242">
        <w:t>knowledge</w:t>
      </w:r>
      <w:r w:rsidR="00E168D9">
        <w:t xml:space="preserve"> has grown. </w:t>
      </w:r>
      <w:r w:rsidR="00C430D7">
        <w:t xml:space="preserve">This </w:t>
      </w:r>
      <w:r w:rsidR="00034F32">
        <w:t>interest in</w:t>
      </w:r>
      <w:r w:rsidR="00C430D7">
        <w:t xml:space="preserve"> assessment of performance, </w:t>
      </w:r>
      <w:r w:rsidR="00B814F1">
        <w:t>known as</w:t>
      </w:r>
      <w:r w:rsidR="00C430D7">
        <w:t xml:space="preserve"> authentic assessment</w:t>
      </w:r>
      <w:r w:rsidR="00EB5F22">
        <w:t>,</w:t>
      </w:r>
      <w:r w:rsidR="00E168D9">
        <w:t xml:space="preserve"> </w:t>
      </w:r>
      <w:r w:rsidR="00EB5F22">
        <w:t xml:space="preserve">addresses a range of </w:t>
      </w:r>
      <w:r w:rsidR="0073256C">
        <w:t xml:space="preserve">concerns </w:t>
      </w:r>
      <w:r w:rsidR="00B65DAA">
        <w:t xml:space="preserve">primarily </w:t>
      </w:r>
      <w:r w:rsidR="00FC0E36">
        <w:t>pedagogic challenges to a</w:t>
      </w:r>
      <w:r w:rsidR="00EC1915">
        <w:t>n over</w:t>
      </w:r>
      <w:r w:rsidR="00FC0E36">
        <w:t xml:space="preserve"> reliance on exams and essays </w:t>
      </w:r>
      <w:r w:rsidR="00EC1915">
        <w:t xml:space="preserve">as a limited form of </w:t>
      </w:r>
      <w:r w:rsidR="001E720E">
        <w:t>assessment</w:t>
      </w:r>
      <w:r w:rsidR="002E1B4E">
        <w:t xml:space="preserve"> focused on </w:t>
      </w:r>
      <w:r w:rsidR="00CD61F3">
        <w:t>declarative</w:t>
      </w:r>
      <w:r w:rsidR="002E1B4E">
        <w:t xml:space="preserve"> </w:t>
      </w:r>
      <w:r w:rsidR="00CD61F3">
        <w:t>learning</w:t>
      </w:r>
      <w:r w:rsidR="002E1B4E">
        <w:t xml:space="preserve"> (being able to repeat back </w:t>
      </w:r>
      <w:r w:rsidR="00CD61F3">
        <w:t>what was taught</w:t>
      </w:r>
      <w:r w:rsidR="002E1B4E">
        <w:t>)</w:t>
      </w:r>
      <w:r w:rsidR="00DB30AD">
        <w:t xml:space="preserve">. There has </w:t>
      </w:r>
      <w:r w:rsidR="0064732C">
        <w:t xml:space="preserve">also </w:t>
      </w:r>
      <w:r w:rsidR="00DB30AD">
        <w:t>been</w:t>
      </w:r>
      <w:r w:rsidR="0064234C">
        <w:t xml:space="preserve"> widespread </w:t>
      </w:r>
      <w:r w:rsidR="0088622B">
        <w:t>policy emph</w:t>
      </w:r>
      <w:r w:rsidR="000A2C54">
        <w:t xml:space="preserve">asis in many economies </w:t>
      </w:r>
      <w:r w:rsidR="001E720E">
        <w:t xml:space="preserve">globally </w:t>
      </w:r>
      <w:r w:rsidR="000A2C54">
        <w:t xml:space="preserve">to generate enhanced graduate employability and </w:t>
      </w:r>
      <w:r w:rsidR="003F1C2F">
        <w:t xml:space="preserve">increase </w:t>
      </w:r>
      <w:r w:rsidR="00737D19">
        <w:t xml:space="preserve">national </w:t>
      </w:r>
      <w:r w:rsidR="003F1C2F">
        <w:t>skills and productivity</w:t>
      </w:r>
      <w:r w:rsidR="00A44242">
        <w:t xml:space="preserve">. Interactive Learning </w:t>
      </w:r>
      <w:r w:rsidR="00E0178E">
        <w:t>Environments</w:t>
      </w:r>
      <w:r w:rsidR="00A44242">
        <w:t xml:space="preserve"> can play a part in th</w:t>
      </w:r>
      <w:r w:rsidR="00D31226">
        <w:t xml:space="preserve">is </w:t>
      </w:r>
      <w:r w:rsidR="00A44242">
        <w:t>aspiration</w:t>
      </w:r>
      <w:r w:rsidR="001E720E">
        <w:t xml:space="preserve"> to improve assessment</w:t>
      </w:r>
      <w:r w:rsidR="003F2476">
        <w:t xml:space="preserve"> by focusing</w:t>
      </w:r>
      <w:r w:rsidR="0071255E">
        <w:t xml:space="preserve"> </w:t>
      </w:r>
      <w:r w:rsidR="003F2476">
        <w:t xml:space="preserve">on performance rather than </w:t>
      </w:r>
      <w:r w:rsidR="0071255E">
        <w:t>recall. T</w:t>
      </w:r>
      <w:r w:rsidR="00E0178E">
        <w:t>here</w:t>
      </w:r>
      <w:r w:rsidR="006B4281">
        <w:t xml:space="preserve"> is a long tradition of </w:t>
      </w:r>
      <w:r w:rsidR="00360CF7">
        <w:t>computer-based</w:t>
      </w:r>
      <w:r w:rsidR="00481F9C">
        <w:t xml:space="preserve"> </w:t>
      </w:r>
      <w:r w:rsidR="00DE5466">
        <w:t>teaching</w:t>
      </w:r>
      <w:r w:rsidR="00481F9C">
        <w:t xml:space="preserve"> </w:t>
      </w:r>
      <w:r w:rsidR="00667FEA">
        <w:t xml:space="preserve">providing valuable, </w:t>
      </w:r>
      <w:r w:rsidR="00BF565F">
        <w:t xml:space="preserve">situated </w:t>
      </w:r>
      <w:r w:rsidR="00372182">
        <w:t xml:space="preserve">and authentic </w:t>
      </w:r>
      <w:r w:rsidR="00BF565F">
        <w:t xml:space="preserve">learning </w:t>
      </w:r>
      <w:r w:rsidR="00EA6BF2">
        <w:t>experiences</w:t>
      </w:r>
      <w:r w:rsidR="002C513B">
        <w:t>. Th</w:t>
      </w:r>
      <w:r w:rsidR="00CE2A85">
        <w:t>e</w:t>
      </w:r>
      <w:r w:rsidR="002C513B">
        <w:t xml:space="preserve"> </w:t>
      </w:r>
      <w:r w:rsidR="00372182">
        <w:t>practise</w:t>
      </w:r>
      <w:r w:rsidR="002C513B">
        <w:t xml:space="preserve"> </w:t>
      </w:r>
      <w:r w:rsidR="000235D5">
        <w:t xml:space="preserve">of embedding assessment </w:t>
      </w:r>
      <w:r w:rsidR="007F07DE">
        <w:t xml:space="preserve">within </w:t>
      </w:r>
      <w:r w:rsidR="007327D0">
        <w:t>interactive learning</w:t>
      </w:r>
      <w:r w:rsidR="000235D5">
        <w:t xml:space="preserve"> </w:t>
      </w:r>
      <w:r w:rsidR="00D32DA4">
        <w:t xml:space="preserve">environments </w:t>
      </w:r>
      <w:r w:rsidR="002C513B">
        <w:t>ranges from the earliest simulators</w:t>
      </w:r>
      <w:r w:rsidR="00AC06AC">
        <w:t xml:space="preserve">, </w:t>
      </w:r>
      <w:r w:rsidR="002C513B">
        <w:t>such as flight trainers</w:t>
      </w:r>
      <w:r w:rsidR="006F6BE9">
        <w:t>,</w:t>
      </w:r>
      <w:r w:rsidR="00AC06AC">
        <w:t xml:space="preserve"> to</w:t>
      </w:r>
      <w:r w:rsidR="002C513B">
        <w:t xml:space="preserve"> </w:t>
      </w:r>
      <w:r w:rsidR="00B14600">
        <w:t>spreadsheet-based</w:t>
      </w:r>
      <w:r w:rsidR="00EE6628">
        <w:t xml:space="preserve"> </w:t>
      </w:r>
      <w:r w:rsidR="004144CA">
        <w:t>modellers</w:t>
      </w:r>
      <w:r w:rsidR="00AC0475">
        <w:t>, which</w:t>
      </w:r>
      <w:r w:rsidR="004144CA">
        <w:t xml:space="preserve"> </w:t>
      </w:r>
      <w:r w:rsidR="009D7A6C">
        <w:t>allow</w:t>
      </w:r>
      <w:r w:rsidR="00AC0475">
        <w:t xml:space="preserve"> learner</w:t>
      </w:r>
      <w:r w:rsidR="009D7A6C">
        <w:t xml:space="preserve"> experimentation </w:t>
      </w:r>
      <w:r w:rsidR="001154FB">
        <w:t>and demonstrate</w:t>
      </w:r>
      <w:r w:rsidR="004144CA">
        <w:t xml:space="preserve"> the result of changes</w:t>
      </w:r>
      <w:r w:rsidR="006250CD">
        <w:t xml:space="preserve">, </w:t>
      </w:r>
      <w:r w:rsidR="004144CA">
        <w:t>as</w:t>
      </w:r>
      <w:r w:rsidR="006F6BE9">
        <w:t xml:space="preserve"> happens with</w:t>
      </w:r>
      <w:r w:rsidR="009D7A6C">
        <w:t xml:space="preserve"> </w:t>
      </w:r>
      <w:r w:rsidR="00360CF7">
        <w:t>activity-based</w:t>
      </w:r>
      <w:r w:rsidR="00FE0538">
        <w:t xml:space="preserve"> project </w:t>
      </w:r>
      <w:r w:rsidR="00004D20">
        <w:t>planning</w:t>
      </w:r>
      <w:r w:rsidR="009D7A6C">
        <w:t xml:space="preserve"> tools</w:t>
      </w:r>
      <w:r w:rsidR="00004D20">
        <w:t xml:space="preserve"> or financial </w:t>
      </w:r>
      <w:r w:rsidR="005F42D3">
        <w:t>forecasting</w:t>
      </w:r>
      <w:r w:rsidR="00FE0538">
        <w:t>.</w:t>
      </w:r>
    </w:p>
    <w:p w14:paraId="19B2DE86" w14:textId="588C0666" w:rsidR="009630A1" w:rsidRDefault="001D7686">
      <w:r>
        <w:t>Authentic assessment has much to offer the learner</w:t>
      </w:r>
      <w:r w:rsidR="0002097F">
        <w:t xml:space="preserve">, </w:t>
      </w:r>
      <w:r>
        <w:t xml:space="preserve">the </w:t>
      </w:r>
      <w:r w:rsidR="00601F80">
        <w:t>teacher</w:t>
      </w:r>
      <w:r w:rsidR="0002097F">
        <w:t xml:space="preserve"> and potential employers</w:t>
      </w:r>
      <w:r w:rsidR="00262204">
        <w:t xml:space="preserve">. </w:t>
      </w:r>
      <w:r w:rsidR="00A53153">
        <w:t xml:space="preserve">Biggs &amp; Tang in their </w:t>
      </w:r>
      <w:r w:rsidR="00100D2E">
        <w:t xml:space="preserve">highly regarded </w:t>
      </w:r>
      <w:r w:rsidR="00454E03">
        <w:t>guide</w:t>
      </w:r>
      <w:r w:rsidR="00100D2E">
        <w:t xml:space="preserve"> </w:t>
      </w:r>
      <w:r w:rsidR="00100D2E" w:rsidRPr="00324098">
        <w:rPr>
          <w:b/>
          <w:bCs/>
        </w:rPr>
        <w:t>Teaching for Quality Learning</w:t>
      </w:r>
      <w:r w:rsidR="00100D2E">
        <w:t xml:space="preserve"> </w:t>
      </w:r>
      <w:r w:rsidR="00E406BF">
        <w:t xml:space="preserve">highlight </w:t>
      </w:r>
      <w:r w:rsidR="00454E03">
        <w:t>a</w:t>
      </w:r>
      <w:r w:rsidR="00353D17">
        <w:t xml:space="preserve">uthentic assessment </w:t>
      </w:r>
      <w:r w:rsidR="00E406BF">
        <w:t>as the</w:t>
      </w:r>
      <w:r w:rsidR="00454E03">
        <w:t xml:space="preserve"> </w:t>
      </w:r>
      <w:r w:rsidR="00100D2E">
        <w:t>“</w:t>
      </w:r>
      <w:r w:rsidR="00454E03">
        <w:t>performance of understanding</w:t>
      </w:r>
      <w:r w:rsidR="00100D2E">
        <w:t>”</w:t>
      </w:r>
      <w:r w:rsidR="00454E03">
        <w:t xml:space="preserve"> </w:t>
      </w:r>
      <w:r w:rsidR="002D6FCF">
        <w:t>in contrast to</w:t>
      </w:r>
      <w:r w:rsidR="00454E03">
        <w:t xml:space="preserve"> </w:t>
      </w:r>
      <w:r w:rsidR="004535AE">
        <w:t>the declarative</w:t>
      </w:r>
      <w:r w:rsidR="00454E03">
        <w:t xml:space="preserve"> knowledge</w:t>
      </w:r>
      <w:r w:rsidR="004535AE">
        <w:t xml:space="preserve"> demonstrated </w:t>
      </w:r>
      <w:r w:rsidR="0034412F">
        <w:t>by</w:t>
      </w:r>
      <w:r w:rsidR="004535AE">
        <w:t xml:space="preserve"> an essay </w:t>
      </w:r>
      <w:r w:rsidR="00CC1910">
        <w:fldChar w:fldCharType="begin"/>
      </w:r>
      <w:r w:rsidR="00CC1910">
        <w:instrText xml:space="preserve"> ADDIN ZOTERO_ITEM CSL_CITATION {"citationID":"wMfb2qm7","properties":{"formattedCitation":"(2011, p. 212)","plainCitation":"(2011, p. 212)","noteIndex":0},"citationItems":[{"id":1430,"uris":["http://zotero.org/users/171522/items/QRY46PDR"],"itemData":{"id":1430,"type":"book","abstract":"The changing scene in university teaching -- Teaching according to how students learn -- Setting the stage for effective teaching -- Contexts for effective teaching and learning -- Knowledge and understanding -- Constructively aligned teaching and assessment -- Designing intended learning outcomes -- Teaching/learning activities for declarative intended learning outcomes -- Teaching/learning activities for functioning intended learning outcomes -- Aligning assessment tasks with intended learning outcomes : principles -- Assessing and grading for declarative intended learning outcomes -- Assessing and grading for functioning intended learning outcomes -- Implementing, supporting and enhancing constructive alignment -- Constructive alignment as implemented : some examples","collection-title":"SRHE and Open University Press imprint","edition":"4. ed","event-place":"Maidenhead","ISBN":"978-0-335-24275-7","language":"en","note":"OCLC: 838444823","number-of-pages":"389","publisher":"McGraw-Hill, Society for Research into Higher Education &amp; Open University Press","publisher-place":"Maidenhead","source":"Gemeinsamer Bibliotheksverbund ISBN","title":"Teaching for quality learning at university: what the student does","title-short":"Teaching for quality learning at university","author":[{"family":"Biggs","given":"John B."},{"family":"Tang","given":"Catherine So-kum"}],"contributor":[{"family":"Society for Research into Higher Education","given":""}],"issued":{"date-parts":[["2011"]]}},"locator":"212","label":"page","suppress-author":true}],"schema":"https://github.com/citation-style-language/schema/raw/master/csl-citation.json"} </w:instrText>
      </w:r>
      <w:r w:rsidR="00CC1910">
        <w:fldChar w:fldCharType="separate"/>
      </w:r>
      <w:r w:rsidR="00CC1910" w:rsidRPr="00CC1910">
        <w:rPr>
          <w:rFonts w:ascii="Aptos" w:hAnsi="Aptos"/>
        </w:rPr>
        <w:t>(2011, p. 212)</w:t>
      </w:r>
      <w:r w:rsidR="00CC1910">
        <w:fldChar w:fldCharType="end"/>
      </w:r>
      <w:r w:rsidR="004535AE">
        <w:t>.</w:t>
      </w:r>
      <w:r w:rsidR="00676EDD">
        <w:t xml:space="preserve"> </w:t>
      </w:r>
      <w:r w:rsidR="001D10CA">
        <w:t>For the assessor this</w:t>
      </w:r>
      <w:r w:rsidR="00811BB8">
        <w:t xml:space="preserve"> performance reduces the </w:t>
      </w:r>
      <w:r w:rsidR="00B14600">
        <w:t>probability</w:t>
      </w:r>
      <w:r w:rsidR="00811BB8">
        <w:t xml:space="preserve"> of reading </w:t>
      </w:r>
      <w:r w:rsidR="000819F9">
        <w:t xml:space="preserve">repetitive </w:t>
      </w:r>
      <w:r w:rsidR="00B14600">
        <w:t>answers and</w:t>
      </w:r>
      <w:r w:rsidR="000819F9">
        <w:t xml:space="preserve"> raises the possibility of students generating </w:t>
      </w:r>
      <w:r w:rsidR="00F52793">
        <w:t>fresh insights</w:t>
      </w:r>
      <w:r w:rsidR="008354DD">
        <w:t xml:space="preserve">, </w:t>
      </w:r>
      <w:r w:rsidR="00F13A5D">
        <w:t>m</w:t>
      </w:r>
      <w:r w:rsidR="008354DD">
        <w:t>aybe even co-creating knowledge</w:t>
      </w:r>
      <w:r w:rsidR="00F52793">
        <w:t xml:space="preserve">. </w:t>
      </w:r>
      <w:r w:rsidR="00931A54">
        <w:t>In</w:t>
      </w:r>
      <w:r w:rsidR="00F13A5D">
        <w:t xml:space="preserve"> </w:t>
      </w:r>
      <w:r w:rsidR="00B7715A">
        <w:t>an</w:t>
      </w:r>
      <w:r w:rsidR="00931A54">
        <w:t xml:space="preserve"> </w:t>
      </w:r>
      <w:r w:rsidR="0085630F">
        <w:t>extensive</w:t>
      </w:r>
      <w:r w:rsidR="00931A54">
        <w:t xml:space="preserve"> review of the literature of </w:t>
      </w:r>
      <w:r w:rsidR="0020151F">
        <w:t xml:space="preserve">authentic assessment, </w:t>
      </w:r>
      <w:r w:rsidR="0020151F" w:rsidRPr="0020151F">
        <w:t>Villarroel</w:t>
      </w:r>
      <w:r w:rsidR="0020151F">
        <w:t xml:space="preserve"> et al highlight many benefits for the </w:t>
      </w:r>
      <w:r w:rsidR="008D29BB">
        <w:t xml:space="preserve">student </w:t>
      </w:r>
      <w:r w:rsidR="0020151F">
        <w:t>including</w:t>
      </w:r>
      <w:r w:rsidR="00ED1BDA">
        <w:t xml:space="preserve"> the depth and quality</w:t>
      </w:r>
      <w:r w:rsidR="008D29BB">
        <w:t xml:space="preserve"> of </w:t>
      </w:r>
      <w:r w:rsidR="00C74A14">
        <w:t>engagement</w:t>
      </w:r>
      <w:r w:rsidR="00ED1BDA">
        <w:t xml:space="preserve">, </w:t>
      </w:r>
      <w:r w:rsidR="00EC2848">
        <w:t xml:space="preserve">greater </w:t>
      </w:r>
      <w:r w:rsidR="00C60BE5">
        <w:t xml:space="preserve">autonomy, </w:t>
      </w:r>
      <w:r w:rsidR="0085630F">
        <w:t>motivation</w:t>
      </w:r>
      <w:r w:rsidR="00C60BE5">
        <w:t xml:space="preserve"> and </w:t>
      </w:r>
      <w:r w:rsidR="00C74A14">
        <w:t xml:space="preserve">a more </w:t>
      </w:r>
      <w:r w:rsidR="0085630F">
        <w:t>reflective</w:t>
      </w:r>
      <w:r w:rsidR="00C74A14">
        <w:t xml:space="preserve"> process</w:t>
      </w:r>
      <w:r w:rsidR="0085630F">
        <w:t xml:space="preserve"> of learning</w:t>
      </w:r>
      <w:r w:rsidR="00B7715A">
        <w:t xml:space="preserve"> </w:t>
      </w:r>
      <w:r w:rsidR="00B7715A">
        <w:fldChar w:fldCharType="begin"/>
      </w:r>
      <w:r w:rsidR="007E1CB7">
        <w:instrText xml:space="preserve"> ADDIN ZOTERO_ITEM CSL_CITATION {"citationID":"ucS3mzcj","properties":{"formattedCitation":"(2018)","plainCitation":"(2018)","noteIndex":0},"citationItems":[{"id":4400,"uris":["http://zotero.org/users/171522/items/QZLJ25XV"],"itemData":{"id":4400,"type":"article-journal","abstract":"Authenticity has been identified as a key characteristic of assessment design which promotes learning. Authentic assessment aims to replicate the tasks and performance standards typically found in the world of work, and has been found to have a positive impact on student learning, autonomy, motivation, self-regulation and metacognition; abilities highly related to employability. Despite these benefits, there are significant barriers to the introduction of authentic assessment, particularly where there is a tradition of‘testing’decontextualised subject knowledge. One barrier may be the lack of conceptualisation of the term authentic assessment sufficient to inform assessment design at the individual course level. This article tackles that omission by a systematic review of literature from 1988 to 2015. Thirteen consistent characteristics of authentic assessment are identified leading to the classification of three conceptual dimensions: realism, cognitive challenge and evaluative judgement. These dimensions are elaborated and used to propose a step-based model for designing and operating authentic assessment in individual higher education subjects.","container-title":"Assessment &amp; Evaluation in Higher Education","issue":"5","language":"en","page":"840-854","source":"Zotero","title":"Authentic assessment: creating a blueprint for course design","volume":"43","author":[{"family":"Villarroel","given":"Verónica"},{"family":"Bloxham","given":"Susan"},{"family":"Bruna","given":"Daniela"},{"family":"Bruna","given":"Carola"},{"family":"Herrera-Seda","given":"Constanza"}],"issued":{"date-parts":[["2018"]]}},"label":"page","suppress-author":true}],"schema":"https://github.com/citation-style-language/schema/raw/master/csl-citation.json"} </w:instrText>
      </w:r>
      <w:r w:rsidR="00B7715A">
        <w:fldChar w:fldCharType="separate"/>
      </w:r>
      <w:r w:rsidR="00B7715A" w:rsidRPr="00B7715A">
        <w:rPr>
          <w:rFonts w:ascii="Aptos" w:hAnsi="Aptos"/>
        </w:rPr>
        <w:t>(2018)</w:t>
      </w:r>
      <w:r w:rsidR="00B7715A">
        <w:fldChar w:fldCharType="end"/>
      </w:r>
      <w:r w:rsidR="00B7715A">
        <w:t>.</w:t>
      </w:r>
      <w:r w:rsidR="00781CAB">
        <w:t xml:space="preserve"> </w:t>
      </w:r>
      <w:r w:rsidR="00B7715A">
        <w:t xml:space="preserve"> </w:t>
      </w:r>
      <w:r w:rsidR="00F52793">
        <w:t xml:space="preserve">For the employer, and by proxy, for </w:t>
      </w:r>
      <w:r w:rsidR="006431CF">
        <w:t>an</w:t>
      </w:r>
      <w:r w:rsidR="00F52793">
        <w:t xml:space="preserve"> economy, </w:t>
      </w:r>
      <w:r w:rsidR="00121E57">
        <w:t>authentic</w:t>
      </w:r>
      <w:r w:rsidR="00F52793">
        <w:t xml:space="preserve"> assessment </w:t>
      </w:r>
      <w:r w:rsidR="00EE5FED">
        <w:t>increase</w:t>
      </w:r>
      <w:r w:rsidR="0014378D">
        <w:t>s</w:t>
      </w:r>
      <w:r w:rsidR="00EE5FED">
        <w:t xml:space="preserve"> the prospect </w:t>
      </w:r>
      <w:r w:rsidR="006431CF">
        <w:t xml:space="preserve">of </w:t>
      </w:r>
      <w:r w:rsidR="00B14600">
        <w:t>learners</w:t>
      </w:r>
      <w:r w:rsidR="007B18A5">
        <w:t xml:space="preserve"> experiencing </w:t>
      </w:r>
      <w:r w:rsidR="001823C7">
        <w:t xml:space="preserve">problem solving, </w:t>
      </w:r>
      <w:r w:rsidR="0014378D">
        <w:t xml:space="preserve">strategic </w:t>
      </w:r>
      <w:r w:rsidR="00190647">
        <w:t>planning and</w:t>
      </w:r>
      <w:r w:rsidR="008B00FF">
        <w:t xml:space="preserve"> thus</w:t>
      </w:r>
      <w:r w:rsidR="00190647">
        <w:t xml:space="preserve"> </w:t>
      </w:r>
      <w:r w:rsidR="00B14600">
        <w:t xml:space="preserve">building transferable skills </w:t>
      </w:r>
      <w:r w:rsidR="001F49D8">
        <w:t xml:space="preserve">useable in the workplace </w:t>
      </w:r>
      <w:r w:rsidR="00B14600">
        <w:fldChar w:fldCharType="begin"/>
      </w:r>
      <w:r w:rsidR="007E1CB7">
        <w:instrText xml:space="preserve"> ADDIN ZOTERO_ITEM CSL_CITATION {"citationID":"HQhmA8k0","properties":{"formattedCitation":"(Villarroel {\\i{}et al.}, 2018)","plainCitation":"(Villarroel et al., 2018)","noteIndex":0},"citationItems":[{"id":4400,"uris":["http://zotero.org/users/171522/items/QZLJ25XV"],"itemData":{"id":4400,"type":"article-journal","abstract":"Authenticity has been identified as a key characteristic of assessment design which promotes learning. Authentic assessment aims to replicate the tasks and performance standards typically found in the world of work, and has been found to have a positive impact on student learning, autonomy, motivation, self-regulation and metacognition; abilities highly related to employability. Despite these benefits, there are significant barriers to the introduction of authentic assessment, particularly where there is a tradition of‘testing’decontextualised subject knowledge. One barrier may be the lack of conceptualisation of the term authentic assessment sufficient to inform assessment design at the individual course level. This article tackles that omission by a systematic review of literature from 1988 to 2015. Thirteen consistent characteristics of authentic assessment are identified leading to the classification of three conceptual dimensions: realism, cognitive challenge and evaluative judgement. These dimensions are elaborated and used to propose a step-based model for designing and operating authentic assessment in individual higher education subjects.","container-title":"Assessment &amp; Evaluation in Higher Education","issue":"5","language":"en","page":"840-854","source":"Zotero","title":"Authentic assessment: creating a blueprint for course design","volume":"43","author":[{"family":"Villarroel","given":"Verónica"},{"family":"Bloxham","given":"Susan"},{"family":"Bruna","given":"Daniela"},{"family":"Bruna","given":"Carola"},{"family":"Herrera-Seda","given":"Constanza"}],"issued":{"date-parts":[["2018"]]}}}],"schema":"https://github.com/citation-style-language/schema/raw/master/csl-citation.json"} </w:instrText>
      </w:r>
      <w:r w:rsidR="00B14600">
        <w:fldChar w:fldCharType="separate"/>
      </w:r>
      <w:r w:rsidR="007E1CB7" w:rsidRPr="007E1CB7">
        <w:rPr>
          <w:rFonts w:ascii="Aptos" w:hAnsi="Aptos" w:cs="Times New Roman"/>
          <w:kern w:val="0"/>
        </w:rPr>
        <w:t xml:space="preserve">(Villarroel </w:t>
      </w:r>
      <w:r w:rsidR="007E1CB7" w:rsidRPr="007E1CB7">
        <w:rPr>
          <w:rFonts w:ascii="Aptos" w:hAnsi="Aptos" w:cs="Times New Roman"/>
          <w:i/>
          <w:iCs/>
          <w:kern w:val="0"/>
        </w:rPr>
        <w:t>et al.</w:t>
      </w:r>
      <w:r w:rsidR="007E1CB7" w:rsidRPr="007E1CB7">
        <w:rPr>
          <w:rFonts w:ascii="Aptos" w:hAnsi="Aptos" w:cs="Times New Roman"/>
          <w:kern w:val="0"/>
        </w:rPr>
        <w:t>, 2018)</w:t>
      </w:r>
      <w:r w:rsidR="00B14600">
        <w:fldChar w:fldCharType="end"/>
      </w:r>
      <w:r w:rsidR="00B14600">
        <w:t xml:space="preserve">. </w:t>
      </w:r>
      <w:r w:rsidR="0084289E">
        <w:t>Most</w:t>
      </w:r>
      <w:r w:rsidR="00DB17A9">
        <w:t xml:space="preserve"> employers </w:t>
      </w:r>
      <w:r w:rsidR="00DC37C1">
        <w:t xml:space="preserve">want to </w:t>
      </w:r>
      <w:r w:rsidR="005E2860">
        <w:t>recruit learners</w:t>
      </w:r>
      <w:r w:rsidR="0084289E">
        <w:t xml:space="preserve"> who</w:t>
      </w:r>
      <w:r w:rsidR="00DC37C1">
        <w:t xml:space="preserve"> </w:t>
      </w:r>
      <w:r w:rsidR="00574ECB">
        <w:t>have</w:t>
      </w:r>
      <w:r w:rsidR="00092F58">
        <w:t xml:space="preserve"> </w:t>
      </w:r>
      <w:r w:rsidR="0084289E">
        <w:t>th</w:t>
      </w:r>
      <w:r w:rsidR="001F49D8">
        <w:t xml:space="preserve">is </w:t>
      </w:r>
      <w:r w:rsidR="001F49D8">
        <w:t>new vocationalism</w:t>
      </w:r>
      <w:r w:rsidR="00574ECB">
        <w:t>, a</w:t>
      </w:r>
      <w:r w:rsidR="00DC37C1">
        <w:t xml:space="preserve"> “willingness and </w:t>
      </w:r>
      <w:r w:rsidR="00C53127">
        <w:t>ability</w:t>
      </w:r>
      <w:r w:rsidR="00DC37C1">
        <w:t xml:space="preserve"> to learn”</w:t>
      </w:r>
      <w:r w:rsidR="00574ECB">
        <w:t xml:space="preserve">, </w:t>
      </w:r>
      <w:r w:rsidR="00C145B8">
        <w:t>which</w:t>
      </w:r>
      <w:r w:rsidR="00DC22C7">
        <w:t xml:space="preserve"> authentic assessment </w:t>
      </w:r>
      <w:r w:rsidR="009630A1">
        <w:t xml:space="preserve">demonstrates </w:t>
      </w:r>
      <w:r w:rsidR="005E2860">
        <w:fldChar w:fldCharType="begin"/>
      </w:r>
      <w:r w:rsidR="005E2860">
        <w:instrText xml:space="preserve"> ADDIN ZOTERO_ITEM CSL_CITATION {"citationID":"kWBcc2A5","properties":{"formattedCitation":"(Bourner, Greener and Rospigliosi, 2011, p. 14)","plainCitation":"(Bourner, Greener and Rospigliosi, 2011, p. 14)","noteIndex":0},"citationItems":[{"id":1320,"uris":["http://zotero.org/users/171522/items/PE237CGY"],"itemData":{"id":1320,"type":"article-journal","container-title":"Higher Education Review","issue":"3","page":"5–30","title":"Graduate Employability and the Propensity to Learn in Employment: A New Vocationalism.","volume":"43","author":[{"family":"Bourner","given":"Tom"},{"family":"Greener","given":"Sue"},{"family":"Rospigliosi","given":"Asher"}],"issued":{"date-parts":[["2011"]]}},"locator":"14","label":"page"}],"schema":"https://github.com/citation-style-language/schema/raw/master/csl-citation.json"} </w:instrText>
      </w:r>
      <w:r w:rsidR="005E2860">
        <w:fldChar w:fldCharType="separate"/>
      </w:r>
      <w:r w:rsidR="005E2860" w:rsidRPr="005E2860">
        <w:rPr>
          <w:rFonts w:ascii="Aptos" w:hAnsi="Aptos"/>
        </w:rPr>
        <w:t>(</w:t>
      </w:r>
      <w:proofErr w:type="spellStart"/>
      <w:r w:rsidR="005E2860" w:rsidRPr="005E2860">
        <w:rPr>
          <w:rFonts w:ascii="Aptos" w:hAnsi="Aptos"/>
        </w:rPr>
        <w:t>Bourner</w:t>
      </w:r>
      <w:proofErr w:type="spellEnd"/>
      <w:r w:rsidR="005E2860" w:rsidRPr="005E2860">
        <w:rPr>
          <w:rFonts w:ascii="Aptos" w:hAnsi="Aptos"/>
        </w:rPr>
        <w:t>, Greener and Rospigliosi, 2011, p. 14)</w:t>
      </w:r>
      <w:r w:rsidR="005E2860">
        <w:fldChar w:fldCharType="end"/>
      </w:r>
      <w:r w:rsidR="009630A1">
        <w:t xml:space="preserve">.  </w:t>
      </w:r>
    </w:p>
    <w:p w14:paraId="09638F8D" w14:textId="31F0EA35" w:rsidR="003109AB" w:rsidRDefault="00B205EB">
      <w:r w:rsidRPr="00A364C8">
        <w:rPr>
          <w:b/>
          <w:bCs/>
        </w:rPr>
        <w:t>How does authentic assessment relate to interactive learning environments?</w:t>
      </w:r>
      <w:r w:rsidRPr="00A364C8">
        <w:rPr>
          <w:b/>
          <w:bCs/>
        </w:rPr>
        <w:br/>
      </w:r>
      <w:r w:rsidR="004C6511">
        <w:t xml:space="preserve">Interactive learning environments have the capacity to </w:t>
      </w:r>
      <w:r w:rsidR="00F857CE">
        <w:t xml:space="preserve">contribute to </w:t>
      </w:r>
      <w:r w:rsidR="00E3160C">
        <w:t>situated</w:t>
      </w:r>
      <w:r w:rsidR="00E3160C">
        <w:t xml:space="preserve"> </w:t>
      </w:r>
      <w:r w:rsidR="00F857CE">
        <w:t>learning</w:t>
      </w:r>
      <w:r w:rsidR="00DB384B">
        <w:t xml:space="preserve">. </w:t>
      </w:r>
      <w:r w:rsidR="00C464E7">
        <w:t xml:space="preserve">When the case for authentic </w:t>
      </w:r>
      <w:r w:rsidR="00CA652E">
        <w:t>assessment</w:t>
      </w:r>
      <w:r w:rsidR="00630077">
        <w:t xml:space="preserve"> </w:t>
      </w:r>
      <w:r w:rsidR="00C464E7">
        <w:t xml:space="preserve"> was made by </w:t>
      </w:r>
      <w:r w:rsidR="00FE29B4">
        <w:t>Grant Wiggins</w:t>
      </w:r>
      <w:r w:rsidR="0065303A">
        <w:t xml:space="preserve">, an early </w:t>
      </w:r>
      <w:r w:rsidR="00CA652E">
        <w:t>advocate</w:t>
      </w:r>
      <w:r w:rsidR="00E3160C">
        <w:t>,</w:t>
      </w:r>
      <w:r w:rsidR="00FE29B4">
        <w:t xml:space="preserve"> </w:t>
      </w:r>
      <w:r w:rsidR="00E82939">
        <w:t xml:space="preserve">he </w:t>
      </w:r>
      <w:r w:rsidR="00CA652E">
        <w:t>proposed it</w:t>
      </w:r>
      <w:r w:rsidR="00905072">
        <w:t xml:space="preserve"> “</w:t>
      </w:r>
      <w:r w:rsidR="00905072" w:rsidRPr="00905072">
        <w:t>primarily support the needs of learne</w:t>
      </w:r>
      <w:r w:rsidR="00630077">
        <w:t>r</w:t>
      </w:r>
      <w:r w:rsidR="00905072">
        <w:t>”</w:t>
      </w:r>
      <w:r w:rsidR="00630077">
        <w:t xml:space="preserve"> </w:t>
      </w:r>
      <w:r w:rsidR="00450CDC">
        <w:fldChar w:fldCharType="begin"/>
      </w:r>
      <w:r w:rsidR="00450CDC">
        <w:instrText xml:space="preserve"> ADDIN ZOTERO_ITEM CSL_CITATION {"citationID":"23eTtU3K","properties":{"formattedCitation":"(1990, p. 1)","plainCitation":"(1990, p. 1)","noteIndex":0},"citationItems":[{"id":4405,"uris":["http://zotero.org/users/171522/items/MZKMYQTL"],"itemData":{"id":4405,"type":"article-journal","container-title":"Practical assessment, research, and evaluation","issue":"1","note":"publisher: University of Massachusetts Amherst Libraries","title":"The case for authentic assessment","volume":"2","author":[{"family":"Wiggins","given":"Grant"}],"issued":{"date-parts":[["1990"]]}},"locator":"1","label":"page","suppress-author":true}],"schema":"https://github.com/citation-style-language/schema/raw/master/csl-citation.json"} </w:instrText>
      </w:r>
      <w:r w:rsidR="00450CDC">
        <w:fldChar w:fldCharType="separate"/>
      </w:r>
      <w:r w:rsidR="00450CDC" w:rsidRPr="00450CDC">
        <w:rPr>
          <w:rFonts w:ascii="Aptos" w:hAnsi="Aptos"/>
        </w:rPr>
        <w:t>(1990, p. 1)</w:t>
      </w:r>
      <w:r w:rsidR="00450CDC">
        <w:fldChar w:fldCharType="end"/>
      </w:r>
      <w:r w:rsidR="00450CDC">
        <w:t>.</w:t>
      </w:r>
      <w:r w:rsidR="007804BE">
        <w:t xml:space="preserve"> This he suggested </w:t>
      </w:r>
      <w:r w:rsidR="00CA652E">
        <w:t xml:space="preserve">would generate </w:t>
      </w:r>
      <w:r w:rsidR="00F92890">
        <w:t>“</w:t>
      </w:r>
      <w:r w:rsidR="00F92890" w:rsidRPr="00F92890">
        <w:t>directly observable products and understandable evidenc</w:t>
      </w:r>
      <w:r w:rsidR="00F92890">
        <w:t>e”</w:t>
      </w:r>
      <w:r w:rsidR="00F2639F">
        <w:t xml:space="preserve"> </w:t>
      </w:r>
      <w:r w:rsidR="00F2639F">
        <w:fldChar w:fldCharType="begin"/>
      </w:r>
      <w:r w:rsidR="00F2639F">
        <w:instrText xml:space="preserve"> ADDIN ZOTERO_ITEM CSL_CITATION {"citationID":"CguTrxio","properties":{"formattedCitation":"(Wiggins, 1990, p. 3)","plainCitation":"(Wiggins, 1990, p. 3)","noteIndex":0},"citationItems":[{"id":4405,"uris":["http://zotero.org/users/171522/items/MZKMYQTL"],"itemData":{"id":4405,"type":"article-journal","container-title":"Practical assessment, research, and evaluation","issue":"1","note":"publisher: University of Massachusetts Amherst Libraries","title":"The case for authentic assessment","volume":"2","author":[{"family":"Wiggins","given":"Grant"}],"issued":{"date-parts":[["1990"]]}},"locator":"3","label":"page"}],"schema":"https://github.com/citation-style-language/schema/raw/master/csl-citation.json"} </w:instrText>
      </w:r>
      <w:r w:rsidR="00F2639F">
        <w:fldChar w:fldCharType="separate"/>
      </w:r>
      <w:r w:rsidR="00F2639F" w:rsidRPr="00F2639F">
        <w:rPr>
          <w:rFonts w:ascii="Aptos" w:hAnsi="Aptos"/>
        </w:rPr>
        <w:t>(Wiggins, 1990, p. 3)</w:t>
      </w:r>
      <w:r w:rsidR="00F2639F">
        <w:fldChar w:fldCharType="end"/>
      </w:r>
      <w:r w:rsidR="00F2639F">
        <w:t>.</w:t>
      </w:r>
      <w:r w:rsidR="00A364C8">
        <w:t xml:space="preserve"> I</w:t>
      </w:r>
      <w:r w:rsidR="00064E14">
        <w:t xml:space="preserve">t is in the ability for interactive learning environments to generate </w:t>
      </w:r>
      <w:r w:rsidR="002F604B">
        <w:t>observable</w:t>
      </w:r>
      <w:r w:rsidR="00274CA9">
        <w:t xml:space="preserve"> </w:t>
      </w:r>
      <w:r w:rsidR="005934F9">
        <w:t>engagement</w:t>
      </w:r>
      <w:r w:rsidR="00274CA9">
        <w:t xml:space="preserve"> that there is</w:t>
      </w:r>
      <w:r w:rsidR="002F604B">
        <w:t xml:space="preserve"> </w:t>
      </w:r>
      <w:r w:rsidR="00274CA9">
        <w:t xml:space="preserve">particular potential for more authentic measures of performance to be </w:t>
      </w:r>
      <w:r w:rsidR="00FA6328">
        <w:t xml:space="preserve">demonstrated </w:t>
      </w:r>
      <w:r w:rsidR="00E96E7C">
        <w:t xml:space="preserve">in </w:t>
      </w:r>
      <w:r w:rsidR="002F604B">
        <w:t>teaching</w:t>
      </w:r>
      <w:r w:rsidR="00BD2D90">
        <w:t>, learning and assessment</w:t>
      </w:r>
      <w:r w:rsidR="00FA6328">
        <w:t xml:space="preserve"> mediated </w:t>
      </w:r>
      <w:r w:rsidR="00E96E7C">
        <w:t xml:space="preserve">through </w:t>
      </w:r>
      <w:r w:rsidR="00FA6328">
        <w:t>digital systems</w:t>
      </w:r>
      <w:r w:rsidR="00BD2D90">
        <w:t xml:space="preserve">. The </w:t>
      </w:r>
      <w:r w:rsidR="00C326D0">
        <w:t>technologies</w:t>
      </w:r>
      <w:r w:rsidR="00BD2D90">
        <w:t xml:space="preserve"> we use to </w:t>
      </w:r>
      <w:r w:rsidR="00057C2A">
        <w:t xml:space="preserve">host, display and respond as learning environments all </w:t>
      </w:r>
      <w:r w:rsidR="00D864DF">
        <w:t xml:space="preserve">create detailed records of interactions. Learning analytics is a </w:t>
      </w:r>
      <w:r w:rsidR="0063124F">
        <w:t>burgeoning</w:t>
      </w:r>
      <w:r w:rsidR="00D864DF">
        <w:t xml:space="preserve"> </w:t>
      </w:r>
      <w:r w:rsidR="00DD3F22">
        <w:t>science</w:t>
      </w:r>
      <w:r w:rsidR="00D864DF">
        <w:t xml:space="preserve"> of </w:t>
      </w:r>
      <w:r w:rsidR="001B1959">
        <w:t xml:space="preserve">sense </w:t>
      </w:r>
      <w:r w:rsidR="00DD3F22">
        <w:t>making</w:t>
      </w:r>
      <w:r w:rsidR="003A739A">
        <w:t xml:space="preserve">, allowing a wide range of student </w:t>
      </w:r>
      <w:r w:rsidR="001B4801">
        <w:t>engagement to be quantified and</w:t>
      </w:r>
      <w:r w:rsidR="00FB7985">
        <w:t xml:space="preserve"> thus assessed</w:t>
      </w:r>
      <w:r w:rsidR="001B1959">
        <w:t xml:space="preserve">. As more </w:t>
      </w:r>
      <w:r w:rsidR="00DD3F22">
        <w:t>aspects</w:t>
      </w:r>
      <w:r w:rsidR="00205003">
        <w:t xml:space="preserve"> </w:t>
      </w:r>
      <w:r w:rsidR="001B1959">
        <w:t xml:space="preserve">of student </w:t>
      </w:r>
      <w:r w:rsidR="00DD3F22">
        <w:t>engagement</w:t>
      </w:r>
      <w:r w:rsidR="001B1959">
        <w:t xml:space="preserve"> with </w:t>
      </w:r>
      <w:r w:rsidR="000544CE">
        <w:t xml:space="preserve">learning resources and activities are </w:t>
      </w:r>
      <w:r w:rsidR="000A22A1">
        <w:t>performed on</w:t>
      </w:r>
      <w:r w:rsidR="000544CE">
        <w:t xml:space="preserve"> interactive systems, the opportunities </w:t>
      </w:r>
      <w:r w:rsidR="000544CE">
        <w:lastRenderedPageBreak/>
        <w:t xml:space="preserve">multiply to use the </w:t>
      </w:r>
      <w:r w:rsidR="00565D1A">
        <w:t xml:space="preserve">activities </w:t>
      </w:r>
      <w:r w:rsidR="00205003">
        <w:t xml:space="preserve">themselves </w:t>
      </w:r>
      <w:r w:rsidR="00306756">
        <w:t>to assesses</w:t>
      </w:r>
      <w:r w:rsidR="00565D1A">
        <w:t xml:space="preserve"> learning rather than </w:t>
      </w:r>
      <w:r w:rsidR="00DD3F22">
        <w:t xml:space="preserve">rely on </w:t>
      </w:r>
      <w:r w:rsidR="00565D1A">
        <w:t xml:space="preserve">contrived measures to recap </w:t>
      </w:r>
      <w:r w:rsidR="008F3550">
        <w:t>understanding</w:t>
      </w:r>
      <w:r w:rsidR="00565D1A">
        <w:t xml:space="preserve"> later.</w:t>
      </w:r>
    </w:p>
    <w:p w14:paraId="3427A050" w14:textId="3ADB9C7E" w:rsidR="00FF23B9" w:rsidRDefault="00FF23B9">
      <w:r>
        <w:t>This editorial is not suggesting that the role of the essay</w:t>
      </w:r>
      <w:r w:rsidR="00A27B5E">
        <w:t xml:space="preserve">, </w:t>
      </w:r>
      <w:r w:rsidR="00CB56E6">
        <w:t xml:space="preserve">the </w:t>
      </w:r>
      <w:r w:rsidR="00A27B5E">
        <w:t xml:space="preserve">dissertation or </w:t>
      </w:r>
      <w:r w:rsidR="00CB56E6">
        <w:t xml:space="preserve">the </w:t>
      </w:r>
      <w:r w:rsidR="00A27B5E">
        <w:t xml:space="preserve">exam is redundant. As a means to demonstrate </w:t>
      </w:r>
      <w:r w:rsidR="000A2CD2">
        <w:t xml:space="preserve">declarative knowledge, construct a logical argument and </w:t>
      </w:r>
      <w:r w:rsidR="003E4DDE">
        <w:t xml:space="preserve">show familiarity with the conventions of </w:t>
      </w:r>
      <w:r w:rsidR="00CB56E6">
        <w:t xml:space="preserve">the </w:t>
      </w:r>
      <w:r w:rsidR="00816433">
        <w:t>literature</w:t>
      </w:r>
      <w:r w:rsidR="003E4DDE">
        <w:t xml:space="preserve"> and </w:t>
      </w:r>
      <w:r w:rsidR="00816433">
        <w:t>academi</w:t>
      </w:r>
      <w:r w:rsidR="0056691E">
        <w:t>c practice</w:t>
      </w:r>
      <w:r w:rsidR="003E4DDE">
        <w:t xml:space="preserve"> in a field, the </w:t>
      </w:r>
      <w:r w:rsidR="009B1D46">
        <w:t>essay is a fine form. But it is worth considering the potential value to learners</w:t>
      </w:r>
      <w:r w:rsidR="00816433">
        <w:t>, teachers and society to not limiting assessment to what can be written about.</w:t>
      </w:r>
    </w:p>
    <w:p w14:paraId="465F453E" w14:textId="45F932E8" w:rsidR="00B1691D" w:rsidRPr="00E33D2F" w:rsidRDefault="00B1691D">
      <w:pPr>
        <w:rPr>
          <w:b/>
          <w:bCs/>
        </w:rPr>
      </w:pPr>
      <w:r w:rsidRPr="00E33D2F">
        <w:rPr>
          <w:b/>
          <w:bCs/>
        </w:rPr>
        <w:t>Refe</w:t>
      </w:r>
      <w:r w:rsidR="00E33D2F" w:rsidRPr="00E33D2F">
        <w:rPr>
          <w:b/>
          <w:bCs/>
        </w:rPr>
        <w:t>re</w:t>
      </w:r>
      <w:r w:rsidRPr="00E33D2F">
        <w:rPr>
          <w:b/>
          <w:bCs/>
        </w:rPr>
        <w:t>nces</w:t>
      </w:r>
    </w:p>
    <w:p w14:paraId="4FA7C0F1" w14:textId="77777777" w:rsidR="00E33D2F" w:rsidRPr="00E33D2F" w:rsidRDefault="00E33D2F" w:rsidP="00E33D2F">
      <w:pPr>
        <w:pStyle w:val="Bibliography"/>
        <w:rPr>
          <w:rFonts w:ascii="Aptos" w:hAnsi="Aptos"/>
        </w:rPr>
      </w:pPr>
      <w:r>
        <w:fldChar w:fldCharType="begin"/>
      </w:r>
      <w:r>
        <w:instrText xml:space="preserve"> ADDIN ZOTERO_BIBL {"uncited":[],"omitted":[],"custom":[]} CSL_BIBLIOGRAPHY </w:instrText>
      </w:r>
      <w:r>
        <w:fldChar w:fldCharType="separate"/>
      </w:r>
      <w:r w:rsidRPr="00E33D2F">
        <w:rPr>
          <w:rFonts w:ascii="Aptos" w:hAnsi="Aptos"/>
        </w:rPr>
        <w:t xml:space="preserve">Biggs, J.B. and Tang, C.S. (2011) </w:t>
      </w:r>
      <w:r w:rsidRPr="00E33D2F">
        <w:rPr>
          <w:rFonts w:ascii="Aptos" w:hAnsi="Aptos"/>
          <w:i/>
          <w:iCs/>
        </w:rPr>
        <w:t>Teaching for quality learning at university: what the student does</w:t>
      </w:r>
      <w:r w:rsidRPr="00E33D2F">
        <w:rPr>
          <w:rFonts w:ascii="Aptos" w:hAnsi="Aptos"/>
        </w:rPr>
        <w:t>. 4. ed. Maidenhead: McGraw-Hill, Society for Research into Higher Education &amp; Open University Press (SRHE and Open University Press imprint).</w:t>
      </w:r>
    </w:p>
    <w:p w14:paraId="71A1B211" w14:textId="77777777" w:rsidR="00E33D2F" w:rsidRPr="00E33D2F" w:rsidRDefault="00E33D2F" w:rsidP="00E33D2F">
      <w:pPr>
        <w:pStyle w:val="Bibliography"/>
        <w:rPr>
          <w:rFonts w:ascii="Aptos" w:hAnsi="Aptos"/>
        </w:rPr>
      </w:pPr>
      <w:r w:rsidRPr="00E33D2F">
        <w:rPr>
          <w:rFonts w:ascii="Aptos" w:hAnsi="Aptos"/>
        </w:rPr>
        <w:t xml:space="preserve">Bourner, T., Greener, S. and Rospigliosi, A. (2011) ‘Graduate Employability and the Propensity to Learn in Employment: A New Vocationalism.’, </w:t>
      </w:r>
      <w:r w:rsidRPr="00E33D2F">
        <w:rPr>
          <w:rFonts w:ascii="Aptos" w:hAnsi="Aptos"/>
          <w:i/>
          <w:iCs/>
        </w:rPr>
        <w:t>Higher Education Review</w:t>
      </w:r>
      <w:r w:rsidRPr="00E33D2F">
        <w:rPr>
          <w:rFonts w:ascii="Aptos" w:hAnsi="Aptos"/>
        </w:rPr>
        <w:t>, 43(3), pp. 5–30.</w:t>
      </w:r>
    </w:p>
    <w:p w14:paraId="6339322E" w14:textId="77777777" w:rsidR="00E33D2F" w:rsidRPr="00E33D2F" w:rsidRDefault="00E33D2F" w:rsidP="00E33D2F">
      <w:pPr>
        <w:pStyle w:val="Bibliography"/>
        <w:rPr>
          <w:rFonts w:ascii="Aptos" w:hAnsi="Aptos"/>
        </w:rPr>
      </w:pPr>
      <w:r w:rsidRPr="00E33D2F">
        <w:rPr>
          <w:rFonts w:ascii="Aptos" w:hAnsi="Aptos"/>
        </w:rPr>
        <w:t xml:space="preserve">Villarroel, V. </w:t>
      </w:r>
      <w:r w:rsidRPr="00E33D2F">
        <w:rPr>
          <w:rFonts w:ascii="Aptos" w:hAnsi="Aptos"/>
          <w:i/>
          <w:iCs/>
        </w:rPr>
        <w:t>et al.</w:t>
      </w:r>
      <w:r w:rsidRPr="00E33D2F">
        <w:rPr>
          <w:rFonts w:ascii="Aptos" w:hAnsi="Aptos"/>
        </w:rPr>
        <w:t xml:space="preserve"> (2018) ‘Authentic assessment: creating a blueprint for course design’, </w:t>
      </w:r>
      <w:r w:rsidRPr="00E33D2F">
        <w:rPr>
          <w:rFonts w:ascii="Aptos" w:hAnsi="Aptos"/>
          <w:i/>
          <w:iCs/>
        </w:rPr>
        <w:t>Assessment &amp; Evaluation in Higher Education</w:t>
      </w:r>
      <w:r w:rsidRPr="00E33D2F">
        <w:rPr>
          <w:rFonts w:ascii="Aptos" w:hAnsi="Aptos"/>
        </w:rPr>
        <w:t>, 43(5), pp. 840–854.</w:t>
      </w:r>
    </w:p>
    <w:p w14:paraId="2447003B" w14:textId="77777777" w:rsidR="00E33D2F" w:rsidRPr="00E33D2F" w:rsidRDefault="00E33D2F" w:rsidP="00E33D2F">
      <w:pPr>
        <w:pStyle w:val="Bibliography"/>
        <w:rPr>
          <w:rFonts w:ascii="Aptos" w:hAnsi="Aptos"/>
        </w:rPr>
      </w:pPr>
      <w:r w:rsidRPr="00E33D2F">
        <w:rPr>
          <w:rFonts w:ascii="Aptos" w:hAnsi="Aptos"/>
        </w:rPr>
        <w:t xml:space="preserve">Wiggins, G. (1990) ‘The case for authentic assessment’, </w:t>
      </w:r>
      <w:r w:rsidRPr="00E33D2F">
        <w:rPr>
          <w:rFonts w:ascii="Aptos" w:hAnsi="Aptos"/>
          <w:i/>
          <w:iCs/>
        </w:rPr>
        <w:t>Practical assessment, research, and evaluation</w:t>
      </w:r>
      <w:r w:rsidRPr="00E33D2F">
        <w:rPr>
          <w:rFonts w:ascii="Aptos" w:hAnsi="Aptos"/>
        </w:rPr>
        <w:t>, 2(1).</w:t>
      </w:r>
    </w:p>
    <w:p w14:paraId="47722744" w14:textId="4BA7EE6E" w:rsidR="00E33D2F" w:rsidRDefault="00E33D2F">
      <w:r>
        <w:fldChar w:fldCharType="end"/>
      </w:r>
    </w:p>
    <w:p w14:paraId="3BCA42ED" w14:textId="77777777" w:rsidR="00B1691D" w:rsidRDefault="00B1691D"/>
    <w:p w14:paraId="22D1B879" w14:textId="77777777" w:rsidR="00050F9E" w:rsidRDefault="00050F9E"/>
    <w:sectPr w:rsidR="00050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9E"/>
    <w:rsid w:val="00004D20"/>
    <w:rsid w:val="0002097F"/>
    <w:rsid w:val="000235D5"/>
    <w:rsid w:val="0003284F"/>
    <w:rsid w:val="00034F32"/>
    <w:rsid w:val="00050F9E"/>
    <w:rsid w:val="000544CE"/>
    <w:rsid w:val="00057C2A"/>
    <w:rsid w:val="00064C9A"/>
    <w:rsid w:val="00064E14"/>
    <w:rsid w:val="000819F9"/>
    <w:rsid w:val="00092F58"/>
    <w:rsid w:val="000A22A1"/>
    <w:rsid w:val="000A2C54"/>
    <w:rsid w:val="000A2CD2"/>
    <w:rsid w:val="00100D2E"/>
    <w:rsid w:val="001019B9"/>
    <w:rsid w:val="001154FB"/>
    <w:rsid w:val="00121E57"/>
    <w:rsid w:val="00141838"/>
    <w:rsid w:val="0014378D"/>
    <w:rsid w:val="001823C7"/>
    <w:rsid w:val="00190647"/>
    <w:rsid w:val="001B1959"/>
    <w:rsid w:val="001B4801"/>
    <w:rsid w:val="001C6423"/>
    <w:rsid w:val="001D10CA"/>
    <w:rsid w:val="001D7686"/>
    <w:rsid w:val="001E720E"/>
    <w:rsid w:val="001F49D8"/>
    <w:rsid w:val="0020151F"/>
    <w:rsid w:val="00205003"/>
    <w:rsid w:val="00233258"/>
    <w:rsid w:val="00262204"/>
    <w:rsid w:val="00274CA9"/>
    <w:rsid w:val="002C513B"/>
    <w:rsid w:val="002D6FCF"/>
    <w:rsid w:val="002E1B4E"/>
    <w:rsid w:val="002F604B"/>
    <w:rsid w:val="00306756"/>
    <w:rsid w:val="003109AB"/>
    <w:rsid w:val="00324098"/>
    <w:rsid w:val="0034412F"/>
    <w:rsid w:val="00353D17"/>
    <w:rsid w:val="00360CF7"/>
    <w:rsid w:val="00372182"/>
    <w:rsid w:val="00373471"/>
    <w:rsid w:val="003A739A"/>
    <w:rsid w:val="003B5161"/>
    <w:rsid w:val="003E4DDE"/>
    <w:rsid w:val="003E6BEE"/>
    <w:rsid w:val="003F1C2F"/>
    <w:rsid w:val="003F2476"/>
    <w:rsid w:val="003F4DAA"/>
    <w:rsid w:val="004144CA"/>
    <w:rsid w:val="00433A9F"/>
    <w:rsid w:val="00450CDC"/>
    <w:rsid w:val="004535AE"/>
    <w:rsid w:val="00454E03"/>
    <w:rsid w:val="00481F9C"/>
    <w:rsid w:val="004A1930"/>
    <w:rsid w:val="004C6511"/>
    <w:rsid w:val="004D1AA1"/>
    <w:rsid w:val="00565D1A"/>
    <w:rsid w:val="0056691E"/>
    <w:rsid w:val="00574ECB"/>
    <w:rsid w:val="005934F9"/>
    <w:rsid w:val="005B5500"/>
    <w:rsid w:val="005E2860"/>
    <w:rsid w:val="005F40E1"/>
    <w:rsid w:val="005F42D3"/>
    <w:rsid w:val="00601F80"/>
    <w:rsid w:val="006250CD"/>
    <w:rsid w:val="00630077"/>
    <w:rsid w:val="0063124F"/>
    <w:rsid w:val="0064234C"/>
    <w:rsid w:val="006431CF"/>
    <w:rsid w:val="0064732C"/>
    <w:rsid w:val="0065303A"/>
    <w:rsid w:val="00667FEA"/>
    <w:rsid w:val="00676EDD"/>
    <w:rsid w:val="006862D7"/>
    <w:rsid w:val="006A51F2"/>
    <w:rsid w:val="006B4281"/>
    <w:rsid w:val="006D0075"/>
    <w:rsid w:val="006F6BE9"/>
    <w:rsid w:val="0071255E"/>
    <w:rsid w:val="0072687C"/>
    <w:rsid w:val="0073256C"/>
    <w:rsid w:val="007327D0"/>
    <w:rsid w:val="00737D19"/>
    <w:rsid w:val="007751A2"/>
    <w:rsid w:val="007804BE"/>
    <w:rsid w:val="00781CAB"/>
    <w:rsid w:val="007B18A5"/>
    <w:rsid w:val="007E1CB7"/>
    <w:rsid w:val="007F07DE"/>
    <w:rsid w:val="00811BB8"/>
    <w:rsid w:val="00816433"/>
    <w:rsid w:val="00830410"/>
    <w:rsid w:val="008354DD"/>
    <w:rsid w:val="008357D0"/>
    <w:rsid w:val="0084289E"/>
    <w:rsid w:val="0085630F"/>
    <w:rsid w:val="0088622B"/>
    <w:rsid w:val="008B00FF"/>
    <w:rsid w:val="008D29BB"/>
    <w:rsid w:val="008F3550"/>
    <w:rsid w:val="00905072"/>
    <w:rsid w:val="00931A54"/>
    <w:rsid w:val="009568C5"/>
    <w:rsid w:val="009630A1"/>
    <w:rsid w:val="009A5854"/>
    <w:rsid w:val="009B1D46"/>
    <w:rsid w:val="009C4F65"/>
    <w:rsid w:val="009D1DC7"/>
    <w:rsid w:val="009D7A6C"/>
    <w:rsid w:val="00A27B5E"/>
    <w:rsid w:val="00A364C8"/>
    <w:rsid w:val="00A44242"/>
    <w:rsid w:val="00A53153"/>
    <w:rsid w:val="00AC0475"/>
    <w:rsid w:val="00AC06AC"/>
    <w:rsid w:val="00B14600"/>
    <w:rsid w:val="00B1691D"/>
    <w:rsid w:val="00B205EB"/>
    <w:rsid w:val="00B65DAA"/>
    <w:rsid w:val="00B7715A"/>
    <w:rsid w:val="00B814F1"/>
    <w:rsid w:val="00BD2D90"/>
    <w:rsid w:val="00BF565F"/>
    <w:rsid w:val="00C145B8"/>
    <w:rsid w:val="00C31750"/>
    <w:rsid w:val="00C326D0"/>
    <w:rsid w:val="00C430D7"/>
    <w:rsid w:val="00C464E7"/>
    <w:rsid w:val="00C53127"/>
    <w:rsid w:val="00C60BE5"/>
    <w:rsid w:val="00C74A14"/>
    <w:rsid w:val="00C963AF"/>
    <w:rsid w:val="00CA652E"/>
    <w:rsid w:val="00CB56E6"/>
    <w:rsid w:val="00CC1910"/>
    <w:rsid w:val="00CD61F3"/>
    <w:rsid w:val="00CE2A85"/>
    <w:rsid w:val="00D31226"/>
    <w:rsid w:val="00D32DA4"/>
    <w:rsid w:val="00D34A84"/>
    <w:rsid w:val="00D864DF"/>
    <w:rsid w:val="00DB17A9"/>
    <w:rsid w:val="00DB1E43"/>
    <w:rsid w:val="00DB30AD"/>
    <w:rsid w:val="00DB384B"/>
    <w:rsid w:val="00DC22C7"/>
    <w:rsid w:val="00DC37C1"/>
    <w:rsid w:val="00DD3F22"/>
    <w:rsid w:val="00DE1A69"/>
    <w:rsid w:val="00DE5466"/>
    <w:rsid w:val="00DE60FF"/>
    <w:rsid w:val="00E0178E"/>
    <w:rsid w:val="00E06C49"/>
    <w:rsid w:val="00E168D9"/>
    <w:rsid w:val="00E3160C"/>
    <w:rsid w:val="00E33D2F"/>
    <w:rsid w:val="00E406BF"/>
    <w:rsid w:val="00E44A1E"/>
    <w:rsid w:val="00E82939"/>
    <w:rsid w:val="00E94304"/>
    <w:rsid w:val="00E96E7C"/>
    <w:rsid w:val="00EA6BF2"/>
    <w:rsid w:val="00EB5F22"/>
    <w:rsid w:val="00EC1915"/>
    <w:rsid w:val="00EC2848"/>
    <w:rsid w:val="00ED1BDA"/>
    <w:rsid w:val="00EE5FED"/>
    <w:rsid w:val="00EE6628"/>
    <w:rsid w:val="00F13A5D"/>
    <w:rsid w:val="00F2639F"/>
    <w:rsid w:val="00F302C4"/>
    <w:rsid w:val="00F52793"/>
    <w:rsid w:val="00F857CE"/>
    <w:rsid w:val="00F92890"/>
    <w:rsid w:val="00FA6328"/>
    <w:rsid w:val="00FB7985"/>
    <w:rsid w:val="00FC0E36"/>
    <w:rsid w:val="00FD0C87"/>
    <w:rsid w:val="00FD7DC9"/>
    <w:rsid w:val="00FE0538"/>
    <w:rsid w:val="00FE29B4"/>
    <w:rsid w:val="00FF2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8C04"/>
  <w15:chartTrackingRefBased/>
  <w15:docId w15:val="{DD0A7A6A-BDFB-4497-A268-CE530AD1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0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0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0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0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0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0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0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0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0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0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0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0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0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0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0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0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0F9E"/>
    <w:rPr>
      <w:rFonts w:eastAsiaTheme="majorEastAsia" w:cstheme="majorBidi"/>
      <w:color w:val="272727" w:themeColor="text1" w:themeTint="D8"/>
    </w:rPr>
  </w:style>
  <w:style w:type="paragraph" w:styleId="Title">
    <w:name w:val="Title"/>
    <w:basedOn w:val="Normal"/>
    <w:next w:val="Normal"/>
    <w:link w:val="TitleChar"/>
    <w:uiPriority w:val="10"/>
    <w:qFormat/>
    <w:rsid w:val="00050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0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0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0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0F9E"/>
    <w:pPr>
      <w:spacing w:before="160"/>
      <w:jc w:val="center"/>
    </w:pPr>
    <w:rPr>
      <w:i/>
      <w:iCs/>
      <w:color w:val="404040" w:themeColor="text1" w:themeTint="BF"/>
    </w:rPr>
  </w:style>
  <w:style w:type="character" w:customStyle="1" w:styleId="QuoteChar">
    <w:name w:val="Quote Char"/>
    <w:basedOn w:val="DefaultParagraphFont"/>
    <w:link w:val="Quote"/>
    <w:uiPriority w:val="29"/>
    <w:rsid w:val="00050F9E"/>
    <w:rPr>
      <w:i/>
      <w:iCs/>
      <w:color w:val="404040" w:themeColor="text1" w:themeTint="BF"/>
    </w:rPr>
  </w:style>
  <w:style w:type="paragraph" w:styleId="ListParagraph">
    <w:name w:val="List Paragraph"/>
    <w:basedOn w:val="Normal"/>
    <w:uiPriority w:val="34"/>
    <w:qFormat/>
    <w:rsid w:val="00050F9E"/>
    <w:pPr>
      <w:ind w:left="720"/>
      <w:contextualSpacing/>
    </w:pPr>
  </w:style>
  <w:style w:type="character" w:styleId="IntenseEmphasis">
    <w:name w:val="Intense Emphasis"/>
    <w:basedOn w:val="DefaultParagraphFont"/>
    <w:uiPriority w:val="21"/>
    <w:qFormat/>
    <w:rsid w:val="00050F9E"/>
    <w:rPr>
      <w:i/>
      <w:iCs/>
      <w:color w:val="0F4761" w:themeColor="accent1" w:themeShade="BF"/>
    </w:rPr>
  </w:style>
  <w:style w:type="paragraph" w:styleId="IntenseQuote">
    <w:name w:val="Intense Quote"/>
    <w:basedOn w:val="Normal"/>
    <w:next w:val="Normal"/>
    <w:link w:val="IntenseQuoteChar"/>
    <w:uiPriority w:val="30"/>
    <w:qFormat/>
    <w:rsid w:val="00050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0F9E"/>
    <w:rPr>
      <w:i/>
      <w:iCs/>
      <w:color w:val="0F4761" w:themeColor="accent1" w:themeShade="BF"/>
    </w:rPr>
  </w:style>
  <w:style w:type="character" w:styleId="IntenseReference">
    <w:name w:val="Intense Reference"/>
    <w:basedOn w:val="DefaultParagraphFont"/>
    <w:uiPriority w:val="32"/>
    <w:qFormat/>
    <w:rsid w:val="00050F9E"/>
    <w:rPr>
      <w:b/>
      <w:bCs/>
      <w:smallCaps/>
      <w:color w:val="0F4761" w:themeColor="accent1" w:themeShade="BF"/>
      <w:spacing w:val="5"/>
    </w:rPr>
  </w:style>
  <w:style w:type="paragraph" w:styleId="Bibliography">
    <w:name w:val="Bibliography"/>
    <w:basedOn w:val="Normal"/>
    <w:next w:val="Normal"/>
    <w:uiPriority w:val="37"/>
    <w:unhideWhenUsed/>
    <w:rsid w:val="00E33D2F"/>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2</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 rospigliosi</dc:creator>
  <cp:keywords/>
  <dc:description/>
  <cp:lastModifiedBy>asher rospigliosi</cp:lastModifiedBy>
  <cp:revision>181</cp:revision>
  <dcterms:created xsi:type="dcterms:W3CDTF">2024-08-21T14:03:00Z</dcterms:created>
  <dcterms:modified xsi:type="dcterms:W3CDTF">2024-08-24T17:07:00Z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id="4joK1Am9"/&gt;&lt;style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