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5B3226" w14:textId="6FE0A368" w:rsidR="00A52C12" w:rsidRPr="008A3BF9" w:rsidRDefault="00A52C12">
      <w:pPr>
        <w:rPr>
          <w:rFonts w:ascii="Calibri" w:eastAsia="Arial" w:hAnsi="Calibri" w:cs="Calibri"/>
          <w:b/>
          <w:bCs/>
          <w:sz w:val="24"/>
          <w:szCs w:val="24"/>
        </w:rPr>
      </w:pPr>
      <w:r w:rsidRPr="008A3BF9">
        <w:rPr>
          <w:rFonts w:ascii="Calibri" w:eastAsia="Arial" w:hAnsi="Calibri" w:cs="Calibri"/>
          <w:b/>
          <w:bCs/>
          <w:sz w:val="24"/>
          <w:szCs w:val="24"/>
        </w:rPr>
        <w:t>FemIDEAS Conference 2026</w:t>
      </w:r>
    </w:p>
    <w:p w14:paraId="55CE68DD" w14:textId="56397EB8" w:rsidR="00A52C12" w:rsidRPr="008A3BF9" w:rsidRDefault="00A52C12">
      <w:pPr>
        <w:rPr>
          <w:rFonts w:ascii="Calibri" w:eastAsia="Arial" w:hAnsi="Calibri" w:cs="Calibri"/>
          <w:b/>
          <w:bCs/>
          <w:sz w:val="24"/>
          <w:szCs w:val="24"/>
        </w:rPr>
      </w:pPr>
      <w:r w:rsidRPr="008A3BF9">
        <w:rPr>
          <w:rFonts w:ascii="Calibri" w:eastAsia="Arial" w:hAnsi="Calibri" w:cs="Calibri"/>
          <w:b/>
          <w:bCs/>
          <w:sz w:val="24"/>
          <w:szCs w:val="24"/>
        </w:rPr>
        <w:t>Panel 3: Survivor-Centred SGBV Policies &amp; Practices 2</w:t>
      </w:r>
    </w:p>
    <w:p w14:paraId="7ACFDF48" w14:textId="77777777" w:rsidR="00F10DF0" w:rsidRPr="00F10DF0" w:rsidRDefault="00F10DF0">
      <w:pPr>
        <w:rPr>
          <w:rFonts w:ascii="Calibri" w:eastAsia="Arial" w:hAnsi="Calibri" w:cs="Calibri"/>
          <w:sz w:val="24"/>
          <w:szCs w:val="24"/>
        </w:rPr>
      </w:pPr>
    </w:p>
    <w:p w14:paraId="4B95D0B7" w14:textId="577D337F" w:rsidR="00A52C12" w:rsidRPr="00F10DF0" w:rsidRDefault="00A52C12">
      <w:pPr>
        <w:rPr>
          <w:rFonts w:ascii="Calibri" w:eastAsia="Arial" w:hAnsi="Calibri" w:cs="Calibri"/>
          <w:sz w:val="24"/>
          <w:szCs w:val="24"/>
          <w:lang w:val="en"/>
        </w:rPr>
      </w:pPr>
      <w:r w:rsidRPr="008A3BF9">
        <w:rPr>
          <w:rFonts w:ascii="Calibri" w:eastAsia="Arial" w:hAnsi="Calibri" w:cs="Calibri"/>
          <w:b/>
          <w:bCs/>
          <w:sz w:val="24"/>
          <w:szCs w:val="24"/>
        </w:rPr>
        <w:t>To cite the podcast:</w:t>
      </w:r>
      <w:r w:rsidR="00F10DF0" w:rsidRPr="00F10DF0">
        <w:rPr>
          <w:rFonts w:ascii="Calibri" w:eastAsia="Arial" w:hAnsi="Calibri" w:cs="Calibri"/>
          <w:sz w:val="24"/>
          <w:szCs w:val="24"/>
        </w:rPr>
        <w:t xml:space="preserve"> </w:t>
      </w:r>
      <w:proofErr w:type="spellStart"/>
      <w:r w:rsidR="00F10DF0" w:rsidRPr="00F10DF0">
        <w:rPr>
          <w:rFonts w:ascii="Calibri" w:eastAsia="Arial" w:hAnsi="Calibri" w:cs="Calibri"/>
          <w:sz w:val="24"/>
          <w:szCs w:val="24"/>
        </w:rPr>
        <w:t>Aduna</w:t>
      </w:r>
      <w:proofErr w:type="spellEnd"/>
      <w:r w:rsidR="00F10DF0" w:rsidRPr="00F10DF0">
        <w:rPr>
          <w:rFonts w:ascii="Calibri" w:eastAsia="Arial" w:hAnsi="Calibri" w:cs="Calibri"/>
          <w:sz w:val="24"/>
          <w:szCs w:val="24"/>
        </w:rPr>
        <w:t xml:space="preserve">, D., Bull, A., </w:t>
      </w:r>
      <w:proofErr w:type="spellStart"/>
      <w:r w:rsidR="00F10DF0" w:rsidRPr="00F10DF0">
        <w:rPr>
          <w:rFonts w:ascii="Calibri" w:eastAsia="Arial" w:hAnsi="Calibri" w:cs="Calibri"/>
          <w:sz w:val="24"/>
          <w:szCs w:val="24"/>
        </w:rPr>
        <w:t>Dagistanli</w:t>
      </w:r>
      <w:proofErr w:type="spellEnd"/>
      <w:r w:rsidR="00F10DF0" w:rsidRPr="00F10DF0">
        <w:rPr>
          <w:rFonts w:ascii="Calibri" w:eastAsia="Arial" w:hAnsi="Calibri" w:cs="Calibri"/>
          <w:sz w:val="24"/>
          <w:szCs w:val="24"/>
        </w:rPr>
        <w:t xml:space="preserve">, S., Donovan, C., Egan, S., </w:t>
      </w:r>
      <w:proofErr w:type="spellStart"/>
      <w:r w:rsidR="00F10DF0" w:rsidRPr="00F10DF0">
        <w:rPr>
          <w:rFonts w:ascii="Calibri" w:eastAsia="Arial" w:hAnsi="Calibri" w:cs="Calibri"/>
          <w:sz w:val="24"/>
          <w:szCs w:val="24"/>
        </w:rPr>
        <w:t>Lehfid</w:t>
      </w:r>
      <w:proofErr w:type="spellEnd"/>
      <w:r w:rsidR="00F10DF0" w:rsidRPr="00F10DF0">
        <w:rPr>
          <w:rFonts w:ascii="Calibri" w:eastAsia="Arial" w:hAnsi="Calibri" w:cs="Calibri"/>
          <w:sz w:val="24"/>
          <w:szCs w:val="24"/>
        </w:rPr>
        <w:t xml:space="preserve">, G. and </w:t>
      </w:r>
      <w:proofErr w:type="spellStart"/>
      <w:r w:rsidR="00F10DF0" w:rsidRPr="00F10DF0">
        <w:rPr>
          <w:rFonts w:ascii="Calibri" w:eastAsia="Arial" w:hAnsi="Calibri" w:cs="Calibri"/>
          <w:sz w:val="24"/>
          <w:szCs w:val="24"/>
        </w:rPr>
        <w:t>Mikitas</w:t>
      </w:r>
      <w:proofErr w:type="spellEnd"/>
      <w:r w:rsidR="00F10DF0" w:rsidRPr="00F10DF0">
        <w:rPr>
          <w:rFonts w:ascii="Calibri" w:eastAsia="Arial" w:hAnsi="Calibri" w:cs="Calibri"/>
          <w:sz w:val="24"/>
          <w:szCs w:val="24"/>
        </w:rPr>
        <w:t>, N. 2026. </w:t>
      </w:r>
      <w:r w:rsidR="00F10DF0" w:rsidRPr="00F10DF0">
        <w:rPr>
          <w:rFonts w:ascii="Calibri" w:eastAsia="Arial" w:hAnsi="Calibri" w:cs="Calibri"/>
          <w:i/>
          <w:iCs/>
          <w:sz w:val="24"/>
          <w:szCs w:val="24"/>
        </w:rPr>
        <w:t xml:space="preserve">FemIDEAS Conference 2026: Panel 3 - Survivor-Centred SGBV Policies &amp; Practices 2. </w:t>
      </w:r>
      <w:r w:rsidR="00F10DF0" w:rsidRPr="00F10DF0">
        <w:rPr>
          <w:rFonts w:ascii="Calibri" w:eastAsia="Arial" w:hAnsi="Calibri" w:cs="Calibri"/>
          <w:sz w:val="24"/>
          <w:szCs w:val="24"/>
        </w:rPr>
        <w:t xml:space="preserve">In </w:t>
      </w:r>
      <w:r w:rsidR="00F10DF0" w:rsidRPr="008A3BF9">
        <w:rPr>
          <w:rFonts w:ascii="Calibri" w:eastAsia="Arial" w:hAnsi="Calibri" w:cs="Calibri"/>
          <w:i/>
          <w:iCs/>
          <w:sz w:val="24"/>
          <w:szCs w:val="24"/>
        </w:rPr>
        <w:t>Pedagogies for Social Justice</w:t>
      </w:r>
      <w:r w:rsidR="00F10DF0" w:rsidRPr="00F10DF0">
        <w:rPr>
          <w:rFonts w:ascii="Calibri" w:eastAsia="Arial" w:hAnsi="Calibri" w:cs="Calibri"/>
          <w:sz w:val="24"/>
          <w:szCs w:val="24"/>
        </w:rPr>
        <w:t xml:space="preserve">. University of Westminster. Available at: </w:t>
      </w:r>
      <w:hyperlink r:id="rId7">
        <w:r w:rsidR="00F10DF0" w:rsidRPr="00F10DF0">
          <w:rPr>
            <w:rStyle w:val="Hyperlink"/>
            <w:rFonts w:ascii="Calibri" w:eastAsia="Arial" w:hAnsi="Calibri" w:cs="Calibri"/>
            <w:sz w:val="24"/>
            <w:szCs w:val="24"/>
            <w:lang w:val="en"/>
          </w:rPr>
          <w:t>https://pca.st/rrko9lan</w:t>
        </w:r>
      </w:hyperlink>
      <w:r w:rsidR="00F10DF0" w:rsidRPr="00F10DF0">
        <w:rPr>
          <w:rFonts w:ascii="Calibri" w:eastAsia="Arial" w:hAnsi="Calibri" w:cs="Calibri"/>
          <w:sz w:val="24"/>
          <w:szCs w:val="24"/>
          <w:lang w:val="en"/>
        </w:rPr>
        <w:t xml:space="preserve"> DOI: </w:t>
      </w:r>
      <w:hyperlink r:id="rId8" w:history="1">
        <w:r w:rsidR="00F10DF0" w:rsidRPr="00F10DF0">
          <w:rPr>
            <w:rStyle w:val="Hyperlink"/>
            <w:rFonts w:ascii="Calibri" w:eastAsia="Arial" w:hAnsi="Calibri" w:cs="Calibri"/>
            <w:sz w:val="24"/>
            <w:szCs w:val="24"/>
          </w:rPr>
          <w:t>https://doi.org/10.34737/x7094</w:t>
        </w:r>
      </w:hyperlink>
      <w:r w:rsidR="00F10DF0" w:rsidRPr="00F10DF0">
        <w:rPr>
          <w:rFonts w:ascii="Calibri" w:eastAsia="Arial" w:hAnsi="Calibri" w:cs="Calibri"/>
          <w:sz w:val="24"/>
          <w:szCs w:val="24"/>
        </w:rPr>
        <w:t xml:space="preserve"> </w:t>
      </w:r>
    </w:p>
    <w:p w14:paraId="5E61BF9F" w14:textId="77777777" w:rsidR="00A52C12" w:rsidRPr="00B07EF9" w:rsidRDefault="00A52C12">
      <w:pPr>
        <w:rPr>
          <w:rFonts w:ascii="Calibri" w:eastAsia="Arial" w:hAnsi="Calibri" w:cs="Calibri"/>
          <w:b/>
          <w:bCs/>
          <w:sz w:val="24"/>
          <w:szCs w:val="24"/>
        </w:rPr>
      </w:pPr>
    </w:p>
    <w:p w14:paraId="00000001" w14:textId="4E9FAAA1" w:rsidR="000F2014" w:rsidRPr="00B07EF9" w:rsidRDefault="00000000">
      <w:pPr>
        <w:rPr>
          <w:rFonts w:ascii="Calibri" w:eastAsia="Arial" w:hAnsi="Calibri" w:cs="Calibri"/>
          <w:b/>
          <w:bCs/>
          <w:sz w:val="24"/>
          <w:szCs w:val="24"/>
        </w:rPr>
      </w:pPr>
      <w:r w:rsidRPr="00B07EF9">
        <w:rPr>
          <w:rFonts w:ascii="Calibri" w:eastAsia="Arial" w:hAnsi="Calibri" w:cs="Calibri"/>
          <w:b/>
          <w:bCs/>
          <w:sz w:val="24"/>
          <w:szCs w:val="24"/>
        </w:rPr>
        <w:t>Introduction:</w:t>
      </w:r>
    </w:p>
    <w:p w14:paraId="00000002" w14:textId="77777777" w:rsidR="000F2014" w:rsidRPr="00B07EF9" w:rsidRDefault="00000000">
      <w:pPr>
        <w:rPr>
          <w:rFonts w:ascii="Calibri" w:eastAsia="Arial" w:hAnsi="Calibri" w:cs="Calibri"/>
          <w:sz w:val="24"/>
          <w:szCs w:val="24"/>
        </w:rPr>
      </w:pPr>
      <w:r w:rsidRPr="00B07EF9">
        <w:rPr>
          <w:rFonts w:ascii="Calibri" w:eastAsia="Arial" w:hAnsi="Calibri" w:cs="Calibri"/>
          <w:sz w:val="24"/>
          <w:szCs w:val="24"/>
        </w:rPr>
        <w:t xml:space="preserve">Welcome back to the Pedagogies for Social Justice podcast. In this takeover series, we're sharing selected panel recordings from the international conference </w:t>
      </w:r>
      <w:r w:rsidRPr="00B07EF9">
        <w:rPr>
          <w:rFonts w:ascii="Calibri" w:eastAsia="Arial" w:hAnsi="Calibri" w:cs="Calibri"/>
          <w:i/>
          <w:iCs/>
          <w:sz w:val="24"/>
          <w:szCs w:val="24"/>
        </w:rPr>
        <w:t>Transforming Theory, Policy and Practice to Decolonising Sexual and Gender-Based Violence in Higher Education</w:t>
      </w:r>
      <w:r w:rsidRPr="00B07EF9">
        <w:rPr>
          <w:rFonts w:ascii="Calibri" w:eastAsia="Arial" w:hAnsi="Calibri" w:cs="Calibri"/>
          <w:sz w:val="24"/>
          <w:szCs w:val="24"/>
        </w:rPr>
        <w:t>. Organised by the FEMME Ideas Research Project and the FEMME Dialogue Network, the conference brought together speakers and participants from across the UK, US, South Africa, Nigeria, Brazil, Australia, Argentina, and more. Across the event, presenters shared research, lived experience, and practical strategies for addressing and preventing SGBV in universities. Each episode in this series features a panel from the conference offering different perspectives on activism, research, policy, and practice. Whether you're a researcher, practitioner, student educator, or simply someone who wants to start engaging in these conversations, we hope these episodes offer insight, solidarity, and a sense of possibility.</w:t>
      </w:r>
    </w:p>
    <w:p w14:paraId="00000003" w14:textId="77777777" w:rsidR="000F2014" w:rsidRPr="00B07EF9" w:rsidRDefault="00000000">
      <w:pPr>
        <w:rPr>
          <w:rFonts w:ascii="Calibri" w:eastAsia="Arial" w:hAnsi="Calibri" w:cs="Calibri"/>
          <w:sz w:val="24"/>
          <w:szCs w:val="24"/>
        </w:rPr>
      </w:pPr>
      <w:r w:rsidRPr="00B07EF9">
        <w:rPr>
          <w:rFonts w:ascii="Calibri" w:eastAsia="Arial" w:hAnsi="Calibri" w:cs="Calibri"/>
          <w:sz w:val="24"/>
          <w:szCs w:val="24"/>
        </w:rPr>
        <w:t>The content of this episode may be distressing for some listeners. Some of the talks were translated into English, so meaning and tone may vary slightly in translation. Please take care while listening.</w:t>
      </w:r>
    </w:p>
    <w:p w14:paraId="00000004" w14:textId="77777777" w:rsidR="000F2014" w:rsidRPr="00B07EF9" w:rsidRDefault="00000000">
      <w:pPr>
        <w:rPr>
          <w:rFonts w:ascii="Calibri" w:eastAsia="Arial" w:hAnsi="Calibri" w:cs="Calibri"/>
          <w:sz w:val="24"/>
          <w:szCs w:val="24"/>
        </w:rPr>
      </w:pPr>
      <w:r w:rsidRPr="00B07EF9">
        <w:rPr>
          <w:rFonts w:ascii="Calibri" w:eastAsia="Arial" w:hAnsi="Calibri" w:cs="Calibri"/>
          <w:sz w:val="24"/>
          <w:szCs w:val="24"/>
        </w:rPr>
        <w:br/>
      </w:r>
      <w:r w:rsidRPr="00B07EF9">
        <w:rPr>
          <w:rFonts w:ascii="Calibri" w:eastAsia="Arial" w:hAnsi="Calibri" w:cs="Calibri"/>
          <w:b/>
          <w:bCs/>
          <w:sz w:val="24"/>
          <w:szCs w:val="24"/>
        </w:rPr>
        <w:t>Suzanna Egan:</w:t>
      </w:r>
      <w:r w:rsidRPr="00B07EF9">
        <w:rPr>
          <w:rFonts w:ascii="Calibri" w:eastAsia="Arial" w:hAnsi="Calibri" w:cs="Calibri"/>
          <w:sz w:val="24"/>
          <w:szCs w:val="24"/>
        </w:rPr>
        <w:br/>
        <w:t xml:space="preserve">So basically what our presentation focuses on today—or this evening for us here—is a training program that we developed that focuses on the issue of academic sexual misconduct. It’s a program that Natasha and I developed together. Natasha is still at Full Stop. I was working at Full Stop Australia as a researcher at that time, way back in 2018. More recently, we were asked to redevelop the program, and </w:t>
      </w:r>
      <w:proofErr w:type="spellStart"/>
      <w:r w:rsidRPr="00B07EF9">
        <w:rPr>
          <w:rFonts w:ascii="Calibri" w:eastAsia="Arial" w:hAnsi="Calibri" w:cs="Calibri"/>
          <w:sz w:val="24"/>
          <w:szCs w:val="24"/>
        </w:rPr>
        <w:t>Isilda</w:t>
      </w:r>
      <w:proofErr w:type="spellEnd"/>
      <w:r w:rsidRPr="00B07EF9">
        <w:rPr>
          <w:rFonts w:ascii="Calibri" w:eastAsia="Arial" w:hAnsi="Calibri" w:cs="Calibri"/>
          <w:sz w:val="24"/>
          <w:szCs w:val="24"/>
        </w:rPr>
        <w:t xml:space="preserve"> </w:t>
      </w:r>
      <w:proofErr w:type="spellStart"/>
      <w:r w:rsidRPr="00B07EF9">
        <w:rPr>
          <w:rFonts w:ascii="Calibri" w:eastAsia="Arial" w:hAnsi="Calibri" w:cs="Calibri"/>
          <w:sz w:val="24"/>
          <w:szCs w:val="24"/>
        </w:rPr>
        <w:t>Dagestanli</w:t>
      </w:r>
      <w:proofErr w:type="spellEnd"/>
      <w:r w:rsidRPr="00B07EF9">
        <w:rPr>
          <w:rFonts w:ascii="Calibri" w:eastAsia="Arial" w:hAnsi="Calibri" w:cs="Calibri"/>
          <w:sz w:val="24"/>
          <w:szCs w:val="24"/>
        </w:rPr>
        <w:t xml:space="preserve"> came on board because of her expertise in intersectionality, which she will talk about </w:t>
      </w:r>
      <w:proofErr w:type="gramStart"/>
      <w:r w:rsidRPr="00B07EF9">
        <w:rPr>
          <w:rFonts w:ascii="Calibri" w:eastAsia="Arial" w:hAnsi="Calibri" w:cs="Calibri"/>
          <w:sz w:val="24"/>
          <w:szCs w:val="24"/>
        </w:rPr>
        <w:t>later on</w:t>
      </w:r>
      <w:proofErr w:type="gramEnd"/>
      <w:r w:rsidRPr="00B07EF9">
        <w:rPr>
          <w:rFonts w:ascii="Calibri" w:eastAsia="Arial" w:hAnsi="Calibri" w:cs="Calibri"/>
          <w:sz w:val="24"/>
          <w:szCs w:val="24"/>
        </w:rPr>
        <w:t>.</w:t>
      </w:r>
    </w:p>
    <w:p w14:paraId="00000005" w14:textId="77777777" w:rsidR="000F2014" w:rsidRPr="00B07EF9" w:rsidRDefault="00000000">
      <w:pPr>
        <w:spacing w:before="240" w:after="240"/>
        <w:rPr>
          <w:rFonts w:ascii="Calibri" w:eastAsia="Arial" w:hAnsi="Calibri" w:cs="Calibri"/>
          <w:sz w:val="24"/>
          <w:szCs w:val="24"/>
        </w:rPr>
      </w:pPr>
      <w:r w:rsidRPr="00B07EF9">
        <w:rPr>
          <w:rFonts w:ascii="Calibri" w:eastAsia="Arial" w:hAnsi="Calibri" w:cs="Calibri"/>
          <w:sz w:val="24"/>
          <w:szCs w:val="24"/>
        </w:rPr>
        <w:t xml:space="preserve">So what we’re going to do is first give you just a snippet of the broader political and social context and policy context that the program sits within, introduce you to the amazing work of Full Stop Australia, go on to outline some of the key elements of the training program, and then finish with some of the challenges, but what we like to think of as opportunities that we’ve experienced through being involved with this work. </w:t>
      </w: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we’ll start first, though, as is customary in Australia, with an Acknowledgement of Country. </w:t>
      </w: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we’re presenting from colonised land that has never been ceded. We acknowledge the traditional custodians of Country throughout Australia and their continuing connection to land, sea, and community. We pay our respects to them, their cultures, and to Elders past, present, and emerging.</w:t>
      </w:r>
    </w:p>
    <w:p w14:paraId="00000006" w14:textId="77777777" w:rsidR="000F2014" w:rsidRPr="00B07EF9" w:rsidRDefault="00000000">
      <w:pPr>
        <w:spacing w:before="240" w:after="240"/>
        <w:rPr>
          <w:rFonts w:ascii="Calibri" w:eastAsia="Arial" w:hAnsi="Calibri" w:cs="Calibri"/>
          <w:sz w:val="24"/>
          <w:szCs w:val="24"/>
        </w:rPr>
      </w:pPr>
      <w:r w:rsidRPr="00B07EF9">
        <w:rPr>
          <w:rFonts w:ascii="Calibri" w:eastAsia="Arial" w:hAnsi="Calibri" w:cs="Calibri"/>
          <w:sz w:val="24"/>
          <w:szCs w:val="24"/>
        </w:rPr>
        <w:t xml:space="preserve">And we want to acknowledge any Indigenous participants or presenters who may be with us from Australia and globally. So basically, in the Australian context, 2017 I think could be seen as a bit of a watershed moment. It’s when the Australian Human Rights Commission released a </w:t>
      </w:r>
      <w:proofErr w:type="gramStart"/>
      <w:r w:rsidRPr="00B07EF9">
        <w:rPr>
          <w:rFonts w:ascii="Calibri" w:eastAsia="Arial" w:hAnsi="Calibri" w:cs="Calibri"/>
          <w:sz w:val="24"/>
          <w:szCs w:val="24"/>
        </w:rPr>
        <w:t>fairly damning</w:t>
      </w:r>
      <w:proofErr w:type="gramEnd"/>
      <w:r w:rsidRPr="00B07EF9">
        <w:rPr>
          <w:rFonts w:ascii="Calibri" w:eastAsia="Arial" w:hAnsi="Calibri" w:cs="Calibri"/>
          <w:sz w:val="24"/>
          <w:szCs w:val="24"/>
        </w:rPr>
        <w:t xml:space="preserve"> report about the prevalence of sexual violence in Australian </w:t>
      </w:r>
      <w:r w:rsidRPr="00B07EF9">
        <w:rPr>
          <w:rFonts w:ascii="Calibri" w:eastAsia="Arial" w:hAnsi="Calibri" w:cs="Calibri"/>
          <w:sz w:val="24"/>
          <w:szCs w:val="24"/>
        </w:rPr>
        <w:lastRenderedPageBreak/>
        <w:t xml:space="preserve">universities and the really poor response of universities in respect to that. And it certainly drew a lot of </w:t>
      </w:r>
      <w:proofErr w:type="gramStart"/>
      <w:r w:rsidRPr="00B07EF9">
        <w:rPr>
          <w:rFonts w:ascii="Calibri" w:eastAsia="Arial" w:hAnsi="Calibri" w:cs="Calibri"/>
          <w:sz w:val="24"/>
          <w:szCs w:val="24"/>
        </w:rPr>
        <w:t>public</w:t>
      </w:r>
      <w:proofErr w:type="gramEnd"/>
      <w:r w:rsidRPr="00B07EF9">
        <w:rPr>
          <w:rFonts w:ascii="Calibri" w:eastAsia="Arial" w:hAnsi="Calibri" w:cs="Calibri"/>
          <w:sz w:val="24"/>
          <w:szCs w:val="24"/>
        </w:rPr>
        <w:t xml:space="preserve">, political, and media attention to the issue. Over time, that has— I guess the overall response of universities was what is referred to in Australia as the Respect Now strategy, which basically encompasses the sector’s response to sexual violence </w:t>
      </w:r>
      <w:proofErr w:type="gramStart"/>
      <w:r w:rsidRPr="00B07EF9">
        <w:rPr>
          <w:rFonts w:ascii="Calibri" w:eastAsia="Arial" w:hAnsi="Calibri" w:cs="Calibri"/>
          <w:sz w:val="24"/>
          <w:szCs w:val="24"/>
        </w:rPr>
        <w:t>and also</w:t>
      </w:r>
      <w:proofErr w:type="gramEnd"/>
      <w:r w:rsidRPr="00B07EF9">
        <w:rPr>
          <w:rFonts w:ascii="Calibri" w:eastAsia="Arial" w:hAnsi="Calibri" w:cs="Calibri"/>
          <w:sz w:val="24"/>
          <w:szCs w:val="24"/>
        </w:rPr>
        <w:t xml:space="preserve"> guides individual university responses. It’s had various iterations, a plethora of policies. We’ve put some of those there </w:t>
      </w:r>
      <w:proofErr w:type="gramStart"/>
      <w:r w:rsidRPr="00B07EF9">
        <w:rPr>
          <w:rFonts w:ascii="Calibri" w:eastAsia="Arial" w:hAnsi="Calibri" w:cs="Calibri"/>
          <w:sz w:val="24"/>
          <w:szCs w:val="24"/>
        </w:rPr>
        <w:t>and also</w:t>
      </w:r>
      <w:proofErr w:type="gramEnd"/>
      <w:r w:rsidRPr="00B07EF9">
        <w:rPr>
          <w:rFonts w:ascii="Calibri" w:eastAsia="Arial" w:hAnsi="Calibri" w:cs="Calibri"/>
          <w:sz w:val="24"/>
          <w:szCs w:val="24"/>
        </w:rPr>
        <w:t xml:space="preserve"> included them in the reference list.</w:t>
      </w:r>
    </w:p>
    <w:p w14:paraId="00000007" w14:textId="77777777" w:rsidR="000F2014" w:rsidRPr="00B07EF9" w:rsidRDefault="00000000">
      <w:pPr>
        <w:spacing w:before="240" w:after="240"/>
        <w:rPr>
          <w:rFonts w:ascii="Calibri" w:eastAsia="Arial" w:hAnsi="Calibri" w:cs="Calibri"/>
          <w:sz w:val="24"/>
          <w:szCs w:val="24"/>
        </w:rPr>
      </w:pPr>
      <w:r w:rsidRPr="00B07EF9">
        <w:rPr>
          <w:rFonts w:ascii="Calibri" w:eastAsia="Arial" w:hAnsi="Calibri" w:cs="Calibri"/>
          <w:sz w:val="24"/>
          <w:szCs w:val="24"/>
        </w:rPr>
        <w:t xml:space="preserve">We also want to highlight and acknowledge the work of student activists and organisations over a really long period of time, over decades. And that work was </w:t>
      </w:r>
      <w:proofErr w:type="gramStart"/>
      <w:r w:rsidRPr="00B07EF9">
        <w:rPr>
          <w:rFonts w:ascii="Calibri" w:eastAsia="Arial" w:hAnsi="Calibri" w:cs="Calibri"/>
          <w:sz w:val="24"/>
          <w:szCs w:val="24"/>
        </w:rPr>
        <w:t>really instrumental</w:t>
      </w:r>
      <w:proofErr w:type="gramEnd"/>
      <w:r w:rsidRPr="00B07EF9">
        <w:rPr>
          <w:rFonts w:ascii="Calibri" w:eastAsia="Arial" w:hAnsi="Calibri" w:cs="Calibri"/>
          <w:sz w:val="24"/>
          <w:szCs w:val="24"/>
        </w:rPr>
        <w:t xml:space="preserve"> in getting this 2017–18 momentum. And that work continues. And again, we’ve put in the reference list where that work’s been documented if you want to have a look. For the purposes of, and because of the focus of this presentation, what we really want to highlight is the extent to which these Respect Now strategy and university responses have framed the problem as located within the student body. And that continues. </w:t>
      </w: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there’s been a relatively, I’d say quite profound silence on the problem of academic misconduct, whether that’s perpetrators or victim-survivors who are academics and staff. So that’s the context. I’m going to hand over now to Natasha, who will talk about Full Stop.</w:t>
      </w:r>
    </w:p>
    <w:p w14:paraId="00000008" w14:textId="77777777" w:rsidR="000F2014" w:rsidRPr="00B07EF9" w:rsidRDefault="00000000">
      <w:pPr>
        <w:rPr>
          <w:rFonts w:ascii="Calibri" w:eastAsia="Arial" w:hAnsi="Calibri" w:cs="Calibri"/>
          <w:sz w:val="24"/>
          <w:szCs w:val="24"/>
        </w:rPr>
      </w:pPr>
      <w:r w:rsidRPr="00B07EF9">
        <w:rPr>
          <w:rFonts w:ascii="Calibri" w:eastAsia="Arial" w:hAnsi="Calibri" w:cs="Calibri"/>
          <w:b/>
          <w:bCs/>
          <w:sz w:val="24"/>
          <w:szCs w:val="24"/>
        </w:rPr>
        <w:t xml:space="preserve">Natasha </w:t>
      </w:r>
      <w:proofErr w:type="spellStart"/>
      <w:r w:rsidRPr="00B07EF9">
        <w:rPr>
          <w:rFonts w:ascii="Calibri" w:eastAsia="Arial" w:hAnsi="Calibri" w:cs="Calibri"/>
          <w:b/>
          <w:bCs/>
          <w:sz w:val="24"/>
          <w:szCs w:val="24"/>
        </w:rPr>
        <w:t>Mikitas</w:t>
      </w:r>
      <w:proofErr w:type="spellEnd"/>
      <w:r w:rsidRPr="00B07EF9">
        <w:rPr>
          <w:rFonts w:ascii="Calibri" w:eastAsia="Arial" w:hAnsi="Calibri" w:cs="Calibri"/>
          <w:b/>
          <w:bCs/>
          <w:sz w:val="24"/>
          <w:szCs w:val="24"/>
        </w:rPr>
        <w:t>:</w:t>
      </w:r>
      <w:r w:rsidRPr="00B07EF9">
        <w:rPr>
          <w:rFonts w:ascii="Calibri" w:eastAsia="Arial" w:hAnsi="Calibri" w:cs="Calibri"/>
          <w:sz w:val="24"/>
          <w:szCs w:val="24"/>
        </w:rPr>
        <w:br/>
        <w:t xml:space="preserve">I’m just going to speak </w:t>
      </w:r>
      <w:proofErr w:type="gramStart"/>
      <w:r w:rsidRPr="00B07EF9">
        <w:rPr>
          <w:rFonts w:ascii="Calibri" w:eastAsia="Arial" w:hAnsi="Calibri" w:cs="Calibri"/>
          <w:sz w:val="24"/>
          <w:szCs w:val="24"/>
        </w:rPr>
        <w:t>really briefly</w:t>
      </w:r>
      <w:proofErr w:type="gramEnd"/>
      <w:r w:rsidRPr="00B07EF9">
        <w:rPr>
          <w:rFonts w:ascii="Calibri" w:eastAsia="Arial" w:hAnsi="Calibri" w:cs="Calibri"/>
          <w:sz w:val="24"/>
          <w:szCs w:val="24"/>
        </w:rPr>
        <w:t xml:space="preserve"> about the role of sexual violence prevention work and how Full Stop Australia came into this space. </w:t>
      </w: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we are a not-for-profit, non-government organisation which has been running consistently since 1971. At the heart of everything that we do is our 24-hour-a-day, seven-day-a-week, 365-day-a-year trauma specialist counselling service, which includes the New South Wales Sexual Violence Helpline, which was Australia’s first rape crisis centre. We also have three national services and that trauma specialist expertise centres the advocacy work that we do and the education work which we </w:t>
      </w:r>
      <w:proofErr w:type="gramStart"/>
      <w:r w:rsidRPr="00B07EF9">
        <w:rPr>
          <w:rFonts w:ascii="Calibri" w:eastAsia="Arial" w:hAnsi="Calibri" w:cs="Calibri"/>
          <w:sz w:val="24"/>
          <w:szCs w:val="24"/>
        </w:rPr>
        <w:t>do, and</w:t>
      </w:r>
      <w:proofErr w:type="gramEnd"/>
      <w:r w:rsidRPr="00B07EF9">
        <w:rPr>
          <w:rFonts w:ascii="Calibri" w:eastAsia="Arial" w:hAnsi="Calibri" w:cs="Calibri"/>
          <w:sz w:val="24"/>
          <w:szCs w:val="24"/>
        </w:rPr>
        <w:t xml:space="preserve"> is the reason that we have been part of the conversation with universities. So just a brief outline of some of the work that we do in this space.</w:t>
      </w:r>
    </w:p>
    <w:p w14:paraId="00000009" w14:textId="77777777" w:rsidR="000F2014" w:rsidRPr="00B07EF9" w:rsidRDefault="000F2014">
      <w:pPr>
        <w:rPr>
          <w:rFonts w:ascii="Calibri" w:eastAsia="Arial" w:hAnsi="Calibri" w:cs="Calibri"/>
          <w:sz w:val="24"/>
          <w:szCs w:val="24"/>
        </w:rPr>
      </w:pPr>
    </w:p>
    <w:p w14:paraId="0000000A" w14:textId="77777777" w:rsidR="000F2014" w:rsidRPr="00B07EF9" w:rsidRDefault="00000000">
      <w:pPr>
        <w:spacing w:before="240" w:after="240"/>
        <w:rPr>
          <w:rFonts w:ascii="Calibri" w:eastAsia="Arial" w:hAnsi="Calibri" w:cs="Calibri"/>
          <w:sz w:val="24"/>
          <w:szCs w:val="24"/>
        </w:rPr>
      </w:pPr>
      <w:r w:rsidRPr="00B07EF9">
        <w:rPr>
          <w:rFonts w:ascii="Calibri" w:eastAsia="Arial" w:hAnsi="Calibri" w:cs="Calibri"/>
          <w:sz w:val="24"/>
          <w:szCs w:val="24"/>
        </w:rPr>
        <w:t xml:space="preserve">We take a really holistic approach to preventing gender-based violence, which includes advocacy and advisory roles in key primary prevention spaces with state and government national peak bodies, including the peak body for universities in Australia. We also have specific advisory roles not only with universities but also with the Department of Education. So, for example, ensuring that the newly legislated national code to prevent and address gender-based violence is trauma-informed, and our role in those advisory spaces, and Full Stop’s credibility and experience over the decades, has directly led to the funding of this program. We also deliver a variety of response and prevention workshops and develop these for universities with student consultation, which gives us a </w:t>
      </w:r>
      <w:proofErr w:type="gramStart"/>
      <w:r w:rsidRPr="00B07EF9">
        <w:rPr>
          <w:rFonts w:ascii="Calibri" w:eastAsia="Arial" w:hAnsi="Calibri" w:cs="Calibri"/>
          <w:sz w:val="24"/>
          <w:szCs w:val="24"/>
        </w:rPr>
        <w:t>really unique</w:t>
      </w:r>
      <w:proofErr w:type="gramEnd"/>
      <w:r w:rsidRPr="00B07EF9">
        <w:rPr>
          <w:rFonts w:ascii="Calibri" w:eastAsia="Arial" w:hAnsi="Calibri" w:cs="Calibri"/>
          <w:sz w:val="24"/>
          <w:szCs w:val="24"/>
        </w:rPr>
        <w:t xml:space="preserve"> insight into institutions while being able to view those issues from an outside perspective and be an independent voice to the universities directly.</w:t>
      </w:r>
    </w:p>
    <w:p w14:paraId="0000000B" w14:textId="77777777" w:rsidR="000F2014" w:rsidRPr="00B07EF9" w:rsidRDefault="00000000">
      <w:pPr>
        <w:rPr>
          <w:rFonts w:ascii="Calibri" w:eastAsia="Arial" w:hAnsi="Calibri" w:cs="Calibri"/>
          <w:sz w:val="24"/>
          <w:szCs w:val="24"/>
        </w:rPr>
      </w:pPr>
      <w:r w:rsidRPr="00B07EF9">
        <w:rPr>
          <w:rFonts w:ascii="Calibri" w:eastAsia="Arial" w:hAnsi="Calibri" w:cs="Calibri"/>
          <w:b/>
          <w:bCs/>
          <w:sz w:val="24"/>
          <w:szCs w:val="24"/>
        </w:rPr>
        <w:t>Suzanna Egan:</w:t>
      </w:r>
      <w:r w:rsidRPr="00B07EF9">
        <w:rPr>
          <w:rFonts w:ascii="Calibri" w:eastAsia="Arial" w:hAnsi="Calibri" w:cs="Calibri"/>
          <w:sz w:val="24"/>
          <w:szCs w:val="24"/>
        </w:rPr>
        <w:br/>
        <w:t xml:space="preserve">So initially it was developed as part of the training that we need to undertake to do higher degree supervision. And I guess, just briefly, that was a bit of an idea of early intervention—of getting in there when academics are right at the beginning of their career. Since then, it has expanded. It was very much moving away from complaints and a legally focused risk-management approach, which is </w:t>
      </w:r>
      <w:proofErr w:type="gramStart"/>
      <w:r w:rsidRPr="00B07EF9">
        <w:rPr>
          <w:rFonts w:ascii="Calibri" w:eastAsia="Arial" w:hAnsi="Calibri" w:cs="Calibri"/>
          <w:sz w:val="24"/>
          <w:szCs w:val="24"/>
        </w:rPr>
        <w:t>fairly well</w:t>
      </w:r>
      <w:proofErr w:type="gramEnd"/>
      <w:r w:rsidRPr="00B07EF9">
        <w:rPr>
          <w:rFonts w:ascii="Calibri" w:eastAsia="Arial" w:hAnsi="Calibri" w:cs="Calibri"/>
          <w:sz w:val="24"/>
          <w:szCs w:val="24"/>
        </w:rPr>
        <w:t xml:space="preserve"> established in the literature, but doesn’t work in </w:t>
      </w:r>
      <w:r w:rsidRPr="00B07EF9">
        <w:rPr>
          <w:rFonts w:ascii="Calibri" w:eastAsia="Arial" w:hAnsi="Calibri" w:cs="Calibri"/>
          <w:sz w:val="24"/>
          <w:szCs w:val="24"/>
        </w:rPr>
        <w:lastRenderedPageBreak/>
        <w:t xml:space="preserve">terms of prevention work. We were very much influenced by and used the work of Professor Moira </w:t>
      </w:r>
      <w:proofErr w:type="spellStart"/>
      <w:r w:rsidRPr="00B07EF9">
        <w:rPr>
          <w:rFonts w:ascii="Calibri" w:eastAsia="Arial" w:hAnsi="Calibri" w:cs="Calibri"/>
          <w:sz w:val="24"/>
          <w:szCs w:val="24"/>
        </w:rPr>
        <w:t>Komodi</w:t>
      </w:r>
      <w:proofErr w:type="spellEnd"/>
      <w:r w:rsidRPr="00B07EF9">
        <w:rPr>
          <w:rFonts w:ascii="Calibri" w:eastAsia="Arial" w:hAnsi="Calibri" w:cs="Calibri"/>
          <w:sz w:val="24"/>
          <w:szCs w:val="24"/>
        </w:rPr>
        <w:t xml:space="preserve">, who is a very well-known Australian academic </w:t>
      </w:r>
      <w:proofErr w:type="gramStart"/>
      <w:r w:rsidRPr="00B07EF9">
        <w:rPr>
          <w:rFonts w:ascii="Calibri" w:eastAsia="Arial" w:hAnsi="Calibri" w:cs="Calibri"/>
          <w:sz w:val="24"/>
          <w:szCs w:val="24"/>
        </w:rPr>
        <w:t>in the area of</w:t>
      </w:r>
      <w:proofErr w:type="gramEnd"/>
      <w:r w:rsidRPr="00B07EF9">
        <w:rPr>
          <w:rFonts w:ascii="Calibri" w:eastAsia="Arial" w:hAnsi="Calibri" w:cs="Calibri"/>
          <w:sz w:val="24"/>
          <w:szCs w:val="24"/>
        </w:rPr>
        <w:t xml:space="preserve"> sexual violence, and in particular looking at education programs and prevention work. </w:t>
      </w: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we drew on her theoretical work and also a set of standards that she developed to guide putting the program together.</w:t>
      </w:r>
    </w:p>
    <w:p w14:paraId="0000000C" w14:textId="77777777" w:rsidR="000F2014" w:rsidRPr="00B07EF9" w:rsidRDefault="00000000">
      <w:pPr>
        <w:spacing w:before="240" w:after="240"/>
        <w:rPr>
          <w:rFonts w:ascii="Calibri" w:eastAsia="Arial" w:hAnsi="Calibri" w:cs="Calibri"/>
          <w:sz w:val="24"/>
          <w:szCs w:val="24"/>
        </w:rPr>
      </w:pPr>
      <w:r w:rsidRPr="00B07EF9">
        <w:rPr>
          <w:rFonts w:ascii="Calibri" w:eastAsia="Arial" w:hAnsi="Calibri" w:cs="Calibri"/>
          <w:sz w:val="24"/>
          <w:szCs w:val="24"/>
        </w:rPr>
        <w:t xml:space="preserve">And </w:t>
      </w:r>
      <w:proofErr w:type="gramStart"/>
      <w:r w:rsidRPr="00B07EF9">
        <w:rPr>
          <w:rFonts w:ascii="Calibri" w:eastAsia="Arial" w:hAnsi="Calibri" w:cs="Calibri"/>
          <w:sz w:val="24"/>
          <w:szCs w:val="24"/>
        </w:rPr>
        <w:t>basically</w:t>
      </w:r>
      <w:proofErr w:type="gramEnd"/>
      <w:r w:rsidRPr="00B07EF9">
        <w:rPr>
          <w:rFonts w:ascii="Calibri" w:eastAsia="Arial" w:hAnsi="Calibri" w:cs="Calibri"/>
          <w:sz w:val="24"/>
          <w:szCs w:val="24"/>
        </w:rPr>
        <w:t xml:space="preserve"> it’s a feminist grounding, but we put it together with ethics that was drawing on Moira </w:t>
      </w:r>
      <w:proofErr w:type="spellStart"/>
      <w:r w:rsidRPr="00B07EF9">
        <w:rPr>
          <w:rFonts w:ascii="Calibri" w:eastAsia="Arial" w:hAnsi="Calibri" w:cs="Calibri"/>
          <w:sz w:val="24"/>
          <w:szCs w:val="24"/>
        </w:rPr>
        <w:t>Komodi</w:t>
      </w:r>
      <w:proofErr w:type="spellEnd"/>
      <w:r w:rsidRPr="00B07EF9">
        <w:rPr>
          <w:rFonts w:ascii="Calibri" w:eastAsia="Arial" w:hAnsi="Calibri" w:cs="Calibri"/>
          <w:sz w:val="24"/>
          <w:szCs w:val="24"/>
        </w:rPr>
        <w:t xml:space="preserve"> and other theorists who’ve talked about this. </w:t>
      </w: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ethics at both the individual level—individual academic level—and at the institutional level. It’s quite an interactive program, uses case studies, discussion, critical reflection, and it’s developed with survivor accounts and from the research literature. </w:t>
      </w: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I’ll just give one example of an activity that we put into the program, and it’s called variously “Is it okay?” or “Where do you stand?” And it asks a series of questions to the participants. And one of the questions is: is it okay to do supervision in your home, for example? Is it okay for it to be in the student’s home? What about a café?</w:t>
      </w:r>
    </w:p>
    <w:p w14:paraId="0000000D" w14:textId="77777777" w:rsidR="000F2014" w:rsidRPr="00B07EF9" w:rsidRDefault="00000000">
      <w:pPr>
        <w:spacing w:before="240" w:after="240"/>
        <w:rPr>
          <w:rFonts w:ascii="Calibri" w:eastAsia="Arial" w:hAnsi="Calibri" w:cs="Calibri"/>
          <w:sz w:val="24"/>
          <w:szCs w:val="24"/>
        </w:rPr>
      </w:pPr>
      <w:r w:rsidRPr="00B07EF9">
        <w:rPr>
          <w:rFonts w:ascii="Calibri" w:eastAsia="Arial" w:hAnsi="Calibri" w:cs="Calibri"/>
          <w:sz w:val="24"/>
          <w:szCs w:val="24"/>
        </w:rPr>
        <w:t xml:space="preserve">And the thing is to promote and have discussion and use that as a way in to talk about issues like boundaries, power, what sort of ethical framework the participants use to guide their actions and behaviour. </w:t>
      </w: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there’s a lot that I could say, but I’ll leave it there. Just very briefly on what’s on the right-hand side of my screen: some of the practicalities. It runs as a series of modules, so it’s not a one-off workshop, but a combination of asynchronous online learning and real time sessions. And initially there was a bit of pushback from universities about having that face-to-face component, and Full Stop stood </w:t>
      </w:r>
      <w:proofErr w:type="gramStart"/>
      <w:r w:rsidRPr="00B07EF9">
        <w:rPr>
          <w:rFonts w:ascii="Calibri" w:eastAsia="Arial" w:hAnsi="Calibri" w:cs="Calibri"/>
          <w:sz w:val="24"/>
          <w:szCs w:val="24"/>
        </w:rPr>
        <w:t>pretty firm</w:t>
      </w:r>
      <w:proofErr w:type="gramEnd"/>
      <w:r w:rsidRPr="00B07EF9">
        <w:rPr>
          <w:rFonts w:ascii="Calibri" w:eastAsia="Arial" w:hAnsi="Calibri" w:cs="Calibri"/>
          <w:sz w:val="24"/>
          <w:szCs w:val="24"/>
        </w:rPr>
        <w:t xml:space="preserve"> and said no, there has to be a workshop that brings participants together. I’ve put the link to the program down on the bottom of the page. But I’m now going to hand over to </w:t>
      </w:r>
      <w:proofErr w:type="spellStart"/>
      <w:r w:rsidRPr="00B07EF9">
        <w:rPr>
          <w:rFonts w:ascii="Calibri" w:eastAsia="Arial" w:hAnsi="Calibri" w:cs="Calibri"/>
          <w:sz w:val="24"/>
          <w:szCs w:val="24"/>
        </w:rPr>
        <w:t>Isilda</w:t>
      </w:r>
      <w:proofErr w:type="spellEnd"/>
      <w:r w:rsidRPr="00B07EF9">
        <w:rPr>
          <w:rFonts w:ascii="Calibri" w:eastAsia="Arial" w:hAnsi="Calibri" w:cs="Calibri"/>
          <w:sz w:val="24"/>
          <w:szCs w:val="24"/>
        </w:rPr>
        <w:t xml:space="preserve"> to talk about how she was able, with her leadership, to bring in the intersectionality lens.</w:t>
      </w:r>
    </w:p>
    <w:p w14:paraId="0000000E" w14:textId="77777777" w:rsidR="000F2014" w:rsidRPr="00B07EF9" w:rsidRDefault="00000000">
      <w:pPr>
        <w:rPr>
          <w:rFonts w:ascii="Calibri" w:eastAsia="Arial" w:hAnsi="Calibri" w:cs="Calibri"/>
          <w:sz w:val="24"/>
          <w:szCs w:val="24"/>
        </w:rPr>
      </w:pPr>
      <w:r w:rsidRPr="00B07EF9">
        <w:rPr>
          <w:rFonts w:ascii="Calibri" w:eastAsia="Arial" w:hAnsi="Calibri" w:cs="Calibri"/>
          <w:b/>
          <w:bCs/>
          <w:sz w:val="24"/>
          <w:szCs w:val="24"/>
        </w:rPr>
        <w:t xml:space="preserve">Natasha </w:t>
      </w:r>
      <w:proofErr w:type="spellStart"/>
      <w:r w:rsidRPr="00B07EF9">
        <w:rPr>
          <w:rFonts w:ascii="Calibri" w:eastAsia="Arial" w:hAnsi="Calibri" w:cs="Calibri"/>
          <w:b/>
          <w:bCs/>
          <w:sz w:val="24"/>
          <w:szCs w:val="24"/>
        </w:rPr>
        <w:t>Mikitas</w:t>
      </w:r>
      <w:proofErr w:type="spellEnd"/>
      <w:r w:rsidRPr="00B07EF9">
        <w:rPr>
          <w:rFonts w:ascii="Calibri" w:eastAsia="Arial" w:hAnsi="Calibri" w:cs="Calibri"/>
          <w:b/>
          <w:bCs/>
          <w:sz w:val="24"/>
          <w:szCs w:val="24"/>
        </w:rPr>
        <w:t>:</w:t>
      </w:r>
      <w:r w:rsidRPr="00B07EF9">
        <w:rPr>
          <w:rFonts w:ascii="Calibri" w:eastAsia="Arial" w:hAnsi="Calibri" w:cs="Calibri"/>
          <w:sz w:val="24"/>
          <w:szCs w:val="24"/>
        </w:rPr>
        <w:br/>
        <w:t xml:space="preserve">I’ve got </w:t>
      </w:r>
      <w:proofErr w:type="spellStart"/>
      <w:r w:rsidRPr="00B07EF9">
        <w:rPr>
          <w:rFonts w:ascii="Calibri" w:eastAsia="Arial" w:hAnsi="Calibri" w:cs="Calibri"/>
          <w:sz w:val="24"/>
          <w:szCs w:val="24"/>
        </w:rPr>
        <w:t>Selda’s</w:t>
      </w:r>
      <w:proofErr w:type="spellEnd"/>
      <w:r w:rsidRPr="00B07EF9">
        <w:rPr>
          <w:rFonts w:ascii="Calibri" w:eastAsia="Arial" w:hAnsi="Calibri" w:cs="Calibri"/>
          <w:sz w:val="24"/>
          <w:szCs w:val="24"/>
        </w:rPr>
        <w:t xml:space="preserve"> notes here, so I’m happy to speak to that. So </w:t>
      </w:r>
      <w:proofErr w:type="spellStart"/>
      <w:r w:rsidRPr="00B07EF9">
        <w:rPr>
          <w:rFonts w:ascii="Calibri" w:eastAsia="Arial" w:hAnsi="Calibri" w:cs="Calibri"/>
          <w:sz w:val="24"/>
          <w:szCs w:val="24"/>
        </w:rPr>
        <w:t>Selda’s</w:t>
      </w:r>
      <w:proofErr w:type="spellEnd"/>
      <w:r w:rsidRPr="00B07EF9">
        <w:rPr>
          <w:rFonts w:ascii="Calibri" w:eastAsia="Arial" w:hAnsi="Calibri" w:cs="Calibri"/>
          <w:sz w:val="24"/>
          <w:szCs w:val="24"/>
        </w:rPr>
        <w:t xml:space="preserve"> role in the project was to inject structural complexity, or an explicitly intersectional approach, into the training. Institutions, including the university sector, are often unable to grapple with intersectionality as they adopt standardised approaches that are entrenched in policies that seek to be impartial, neutral, unbiased, etc. And such policies look effective, but often don’t necessarily address structural power imbalances, which lay the foundations for abuse. It seems almost trite to point out that our identities are not one-dimensional—we’re not just one dimensionally our gender, race, class, sexuality, etc.—but that these things are constitutive and shape the way in which we interact with systems and people we encounter, as well as our place in the overarching order.</w:t>
      </w:r>
    </w:p>
    <w:p w14:paraId="0000000F" w14:textId="77777777" w:rsidR="000F2014" w:rsidRPr="00B07EF9" w:rsidRDefault="00000000">
      <w:pPr>
        <w:spacing w:before="240" w:after="240"/>
        <w:rPr>
          <w:rFonts w:ascii="Calibri" w:eastAsia="Arial" w:hAnsi="Calibri" w:cs="Calibri"/>
          <w:sz w:val="24"/>
          <w:szCs w:val="24"/>
        </w:rPr>
      </w:pPr>
      <w:r w:rsidRPr="00B07EF9">
        <w:rPr>
          <w:rFonts w:ascii="Calibri" w:eastAsia="Arial" w:hAnsi="Calibri" w:cs="Calibri"/>
          <w:sz w:val="24"/>
          <w:szCs w:val="24"/>
        </w:rPr>
        <w:t>Still, universities and many other institutions tend to only place emphasis on one or other of these things in their approach to inequities and power imbalance, and sometimes in ways that are based on formal rather than substantive equality—for example, increasing the number of women in leadership, but not reflecting on the norms and addressing gender inequality. This work now takes an explicitly intersectional approach that is embedded throughout the modules, and to do this the training has sought to adopt reflexive exercises that factor in the positionality of all the actors in several constructed scenarios that demonstrate potential shifts in power imbalances. We examine the power imbalance that can exist between a supervisor and a PhD student.</w:t>
      </w:r>
    </w:p>
    <w:p w14:paraId="00000010" w14:textId="77777777" w:rsidR="000F2014" w:rsidRPr="00B07EF9" w:rsidRDefault="00000000">
      <w:pPr>
        <w:spacing w:before="240" w:after="240"/>
        <w:rPr>
          <w:rFonts w:ascii="Calibri" w:eastAsia="Arial" w:hAnsi="Calibri" w:cs="Calibri"/>
          <w:sz w:val="24"/>
          <w:szCs w:val="24"/>
        </w:rPr>
      </w:pPr>
      <w:r w:rsidRPr="00B07EF9">
        <w:rPr>
          <w:rFonts w:ascii="Calibri" w:eastAsia="Arial" w:hAnsi="Calibri" w:cs="Calibri"/>
          <w:sz w:val="24"/>
          <w:szCs w:val="24"/>
        </w:rPr>
        <w:lastRenderedPageBreak/>
        <w:t>But in examining this we also consider the possibility that there may exist unexpected, atypical dynamics where the student can sometimes hold more power depending on who they are and how that relates to the positionality of the supervisor. And that demonstrates that the scenarios and the normative meanings surrounding them change drastically when the positionality of the actors within them are shifted in line with their intersecting gender, sexuality, age, racial identity, immigration status and class positionings, whether they have a disability, First Nations status, and so forth. This has a huge impact on the “Where do you stand?” activity because perceptions of power dynamics change and are dependent on social structural positions within specific interactions.</w:t>
      </w:r>
    </w:p>
    <w:p w14:paraId="00000011" w14:textId="77777777" w:rsidR="000F2014" w:rsidRPr="00B07EF9" w:rsidRDefault="00000000">
      <w:pPr>
        <w:spacing w:before="240" w:after="240"/>
        <w:rPr>
          <w:rFonts w:ascii="Calibri" w:eastAsia="Arial" w:hAnsi="Calibri" w:cs="Calibri"/>
          <w:sz w:val="24"/>
          <w:szCs w:val="24"/>
        </w:rPr>
      </w:pPr>
      <w:r w:rsidRPr="00B07EF9">
        <w:rPr>
          <w:rFonts w:ascii="Calibri" w:eastAsia="Arial" w:hAnsi="Calibri" w:cs="Calibri"/>
          <w:sz w:val="24"/>
          <w:szCs w:val="24"/>
        </w:rPr>
        <w:t xml:space="preserve">And we find that when we run these activities there’s a lot of reflection that happens, and that’s why we do the face-to-face module specifically, so that supervisors and academics can learn from each other and can be in a space where they’re actively having these reflective moments. We wanted to end the session just briefly by mentioning some of the key learnings that we’ve come across, having delivered this a couple of times now, and some of the challenges, which can also lead to opportunities. </w:t>
      </w: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when it comes to preventing gender-based violence, universities have historically done the absolute bare minimum, at least here in Australia. With the legislation of the National Code in Law, the bar is raised so that even if they are ticking boxes, they are closer to ticking the right boxes.</w:t>
      </w:r>
    </w:p>
    <w:p w14:paraId="00000012" w14:textId="77777777" w:rsidR="000F2014" w:rsidRPr="00B07EF9" w:rsidRDefault="00000000">
      <w:pPr>
        <w:rPr>
          <w:rFonts w:ascii="Calibri" w:eastAsia="Arial" w:hAnsi="Calibri" w:cs="Calibri"/>
          <w:sz w:val="24"/>
          <w:szCs w:val="24"/>
        </w:rPr>
      </w:pPr>
      <w:r w:rsidRPr="00B07EF9">
        <w:rPr>
          <w:rFonts w:ascii="Calibri" w:eastAsia="Arial" w:hAnsi="Calibri" w:cs="Calibri"/>
          <w:b/>
          <w:bCs/>
          <w:sz w:val="24"/>
          <w:szCs w:val="24"/>
        </w:rPr>
        <w:t>Suzanna Egan:</w:t>
      </w:r>
      <w:r w:rsidRPr="00B07EF9">
        <w:rPr>
          <w:rFonts w:ascii="Calibri" w:eastAsia="Arial" w:hAnsi="Calibri" w:cs="Calibri"/>
          <w:sz w:val="24"/>
          <w:szCs w:val="24"/>
        </w:rPr>
        <w:br/>
        <w:t xml:space="preserve">We've finished. </w:t>
      </w:r>
    </w:p>
    <w:p w14:paraId="00000013" w14:textId="77777777" w:rsidR="000F2014" w:rsidRPr="00B07EF9" w:rsidRDefault="00000000">
      <w:pPr>
        <w:rPr>
          <w:rFonts w:ascii="Calibri" w:eastAsia="Arial" w:hAnsi="Calibri" w:cs="Calibri"/>
          <w:sz w:val="24"/>
          <w:szCs w:val="24"/>
        </w:rPr>
      </w:pPr>
      <w:r w:rsidRPr="00B07EF9">
        <w:rPr>
          <w:rFonts w:ascii="Calibri" w:eastAsia="Arial" w:hAnsi="Calibri" w:cs="Calibri"/>
          <w:sz w:val="24"/>
          <w:szCs w:val="24"/>
          <w:highlight w:val="yellow"/>
        </w:rPr>
        <w:br/>
      </w:r>
      <w:r w:rsidRPr="00B07EF9">
        <w:rPr>
          <w:rFonts w:ascii="Calibri" w:eastAsia="Arial" w:hAnsi="Calibri" w:cs="Calibri"/>
          <w:b/>
          <w:bCs/>
          <w:sz w:val="24"/>
          <w:szCs w:val="24"/>
        </w:rPr>
        <w:t>Anna Bull:</w:t>
      </w:r>
      <w:r w:rsidRPr="00B07EF9">
        <w:rPr>
          <w:rFonts w:ascii="Calibri" w:eastAsia="Arial" w:hAnsi="Calibri" w:cs="Calibri"/>
          <w:sz w:val="24"/>
          <w:szCs w:val="24"/>
        </w:rPr>
        <w:br/>
        <w:t xml:space="preserve">Thank you so much, </w:t>
      </w:r>
      <w:proofErr w:type="spellStart"/>
      <w:r w:rsidRPr="00B07EF9">
        <w:rPr>
          <w:rFonts w:ascii="Calibri" w:eastAsia="Arial" w:hAnsi="Calibri" w:cs="Calibri"/>
          <w:sz w:val="24"/>
          <w:szCs w:val="24"/>
        </w:rPr>
        <w:t>Selda</w:t>
      </w:r>
      <w:proofErr w:type="spellEnd"/>
      <w:r w:rsidRPr="00B07EF9">
        <w:rPr>
          <w:rFonts w:ascii="Calibri" w:eastAsia="Arial" w:hAnsi="Calibri" w:cs="Calibri"/>
          <w:sz w:val="24"/>
          <w:szCs w:val="24"/>
        </w:rPr>
        <w:t xml:space="preserve">, Natasha and Suzanne. It’s </w:t>
      </w:r>
      <w:proofErr w:type="gramStart"/>
      <w:r w:rsidRPr="00B07EF9">
        <w:rPr>
          <w:rFonts w:ascii="Calibri" w:eastAsia="Arial" w:hAnsi="Calibri" w:cs="Calibri"/>
          <w:sz w:val="24"/>
          <w:szCs w:val="24"/>
        </w:rPr>
        <w:t>really nice</w:t>
      </w:r>
      <w:proofErr w:type="gramEnd"/>
      <w:r w:rsidRPr="00B07EF9">
        <w:rPr>
          <w:rFonts w:ascii="Calibri" w:eastAsia="Arial" w:hAnsi="Calibri" w:cs="Calibri"/>
          <w:sz w:val="24"/>
          <w:szCs w:val="24"/>
        </w:rPr>
        <w:t xml:space="preserve"> to be able to see you, even if we didn’t get a chance to hear from you, and to see who is behind this amazing work. I’ve been following this program over several years now, and it’s </w:t>
      </w:r>
      <w:proofErr w:type="gramStart"/>
      <w:r w:rsidRPr="00B07EF9">
        <w:rPr>
          <w:rFonts w:ascii="Calibri" w:eastAsia="Arial" w:hAnsi="Calibri" w:cs="Calibri"/>
          <w:sz w:val="24"/>
          <w:szCs w:val="24"/>
        </w:rPr>
        <w:t>really exciting</w:t>
      </w:r>
      <w:proofErr w:type="gramEnd"/>
      <w:r w:rsidRPr="00B07EF9">
        <w:rPr>
          <w:rFonts w:ascii="Calibri" w:eastAsia="Arial" w:hAnsi="Calibri" w:cs="Calibri"/>
          <w:sz w:val="24"/>
          <w:szCs w:val="24"/>
        </w:rPr>
        <w:t xml:space="preserve"> to see its development, and also impressive to see the theoretical basis that it has, which is so important, as well as the partnership with a third-sector organisation.</w:t>
      </w:r>
    </w:p>
    <w:p w14:paraId="00000014" w14:textId="77777777" w:rsidR="000F2014" w:rsidRPr="00B07EF9" w:rsidRDefault="00000000">
      <w:pPr>
        <w:spacing w:before="240" w:after="240"/>
        <w:rPr>
          <w:rFonts w:ascii="Calibri" w:eastAsia="Arial" w:hAnsi="Calibri" w:cs="Calibri"/>
          <w:sz w:val="24"/>
          <w:szCs w:val="24"/>
        </w:rPr>
      </w:pP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I’m sure we’ll have a lot of questions for you later on, but for now we’re going to move on to the second paper. And this is from Dana </w:t>
      </w:r>
      <w:proofErr w:type="spellStart"/>
      <w:r w:rsidRPr="00B07EF9">
        <w:rPr>
          <w:rFonts w:ascii="Calibri" w:eastAsia="Arial" w:hAnsi="Calibri" w:cs="Calibri"/>
          <w:sz w:val="24"/>
          <w:szCs w:val="24"/>
        </w:rPr>
        <w:t>Aduna</w:t>
      </w:r>
      <w:proofErr w:type="spellEnd"/>
      <w:r w:rsidRPr="00B07EF9">
        <w:rPr>
          <w:rFonts w:ascii="Calibri" w:eastAsia="Arial" w:hAnsi="Calibri" w:cs="Calibri"/>
          <w:sz w:val="24"/>
          <w:szCs w:val="24"/>
        </w:rPr>
        <w:t xml:space="preserve"> from Macquarie University, also in Australia, but talking about Philippine universities. And their paper is entitled </w:t>
      </w:r>
      <w:r w:rsidRPr="00B07EF9">
        <w:rPr>
          <w:rFonts w:ascii="Calibri" w:eastAsia="Arial" w:hAnsi="Calibri" w:cs="Calibri"/>
          <w:i/>
          <w:iCs/>
          <w:sz w:val="24"/>
          <w:szCs w:val="24"/>
        </w:rPr>
        <w:t xml:space="preserve">Epistemic and Affective Oppression of Survivor Testimony: Philippine Colonial Roots and Decolonial Possibilities. </w:t>
      </w:r>
      <w:r w:rsidRPr="00B07EF9">
        <w:rPr>
          <w:rFonts w:ascii="Calibri" w:eastAsia="Arial" w:hAnsi="Calibri" w:cs="Calibri"/>
          <w:sz w:val="24"/>
          <w:szCs w:val="24"/>
        </w:rPr>
        <w:t>Over to you, Dana.</w:t>
      </w:r>
    </w:p>
    <w:p w14:paraId="00000015" w14:textId="77777777" w:rsidR="000F2014" w:rsidRPr="00B07EF9" w:rsidRDefault="00000000">
      <w:pPr>
        <w:spacing w:before="240" w:after="240"/>
        <w:rPr>
          <w:rFonts w:ascii="Calibri" w:eastAsia="Arial" w:hAnsi="Calibri" w:cs="Calibri"/>
          <w:sz w:val="24"/>
          <w:szCs w:val="24"/>
        </w:rPr>
      </w:pPr>
      <w:r w:rsidRPr="00B07EF9">
        <w:rPr>
          <w:rFonts w:ascii="Calibri" w:eastAsia="Arial" w:hAnsi="Calibri" w:cs="Calibri"/>
          <w:b/>
          <w:bCs/>
          <w:sz w:val="24"/>
          <w:szCs w:val="24"/>
        </w:rPr>
        <w:t xml:space="preserve">Danna </w:t>
      </w:r>
      <w:proofErr w:type="spellStart"/>
      <w:r w:rsidRPr="00B07EF9">
        <w:rPr>
          <w:rFonts w:ascii="Calibri" w:eastAsia="Arial" w:hAnsi="Calibri" w:cs="Calibri"/>
          <w:b/>
          <w:bCs/>
          <w:sz w:val="24"/>
          <w:szCs w:val="24"/>
        </w:rPr>
        <w:t>Aduna</w:t>
      </w:r>
      <w:proofErr w:type="spellEnd"/>
      <w:r w:rsidRPr="00B07EF9">
        <w:rPr>
          <w:rFonts w:ascii="Calibri" w:eastAsia="Arial" w:hAnsi="Calibri" w:cs="Calibri"/>
          <w:b/>
          <w:bCs/>
          <w:sz w:val="24"/>
          <w:szCs w:val="24"/>
        </w:rPr>
        <w:t>:</w:t>
      </w:r>
      <w:r w:rsidRPr="00B07EF9">
        <w:rPr>
          <w:rFonts w:ascii="Calibri" w:eastAsia="Arial" w:hAnsi="Calibri" w:cs="Calibri"/>
          <w:sz w:val="24"/>
          <w:szCs w:val="24"/>
        </w:rPr>
        <w:br/>
        <w:t xml:space="preserve">Thank you, Anna. And thank you to everyone in the panel and the organisers. I’m Dana </w:t>
      </w:r>
      <w:proofErr w:type="spellStart"/>
      <w:r w:rsidRPr="00B07EF9">
        <w:rPr>
          <w:rFonts w:ascii="Calibri" w:eastAsia="Arial" w:hAnsi="Calibri" w:cs="Calibri"/>
          <w:sz w:val="24"/>
          <w:szCs w:val="24"/>
        </w:rPr>
        <w:t>Aduna</w:t>
      </w:r>
      <w:proofErr w:type="spellEnd"/>
      <w:r w:rsidRPr="00B07EF9">
        <w:rPr>
          <w:rFonts w:ascii="Calibri" w:eastAsia="Arial" w:hAnsi="Calibri" w:cs="Calibri"/>
          <w:sz w:val="24"/>
          <w:szCs w:val="24"/>
        </w:rPr>
        <w:t xml:space="preserve"> from Macquarie University, which sits on stolen and unceded </w:t>
      </w:r>
      <w:proofErr w:type="spellStart"/>
      <w:r w:rsidRPr="00B07EF9">
        <w:rPr>
          <w:rFonts w:ascii="Calibri" w:eastAsia="Arial" w:hAnsi="Calibri" w:cs="Calibri"/>
          <w:sz w:val="24"/>
          <w:szCs w:val="24"/>
        </w:rPr>
        <w:t>Dharug</w:t>
      </w:r>
      <w:proofErr w:type="spellEnd"/>
      <w:r w:rsidRPr="00B07EF9">
        <w:rPr>
          <w:rFonts w:ascii="Calibri" w:eastAsia="Arial" w:hAnsi="Calibri" w:cs="Calibri"/>
          <w:sz w:val="24"/>
          <w:szCs w:val="24"/>
        </w:rPr>
        <w:t xml:space="preserve"> land. But as Anna mentioned, I will be talking about issues in my home country, the Philippines, and I would like to begin by expressing my indebtedness, solidarity, and gratitude to the interview participants in my research. The second thing I would like to begin with is extending care to everyone in this space. I understand that we are here most likely because we have been closely affected by the issues that we are discussing, so I would like to extend care to everyone. I will show pictures shortly of a protest that happened in a university in the Philippines, and then of news headlines, and no other pictures after that. I will not be recounting specific experiences of sexual violence.</w:t>
      </w:r>
    </w:p>
    <w:p w14:paraId="00000016" w14:textId="77777777" w:rsidR="000F2014" w:rsidRPr="00B07EF9" w:rsidRDefault="00000000">
      <w:pPr>
        <w:spacing w:before="240" w:after="240"/>
        <w:rPr>
          <w:rFonts w:ascii="Calibri" w:eastAsia="Arial" w:hAnsi="Calibri" w:cs="Calibri"/>
          <w:sz w:val="24"/>
          <w:szCs w:val="24"/>
        </w:rPr>
      </w:pPr>
      <w:r w:rsidRPr="00B07EF9">
        <w:rPr>
          <w:rFonts w:ascii="Calibri" w:eastAsia="Arial" w:hAnsi="Calibri" w:cs="Calibri"/>
          <w:sz w:val="24"/>
          <w:szCs w:val="24"/>
        </w:rPr>
        <w:lastRenderedPageBreak/>
        <w:t xml:space="preserve">I will be talking about my interview participants’ experiences with university processes for handling sexual violence, and this content might be distressing. Please let me know if there are ways to carry out the conversation that will keep it safe and welcoming for you. Thank you for being here and sharing space with us today. </w:t>
      </w: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I’d like to share a bit about my positionings and my histories as a researcher. Even though I identify as an activist scholar, I’m a Filipino queer woman. I use she/her pronouns and the ungendered “</w:t>
      </w:r>
      <w:proofErr w:type="spellStart"/>
      <w:r w:rsidRPr="00B07EF9">
        <w:rPr>
          <w:rFonts w:ascii="Calibri" w:eastAsia="Arial" w:hAnsi="Calibri" w:cs="Calibri"/>
          <w:sz w:val="24"/>
          <w:szCs w:val="24"/>
        </w:rPr>
        <w:t>siya</w:t>
      </w:r>
      <w:proofErr w:type="spellEnd"/>
      <w:r w:rsidRPr="00B07EF9">
        <w:rPr>
          <w:rFonts w:ascii="Calibri" w:eastAsia="Arial" w:hAnsi="Calibri" w:cs="Calibri"/>
          <w:sz w:val="24"/>
          <w:szCs w:val="24"/>
        </w:rPr>
        <w:t>” in my mother tongue. I was born, raised, and educated in postcolonial, neocolonial Philippines. I’m a Philosophy PhD researcher currently writing in the settler colony, so-called Australia, and as I said, working on stolen land. And currently I am on Kulin lands.</w:t>
      </w:r>
    </w:p>
    <w:p w14:paraId="00000017" w14:textId="77777777" w:rsidR="000F2014" w:rsidRPr="00B07EF9" w:rsidRDefault="00000000">
      <w:pPr>
        <w:spacing w:before="240" w:after="240"/>
        <w:rPr>
          <w:rFonts w:ascii="Calibri" w:eastAsia="Arial" w:hAnsi="Calibri" w:cs="Calibri"/>
          <w:sz w:val="24"/>
          <w:szCs w:val="24"/>
        </w:rPr>
      </w:pPr>
      <w:r w:rsidRPr="00B07EF9">
        <w:rPr>
          <w:rFonts w:ascii="Calibri" w:eastAsia="Arial" w:hAnsi="Calibri" w:cs="Calibri"/>
          <w:sz w:val="24"/>
          <w:szCs w:val="24"/>
        </w:rPr>
        <w:t>My mother tongue is Tagalog, which is unjustly recognised by the Philippine state as Filipino. But there are more than 100 Philippine languages, and I speak only one of those. I also speak English. I’m a native non-Indigenous Filipino according to the official definition of indigeneity in the Philippines. And I am a feminist activist involved in the anti-sexual violence movement in the Philippines. Part of my history is our colonial histories in the Philippines. We were colonised by Spain for 333 years, if you believe the history books. We were colonised by the United States for close to 50 years, if you believe activists. The colonisation continues until today. And we were occupied by Japan during the Second World War.</w:t>
      </w:r>
    </w:p>
    <w:p w14:paraId="00000018" w14:textId="77777777" w:rsidR="000F2014" w:rsidRPr="00B07EF9" w:rsidRDefault="00000000">
      <w:pPr>
        <w:spacing w:before="240" w:after="240"/>
        <w:rPr>
          <w:rFonts w:ascii="Calibri" w:eastAsia="Arial" w:hAnsi="Calibri" w:cs="Calibri"/>
          <w:sz w:val="24"/>
          <w:szCs w:val="24"/>
        </w:rPr>
      </w:pPr>
      <w:r w:rsidRPr="00B07EF9">
        <w:rPr>
          <w:rFonts w:ascii="Calibri" w:eastAsia="Arial" w:hAnsi="Calibri" w:cs="Calibri"/>
          <w:sz w:val="24"/>
          <w:szCs w:val="24"/>
        </w:rPr>
        <w:t xml:space="preserve">And </w:t>
      </w: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it’s important to at least mention in this talk that the issues of sexual violence in universities are shaped by the way that education and religion were used as colonial tools during the time of colonialism in the Philippines. And that means that the forms that patriarchy, misogyny, queerphobia, transphobia, class hierarchies, and lack of accountability take are informed, shaped, and produced by these colonial histories and legacies. I mentioned that I’m a feminist activist. That happened because I was part of this university where </w:t>
      </w:r>
      <w:proofErr w:type="gramStart"/>
      <w:r w:rsidRPr="00B07EF9">
        <w:rPr>
          <w:rFonts w:ascii="Calibri" w:eastAsia="Arial" w:hAnsi="Calibri" w:cs="Calibri"/>
          <w:sz w:val="24"/>
          <w:szCs w:val="24"/>
        </w:rPr>
        <w:t>protests against</w:t>
      </w:r>
      <w:proofErr w:type="gramEnd"/>
      <w:r w:rsidRPr="00B07EF9">
        <w:rPr>
          <w:rFonts w:ascii="Calibri" w:eastAsia="Arial" w:hAnsi="Calibri" w:cs="Calibri"/>
          <w:sz w:val="24"/>
          <w:szCs w:val="24"/>
        </w:rPr>
        <w:t xml:space="preserve"> sexual violence erupted overnight. And we protested on campus, which gave rise to a movement against sexual violence in the university, but also inspired similar movements in other schools and universities as well.</w:t>
      </w:r>
    </w:p>
    <w:p w14:paraId="00000019" w14:textId="77777777" w:rsidR="000F2014" w:rsidRPr="00B07EF9" w:rsidRDefault="00000000">
      <w:pPr>
        <w:spacing w:before="240" w:after="240"/>
        <w:rPr>
          <w:rFonts w:ascii="Calibri" w:eastAsia="Arial" w:hAnsi="Calibri" w:cs="Calibri"/>
          <w:sz w:val="24"/>
          <w:szCs w:val="24"/>
        </w:rPr>
      </w:pPr>
      <w:r w:rsidRPr="00B07EF9">
        <w:rPr>
          <w:rFonts w:ascii="Calibri" w:eastAsia="Arial" w:hAnsi="Calibri" w:cs="Calibri"/>
          <w:sz w:val="24"/>
          <w:szCs w:val="24"/>
        </w:rPr>
        <w:t xml:space="preserve">And because of the prominence of this university, Ateneo de Manila, it did receive a lot of coverage as the protests were happening, but even years after. And my experiences as a feminist activist who was part of this movement inform not just my topic, but also my research directions, my research design, and my research methods. </w:t>
      </w: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I’d like to speak a bit about my research design. I had 14 participants who went through the entire recruitment process, and I had 24 initial expressions of interest. </w:t>
      </w:r>
      <w:proofErr w:type="gramStart"/>
      <w:r w:rsidRPr="00B07EF9">
        <w:rPr>
          <w:rFonts w:ascii="Calibri" w:eastAsia="Arial" w:hAnsi="Calibri" w:cs="Calibri"/>
          <w:sz w:val="24"/>
          <w:szCs w:val="24"/>
        </w:rPr>
        <w:t>All of</w:t>
      </w:r>
      <w:proofErr w:type="gramEnd"/>
      <w:r w:rsidRPr="00B07EF9">
        <w:rPr>
          <w:rFonts w:ascii="Calibri" w:eastAsia="Arial" w:hAnsi="Calibri" w:cs="Calibri"/>
          <w:sz w:val="24"/>
          <w:szCs w:val="24"/>
        </w:rPr>
        <w:t xml:space="preserve"> these participants I engaged with in one-on-one semi-structured interviews. I used a gentle, indirect approach to recruitment, which meant just general announcements and requests to organisations to post general announcements, and no direct messages to survivors. I knew my interviews were bilingual.</w:t>
      </w:r>
    </w:p>
    <w:p w14:paraId="0000001A" w14:textId="77777777" w:rsidR="000F2014" w:rsidRPr="00B07EF9" w:rsidRDefault="00000000">
      <w:pPr>
        <w:spacing w:before="240" w:after="240"/>
        <w:rPr>
          <w:rFonts w:ascii="Calibri" w:eastAsia="Arial" w:hAnsi="Calibri" w:cs="Calibri"/>
          <w:sz w:val="24"/>
          <w:szCs w:val="24"/>
        </w:rPr>
      </w:pPr>
      <w:r w:rsidRPr="00B07EF9">
        <w:rPr>
          <w:rFonts w:ascii="Calibri" w:eastAsia="Arial" w:hAnsi="Calibri" w:cs="Calibri"/>
          <w:sz w:val="24"/>
          <w:szCs w:val="24"/>
        </w:rPr>
        <w:t xml:space="preserve">As I said, I speak Tagalog and English, so that was the limitation of my interviews. I could only speak those languages, although I did try to introduce some workarounds around that. I used trauma-informed practices. One example is the use of open-ended questions, where I did not require, at any stage of the process—from recruiting, through engagement, through the interview, and after—for anyone to identify as a survivor or to share accounts of sexual violence, theirs or </w:t>
      </w:r>
      <w:proofErr w:type="gramStart"/>
      <w:r w:rsidRPr="00B07EF9">
        <w:rPr>
          <w:rFonts w:ascii="Calibri" w:eastAsia="Arial" w:hAnsi="Calibri" w:cs="Calibri"/>
          <w:sz w:val="24"/>
          <w:szCs w:val="24"/>
        </w:rPr>
        <w:t>others’</w:t>
      </w:r>
      <w:proofErr w:type="gramEnd"/>
      <w:r w:rsidRPr="00B07EF9">
        <w:rPr>
          <w:rFonts w:ascii="Calibri" w:eastAsia="Arial" w:hAnsi="Calibri" w:cs="Calibri"/>
          <w:sz w:val="24"/>
          <w:szCs w:val="24"/>
        </w:rPr>
        <w:t>. However, many did choose to do so in their interviews, and I found that I had to employ a lot of empathy and perspective-taking because there was no manual on how to do the work that I wanted to do.</w:t>
      </w:r>
    </w:p>
    <w:p w14:paraId="0000001B" w14:textId="77777777" w:rsidR="000F2014" w:rsidRPr="00B07EF9" w:rsidRDefault="00000000">
      <w:pPr>
        <w:spacing w:before="240" w:after="240"/>
        <w:rPr>
          <w:rFonts w:ascii="Calibri" w:eastAsia="Arial" w:hAnsi="Calibri" w:cs="Calibri"/>
          <w:sz w:val="24"/>
          <w:szCs w:val="24"/>
        </w:rPr>
      </w:pPr>
      <w:r w:rsidRPr="00B07EF9">
        <w:rPr>
          <w:rFonts w:ascii="Calibri" w:eastAsia="Arial" w:hAnsi="Calibri" w:cs="Calibri"/>
          <w:sz w:val="24"/>
          <w:szCs w:val="24"/>
        </w:rPr>
        <w:lastRenderedPageBreak/>
        <w:t>The scope of my study is determined by my study ad, which is stated in my study ad, which says that the study is open to survivors, supporters, advocates, and anyone who has been affected or impacted by sexual violence in universities in the Philippines, and one need not be currently affiliated with a particular university. My central finding, if I were to put it as concisely as possible, is that institutional processes occur on institutional terms and institutional time. And proceeding in this way, institutions set the epistemic—that is, knowledge-based—and affective—that is, emotion-based—conditions under which survivor testimony can be allowed. These oppressive conditions often produce knowledge-based and emotion-based harms against survivors. My field is in philosophy—I don’t know if I’ve mentioned that—but this is why.</w:t>
      </w:r>
    </w:p>
    <w:p w14:paraId="0000001C" w14:textId="77777777" w:rsidR="000F2014" w:rsidRPr="00B07EF9" w:rsidRDefault="00000000">
      <w:pPr>
        <w:spacing w:before="240" w:after="240"/>
        <w:rPr>
          <w:rFonts w:ascii="Calibri" w:eastAsia="Arial" w:hAnsi="Calibri" w:cs="Calibri"/>
          <w:sz w:val="24"/>
          <w:szCs w:val="24"/>
        </w:rPr>
      </w:pPr>
      <w:r w:rsidRPr="00B07EF9">
        <w:rPr>
          <w:rFonts w:ascii="Calibri" w:eastAsia="Arial" w:hAnsi="Calibri" w:cs="Calibri"/>
          <w:sz w:val="24"/>
          <w:szCs w:val="24"/>
        </w:rPr>
        <w:t>This is a particular rendering of my findings, and I divide my findings into three parts. The first is the motivations of my participants for sharing their testimony, particularly with their institution. To me, it’s important to understand harms by being guided by the motivations that people had—or survivors had—for speaking up in the first place. I loosely categorised participants’ motivations for speaking up, particularly speaking to their institutions, as follows: first, to make sense of what happened to them; second, seeking safety and support; third, encouragement from others, which often was related to the need for safety and support through institutional mechanisms, or a sense that it was the right thing to do to bring a complaint or report to the institution, and a sense that the perpetrator should face consequences; and fourth, a desire to protect others, particularly future victim-survivors.</w:t>
      </w:r>
    </w:p>
    <w:p w14:paraId="0000001D" w14:textId="77777777" w:rsidR="000F2014" w:rsidRPr="00B07EF9" w:rsidRDefault="00000000">
      <w:pPr>
        <w:spacing w:before="240" w:after="240"/>
        <w:rPr>
          <w:rFonts w:ascii="Calibri" w:eastAsia="Arial" w:hAnsi="Calibri" w:cs="Calibri"/>
          <w:sz w:val="24"/>
          <w:szCs w:val="24"/>
        </w:rPr>
      </w:pPr>
      <w:r w:rsidRPr="00B07EF9">
        <w:rPr>
          <w:rFonts w:ascii="Calibri" w:eastAsia="Arial" w:hAnsi="Calibri" w:cs="Calibri"/>
          <w:sz w:val="24"/>
          <w:szCs w:val="24"/>
        </w:rPr>
        <w:t xml:space="preserve">And the last of these very loose, tentative categories is knowing that other survivors experience harms from the same perpetrator. And one thread that I’d like to draw across all these motivations is that they’re inherently intersubjective. The second part of my findings is on the institutional conditions within which survivors </w:t>
      </w:r>
      <w:proofErr w:type="gramStart"/>
      <w:r w:rsidRPr="00B07EF9">
        <w:rPr>
          <w:rFonts w:ascii="Calibri" w:eastAsia="Arial" w:hAnsi="Calibri" w:cs="Calibri"/>
          <w:sz w:val="24"/>
          <w:szCs w:val="24"/>
        </w:rPr>
        <w:t>have to</w:t>
      </w:r>
      <w:proofErr w:type="gramEnd"/>
      <w:r w:rsidRPr="00B07EF9">
        <w:rPr>
          <w:rFonts w:ascii="Calibri" w:eastAsia="Arial" w:hAnsi="Calibri" w:cs="Calibri"/>
          <w:sz w:val="24"/>
          <w:szCs w:val="24"/>
        </w:rPr>
        <w:t xml:space="preserve"> try to meet these motivations and expectations for institutional engagement and processes. </w:t>
      </w: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what I found was that institutions, of course, determine the conditions under which survivor testimony is shared the minute that the survivor brings their testimony to the formal processes or to the institution itself. And so institutional processes occur on institutional terms. They set knowledge-based conditions and emotion-based conditions for survivors sharing their testimony. That means that survivors often experienced testimonial silencing, control, and extraction, and survivors were required to manage and suppress their emotions.</w:t>
      </w:r>
    </w:p>
    <w:p w14:paraId="0000001E" w14:textId="77777777" w:rsidR="000F2014" w:rsidRPr="00B07EF9" w:rsidRDefault="00000000">
      <w:pPr>
        <w:spacing w:before="240" w:after="240"/>
        <w:rPr>
          <w:rFonts w:ascii="Calibri" w:eastAsia="Arial" w:hAnsi="Calibri" w:cs="Calibri"/>
          <w:sz w:val="24"/>
          <w:szCs w:val="24"/>
        </w:rPr>
      </w:pPr>
      <w:r w:rsidRPr="00B07EF9">
        <w:rPr>
          <w:rFonts w:ascii="Calibri" w:eastAsia="Arial" w:hAnsi="Calibri" w:cs="Calibri"/>
          <w:sz w:val="24"/>
          <w:szCs w:val="24"/>
        </w:rPr>
        <w:t xml:space="preserve">Institutional processes also occurred on institutional time. They were often long, drawn out. They started and ended with the formal processes, which meant it was hard for the survivor to get support outside the context of a formal complaint. And these institutional processes failed to take the time under which healing occurs—which is not as linear or as neat as institutions would recognise—into account. The third I cannot get into fully, but because I did my interviews in a bilingual manner, there was something about the Tagalog word </w:t>
      </w:r>
      <w:proofErr w:type="spellStart"/>
      <w:r w:rsidRPr="00B07EF9">
        <w:rPr>
          <w:rFonts w:ascii="Calibri" w:eastAsia="Arial" w:hAnsi="Calibri" w:cs="Calibri"/>
          <w:i/>
          <w:iCs/>
          <w:sz w:val="24"/>
          <w:szCs w:val="24"/>
        </w:rPr>
        <w:t>wala</w:t>
      </w:r>
      <w:proofErr w:type="spellEnd"/>
      <w:r w:rsidRPr="00B07EF9">
        <w:rPr>
          <w:rFonts w:ascii="Calibri" w:eastAsia="Arial" w:hAnsi="Calibri" w:cs="Calibri"/>
          <w:sz w:val="24"/>
          <w:szCs w:val="24"/>
        </w:rPr>
        <w:t>, which is our word for “nothing,” that kind of expresses the void that the institution is, the opacity of institutional processes as experienced by survivors. The third part of my findings is survivors’ senses of justice. I drew these senses from this interview question: “What would you change about how your university handles sexual violence?”</w:t>
      </w:r>
    </w:p>
    <w:p w14:paraId="00000020" w14:textId="249CD867" w:rsidR="000F2014" w:rsidRPr="00B07EF9" w:rsidRDefault="00000000">
      <w:pPr>
        <w:rPr>
          <w:rFonts w:ascii="Calibri" w:eastAsia="Arial" w:hAnsi="Calibri" w:cs="Calibri"/>
          <w:sz w:val="24"/>
          <w:szCs w:val="24"/>
        </w:rPr>
      </w:pPr>
      <w:r w:rsidRPr="00B07EF9">
        <w:rPr>
          <w:rFonts w:ascii="Calibri" w:eastAsia="Arial" w:hAnsi="Calibri" w:cs="Calibri"/>
          <w:sz w:val="24"/>
          <w:szCs w:val="24"/>
        </w:rPr>
        <w:t xml:space="preserve">One participant said, “everything.” What else? Explicit word: “everything.” And this is a very text-heavy slide, but I just wanted to show the breadth of the senses of justice that survivors expressed. Of course, this is not comprehensive, and these are loose, tentative categories </w:t>
      </w:r>
      <w:r w:rsidRPr="00B07EF9">
        <w:rPr>
          <w:rFonts w:ascii="Calibri" w:eastAsia="Arial" w:hAnsi="Calibri" w:cs="Calibri"/>
          <w:sz w:val="24"/>
          <w:szCs w:val="24"/>
        </w:rPr>
        <w:lastRenderedPageBreak/>
        <w:t>again. But just to read the headings: these senses of justice can be understood as harm-doer oriented, or survivor-oriented, or institution-oriented, or communities within institutions-oriented, or recognition-oriented. Just to show how varied and complex survivors understood and experienced their need and pursuit of justice. And so again, this is a thesis in philosophy, so I’m developing this account of institutional oppression of testimony in philosophy. The terms that you would often look to when examining how survivor testimony is suppressed is epistemic injustice, which was introduced by Fricker in 2007.</w:t>
      </w:r>
    </w:p>
    <w:p w14:paraId="00000021" w14:textId="77777777" w:rsidR="000F2014" w:rsidRPr="00B07EF9" w:rsidRDefault="00000000">
      <w:pPr>
        <w:spacing w:before="240" w:after="240"/>
        <w:rPr>
          <w:rFonts w:ascii="Calibri" w:eastAsia="Arial" w:hAnsi="Calibri" w:cs="Calibri"/>
          <w:sz w:val="24"/>
          <w:szCs w:val="24"/>
        </w:rPr>
      </w:pPr>
      <w:r w:rsidRPr="00B07EF9">
        <w:rPr>
          <w:rFonts w:ascii="Calibri" w:eastAsia="Arial" w:hAnsi="Calibri" w:cs="Calibri"/>
          <w:sz w:val="24"/>
          <w:szCs w:val="24"/>
        </w:rPr>
        <w:t xml:space="preserve">Of course, many people since have pointed out that epistemic violence, as a postcolonial term, was already introduced many decades before by Spivak and other postcolonial theorists. There’s also the term testimonial smothering by Dotson, and epistemic oppression. If you want to understand the affective harms and the affective layer, there is affective injustice, and there are two—we could say competing accounts—that both came out in 2018, with Whitby providing three types: affective marginalisation, exploitation, and violence. I would like this to offer a new account that I think would be able to speak to survivors’ experiences of going to their institutions expecting justice and support, and that’s institutional oppression of testimony. </w:t>
      </w: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what I mean by this is that institutional terms and time produce oppressive conditions for survivors’ testimony. Survivors are often unable to have their motivations and expectations met.</w:t>
      </w:r>
    </w:p>
    <w:p w14:paraId="00000022" w14:textId="77777777" w:rsidR="000F2014" w:rsidRPr="00B07EF9" w:rsidRDefault="00000000">
      <w:pPr>
        <w:spacing w:before="240" w:after="240"/>
        <w:rPr>
          <w:rFonts w:ascii="Calibri" w:eastAsia="Arial" w:hAnsi="Calibri" w:cs="Calibri"/>
          <w:sz w:val="24"/>
          <w:szCs w:val="24"/>
        </w:rPr>
      </w:pPr>
      <w:r w:rsidRPr="00B07EF9">
        <w:rPr>
          <w:rFonts w:ascii="Calibri" w:eastAsia="Arial" w:hAnsi="Calibri" w:cs="Calibri"/>
          <w:sz w:val="24"/>
          <w:szCs w:val="24"/>
        </w:rPr>
        <w:t xml:space="preserve">Survivors often experience harms in relation to testimony. This account is a conditions-based account, which means I look at the conditions within which survivor testimony is shared, which is not the case for the previous accounts that I have listed prior to this slide. These are oppressive conditions. They operate on epistemic and affective levels, but also beyond these levels. And one feature of this oppression is that while the motivations for sharing testimony are inherently intersubjective and social, institutions typically regard survivors as individuals in isolation, and therefore institutional processes often separate survivors from their supporters or would-be </w:t>
      </w:r>
      <w:proofErr w:type="gramStart"/>
      <w:r w:rsidRPr="00B07EF9">
        <w:rPr>
          <w:rFonts w:ascii="Calibri" w:eastAsia="Arial" w:hAnsi="Calibri" w:cs="Calibri"/>
          <w:sz w:val="24"/>
          <w:szCs w:val="24"/>
        </w:rPr>
        <w:t>supporters, and</w:t>
      </w:r>
      <w:proofErr w:type="gramEnd"/>
      <w:r w:rsidRPr="00B07EF9">
        <w:rPr>
          <w:rFonts w:ascii="Calibri" w:eastAsia="Arial" w:hAnsi="Calibri" w:cs="Calibri"/>
          <w:sz w:val="24"/>
          <w:szCs w:val="24"/>
        </w:rPr>
        <w:t xml:space="preserve"> separate them from fellow survivors. I know I have less than one minute left, so I would just like to share some questions that guide my recommendations, which is the stage I’m now at with my thesis.</w:t>
      </w:r>
    </w:p>
    <w:p w14:paraId="00000023" w14:textId="77777777" w:rsidR="000F2014" w:rsidRPr="00B07EF9" w:rsidRDefault="00000000">
      <w:pPr>
        <w:spacing w:before="240" w:after="240"/>
        <w:rPr>
          <w:rFonts w:ascii="Calibri" w:eastAsia="Arial" w:hAnsi="Calibri" w:cs="Calibri"/>
          <w:sz w:val="24"/>
          <w:szCs w:val="24"/>
        </w:rPr>
      </w:pPr>
      <w:r w:rsidRPr="00B07EF9">
        <w:rPr>
          <w:rFonts w:ascii="Calibri" w:eastAsia="Arial" w:hAnsi="Calibri" w:cs="Calibri"/>
          <w:sz w:val="24"/>
          <w:szCs w:val="24"/>
        </w:rPr>
        <w:t xml:space="preserve">I’m guided by questions raised by my reading and engagement with Sara Ahmed’s </w:t>
      </w:r>
      <w:r w:rsidRPr="00B07EF9">
        <w:rPr>
          <w:rFonts w:ascii="Calibri" w:eastAsia="Arial" w:hAnsi="Calibri" w:cs="Calibri"/>
          <w:i/>
          <w:iCs/>
          <w:sz w:val="24"/>
          <w:szCs w:val="24"/>
        </w:rPr>
        <w:t>Complaint</w:t>
      </w:r>
      <w:r w:rsidRPr="00B07EF9">
        <w:rPr>
          <w:rFonts w:ascii="Calibri" w:eastAsia="Arial" w:hAnsi="Calibri" w:cs="Calibri"/>
          <w:sz w:val="24"/>
          <w:szCs w:val="24"/>
        </w:rPr>
        <w:t xml:space="preserve">. Questions such as: what does it mean for us to give complaints? What does it mean to make use of complaint? And what does it mean for our complaint work to be useful? </w:t>
      </w:r>
      <w:proofErr w:type="gramStart"/>
      <w:r w:rsidRPr="00B07EF9">
        <w:rPr>
          <w:rFonts w:ascii="Calibri" w:eastAsia="Arial" w:hAnsi="Calibri" w:cs="Calibri"/>
          <w:sz w:val="24"/>
          <w:szCs w:val="24"/>
        </w:rPr>
        <w:t>In particular, what</w:t>
      </w:r>
      <w:proofErr w:type="gramEnd"/>
      <w:r w:rsidRPr="00B07EF9">
        <w:rPr>
          <w:rFonts w:ascii="Calibri" w:eastAsia="Arial" w:hAnsi="Calibri" w:cs="Calibri"/>
          <w:sz w:val="24"/>
          <w:szCs w:val="24"/>
        </w:rPr>
        <w:t xml:space="preserve"> does it mean to not make our work just useful for institutions, especially Global North institutions? And the question: whom do I want my research to be useful for, and not useful for? And I think there’s a decolonial feminist sense to this question. And </w:t>
      </w: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the question I’m now grappling with at this stage of my research is: what could a decolonial or feminist notion of the usefulness of research mean? </w:t>
      </w: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thank you everyone for listening, and I’m looking forward to the discussion.</w:t>
      </w:r>
    </w:p>
    <w:p w14:paraId="00000024" w14:textId="77777777" w:rsidR="000F2014" w:rsidRPr="00B07EF9" w:rsidRDefault="00000000">
      <w:pPr>
        <w:rPr>
          <w:rFonts w:ascii="Calibri" w:eastAsia="Arial" w:hAnsi="Calibri" w:cs="Calibri"/>
          <w:b/>
          <w:bCs/>
          <w:sz w:val="24"/>
          <w:szCs w:val="24"/>
        </w:rPr>
      </w:pPr>
      <w:r w:rsidRPr="00B07EF9">
        <w:rPr>
          <w:rFonts w:ascii="Calibri" w:eastAsia="Arial" w:hAnsi="Calibri" w:cs="Calibri"/>
          <w:b/>
          <w:bCs/>
          <w:sz w:val="24"/>
          <w:szCs w:val="24"/>
        </w:rPr>
        <w:t>Anna Bull:</w:t>
      </w:r>
    </w:p>
    <w:p w14:paraId="00000025" w14:textId="77777777" w:rsidR="000F2014" w:rsidRPr="00B07EF9" w:rsidRDefault="00000000">
      <w:pPr>
        <w:rPr>
          <w:rFonts w:ascii="Calibri" w:eastAsia="Arial" w:hAnsi="Calibri" w:cs="Calibri"/>
          <w:sz w:val="24"/>
          <w:szCs w:val="24"/>
        </w:rPr>
      </w:pPr>
      <w:r w:rsidRPr="00B07EF9">
        <w:rPr>
          <w:rFonts w:ascii="Calibri" w:eastAsia="Arial" w:hAnsi="Calibri" w:cs="Calibri"/>
          <w:sz w:val="24"/>
          <w:szCs w:val="24"/>
        </w:rPr>
        <w:t xml:space="preserve">Thank you so much, Dana. That was an incredibly rich and evocative paper. I could really get the kind of emotional power of the interviews that you’ve done, of the accounts that you have. And it’s fascinating to hear so many similarities with accounts and research from throughout the world in the Philippine context. And thank you also for that </w:t>
      </w:r>
      <w:proofErr w:type="gramStart"/>
      <w:r w:rsidRPr="00B07EF9">
        <w:rPr>
          <w:rFonts w:ascii="Calibri" w:eastAsia="Arial" w:hAnsi="Calibri" w:cs="Calibri"/>
          <w:sz w:val="24"/>
          <w:szCs w:val="24"/>
        </w:rPr>
        <w:t>really rich</w:t>
      </w:r>
      <w:proofErr w:type="gramEnd"/>
      <w:r w:rsidRPr="00B07EF9">
        <w:rPr>
          <w:rFonts w:ascii="Calibri" w:eastAsia="Arial" w:hAnsi="Calibri" w:cs="Calibri"/>
          <w:sz w:val="24"/>
          <w:szCs w:val="24"/>
        </w:rPr>
        <w:t xml:space="preserve"> theorisation. I’m </w:t>
      </w:r>
      <w:proofErr w:type="gramStart"/>
      <w:r w:rsidRPr="00B07EF9">
        <w:rPr>
          <w:rFonts w:ascii="Calibri" w:eastAsia="Arial" w:hAnsi="Calibri" w:cs="Calibri"/>
          <w:sz w:val="24"/>
          <w:szCs w:val="24"/>
        </w:rPr>
        <w:t>really excited</w:t>
      </w:r>
      <w:proofErr w:type="gramEnd"/>
      <w:r w:rsidRPr="00B07EF9">
        <w:rPr>
          <w:rFonts w:ascii="Calibri" w:eastAsia="Arial" w:hAnsi="Calibri" w:cs="Calibri"/>
          <w:sz w:val="24"/>
          <w:szCs w:val="24"/>
        </w:rPr>
        <w:t xml:space="preserve"> to read some of your work when it’s published. </w:t>
      </w:r>
    </w:p>
    <w:p w14:paraId="00000026" w14:textId="77777777" w:rsidR="000F2014" w:rsidRPr="00B07EF9" w:rsidRDefault="000F2014">
      <w:pPr>
        <w:rPr>
          <w:rFonts w:ascii="Calibri" w:eastAsia="Arial" w:hAnsi="Calibri" w:cs="Calibri"/>
          <w:sz w:val="24"/>
          <w:szCs w:val="24"/>
        </w:rPr>
      </w:pPr>
    </w:p>
    <w:p w14:paraId="00000027" w14:textId="77777777" w:rsidR="000F2014" w:rsidRPr="00B07EF9" w:rsidRDefault="00000000">
      <w:pPr>
        <w:rPr>
          <w:rFonts w:ascii="Calibri" w:eastAsia="Arial" w:hAnsi="Calibri" w:cs="Calibri"/>
          <w:sz w:val="24"/>
          <w:szCs w:val="24"/>
        </w:rPr>
      </w:pPr>
      <w:r w:rsidRPr="00B07EF9">
        <w:rPr>
          <w:rFonts w:ascii="Calibri" w:eastAsia="Arial" w:hAnsi="Calibri" w:cs="Calibri"/>
          <w:sz w:val="24"/>
          <w:szCs w:val="24"/>
        </w:rPr>
        <w:t xml:space="preserve">But for </w:t>
      </w:r>
      <w:proofErr w:type="gramStart"/>
      <w:r w:rsidRPr="00B07EF9">
        <w:rPr>
          <w:rFonts w:ascii="Calibri" w:eastAsia="Arial" w:hAnsi="Calibri" w:cs="Calibri"/>
          <w:sz w:val="24"/>
          <w:szCs w:val="24"/>
        </w:rPr>
        <w:t>now</w:t>
      </w:r>
      <w:proofErr w:type="gramEnd"/>
      <w:r w:rsidRPr="00B07EF9">
        <w:rPr>
          <w:rFonts w:ascii="Calibri" w:eastAsia="Arial" w:hAnsi="Calibri" w:cs="Calibri"/>
          <w:sz w:val="24"/>
          <w:szCs w:val="24"/>
        </w:rPr>
        <w:t xml:space="preserve"> I will introduce the next paper. We’re going to hear from three authors—Ahmed </w:t>
      </w:r>
      <w:proofErr w:type="spellStart"/>
      <w:r w:rsidRPr="00B07EF9">
        <w:rPr>
          <w:rFonts w:ascii="Calibri" w:eastAsia="Arial" w:hAnsi="Calibri" w:cs="Calibri"/>
          <w:sz w:val="24"/>
          <w:szCs w:val="24"/>
        </w:rPr>
        <w:t>Lafid</w:t>
      </w:r>
      <w:proofErr w:type="spellEnd"/>
      <w:r w:rsidRPr="00B07EF9">
        <w:rPr>
          <w:rFonts w:ascii="Calibri" w:eastAsia="Arial" w:hAnsi="Calibri" w:cs="Calibri"/>
          <w:sz w:val="24"/>
          <w:szCs w:val="24"/>
        </w:rPr>
        <w:t xml:space="preserve"> Gali, </w:t>
      </w:r>
      <w:proofErr w:type="spellStart"/>
      <w:r w:rsidRPr="00B07EF9">
        <w:rPr>
          <w:rFonts w:ascii="Calibri" w:eastAsia="Arial" w:hAnsi="Calibri" w:cs="Calibri"/>
          <w:sz w:val="24"/>
          <w:szCs w:val="24"/>
        </w:rPr>
        <w:t>Lafid</w:t>
      </w:r>
      <w:proofErr w:type="spellEnd"/>
      <w:r w:rsidRPr="00B07EF9">
        <w:rPr>
          <w:rFonts w:ascii="Calibri" w:eastAsia="Arial" w:hAnsi="Calibri" w:cs="Calibri"/>
          <w:sz w:val="24"/>
          <w:szCs w:val="24"/>
        </w:rPr>
        <w:t xml:space="preserve">, and Abdulaziz Al </w:t>
      </w:r>
      <w:proofErr w:type="spellStart"/>
      <w:r w:rsidRPr="00B07EF9">
        <w:rPr>
          <w:rFonts w:ascii="Calibri" w:eastAsia="Arial" w:hAnsi="Calibri" w:cs="Calibri"/>
          <w:sz w:val="24"/>
          <w:szCs w:val="24"/>
        </w:rPr>
        <w:t>Bakali</w:t>
      </w:r>
      <w:proofErr w:type="spellEnd"/>
      <w:r w:rsidRPr="00B07EF9">
        <w:rPr>
          <w:rFonts w:ascii="Calibri" w:eastAsia="Arial" w:hAnsi="Calibri" w:cs="Calibri"/>
          <w:sz w:val="24"/>
          <w:szCs w:val="24"/>
        </w:rPr>
        <w:t xml:space="preserve">—from Sidi Mohammed Ben </w:t>
      </w:r>
      <w:proofErr w:type="spellStart"/>
      <w:r w:rsidRPr="00B07EF9">
        <w:rPr>
          <w:rFonts w:ascii="Calibri" w:eastAsia="Arial" w:hAnsi="Calibri" w:cs="Calibri"/>
          <w:sz w:val="24"/>
          <w:szCs w:val="24"/>
        </w:rPr>
        <w:t>Abdellah</w:t>
      </w:r>
      <w:proofErr w:type="spellEnd"/>
      <w:r w:rsidRPr="00B07EF9">
        <w:rPr>
          <w:rFonts w:ascii="Calibri" w:eastAsia="Arial" w:hAnsi="Calibri" w:cs="Calibri"/>
          <w:sz w:val="24"/>
          <w:szCs w:val="24"/>
        </w:rPr>
        <w:t xml:space="preserve"> University in Morocco. And there—yeah, good morning. I’ll just give the title of your paper: </w:t>
      </w:r>
      <w:r w:rsidRPr="00B07EF9">
        <w:rPr>
          <w:rFonts w:ascii="Calibri" w:eastAsia="Arial" w:hAnsi="Calibri" w:cs="Calibri"/>
          <w:i/>
          <w:iCs/>
          <w:sz w:val="24"/>
          <w:szCs w:val="24"/>
        </w:rPr>
        <w:t xml:space="preserve">Creating Safe Spaces: Exploring the Effects of Gender-Based Violence on FLDM Female Students’ Academic Performance. </w:t>
      </w:r>
      <w:r w:rsidRPr="00B07EF9">
        <w:rPr>
          <w:rFonts w:ascii="Calibri" w:eastAsia="Arial" w:hAnsi="Calibri" w:cs="Calibri"/>
          <w:sz w:val="24"/>
          <w:szCs w:val="24"/>
        </w:rPr>
        <w:t>Over to you, Gali. And please do tell us what FLDM stands for.</w:t>
      </w:r>
    </w:p>
    <w:p w14:paraId="00000028" w14:textId="77777777" w:rsidR="000F2014" w:rsidRPr="00B07EF9" w:rsidRDefault="000F2014">
      <w:pPr>
        <w:rPr>
          <w:rFonts w:ascii="Calibri" w:eastAsia="Arial" w:hAnsi="Calibri" w:cs="Calibri"/>
          <w:sz w:val="24"/>
          <w:szCs w:val="24"/>
          <w:highlight w:val="yellow"/>
        </w:rPr>
      </w:pPr>
    </w:p>
    <w:p w14:paraId="00000029" w14:textId="77777777" w:rsidR="000F2014" w:rsidRPr="00B07EF9" w:rsidRDefault="00000000">
      <w:pPr>
        <w:rPr>
          <w:rFonts w:ascii="Calibri" w:eastAsia="Arial" w:hAnsi="Calibri" w:cs="Calibri"/>
          <w:sz w:val="24"/>
          <w:szCs w:val="24"/>
        </w:rPr>
      </w:pPr>
      <w:proofErr w:type="spellStart"/>
      <w:r w:rsidRPr="00B07EF9">
        <w:rPr>
          <w:rFonts w:ascii="Calibri" w:eastAsia="Arial" w:hAnsi="Calibri" w:cs="Calibri"/>
          <w:b/>
          <w:bCs/>
          <w:sz w:val="24"/>
          <w:szCs w:val="24"/>
        </w:rPr>
        <w:t>Ghali</w:t>
      </w:r>
      <w:proofErr w:type="spellEnd"/>
      <w:r w:rsidRPr="00B07EF9">
        <w:rPr>
          <w:rFonts w:ascii="Calibri" w:eastAsia="Arial" w:hAnsi="Calibri" w:cs="Calibri"/>
          <w:b/>
          <w:bCs/>
          <w:sz w:val="24"/>
          <w:szCs w:val="24"/>
        </w:rPr>
        <w:t xml:space="preserve"> </w:t>
      </w:r>
      <w:proofErr w:type="spellStart"/>
      <w:r w:rsidRPr="00B07EF9">
        <w:rPr>
          <w:rFonts w:ascii="Calibri" w:eastAsia="Arial" w:hAnsi="Calibri" w:cs="Calibri"/>
          <w:b/>
          <w:bCs/>
          <w:sz w:val="24"/>
          <w:szCs w:val="24"/>
        </w:rPr>
        <w:t>Lehfid</w:t>
      </w:r>
      <w:proofErr w:type="spellEnd"/>
      <w:r w:rsidRPr="00B07EF9">
        <w:rPr>
          <w:rFonts w:ascii="Calibri" w:eastAsia="Arial" w:hAnsi="Calibri" w:cs="Calibri"/>
          <w:b/>
          <w:bCs/>
          <w:sz w:val="24"/>
          <w:szCs w:val="24"/>
        </w:rPr>
        <w:t>:</w:t>
      </w:r>
      <w:r w:rsidRPr="00B07EF9">
        <w:rPr>
          <w:rFonts w:ascii="Calibri" w:eastAsia="Arial" w:hAnsi="Calibri" w:cs="Calibri"/>
          <w:sz w:val="24"/>
          <w:szCs w:val="24"/>
        </w:rPr>
        <w:br/>
        <w:t xml:space="preserve">Yeah, of course. FLDM stands for Faculty of Letters and Human Sciences, Dhar </w:t>
      </w:r>
      <w:proofErr w:type="spellStart"/>
      <w:r w:rsidRPr="00B07EF9">
        <w:rPr>
          <w:rFonts w:ascii="Calibri" w:eastAsia="Arial" w:hAnsi="Calibri" w:cs="Calibri"/>
          <w:sz w:val="24"/>
          <w:szCs w:val="24"/>
        </w:rPr>
        <w:t>Mehraz</w:t>
      </w:r>
      <w:proofErr w:type="spellEnd"/>
      <w:r w:rsidRPr="00B07EF9">
        <w:rPr>
          <w:rFonts w:ascii="Calibri" w:eastAsia="Arial" w:hAnsi="Calibri" w:cs="Calibri"/>
          <w:sz w:val="24"/>
          <w:szCs w:val="24"/>
        </w:rPr>
        <w:t xml:space="preserve">, Fez. In this presentation, I’m going to abide by the following outline. I will start with the background of the study before presenting the methodology of this research. Then I will move to tackle the findings of this study and proceed with the limitations and future research before ending my presentation with a conclusion. </w:t>
      </w: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in recent decades, Moroccan higher education has witnessed a steady increase in female student enrolment, which reflects national and international efforts to promote gender equality and women’s empowerment. Universities are portrayed as spaces of knowledge production, critical thinking, and personal development. However, behind this progressive image, many female students are negatively affected in their academic trajectories and wellbeing by gender-related issues. One of the most serious yet least discussed of these issues is sexual and gender-based violence within universities.</w:t>
      </w:r>
    </w:p>
    <w:p w14:paraId="0000002A" w14:textId="77777777" w:rsidR="000F2014" w:rsidRPr="00B07EF9" w:rsidRDefault="000F2014">
      <w:pPr>
        <w:rPr>
          <w:rFonts w:ascii="Calibri" w:eastAsia="Arial" w:hAnsi="Calibri" w:cs="Calibri"/>
          <w:sz w:val="24"/>
          <w:szCs w:val="24"/>
        </w:rPr>
      </w:pPr>
    </w:p>
    <w:p w14:paraId="0000002B" w14:textId="77777777" w:rsidR="000F2014" w:rsidRPr="00B07EF9" w:rsidRDefault="00000000">
      <w:pPr>
        <w:rPr>
          <w:rFonts w:ascii="Calibri" w:eastAsia="Arial" w:hAnsi="Calibri" w:cs="Calibri"/>
          <w:sz w:val="24"/>
          <w:szCs w:val="24"/>
        </w:rPr>
      </w:pPr>
      <w:r w:rsidRPr="00B07EF9">
        <w:rPr>
          <w:rFonts w:ascii="Calibri" w:eastAsia="Arial" w:hAnsi="Calibri" w:cs="Calibri"/>
          <w:sz w:val="24"/>
          <w:szCs w:val="24"/>
        </w:rPr>
        <w:t xml:space="preserve">Despite its impacts, it remains silenced and underreported due to fear, social stigma, power relations, and the lack of clear institutional mechanisms for reporting and protection. Within this context, the current study draws on female students’ lived experiences in the Faculty of Letters and Human Sciences, Dhar </w:t>
      </w:r>
      <w:proofErr w:type="spellStart"/>
      <w:r w:rsidRPr="00B07EF9">
        <w:rPr>
          <w:rFonts w:ascii="Calibri" w:eastAsia="Arial" w:hAnsi="Calibri" w:cs="Calibri"/>
          <w:sz w:val="24"/>
          <w:szCs w:val="24"/>
        </w:rPr>
        <w:t>Mehraz</w:t>
      </w:r>
      <w:proofErr w:type="spellEnd"/>
      <w:r w:rsidRPr="00B07EF9">
        <w:rPr>
          <w:rFonts w:ascii="Calibri" w:eastAsia="Arial" w:hAnsi="Calibri" w:cs="Calibri"/>
          <w:sz w:val="24"/>
          <w:szCs w:val="24"/>
        </w:rPr>
        <w:t>, Fez. This study aims to investigate the forms, prevalence, and impacts of sexual and gender-based violence on female students at the faculty of FLDM, as well as their perceptions of its psychological and academic consequences and the effectiveness of institutional responses. Moving to the research methodology and sharing the approach used, this study adopted a quantitative descriptive research design to examine female students’ experiences and perceptions of sexual and gender-based violence within university settings. Data were collected through a structured questionnaire, which contained closed-ended questions solely.</w:t>
      </w:r>
    </w:p>
    <w:p w14:paraId="0000002C" w14:textId="77777777" w:rsidR="000F2014" w:rsidRPr="00B07EF9" w:rsidRDefault="00000000">
      <w:pPr>
        <w:spacing w:before="240" w:after="240"/>
        <w:rPr>
          <w:rFonts w:ascii="Calibri" w:eastAsia="Arial" w:hAnsi="Calibri" w:cs="Calibri"/>
          <w:sz w:val="24"/>
          <w:szCs w:val="24"/>
        </w:rPr>
      </w:pPr>
      <w:r w:rsidRPr="00B07EF9">
        <w:rPr>
          <w:rFonts w:ascii="Calibri" w:eastAsia="Arial" w:hAnsi="Calibri" w:cs="Calibri"/>
          <w:sz w:val="24"/>
          <w:szCs w:val="24"/>
        </w:rPr>
        <w:t xml:space="preserve">This allows for numerical description of patterns and frequencies related to sexual and gender-based violence. The study did not aim to test causal relationships or infer population-level generalisation, but rather to provide a descriptive overview of students’ reported experiences and perceptions within a specific institutional setting. For the sampling method, participants were selected using convenience sampling based on accessibility and willingness to participate. The final sample consisted of 50 female students from the Faculty of Letters and Human Sciences, Dhar </w:t>
      </w:r>
      <w:proofErr w:type="spellStart"/>
      <w:r w:rsidRPr="00B07EF9">
        <w:rPr>
          <w:rFonts w:ascii="Calibri" w:eastAsia="Arial" w:hAnsi="Calibri" w:cs="Calibri"/>
          <w:sz w:val="24"/>
          <w:szCs w:val="24"/>
        </w:rPr>
        <w:t>Mehraz</w:t>
      </w:r>
      <w:proofErr w:type="spellEnd"/>
      <w:r w:rsidRPr="00B07EF9">
        <w:rPr>
          <w:rFonts w:ascii="Calibri" w:eastAsia="Arial" w:hAnsi="Calibri" w:cs="Calibri"/>
          <w:sz w:val="24"/>
          <w:szCs w:val="24"/>
        </w:rPr>
        <w:t>, Fez. The sample size was considered appropriate for a descriptive and exploratory quantitative study that focuses on a specific population rather than statistical generalisation to all Moroccan higher education institutions. So, as displayed, all participants in this study were female. Consequently, the analysis reflects female students’ perspectives, and no gender-based comparison was conducted.</w:t>
      </w:r>
    </w:p>
    <w:p w14:paraId="0000002D" w14:textId="77777777" w:rsidR="000F2014" w:rsidRPr="00B07EF9" w:rsidRDefault="00000000">
      <w:pPr>
        <w:spacing w:before="240" w:after="240"/>
        <w:rPr>
          <w:rFonts w:ascii="Calibri" w:eastAsia="Arial" w:hAnsi="Calibri" w:cs="Calibri"/>
          <w:sz w:val="24"/>
          <w:szCs w:val="24"/>
        </w:rPr>
      </w:pPr>
      <w:r w:rsidRPr="00B07EF9">
        <w:rPr>
          <w:rFonts w:ascii="Calibri" w:eastAsia="Arial" w:hAnsi="Calibri" w:cs="Calibri"/>
          <w:sz w:val="24"/>
          <w:szCs w:val="24"/>
        </w:rPr>
        <w:lastRenderedPageBreak/>
        <w:t xml:space="preserve">This focus was intentional, then, to meet the study’s objective of examining women’s experiences and perceptions of sexual and gender-based violence in university settings. So, as mentioned earlier, data were collected using an online structured questionnaire administered via Google Forms. The questionnaire consisted primarily of closed-ended questions designed to collect numerical data on prevalence, forms, perceived perpetrators, impacts, and institutional responses related to sexual and gender-based violence. Here, responses to closed-ended questions were analysed using descriptive statistics, including frequencies and percentages, as generated by Google Forms. These statistics were used to summarise patterns and trends within the sample. </w:t>
      </w: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concerning Figure 1, this question examined whether female students had experienced any forms of gender-based violence within university settings.</w:t>
      </w:r>
    </w:p>
    <w:p w14:paraId="0000002E" w14:textId="77777777" w:rsidR="000F2014" w:rsidRPr="00B07EF9" w:rsidRDefault="00000000">
      <w:pPr>
        <w:spacing w:before="240" w:after="240"/>
        <w:rPr>
          <w:rFonts w:ascii="Calibri" w:eastAsia="Arial" w:hAnsi="Calibri" w:cs="Calibri"/>
          <w:sz w:val="24"/>
          <w:szCs w:val="24"/>
        </w:rPr>
      </w:pPr>
      <w:r w:rsidRPr="00B07EF9">
        <w:rPr>
          <w:rFonts w:ascii="Calibri" w:eastAsia="Arial" w:hAnsi="Calibri" w:cs="Calibri"/>
          <w:sz w:val="24"/>
          <w:szCs w:val="24"/>
        </w:rPr>
        <w:t xml:space="preserve">Out of 50 female participants, 32% reported having experienced gender-based violence, while 68% indicated that they had not. Although </w:t>
      </w:r>
      <w:proofErr w:type="gramStart"/>
      <w:r w:rsidRPr="00B07EF9">
        <w:rPr>
          <w:rFonts w:ascii="Calibri" w:eastAsia="Arial" w:hAnsi="Calibri" w:cs="Calibri"/>
          <w:sz w:val="24"/>
          <w:szCs w:val="24"/>
        </w:rPr>
        <w:t>the majority of</w:t>
      </w:r>
      <w:proofErr w:type="gramEnd"/>
      <w:r w:rsidRPr="00B07EF9">
        <w:rPr>
          <w:rFonts w:ascii="Calibri" w:eastAsia="Arial" w:hAnsi="Calibri" w:cs="Calibri"/>
          <w:sz w:val="24"/>
          <w:szCs w:val="24"/>
        </w:rPr>
        <w:t xml:space="preserve"> respondents reported no direct experience, the fact that nearly one third of participants acknowledged experiencing gender-based violence highlights that it remains a significant issue within university environments. This finding suggests that gender-based violence, even if not universal, affects a substantial proportion of female students and warrants institutional attention and preventive measures. </w:t>
      </w: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the second figure illustrates the different forms of gender-based violence experienced or witnessed by female university students. The findings show that academic pressure and psychological intimidation are the most frequently reported forms, at 32% each as you can see in the figure. This highlights the central role of power relations within the academic environment.</w:t>
      </w:r>
    </w:p>
    <w:p w14:paraId="0000002F" w14:textId="77777777" w:rsidR="000F2014" w:rsidRPr="00B07EF9" w:rsidRDefault="00000000">
      <w:pPr>
        <w:spacing w:before="240" w:after="240"/>
        <w:rPr>
          <w:rFonts w:ascii="Calibri" w:eastAsia="Arial" w:hAnsi="Calibri" w:cs="Calibri"/>
          <w:sz w:val="24"/>
          <w:szCs w:val="24"/>
        </w:rPr>
      </w:pPr>
      <w:r w:rsidRPr="00B07EF9">
        <w:rPr>
          <w:rFonts w:ascii="Calibri" w:eastAsia="Arial" w:hAnsi="Calibri" w:cs="Calibri"/>
          <w:sz w:val="24"/>
          <w:szCs w:val="24"/>
        </w:rPr>
        <w:t>So verbal harassment (28%) and sexual harassment (26%) also appear as significant concerns, and this shows that gender-based violence is not limited to physical or sexual acts but includes verbal interactions and communications. Additionally, online harassment was reported by 26% of participants, reflecting the extension of gender-based violence into digital spaces. Although a small proportion of respondents indicated that they had not experienced or witnessed any form of violence, the distribution suggests that gender-based violence is a pervasive issue within the university, often normalised through academic authority and institutional hierarchies. And as you can see, a minority represented by 4% reported “sex for grades” as a form of sexual and gender-based violence encountered within the university. Although reported by a limited number, this finding is significant as it reflects severe power abuse within academic relationships.</w:t>
      </w:r>
    </w:p>
    <w:p w14:paraId="00000030" w14:textId="77777777" w:rsidR="000F2014" w:rsidRPr="00B07EF9" w:rsidRDefault="00000000">
      <w:pPr>
        <w:spacing w:before="240" w:after="240"/>
        <w:rPr>
          <w:rFonts w:ascii="Calibri" w:eastAsia="Arial" w:hAnsi="Calibri" w:cs="Calibri"/>
          <w:sz w:val="24"/>
          <w:szCs w:val="24"/>
        </w:rPr>
      </w:pPr>
      <w:r w:rsidRPr="00B07EF9">
        <w:rPr>
          <w:rFonts w:ascii="Calibri" w:eastAsia="Arial" w:hAnsi="Calibri" w:cs="Calibri"/>
          <w:sz w:val="24"/>
          <w:szCs w:val="24"/>
        </w:rPr>
        <w:t xml:space="preserve">The presence of such practices, even at low reported levels, raises serious ethical questions. A total of 12% of respondents, distributed equally across six divisions (2% per division), reported that they had not experienced any forms of sexual and gender-based violence. </w:t>
      </w: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Figure 3 (or 4) represents participants’ perceptions of the perpetrators of gender-based violence within the university. 52% of respondents claim that male students are perceived as the primary perpetrators, followed closely by outsiders or non-students at the faculty at 48%. These findings show that gender-based violence involves both peer interactions and external individuals who have access to university spaces. Notably, professors and administrative staff each account for 10% of reported perpetrators. Although these percentages are low, they should not be underestimated, as violence involving academic or administrative authorities reflects power relations, authority, and abuse embedded within institutional hierarchies.</w:t>
      </w:r>
    </w:p>
    <w:p w14:paraId="00000031" w14:textId="77777777" w:rsidR="000F2014" w:rsidRPr="00B07EF9" w:rsidRDefault="00000000">
      <w:pPr>
        <w:spacing w:before="240" w:after="240"/>
        <w:rPr>
          <w:rFonts w:ascii="Calibri" w:eastAsia="Arial" w:hAnsi="Calibri" w:cs="Calibri"/>
          <w:sz w:val="24"/>
          <w:szCs w:val="24"/>
        </w:rPr>
      </w:pPr>
      <w:r w:rsidRPr="00B07EF9">
        <w:rPr>
          <w:rFonts w:ascii="Calibri" w:eastAsia="Arial" w:hAnsi="Calibri" w:cs="Calibri"/>
          <w:sz w:val="24"/>
          <w:szCs w:val="24"/>
        </w:rPr>
        <w:lastRenderedPageBreak/>
        <w:t xml:space="preserve">Such cases involve forms of coercion, intimidation, or abuse of authority, as I said before, which may be underreported due to fear of retaliation or academic consequences. The presence of minor responses such as “no one” or “I don’t know,” as you can see in the figure, is interpreted as uncertainty or reluctance to identify perpetrators, which aligns with existing literature on the silencing of victims in academic environments. </w:t>
      </w: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Figure 4 indicates that gender-based violence is perceived as moderately common by the majority of respondents (54%), while 40% considered it not common. A smaller proportion (6%) reported it as very common in universities, which suggests that the issue is not seen as pervasive by all students.</w:t>
      </w:r>
    </w:p>
    <w:p w14:paraId="00000032" w14:textId="77777777" w:rsidR="000F2014" w:rsidRPr="00B07EF9" w:rsidRDefault="00000000">
      <w:pPr>
        <w:spacing w:before="240" w:after="240"/>
        <w:rPr>
          <w:rFonts w:ascii="Calibri" w:eastAsia="Arial" w:hAnsi="Calibri" w:cs="Calibri"/>
          <w:sz w:val="24"/>
          <w:szCs w:val="24"/>
        </w:rPr>
      </w:pPr>
      <w:r w:rsidRPr="00B07EF9">
        <w:rPr>
          <w:rFonts w:ascii="Calibri" w:eastAsia="Arial" w:hAnsi="Calibri" w:cs="Calibri"/>
          <w:sz w:val="24"/>
          <w:szCs w:val="24"/>
        </w:rPr>
        <w:t xml:space="preserve">Figure 5 shows that 68% of the respondents report always feeling safe on campus, while 28% feel safe only sometimes, and a very small portion—1% rarely and 1% never—reported feeling unsafe. Thus, it indicates that the overall perceptions of safety are positive. Although </w:t>
      </w:r>
      <w:proofErr w:type="gramStart"/>
      <w:r w:rsidRPr="00B07EF9">
        <w:rPr>
          <w:rFonts w:ascii="Calibri" w:eastAsia="Arial" w:hAnsi="Calibri" w:cs="Calibri"/>
          <w:sz w:val="24"/>
          <w:szCs w:val="24"/>
        </w:rPr>
        <w:t>the majority of</w:t>
      </w:r>
      <w:proofErr w:type="gramEnd"/>
      <w:r w:rsidRPr="00B07EF9">
        <w:rPr>
          <w:rFonts w:ascii="Calibri" w:eastAsia="Arial" w:hAnsi="Calibri" w:cs="Calibri"/>
          <w:sz w:val="24"/>
          <w:szCs w:val="24"/>
        </w:rPr>
        <w:t xml:space="preserve"> respondents report no impact on attendance, the fact that more than a quarter of students (28%) experience attendance disruption due to sexual and gender-based violence is significant. This suggests that sexual and gender-based violence constitutes a real barrier to consistent participation in university life for a considerable minority of students. As demonstrated, </w:t>
      </w:r>
      <w:proofErr w:type="gramStart"/>
      <w:r w:rsidRPr="00B07EF9">
        <w:rPr>
          <w:rFonts w:ascii="Calibri" w:eastAsia="Arial" w:hAnsi="Calibri" w:cs="Calibri"/>
          <w:sz w:val="24"/>
          <w:szCs w:val="24"/>
        </w:rPr>
        <w:t>the majority of</w:t>
      </w:r>
      <w:proofErr w:type="gramEnd"/>
      <w:r w:rsidRPr="00B07EF9">
        <w:rPr>
          <w:rFonts w:ascii="Calibri" w:eastAsia="Arial" w:hAnsi="Calibri" w:cs="Calibri"/>
          <w:sz w:val="24"/>
          <w:szCs w:val="24"/>
        </w:rPr>
        <w:t xml:space="preserve"> respondents report no avoidance of certain professors. However, nearly a quarter of respondents (24%) avoid certain classes or professors due to fear of harassment.</w:t>
      </w:r>
    </w:p>
    <w:p w14:paraId="00000033" w14:textId="77777777" w:rsidR="000F2014" w:rsidRPr="00B07EF9" w:rsidRDefault="00000000">
      <w:pPr>
        <w:spacing w:before="240" w:after="240"/>
        <w:rPr>
          <w:rFonts w:ascii="Calibri" w:eastAsia="Arial" w:hAnsi="Calibri" w:cs="Calibri"/>
          <w:sz w:val="24"/>
          <w:szCs w:val="24"/>
        </w:rPr>
      </w:pPr>
      <w:r w:rsidRPr="00B07EF9">
        <w:rPr>
          <w:rFonts w:ascii="Calibri" w:eastAsia="Arial" w:hAnsi="Calibri" w:cs="Calibri"/>
          <w:sz w:val="24"/>
          <w:szCs w:val="24"/>
        </w:rPr>
        <w:t>This indicates that sexual and gender-based violence can shape students’ academic choices and limit their access to learning opportunities. Figure 8 demonstrates that the effects of sexual and gender-based violence on academic performance show dominant patterns across all indicators. Here, firstly, disagreement that sexual and gender-based violence has negatively affected academic performance—for every outcome (difficulty concentrating, decreased motivation, low grades, fear or anxiety during classes, and absence from classes)</w:t>
      </w:r>
      <w:proofErr w:type="gramStart"/>
      <w:r w:rsidRPr="00B07EF9">
        <w:rPr>
          <w:rFonts w:ascii="Calibri" w:eastAsia="Arial" w:hAnsi="Calibri" w:cs="Calibri"/>
          <w:sz w:val="24"/>
          <w:szCs w:val="24"/>
        </w:rPr>
        <w:t>—“</w:t>
      </w:r>
      <w:proofErr w:type="gramEnd"/>
      <w:r w:rsidRPr="00B07EF9">
        <w:rPr>
          <w:rFonts w:ascii="Calibri" w:eastAsia="Arial" w:hAnsi="Calibri" w:cs="Calibri"/>
          <w:sz w:val="24"/>
          <w:szCs w:val="24"/>
        </w:rPr>
        <w:t xml:space="preserve">strongly disagree” is the most frequent response, followed by “disagree.” This suggests that the majority of female </w:t>
      </w:r>
      <w:proofErr w:type="gramStart"/>
      <w:r w:rsidRPr="00B07EF9">
        <w:rPr>
          <w:rFonts w:ascii="Calibri" w:eastAsia="Arial" w:hAnsi="Calibri" w:cs="Calibri"/>
          <w:sz w:val="24"/>
          <w:szCs w:val="24"/>
        </w:rPr>
        <w:t>respondents</w:t>
      </w:r>
      <w:proofErr w:type="gramEnd"/>
      <w:r w:rsidRPr="00B07EF9">
        <w:rPr>
          <w:rFonts w:ascii="Calibri" w:eastAsia="Arial" w:hAnsi="Calibri" w:cs="Calibri"/>
          <w:sz w:val="24"/>
          <w:szCs w:val="24"/>
        </w:rPr>
        <w:t xml:space="preserve"> report limited or no direct academic impact of sexual and gender-based violence. However, the presence of neutral and agreeing responses indicates that sexual and gender-based violence affects some students in terms of difficulty concentrating and decreased motivation, which reflects psychological and emotional spillover effects.</w:t>
      </w:r>
    </w:p>
    <w:p w14:paraId="00000034" w14:textId="77777777" w:rsidR="000F2014" w:rsidRPr="00B07EF9" w:rsidRDefault="00000000">
      <w:pPr>
        <w:spacing w:before="240" w:after="240"/>
        <w:rPr>
          <w:rFonts w:ascii="Calibri" w:eastAsia="Arial" w:hAnsi="Calibri" w:cs="Calibri"/>
          <w:sz w:val="24"/>
          <w:szCs w:val="24"/>
        </w:rPr>
      </w:pPr>
      <w:r w:rsidRPr="00B07EF9">
        <w:rPr>
          <w:rFonts w:ascii="Calibri" w:eastAsia="Arial" w:hAnsi="Calibri" w:cs="Calibri"/>
          <w:sz w:val="24"/>
          <w:szCs w:val="24"/>
        </w:rPr>
        <w:t xml:space="preserve">For some respondents, fear or anxiety during classes and absence from classes suggest these are the areas where sexual and gender-based violence–related effects are more likely to be felt. Low grades receive the lowest levels of agreement and indicate that emotional, psychological, and behavioural effects do not always translate into measurable academic outcomes such as grades. Figure 9 focuses on sexual and gender-based violence effects on students’ well-being. Nearly half of the respondents (48%) reported no impact. However, 42% experienced stress, 32% selected anxiety, 28% reported loss of confidence, and fear was reported by 26%, while depression was reported by one-fifth (20%). The results show that </w:t>
      </w:r>
      <w:proofErr w:type="gramStart"/>
      <w:r w:rsidRPr="00B07EF9">
        <w:rPr>
          <w:rFonts w:ascii="Calibri" w:eastAsia="Arial" w:hAnsi="Calibri" w:cs="Calibri"/>
          <w:sz w:val="24"/>
          <w:szCs w:val="24"/>
        </w:rPr>
        <w:t>the majority of</w:t>
      </w:r>
      <w:proofErr w:type="gramEnd"/>
      <w:r w:rsidRPr="00B07EF9">
        <w:rPr>
          <w:rFonts w:ascii="Calibri" w:eastAsia="Arial" w:hAnsi="Calibri" w:cs="Calibri"/>
          <w:sz w:val="24"/>
          <w:szCs w:val="24"/>
        </w:rPr>
        <w:t xml:space="preserve"> women report no effects. Yet sexual and gender-based violence is associated with notable psychological distress for a substantial minority.</w:t>
      </w:r>
    </w:p>
    <w:p w14:paraId="00000035" w14:textId="77777777" w:rsidR="000F2014" w:rsidRPr="00B07EF9" w:rsidRDefault="00000000">
      <w:pPr>
        <w:spacing w:before="240" w:after="240"/>
        <w:rPr>
          <w:rFonts w:ascii="Calibri" w:eastAsia="Arial" w:hAnsi="Calibri" w:cs="Calibri"/>
          <w:sz w:val="24"/>
          <w:szCs w:val="24"/>
        </w:rPr>
      </w:pPr>
      <w:r w:rsidRPr="00B07EF9">
        <w:rPr>
          <w:rFonts w:ascii="Calibri" w:eastAsia="Arial" w:hAnsi="Calibri" w:cs="Calibri"/>
          <w:sz w:val="24"/>
          <w:szCs w:val="24"/>
        </w:rPr>
        <w:t xml:space="preserve">Figure 10 shows that 60% of respondents report the absence of reporting mechanisms. Only 4% indicate that such mechanisms exist. This suggests limited awareness and availability of formal reporting structures, which discourages victims from reporting harassment. Figure 11 </w:t>
      </w:r>
      <w:r w:rsidRPr="00B07EF9">
        <w:rPr>
          <w:rFonts w:ascii="Calibri" w:eastAsia="Arial" w:hAnsi="Calibri" w:cs="Calibri"/>
          <w:sz w:val="24"/>
          <w:szCs w:val="24"/>
        </w:rPr>
        <w:lastRenderedPageBreak/>
        <w:t>indicates that 74% of respondents said they would report sexual and gender-based violence if they experienced it, while 26% would not. Among female respondents who said they would not report sexual and gender-based violence, the main barriers are fear of retaliation and lack of trust in the reporting system, each cited by 59% of participants. As you can see here, shame and stigma were reported by 22%, while preferring to remain silent accounted for 18%. These results show that institutional mistrust and safety concerns, rather than personal reluctance alone, are the primary reasons for non-reporting.</w:t>
      </w:r>
    </w:p>
    <w:p w14:paraId="00000036" w14:textId="77777777" w:rsidR="000F2014" w:rsidRPr="00B07EF9" w:rsidRDefault="00000000">
      <w:pPr>
        <w:spacing w:before="240" w:after="240"/>
        <w:rPr>
          <w:rFonts w:ascii="Calibri" w:eastAsia="Arial" w:hAnsi="Calibri" w:cs="Calibri"/>
          <w:sz w:val="24"/>
          <w:szCs w:val="24"/>
        </w:rPr>
      </w:pPr>
      <w:r w:rsidRPr="00B07EF9">
        <w:rPr>
          <w:rFonts w:ascii="Calibri" w:eastAsia="Arial" w:hAnsi="Calibri" w:cs="Calibri"/>
          <w:sz w:val="24"/>
          <w:szCs w:val="24"/>
        </w:rPr>
        <w:t xml:space="preserve">Figure 13 shows that only 60% of respondents believe the administration takes sexual and gender-based violence cases seriously, while 20% believe it does not. As you can see here, the majority, which is 64%, are uncertain. This ambiguity weakens students’ trust in the administration. The last figure presents </w:t>
      </w:r>
      <w:proofErr w:type="gramStart"/>
      <w:r w:rsidRPr="00B07EF9">
        <w:rPr>
          <w:rFonts w:ascii="Calibri" w:eastAsia="Arial" w:hAnsi="Calibri" w:cs="Calibri"/>
          <w:sz w:val="24"/>
          <w:szCs w:val="24"/>
        </w:rPr>
        <w:t>participants’</w:t>
      </w:r>
      <w:proofErr w:type="gramEnd"/>
      <w:r w:rsidRPr="00B07EF9">
        <w:rPr>
          <w:rFonts w:ascii="Calibri" w:eastAsia="Arial" w:hAnsi="Calibri" w:cs="Calibri"/>
          <w:sz w:val="24"/>
          <w:szCs w:val="24"/>
        </w:rPr>
        <w:t xml:space="preserve"> recommended institutional actions to reduce sexual and gender-based violence at FLDM. The most strongly endorsed measure is the implementation of strict sanctions against perpetrators, which reflects a clear demand for accountability within the university. This is followed by the establishment of an anonymous reporting system, psychological support for victims, increased campus security, awareness campaigns, and gender-sensitive training for professors, which remains last. This suggests that the faculty can strengthen proactive strategies to address gender-based violence and create a safer environment.</w:t>
      </w:r>
    </w:p>
    <w:p w14:paraId="00000037" w14:textId="77777777" w:rsidR="000F2014" w:rsidRPr="00B07EF9" w:rsidRDefault="00000000">
      <w:pPr>
        <w:spacing w:before="240" w:after="240"/>
        <w:rPr>
          <w:rFonts w:ascii="Calibri" w:eastAsia="Arial" w:hAnsi="Calibri" w:cs="Calibri"/>
          <w:sz w:val="24"/>
          <w:szCs w:val="24"/>
        </w:rPr>
      </w:pPr>
      <w:r w:rsidRPr="00B07EF9">
        <w:rPr>
          <w:rFonts w:ascii="Calibri" w:eastAsia="Arial" w:hAnsi="Calibri" w:cs="Calibri"/>
          <w:sz w:val="24"/>
          <w:szCs w:val="24"/>
        </w:rPr>
        <w:t>This is my last point, which is the limited sample size. First, as you can hear, I just used a small sample, which includes only 50 female students. As you can see here, it reflects female students’ perspectives only. It is a quantitative design, which means that it could be expanded into a mixed-methods design, for example. There is also a direction for future research: larger and multi-institutional samples, and the inclusion of multiple actors, as well as qualitative mixed-methods studies, as I said before. In short, sexual and gender-based violence remains a major challenge within Moroccan higher education, as it affects female students’ well-being and academic experience.</w:t>
      </w:r>
    </w:p>
    <w:p w14:paraId="00000038" w14:textId="77777777" w:rsidR="000F2014" w:rsidRPr="00B07EF9" w:rsidRDefault="00000000">
      <w:pPr>
        <w:spacing w:before="240" w:after="240"/>
        <w:rPr>
          <w:rFonts w:ascii="Calibri" w:eastAsia="Arial" w:hAnsi="Calibri" w:cs="Calibri"/>
          <w:sz w:val="24"/>
          <w:szCs w:val="24"/>
        </w:rPr>
      </w:pPr>
      <w:r w:rsidRPr="00B07EF9">
        <w:rPr>
          <w:rFonts w:ascii="Calibri" w:eastAsia="Arial" w:hAnsi="Calibri" w:cs="Calibri"/>
          <w:sz w:val="24"/>
          <w:szCs w:val="24"/>
        </w:rPr>
        <w:t xml:space="preserve">The findings demonstrate that progress has been made, yet there is still a need for strong institutional policies, preventive measures, and awareness around this dilemma and issue, </w:t>
      </w:r>
      <w:proofErr w:type="gramStart"/>
      <w:r w:rsidRPr="00B07EF9">
        <w:rPr>
          <w:rFonts w:ascii="Calibri" w:eastAsia="Arial" w:hAnsi="Calibri" w:cs="Calibri"/>
          <w:sz w:val="24"/>
          <w:szCs w:val="24"/>
        </w:rPr>
        <w:t>and also</w:t>
      </w:r>
      <w:proofErr w:type="gramEnd"/>
      <w:r w:rsidRPr="00B07EF9">
        <w:rPr>
          <w:rFonts w:ascii="Calibri" w:eastAsia="Arial" w:hAnsi="Calibri" w:cs="Calibri"/>
          <w:sz w:val="24"/>
          <w:szCs w:val="24"/>
        </w:rPr>
        <w:t xml:space="preserve"> to ensure a safe and inclusive learning environment for all female students. And thank you for your attention.</w:t>
      </w:r>
    </w:p>
    <w:p w14:paraId="00000039" w14:textId="77777777" w:rsidR="000F2014" w:rsidRPr="00B07EF9" w:rsidRDefault="00000000">
      <w:pPr>
        <w:rPr>
          <w:rFonts w:ascii="Calibri" w:eastAsia="Arial" w:hAnsi="Calibri" w:cs="Calibri"/>
          <w:sz w:val="24"/>
          <w:szCs w:val="24"/>
        </w:rPr>
      </w:pPr>
      <w:r w:rsidRPr="00B07EF9">
        <w:rPr>
          <w:rFonts w:ascii="Calibri" w:eastAsia="Arial" w:hAnsi="Calibri" w:cs="Calibri"/>
          <w:b/>
          <w:bCs/>
          <w:sz w:val="24"/>
          <w:szCs w:val="24"/>
        </w:rPr>
        <w:t>Anna Bull:</w:t>
      </w:r>
      <w:r w:rsidRPr="00B07EF9">
        <w:rPr>
          <w:rFonts w:ascii="Calibri" w:eastAsia="Arial" w:hAnsi="Calibri" w:cs="Calibri"/>
          <w:sz w:val="24"/>
          <w:szCs w:val="24"/>
        </w:rPr>
        <w:br/>
        <w:t xml:space="preserve">Thank you so much, Gali, and thank you to your co-authors Abdulaziz and Ahmed as well. It was fascinating to me to hear just how much gender-based violence is impacting attendance at university and academic performance. It’s so important to keep providing evidence of these issues, so I’m grateful to you for your work in this paper and for your presentation. We will now move on to the final paper from this panel, and this is going to be presented by Catherine Donovan from Durham University, and her co-authors are Kate </w:t>
      </w:r>
      <w:proofErr w:type="spellStart"/>
      <w:r w:rsidRPr="00B07EF9">
        <w:rPr>
          <w:rFonts w:ascii="Calibri" w:eastAsia="Arial" w:hAnsi="Calibri" w:cs="Calibri"/>
          <w:sz w:val="24"/>
          <w:szCs w:val="24"/>
        </w:rPr>
        <w:t>Butterby</w:t>
      </w:r>
      <w:proofErr w:type="spellEnd"/>
      <w:r w:rsidRPr="00B07EF9">
        <w:rPr>
          <w:rFonts w:ascii="Calibri" w:eastAsia="Arial" w:hAnsi="Calibri" w:cs="Calibri"/>
          <w:sz w:val="24"/>
          <w:szCs w:val="24"/>
        </w:rPr>
        <w:t xml:space="preserve">, Saima Ansari, Claire </w:t>
      </w:r>
      <w:proofErr w:type="spellStart"/>
      <w:r w:rsidRPr="00B07EF9">
        <w:rPr>
          <w:rFonts w:ascii="Calibri" w:eastAsia="Arial" w:hAnsi="Calibri" w:cs="Calibri"/>
          <w:sz w:val="24"/>
          <w:szCs w:val="24"/>
        </w:rPr>
        <w:t>Gunby</w:t>
      </w:r>
      <w:proofErr w:type="spellEnd"/>
      <w:r w:rsidRPr="00B07EF9">
        <w:rPr>
          <w:rFonts w:ascii="Calibri" w:eastAsia="Arial" w:hAnsi="Calibri" w:cs="Calibri"/>
          <w:sz w:val="24"/>
          <w:szCs w:val="24"/>
        </w:rPr>
        <w:t xml:space="preserve">, Laura Macken, Khadijah Chandler, Harriet </w:t>
      </w:r>
      <w:proofErr w:type="spellStart"/>
      <w:r w:rsidRPr="00B07EF9">
        <w:rPr>
          <w:rFonts w:ascii="Calibri" w:eastAsia="Arial" w:hAnsi="Calibri" w:cs="Calibri"/>
          <w:sz w:val="24"/>
          <w:szCs w:val="24"/>
        </w:rPr>
        <w:t>Smails</w:t>
      </w:r>
      <w:proofErr w:type="spellEnd"/>
      <w:r w:rsidRPr="00B07EF9">
        <w:rPr>
          <w:rFonts w:ascii="Calibri" w:eastAsia="Arial" w:hAnsi="Calibri" w:cs="Calibri"/>
          <w:sz w:val="24"/>
          <w:szCs w:val="24"/>
        </w:rPr>
        <w:t xml:space="preserve">, and Caroline Bradbury-Jones. </w:t>
      </w: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it’s great to see a whole team coming together for this work. The paper is called </w:t>
      </w:r>
      <w:r w:rsidRPr="00B07EF9">
        <w:rPr>
          <w:rFonts w:ascii="Calibri" w:eastAsia="Arial" w:hAnsi="Calibri" w:cs="Calibri"/>
          <w:i/>
          <w:iCs/>
          <w:sz w:val="24"/>
          <w:szCs w:val="24"/>
        </w:rPr>
        <w:t xml:space="preserve">Perceptions of Help Seeking for Sexual Violence and Harassment by Minoritised United Kingdom Higher Education Students. </w:t>
      </w:r>
      <w:r w:rsidRPr="00B07EF9">
        <w:rPr>
          <w:rFonts w:ascii="Calibri" w:eastAsia="Arial" w:hAnsi="Calibri" w:cs="Calibri"/>
          <w:sz w:val="24"/>
          <w:szCs w:val="24"/>
        </w:rPr>
        <w:t>Thank you, Catherine.</w:t>
      </w:r>
    </w:p>
    <w:p w14:paraId="0000003A" w14:textId="77777777" w:rsidR="000F2014" w:rsidRPr="00B07EF9" w:rsidRDefault="00000000">
      <w:pPr>
        <w:rPr>
          <w:rFonts w:ascii="Calibri" w:eastAsia="Arial" w:hAnsi="Calibri" w:cs="Calibri"/>
          <w:sz w:val="24"/>
          <w:szCs w:val="24"/>
          <w:highlight w:val="yellow"/>
        </w:rPr>
      </w:pPr>
      <w:r w:rsidRPr="00B07EF9">
        <w:rPr>
          <w:rFonts w:ascii="Calibri" w:eastAsia="Arial" w:hAnsi="Calibri" w:cs="Calibri"/>
          <w:sz w:val="24"/>
          <w:szCs w:val="24"/>
          <w:highlight w:val="yellow"/>
        </w:rPr>
        <w:t xml:space="preserve"> </w:t>
      </w:r>
    </w:p>
    <w:p w14:paraId="0000003B" w14:textId="77777777" w:rsidR="000F2014" w:rsidRPr="00B07EF9" w:rsidRDefault="00000000">
      <w:pPr>
        <w:rPr>
          <w:rFonts w:ascii="Calibri" w:eastAsia="Arial" w:hAnsi="Calibri" w:cs="Calibri"/>
          <w:b/>
          <w:bCs/>
          <w:sz w:val="24"/>
          <w:szCs w:val="24"/>
        </w:rPr>
      </w:pPr>
      <w:r w:rsidRPr="00B07EF9">
        <w:rPr>
          <w:rFonts w:ascii="Calibri" w:eastAsia="Arial" w:hAnsi="Calibri" w:cs="Calibri"/>
          <w:b/>
          <w:bCs/>
          <w:sz w:val="24"/>
          <w:szCs w:val="24"/>
        </w:rPr>
        <w:t>Catherine Donovan:</w:t>
      </w:r>
    </w:p>
    <w:p w14:paraId="0000003C" w14:textId="77777777" w:rsidR="000F2014" w:rsidRPr="00B07EF9" w:rsidRDefault="00000000">
      <w:pPr>
        <w:rPr>
          <w:rFonts w:ascii="Calibri" w:eastAsia="Arial" w:hAnsi="Calibri" w:cs="Calibri"/>
          <w:sz w:val="24"/>
          <w:szCs w:val="24"/>
        </w:rPr>
      </w:pPr>
      <w:r w:rsidRPr="00B07EF9">
        <w:rPr>
          <w:rFonts w:ascii="Calibri" w:eastAsia="Arial" w:hAnsi="Calibri" w:cs="Calibri"/>
          <w:sz w:val="24"/>
          <w:szCs w:val="24"/>
        </w:rPr>
        <w:lastRenderedPageBreak/>
        <w:t xml:space="preserve">Thanks very much, Anna, and thanks everybody for coming along this morning, and to my fellow panellists. I can really see connections across what people are </w:t>
      </w:r>
      <w:proofErr w:type="gramStart"/>
      <w:r w:rsidRPr="00B07EF9">
        <w:rPr>
          <w:rFonts w:ascii="Calibri" w:eastAsia="Arial" w:hAnsi="Calibri" w:cs="Calibri"/>
          <w:sz w:val="24"/>
          <w:szCs w:val="24"/>
        </w:rPr>
        <w:t>saying, and</w:t>
      </w:r>
      <w:proofErr w:type="gramEnd"/>
      <w:r w:rsidRPr="00B07EF9">
        <w:rPr>
          <w:rFonts w:ascii="Calibri" w:eastAsia="Arial" w:hAnsi="Calibri" w:cs="Calibri"/>
          <w:sz w:val="24"/>
          <w:szCs w:val="24"/>
        </w:rPr>
        <w:t xml:space="preserve"> thank you for crediting everybody—it was a team effort, even though I’m the one representing the group, so I hope I do them justice. And the team is itself… I suppose we approached this project through an intersectional feminist lens, and the team is full of people who come from minoritised communities ourselves. </w:t>
      </w: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I’ve been working around LGBT domestic abuse for 20 years, and other people in the team have been working around racialised minorities in Britain and internationally. </w:t>
      </w: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it’s a real intersectional team that I’ve learned a lot from being part of. </w:t>
      </w: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I’m going to quickly say what the presentation is going to cover.</w:t>
      </w:r>
    </w:p>
    <w:p w14:paraId="0000003D" w14:textId="77777777" w:rsidR="000F2014" w:rsidRPr="00B07EF9" w:rsidRDefault="00000000">
      <w:pPr>
        <w:spacing w:before="240" w:after="240"/>
        <w:rPr>
          <w:rFonts w:ascii="Calibri" w:eastAsia="Arial" w:hAnsi="Calibri" w:cs="Calibri"/>
          <w:sz w:val="24"/>
          <w:szCs w:val="24"/>
        </w:rPr>
      </w:pPr>
      <w:r w:rsidRPr="00B07EF9">
        <w:rPr>
          <w:rFonts w:ascii="Calibri" w:eastAsia="Arial" w:hAnsi="Calibri" w:cs="Calibri"/>
          <w:sz w:val="24"/>
          <w:szCs w:val="24"/>
        </w:rPr>
        <w:t xml:space="preserve">I’m going to do a tiny bit of context, look at our methodology, and then really focus in on three of the key findings that we found in relation to how minoritised students perceive universities in relation to help-seeking for sexual violence and harassment, and then talk a bit about our conclusions. </w:t>
      </w: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we used Kelly’s definition of sexual violence as a continuum. We wanted to remember feminist contributions to this field about the importance of context, motives, and impacts in understanding the harms that can be done to people. And so that means that we weren’t just interested in what might be called legally defined acts of sexual violence or harassment, but also other harms that, whilst below the threshold of a crime, nevertheless can exert real harm on people.</w:t>
      </w:r>
    </w:p>
    <w:p w14:paraId="0000003E" w14:textId="77777777" w:rsidR="000F2014" w:rsidRPr="00B07EF9" w:rsidRDefault="00000000">
      <w:pPr>
        <w:spacing w:before="240" w:after="240"/>
        <w:rPr>
          <w:rFonts w:ascii="Calibri" w:eastAsia="Arial" w:hAnsi="Calibri" w:cs="Calibri"/>
          <w:sz w:val="24"/>
          <w:szCs w:val="24"/>
        </w:rPr>
      </w:pPr>
      <w:r w:rsidRPr="00B07EF9">
        <w:rPr>
          <w:rFonts w:ascii="Calibri" w:eastAsia="Arial" w:hAnsi="Calibri" w:cs="Calibri"/>
          <w:sz w:val="24"/>
          <w:szCs w:val="24"/>
        </w:rPr>
        <w:t xml:space="preserve">We also wanted to acknowledge that sexual violence might be perpetrated by a range of actors. </w:t>
      </w: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they might be other students, university staff, or others outside the university. And in our study, minoritised groups included people from racially minoritised communities, people who are disabled, LGBT communities, international students, mature students, men, and people who identified as being from working-class backgrounds. </w:t>
      </w: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I’m just going to touch on these two bits of prevalence, just because it’s not to dishonour all the other research that exists, but more just in the interest of time. </w:t>
      </w: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the first one is the systematic review that Jones et al. have done very recently of sexual violence in the UK, and they conclude that it is a major issue for UK university students, primarily perpetrated by men.</w:t>
      </w:r>
    </w:p>
    <w:p w14:paraId="0000003F" w14:textId="77777777" w:rsidR="000F2014" w:rsidRPr="00B07EF9" w:rsidRDefault="00000000">
      <w:pPr>
        <w:spacing w:before="240" w:after="240"/>
        <w:rPr>
          <w:rFonts w:ascii="Calibri" w:eastAsia="Arial" w:hAnsi="Calibri" w:cs="Calibri"/>
          <w:sz w:val="24"/>
          <w:szCs w:val="24"/>
        </w:rPr>
      </w:pPr>
      <w:r w:rsidRPr="00B07EF9">
        <w:rPr>
          <w:rFonts w:ascii="Calibri" w:eastAsia="Arial" w:hAnsi="Calibri" w:cs="Calibri"/>
          <w:sz w:val="24"/>
          <w:szCs w:val="24"/>
        </w:rPr>
        <w:t>And the important finding is that we don’t know very much about those who perpetrate sexual violence and harassment targeting university students. And the other piece of work I wanted to draw our attention to is that, for the first time, the Office for Students—which is the regulatory body for universities in the UK—asked, in the National Student Survey, questions about sexual violence and harassment. And the National Student Survey is something that happens every year at this time of year, and it asks final-year undergraduate students—so that’s typically those people in their third year, their final year of undergraduate study—about their experiences of being in their institution. And for the first time, they were asked questions about sexual violence and harassment.</w:t>
      </w:r>
    </w:p>
    <w:p w14:paraId="00000040" w14:textId="77777777" w:rsidR="000F2014" w:rsidRPr="00B07EF9" w:rsidRDefault="00000000">
      <w:pPr>
        <w:spacing w:before="240" w:after="240"/>
        <w:rPr>
          <w:rFonts w:ascii="Calibri" w:eastAsia="Arial" w:hAnsi="Calibri" w:cs="Calibri"/>
          <w:sz w:val="24"/>
          <w:szCs w:val="24"/>
        </w:rPr>
      </w:pP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they reported on this last year and they got a 12% response rate to those questions. </w:t>
      </w: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the size of the sample is over 51,000 students, and what they found—and again, this is just the headlines, just to show the point that we wanted to make—is that females were 33% of those who reported any sexual harassment. Those who identified as mixed or white ethnicities reported 31.5% and 27.9%. LGB and other: LGB reported 46.6% and “other” reported 40.1%. Those who are disabled reported 34.7%. And then in terms of faith, those who are Jewish or of no religion or of any other religion or belief, their reporting rates were </w:t>
      </w:r>
      <w:r w:rsidRPr="00B07EF9">
        <w:rPr>
          <w:rFonts w:ascii="Calibri" w:eastAsia="Arial" w:hAnsi="Calibri" w:cs="Calibri"/>
          <w:sz w:val="24"/>
          <w:szCs w:val="24"/>
        </w:rPr>
        <w:lastRenderedPageBreak/>
        <w:t xml:space="preserve">29.8%, 30.5%, and 35.5%. </w:t>
      </w: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for us, this was really powerful data that tells us that it isn’t only about being female.</w:t>
      </w:r>
    </w:p>
    <w:p w14:paraId="00000041" w14:textId="77777777" w:rsidR="000F2014" w:rsidRPr="00B07EF9" w:rsidRDefault="00000000">
      <w:pPr>
        <w:spacing w:before="240" w:after="240"/>
        <w:rPr>
          <w:rFonts w:ascii="Calibri" w:eastAsia="Arial" w:hAnsi="Calibri" w:cs="Calibri"/>
          <w:sz w:val="24"/>
          <w:szCs w:val="24"/>
        </w:rPr>
      </w:pPr>
      <w:r w:rsidRPr="00B07EF9">
        <w:rPr>
          <w:rFonts w:ascii="Calibri" w:eastAsia="Arial" w:hAnsi="Calibri" w:cs="Calibri"/>
          <w:sz w:val="24"/>
          <w:szCs w:val="24"/>
        </w:rPr>
        <w:t xml:space="preserve">That means that you can be targeted for sexual violence, but </w:t>
      </w:r>
      <w:proofErr w:type="gramStart"/>
      <w:r w:rsidRPr="00B07EF9">
        <w:rPr>
          <w:rFonts w:ascii="Calibri" w:eastAsia="Arial" w:hAnsi="Calibri" w:cs="Calibri"/>
          <w:sz w:val="24"/>
          <w:szCs w:val="24"/>
        </w:rPr>
        <w:t>actually people’s</w:t>
      </w:r>
      <w:proofErr w:type="gramEnd"/>
      <w:r w:rsidRPr="00B07EF9">
        <w:rPr>
          <w:rFonts w:ascii="Calibri" w:eastAsia="Arial" w:hAnsi="Calibri" w:cs="Calibri"/>
          <w:sz w:val="24"/>
          <w:szCs w:val="24"/>
        </w:rPr>
        <w:t xml:space="preserve"> intersecting identities are really important to take into account when we’re trying to make sense of sexual violence and trying to think about how universities might do things differently and better in responding to this problem. There have been some policies in Britain, including the Universities UK 2016 report </w:t>
      </w:r>
      <w:r w:rsidRPr="00B07EF9">
        <w:rPr>
          <w:rFonts w:ascii="Calibri" w:eastAsia="Arial" w:hAnsi="Calibri" w:cs="Calibri"/>
          <w:i/>
          <w:iCs/>
          <w:sz w:val="24"/>
          <w:szCs w:val="24"/>
        </w:rPr>
        <w:t>Changing the Culture</w:t>
      </w:r>
      <w:r w:rsidRPr="00B07EF9">
        <w:rPr>
          <w:rFonts w:ascii="Calibri" w:eastAsia="Arial" w:hAnsi="Calibri" w:cs="Calibri"/>
          <w:sz w:val="24"/>
          <w:szCs w:val="24"/>
        </w:rPr>
        <w:t>. So that was focused on what they called violence against women, hate and harassment. They made a range of recommendations to universities about how they needed to better provide processes and policies for defining, reporting, and responding to sexual violence and harassment targeting students. More recently, there’s been a move to ban non-disclosure agreements—that was in 2024—and then last year the Office for Students again…</w:t>
      </w:r>
    </w:p>
    <w:p w14:paraId="00000042" w14:textId="77777777" w:rsidR="000F2014" w:rsidRPr="00B07EF9" w:rsidRDefault="00000000">
      <w:pPr>
        <w:spacing w:before="240" w:after="240"/>
        <w:rPr>
          <w:rFonts w:ascii="Calibri" w:eastAsia="Arial" w:hAnsi="Calibri" w:cs="Calibri"/>
          <w:sz w:val="24"/>
          <w:szCs w:val="24"/>
        </w:rPr>
      </w:pP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they, as I said, are the regulatory body, and they have made a requirement of universities who want to register as a university that they have to provide certain information to students. So that includes having a single comprehensive source of information about sexual violence and </w:t>
      </w:r>
      <w:proofErr w:type="gramStart"/>
      <w:r w:rsidRPr="00B07EF9">
        <w:rPr>
          <w:rFonts w:ascii="Calibri" w:eastAsia="Arial" w:hAnsi="Calibri" w:cs="Calibri"/>
          <w:sz w:val="24"/>
          <w:szCs w:val="24"/>
        </w:rPr>
        <w:t>harassment, and</w:t>
      </w:r>
      <w:proofErr w:type="gramEnd"/>
      <w:r w:rsidRPr="00B07EF9">
        <w:rPr>
          <w:rFonts w:ascii="Calibri" w:eastAsia="Arial" w:hAnsi="Calibri" w:cs="Calibri"/>
          <w:sz w:val="24"/>
          <w:szCs w:val="24"/>
        </w:rPr>
        <w:t xml:space="preserve"> providing policy and processes on sexual misconduct. </w:t>
      </w: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if universities can’t provide evidence of meeting those criteria, they actually lose their registration for being a university. </w:t>
      </w: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we were interested in the experiences of minoritised students—not the experiences, but the perceptions of minoritised students and their help-seeking if they were to be victimised by sexual violence or harassment. </w:t>
      </w: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we weren’t asking for people who have been victimised to come forward; we were asking any minoritised students to come forward to talk to us about how they perceived help-seeking in their university.</w:t>
      </w:r>
    </w:p>
    <w:p w14:paraId="00000043" w14:textId="77777777" w:rsidR="000F2014" w:rsidRPr="00B07EF9" w:rsidRDefault="00000000">
      <w:pPr>
        <w:spacing w:before="240" w:after="240"/>
        <w:rPr>
          <w:rFonts w:ascii="Calibri" w:eastAsia="Arial" w:hAnsi="Calibri" w:cs="Calibri"/>
          <w:sz w:val="24"/>
          <w:szCs w:val="24"/>
        </w:rPr>
      </w:pP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to try to encourage students to consider the kinds of processes and help-seeking routes in their university, we used four vignettes that were designed. There were three universities involved in this, and one university took the lead on this, and then it was tested with what we call “critical friends,” which were other students in the university, to test that the vignettes made sense. And then we used those to promote conversation with the participants in the event. We didn’t get students taking part in one of the universities, but we got 38 students from minoritised groups across two universities to take part. The interviews were done online, and on a couple of occasions they requested to do it in person, so we did that.</w:t>
      </w:r>
    </w:p>
    <w:p w14:paraId="00000044" w14:textId="77777777" w:rsidR="000F2014" w:rsidRPr="00B07EF9" w:rsidRDefault="00000000">
      <w:pPr>
        <w:spacing w:before="240" w:after="240"/>
        <w:rPr>
          <w:rFonts w:ascii="Calibri" w:eastAsia="Arial" w:hAnsi="Calibri" w:cs="Calibri"/>
          <w:sz w:val="24"/>
          <w:szCs w:val="24"/>
        </w:rPr>
      </w:pPr>
      <w:r w:rsidRPr="00B07EF9">
        <w:rPr>
          <w:rFonts w:ascii="Calibri" w:eastAsia="Arial" w:hAnsi="Calibri" w:cs="Calibri"/>
          <w:sz w:val="24"/>
          <w:szCs w:val="24"/>
        </w:rPr>
        <w:t xml:space="preserve">And obviously the interviews were recorded with consent and transcribed, and then the recordings </w:t>
      </w:r>
      <w:proofErr w:type="gramStart"/>
      <w:r w:rsidRPr="00B07EF9">
        <w:rPr>
          <w:rFonts w:ascii="Calibri" w:eastAsia="Arial" w:hAnsi="Calibri" w:cs="Calibri"/>
          <w:sz w:val="24"/>
          <w:szCs w:val="24"/>
        </w:rPr>
        <w:t>deleted</w:t>
      </w:r>
      <w:proofErr w:type="gramEnd"/>
      <w:r w:rsidRPr="00B07EF9">
        <w:rPr>
          <w:rFonts w:ascii="Calibri" w:eastAsia="Arial" w:hAnsi="Calibri" w:cs="Calibri"/>
          <w:sz w:val="24"/>
          <w:szCs w:val="24"/>
        </w:rPr>
        <w:t xml:space="preserve"> and the transcriptions anonymised. We secured ethical approval from each institution. And our ethics includes, I think, as Dana said, a kind of ethics of care towards the people who took part, so that we followed up with people afterwards to ensure that they were okay. </w:t>
      </w: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we just want to focus on three themes: perceptions of seriousness, lack of knowledge of university support, and the pivotal role of informal networks in help-seeking practices and decision-making. Underpinning this was this concept of “community knowledges” that was given to us by Weeks et al. in their work. This emerges in minoritised groups who are often invisible in dominant society.</w:t>
      </w:r>
    </w:p>
    <w:p w14:paraId="00000045" w14:textId="77777777" w:rsidR="000F2014" w:rsidRPr="00B07EF9" w:rsidRDefault="00000000">
      <w:pPr>
        <w:spacing w:before="240" w:after="240"/>
        <w:rPr>
          <w:rFonts w:ascii="Calibri" w:eastAsia="Arial" w:hAnsi="Calibri" w:cs="Calibri"/>
          <w:sz w:val="24"/>
          <w:szCs w:val="24"/>
        </w:rPr>
      </w:pP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when people don’t see themselves in the stories that percolate about social and everyday life, alternative personal and anecdotal stories can circulate. They can be positive </w:t>
      </w:r>
      <w:r w:rsidRPr="00B07EF9">
        <w:rPr>
          <w:rFonts w:ascii="Calibri" w:eastAsia="Arial" w:hAnsi="Calibri" w:cs="Calibri"/>
          <w:sz w:val="24"/>
          <w:szCs w:val="24"/>
        </w:rPr>
        <w:lastRenderedPageBreak/>
        <w:t xml:space="preserve">or negative, but they kind of act to share knowledge and experience, to help minoritised people navigate social environments or institutions. </w:t>
      </w: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it gives people a kind of “heads up” on what they’re like, or what the institution is like, what you can expect to get from them. And there are lots of negative community knowledges that circulate around what the university is like. </w:t>
      </w: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these are some of those negative community knowledges: that they’re not to be trusted, that they don’t act in the interests of minoritised groups, that they don’t understand or care about their interests, and that they act in discriminatory ways towards them.</w:t>
      </w:r>
    </w:p>
    <w:p w14:paraId="00000046" w14:textId="77777777" w:rsidR="000F2014" w:rsidRPr="00B07EF9" w:rsidRDefault="00000000">
      <w:pPr>
        <w:spacing w:before="240" w:after="240"/>
        <w:rPr>
          <w:rFonts w:ascii="Calibri" w:eastAsia="Arial" w:hAnsi="Calibri" w:cs="Calibri"/>
          <w:sz w:val="24"/>
          <w:szCs w:val="24"/>
        </w:rPr>
      </w:pPr>
      <w:r w:rsidRPr="00B07EF9">
        <w:rPr>
          <w:rFonts w:ascii="Calibri" w:eastAsia="Arial" w:hAnsi="Calibri" w:cs="Calibri"/>
          <w:sz w:val="24"/>
          <w:szCs w:val="24"/>
        </w:rPr>
        <w:t xml:space="preserve">And of course, </w:t>
      </w:r>
      <w:proofErr w:type="gramStart"/>
      <w:r w:rsidRPr="00B07EF9">
        <w:rPr>
          <w:rFonts w:ascii="Calibri" w:eastAsia="Arial" w:hAnsi="Calibri" w:cs="Calibri"/>
          <w:sz w:val="24"/>
          <w:szCs w:val="24"/>
        </w:rPr>
        <w:t>all of</w:t>
      </w:r>
      <w:proofErr w:type="gramEnd"/>
      <w:r w:rsidRPr="00B07EF9">
        <w:rPr>
          <w:rFonts w:ascii="Calibri" w:eastAsia="Arial" w:hAnsi="Calibri" w:cs="Calibri"/>
          <w:sz w:val="24"/>
          <w:szCs w:val="24"/>
        </w:rPr>
        <w:t xml:space="preserve"> those community knowledges are based on people’s experiences or stories that exist in university cultures about events that have happened, cases that people have known about, and that get passed on as “evidence” that the university is not trustworthy.</w:t>
      </w:r>
    </w:p>
    <w:p w14:paraId="00000047" w14:textId="77777777" w:rsidR="000F2014" w:rsidRPr="00B07EF9" w:rsidRDefault="00000000">
      <w:pPr>
        <w:spacing w:before="240" w:after="240"/>
        <w:rPr>
          <w:rFonts w:ascii="Calibri" w:eastAsia="Arial" w:hAnsi="Calibri" w:cs="Calibri"/>
          <w:sz w:val="24"/>
          <w:szCs w:val="24"/>
        </w:rPr>
      </w:pPr>
      <w:r w:rsidRPr="00B07EF9">
        <w:rPr>
          <w:rFonts w:ascii="Calibri" w:eastAsia="Arial" w:hAnsi="Calibri" w:cs="Calibri"/>
          <w:sz w:val="24"/>
          <w:szCs w:val="24"/>
        </w:rPr>
        <w:t xml:space="preserve">And it’s an interesting thing that happens because the university becomes understood as a </w:t>
      </w:r>
      <w:proofErr w:type="gramStart"/>
      <w:r w:rsidRPr="00B07EF9">
        <w:rPr>
          <w:rFonts w:ascii="Calibri" w:eastAsia="Arial" w:hAnsi="Calibri" w:cs="Calibri"/>
          <w:sz w:val="24"/>
          <w:szCs w:val="24"/>
        </w:rPr>
        <w:t>being in itself, rather</w:t>
      </w:r>
      <w:proofErr w:type="gramEnd"/>
      <w:r w:rsidRPr="00B07EF9">
        <w:rPr>
          <w:rFonts w:ascii="Calibri" w:eastAsia="Arial" w:hAnsi="Calibri" w:cs="Calibri"/>
          <w:sz w:val="24"/>
          <w:szCs w:val="24"/>
        </w:rPr>
        <w:t xml:space="preserve"> than being made up of lots of different people—many of whom are very committed to trying to change the culture and trying to provide useful and respectful services. </w:t>
      </w: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it can be very damaging for institutions trying to make change to have those community knowledges in circulation. </w:t>
      </w: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here’s the first theme: perceptions of seriousness. </w:t>
      </w: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this is Freya, who identifies as a lesbian.</w:t>
      </w:r>
    </w:p>
    <w:p w14:paraId="00000048" w14:textId="77777777" w:rsidR="000F2014" w:rsidRPr="00B07EF9" w:rsidRDefault="00000000">
      <w:pPr>
        <w:spacing w:before="240" w:after="240"/>
        <w:rPr>
          <w:rFonts w:ascii="Calibri" w:eastAsia="Arial" w:hAnsi="Calibri" w:cs="Calibri"/>
          <w:sz w:val="24"/>
          <w:szCs w:val="24"/>
        </w:rPr>
      </w:pPr>
      <w:r w:rsidRPr="00B07EF9">
        <w:rPr>
          <w:rFonts w:ascii="Calibri" w:eastAsia="Arial" w:hAnsi="Calibri" w:cs="Calibri"/>
          <w:sz w:val="24"/>
          <w:szCs w:val="24"/>
        </w:rPr>
        <w:t>She talks about—and she refers to the vignette, the scenario of a hand being placed on a student’s thigh</w:t>
      </w:r>
      <w:proofErr w:type="gramStart"/>
      <w:r w:rsidRPr="00B07EF9">
        <w:rPr>
          <w:rFonts w:ascii="Calibri" w:eastAsia="Arial" w:hAnsi="Calibri" w:cs="Calibri"/>
          <w:sz w:val="24"/>
          <w:szCs w:val="24"/>
        </w:rPr>
        <w:t>—“</w:t>
      </w:r>
      <w:proofErr w:type="gramEnd"/>
      <w:r w:rsidRPr="00B07EF9">
        <w:rPr>
          <w:rFonts w:ascii="Calibri" w:eastAsia="Arial" w:hAnsi="Calibri" w:cs="Calibri"/>
          <w:sz w:val="24"/>
          <w:szCs w:val="24"/>
        </w:rPr>
        <w:t xml:space="preserve">probably should be classed as sexual violence and harassment.” But when I was looking at that, I don’t know if that happened to me, if I wouldn’t report it. </w:t>
      </w: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there’s a perception about what counts as sexual violence and harassment that is serious enough to need to do something about it. And with Jackie, who identifies as neurodivergent, she says that kind of thing, where people get unsolicited, like nudes, is honestly quite common. So obviously reading it, it shocked me because it’s not right, but I wasn’t shocked. Basically, it’s quite common.</w:t>
      </w:r>
    </w:p>
    <w:p w14:paraId="00000049" w14:textId="77777777" w:rsidR="000F2014" w:rsidRPr="00B07EF9" w:rsidRDefault="00000000">
      <w:pPr>
        <w:spacing w:before="240" w:after="240"/>
        <w:rPr>
          <w:rFonts w:ascii="Calibri" w:eastAsia="Arial" w:hAnsi="Calibri" w:cs="Calibri"/>
          <w:sz w:val="24"/>
          <w:szCs w:val="24"/>
        </w:rPr>
      </w:pP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people kind of normalise, which we know already that people do, and also place acts in a hierarchy of what’s serious enough to do something about and what is the stuff that you just accept as everyday life. And then there are, kind of to do with minoritised identities, questions about what counts. And interestingly for us, there are kind of intersections with hate. </w:t>
      </w: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Elle, who identifies as mixed race, says: “There’s definitely stereotypes about East Asian women and like sex work. </w:t>
      </w: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I think that definitely could be projected from the tutor.” And unfortunately, there are kind of historical, systemic ideas that BAME— which in the British context means Black and Minority Ethnic people—are kind of not the same as white people, and don’t deserve the same respect and the same treatment, and things which often leads to people being dehumanised.</w:t>
      </w:r>
    </w:p>
    <w:p w14:paraId="0000004A" w14:textId="77777777" w:rsidR="000F2014" w:rsidRPr="00B07EF9" w:rsidRDefault="00000000">
      <w:pPr>
        <w:spacing w:before="240" w:after="240"/>
        <w:rPr>
          <w:rFonts w:ascii="Calibri" w:eastAsia="Arial" w:hAnsi="Calibri" w:cs="Calibri"/>
          <w:sz w:val="24"/>
          <w:szCs w:val="24"/>
        </w:rPr>
      </w:pPr>
      <w:r w:rsidRPr="00B07EF9">
        <w:rPr>
          <w:rFonts w:ascii="Calibri" w:eastAsia="Arial" w:hAnsi="Calibri" w:cs="Calibri"/>
          <w:sz w:val="24"/>
          <w:szCs w:val="24"/>
        </w:rPr>
        <w:t xml:space="preserve">And in Lewis’s account, who identifies with multiple minoritised identities, they talk about not just what the impact can </w:t>
      </w:r>
      <w:proofErr w:type="gramStart"/>
      <w:r w:rsidRPr="00B07EF9">
        <w:rPr>
          <w:rFonts w:ascii="Calibri" w:eastAsia="Arial" w:hAnsi="Calibri" w:cs="Calibri"/>
          <w:sz w:val="24"/>
          <w:szCs w:val="24"/>
        </w:rPr>
        <w:t>be</w:t>
      </w:r>
      <w:proofErr w:type="gramEnd"/>
      <w:r w:rsidRPr="00B07EF9">
        <w:rPr>
          <w:rFonts w:ascii="Calibri" w:eastAsia="Arial" w:hAnsi="Calibri" w:cs="Calibri"/>
          <w:sz w:val="24"/>
          <w:szCs w:val="24"/>
        </w:rPr>
        <w:t xml:space="preserve"> or the experience can be in the present, but also what might happen in the future. </w:t>
      </w: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there are future-looking effects on people’s decision-making about what counts and what can be done. </w:t>
      </w: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referring to one of the vignettes, one of the characters called Haven would be “feeling totally trapped because their tutor is someone with more power. They have the power to obstruct their career.” </w:t>
      </w: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it must be really stressful—they must be really afraid to report them. And then, who counts? Here, Clover, </w:t>
      </w:r>
      <w:r w:rsidRPr="00B07EF9">
        <w:rPr>
          <w:rFonts w:ascii="Calibri" w:eastAsia="Arial" w:hAnsi="Calibri" w:cs="Calibri"/>
          <w:sz w:val="24"/>
          <w:szCs w:val="24"/>
        </w:rPr>
        <w:lastRenderedPageBreak/>
        <w:t>who identifies as a working-class, first-generation scholar, says—in the British context, “first-generation scholar” means the first person in their family to go to higher education.</w:t>
      </w:r>
    </w:p>
    <w:p w14:paraId="0000004B" w14:textId="77777777" w:rsidR="000F2014" w:rsidRPr="00B07EF9" w:rsidRDefault="00000000">
      <w:pPr>
        <w:spacing w:before="240" w:after="240"/>
        <w:rPr>
          <w:rFonts w:ascii="Calibri" w:eastAsia="Arial" w:hAnsi="Calibri" w:cs="Calibri"/>
          <w:sz w:val="24"/>
          <w:szCs w:val="24"/>
        </w:rPr>
      </w:pPr>
      <w:r w:rsidRPr="00B07EF9">
        <w:rPr>
          <w:rFonts w:ascii="Calibri" w:eastAsia="Arial" w:hAnsi="Calibri" w:cs="Calibri"/>
          <w:sz w:val="24"/>
          <w:szCs w:val="24"/>
        </w:rPr>
        <w:t xml:space="preserve">And they say, “sometimes I would think, would I be believed? Because I’m like less than that person </w:t>
      </w:r>
      <w:proofErr w:type="gramStart"/>
      <w:r w:rsidRPr="00B07EF9">
        <w:rPr>
          <w:rFonts w:ascii="Calibri" w:eastAsia="Arial" w:hAnsi="Calibri" w:cs="Calibri"/>
          <w:sz w:val="24"/>
          <w:szCs w:val="24"/>
        </w:rPr>
        <w:t>who’s</w:t>
      </w:r>
      <w:proofErr w:type="gramEnd"/>
      <w:r w:rsidRPr="00B07EF9">
        <w:rPr>
          <w:rFonts w:ascii="Calibri" w:eastAsia="Arial" w:hAnsi="Calibri" w:cs="Calibri"/>
          <w:sz w:val="24"/>
          <w:szCs w:val="24"/>
        </w:rPr>
        <w:t xml:space="preserve"> maybe middle class or upper class and has all this education and speaks a certain way, looks a certain way. Am I going to just not be believed because of how I speak, how I look, how I articulate myself? I don’t have that nice accent, like what people say is a nice accent?” And Chen, who identifies as neurodivergent and an international student, says, “I think there are some differences because international students, well, they are facing cultural and language barriers. </w:t>
      </w: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it may be harder for them to seek mental health support or sexual violence support when they face harassment like this. And the second thing is maybe when they seek help, they’re facing discrimination because their ethnicity is different.”</w:t>
      </w:r>
    </w:p>
    <w:p w14:paraId="0000004C" w14:textId="77777777" w:rsidR="000F2014" w:rsidRPr="00B07EF9" w:rsidRDefault="00000000">
      <w:pPr>
        <w:spacing w:before="240" w:after="240"/>
        <w:rPr>
          <w:rFonts w:ascii="Calibri" w:eastAsia="Arial" w:hAnsi="Calibri" w:cs="Calibri"/>
          <w:sz w:val="24"/>
          <w:szCs w:val="24"/>
        </w:rPr>
      </w:pPr>
      <w:r w:rsidRPr="00B07EF9">
        <w:rPr>
          <w:rFonts w:ascii="Calibri" w:eastAsia="Arial" w:hAnsi="Calibri" w:cs="Calibri"/>
          <w:sz w:val="24"/>
          <w:szCs w:val="24"/>
        </w:rPr>
        <w:t xml:space="preserve">So maybe the staff working in mental health support services themselves might also have negative perceptions of those international students because they’re not British. Then the second theme is about perceptions of university support. </w:t>
      </w: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there are those students who have no knowledge—or very little knowledge—of what the university provides. </w:t>
      </w: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Aisha, who identifies as British Pakistani and bisexual, says, “I wouldn’t know where you would go to report these things, you know, which I think creates more ambiguity about this. </w:t>
      </w: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then you would be more likely not to report these kinds of crimes.” And Parker, who identifies as Asian and working class, says, “I would be very confused as to where to start, like who to talk to, like that.”</w:t>
      </w:r>
    </w:p>
    <w:p w14:paraId="0000004D" w14:textId="77777777" w:rsidR="000F2014" w:rsidRPr="00B07EF9" w:rsidRDefault="00000000">
      <w:pPr>
        <w:spacing w:before="240" w:after="240"/>
        <w:rPr>
          <w:rFonts w:ascii="Calibri" w:eastAsia="Arial" w:hAnsi="Calibri" w:cs="Calibri"/>
          <w:sz w:val="24"/>
          <w:szCs w:val="24"/>
        </w:rPr>
      </w:pPr>
      <w:r w:rsidRPr="00B07EF9">
        <w:rPr>
          <w:rFonts w:ascii="Calibri" w:eastAsia="Arial" w:hAnsi="Calibri" w:cs="Calibri"/>
          <w:sz w:val="24"/>
          <w:szCs w:val="24"/>
        </w:rPr>
        <w:t xml:space="preserve">And then there are some who remember that somewhere they were told something, but they don’t necessarily remember where or what the detail of that was. </w:t>
      </w: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Maddie, who is bisexual, says, “I’m aware that there is somewhere you can go because I saw it during Freshers’ Week, but I wouldn’t know where to go. I would probably go to the wellbeing services and hope they could point me in the right direction.” Then there are those people who have inaccurate knowledge of their university. </w:t>
      </w: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James says, “All I know about the university’s sexual assault policy and prevention policy is that there is no such thing that I’m aware of. I remember a friend of mine told me that he, as a man, was assaulted in a nightclub by another guy. He had no idea what to do.”</w:t>
      </w:r>
    </w:p>
    <w:p w14:paraId="0000004E" w14:textId="77777777" w:rsidR="000F2014" w:rsidRPr="00B07EF9" w:rsidRDefault="00000000">
      <w:pPr>
        <w:spacing w:before="240" w:after="240"/>
        <w:rPr>
          <w:rFonts w:ascii="Calibri" w:eastAsia="Arial" w:hAnsi="Calibri" w:cs="Calibri"/>
          <w:sz w:val="24"/>
          <w:szCs w:val="24"/>
        </w:rPr>
      </w:pPr>
      <w:r w:rsidRPr="00B07EF9">
        <w:rPr>
          <w:rFonts w:ascii="Calibri" w:eastAsia="Arial" w:hAnsi="Calibri" w:cs="Calibri"/>
          <w:sz w:val="24"/>
          <w:szCs w:val="24"/>
        </w:rPr>
        <w:t xml:space="preserve">And Richard says, “I don’t know if there is a board, a review board that sits and sort of assesses your claim, or do they just—like the name suggests—just report and support? Or what? How much are they empowered to </w:t>
      </w:r>
      <w:proofErr w:type="gramStart"/>
      <w:r w:rsidRPr="00B07EF9">
        <w:rPr>
          <w:rFonts w:ascii="Calibri" w:eastAsia="Arial" w:hAnsi="Calibri" w:cs="Calibri"/>
          <w:sz w:val="24"/>
          <w:szCs w:val="24"/>
        </w:rPr>
        <w:t>take action</w:t>
      </w:r>
      <w:proofErr w:type="gramEnd"/>
      <w:r w:rsidRPr="00B07EF9">
        <w:rPr>
          <w:rFonts w:ascii="Calibri" w:eastAsia="Arial" w:hAnsi="Calibri" w:cs="Calibri"/>
          <w:sz w:val="24"/>
          <w:szCs w:val="24"/>
        </w:rPr>
        <w:t xml:space="preserve"> and take punitive action against the aggressor? I have no idea exactly how the system works,” which is also not great.</w:t>
      </w:r>
    </w:p>
    <w:p w14:paraId="0000004F" w14:textId="77777777" w:rsidR="000F2014" w:rsidRPr="00B07EF9" w:rsidRDefault="00000000">
      <w:pPr>
        <w:spacing w:before="240" w:after="240"/>
        <w:rPr>
          <w:rFonts w:ascii="Calibri" w:eastAsia="Arial" w:hAnsi="Calibri" w:cs="Calibri"/>
          <w:sz w:val="24"/>
          <w:szCs w:val="24"/>
        </w:rPr>
      </w:pPr>
      <w:r w:rsidRPr="00B07EF9">
        <w:rPr>
          <w:rFonts w:ascii="Calibri" w:eastAsia="Arial" w:hAnsi="Calibri" w:cs="Calibri"/>
          <w:sz w:val="24"/>
          <w:szCs w:val="24"/>
        </w:rPr>
        <w:t xml:space="preserve">This is </w:t>
      </w:r>
      <w:proofErr w:type="gramStart"/>
      <w:r w:rsidRPr="00B07EF9">
        <w:rPr>
          <w:rFonts w:ascii="Calibri" w:eastAsia="Arial" w:hAnsi="Calibri" w:cs="Calibri"/>
          <w:sz w:val="24"/>
          <w:szCs w:val="24"/>
        </w:rPr>
        <w:t>really inaccurate</w:t>
      </w:r>
      <w:proofErr w:type="gramEnd"/>
      <w:r w:rsidRPr="00B07EF9">
        <w:rPr>
          <w:rFonts w:ascii="Calibri" w:eastAsia="Arial" w:hAnsi="Calibri" w:cs="Calibri"/>
          <w:sz w:val="24"/>
          <w:szCs w:val="24"/>
        </w:rPr>
        <w:t xml:space="preserve"> knowledge because both universities have quite well-developed systems of reporting and very clear policies.</w:t>
      </w:r>
    </w:p>
    <w:p w14:paraId="00000050" w14:textId="77777777" w:rsidR="000F2014" w:rsidRPr="00B07EF9" w:rsidRDefault="00000000">
      <w:pPr>
        <w:rPr>
          <w:rFonts w:ascii="Calibri" w:eastAsia="Arial" w:hAnsi="Calibri" w:cs="Calibri"/>
          <w:sz w:val="24"/>
          <w:szCs w:val="24"/>
        </w:rPr>
      </w:pPr>
      <w:r w:rsidRPr="00B07EF9">
        <w:rPr>
          <w:rFonts w:ascii="Calibri" w:eastAsia="Arial" w:hAnsi="Calibri" w:cs="Calibri"/>
          <w:b/>
          <w:bCs/>
          <w:sz w:val="24"/>
          <w:szCs w:val="24"/>
        </w:rPr>
        <w:t>Anna Bull:</w:t>
      </w:r>
      <w:r w:rsidRPr="00B07EF9">
        <w:rPr>
          <w:rFonts w:ascii="Calibri" w:eastAsia="Arial" w:hAnsi="Calibri" w:cs="Calibri"/>
          <w:sz w:val="24"/>
          <w:szCs w:val="24"/>
        </w:rPr>
        <w:br/>
        <w:t xml:space="preserve">Catherine, I'm afraid I'm going to have to ask you to wrap up because you're over 15 minutes. </w:t>
      </w:r>
    </w:p>
    <w:p w14:paraId="00000051" w14:textId="77777777" w:rsidR="000F2014" w:rsidRPr="00B07EF9" w:rsidRDefault="00000000">
      <w:pPr>
        <w:rPr>
          <w:rFonts w:ascii="Calibri" w:eastAsia="Arial" w:hAnsi="Calibri" w:cs="Calibri"/>
          <w:sz w:val="24"/>
          <w:szCs w:val="24"/>
        </w:rPr>
      </w:pPr>
      <w:r w:rsidRPr="00B07EF9">
        <w:rPr>
          <w:rFonts w:ascii="Calibri" w:eastAsia="Arial" w:hAnsi="Calibri" w:cs="Calibri"/>
          <w:sz w:val="24"/>
          <w:szCs w:val="24"/>
          <w:highlight w:val="yellow"/>
        </w:rPr>
        <w:br/>
      </w:r>
      <w:r w:rsidRPr="00B07EF9">
        <w:rPr>
          <w:rFonts w:ascii="Calibri" w:eastAsia="Arial" w:hAnsi="Calibri" w:cs="Calibri"/>
          <w:b/>
          <w:bCs/>
          <w:sz w:val="24"/>
          <w:szCs w:val="24"/>
        </w:rPr>
        <w:t>Catherine Donovan:</w:t>
      </w:r>
      <w:r w:rsidRPr="00B07EF9">
        <w:rPr>
          <w:rFonts w:ascii="Calibri" w:eastAsia="Arial" w:hAnsi="Calibri" w:cs="Calibri"/>
          <w:sz w:val="24"/>
          <w:szCs w:val="24"/>
        </w:rPr>
        <w:br/>
      </w:r>
      <w:r w:rsidRPr="00B07EF9">
        <w:rPr>
          <w:rFonts w:ascii="Calibri" w:eastAsia="Arial" w:hAnsi="Calibri" w:cs="Calibri"/>
          <w:sz w:val="24"/>
          <w:szCs w:val="24"/>
        </w:rPr>
        <w:lastRenderedPageBreak/>
        <w:t xml:space="preserve">Okey doke, thank you. </w:t>
      </w: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we talked about the need for different messaging throughout institutions to challenge the dominant stories about what counts and who counts. This includes talking about inclusive staff training that covers what counts as sexual violence and who is recognised within it—challenging the idea that it’s only white, British, heterosexual, able-bodied women who are victims of sexual violence and harassment. We also emphasised the need for clarity and consistency in communication about institutional help-seeking pathways, and the importance of considering the overlap between sexual violence policies and policies on hate, especially for those with intersecting identities. Thanks very much.</w:t>
      </w:r>
    </w:p>
    <w:p w14:paraId="00000052" w14:textId="77777777" w:rsidR="000F2014" w:rsidRPr="00B07EF9" w:rsidRDefault="000F2014">
      <w:pPr>
        <w:rPr>
          <w:rFonts w:ascii="Calibri" w:eastAsia="Arial" w:hAnsi="Calibri" w:cs="Calibri"/>
          <w:sz w:val="24"/>
          <w:szCs w:val="24"/>
          <w:highlight w:val="yellow"/>
        </w:rPr>
      </w:pPr>
    </w:p>
    <w:p w14:paraId="00000053" w14:textId="77777777" w:rsidR="000F2014" w:rsidRPr="00B07EF9" w:rsidRDefault="00000000">
      <w:pPr>
        <w:rPr>
          <w:rFonts w:ascii="Calibri" w:eastAsia="Arial" w:hAnsi="Calibri" w:cs="Calibri"/>
          <w:b/>
          <w:bCs/>
          <w:sz w:val="24"/>
          <w:szCs w:val="24"/>
        </w:rPr>
      </w:pPr>
      <w:r w:rsidRPr="00B07EF9">
        <w:rPr>
          <w:rFonts w:ascii="Calibri" w:eastAsia="Arial" w:hAnsi="Calibri" w:cs="Calibri"/>
          <w:b/>
          <w:bCs/>
          <w:sz w:val="24"/>
          <w:szCs w:val="24"/>
        </w:rPr>
        <w:t>Anna Bull:</w:t>
      </w:r>
    </w:p>
    <w:p w14:paraId="00000054" w14:textId="77777777" w:rsidR="000F2014" w:rsidRPr="00B07EF9" w:rsidRDefault="00000000">
      <w:pPr>
        <w:rPr>
          <w:rFonts w:ascii="Calibri" w:eastAsia="Arial" w:hAnsi="Calibri" w:cs="Calibri"/>
          <w:sz w:val="24"/>
          <w:szCs w:val="24"/>
        </w:rPr>
      </w:pPr>
      <w:r w:rsidRPr="00B07EF9">
        <w:rPr>
          <w:rFonts w:ascii="Calibri" w:eastAsia="Arial" w:hAnsi="Calibri" w:cs="Calibri"/>
          <w:sz w:val="24"/>
          <w:szCs w:val="24"/>
        </w:rPr>
        <w:t xml:space="preserve">Thank you so much, Katherine, and thanks to all the rest of your team for this </w:t>
      </w:r>
      <w:proofErr w:type="gramStart"/>
      <w:r w:rsidRPr="00B07EF9">
        <w:rPr>
          <w:rFonts w:ascii="Calibri" w:eastAsia="Arial" w:hAnsi="Calibri" w:cs="Calibri"/>
          <w:sz w:val="24"/>
          <w:szCs w:val="24"/>
        </w:rPr>
        <w:t>really important</w:t>
      </w:r>
      <w:proofErr w:type="gramEnd"/>
      <w:r w:rsidRPr="00B07EF9">
        <w:rPr>
          <w:rFonts w:ascii="Calibri" w:eastAsia="Arial" w:hAnsi="Calibri" w:cs="Calibri"/>
          <w:sz w:val="24"/>
          <w:szCs w:val="24"/>
        </w:rPr>
        <w:t xml:space="preserve"> research. I’m particularly grateful because, as someone who has also done research on the British context, I know how difficult it is to recruit a diverse sample of students. And when I’ve spoken to survivors, it’s more likely to be white, middle-class, heterosexual, cisgender women who come forward. </w:t>
      </w: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hearing these voices is just so important. And I’m also grateful because I feel like this paper has taken us full circle back to Suzanne, Natasha, and Zelda’s paper from the start by recommending intersectional training for staff, which they have proposed. </w:t>
      </w:r>
      <w:proofErr w:type="gramStart"/>
      <w:r w:rsidRPr="00B07EF9">
        <w:rPr>
          <w:rFonts w:ascii="Calibri" w:eastAsia="Arial" w:hAnsi="Calibri" w:cs="Calibri"/>
          <w:sz w:val="24"/>
          <w:szCs w:val="24"/>
        </w:rPr>
        <w:t>So</w:t>
      </w:r>
      <w:proofErr w:type="gramEnd"/>
      <w:r w:rsidRPr="00B07EF9">
        <w:rPr>
          <w:rFonts w:ascii="Calibri" w:eastAsia="Arial" w:hAnsi="Calibri" w:cs="Calibri"/>
          <w:sz w:val="24"/>
          <w:szCs w:val="24"/>
        </w:rPr>
        <w:t xml:space="preserve"> this panel has actually, despite the data that’s presented, made me feel quite hopeful because we’ve heard about the ways in which gender-based violence is being named in universities—whether by researchers, within training, or by students themselves and their activism.</w:t>
      </w:r>
    </w:p>
    <w:p w14:paraId="00000055" w14:textId="77777777" w:rsidR="000F2014" w:rsidRPr="00B07EF9" w:rsidRDefault="000F2014">
      <w:pPr>
        <w:rPr>
          <w:rFonts w:ascii="Calibri" w:eastAsia="Arial" w:hAnsi="Calibri" w:cs="Calibri"/>
          <w:b/>
          <w:bCs/>
          <w:sz w:val="24"/>
          <w:szCs w:val="24"/>
        </w:rPr>
      </w:pPr>
    </w:p>
    <w:p w14:paraId="00000056" w14:textId="77777777" w:rsidR="000F2014" w:rsidRPr="00B07EF9" w:rsidRDefault="00000000">
      <w:pPr>
        <w:rPr>
          <w:rFonts w:ascii="Calibri" w:eastAsia="Arial" w:hAnsi="Calibri" w:cs="Calibri"/>
          <w:sz w:val="24"/>
          <w:szCs w:val="24"/>
        </w:rPr>
      </w:pPr>
      <w:r w:rsidRPr="00B07EF9">
        <w:rPr>
          <w:rFonts w:ascii="Calibri" w:eastAsia="Arial" w:hAnsi="Calibri" w:cs="Calibri"/>
          <w:b/>
          <w:bCs/>
          <w:sz w:val="24"/>
          <w:szCs w:val="24"/>
        </w:rPr>
        <w:t>Outro:</w:t>
      </w:r>
      <w:r w:rsidRPr="00B07EF9">
        <w:rPr>
          <w:rFonts w:ascii="Calibri" w:eastAsia="Arial" w:hAnsi="Calibri" w:cs="Calibri"/>
          <w:sz w:val="24"/>
          <w:szCs w:val="24"/>
        </w:rPr>
        <w:br/>
        <w:t xml:space="preserve">Thank you for listening. If you're interested in the FEM Ideas Project and some of its recent work, they have published a set of reports on addressing and preventing sexual and gender-based violence in higher education across Argentina, Brazil, South Africa, and Nigeria. The reports highlight key findings from the research and offer recommendations for developing survivor-centred and trauma-informed approaches in universities. You can find the reports and additional information on their website, </w:t>
      </w:r>
      <w:hyperlink r:id="rId9">
        <w:r w:rsidR="000F2014" w:rsidRPr="00B07EF9">
          <w:rPr>
            <w:rFonts w:ascii="Calibri" w:eastAsia="Arial" w:hAnsi="Calibri" w:cs="Calibri"/>
            <w:color w:val="1155CC"/>
            <w:sz w:val="24"/>
            <w:szCs w:val="24"/>
            <w:u w:val="single"/>
          </w:rPr>
          <w:t>femideas.com</w:t>
        </w:r>
      </w:hyperlink>
      <w:r w:rsidRPr="00B07EF9">
        <w:rPr>
          <w:rFonts w:ascii="Calibri" w:eastAsia="Arial" w:hAnsi="Calibri" w:cs="Calibri"/>
          <w:sz w:val="24"/>
          <w:szCs w:val="24"/>
        </w:rPr>
        <w:t>.</w:t>
      </w:r>
    </w:p>
    <w:sectPr w:rsidR="000F2014" w:rsidRPr="00B07EF9" w:rsidSect="00995DEB">
      <w:headerReference w:type="default" r:id="rId10"/>
      <w:footerReference w:type="default" r:id="rId11"/>
      <w:footerReference w:type="first" r:id="rId12"/>
      <w:pgSz w:w="11906" w:h="16838"/>
      <w:pgMar w:top="1440" w:right="1440" w:bottom="1440" w:left="1440" w:header="708" w:footer="708"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49033D" w14:textId="77777777" w:rsidR="0008122A" w:rsidRDefault="0008122A">
      <w:r>
        <w:separator/>
      </w:r>
    </w:p>
  </w:endnote>
  <w:endnote w:type="continuationSeparator" w:id="0">
    <w:p w14:paraId="42FDB609" w14:textId="77777777" w:rsidR="0008122A" w:rsidRDefault="00081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embedRegular r:id="rId1" w:fontKey="{528C58B7-67C0-DA47-B77C-EA34CC7CE3A1}"/>
    <w:embedBold r:id="rId2" w:fontKey="{524E522A-5226-EF41-85DE-7A31ACAD0C62}"/>
    <w:embedItalic r:id="rId3" w:fontKey="{7075BC5E-0B3B-E840-8F6E-6A0DBBB88B5E}"/>
  </w:font>
  <w:font w:name="Georgia">
    <w:panose1 w:val="02040502050405020303"/>
    <w:charset w:val="00"/>
    <w:family w:val="roman"/>
    <w:pitch w:val="variable"/>
    <w:sig w:usb0="00000287" w:usb1="00000000" w:usb2="00000000" w:usb3="00000000" w:csb0="0000009F" w:csb1="00000000"/>
    <w:embedItalic r:id="rId4" w:fontKey="{6BCFB881-3E6E-0246-92F8-E56E0F1D442D}"/>
  </w:font>
  <w:font w:name="Calibri">
    <w:panose1 w:val="020F0502020204030204"/>
    <w:charset w:val="00"/>
    <w:family w:val="swiss"/>
    <w:pitch w:val="variable"/>
    <w:sig w:usb0="E4002EFF" w:usb1="C000247B" w:usb2="00000009" w:usb3="00000000" w:csb0="000001FF" w:csb1="00000000"/>
    <w:embedRegular r:id="rId5" w:fontKey="{78D01DF0-6371-AD4F-A51E-83C07DD6B062}"/>
    <w:embedBold r:id="rId6" w:fontKey="{1D484DE8-C509-6240-BAC8-95361AE99FF3}"/>
    <w:embedItalic r:id="rId7" w:fontKey="{DAE30871-B5D4-2A4C-82DF-C7652E910EC1}"/>
  </w:font>
  <w:font w:name="Arial">
    <w:panose1 w:val="020B0604020202020204"/>
    <w:charset w:val="00"/>
    <w:family w:val="swiss"/>
    <w:pitch w:val="variable"/>
    <w:sig w:usb0="E0002EFF" w:usb1="C000785B" w:usb2="00000009" w:usb3="00000000" w:csb0="000001FF" w:csb1="00000000"/>
    <w:embedRegular r:id="rId8" w:fontKey="{BA71C94E-E3EF-BA49-87CE-5DC6E513345C}"/>
    <w:embedBold r:id="rId9" w:fontKey="{8D0DC8D6-B36D-834C-956B-A644866D9CBA}"/>
    <w:embedItalic r:id="rId10" w:fontKey="{B62C57D6-A7F3-3F4A-BE04-EE9491A64E52}"/>
  </w:font>
  <w:font w:name="Cambria">
    <w:panose1 w:val="02040503050406030204"/>
    <w:charset w:val="00"/>
    <w:family w:val="roman"/>
    <w:pitch w:val="variable"/>
    <w:sig w:usb0="E00002FF" w:usb1="400004FF" w:usb2="00000000" w:usb3="00000000" w:csb0="0000019F" w:csb1="00000000"/>
    <w:embedRegular r:id="rId11" w:fontKey="{ABACB116-7907-1C48-BA78-D28713BFD3A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09AD56" w14:textId="77777777" w:rsidR="00995DEB" w:rsidRPr="00922FC4" w:rsidRDefault="00995DEB" w:rsidP="00995DEB">
    <w:pPr>
      <w:pStyle w:val="Footer"/>
      <w:jc w:val="right"/>
      <w:rPr>
        <w:rFonts w:asciiTheme="majorHAnsi" w:hAnsiTheme="majorHAnsi" w:cstheme="majorHAnsi"/>
      </w:rPr>
    </w:pPr>
    <w:r w:rsidRPr="00922FC4">
      <w:rPr>
        <w:rFonts w:asciiTheme="majorHAnsi" w:hAnsiTheme="majorHAnsi" w:cstheme="majorHAnsi"/>
      </w:rPr>
      <w:t xml:space="preserve">This work is licensed under </w:t>
    </w:r>
    <w:r w:rsidRPr="00922FC4">
      <w:rPr>
        <w:rFonts w:asciiTheme="majorHAnsi" w:hAnsiTheme="majorHAnsi" w:cstheme="majorHAnsi"/>
        <w:color w:val="E36C0A" w:themeColor="accent6" w:themeShade="BF"/>
      </w:rPr>
      <w:t xml:space="preserve">CC BY-NC-ND 4.0 </w:t>
    </w:r>
  </w:p>
  <w:p w14:paraId="0D62B36E" w14:textId="77777777" w:rsidR="007C6335" w:rsidRDefault="007C63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130220" w14:textId="77777777" w:rsidR="007C6335" w:rsidRPr="00922FC4" w:rsidRDefault="007C6335" w:rsidP="007C6335">
    <w:pPr>
      <w:pStyle w:val="Footer"/>
      <w:jc w:val="right"/>
      <w:rPr>
        <w:rFonts w:asciiTheme="majorHAnsi" w:hAnsiTheme="majorHAnsi" w:cstheme="majorHAnsi"/>
      </w:rPr>
    </w:pPr>
    <w:r w:rsidRPr="00922FC4">
      <w:rPr>
        <w:rFonts w:asciiTheme="majorHAnsi" w:hAnsiTheme="majorHAnsi" w:cstheme="majorHAnsi"/>
      </w:rPr>
      <w:t xml:space="preserve">This work is licensed under </w:t>
    </w:r>
    <w:r w:rsidRPr="00922FC4">
      <w:rPr>
        <w:rFonts w:asciiTheme="majorHAnsi" w:hAnsiTheme="majorHAnsi" w:cstheme="majorHAnsi"/>
        <w:color w:val="E36C0A" w:themeColor="accent6" w:themeShade="BF"/>
      </w:rPr>
      <w:t xml:space="preserve">CC BY-NC-ND 4.0 </w:t>
    </w:r>
  </w:p>
  <w:p w14:paraId="448117EB" w14:textId="77777777" w:rsidR="007C6335" w:rsidRDefault="007C63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F61D96" w14:textId="77777777" w:rsidR="0008122A" w:rsidRDefault="0008122A">
      <w:r>
        <w:separator/>
      </w:r>
    </w:p>
  </w:footnote>
  <w:footnote w:type="continuationSeparator" w:id="0">
    <w:p w14:paraId="7D387823" w14:textId="77777777" w:rsidR="0008122A" w:rsidRDefault="000812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B2C0EF" w14:textId="77777777" w:rsidR="008A3BF9" w:rsidRDefault="008A3BF9" w:rsidP="008A3BF9">
    <w:r>
      <w:rPr>
        <w:noProof/>
      </w:rPr>
      <w:drawing>
        <wp:anchor distT="0" distB="0" distL="114300" distR="114300" simplePos="0" relativeHeight="251660288" behindDoc="1" locked="0" layoutInCell="1" allowOverlap="1" wp14:anchorId="72A07F91" wp14:editId="124AC95A">
          <wp:simplePos x="0" y="0"/>
          <wp:positionH relativeFrom="column">
            <wp:posOffset>3412490</wp:posOffset>
          </wp:positionH>
          <wp:positionV relativeFrom="paragraph">
            <wp:posOffset>90170</wp:posOffset>
          </wp:positionV>
          <wp:extent cx="1497330" cy="203835"/>
          <wp:effectExtent l="0" t="0" r="1270" b="0"/>
          <wp:wrapTight wrapText="bothSides">
            <wp:wrapPolygon edited="0">
              <wp:start x="0" y="0"/>
              <wp:lineTo x="0" y="20187"/>
              <wp:lineTo x="21435" y="20187"/>
              <wp:lineTo x="21435" y="0"/>
              <wp:lineTo x="0" y="0"/>
            </wp:wrapPolygon>
          </wp:wrapTight>
          <wp:docPr id="1317766350" name="Picture 1" descr="A purple letter 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766350" name="Picture 1" descr="A purple letter 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97330" cy="20383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5A1B35EB" wp14:editId="60F0695C">
          <wp:simplePos x="0" y="0"/>
          <wp:positionH relativeFrom="column">
            <wp:posOffset>5161280</wp:posOffset>
          </wp:positionH>
          <wp:positionV relativeFrom="paragraph">
            <wp:posOffset>-245745</wp:posOffset>
          </wp:positionV>
          <wp:extent cx="769620" cy="769620"/>
          <wp:effectExtent l="0" t="0" r="5080" b="5080"/>
          <wp:wrapTight wrapText="bothSides">
            <wp:wrapPolygon edited="0">
              <wp:start x="1426" y="0"/>
              <wp:lineTo x="1426" y="1426"/>
              <wp:lineTo x="3564" y="6059"/>
              <wp:lineTo x="1782" y="8198"/>
              <wp:lineTo x="0" y="10693"/>
              <wp:lineTo x="0" y="13188"/>
              <wp:lineTo x="1069" y="18535"/>
              <wp:lineTo x="4277" y="20673"/>
              <wp:lineTo x="5703" y="21386"/>
              <wp:lineTo x="11050" y="21386"/>
              <wp:lineTo x="16752" y="20673"/>
              <wp:lineTo x="19960" y="19604"/>
              <wp:lineTo x="19604" y="17465"/>
              <wp:lineTo x="21386" y="13901"/>
              <wp:lineTo x="21386" y="3921"/>
              <wp:lineTo x="17109" y="2139"/>
              <wp:lineTo x="6059" y="0"/>
              <wp:lineTo x="1426" y="0"/>
            </wp:wrapPolygon>
          </wp:wrapTight>
          <wp:docPr id="523191554" name="Picture 2" descr="A group of people reading book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191554" name="Picture 2" descr="A group of people reading books&#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69620" cy="769620"/>
                  </a:xfrm>
                  <a:prstGeom prst="rect">
                    <a:avLst/>
                  </a:prstGeom>
                </pic:spPr>
              </pic:pic>
            </a:graphicData>
          </a:graphic>
          <wp14:sizeRelH relativeFrom="page">
            <wp14:pctWidth>0</wp14:pctWidth>
          </wp14:sizeRelH>
          <wp14:sizeRelV relativeFrom="page">
            <wp14:pctHeight>0</wp14:pctHeight>
          </wp14:sizeRelV>
        </wp:anchor>
      </w:drawing>
    </w:r>
    <w:r>
      <w:t xml:space="preserve"> </w:t>
    </w:r>
  </w:p>
  <w:p w14:paraId="00000057" w14:textId="77777777" w:rsidR="000F2014" w:rsidRDefault="000F2014">
    <w:pPr>
      <w:widowControl w:val="0"/>
      <w:pBdr>
        <w:top w:val="nil"/>
        <w:left w:val="nil"/>
        <w:bottom w:val="nil"/>
        <w:right w:val="nil"/>
        <w:between w:val="nil"/>
      </w:pBdr>
      <w:spacing w:line="276" w:lineRule="auto"/>
      <w:jc w:val="center"/>
      <w:rPr>
        <w:b/>
        <w:bCs/>
        <w:u w:val="single"/>
      </w:rPr>
    </w:pPr>
  </w:p>
  <w:p w14:paraId="00000058" w14:textId="77777777" w:rsidR="000F2014" w:rsidRDefault="000F2014">
    <w:pPr>
      <w:widowControl w:val="0"/>
      <w:pBdr>
        <w:top w:val="nil"/>
        <w:left w:val="nil"/>
        <w:bottom w:val="nil"/>
        <w:right w:val="nil"/>
        <w:between w:val="nil"/>
      </w:pBdr>
      <w:spacing w:line="276" w:lineRule="auto"/>
      <w:jc w:val="center"/>
      <w:rPr>
        <w:b/>
        <w:bCs/>
        <w:u w:val="singl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5"/>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014"/>
    <w:rsid w:val="0008122A"/>
    <w:rsid w:val="000823F1"/>
    <w:rsid w:val="000F2014"/>
    <w:rsid w:val="001F4D4B"/>
    <w:rsid w:val="003D06A5"/>
    <w:rsid w:val="007C6335"/>
    <w:rsid w:val="008A3BF9"/>
    <w:rsid w:val="00995DEB"/>
    <w:rsid w:val="00A52C12"/>
    <w:rsid w:val="00AD4F0E"/>
    <w:rsid w:val="00AF4584"/>
    <w:rsid w:val="00B07EF9"/>
    <w:rsid w:val="00D20989"/>
    <w:rsid w:val="00EE17A5"/>
    <w:rsid w:val="00F10D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F14BE0F"/>
  <w15:docId w15:val="{EB171DA0-2FE9-584B-9C6C-A807434E4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A52C12"/>
    <w:pPr>
      <w:tabs>
        <w:tab w:val="center" w:pos="4513"/>
        <w:tab w:val="right" w:pos="9026"/>
      </w:tabs>
    </w:pPr>
  </w:style>
  <w:style w:type="character" w:customStyle="1" w:styleId="HeaderChar">
    <w:name w:val="Header Char"/>
    <w:basedOn w:val="DefaultParagraphFont"/>
    <w:link w:val="Header"/>
    <w:uiPriority w:val="99"/>
    <w:rsid w:val="00A52C12"/>
  </w:style>
  <w:style w:type="paragraph" w:styleId="Footer">
    <w:name w:val="footer"/>
    <w:basedOn w:val="Normal"/>
    <w:link w:val="FooterChar"/>
    <w:uiPriority w:val="99"/>
    <w:unhideWhenUsed/>
    <w:rsid w:val="00A52C12"/>
    <w:pPr>
      <w:tabs>
        <w:tab w:val="center" w:pos="4513"/>
        <w:tab w:val="right" w:pos="9026"/>
      </w:tabs>
    </w:pPr>
  </w:style>
  <w:style w:type="character" w:customStyle="1" w:styleId="FooterChar">
    <w:name w:val="Footer Char"/>
    <w:basedOn w:val="DefaultParagraphFont"/>
    <w:link w:val="Footer"/>
    <w:uiPriority w:val="99"/>
    <w:rsid w:val="00A52C12"/>
  </w:style>
  <w:style w:type="character" w:styleId="Hyperlink">
    <w:name w:val="Hyperlink"/>
    <w:basedOn w:val="DefaultParagraphFont"/>
    <w:uiPriority w:val="99"/>
    <w:unhideWhenUsed/>
    <w:rsid w:val="00A52C12"/>
    <w:rPr>
      <w:color w:val="0000FF" w:themeColor="hyperlink"/>
      <w:u w:val="single"/>
    </w:rPr>
  </w:style>
  <w:style w:type="character" w:styleId="UnresolvedMention">
    <w:name w:val="Unresolved Mention"/>
    <w:basedOn w:val="DefaultParagraphFont"/>
    <w:uiPriority w:val="99"/>
    <w:semiHidden/>
    <w:unhideWhenUsed/>
    <w:rsid w:val="00A52C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doi.org/10.34737/x709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ca.st/rrko9lan"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femideas.com"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INfrbY5w2zrAu23idt2U/8JUOg==">CgMxLjA4AHIhMUVrbmNGYlNFYUZjai1CdVJXTFZIaUxYMVJPTzFuU0Va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16</Pages>
  <Words>8344</Words>
  <Characters>47563</Characters>
  <Application>Microsoft Office Word</Application>
  <DocSecurity>0</DocSecurity>
  <Lines>396</Lines>
  <Paragraphs>111</Paragraphs>
  <ScaleCrop>false</ScaleCrop>
  <Company/>
  <LinksUpToDate>false</LinksUpToDate>
  <CharactersWithSpaces>55796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Kyra Araneta</cp:lastModifiedBy>
  <cp:revision>8</cp:revision>
  <dcterms:created xsi:type="dcterms:W3CDTF">2026-05-14T08:54:00Z</dcterms:created>
  <dcterms:modified xsi:type="dcterms:W3CDTF">2026-05-16T11:41:00Z</dcterms:modified>
</cp:coreProperties>
</file>