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8F0BE" w14:textId="506C4B4A" w:rsidR="00615762" w:rsidRPr="00615762" w:rsidRDefault="00615762" w:rsidP="00615762">
      <w:pPr>
        <w:pStyle w:val="Tabletitle"/>
        <w:rPr>
          <w:b/>
          <w:bCs/>
        </w:rPr>
      </w:pPr>
      <w:r w:rsidRPr="00615762">
        <w:rPr>
          <w:b/>
          <w:bCs/>
        </w:rPr>
        <w:t>Table to be inserted</w:t>
      </w:r>
    </w:p>
    <w:p w14:paraId="0DF3939A" w14:textId="77777777" w:rsidR="00615762" w:rsidRDefault="00615762" w:rsidP="00615762">
      <w:pPr>
        <w:pStyle w:val="Tabletitle"/>
      </w:pPr>
    </w:p>
    <w:p w14:paraId="4292B31D" w14:textId="70086ABC" w:rsidR="00615762" w:rsidRDefault="00615762" w:rsidP="00615762">
      <w:pPr>
        <w:pStyle w:val="Tabletitle"/>
      </w:pPr>
      <w:r>
        <w:t>Table 1. Assessment of heritage statements submitted to five local planning authorities Sources:</w:t>
      </w:r>
      <w:r w:rsidRPr="00AE1D27">
        <w:t xml:space="preserve"> </w:t>
      </w:r>
      <w:r>
        <w:t>Coventry City Council; London Borough of Richmond upon Thames; Borough Council of Kings Lynn and West Norfolk; Northumberland Council; Swindon Council.</w:t>
      </w: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2835"/>
        <w:gridCol w:w="1276"/>
        <w:gridCol w:w="1843"/>
      </w:tblGrid>
      <w:tr w:rsidR="00615762" w:rsidRPr="00AE1D27" w14:paraId="56DB793A" w14:textId="77777777" w:rsidTr="005617B0">
        <w:tc>
          <w:tcPr>
            <w:tcW w:w="1276" w:type="dxa"/>
            <w:shd w:val="clear" w:color="auto" w:fill="BFBFBF"/>
          </w:tcPr>
          <w:p w14:paraId="10EE254C" w14:textId="77777777" w:rsidR="00615762" w:rsidRPr="00AE1D27" w:rsidRDefault="00615762" w:rsidP="005617B0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AE1D27">
              <w:rPr>
                <w:b/>
                <w:bCs/>
                <w:sz w:val="22"/>
                <w:szCs w:val="22"/>
              </w:rPr>
              <w:t>Application No</w:t>
            </w:r>
          </w:p>
        </w:tc>
        <w:tc>
          <w:tcPr>
            <w:tcW w:w="1276" w:type="dxa"/>
            <w:shd w:val="clear" w:color="auto" w:fill="BFBFBF"/>
          </w:tcPr>
          <w:p w14:paraId="1B198C35" w14:textId="77777777" w:rsidR="00615762" w:rsidRPr="00AE1D27" w:rsidRDefault="00615762" w:rsidP="005617B0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AE1D27">
              <w:rPr>
                <w:b/>
                <w:bCs/>
                <w:sz w:val="22"/>
                <w:szCs w:val="22"/>
              </w:rPr>
              <w:t>Heritage Statement Author’s profession (if indicated)</w:t>
            </w:r>
          </w:p>
        </w:tc>
        <w:tc>
          <w:tcPr>
            <w:tcW w:w="1559" w:type="dxa"/>
            <w:shd w:val="clear" w:color="auto" w:fill="BFBFBF"/>
          </w:tcPr>
          <w:p w14:paraId="3E249E8D" w14:textId="77777777" w:rsidR="00615762" w:rsidRPr="00AE1D27" w:rsidRDefault="00615762" w:rsidP="005617B0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AE1D27">
              <w:rPr>
                <w:b/>
                <w:bCs/>
                <w:sz w:val="22"/>
                <w:szCs w:val="22"/>
              </w:rPr>
              <w:t>Description of Works</w:t>
            </w:r>
          </w:p>
        </w:tc>
        <w:tc>
          <w:tcPr>
            <w:tcW w:w="2835" w:type="dxa"/>
            <w:shd w:val="clear" w:color="auto" w:fill="BFBFBF"/>
          </w:tcPr>
          <w:p w14:paraId="1DE36423" w14:textId="77777777" w:rsidR="00615762" w:rsidRPr="00AE1D27" w:rsidRDefault="00615762" w:rsidP="005617B0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AE1D27">
              <w:rPr>
                <w:b/>
                <w:bCs/>
                <w:sz w:val="22"/>
                <w:szCs w:val="22"/>
              </w:rPr>
              <w:t>Heritage Values discussed (</w:t>
            </w:r>
            <w:proofErr w:type="spellStart"/>
            <w:r w:rsidRPr="00AE1D27">
              <w:rPr>
                <w:b/>
                <w:bCs/>
                <w:sz w:val="22"/>
                <w:szCs w:val="22"/>
              </w:rPr>
              <w:t>eg</w:t>
            </w:r>
            <w:proofErr w:type="spellEnd"/>
            <w:r w:rsidRPr="00AE1D27">
              <w:rPr>
                <w:b/>
                <w:bCs/>
                <w:sz w:val="22"/>
                <w:szCs w:val="22"/>
              </w:rPr>
              <w:t xml:space="preserve"> Historic, Evidential, Aesthetic, Communal, spiritual, Archaeological etc)</w:t>
            </w:r>
          </w:p>
        </w:tc>
        <w:tc>
          <w:tcPr>
            <w:tcW w:w="1276" w:type="dxa"/>
            <w:shd w:val="clear" w:color="auto" w:fill="BFBFBF"/>
          </w:tcPr>
          <w:p w14:paraId="37854F2F" w14:textId="77777777" w:rsidR="00615762" w:rsidRPr="00AE1D27" w:rsidRDefault="00615762" w:rsidP="005617B0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AE1D27">
              <w:rPr>
                <w:b/>
                <w:bCs/>
                <w:sz w:val="22"/>
                <w:szCs w:val="22"/>
              </w:rPr>
              <w:t>Setting Discussed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03B87F5" w14:textId="77777777" w:rsidR="00615762" w:rsidRPr="00AE1D27" w:rsidRDefault="00615762" w:rsidP="005617B0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Guidance/ Policy referred to</w:t>
            </w:r>
          </w:p>
        </w:tc>
      </w:tr>
      <w:tr w:rsidR="00615762" w:rsidRPr="00AE1D27" w14:paraId="39874924" w14:textId="77777777" w:rsidTr="005617B0">
        <w:tc>
          <w:tcPr>
            <w:tcW w:w="8222" w:type="dxa"/>
            <w:gridSpan w:val="5"/>
            <w:shd w:val="clear" w:color="auto" w:fill="000000"/>
          </w:tcPr>
          <w:p w14:paraId="3CC67AE4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b/>
                <w:bCs/>
                <w:sz w:val="22"/>
                <w:szCs w:val="22"/>
              </w:rPr>
              <w:t>Coventry City Council</w:t>
            </w:r>
          </w:p>
        </w:tc>
        <w:tc>
          <w:tcPr>
            <w:tcW w:w="1843" w:type="dxa"/>
            <w:shd w:val="clear" w:color="auto" w:fill="000000"/>
          </w:tcPr>
          <w:p w14:paraId="256547FC" w14:textId="77777777" w:rsidR="00615762" w:rsidRPr="00AE1D27" w:rsidRDefault="00615762" w:rsidP="005617B0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15762" w:rsidRPr="00AE1D27" w14:paraId="23399D98" w14:textId="77777777" w:rsidTr="005617B0">
        <w:tc>
          <w:tcPr>
            <w:tcW w:w="1276" w:type="dxa"/>
          </w:tcPr>
          <w:p w14:paraId="160DC592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PL-2023-0000178-lbc</w:t>
            </w:r>
          </w:p>
        </w:tc>
        <w:tc>
          <w:tcPr>
            <w:tcW w:w="1276" w:type="dxa"/>
          </w:tcPr>
          <w:p w14:paraId="29611D33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Historic building Consultant</w:t>
            </w:r>
          </w:p>
        </w:tc>
        <w:tc>
          <w:tcPr>
            <w:tcW w:w="1559" w:type="dxa"/>
          </w:tcPr>
          <w:p w14:paraId="0DA9F8FC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Conversion to residential Flats</w:t>
            </w:r>
          </w:p>
        </w:tc>
        <w:tc>
          <w:tcPr>
            <w:tcW w:w="2835" w:type="dxa"/>
          </w:tcPr>
          <w:p w14:paraId="4CC18BA6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Evidential (archaeological), Historic, Aesthetic, Communal values discussed.</w:t>
            </w:r>
          </w:p>
        </w:tc>
        <w:tc>
          <w:tcPr>
            <w:tcW w:w="1276" w:type="dxa"/>
          </w:tcPr>
          <w:p w14:paraId="381750AC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Yes</w:t>
            </w:r>
          </w:p>
        </w:tc>
        <w:tc>
          <w:tcPr>
            <w:tcW w:w="1843" w:type="dxa"/>
          </w:tcPr>
          <w:p w14:paraId="717EA981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Conservation Area appraisal, NPPF, PLBCA, Local Plan, British Standard, HE </w:t>
            </w:r>
            <w:proofErr w:type="gramStart"/>
            <w:r>
              <w:rPr>
                <w:sz w:val="22"/>
                <w:szCs w:val="22"/>
              </w:rPr>
              <w:t>Setting</w:t>
            </w:r>
            <w:proofErr w:type="gramEnd"/>
            <w:r>
              <w:rPr>
                <w:sz w:val="22"/>
                <w:szCs w:val="22"/>
              </w:rPr>
              <w:t xml:space="preserve"> guidance; HE 2008 guidance</w:t>
            </w:r>
          </w:p>
        </w:tc>
      </w:tr>
      <w:tr w:rsidR="00615762" w:rsidRPr="00AE1D27" w14:paraId="6CA96FE9" w14:textId="77777777" w:rsidTr="005617B0">
        <w:tc>
          <w:tcPr>
            <w:tcW w:w="1276" w:type="dxa"/>
          </w:tcPr>
          <w:p w14:paraId="745FA110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PL-2023-0001610-lbc</w:t>
            </w:r>
          </w:p>
        </w:tc>
        <w:tc>
          <w:tcPr>
            <w:tcW w:w="1276" w:type="dxa"/>
          </w:tcPr>
          <w:p w14:paraId="13B2E2A5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Interior Designer and Architect</w:t>
            </w:r>
          </w:p>
        </w:tc>
        <w:tc>
          <w:tcPr>
            <w:tcW w:w="1559" w:type="dxa"/>
          </w:tcPr>
          <w:p w14:paraId="50AD82EC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Removal entrance porch, new timber framed structure</w:t>
            </w:r>
          </w:p>
        </w:tc>
        <w:tc>
          <w:tcPr>
            <w:tcW w:w="2835" w:type="dxa"/>
          </w:tcPr>
          <w:p w14:paraId="2B846D4E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 xml:space="preserve">Whilst the heritage values are defined (copy of NPPF and guidance) they are not assessed. Only ‘old style’ list description is included. </w:t>
            </w:r>
          </w:p>
        </w:tc>
        <w:tc>
          <w:tcPr>
            <w:tcW w:w="1276" w:type="dxa"/>
          </w:tcPr>
          <w:p w14:paraId="12620D73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14:paraId="56AAAC86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NPPF, HE2008, DDCM2018</w:t>
            </w:r>
          </w:p>
        </w:tc>
      </w:tr>
      <w:tr w:rsidR="00615762" w:rsidRPr="00AE1D27" w14:paraId="486A1DAB" w14:textId="77777777" w:rsidTr="005617B0">
        <w:tc>
          <w:tcPr>
            <w:tcW w:w="1276" w:type="dxa"/>
          </w:tcPr>
          <w:p w14:paraId="3B3738AD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PL-2023-0002364-lbc</w:t>
            </w:r>
          </w:p>
        </w:tc>
        <w:tc>
          <w:tcPr>
            <w:tcW w:w="1276" w:type="dxa"/>
          </w:tcPr>
          <w:p w14:paraId="50862894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Architect</w:t>
            </w:r>
          </w:p>
        </w:tc>
        <w:tc>
          <w:tcPr>
            <w:tcW w:w="1559" w:type="dxa"/>
          </w:tcPr>
          <w:p w14:paraId="45CF868A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Revision to Kitchen</w:t>
            </w:r>
          </w:p>
        </w:tc>
        <w:tc>
          <w:tcPr>
            <w:tcW w:w="2835" w:type="dxa"/>
          </w:tcPr>
          <w:p w14:paraId="45692EA1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 heritage values discussed, only ‘old style</w:t>
            </w:r>
            <w:proofErr w:type="gramStart"/>
            <w:r w:rsidRPr="00AE1D27">
              <w:rPr>
                <w:sz w:val="22"/>
                <w:szCs w:val="22"/>
              </w:rPr>
              <w:t>’  list</w:t>
            </w:r>
            <w:proofErr w:type="gramEnd"/>
            <w:r w:rsidRPr="00AE1D27">
              <w:rPr>
                <w:sz w:val="22"/>
                <w:szCs w:val="22"/>
              </w:rPr>
              <w:t xml:space="preserve"> description is included</w:t>
            </w:r>
          </w:p>
        </w:tc>
        <w:tc>
          <w:tcPr>
            <w:tcW w:w="1276" w:type="dxa"/>
          </w:tcPr>
          <w:p w14:paraId="6F2EAFCD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14:paraId="6D1B3917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615762" w:rsidRPr="00AE1D27" w14:paraId="40CB1FE0" w14:textId="77777777" w:rsidTr="005617B0">
        <w:tc>
          <w:tcPr>
            <w:tcW w:w="1276" w:type="dxa"/>
          </w:tcPr>
          <w:p w14:paraId="2A00FBC5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PL-2023-0002589-lbc</w:t>
            </w:r>
          </w:p>
        </w:tc>
        <w:tc>
          <w:tcPr>
            <w:tcW w:w="1276" w:type="dxa"/>
          </w:tcPr>
          <w:p w14:paraId="02C77575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Historic building Consultant</w:t>
            </w:r>
          </w:p>
        </w:tc>
        <w:tc>
          <w:tcPr>
            <w:tcW w:w="1559" w:type="dxa"/>
          </w:tcPr>
          <w:p w14:paraId="38F1C885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Changes to external cladding</w:t>
            </w:r>
          </w:p>
        </w:tc>
        <w:tc>
          <w:tcPr>
            <w:tcW w:w="2835" w:type="dxa"/>
          </w:tcPr>
          <w:p w14:paraId="2EA666F1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 xml:space="preserve">Whilst not categorised into the heritage values, it is evident that the values are discussed. </w:t>
            </w:r>
          </w:p>
        </w:tc>
        <w:tc>
          <w:tcPr>
            <w:tcW w:w="1276" w:type="dxa"/>
          </w:tcPr>
          <w:p w14:paraId="40C8071D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Yes</w:t>
            </w:r>
          </w:p>
        </w:tc>
        <w:tc>
          <w:tcPr>
            <w:tcW w:w="1843" w:type="dxa"/>
          </w:tcPr>
          <w:p w14:paraId="54C5BC06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NPPF</w:t>
            </w:r>
          </w:p>
        </w:tc>
      </w:tr>
      <w:tr w:rsidR="00615762" w:rsidRPr="00AE1D27" w14:paraId="5607B570" w14:textId="77777777" w:rsidTr="005617B0">
        <w:tc>
          <w:tcPr>
            <w:tcW w:w="1276" w:type="dxa"/>
          </w:tcPr>
          <w:p w14:paraId="4B92AB37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PL/2023/0000885/LBC</w:t>
            </w:r>
          </w:p>
        </w:tc>
        <w:tc>
          <w:tcPr>
            <w:tcW w:w="1276" w:type="dxa"/>
          </w:tcPr>
          <w:p w14:paraId="54BF4AD3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Architect</w:t>
            </w:r>
          </w:p>
        </w:tc>
        <w:tc>
          <w:tcPr>
            <w:tcW w:w="1559" w:type="dxa"/>
          </w:tcPr>
          <w:p w14:paraId="49A6656E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New shop frontage</w:t>
            </w:r>
          </w:p>
        </w:tc>
        <w:tc>
          <w:tcPr>
            <w:tcW w:w="2835" w:type="dxa"/>
          </w:tcPr>
          <w:p w14:paraId="0F8E1291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 heritage values discussed, only ‘old style’ list description is included.</w:t>
            </w:r>
          </w:p>
        </w:tc>
        <w:tc>
          <w:tcPr>
            <w:tcW w:w="1276" w:type="dxa"/>
          </w:tcPr>
          <w:p w14:paraId="586B03D7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14:paraId="1C7F2DAB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615762" w:rsidRPr="00AE1D27" w14:paraId="76731A83" w14:textId="77777777" w:rsidTr="005617B0">
        <w:tc>
          <w:tcPr>
            <w:tcW w:w="8222" w:type="dxa"/>
            <w:gridSpan w:val="5"/>
            <w:shd w:val="clear" w:color="auto" w:fill="000000"/>
          </w:tcPr>
          <w:p w14:paraId="00C86BFF" w14:textId="77777777" w:rsidR="00615762" w:rsidRPr="00AE1D27" w:rsidRDefault="00615762" w:rsidP="005617B0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AE1D27">
              <w:rPr>
                <w:b/>
                <w:bCs/>
                <w:sz w:val="22"/>
                <w:szCs w:val="22"/>
              </w:rPr>
              <w:t>Borough Council of Kings Lynn and West Norfolk</w:t>
            </w:r>
          </w:p>
        </w:tc>
        <w:tc>
          <w:tcPr>
            <w:tcW w:w="1843" w:type="dxa"/>
            <w:shd w:val="clear" w:color="auto" w:fill="000000"/>
          </w:tcPr>
          <w:p w14:paraId="23E3D51A" w14:textId="77777777" w:rsidR="00615762" w:rsidRPr="00AE1D27" w:rsidRDefault="00615762" w:rsidP="005617B0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15762" w:rsidRPr="00AE1D27" w14:paraId="13ABF363" w14:textId="77777777" w:rsidTr="005617B0">
        <w:tc>
          <w:tcPr>
            <w:tcW w:w="1276" w:type="dxa"/>
          </w:tcPr>
          <w:p w14:paraId="38CD17A7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23-01876-lb</w:t>
            </w:r>
          </w:p>
        </w:tc>
        <w:tc>
          <w:tcPr>
            <w:tcW w:w="1276" w:type="dxa"/>
          </w:tcPr>
          <w:p w14:paraId="2F112DDF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Architect</w:t>
            </w:r>
          </w:p>
        </w:tc>
        <w:tc>
          <w:tcPr>
            <w:tcW w:w="1559" w:type="dxa"/>
          </w:tcPr>
          <w:p w14:paraId="41199370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Alterations to roof pitches</w:t>
            </w:r>
          </w:p>
        </w:tc>
        <w:tc>
          <w:tcPr>
            <w:tcW w:w="2835" w:type="dxa"/>
          </w:tcPr>
          <w:p w14:paraId="0D39F7D9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 heritage values discussed, only ‘old style’ list description is included.</w:t>
            </w:r>
          </w:p>
        </w:tc>
        <w:tc>
          <w:tcPr>
            <w:tcW w:w="1276" w:type="dxa"/>
          </w:tcPr>
          <w:p w14:paraId="03E5F03D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14:paraId="273E14AD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615762" w:rsidRPr="00AE1D27" w14:paraId="664E4AE8" w14:textId="77777777" w:rsidTr="005617B0">
        <w:tc>
          <w:tcPr>
            <w:tcW w:w="1276" w:type="dxa"/>
          </w:tcPr>
          <w:p w14:paraId="46A4DBD4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23-01945-LB</w:t>
            </w:r>
          </w:p>
        </w:tc>
        <w:tc>
          <w:tcPr>
            <w:tcW w:w="1276" w:type="dxa"/>
          </w:tcPr>
          <w:p w14:paraId="3D923D11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 w:rsidRPr="00AE1D27">
              <w:rPr>
                <w:sz w:val="22"/>
                <w:szCs w:val="22"/>
              </w:rPr>
              <w:t>Home owner</w:t>
            </w:r>
            <w:proofErr w:type="gramEnd"/>
          </w:p>
        </w:tc>
        <w:tc>
          <w:tcPr>
            <w:tcW w:w="1559" w:type="dxa"/>
          </w:tcPr>
          <w:p w14:paraId="2E3D81FB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Replacement window</w:t>
            </w:r>
          </w:p>
        </w:tc>
        <w:tc>
          <w:tcPr>
            <w:tcW w:w="2835" w:type="dxa"/>
          </w:tcPr>
          <w:p w14:paraId="08B034A2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Utilises the Council’s Heritage Statement template, however no mention of heritage values</w:t>
            </w:r>
          </w:p>
        </w:tc>
        <w:tc>
          <w:tcPr>
            <w:tcW w:w="1276" w:type="dxa"/>
          </w:tcPr>
          <w:p w14:paraId="6ADFD209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14:paraId="2789A366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615762" w:rsidRPr="00AE1D27" w14:paraId="675C1F91" w14:textId="77777777" w:rsidTr="005617B0">
        <w:tc>
          <w:tcPr>
            <w:tcW w:w="1276" w:type="dxa"/>
          </w:tcPr>
          <w:p w14:paraId="649C91BA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23-02194-LB</w:t>
            </w:r>
          </w:p>
        </w:tc>
        <w:tc>
          <w:tcPr>
            <w:tcW w:w="1276" w:type="dxa"/>
          </w:tcPr>
          <w:p w14:paraId="658F788A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Architect</w:t>
            </w:r>
          </w:p>
        </w:tc>
        <w:tc>
          <w:tcPr>
            <w:tcW w:w="1559" w:type="dxa"/>
          </w:tcPr>
          <w:p w14:paraId="4C103C85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Solar panels</w:t>
            </w:r>
          </w:p>
        </w:tc>
        <w:tc>
          <w:tcPr>
            <w:tcW w:w="2835" w:type="dxa"/>
          </w:tcPr>
          <w:p w14:paraId="25EE93DC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 heritage values discussed, only ‘old style’ list description is included.</w:t>
            </w:r>
          </w:p>
        </w:tc>
        <w:tc>
          <w:tcPr>
            <w:tcW w:w="1276" w:type="dxa"/>
          </w:tcPr>
          <w:p w14:paraId="4CAB14B8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14:paraId="5A46C0B7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615762" w:rsidRPr="00AE1D27" w14:paraId="470C6FDD" w14:textId="77777777" w:rsidTr="005617B0">
        <w:tc>
          <w:tcPr>
            <w:tcW w:w="1276" w:type="dxa"/>
          </w:tcPr>
          <w:p w14:paraId="5433FDE1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lastRenderedPageBreak/>
              <w:t>23-02232-LB</w:t>
            </w:r>
          </w:p>
        </w:tc>
        <w:tc>
          <w:tcPr>
            <w:tcW w:w="1276" w:type="dxa"/>
          </w:tcPr>
          <w:p w14:paraId="699F7268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Engineer</w:t>
            </w:r>
          </w:p>
        </w:tc>
        <w:tc>
          <w:tcPr>
            <w:tcW w:w="1559" w:type="dxa"/>
          </w:tcPr>
          <w:p w14:paraId="24F4FF89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Replacement windows and doors, internal alterations</w:t>
            </w:r>
          </w:p>
        </w:tc>
        <w:tc>
          <w:tcPr>
            <w:tcW w:w="2835" w:type="dxa"/>
          </w:tcPr>
          <w:p w14:paraId="65FBF8FE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 heritage values discussed, only ‘old style’ list description is included.</w:t>
            </w:r>
          </w:p>
        </w:tc>
        <w:tc>
          <w:tcPr>
            <w:tcW w:w="1276" w:type="dxa"/>
          </w:tcPr>
          <w:p w14:paraId="0E8C1A64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14:paraId="2FDD3A4F" w14:textId="77777777" w:rsidR="00615762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  <w:p w14:paraId="5512A338" w14:textId="77777777" w:rsidR="00615762" w:rsidRPr="00712117" w:rsidRDefault="00615762" w:rsidP="005617B0">
            <w:pPr>
              <w:jc w:val="center"/>
              <w:rPr>
                <w:sz w:val="22"/>
                <w:szCs w:val="22"/>
              </w:rPr>
            </w:pPr>
          </w:p>
        </w:tc>
      </w:tr>
      <w:tr w:rsidR="00615762" w:rsidRPr="00AE1D27" w14:paraId="53493597" w14:textId="77777777" w:rsidTr="005617B0">
        <w:tc>
          <w:tcPr>
            <w:tcW w:w="1276" w:type="dxa"/>
          </w:tcPr>
          <w:p w14:paraId="432C46EE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23-02292-lb</w:t>
            </w:r>
          </w:p>
        </w:tc>
        <w:tc>
          <w:tcPr>
            <w:tcW w:w="1276" w:type="dxa"/>
          </w:tcPr>
          <w:p w14:paraId="14A9E38B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Architect</w:t>
            </w:r>
          </w:p>
        </w:tc>
        <w:tc>
          <w:tcPr>
            <w:tcW w:w="1559" w:type="dxa"/>
          </w:tcPr>
          <w:p w14:paraId="548AFF1F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Extensions and alterations</w:t>
            </w:r>
          </w:p>
        </w:tc>
        <w:tc>
          <w:tcPr>
            <w:tcW w:w="2835" w:type="dxa"/>
          </w:tcPr>
          <w:p w14:paraId="736A27DE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 heritage values discussed, only ‘old style’ list description is included.</w:t>
            </w:r>
          </w:p>
        </w:tc>
        <w:tc>
          <w:tcPr>
            <w:tcW w:w="1276" w:type="dxa"/>
          </w:tcPr>
          <w:p w14:paraId="4A886729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14:paraId="6DEA5EF1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615762" w:rsidRPr="00AE1D27" w14:paraId="04D2F3D5" w14:textId="77777777" w:rsidTr="005617B0">
        <w:tc>
          <w:tcPr>
            <w:tcW w:w="8222" w:type="dxa"/>
            <w:gridSpan w:val="5"/>
            <w:shd w:val="clear" w:color="auto" w:fill="000000"/>
          </w:tcPr>
          <w:p w14:paraId="3A99CD61" w14:textId="77777777" w:rsidR="00615762" w:rsidRPr="00AE1D27" w:rsidRDefault="00615762" w:rsidP="005617B0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AE1D27">
              <w:rPr>
                <w:b/>
                <w:bCs/>
                <w:sz w:val="22"/>
                <w:szCs w:val="22"/>
              </w:rPr>
              <w:t>Northumberland Council</w:t>
            </w:r>
          </w:p>
        </w:tc>
        <w:tc>
          <w:tcPr>
            <w:tcW w:w="1843" w:type="dxa"/>
            <w:shd w:val="clear" w:color="auto" w:fill="000000"/>
          </w:tcPr>
          <w:p w14:paraId="3968CED1" w14:textId="77777777" w:rsidR="00615762" w:rsidRPr="00AE1D27" w:rsidRDefault="00615762" w:rsidP="005617B0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15762" w:rsidRPr="00AE1D27" w14:paraId="1FFFCB32" w14:textId="77777777" w:rsidTr="005617B0">
        <w:tc>
          <w:tcPr>
            <w:tcW w:w="1276" w:type="dxa"/>
          </w:tcPr>
          <w:p w14:paraId="2BE0E5EE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23-04271-lbc</w:t>
            </w:r>
          </w:p>
        </w:tc>
        <w:tc>
          <w:tcPr>
            <w:tcW w:w="1276" w:type="dxa"/>
          </w:tcPr>
          <w:p w14:paraId="6DE1B419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Architect</w:t>
            </w:r>
          </w:p>
        </w:tc>
        <w:tc>
          <w:tcPr>
            <w:tcW w:w="1559" w:type="dxa"/>
          </w:tcPr>
          <w:p w14:paraId="06C71EB8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Installation of a flue</w:t>
            </w:r>
          </w:p>
        </w:tc>
        <w:tc>
          <w:tcPr>
            <w:tcW w:w="2835" w:type="dxa"/>
          </w:tcPr>
          <w:p w14:paraId="1FF2213B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 heritage values discussed, only ‘old style’ list description is included.</w:t>
            </w:r>
          </w:p>
        </w:tc>
        <w:tc>
          <w:tcPr>
            <w:tcW w:w="1276" w:type="dxa"/>
          </w:tcPr>
          <w:p w14:paraId="26F1AA9A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14:paraId="202AAB71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615762" w:rsidRPr="00AE1D27" w14:paraId="1C09D990" w14:textId="77777777" w:rsidTr="005617B0">
        <w:tc>
          <w:tcPr>
            <w:tcW w:w="1276" w:type="dxa"/>
          </w:tcPr>
          <w:p w14:paraId="3322F908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23-04390-lbc</w:t>
            </w:r>
          </w:p>
        </w:tc>
        <w:tc>
          <w:tcPr>
            <w:tcW w:w="1276" w:type="dxa"/>
          </w:tcPr>
          <w:p w14:paraId="5FB886C4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Historic building Consultant</w:t>
            </w:r>
          </w:p>
        </w:tc>
        <w:tc>
          <w:tcPr>
            <w:tcW w:w="1559" w:type="dxa"/>
          </w:tcPr>
          <w:p w14:paraId="4516E565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Replacement conservatory</w:t>
            </w:r>
          </w:p>
        </w:tc>
        <w:tc>
          <w:tcPr>
            <w:tcW w:w="2835" w:type="dxa"/>
          </w:tcPr>
          <w:p w14:paraId="1A6B2584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 xml:space="preserve">Archaeological, Historic, Architectural, Historic interest are discussed. </w:t>
            </w:r>
          </w:p>
        </w:tc>
        <w:tc>
          <w:tcPr>
            <w:tcW w:w="1276" w:type="dxa"/>
          </w:tcPr>
          <w:p w14:paraId="1B8AF9EB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Yes</w:t>
            </w:r>
          </w:p>
        </w:tc>
        <w:tc>
          <w:tcPr>
            <w:tcW w:w="1843" w:type="dxa"/>
          </w:tcPr>
          <w:p w14:paraId="3DA2725B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NPPF, Local Plan, HE2008, HE2015; HE 2016, HE2017</w:t>
            </w:r>
          </w:p>
        </w:tc>
      </w:tr>
      <w:tr w:rsidR="00615762" w:rsidRPr="00AE1D27" w14:paraId="3B6145DA" w14:textId="77777777" w:rsidTr="005617B0">
        <w:tc>
          <w:tcPr>
            <w:tcW w:w="1276" w:type="dxa"/>
          </w:tcPr>
          <w:p w14:paraId="40EC2E3F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24-00014-lbc</w:t>
            </w:r>
          </w:p>
        </w:tc>
        <w:tc>
          <w:tcPr>
            <w:tcW w:w="1276" w:type="dxa"/>
          </w:tcPr>
          <w:p w14:paraId="3FB704EC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Architect</w:t>
            </w:r>
          </w:p>
        </w:tc>
        <w:tc>
          <w:tcPr>
            <w:tcW w:w="1559" w:type="dxa"/>
          </w:tcPr>
          <w:p w14:paraId="6B44A9FF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Insertion of window</w:t>
            </w:r>
          </w:p>
        </w:tc>
        <w:tc>
          <w:tcPr>
            <w:tcW w:w="2835" w:type="dxa"/>
          </w:tcPr>
          <w:p w14:paraId="443A9ACA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 heritage values discussed, only ‘old style’ list description is included.</w:t>
            </w:r>
          </w:p>
        </w:tc>
        <w:tc>
          <w:tcPr>
            <w:tcW w:w="1276" w:type="dxa"/>
          </w:tcPr>
          <w:p w14:paraId="17511AAA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14:paraId="1D78B916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615762" w:rsidRPr="00AE1D27" w14:paraId="324F397C" w14:textId="77777777" w:rsidTr="005617B0">
        <w:tc>
          <w:tcPr>
            <w:tcW w:w="1276" w:type="dxa"/>
          </w:tcPr>
          <w:p w14:paraId="1DC19344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24-00412-lbc</w:t>
            </w:r>
          </w:p>
        </w:tc>
        <w:tc>
          <w:tcPr>
            <w:tcW w:w="1276" w:type="dxa"/>
          </w:tcPr>
          <w:p w14:paraId="263B4DBA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Windows and Door installer</w:t>
            </w:r>
          </w:p>
        </w:tc>
        <w:tc>
          <w:tcPr>
            <w:tcW w:w="1559" w:type="dxa"/>
          </w:tcPr>
          <w:p w14:paraId="4C21B0FC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Renovation of existing windows</w:t>
            </w:r>
          </w:p>
        </w:tc>
        <w:tc>
          <w:tcPr>
            <w:tcW w:w="2835" w:type="dxa"/>
          </w:tcPr>
          <w:p w14:paraId="438F9A46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 heritage values discussed, only ‘old style’ list description is included.</w:t>
            </w:r>
          </w:p>
        </w:tc>
        <w:tc>
          <w:tcPr>
            <w:tcW w:w="1276" w:type="dxa"/>
          </w:tcPr>
          <w:p w14:paraId="771E4A64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14:paraId="6018CBCC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615762" w:rsidRPr="00AE1D27" w14:paraId="1D572551" w14:textId="77777777" w:rsidTr="005617B0">
        <w:tc>
          <w:tcPr>
            <w:tcW w:w="1276" w:type="dxa"/>
          </w:tcPr>
          <w:p w14:paraId="245D24DD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24-04486-lbc</w:t>
            </w:r>
          </w:p>
        </w:tc>
        <w:tc>
          <w:tcPr>
            <w:tcW w:w="1276" w:type="dxa"/>
          </w:tcPr>
          <w:p w14:paraId="245BEB75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Home improvement company</w:t>
            </w:r>
          </w:p>
        </w:tc>
        <w:tc>
          <w:tcPr>
            <w:tcW w:w="1559" w:type="dxa"/>
          </w:tcPr>
          <w:p w14:paraId="7564B1AE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Renovation of existing windows</w:t>
            </w:r>
          </w:p>
        </w:tc>
        <w:tc>
          <w:tcPr>
            <w:tcW w:w="2835" w:type="dxa"/>
          </w:tcPr>
          <w:p w14:paraId="330159AC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 heritage values discussed, only ‘old style’ list description is included.</w:t>
            </w:r>
          </w:p>
        </w:tc>
        <w:tc>
          <w:tcPr>
            <w:tcW w:w="1276" w:type="dxa"/>
          </w:tcPr>
          <w:p w14:paraId="55D9DFE5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14:paraId="226F27D0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615762" w:rsidRPr="00AE1D27" w14:paraId="5778479A" w14:textId="77777777" w:rsidTr="005617B0">
        <w:tc>
          <w:tcPr>
            <w:tcW w:w="8222" w:type="dxa"/>
            <w:gridSpan w:val="5"/>
            <w:shd w:val="clear" w:color="auto" w:fill="000000"/>
          </w:tcPr>
          <w:p w14:paraId="333F443B" w14:textId="77777777" w:rsidR="00615762" w:rsidRPr="00AE1D27" w:rsidRDefault="00615762" w:rsidP="005617B0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AE1D27">
              <w:rPr>
                <w:b/>
                <w:bCs/>
                <w:sz w:val="22"/>
                <w:szCs w:val="22"/>
              </w:rPr>
              <w:t xml:space="preserve">London Borough of Richmond upon Thames </w:t>
            </w:r>
          </w:p>
        </w:tc>
        <w:tc>
          <w:tcPr>
            <w:tcW w:w="1843" w:type="dxa"/>
            <w:shd w:val="clear" w:color="auto" w:fill="000000"/>
          </w:tcPr>
          <w:p w14:paraId="1D2960EE" w14:textId="77777777" w:rsidR="00615762" w:rsidRPr="00AE1D27" w:rsidRDefault="00615762" w:rsidP="005617B0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15762" w:rsidRPr="00AE1D27" w14:paraId="5CD3550B" w14:textId="77777777" w:rsidTr="005617B0">
        <w:tc>
          <w:tcPr>
            <w:tcW w:w="1276" w:type="dxa"/>
          </w:tcPr>
          <w:p w14:paraId="3C5FC12D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23-2097-LBC</w:t>
            </w:r>
          </w:p>
        </w:tc>
        <w:tc>
          <w:tcPr>
            <w:tcW w:w="1276" w:type="dxa"/>
          </w:tcPr>
          <w:p w14:paraId="4082BA35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Architect</w:t>
            </w:r>
          </w:p>
        </w:tc>
        <w:tc>
          <w:tcPr>
            <w:tcW w:w="1559" w:type="dxa"/>
          </w:tcPr>
          <w:p w14:paraId="722E5B71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Single storey outbuilding and modification of wall</w:t>
            </w:r>
          </w:p>
        </w:tc>
        <w:tc>
          <w:tcPr>
            <w:tcW w:w="2835" w:type="dxa"/>
          </w:tcPr>
          <w:p w14:paraId="7776F63C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 xml:space="preserve">Some map regression, mentioning of setting, mention of the term ‘heritage value’ which is given low, but unclear how this has been derived given no discussion on the individual values. </w:t>
            </w:r>
            <w:r>
              <w:rPr>
                <w:sz w:val="22"/>
                <w:szCs w:val="22"/>
              </w:rPr>
              <w:t>Conservation Area mentioned</w:t>
            </w:r>
          </w:p>
        </w:tc>
        <w:tc>
          <w:tcPr>
            <w:tcW w:w="1276" w:type="dxa"/>
          </w:tcPr>
          <w:p w14:paraId="29D14320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Yes</w:t>
            </w:r>
          </w:p>
        </w:tc>
        <w:tc>
          <w:tcPr>
            <w:tcW w:w="1843" w:type="dxa"/>
          </w:tcPr>
          <w:p w14:paraId="5C08E8AE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Conservation Area appraisal</w:t>
            </w:r>
          </w:p>
        </w:tc>
      </w:tr>
      <w:tr w:rsidR="00615762" w:rsidRPr="00AE1D27" w14:paraId="64DAB2BB" w14:textId="77777777" w:rsidTr="005617B0">
        <w:tc>
          <w:tcPr>
            <w:tcW w:w="1276" w:type="dxa"/>
          </w:tcPr>
          <w:p w14:paraId="32726E2C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23-2452-lbc</w:t>
            </w:r>
          </w:p>
        </w:tc>
        <w:tc>
          <w:tcPr>
            <w:tcW w:w="1276" w:type="dxa"/>
          </w:tcPr>
          <w:p w14:paraId="6AF96C64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Historic building Consultant</w:t>
            </w:r>
          </w:p>
        </w:tc>
        <w:tc>
          <w:tcPr>
            <w:tcW w:w="1559" w:type="dxa"/>
          </w:tcPr>
          <w:p w14:paraId="7DC0336F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Alterations to rear bathroom</w:t>
            </w:r>
          </w:p>
        </w:tc>
        <w:tc>
          <w:tcPr>
            <w:tcW w:w="2835" w:type="dxa"/>
          </w:tcPr>
          <w:p w14:paraId="518213F2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Aesthetic, historic, illustrative and associative values discussed</w:t>
            </w:r>
          </w:p>
        </w:tc>
        <w:tc>
          <w:tcPr>
            <w:tcW w:w="1276" w:type="dxa"/>
          </w:tcPr>
          <w:p w14:paraId="0644170A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Yes</w:t>
            </w:r>
          </w:p>
        </w:tc>
        <w:tc>
          <w:tcPr>
            <w:tcW w:w="1843" w:type="dxa"/>
          </w:tcPr>
          <w:p w14:paraId="7D34923A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PLBCA, NPPF, CIA2014, HE2008, HE2015, HE2018</w:t>
            </w:r>
          </w:p>
        </w:tc>
      </w:tr>
      <w:tr w:rsidR="00615762" w:rsidRPr="00AE1D27" w14:paraId="0A123346" w14:textId="77777777" w:rsidTr="005617B0">
        <w:tc>
          <w:tcPr>
            <w:tcW w:w="1276" w:type="dxa"/>
          </w:tcPr>
          <w:p w14:paraId="35078CEC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23-2582-lbc</w:t>
            </w:r>
          </w:p>
        </w:tc>
        <w:tc>
          <w:tcPr>
            <w:tcW w:w="1276" w:type="dxa"/>
          </w:tcPr>
          <w:p w14:paraId="7DB5FD2B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Historic building Consultant</w:t>
            </w:r>
          </w:p>
        </w:tc>
        <w:tc>
          <w:tcPr>
            <w:tcW w:w="1559" w:type="dxa"/>
          </w:tcPr>
          <w:p w14:paraId="49BE46BE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Alterations to footbridge</w:t>
            </w:r>
          </w:p>
        </w:tc>
        <w:tc>
          <w:tcPr>
            <w:tcW w:w="2835" w:type="dxa"/>
          </w:tcPr>
          <w:p w14:paraId="23ACC50F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 xml:space="preserve">Aesthetic value, historic value, communal value discussed. Surrounding assets also assessed. </w:t>
            </w:r>
          </w:p>
        </w:tc>
        <w:tc>
          <w:tcPr>
            <w:tcW w:w="1276" w:type="dxa"/>
          </w:tcPr>
          <w:p w14:paraId="3610A8B7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Yes</w:t>
            </w:r>
          </w:p>
        </w:tc>
        <w:tc>
          <w:tcPr>
            <w:tcW w:w="1843" w:type="dxa"/>
          </w:tcPr>
          <w:p w14:paraId="38254D45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LondoN</w:t>
            </w:r>
            <w:proofErr w:type="spellEnd"/>
            <w:r>
              <w:rPr>
                <w:sz w:val="22"/>
                <w:szCs w:val="22"/>
              </w:rPr>
              <w:t xml:space="preserve"> Plan, Local Plan, NPPF, HE2017, HE2019, Local Plan, NPPF, NPPG</w:t>
            </w:r>
          </w:p>
        </w:tc>
      </w:tr>
      <w:tr w:rsidR="00615762" w:rsidRPr="00AE1D27" w14:paraId="18455391" w14:textId="77777777" w:rsidTr="005617B0">
        <w:tc>
          <w:tcPr>
            <w:tcW w:w="1276" w:type="dxa"/>
          </w:tcPr>
          <w:p w14:paraId="7745CAC9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24-0320-lbc</w:t>
            </w:r>
          </w:p>
        </w:tc>
        <w:tc>
          <w:tcPr>
            <w:tcW w:w="1276" w:type="dxa"/>
          </w:tcPr>
          <w:p w14:paraId="4B81705D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Historic building Consultant</w:t>
            </w:r>
          </w:p>
        </w:tc>
        <w:tc>
          <w:tcPr>
            <w:tcW w:w="1559" w:type="dxa"/>
          </w:tcPr>
          <w:p w14:paraId="3FC076A1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Rear extension</w:t>
            </w:r>
          </w:p>
        </w:tc>
        <w:tc>
          <w:tcPr>
            <w:tcW w:w="2835" w:type="dxa"/>
          </w:tcPr>
          <w:p w14:paraId="5593C5F8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 xml:space="preserve">Aesthetic value, historic value, communal value discussed. Surrounding assets also assessed. </w:t>
            </w:r>
          </w:p>
        </w:tc>
        <w:tc>
          <w:tcPr>
            <w:tcW w:w="1276" w:type="dxa"/>
          </w:tcPr>
          <w:p w14:paraId="211E9FE0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Yes</w:t>
            </w:r>
          </w:p>
        </w:tc>
        <w:tc>
          <w:tcPr>
            <w:tcW w:w="1843" w:type="dxa"/>
          </w:tcPr>
          <w:p w14:paraId="2EE8139E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NPPF, NPPG, HE2017, HE2008, </w:t>
            </w:r>
          </w:p>
        </w:tc>
      </w:tr>
      <w:tr w:rsidR="00615762" w:rsidRPr="00AE1D27" w14:paraId="1BBE00C3" w14:textId="77777777" w:rsidTr="005617B0">
        <w:tc>
          <w:tcPr>
            <w:tcW w:w="1276" w:type="dxa"/>
          </w:tcPr>
          <w:p w14:paraId="36A399DF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</w:p>
          <w:p w14:paraId="3D52E2B1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 xml:space="preserve"> 24/0371/LBC</w:t>
            </w:r>
          </w:p>
        </w:tc>
        <w:tc>
          <w:tcPr>
            <w:tcW w:w="1276" w:type="dxa"/>
          </w:tcPr>
          <w:p w14:paraId="2FCF829C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N/a</w:t>
            </w:r>
          </w:p>
        </w:tc>
        <w:tc>
          <w:tcPr>
            <w:tcW w:w="1559" w:type="dxa"/>
          </w:tcPr>
          <w:p w14:paraId="46D25A23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Render of brick wall</w:t>
            </w:r>
          </w:p>
        </w:tc>
        <w:tc>
          <w:tcPr>
            <w:tcW w:w="2835" w:type="dxa"/>
          </w:tcPr>
          <w:p w14:paraId="0ED8C4CA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 heritage statement submitted</w:t>
            </w:r>
          </w:p>
        </w:tc>
        <w:tc>
          <w:tcPr>
            <w:tcW w:w="1276" w:type="dxa"/>
          </w:tcPr>
          <w:p w14:paraId="2D022538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14:paraId="465A92C9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615762" w:rsidRPr="00AE1D27" w14:paraId="221A6439" w14:textId="77777777" w:rsidTr="005617B0">
        <w:tc>
          <w:tcPr>
            <w:tcW w:w="8222" w:type="dxa"/>
            <w:gridSpan w:val="5"/>
            <w:shd w:val="clear" w:color="auto" w:fill="000000"/>
          </w:tcPr>
          <w:p w14:paraId="63300737" w14:textId="77777777" w:rsidR="00615762" w:rsidRPr="00AE1D27" w:rsidRDefault="00615762" w:rsidP="005617B0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AE1D27">
              <w:rPr>
                <w:b/>
                <w:bCs/>
                <w:sz w:val="22"/>
                <w:szCs w:val="22"/>
              </w:rPr>
              <w:t>Swindon Borough Council</w:t>
            </w:r>
          </w:p>
        </w:tc>
        <w:tc>
          <w:tcPr>
            <w:tcW w:w="1843" w:type="dxa"/>
            <w:shd w:val="clear" w:color="auto" w:fill="000000"/>
          </w:tcPr>
          <w:p w14:paraId="4491A2AB" w14:textId="77777777" w:rsidR="00615762" w:rsidRPr="00AE1D27" w:rsidRDefault="00615762" w:rsidP="005617B0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15762" w:rsidRPr="00AE1D27" w14:paraId="4A97DF1A" w14:textId="77777777" w:rsidTr="005617B0">
        <w:tc>
          <w:tcPr>
            <w:tcW w:w="1276" w:type="dxa"/>
          </w:tcPr>
          <w:p w14:paraId="698399F9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lastRenderedPageBreak/>
              <w:t>s-lbc-23-0693</w:t>
            </w:r>
          </w:p>
        </w:tc>
        <w:tc>
          <w:tcPr>
            <w:tcW w:w="1276" w:type="dxa"/>
          </w:tcPr>
          <w:p w14:paraId="78B6D94B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Retail designers</w:t>
            </w:r>
          </w:p>
        </w:tc>
        <w:tc>
          <w:tcPr>
            <w:tcW w:w="1559" w:type="dxa"/>
          </w:tcPr>
          <w:p w14:paraId="19BB0B68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Changing places facility</w:t>
            </w:r>
          </w:p>
        </w:tc>
        <w:tc>
          <w:tcPr>
            <w:tcW w:w="2835" w:type="dxa"/>
          </w:tcPr>
          <w:p w14:paraId="37B163AE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 heritage values discussed</w:t>
            </w:r>
          </w:p>
        </w:tc>
        <w:tc>
          <w:tcPr>
            <w:tcW w:w="1276" w:type="dxa"/>
          </w:tcPr>
          <w:p w14:paraId="2B49EE51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14:paraId="4E4866AD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615762" w:rsidRPr="00AE1D27" w14:paraId="1FD6246F" w14:textId="77777777" w:rsidTr="005617B0">
        <w:tc>
          <w:tcPr>
            <w:tcW w:w="1276" w:type="dxa"/>
          </w:tcPr>
          <w:p w14:paraId="3F56C3A2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S-lbc-23-0796</w:t>
            </w:r>
          </w:p>
        </w:tc>
        <w:tc>
          <w:tcPr>
            <w:tcW w:w="1276" w:type="dxa"/>
          </w:tcPr>
          <w:p w14:paraId="7E9BF9DC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Building owner</w:t>
            </w:r>
          </w:p>
        </w:tc>
        <w:tc>
          <w:tcPr>
            <w:tcW w:w="1559" w:type="dxa"/>
          </w:tcPr>
          <w:p w14:paraId="40CD6F39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Replacement timber windows</w:t>
            </w:r>
          </w:p>
        </w:tc>
        <w:tc>
          <w:tcPr>
            <w:tcW w:w="2835" w:type="dxa"/>
          </w:tcPr>
          <w:p w14:paraId="2430B2C1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 heritage values discussed</w:t>
            </w:r>
          </w:p>
        </w:tc>
        <w:tc>
          <w:tcPr>
            <w:tcW w:w="1276" w:type="dxa"/>
          </w:tcPr>
          <w:p w14:paraId="7B464FCE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14:paraId="53708CCB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615762" w:rsidRPr="00AE1D27" w14:paraId="635F8EF0" w14:textId="77777777" w:rsidTr="005617B0">
        <w:tc>
          <w:tcPr>
            <w:tcW w:w="1276" w:type="dxa"/>
          </w:tcPr>
          <w:p w14:paraId="7540843F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s-lbc-23-1046</w:t>
            </w:r>
          </w:p>
        </w:tc>
        <w:tc>
          <w:tcPr>
            <w:tcW w:w="1276" w:type="dxa"/>
          </w:tcPr>
          <w:p w14:paraId="471E617E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Historic building Consultant</w:t>
            </w:r>
          </w:p>
        </w:tc>
        <w:tc>
          <w:tcPr>
            <w:tcW w:w="1559" w:type="dxa"/>
          </w:tcPr>
          <w:p w14:paraId="738EFB4F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Internal/external alterations</w:t>
            </w:r>
          </w:p>
        </w:tc>
        <w:tc>
          <w:tcPr>
            <w:tcW w:w="2835" w:type="dxa"/>
          </w:tcPr>
          <w:p w14:paraId="4F4BEC0D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archaeological, architectural, artistic and historic interest discussed</w:t>
            </w:r>
          </w:p>
        </w:tc>
        <w:tc>
          <w:tcPr>
            <w:tcW w:w="1276" w:type="dxa"/>
          </w:tcPr>
          <w:p w14:paraId="2EAB8D5C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14:paraId="065AC5B6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NPPF, HE2019</w:t>
            </w:r>
          </w:p>
        </w:tc>
      </w:tr>
      <w:tr w:rsidR="00615762" w:rsidRPr="00AE1D27" w14:paraId="2218A16B" w14:textId="77777777" w:rsidTr="005617B0">
        <w:tc>
          <w:tcPr>
            <w:tcW w:w="1276" w:type="dxa"/>
          </w:tcPr>
          <w:p w14:paraId="63FB7363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s-lbc-23-1148</w:t>
            </w:r>
          </w:p>
        </w:tc>
        <w:tc>
          <w:tcPr>
            <w:tcW w:w="1276" w:type="dxa"/>
          </w:tcPr>
          <w:p w14:paraId="408693E0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Architect</w:t>
            </w:r>
          </w:p>
        </w:tc>
        <w:tc>
          <w:tcPr>
            <w:tcW w:w="1559" w:type="dxa"/>
          </w:tcPr>
          <w:p w14:paraId="05E3DC55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Replacement stone tiles with slate</w:t>
            </w:r>
          </w:p>
        </w:tc>
        <w:tc>
          <w:tcPr>
            <w:tcW w:w="2835" w:type="dxa"/>
          </w:tcPr>
          <w:p w14:paraId="11886832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 heritage values discussed, mentions surrounding buildings but no assessment of setting.</w:t>
            </w:r>
          </w:p>
        </w:tc>
        <w:tc>
          <w:tcPr>
            <w:tcW w:w="1276" w:type="dxa"/>
          </w:tcPr>
          <w:p w14:paraId="39120C4C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14:paraId="046E9A0D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615762" w:rsidRPr="00AE1D27" w14:paraId="11F75C01" w14:textId="77777777" w:rsidTr="005617B0">
        <w:tc>
          <w:tcPr>
            <w:tcW w:w="1276" w:type="dxa"/>
          </w:tcPr>
          <w:p w14:paraId="25F53E4B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s-lbc-23-1534</w:t>
            </w:r>
          </w:p>
        </w:tc>
        <w:tc>
          <w:tcPr>
            <w:tcW w:w="1276" w:type="dxa"/>
          </w:tcPr>
          <w:p w14:paraId="4C639478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Architect</w:t>
            </w:r>
          </w:p>
        </w:tc>
        <w:tc>
          <w:tcPr>
            <w:tcW w:w="1559" w:type="dxa"/>
          </w:tcPr>
          <w:p w14:paraId="2343958A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Conversion to HMO</w:t>
            </w:r>
          </w:p>
        </w:tc>
        <w:tc>
          <w:tcPr>
            <w:tcW w:w="2835" w:type="dxa"/>
          </w:tcPr>
          <w:p w14:paraId="72CC8FB8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 heritage values discussed, only ‘old style’ list description is included.</w:t>
            </w:r>
          </w:p>
        </w:tc>
        <w:tc>
          <w:tcPr>
            <w:tcW w:w="1276" w:type="dxa"/>
          </w:tcPr>
          <w:p w14:paraId="2CB275B7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 w:rsidRPr="00AE1D27">
              <w:rPr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14:paraId="555AA84C" w14:textId="77777777" w:rsidR="00615762" w:rsidRPr="00AE1D27" w:rsidRDefault="00615762" w:rsidP="005617B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NPPF, Local Plan, Conservation Area Statement</w:t>
            </w:r>
          </w:p>
        </w:tc>
      </w:tr>
    </w:tbl>
    <w:p w14:paraId="59915785" w14:textId="77777777" w:rsidR="00615762" w:rsidRPr="00AE1D27" w:rsidRDefault="00615762" w:rsidP="00615762"/>
    <w:sectPr w:rsidR="00615762" w:rsidRPr="00AE1D27" w:rsidSect="006157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4689" w14:textId="77777777" w:rsidR="00537984" w:rsidRDefault="00537984">
      <w:pPr>
        <w:spacing w:line="240" w:lineRule="auto"/>
      </w:pPr>
      <w:r>
        <w:separator/>
      </w:r>
    </w:p>
  </w:endnote>
  <w:endnote w:type="continuationSeparator" w:id="0">
    <w:p w14:paraId="3C51C39B" w14:textId="77777777" w:rsidR="00537984" w:rsidRDefault="00537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B2EF8" w14:textId="77777777" w:rsidR="00AE306D" w:rsidRDefault="00AE30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BAAE6" w14:textId="77777777" w:rsidR="00AE306D" w:rsidRDefault="00AE30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B675F" w14:textId="77777777" w:rsidR="00AE306D" w:rsidRDefault="00AE3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239C5" w14:textId="77777777" w:rsidR="00537984" w:rsidRDefault="00537984">
      <w:pPr>
        <w:spacing w:line="240" w:lineRule="auto"/>
      </w:pPr>
      <w:r>
        <w:separator/>
      </w:r>
    </w:p>
  </w:footnote>
  <w:footnote w:type="continuationSeparator" w:id="0">
    <w:p w14:paraId="5D36E564" w14:textId="77777777" w:rsidR="00537984" w:rsidRDefault="005379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77C42" w14:textId="77777777" w:rsidR="00AE306D" w:rsidRDefault="00AE30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280A7" w14:textId="77777777" w:rsidR="00AE306D" w:rsidRDefault="00AE30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96DA" w14:textId="77777777" w:rsidR="00AE306D" w:rsidRDefault="00AE30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62"/>
    <w:rsid w:val="004A30AA"/>
    <w:rsid w:val="004C78ED"/>
    <w:rsid w:val="00537984"/>
    <w:rsid w:val="005D6909"/>
    <w:rsid w:val="00615762"/>
    <w:rsid w:val="008D2B66"/>
    <w:rsid w:val="00AE306D"/>
    <w:rsid w:val="00E74FFA"/>
    <w:rsid w:val="00E957DB"/>
    <w:rsid w:val="00E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853A7"/>
  <w15:chartTrackingRefBased/>
  <w15:docId w15:val="{FC82F8F7-D10B-4106-834A-16E422F5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762"/>
    <w:pPr>
      <w:spacing w:after="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7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7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7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7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7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7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7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7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7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7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7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7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7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7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7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5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7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5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7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5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7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57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7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762"/>
    <w:rPr>
      <w:b/>
      <w:bCs/>
      <w:smallCaps/>
      <w:color w:val="0F4761" w:themeColor="accent1" w:themeShade="BF"/>
      <w:spacing w:val="5"/>
    </w:rPr>
  </w:style>
  <w:style w:type="paragraph" w:customStyle="1" w:styleId="Tabletitle">
    <w:name w:val="Table title"/>
    <w:basedOn w:val="Normal"/>
    <w:next w:val="Normal"/>
    <w:qFormat/>
    <w:rsid w:val="00615762"/>
    <w:pPr>
      <w:spacing w:before="240" w:line="360" w:lineRule="auto"/>
    </w:pPr>
  </w:style>
  <w:style w:type="paragraph" w:styleId="Header">
    <w:name w:val="header"/>
    <w:basedOn w:val="Normal"/>
    <w:link w:val="HeaderChar"/>
    <w:rsid w:val="00615762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HeaderChar">
    <w:name w:val="Header Char"/>
    <w:basedOn w:val="DefaultParagraphFont"/>
    <w:link w:val="Header"/>
    <w:rsid w:val="00615762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rsid w:val="00615762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FooterChar">
    <w:name w:val="Footer Char"/>
    <w:basedOn w:val="DefaultParagraphFont"/>
    <w:link w:val="Footer"/>
    <w:rsid w:val="00615762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615762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615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John Somers</cp:lastModifiedBy>
  <cp:revision>3</cp:revision>
  <dcterms:created xsi:type="dcterms:W3CDTF">2024-11-09T17:44:00Z</dcterms:created>
  <dcterms:modified xsi:type="dcterms:W3CDTF">2025-03-22T12:26:00Z</dcterms:modified>
</cp:coreProperties>
</file>