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9026"/>
      </w:tblGrid>
      <w:tr w:rsidR="00AA4CB4" w:rsidRPr="00AA4CB4" w14:paraId="045C4915" w14:textId="77777777" w:rsidTr="00AA4CB4">
        <w:tc>
          <w:tcPr>
            <w:tcW w:w="0" w:type="auto"/>
            <w:shd w:val="clear" w:color="auto" w:fill="FFFFFF"/>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250"/>
              <w:gridCol w:w="6776"/>
            </w:tblGrid>
            <w:tr w:rsidR="00AA4CB4" w:rsidRPr="00AA4CB4" w14:paraId="2CD61036" w14:textId="77777777">
              <w:tc>
                <w:tcPr>
                  <w:tcW w:w="0" w:type="auto"/>
                  <w:shd w:val="clear" w:color="auto" w:fill="auto"/>
                  <w:tcMar>
                    <w:top w:w="0" w:type="dxa"/>
                    <w:left w:w="0" w:type="dxa"/>
                    <w:bottom w:w="0" w:type="dxa"/>
                    <w:right w:w="75" w:type="dxa"/>
                  </w:tcMar>
                  <w:hideMark/>
                </w:tcPr>
                <w:p w14:paraId="63F900C8" w14:textId="77777777" w:rsidR="00AA4CB4" w:rsidRPr="00AA4CB4" w:rsidRDefault="00AA4CB4" w:rsidP="00AA4CB4">
                  <w:pPr>
                    <w:spacing w:after="0" w:line="240" w:lineRule="auto"/>
                    <w:jc w:val="right"/>
                    <w:rPr>
                      <w:rFonts w:ascii="Helvetica" w:eastAsia="Times New Roman" w:hAnsi="Helvetica" w:cs="Helvetica"/>
                      <w:color w:val="888888"/>
                      <w:kern w:val="0"/>
                      <w:sz w:val="18"/>
                      <w:szCs w:val="18"/>
                      <w:lang w:eastAsia="en-GB"/>
                      <w14:ligatures w14:val="none"/>
                    </w:rPr>
                  </w:pPr>
                  <w:r w:rsidRPr="00AA4CB4">
                    <w:rPr>
                      <w:rFonts w:ascii="Helvetica" w:eastAsia="Times New Roman" w:hAnsi="Helvetica" w:cs="Helvetica"/>
                      <w:color w:val="888888"/>
                      <w:kern w:val="0"/>
                      <w:sz w:val="18"/>
                      <w:szCs w:val="18"/>
                      <w:lang w:eastAsia="en-GB"/>
                      <w14:ligatures w14:val="none"/>
                    </w:rPr>
                    <w:t>Title:</w:t>
                  </w:r>
                </w:p>
              </w:tc>
              <w:tc>
                <w:tcPr>
                  <w:tcW w:w="0" w:type="auto"/>
                  <w:shd w:val="clear" w:color="auto" w:fill="auto"/>
                  <w:tcMar>
                    <w:top w:w="0" w:type="dxa"/>
                    <w:left w:w="0" w:type="dxa"/>
                    <w:bottom w:w="0" w:type="dxa"/>
                    <w:right w:w="0" w:type="dxa"/>
                  </w:tcMar>
                  <w:hideMark/>
                </w:tcPr>
                <w:p w14:paraId="629FF064" w14:textId="77777777" w:rsidR="00AA4CB4" w:rsidRPr="00AA4CB4" w:rsidRDefault="00AA4CB4" w:rsidP="00AA4CB4">
                  <w:pPr>
                    <w:spacing w:after="0" w:line="240" w:lineRule="auto"/>
                    <w:rPr>
                      <w:rFonts w:ascii="Helvetica" w:eastAsia="Times New Roman" w:hAnsi="Helvetica" w:cs="Helvetica"/>
                      <w:b/>
                      <w:bCs/>
                      <w:color w:val="000000"/>
                      <w:kern w:val="0"/>
                      <w:sz w:val="18"/>
                      <w:szCs w:val="18"/>
                      <w:lang w:eastAsia="en-GB"/>
                      <w14:ligatures w14:val="none"/>
                    </w:rPr>
                  </w:pPr>
                  <w:r w:rsidRPr="00AA4CB4">
                    <w:rPr>
                      <w:rFonts w:ascii="Helvetica" w:eastAsia="Times New Roman" w:hAnsi="Helvetica" w:cs="Helvetica"/>
                      <w:b/>
                      <w:bCs/>
                      <w:color w:val="000000"/>
                      <w:kern w:val="0"/>
                      <w:sz w:val="18"/>
                      <w:szCs w:val="18"/>
                      <w:lang w:eastAsia="en-GB"/>
                      <w14:ligatures w14:val="none"/>
                    </w:rPr>
                    <w:t>Repurposing the antimalarial compound artemisinin as a novel therapy for inflammatory conditions</w:t>
                  </w:r>
                </w:p>
              </w:tc>
            </w:tr>
            <w:tr w:rsidR="00AA4CB4" w:rsidRPr="00AA4CB4" w14:paraId="3E8FED9C" w14:textId="77777777">
              <w:tc>
                <w:tcPr>
                  <w:tcW w:w="0" w:type="auto"/>
                  <w:shd w:val="clear" w:color="auto" w:fill="auto"/>
                  <w:tcMar>
                    <w:top w:w="0" w:type="dxa"/>
                    <w:left w:w="0" w:type="dxa"/>
                    <w:bottom w:w="0" w:type="dxa"/>
                    <w:right w:w="75" w:type="dxa"/>
                  </w:tcMar>
                  <w:hideMark/>
                </w:tcPr>
                <w:p w14:paraId="2B389FF7" w14:textId="77777777" w:rsidR="00AA4CB4" w:rsidRPr="00AA4CB4" w:rsidRDefault="00AA4CB4" w:rsidP="00AA4CB4">
                  <w:pPr>
                    <w:spacing w:after="0" w:line="240" w:lineRule="auto"/>
                    <w:jc w:val="right"/>
                    <w:rPr>
                      <w:rFonts w:ascii="Helvetica" w:eastAsia="Times New Roman" w:hAnsi="Helvetica" w:cs="Helvetica"/>
                      <w:color w:val="888888"/>
                      <w:kern w:val="0"/>
                      <w:sz w:val="18"/>
                      <w:szCs w:val="18"/>
                      <w:lang w:eastAsia="en-GB"/>
                      <w14:ligatures w14:val="none"/>
                    </w:rPr>
                  </w:pPr>
                  <w:r w:rsidRPr="00AA4CB4">
                    <w:rPr>
                      <w:rFonts w:ascii="Helvetica" w:eastAsia="Times New Roman" w:hAnsi="Helvetica" w:cs="Helvetica"/>
                      <w:color w:val="888888"/>
                      <w:kern w:val="0"/>
                      <w:sz w:val="18"/>
                      <w:szCs w:val="18"/>
                      <w:lang w:eastAsia="en-GB"/>
                      <w14:ligatures w14:val="none"/>
                    </w:rPr>
                    <w:t>Authors:</w:t>
                  </w:r>
                </w:p>
              </w:tc>
              <w:tc>
                <w:tcPr>
                  <w:tcW w:w="0" w:type="auto"/>
                  <w:shd w:val="clear" w:color="auto" w:fill="auto"/>
                  <w:tcMar>
                    <w:top w:w="0" w:type="dxa"/>
                    <w:left w:w="0" w:type="dxa"/>
                    <w:bottom w:w="0" w:type="dxa"/>
                    <w:right w:w="0" w:type="dxa"/>
                  </w:tcMar>
                  <w:hideMark/>
                </w:tcPr>
                <w:p w14:paraId="365D90FC" w14:textId="77777777" w:rsidR="00AA4CB4" w:rsidRPr="00AA4CB4" w:rsidRDefault="00AA4CB4" w:rsidP="00AA4CB4">
                  <w:pPr>
                    <w:spacing w:after="0" w:line="240" w:lineRule="auto"/>
                    <w:rPr>
                      <w:rFonts w:ascii="Helvetica" w:eastAsia="Times New Roman" w:hAnsi="Helvetica" w:cs="Helvetica"/>
                      <w:color w:val="000000"/>
                      <w:kern w:val="0"/>
                      <w:sz w:val="18"/>
                      <w:szCs w:val="18"/>
                      <w:lang w:eastAsia="en-GB"/>
                      <w14:ligatures w14:val="none"/>
                    </w:rPr>
                  </w:pPr>
                  <w:r w:rsidRPr="00AA4CB4">
                    <w:rPr>
                      <w:rFonts w:ascii="Helvetica" w:eastAsia="Times New Roman" w:hAnsi="Helvetica" w:cs="Helvetica"/>
                      <w:color w:val="000000"/>
                      <w:kern w:val="0"/>
                      <w:sz w:val="18"/>
                      <w:szCs w:val="18"/>
                      <w:u w:val="single"/>
                      <w:lang w:eastAsia="en-GB"/>
                      <w14:ligatures w14:val="none"/>
                    </w:rPr>
                    <w:t>Hassan Morad - </w:t>
                  </w:r>
                  <w:r w:rsidRPr="00AA4CB4">
                    <w:rPr>
                      <w:rFonts w:ascii="Helvetica" w:eastAsia="Times New Roman" w:hAnsi="Helvetica" w:cs="Helvetica"/>
                      <w:i/>
                      <w:iCs/>
                      <w:color w:val="000000"/>
                      <w:kern w:val="0"/>
                      <w:sz w:val="18"/>
                      <w:szCs w:val="18"/>
                      <w:u w:val="single"/>
                      <w:lang w:eastAsia="en-GB"/>
                      <w14:ligatures w14:val="none"/>
                    </w:rPr>
                    <w:t>King's College London</w:t>
                  </w:r>
                  <w:r w:rsidRPr="00AA4CB4">
                    <w:rPr>
                      <w:rFonts w:ascii="Helvetica" w:eastAsia="Times New Roman" w:hAnsi="Helvetica" w:cs="Helvetica"/>
                      <w:color w:val="000000"/>
                      <w:kern w:val="0"/>
                      <w:sz w:val="18"/>
                      <w:szCs w:val="18"/>
                      <w:u w:val="single"/>
                      <w:lang w:eastAsia="en-GB"/>
                      <w14:ligatures w14:val="none"/>
                    </w:rPr>
                    <w:t>, </w:t>
                  </w:r>
                  <w:r w:rsidRPr="00AA4CB4">
                    <w:rPr>
                      <w:rFonts w:ascii="Helvetica" w:eastAsia="Times New Roman" w:hAnsi="Helvetica" w:cs="Helvetica"/>
                      <w:i/>
                      <w:iCs/>
                      <w:color w:val="000000"/>
                      <w:kern w:val="0"/>
                      <w:sz w:val="18"/>
                      <w:szCs w:val="18"/>
                      <w:lang w:eastAsia="en-GB"/>
                      <w14:ligatures w14:val="none"/>
                    </w:rPr>
                    <w:t>United Kingdom</w:t>
                  </w:r>
                  <w:r w:rsidRPr="00AA4CB4">
                    <w:rPr>
                      <w:rFonts w:ascii="Helvetica" w:eastAsia="Times New Roman" w:hAnsi="Helvetica" w:cs="Helvetica"/>
                      <w:color w:val="000000"/>
                      <w:kern w:val="0"/>
                      <w:sz w:val="18"/>
                      <w:szCs w:val="18"/>
                      <w:lang w:eastAsia="en-GB"/>
                      <w14:ligatures w14:val="none"/>
                    </w:rPr>
                    <w:t>; Suaib Luqman - </w:t>
                  </w:r>
                  <w:r w:rsidRPr="00AA4CB4">
                    <w:rPr>
                      <w:rFonts w:ascii="Helvetica" w:eastAsia="Times New Roman" w:hAnsi="Helvetica" w:cs="Helvetica"/>
                      <w:i/>
                      <w:iCs/>
                      <w:color w:val="000000"/>
                      <w:kern w:val="0"/>
                      <w:sz w:val="18"/>
                      <w:szCs w:val="18"/>
                      <w:lang w:eastAsia="en-GB"/>
                      <w14:ligatures w14:val="none"/>
                    </w:rPr>
                    <w:t>Central Institute of Medicinal and Aromatic Plants</w:t>
                  </w:r>
                  <w:r w:rsidRPr="00AA4CB4">
                    <w:rPr>
                      <w:rFonts w:ascii="Helvetica" w:eastAsia="Times New Roman" w:hAnsi="Helvetica" w:cs="Helvetica"/>
                      <w:color w:val="000000"/>
                      <w:kern w:val="0"/>
                      <w:sz w:val="18"/>
                      <w:szCs w:val="18"/>
                      <w:lang w:eastAsia="en-GB"/>
                      <w14:ligatures w14:val="none"/>
                    </w:rPr>
                    <w:t>; Larissa Garcia-Pinto - </w:t>
                  </w:r>
                  <w:r w:rsidRPr="00AA4CB4">
                    <w:rPr>
                      <w:rFonts w:ascii="Helvetica" w:eastAsia="Times New Roman" w:hAnsi="Helvetica" w:cs="Helvetica"/>
                      <w:i/>
                      <w:iCs/>
                      <w:color w:val="000000"/>
                      <w:kern w:val="0"/>
                      <w:sz w:val="18"/>
                      <w:szCs w:val="18"/>
                      <w:lang w:eastAsia="en-GB"/>
                      <w14:ligatures w14:val="none"/>
                    </w:rPr>
                    <w:t>King's College London</w:t>
                  </w:r>
                  <w:r w:rsidRPr="00AA4CB4">
                    <w:rPr>
                      <w:rFonts w:ascii="Helvetica" w:eastAsia="Times New Roman" w:hAnsi="Helvetica" w:cs="Helvetica"/>
                      <w:color w:val="000000"/>
                      <w:kern w:val="0"/>
                      <w:sz w:val="18"/>
                      <w:szCs w:val="18"/>
                      <w:lang w:eastAsia="en-GB"/>
                      <w14:ligatures w14:val="none"/>
                    </w:rPr>
                    <w:t>; Kevin Cunningham - </w:t>
                  </w:r>
                  <w:r w:rsidRPr="00AA4CB4">
                    <w:rPr>
                      <w:rFonts w:ascii="Helvetica" w:eastAsia="Times New Roman" w:hAnsi="Helvetica" w:cs="Helvetica"/>
                      <w:i/>
                      <w:iCs/>
                      <w:color w:val="000000"/>
                      <w:kern w:val="0"/>
                      <w:sz w:val="18"/>
                      <w:szCs w:val="18"/>
                      <w:lang w:eastAsia="en-GB"/>
                      <w14:ligatures w14:val="none"/>
                    </w:rPr>
                    <w:t>King's College London</w:t>
                  </w:r>
                  <w:r w:rsidRPr="00AA4CB4">
                    <w:rPr>
                      <w:rFonts w:ascii="Helvetica" w:eastAsia="Times New Roman" w:hAnsi="Helvetica" w:cs="Helvetica"/>
                      <w:color w:val="000000"/>
                      <w:kern w:val="0"/>
                      <w:sz w:val="18"/>
                      <w:szCs w:val="18"/>
                      <w:lang w:eastAsia="en-GB"/>
                      <w14:ligatures w14:val="none"/>
                    </w:rPr>
                    <w:t>; Bruno Vilar - </w:t>
                  </w:r>
                  <w:r w:rsidRPr="00AA4CB4">
                    <w:rPr>
                      <w:rFonts w:ascii="Helvetica" w:eastAsia="Times New Roman" w:hAnsi="Helvetica" w:cs="Helvetica"/>
                      <w:i/>
                      <w:iCs/>
                      <w:color w:val="000000"/>
                      <w:kern w:val="0"/>
                      <w:sz w:val="18"/>
                      <w:szCs w:val="18"/>
                      <w:lang w:eastAsia="en-GB"/>
                      <w14:ligatures w14:val="none"/>
                    </w:rPr>
                    <w:t>King's College London</w:t>
                  </w:r>
                  <w:r w:rsidRPr="00AA4CB4">
                    <w:rPr>
                      <w:rFonts w:ascii="Helvetica" w:eastAsia="Times New Roman" w:hAnsi="Helvetica" w:cs="Helvetica"/>
                      <w:color w:val="000000"/>
                      <w:kern w:val="0"/>
                      <w:sz w:val="18"/>
                      <w:szCs w:val="18"/>
                      <w:lang w:eastAsia="en-GB"/>
                      <w14:ligatures w14:val="none"/>
                    </w:rPr>
                    <w:t>; Georgia Clayton - </w:t>
                  </w:r>
                  <w:r w:rsidRPr="00AA4CB4">
                    <w:rPr>
                      <w:rFonts w:ascii="Helvetica" w:eastAsia="Times New Roman" w:hAnsi="Helvetica" w:cs="Helvetica"/>
                      <w:i/>
                      <w:iCs/>
                      <w:color w:val="000000"/>
                      <w:kern w:val="0"/>
                      <w:sz w:val="18"/>
                      <w:szCs w:val="18"/>
                      <w:lang w:eastAsia="en-GB"/>
                      <w14:ligatures w14:val="none"/>
                    </w:rPr>
                    <w:t>King's College London</w:t>
                  </w:r>
                  <w:r w:rsidRPr="00AA4CB4">
                    <w:rPr>
                      <w:rFonts w:ascii="Helvetica" w:eastAsia="Times New Roman" w:hAnsi="Helvetica" w:cs="Helvetica"/>
                      <w:color w:val="000000"/>
                      <w:kern w:val="0"/>
                      <w:sz w:val="18"/>
                      <w:szCs w:val="18"/>
                      <w:lang w:eastAsia="en-GB"/>
                      <w14:ligatures w14:val="none"/>
                    </w:rPr>
                    <w:t>; Manu Shankar-Hari - </w:t>
                  </w:r>
                  <w:r w:rsidRPr="00AA4CB4">
                    <w:rPr>
                      <w:rFonts w:ascii="Helvetica" w:eastAsia="Times New Roman" w:hAnsi="Helvetica" w:cs="Helvetica"/>
                      <w:i/>
                      <w:iCs/>
                      <w:color w:val="000000"/>
                      <w:kern w:val="0"/>
                      <w:sz w:val="18"/>
                      <w:szCs w:val="18"/>
                      <w:lang w:eastAsia="en-GB"/>
                      <w14:ligatures w14:val="none"/>
                    </w:rPr>
                    <w:t>King's College London</w:t>
                  </w:r>
                  <w:r w:rsidRPr="00AA4CB4">
                    <w:rPr>
                      <w:rFonts w:ascii="Helvetica" w:eastAsia="Times New Roman" w:hAnsi="Helvetica" w:cs="Helvetica"/>
                      <w:color w:val="000000"/>
                      <w:kern w:val="0"/>
                      <w:sz w:val="18"/>
                      <w:szCs w:val="18"/>
                      <w:lang w:eastAsia="en-GB"/>
                      <w14:ligatures w14:val="none"/>
                    </w:rPr>
                    <w:t>; Peter McNaughton - </w:t>
                  </w:r>
                  <w:r w:rsidRPr="00AA4CB4">
                    <w:rPr>
                      <w:rFonts w:ascii="Helvetica" w:eastAsia="Times New Roman" w:hAnsi="Helvetica" w:cs="Helvetica"/>
                      <w:i/>
                      <w:iCs/>
                      <w:color w:val="000000"/>
                      <w:kern w:val="0"/>
                      <w:sz w:val="18"/>
                      <w:szCs w:val="18"/>
                      <w:lang w:eastAsia="en-GB"/>
                      <w14:ligatures w14:val="none"/>
                    </w:rPr>
                    <w:t>King's College London</w:t>
                  </w:r>
                </w:p>
              </w:tc>
            </w:tr>
            <w:tr w:rsidR="00AA4CB4" w:rsidRPr="00AA4CB4" w14:paraId="56F02724" w14:textId="77777777">
              <w:tc>
                <w:tcPr>
                  <w:tcW w:w="2250" w:type="dxa"/>
                  <w:shd w:val="clear" w:color="auto" w:fill="auto"/>
                  <w:tcMar>
                    <w:top w:w="0" w:type="dxa"/>
                    <w:left w:w="0" w:type="dxa"/>
                    <w:bottom w:w="0" w:type="dxa"/>
                    <w:right w:w="75" w:type="dxa"/>
                  </w:tcMar>
                  <w:hideMark/>
                </w:tcPr>
                <w:p w14:paraId="329B6040" w14:textId="77777777" w:rsidR="00AA4CB4" w:rsidRPr="00AA4CB4" w:rsidRDefault="00AA4CB4" w:rsidP="00AA4CB4">
                  <w:pPr>
                    <w:spacing w:after="0" w:line="240" w:lineRule="auto"/>
                    <w:jc w:val="right"/>
                    <w:rPr>
                      <w:rFonts w:ascii="Helvetica" w:eastAsia="Times New Roman" w:hAnsi="Helvetica" w:cs="Helvetica"/>
                      <w:color w:val="888888"/>
                      <w:kern w:val="0"/>
                      <w:sz w:val="18"/>
                      <w:szCs w:val="18"/>
                      <w:lang w:eastAsia="en-GB"/>
                      <w14:ligatures w14:val="none"/>
                    </w:rPr>
                  </w:pPr>
                  <w:r w:rsidRPr="00AA4CB4">
                    <w:rPr>
                      <w:rFonts w:ascii="Helvetica" w:eastAsia="Times New Roman" w:hAnsi="Helvetica" w:cs="Helvetica"/>
                      <w:color w:val="888888"/>
                      <w:kern w:val="0"/>
                      <w:sz w:val="18"/>
                      <w:szCs w:val="18"/>
                      <w:lang w:eastAsia="en-GB"/>
                      <w14:ligatures w14:val="none"/>
                    </w:rPr>
                    <w:t>Session:</w:t>
                  </w:r>
                </w:p>
              </w:tc>
              <w:tc>
                <w:tcPr>
                  <w:tcW w:w="0" w:type="auto"/>
                  <w:shd w:val="clear" w:color="auto" w:fill="auto"/>
                  <w:tcMar>
                    <w:top w:w="0" w:type="dxa"/>
                    <w:left w:w="0" w:type="dxa"/>
                    <w:bottom w:w="0" w:type="dxa"/>
                    <w:right w:w="0" w:type="dxa"/>
                  </w:tcMar>
                  <w:hideMark/>
                </w:tcPr>
                <w:p w14:paraId="0DC84448" w14:textId="77777777" w:rsidR="00AA4CB4" w:rsidRPr="00AA4CB4" w:rsidRDefault="00AA4CB4" w:rsidP="00AA4CB4">
                  <w:pPr>
                    <w:spacing w:after="0" w:line="240" w:lineRule="auto"/>
                    <w:rPr>
                      <w:rFonts w:ascii="Helvetica" w:eastAsia="Times New Roman" w:hAnsi="Helvetica" w:cs="Helvetica"/>
                      <w:color w:val="000000"/>
                      <w:kern w:val="0"/>
                      <w:sz w:val="18"/>
                      <w:szCs w:val="18"/>
                      <w:lang w:eastAsia="en-GB"/>
                      <w14:ligatures w14:val="none"/>
                    </w:rPr>
                  </w:pPr>
                  <w:hyperlink r:id="rId4" w:history="1">
                    <w:r w:rsidRPr="00AA4CB4">
                      <w:rPr>
                        <w:rFonts w:ascii="Helvetica" w:eastAsia="Times New Roman" w:hAnsi="Helvetica" w:cs="Helvetica"/>
                        <w:color w:val="111111"/>
                        <w:kern w:val="0"/>
                        <w:sz w:val="18"/>
                        <w:szCs w:val="18"/>
                        <w:u w:val="single"/>
                        <w:lang w:eastAsia="en-GB"/>
                        <w14:ligatures w14:val="none"/>
                      </w:rPr>
                      <w:t>Session one</w:t>
                    </w:r>
                  </w:hyperlink>
                  <w:r w:rsidRPr="00AA4CB4">
                    <w:rPr>
                      <w:rFonts w:ascii="Helvetica" w:eastAsia="Times New Roman" w:hAnsi="Helvetica" w:cs="Helvetica"/>
                      <w:color w:val="000000"/>
                      <w:kern w:val="0"/>
                      <w:sz w:val="18"/>
                      <w:szCs w:val="18"/>
                      <w:lang w:eastAsia="en-GB"/>
                      <w14:ligatures w14:val="none"/>
                    </w:rPr>
                    <w:t> - Default Location, 10/05/2022, 13:00 - 14:30</w:t>
                  </w:r>
                </w:p>
              </w:tc>
            </w:tr>
            <w:tr w:rsidR="00AA4CB4" w:rsidRPr="00AA4CB4" w14:paraId="626EE760" w14:textId="77777777">
              <w:tc>
                <w:tcPr>
                  <w:tcW w:w="0" w:type="auto"/>
                  <w:shd w:val="clear" w:color="auto" w:fill="auto"/>
                  <w:tcMar>
                    <w:top w:w="0" w:type="dxa"/>
                    <w:left w:w="0" w:type="dxa"/>
                    <w:bottom w:w="0" w:type="dxa"/>
                    <w:right w:w="75" w:type="dxa"/>
                  </w:tcMar>
                  <w:hideMark/>
                </w:tcPr>
                <w:p w14:paraId="561A77A1" w14:textId="77777777" w:rsidR="00AA4CB4" w:rsidRPr="00AA4CB4" w:rsidRDefault="00AA4CB4" w:rsidP="00AA4CB4">
                  <w:pPr>
                    <w:spacing w:after="0" w:line="240" w:lineRule="auto"/>
                    <w:jc w:val="right"/>
                    <w:rPr>
                      <w:rFonts w:ascii="Helvetica" w:eastAsia="Times New Roman" w:hAnsi="Helvetica" w:cs="Helvetica"/>
                      <w:color w:val="888888"/>
                      <w:kern w:val="0"/>
                      <w:sz w:val="18"/>
                      <w:szCs w:val="18"/>
                      <w:lang w:eastAsia="en-GB"/>
                      <w14:ligatures w14:val="none"/>
                    </w:rPr>
                  </w:pPr>
                  <w:r w:rsidRPr="00AA4CB4">
                    <w:rPr>
                      <w:rFonts w:ascii="Helvetica" w:eastAsia="Times New Roman" w:hAnsi="Helvetica" w:cs="Helvetica"/>
                      <w:color w:val="888888"/>
                      <w:kern w:val="0"/>
                      <w:sz w:val="18"/>
                      <w:szCs w:val="18"/>
                      <w:lang w:eastAsia="en-GB"/>
                      <w14:ligatures w14:val="none"/>
                    </w:rPr>
                    <w:t>Time:</w:t>
                  </w:r>
                </w:p>
              </w:tc>
              <w:tc>
                <w:tcPr>
                  <w:tcW w:w="0" w:type="auto"/>
                  <w:shd w:val="clear" w:color="auto" w:fill="auto"/>
                  <w:tcMar>
                    <w:top w:w="0" w:type="dxa"/>
                    <w:left w:w="0" w:type="dxa"/>
                    <w:bottom w:w="0" w:type="dxa"/>
                    <w:right w:w="0" w:type="dxa"/>
                  </w:tcMar>
                  <w:hideMark/>
                </w:tcPr>
                <w:p w14:paraId="506C3660" w14:textId="77777777" w:rsidR="00AA4CB4" w:rsidRPr="00AA4CB4" w:rsidRDefault="00AA4CB4" w:rsidP="00AA4CB4">
                  <w:pPr>
                    <w:spacing w:after="0" w:line="240" w:lineRule="auto"/>
                    <w:rPr>
                      <w:rFonts w:ascii="Helvetica" w:eastAsia="Times New Roman" w:hAnsi="Helvetica" w:cs="Helvetica"/>
                      <w:color w:val="000000"/>
                      <w:kern w:val="0"/>
                      <w:sz w:val="18"/>
                      <w:szCs w:val="18"/>
                      <w:lang w:eastAsia="en-GB"/>
                      <w14:ligatures w14:val="none"/>
                    </w:rPr>
                  </w:pPr>
                  <w:r w:rsidRPr="00AA4CB4">
                    <w:rPr>
                      <w:rFonts w:ascii="Helvetica" w:eastAsia="Times New Roman" w:hAnsi="Helvetica" w:cs="Helvetica"/>
                      <w:color w:val="000000"/>
                      <w:kern w:val="0"/>
                      <w:sz w:val="18"/>
                      <w:szCs w:val="18"/>
                      <w:lang w:eastAsia="en-GB"/>
                      <w14:ligatures w14:val="none"/>
                    </w:rPr>
                    <w:t>14:15 - 14:30</w:t>
                  </w:r>
                </w:p>
              </w:tc>
            </w:tr>
          </w:tbl>
          <w:p w14:paraId="53AF3A4C" w14:textId="77777777" w:rsidR="00AA4CB4" w:rsidRPr="00AA4CB4" w:rsidRDefault="00AA4CB4" w:rsidP="00AA4CB4">
            <w:pPr>
              <w:spacing w:after="0" w:line="240" w:lineRule="auto"/>
              <w:rPr>
                <w:rFonts w:ascii="Helvetica" w:eastAsia="Times New Roman" w:hAnsi="Helvetica" w:cs="Helvetica"/>
                <w:color w:val="000000"/>
                <w:kern w:val="0"/>
                <w:sz w:val="18"/>
                <w:szCs w:val="18"/>
                <w:lang w:eastAsia="en-GB"/>
                <w14:ligatures w14:val="none"/>
              </w:rPr>
            </w:pPr>
          </w:p>
        </w:tc>
      </w:tr>
      <w:tr w:rsidR="00AA4CB4" w:rsidRPr="00AA4CB4" w14:paraId="5162AC76" w14:textId="77777777" w:rsidTr="00AA4CB4">
        <w:tc>
          <w:tcPr>
            <w:tcW w:w="0" w:type="auto"/>
            <w:shd w:val="clear" w:color="auto" w:fill="FFFFFF"/>
            <w:tcMar>
              <w:top w:w="0" w:type="dxa"/>
              <w:left w:w="0" w:type="dxa"/>
              <w:bottom w:w="0" w:type="dxa"/>
              <w:right w:w="0" w:type="dxa"/>
            </w:tcMar>
            <w:vAlign w:val="center"/>
            <w:hideMark/>
          </w:tcPr>
          <w:p w14:paraId="636C6B71" w14:textId="77777777" w:rsidR="00AA4CB4" w:rsidRPr="00AA4CB4" w:rsidRDefault="00AA4CB4" w:rsidP="00AA4CB4">
            <w:pPr>
              <w:spacing w:before="300" w:after="300" w:line="240" w:lineRule="auto"/>
              <w:rPr>
                <w:rFonts w:ascii="Helvetica" w:eastAsia="Times New Roman" w:hAnsi="Helvetica" w:cs="Helvetica"/>
                <w:color w:val="000000"/>
                <w:kern w:val="0"/>
                <w:sz w:val="18"/>
                <w:szCs w:val="18"/>
                <w:lang w:eastAsia="en-GB"/>
                <w14:ligatures w14:val="none"/>
              </w:rPr>
            </w:pPr>
            <w:r w:rsidRPr="00AA4CB4">
              <w:rPr>
                <w:rFonts w:ascii="Helvetica" w:eastAsia="Times New Roman" w:hAnsi="Helvetica" w:cs="Helvetica"/>
                <w:color w:val="000000"/>
                <w:kern w:val="0"/>
                <w:sz w:val="18"/>
                <w:szCs w:val="18"/>
                <w:lang w:eastAsia="en-GB"/>
                <w14:ligatures w14:val="none"/>
              </w:rPr>
              <w:pict w14:anchorId="4BAA6BDE">
                <v:rect id="_x0000_i1025" style="width:0;height:0" o:hralign="center" o:hrstd="t" o:hr="t" fillcolor="#a0a0a0" stroked="f"/>
              </w:pict>
            </w:r>
          </w:p>
        </w:tc>
      </w:tr>
      <w:tr w:rsidR="00AA4CB4" w:rsidRPr="00AA4CB4" w14:paraId="263F6D59" w14:textId="77777777" w:rsidTr="00AA4CB4">
        <w:tc>
          <w:tcPr>
            <w:tcW w:w="0" w:type="auto"/>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AA4CB4" w:rsidRPr="00AA4CB4" w14:paraId="1020EE39" w14:textId="77777777">
              <w:tc>
                <w:tcPr>
                  <w:tcW w:w="0" w:type="auto"/>
                  <w:shd w:val="clear" w:color="auto" w:fill="auto"/>
                  <w:tcMar>
                    <w:top w:w="0" w:type="dxa"/>
                    <w:left w:w="0" w:type="dxa"/>
                    <w:bottom w:w="0" w:type="dxa"/>
                    <w:right w:w="0" w:type="dxa"/>
                  </w:tcMar>
                  <w:vAlign w:val="center"/>
                  <w:hideMark/>
                </w:tcPr>
                <w:p w14:paraId="517EFF9C" w14:textId="77777777" w:rsidR="00AA4CB4" w:rsidRPr="00AA4CB4" w:rsidRDefault="00AA4CB4" w:rsidP="00AA4CB4">
                  <w:pPr>
                    <w:spacing w:after="150" w:line="240" w:lineRule="auto"/>
                    <w:jc w:val="both"/>
                    <w:rPr>
                      <w:rFonts w:ascii="Helvetica" w:eastAsia="Times New Roman" w:hAnsi="Helvetica" w:cs="Helvetica"/>
                      <w:color w:val="000000"/>
                      <w:kern w:val="0"/>
                      <w:sz w:val="18"/>
                      <w:szCs w:val="18"/>
                      <w:lang w:eastAsia="en-GB"/>
                      <w14:ligatures w14:val="none"/>
                    </w:rPr>
                  </w:pPr>
                  <w:r w:rsidRPr="00AA4CB4">
                    <w:rPr>
                      <w:rFonts w:ascii="Helvetica" w:eastAsia="Times New Roman" w:hAnsi="Helvetica" w:cs="Helvetica"/>
                      <w:color w:val="000000"/>
                      <w:kern w:val="0"/>
                      <w:sz w:val="24"/>
                      <w:szCs w:val="24"/>
                      <w:shd w:val="clear" w:color="auto" w:fill="FFFFFF"/>
                      <w:lang w:eastAsia="en-GB"/>
                      <w14:ligatures w14:val="none"/>
                    </w:rPr>
                    <w:t>Immune cell chemotaxis to sites of pathogen invasion is critical for fighting infection, but in life-threatening conditions such as sepsis and Covid-19, excess activation of the innate immune system is thought to cause a damaging invasion of immune cells into tissues and an excessive release of cytokines. In these circumstances, tempering excessive activation of the innate immune system may, paradoxically, promote recovery. Here we describe the repurposing of the antimalarial compound artemisinin towards a novel treatment for inflammatory conditions characterised by over-activation of the innate immune system. We identify artemisinin (and its analogue artesunate) as a potent inhibitor of neutrophil and macrophage chemotaxis. Artemisinin released calcium from intracellular stores by inhibiting isoform-3 of Sarcoplasmic/Endoplasmic Reticulum Calcium Atpase (SERCA3). Inhibition was irreversible and inhibited by iron chelation, suggesting iron-catalysed alkylation of SERCA3 as the mechanism by which artemisinin inhibits immune cell motility. In murine infection models, artemisinin/artesunate potently suppressed innate immune cell invasion into both peritoneum and lung and inhibited the release of cytokines/chemokines and neutrophil extracellular traps (NETs). This work suggests that artemisinin and artesunate may have value as therapies in conditions such as sepsis and Covid-19 in which over-activation of the innate immune system causes tissue injury that can lead to death. From these data we proposed a clinical trial of artesunate for Covid-19 patients, which the WHO accepted and are now running </w:t>
                  </w:r>
                  <w:r w:rsidRPr="00AA4CB4">
                    <w:rPr>
                      <w:rFonts w:ascii="Helvetica" w:eastAsia="Times New Roman" w:hAnsi="Helvetica" w:cs="Helvetica"/>
                      <w:color w:val="000000"/>
                      <w:kern w:val="0"/>
                      <w:sz w:val="24"/>
                      <w:szCs w:val="24"/>
                      <w:lang w:eastAsia="en-GB"/>
                      <w14:ligatures w14:val="none"/>
                    </w:rPr>
                    <w:t>as part of the ‘SOLIDARITY’ initiative.</w:t>
                  </w:r>
                </w:p>
              </w:tc>
            </w:tr>
          </w:tbl>
          <w:p w14:paraId="5A5FBF6C" w14:textId="77777777" w:rsidR="00AA4CB4" w:rsidRPr="00AA4CB4" w:rsidRDefault="00AA4CB4" w:rsidP="00AA4CB4">
            <w:pPr>
              <w:spacing w:after="0" w:line="240" w:lineRule="auto"/>
              <w:rPr>
                <w:rFonts w:ascii="Helvetica" w:eastAsia="Times New Roman" w:hAnsi="Helvetica" w:cs="Helvetica"/>
                <w:color w:val="000000"/>
                <w:kern w:val="0"/>
                <w:sz w:val="18"/>
                <w:szCs w:val="18"/>
                <w:lang w:eastAsia="en-GB"/>
                <w14:ligatures w14:val="none"/>
              </w:rPr>
            </w:pPr>
          </w:p>
        </w:tc>
      </w:tr>
    </w:tbl>
    <w:p w14:paraId="75808590" w14:textId="77777777" w:rsidR="009F2894" w:rsidRDefault="009F2894"/>
    <w:sectPr w:rsidR="009F2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B4"/>
    <w:rsid w:val="00026BF9"/>
    <w:rsid w:val="0007419A"/>
    <w:rsid w:val="000C51BA"/>
    <w:rsid w:val="002B3465"/>
    <w:rsid w:val="00327546"/>
    <w:rsid w:val="009C72FA"/>
    <w:rsid w:val="009F2894"/>
    <w:rsid w:val="00A73C7C"/>
    <w:rsid w:val="00AA4CB4"/>
    <w:rsid w:val="00C05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EDE8"/>
  <w15:chartTrackingRefBased/>
  <w15:docId w15:val="{912EBAE6-75C5-4599-BC4B-001584FC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4C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4C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4CB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4CB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4CB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4CB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4CB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4CB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4CB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C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4C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4C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4C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4C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4C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4C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4C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4CB4"/>
    <w:rPr>
      <w:rFonts w:eastAsiaTheme="majorEastAsia" w:cstheme="majorBidi"/>
      <w:color w:val="272727" w:themeColor="text1" w:themeTint="D8"/>
    </w:rPr>
  </w:style>
  <w:style w:type="paragraph" w:styleId="Title">
    <w:name w:val="Title"/>
    <w:basedOn w:val="Normal"/>
    <w:next w:val="Normal"/>
    <w:link w:val="TitleChar"/>
    <w:uiPriority w:val="10"/>
    <w:qFormat/>
    <w:rsid w:val="00AA4C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4C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4CB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4C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4CB4"/>
    <w:pPr>
      <w:spacing w:before="160"/>
      <w:jc w:val="center"/>
    </w:pPr>
    <w:rPr>
      <w:i/>
      <w:iCs/>
      <w:color w:val="404040" w:themeColor="text1" w:themeTint="BF"/>
    </w:rPr>
  </w:style>
  <w:style w:type="character" w:customStyle="1" w:styleId="QuoteChar">
    <w:name w:val="Quote Char"/>
    <w:basedOn w:val="DefaultParagraphFont"/>
    <w:link w:val="Quote"/>
    <w:uiPriority w:val="29"/>
    <w:rsid w:val="00AA4CB4"/>
    <w:rPr>
      <w:i/>
      <w:iCs/>
      <w:color w:val="404040" w:themeColor="text1" w:themeTint="BF"/>
    </w:rPr>
  </w:style>
  <w:style w:type="paragraph" w:styleId="ListParagraph">
    <w:name w:val="List Paragraph"/>
    <w:basedOn w:val="Normal"/>
    <w:uiPriority w:val="34"/>
    <w:qFormat/>
    <w:rsid w:val="00AA4CB4"/>
    <w:pPr>
      <w:ind w:left="720"/>
      <w:contextualSpacing/>
    </w:pPr>
  </w:style>
  <w:style w:type="character" w:styleId="IntenseEmphasis">
    <w:name w:val="Intense Emphasis"/>
    <w:basedOn w:val="DefaultParagraphFont"/>
    <w:uiPriority w:val="21"/>
    <w:qFormat/>
    <w:rsid w:val="00AA4CB4"/>
    <w:rPr>
      <w:i/>
      <w:iCs/>
      <w:color w:val="0F4761" w:themeColor="accent1" w:themeShade="BF"/>
    </w:rPr>
  </w:style>
  <w:style w:type="paragraph" w:styleId="IntenseQuote">
    <w:name w:val="Intense Quote"/>
    <w:basedOn w:val="Normal"/>
    <w:next w:val="Normal"/>
    <w:link w:val="IntenseQuoteChar"/>
    <w:uiPriority w:val="30"/>
    <w:qFormat/>
    <w:rsid w:val="00AA4C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4CB4"/>
    <w:rPr>
      <w:i/>
      <w:iCs/>
      <w:color w:val="0F4761" w:themeColor="accent1" w:themeShade="BF"/>
    </w:rPr>
  </w:style>
  <w:style w:type="character" w:styleId="IntenseReference">
    <w:name w:val="Intense Reference"/>
    <w:basedOn w:val="DefaultParagraphFont"/>
    <w:uiPriority w:val="32"/>
    <w:qFormat/>
    <w:rsid w:val="00AA4CB4"/>
    <w:rPr>
      <w:b/>
      <w:bCs/>
      <w:smallCaps/>
      <w:color w:val="0F4761" w:themeColor="accent1" w:themeShade="BF"/>
      <w:spacing w:val="5"/>
    </w:rPr>
  </w:style>
  <w:style w:type="character" w:customStyle="1" w:styleId="ef-presenting-author">
    <w:name w:val="ef-presenting-author"/>
    <w:basedOn w:val="DefaultParagraphFont"/>
    <w:rsid w:val="00AA4CB4"/>
  </w:style>
  <w:style w:type="character" w:customStyle="1" w:styleId="ef-author-name">
    <w:name w:val="ef-author-name"/>
    <w:basedOn w:val="DefaultParagraphFont"/>
    <w:rsid w:val="00AA4CB4"/>
  </w:style>
  <w:style w:type="character" w:customStyle="1" w:styleId="ef-author-affiliation">
    <w:name w:val="ef-author-affiliation"/>
    <w:basedOn w:val="DefaultParagraphFont"/>
    <w:rsid w:val="00AA4CB4"/>
  </w:style>
  <w:style w:type="character" w:customStyle="1" w:styleId="ef-author-country">
    <w:name w:val="ef-author-country"/>
    <w:basedOn w:val="DefaultParagraphFont"/>
    <w:rsid w:val="00AA4CB4"/>
  </w:style>
  <w:style w:type="character" w:styleId="Hyperlink">
    <w:name w:val="Hyperlink"/>
    <w:basedOn w:val="DefaultParagraphFont"/>
    <w:uiPriority w:val="99"/>
    <w:semiHidden/>
    <w:unhideWhenUsed/>
    <w:rsid w:val="00AA4CB4"/>
    <w:rPr>
      <w:color w:val="0000FF"/>
      <w:u w:val="single"/>
    </w:rPr>
  </w:style>
  <w:style w:type="paragraph" w:styleId="NormalWeb">
    <w:name w:val="Normal (Web)"/>
    <w:basedOn w:val="Normal"/>
    <w:uiPriority w:val="99"/>
    <w:semiHidden/>
    <w:unhideWhenUsed/>
    <w:rsid w:val="00AA4CB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851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ventsforce.net/biochemsoc/system/proweb/start.csp?pageID=64614&amp;eventID=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1997</Characters>
  <Application>Microsoft Office Word</Application>
  <DocSecurity>0</DocSecurity>
  <Lines>16</Lines>
  <Paragraphs>4</Paragraphs>
  <ScaleCrop>false</ScaleCrop>
  <Company>University of Westminster</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Morad</dc:creator>
  <cp:keywords/>
  <dc:description/>
  <cp:lastModifiedBy>Hassan Morad</cp:lastModifiedBy>
  <cp:revision>1</cp:revision>
  <dcterms:created xsi:type="dcterms:W3CDTF">2024-06-30T12:02:00Z</dcterms:created>
  <dcterms:modified xsi:type="dcterms:W3CDTF">2024-06-30T12:02:00Z</dcterms:modified>
</cp:coreProperties>
</file>