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47CCC" w14:textId="77777777" w:rsidR="0031281E" w:rsidRPr="00E23C0C" w:rsidRDefault="0031281E" w:rsidP="0031281E">
      <w:pPr>
        <w:spacing w:before="120" w:after="120" w:line="300" w:lineRule="auto"/>
        <w:jc w:val="both"/>
        <w:rPr>
          <w:rFonts w:cs="Calibri"/>
          <w:b/>
          <w:sz w:val="24"/>
        </w:rPr>
      </w:pPr>
      <w:bookmarkStart w:id="0" w:name="OLE_LINK3"/>
      <w:bookmarkStart w:id="1" w:name="OLE_LINK4"/>
      <w:r w:rsidRPr="00E23C0C">
        <w:rPr>
          <w:rFonts w:cs="Calibri"/>
          <w:b/>
          <w:sz w:val="24"/>
        </w:rPr>
        <w:t>The changes of intergovernmental collaboration dynamic in post-disaster destination management: Network analysis</w:t>
      </w:r>
    </w:p>
    <w:bookmarkEnd w:id="0"/>
    <w:bookmarkEnd w:id="1"/>
    <w:p w14:paraId="1BE4A1D6" w14:textId="77777777" w:rsidR="0031281E" w:rsidRPr="00E23C0C" w:rsidRDefault="0031281E" w:rsidP="0031281E">
      <w:pPr>
        <w:spacing w:before="120" w:after="120" w:line="400" w:lineRule="exact"/>
        <w:jc w:val="both"/>
        <w:rPr>
          <w:rFonts w:cs="Calibri"/>
          <w:b/>
          <w:sz w:val="22"/>
          <w:szCs w:val="22"/>
        </w:rPr>
      </w:pPr>
    </w:p>
    <w:p w14:paraId="2D214ECF" w14:textId="77777777" w:rsidR="0031281E" w:rsidRPr="00E23C0C" w:rsidRDefault="0031281E" w:rsidP="0031281E">
      <w:pPr>
        <w:spacing w:before="120" w:after="120" w:line="400" w:lineRule="exact"/>
        <w:jc w:val="both"/>
        <w:rPr>
          <w:rFonts w:cs="Calibri"/>
          <w:b/>
          <w:sz w:val="22"/>
          <w:szCs w:val="22"/>
          <w:lang w:val="en-US"/>
        </w:rPr>
      </w:pPr>
      <w:r w:rsidRPr="00E23C0C">
        <w:rPr>
          <w:rFonts w:cs="Calibri"/>
          <w:b/>
          <w:sz w:val="22"/>
          <w:szCs w:val="22"/>
        </w:rPr>
        <w:t xml:space="preserve">Abstract  </w:t>
      </w:r>
    </w:p>
    <w:p w14:paraId="71D91A49" w14:textId="77777777" w:rsidR="0031281E" w:rsidRPr="00E23C0C" w:rsidRDefault="0031281E" w:rsidP="0031281E">
      <w:pPr>
        <w:spacing w:before="120" w:after="120" w:line="400" w:lineRule="exact"/>
        <w:jc w:val="both"/>
        <w:rPr>
          <w:rFonts w:cs="Calibri"/>
          <w:sz w:val="22"/>
          <w:szCs w:val="22"/>
        </w:rPr>
      </w:pPr>
      <w:r w:rsidRPr="00E23C0C">
        <w:rPr>
          <w:rFonts w:cs="Calibri"/>
          <w:sz w:val="22"/>
          <w:szCs w:val="22"/>
        </w:rPr>
        <w:t xml:space="preserve">Employing network analysis, this study explores the changing dynamics of intergovernmental collaboration throughout the whole process of post-disaster destination management. </w:t>
      </w:r>
      <w:proofErr w:type="spellStart"/>
      <w:r w:rsidRPr="00E23C0C">
        <w:rPr>
          <w:rFonts w:cs="Calibri"/>
          <w:sz w:val="22"/>
          <w:szCs w:val="22"/>
        </w:rPr>
        <w:t>Jiuzhaigou</w:t>
      </w:r>
      <w:proofErr w:type="spellEnd"/>
      <w:r w:rsidRPr="00E23C0C">
        <w:rPr>
          <w:rFonts w:cs="Calibri"/>
          <w:sz w:val="22"/>
          <w:szCs w:val="22"/>
        </w:rPr>
        <w:t xml:space="preserve"> National Park after the </w:t>
      </w:r>
      <w:proofErr w:type="spellStart"/>
      <w:r w:rsidRPr="00E23C0C">
        <w:rPr>
          <w:rFonts w:cs="Calibri"/>
          <w:sz w:val="22"/>
          <w:szCs w:val="22"/>
        </w:rPr>
        <w:t>Jiuzhaigou</w:t>
      </w:r>
      <w:proofErr w:type="spellEnd"/>
      <w:r w:rsidRPr="00E23C0C">
        <w:rPr>
          <w:rFonts w:cs="Calibri"/>
          <w:sz w:val="22"/>
          <w:szCs w:val="22"/>
        </w:rPr>
        <w:t xml:space="preserve"> earthquake forms the subject of the case study. Our empirical analysis indicates the following findings: first, intergovernmental collaboration is developed both hierarchically and horizontally at the emergency, intermediate and long-term recovery stages of post-disaster destination management, but it is largely dominated by hierarchical interactions; second, local government increasingly acts as a lubricant role in facilitating the functioning of intergovernmental collaboration during the whole process of post-disaster destination management. </w:t>
      </w:r>
      <w:r w:rsidRPr="00E23C0C">
        <w:rPr>
          <w:rFonts w:cs="Calibri"/>
          <w:sz w:val="22"/>
          <w:szCs w:val="22"/>
          <w:shd w:val="clear" w:color="auto" w:fill="FFFFFF"/>
        </w:rPr>
        <w:t>These findings contribute to greater insights into</w:t>
      </w:r>
      <w:r w:rsidRPr="00E23C0C">
        <w:rPr>
          <w:rFonts w:cs="Calibri"/>
          <w:sz w:val="22"/>
          <w:szCs w:val="22"/>
        </w:rPr>
        <w:t xml:space="preserve"> the changes of intergovernmental collaboration dynamic in comprehensive post-disaster destination management. This study also provides implications for governments and tourism destinations to improve intergovernmental collaboration for more effective destination management in the context of post-disaster</w:t>
      </w:r>
      <w:r w:rsidRPr="00E23C0C">
        <w:rPr>
          <w:rFonts w:cs="Calibri"/>
          <w:sz w:val="22"/>
          <w:szCs w:val="22"/>
          <w:shd w:val="clear" w:color="auto" w:fill="FFFFFF"/>
        </w:rPr>
        <w:t xml:space="preserve">. </w:t>
      </w:r>
    </w:p>
    <w:p w14:paraId="30D2607A" w14:textId="77777777" w:rsidR="0031281E" w:rsidRPr="00E23C0C" w:rsidRDefault="0031281E" w:rsidP="0031281E">
      <w:pPr>
        <w:spacing w:before="120" w:after="120" w:line="400" w:lineRule="exact"/>
        <w:jc w:val="both"/>
        <w:rPr>
          <w:rFonts w:cs="Calibri"/>
          <w:b/>
          <w:sz w:val="22"/>
          <w:szCs w:val="22"/>
        </w:rPr>
      </w:pPr>
      <w:r w:rsidRPr="00E23C0C">
        <w:rPr>
          <w:rFonts w:cs="Calibri"/>
          <w:b/>
          <w:sz w:val="22"/>
          <w:szCs w:val="22"/>
        </w:rPr>
        <w:t xml:space="preserve">Keywords </w:t>
      </w:r>
    </w:p>
    <w:p w14:paraId="11CBE8D6" w14:textId="77777777" w:rsidR="0031281E" w:rsidRPr="00E23C0C" w:rsidRDefault="0031281E" w:rsidP="0031281E">
      <w:pPr>
        <w:spacing w:before="120" w:after="120" w:line="400" w:lineRule="exact"/>
        <w:jc w:val="both"/>
        <w:rPr>
          <w:rFonts w:cs="Calibri"/>
          <w:sz w:val="22"/>
          <w:szCs w:val="22"/>
        </w:rPr>
      </w:pPr>
      <w:r w:rsidRPr="00E23C0C">
        <w:rPr>
          <w:rFonts w:cs="Calibri"/>
          <w:sz w:val="22"/>
          <w:szCs w:val="22"/>
        </w:rPr>
        <w:t xml:space="preserve">Intergovernmental collaboration; Post-disaster; Destination management; Network analysis; </w:t>
      </w:r>
      <w:proofErr w:type="spellStart"/>
      <w:r w:rsidRPr="00E23C0C">
        <w:rPr>
          <w:rFonts w:cs="Calibri"/>
          <w:sz w:val="22"/>
          <w:szCs w:val="22"/>
        </w:rPr>
        <w:t>Jiuzhaigou</w:t>
      </w:r>
      <w:proofErr w:type="spellEnd"/>
      <w:r w:rsidRPr="00E23C0C">
        <w:rPr>
          <w:rFonts w:cs="Calibri"/>
          <w:sz w:val="22"/>
          <w:szCs w:val="22"/>
        </w:rPr>
        <w:t xml:space="preserve"> National Park</w:t>
      </w:r>
    </w:p>
    <w:p w14:paraId="56B01C47" w14:textId="77777777" w:rsidR="0031281E" w:rsidRPr="00E23C0C" w:rsidRDefault="0031281E" w:rsidP="0031281E">
      <w:pPr>
        <w:spacing w:beforeLines="50" w:before="156" w:afterLines="50" w:after="156" w:line="300" w:lineRule="auto"/>
        <w:jc w:val="both"/>
        <w:rPr>
          <w:rFonts w:cs="Calibri"/>
          <w:b/>
          <w:sz w:val="22"/>
          <w:szCs w:val="22"/>
        </w:rPr>
      </w:pPr>
    </w:p>
    <w:p w14:paraId="3D39B506" w14:textId="77777777" w:rsidR="0031281E" w:rsidRPr="00E23C0C" w:rsidRDefault="0031281E" w:rsidP="0031281E">
      <w:pPr>
        <w:spacing w:beforeLines="50" w:before="156" w:afterLines="50" w:after="156" w:line="300" w:lineRule="auto"/>
        <w:jc w:val="both"/>
        <w:rPr>
          <w:rFonts w:cs="Calibri"/>
          <w:b/>
          <w:sz w:val="22"/>
          <w:szCs w:val="22"/>
          <w:lang w:val="en-US"/>
        </w:rPr>
        <w:sectPr w:rsidR="0031281E" w:rsidRPr="00E23C0C" w:rsidSect="00AD1C6F">
          <w:footerReference w:type="even" r:id="rId7"/>
          <w:pgSz w:w="11900" w:h="16840"/>
          <w:pgMar w:top="1440" w:right="1800" w:bottom="1440" w:left="1800" w:header="851" w:footer="992" w:gutter="0"/>
          <w:cols w:space="425"/>
          <w:docGrid w:type="lines" w:linePitch="312"/>
        </w:sectPr>
      </w:pPr>
    </w:p>
    <w:p w14:paraId="69E269DD" w14:textId="77777777" w:rsidR="0031281E" w:rsidRPr="00E23C0C" w:rsidRDefault="0031281E" w:rsidP="0031281E">
      <w:pPr>
        <w:spacing w:beforeLines="50" w:before="163" w:afterLines="50" w:after="163" w:line="400" w:lineRule="exact"/>
        <w:jc w:val="both"/>
        <w:rPr>
          <w:rFonts w:cs="Calibri"/>
          <w:sz w:val="22"/>
          <w:szCs w:val="22"/>
        </w:rPr>
      </w:pPr>
      <w:r w:rsidRPr="00E23C0C">
        <w:rPr>
          <w:rFonts w:cs="Calibri"/>
          <w:b/>
          <w:sz w:val="28"/>
          <w:szCs w:val="28"/>
        </w:rPr>
        <w:lastRenderedPageBreak/>
        <w:t xml:space="preserve">1 Introduction </w:t>
      </w:r>
    </w:p>
    <w:p w14:paraId="2E043674" w14:textId="35EA9381"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Destination management has been widely discussed in tourism research (</w:t>
      </w:r>
      <w:proofErr w:type="spellStart"/>
      <w:r w:rsidRPr="00E23C0C">
        <w:rPr>
          <w:rFonts w:cs="Calibri"/>
          <w:sz w:val="22"/>
          <w:szCs w:val="22"/>
        </w:rPr>
        <w:t>Beritelli</w:t>
      </w:r>
      <w:proofErr w:type="spellEnd"/>
      <w:r w:rsidRPr="00E23C0C">
        <w:rPr>
          <w:rFonts w:cs="Calibri"/>
          <w:sz w:val="22"/>
          <w:szCs w:val="22"/>
        </w:rPr>
        <w:t xml:space="preserve"> et al., 2007; </w:t>
      </w:r>
      <w:proofErr w:type="spellStart"/>
      <w:r w:rsidRPr="00E23C0C">
        <w:rPr>
          <w:rFonts w:cs="Calibri"/>
          <w:sz w:val="22"/>
          <w:szCs w:val="22"/>
        </w:rPr>
        <w:t>Gelter</w:t>
      </w:r>
      <w:proofErr w:type="spellEnd"/>
      <w:r w:rsidRPr="00E23C0C">
        <w:rPr>
          <w:rFonts w:cs="Calibri"/>
          <w:sz w:val="22"/>
          <w:szCs w:val="22"/>
        </w:rPr>
        <w:t xml:space="preserve"> et al., 2020</w:t>
      </w:r>
      <w:r w:rsidR="00872152" w:rsidRPr="00E23C0C">
        <w:rPr>
          <w:rFonts w:cs="Calibri"/>
          <w:sz w:val="22"/>
          <w:szCs w:val="22"/>
        </w:rPr>
        <w:t>; Granville et al., 2016</w:t>
      </w:r>
      <w:r w:rsidRPr="00E23C0C">
        <w:rPr>
          <w:rFonts w:cs="Calibri"/>
          <w:sz w:val="22"/>
          <w:szCs w:val="22"/>
        </w:rPr>
        <w:t xml:space="preserve">). </w:t>
      </w:r>
      <w:proofErr w:type="gramStart"/>
      <w:r w:rsidRPr="00E23C0C">
        <w:rPr>
          <w:rFonts w:cs="Calibri"/>
          <w:sz w:val="22"/>
          <w:szCs w:val="22"/>
        </w:rPr>
        <w:t>In light of</w:t>
      </w:r>
      <w:proofErr w:type="gramEnd"/>
      <w:r w:rsidRPr="00E23C0C">
        <w:rPr>
          <w:rFonts w:cs="Calibri"/>
          <w:sz w:val="22"/>
          <w:szCs w:val="22"/>
        </w:rPr>
        <w:t xml:space="preserve"> the rapid increase in the number of disasters that have occurred over the past 30 years (Schulz </w:t>
      </w:r>
      <w:r w:rsidR="00872152" w:rsidRPr="00E23C0C">
        <w:rPr>
          <w:rFonts w:cs="Calibri"/>
          <w:sz w:val="22"/>
          <w:szCs w:val="22"/>
        </w:rPr>
        <w:t xml:space="preserve">&amp; </w:t>
      </w:r>
      <w:proofErr w:type="spellStart"/>
      <w:r w:rsidRPr="00E23C0C">
        <w:rPr>
          <w:rFonts w:cs="Calibri"/>
          <w:sz w:val="22"/>
          <w:szCs w:val="22"/>
        </w:rPr>
        <w:t>Blecken</w:t>
      </w:r>
      <w:proofErr w:type="spellEnd"/>
      <w:r w:rsidRPr="00E23C0C">
        <w:rPr>
          <w:rFonts w:cs="Calibri"/>
          <w:sz w:val="22"/>
          <w:szCs w:val="22"/>
        </w:rPr>
        <w:t xml:space="preserve">, 2010), it is particularly significant to achieve post-disaster destination management effectively. Destination management is defined as a “proactive, visitor-centred approach to the economic and cultural development of a destination” (Wang, 2011:2). Destination management in the post-disaster context focuses much on developing strategies and actions to return the destination to a normal (pre-event) state or an improved state (Mair et al., 2016), which often incorporates a range of stakeholders to collaborate in response to post-disaster challenges (Jiang </w:t>
      </w:r>
      <w:r w:rsidR="002C4977" w:rsidRPr="00E23C0C">
        <w:rPr>
          <w:rFonts w:cs="Calibri"/>
          <w:sz w:val="22"/>
          <w:szCs w:val="22"/>
        </w:rPr>
        <w:t>&amp;</w:t>
      </w:r>
      <w:r w:rsidRPr="00E23C0C">
        <w:rPr>
          <w:rFonts w:cs="Calibri"/>
          <w:sz w:val="22"/>
          <w:szCs w:val="22"/>
        </w:rPr>
        <w:t xml:space="preserve"> Ritchie, 2017). Among those stakeholder collaboration, intergovernmental collaboration has recently received growing attention in post-disaster destination management, as it offers a way of mobilising substantial resources that are needed for post-disaster destination management (Amore </w:t>
      </w:r>
      <w:r w:rsidR="00F62EB7" w:rsidRPr="00E23C0C">
        <w:rPr>
          <w:rFonts w:cs="Calibri"/>
          <w:sz w:val="22"/>
          <w:szCs w:val="22"/>
        </w:rPr>
        <w:t xml:space="preserve">&amp; </w:t>
      </w:r>
      <w:r w:rsidRPr="00E23C0C">
        <w:rPr>
          <w:rFonts w:cs="Calibri"/>
          <w:sz w:val="22"/>
          <w:szCs w:val="22"/>
        </w:rPr>
        <w:t xml:space="preserve">Hall, 2016). Intergovernmental collaboration occurs between the national, state and local governments to achieve common goals (Cameron, 2001; </w:t>
      </w:r>
      <w:proofErr w:type="spellStart"/>
      <w:r w:rsidRPr="00E23C0C">
        <w:rPr>
          <w:rFonts w:cs="Calibri"/>
          <w:sz w:val="22"/>
          <w:szCs w:val="22"/>
        </w:rPr>
        <w:t>Kapucu</w:t>
      </w:r>
      <w:proofErr w:type="spellEnd"/>
      <w:r w:rsidRPr="00E23C0C">
        <w:rPr>
          <w:rFonts w:cs="Calibri"/>
          <w:sz w:val="22"/>
          <w:szCs w:val="22"/>
        </w:rPr>
        <w:t xml:space="preserve"> et al., 2010). </w:t>
      </w:r>
      <w:proofErr w:type="gramStart"/>
      <w:r w:rsidRPr="00E23C0C">
        <w:rPr>
          <w:rFonts w:cs="Calibri"/>
          <w:sz w:val="22"/>
          <w:szCs w:val="22"/>
        </w:rPr>
        <w:t>On the basis of</w:t>
      </w:r>
      <w:proofErr w:type="gramEnd"/>
      <w:r w:rsidRPr="00E23C0C">
        <w:rPr>
          <w:rFonts w:cs="Calibri"/>
          <w:sz w:val="22"/>
          <w:szCs w:val="22"/>
        </w:rPr>
        <w:t xml:space="preserve"> their respective advantages, multi-level government sectors can collaborate with one other to engage</w:t>
      </w:r>
      <w:r w:rsidRPr="00E23C0C">
        <w:rPr>
          <w:rFonts w:cs="Calibri"/>
          <w:sz w:val="22"/>
          <w:szCs w:val="22"/>
          <w:lang w:val="en-US"/>
        </w:rPr>
        <w:t xml:space="preserve"> in post-disaster destination management, including from </w:t>
      </w:r>
      <w:r w:rsidRPr="00E23C0C">
        <w:rPr>
          <w:rFonts w:cs="Calibri"/>
          <w:sz w:val="22"/>
          <w:szCs w:val="22"/>
        </w:rPr>
        <w:t>saving lives and protecting properties, to addressing short-term needs of victims, and to developing and implementing post-disaster destination recovery projects (</w:t>
      </w:r>
      <w:proofErr w:type="spellStart"/>
      <w:r w:rsidRPr="00E23C0C">
        <w:rPr>
          <w:rFonts w:cs="Calibri"/>
          <w:sz w:val="22"/>
          <w:szCs w:val="22"/>
        </w:rPr>
        <w:t>Becken</w:t>
      </w:r>
      <w:proofErr w:type="spellEnd"/>
      <w:r w:rsidR="00872152" w:rsidRPr="00E23C0C">
        <w:rPr>
          <w:rFonts w:cs="Calibri"/>
          <w:sz w:val="22"/>
          <w:szCs w:val="22"/>
        </w:rPr>
        <w:t xml:space="preserve"> &amp;</w:t>
      </w:r>
      <w:r w:rsidRPr="00E23C0C">
        <w:rPr>
          <w:rFonts w:cs="Calibri"/>
          <w:sz w:val="22"/>
          <w:szCs w:val="22"/>
        </w:rPr>
        <w:t xml:space="preserve"> Hughey, 2013</w:t>
      </w:r>
      <w:r w:rsidR="00872152" w:rsidRPr="00E23C0C">
        <w:rPr>
          <w:rFonts w:cs="Calibri"/>
          <w:sz w:val="22"/>
          <w:szCs w:val="22"/>
        </w:rPr>
        <w:t xml:space="preserve">; Faulkner &amp; </w:t>
      </w:r>
      <w:proofErr w:type="spellStart"/>
      <w:r w:rsidR="00872152" w:rsidRPr="00E23C0C">
        <w:rPr>
          <w:rFonts w:cs="Calibri"/>
          <w:sz w:val="22"/>
          <w:szCs w:val="22"/>
        </w:rPr>
        <w:t>Vikulov</w:t>
      </w:r>
      <w:proofErr w:type="spellEnd"/>
      <w:r w:rsidR="00872152" w:rsidRPr="00E23C0C">
        <w:rPr>
          <w:rFonts w:cs="Calibri"/>
          <w:sz w:val="22"/>
          <w:szCs w:val="22"/>
        </w:rPr>
        <w:t>, 2001</w:t>
      </w:r>
      <w:r w:rsidRPr="00E23C0C">
        <w:rPr>
          <w:rFonts w:cs="Calibri"/>
          <w:sz w:val="22"/>
          <w:szCs w:val="22"/>
        </w:rPr>
        <w:t>). As intergovernmental collaboration plays an important role in promoting post-disaster recovery, destination management</w:t>
      </w:r>
      <w:r w:rsidRPr="00E23C0C">
        <w:rPr>
          <w:rFonts w:cs="Calibri"/>
          <w:sz w:val="22"/>
          <w:szCs w:val="22"/>
          <w:lang w:val="en-US"/>
        </w:rPr>
        <w:t xml:space="preserve"> can </w:t>
      </w:r>
      <w:r w:rsidRPr="00E23C0C">
        <w:rPr>
          <w:rFonts w:cs="Calibri"/>
          <w:sz w:val="22"/>
          <w:szCs w:val="22"/>
        </w:rPr>
        <w:t>increase the extent of intergovernmental collaboration to respond to post-disaster challenges.</w:t>
      </w:r>
    </w:p>
    <w:p w14:paraId="72A9BA95" w14:textId="0852DCAE"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Past research has further explored post-disaster destination management from the lifecycle perspective (Chan et al., 2019) and linked it to the varying focus of intergovernmental collaboration. Faulkner (2001) suggests a six-phase disaster process of destination management, and post-disaster phase focuses primarily on emergency, intermediate and long-term recovery. Ritchie (2004: 672) gives anatomy of the three sages: emergency (the crisis has just hit and the effects of the disaster have been felt); intermediate (the short-term needs of the people must be dealt with--restoring utilities and essential services); and long-term recovery (continuation of the previous phase, but aspects that could not be addressed quickly are attended to at this point).</w:t>
      </w:r>
      <w:r w:rsidRPr="00E23C0C">
        <w:t xml:space="preserve"> </w:t>
      </w:r>
      <w:r w:rsidRPr="00E23C0C">
        <w:rPr>
          <w:rFonts w:cs="Calibri"/>
          <w:sz w:val="22"/>
          <w:szCs w:val="22"/>
        </w:rPr>
        <w:t>The focus of intergovernmental collaboration at the three post disaster stages is often different according to the changing of time pressure, control intensity and post-disaster management goals (</w:t>
      </w:r>
      <w:proofErr w:type="spellStart"/>
      <w:r w:rsidRPr="00E23C0C">
        <w:rPr>
          <w:rFonts w:cs="Calibri"/>
          <w:sz w:val="22"/>
          <w:szCs w:val="22"/>
        </w:rPr>
        <w:t>Cioccio</w:t>
      </w:r>
      <w:proofErr w:type="spellEnd"/>
      <w:r w:rsidRPr="00E23C0C">
        <w:rPr>
          <w:rFonts w:cs="Calibri"/>
          <w:sz w:val="22"/>
          <w:szCs w:val="22"/>
        </w:rPr>
        <w:t xml:space="preserve"> </w:t>
      </w:r>
      <w:r w:rsidR="00872152" w:rsidRPr="00E23C0C">
        <w:rPr>
          <w:rFonts w:cs="Calibri"/>
          <w:sz w:val="22"/>
          <w:szCs w:val="22"/>
        </w:rPr>
        <w:t>&amp;</w:t>
      </w:r>
      <w:r w:rsidRPr="00E23C0C">
        <w:rPr>
          <w:rFonts w:cs="Calibri"/>
          <w:sz w:val="22"/>
          <w:szCs w:val="22"/>
        </w:rPr>
        <w:t xml:space="preserve"> Michael, 2007; Maldonado et al., 2009</w:t>
      </w:r>
      <w:r w:rsidR="002C4977" w:rsidRPr="00E23C0C">
        <w:rPr>
          <w:rFonts w:cs="Calibri"/>
          <w:sz w:val="22"/>
          <w:szCs w:val="22"/>
        </w:rPr>
        <w:t xml:space="preserve">; </w:t>
      </w:r>
      <w:proofErr w:type="spellStart"/>
      <w:r w:rsidR="002C4977" w:rsidRPr="00E23C0C">
        <w:rPr>
          <w:rFonts w:cs="Calibri"/>
          <w:sz w:val="22"/>
          <w:szCs w:val="22"/>
        </w:rPr>
        <w:t>Paraskevas</w:t>
      </w:r>
      <w:proofErr w:type="spellEnd"/>
      <w:r w:rsidR="002C4977" w:rsidRPr="00E23C0C">
        <w:rPr>
          <w:rFonts w:cs="Calibri"/>
          <w:sz w:val="22"/>
          <w:szCs w:val="22"/>
        </w:rPr>
        <w:t xml:space="preserve"> &amp; </w:t>
      </w:r>
      <w:proofErr w:type="spellStart"/>
      <w:r w:rsidR="002C4977" w:rsidRPr="00E23C0C">
        <w:rPr>
          <w:rFonts w:cs="Calibri"/>
          <w:sz w:val="22"/>
          <w:szCs w:val="22"/>
        </w:rPr>
        <w:t>Arendell</w:t>
      </w:r>
      <w:proofErr w:type="spellEnd"/>
      <w:r w:rsidR="002C4977" w:rsidRPr="00E23C0C">
        <w:rPr>
          <w:rFonts w:cs="Calibri"/>
          <w:sz w:val="22"/>
          <w:szCs w:val="22"/>
        </w:rPr>
        <w:t>, 2007</w:t>
      </w:r>
      <w:r w:rsidRPr="00E23C0C">
        <w:rPr>
          <w:rFonts w:cs="Calibri"/>
          <w:sz w:val="22"/>
          <w:szCs w:val="22"/>
        </w:rPr>
        <w:t xml:space="preserve">): at the emergency stage, the main aim of </w:t>
      </w:r>
      <w:r w:rsidRPr="00E23C0C">
        <w:rPr>
          <w:rFonts w:cs="Calibri"/>
          <w:sz w:val="22"/>
          <w:szCs w:val="22"/>
        </w:rPr>
        <w:lastRenderedPageBreak/>
        <w:t>intergovernmental collaboration is to rescue people and property (</w:t>
      </w:r>
      <w:proofErr w:type="spellStart"/>
      <w:r w:rsidRPr="00E23C0C">
        <w:rPr>
          <w:rFonts w:cs="Calibri"/>
          <w:sz w:val="22"/>
          <w:szCs w:val="22"/>
        </w:rPr>
        <w:t>Kusumasari</w:t>
      </w:r>
      <w:proofErr w:type="spellEnd"/>
      <w:r w:rsidRPr="00E23C0C">
        <w:rPr>
          <w:rFonts w:cs="Calibri"/>
          <w:sz w:val="22"/>
          <w:szCs w:val="22"/>
        </w:rPr>
        <w:t xml:space="preserve"> et al., 2010); at the intermediate stage, collaborative government efforts address restoring tourism-related services and help affected communities rebound to normal (He </w:t>
      </w:r>
      <w:r w:rsidR="00F62EB7" w:rsidRPr="00E23C0C">
        <w:rPr>
          <w:rFonts w:cs="Calibri"/>
          <w:sz w:val="22"/>
          <w:szCs w:val="22"/>
        </w:rPr>
        <w:t>&amp;</w:t>
      </w:r>
      <w:r w:rsidRPr="00E23C0C">
        <w:rPr>
          <w:rFonts w:cs="Calibri"/>
          <w:sz w:val="22"/>
          <w:szCs w:val="22"/>
        </w:rPr>
        <w:t xml:space="preserve"> Zhuang, 2016); at the long-term recovery stage, intergovernmental collaboration seeks to rebuild tourism-related infrastructure and stimulate destination marketing (Faulkner </w:t>
      </w:r>
      <w:r w:rsidR="00872152"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Vikulov</w:t>
      </w:r>
      <w:proofErr w:type="spellEnd"/>
      <w:r w:rsidRPr="00E23C0C">
        <w:rPr>
          <w:rFonts w:cs="Calibri"/>
          <w:sz w:val="22"/>
          <w:szCs w:val="22"/>
        </w:rPr>
        <w:t xml:space="preserve">, 2001; Ritchie, 2004). The varying focus of intergovernmental collaboration at the emergency, intermediate and long-term recovery stages may lead to different ways in which multi-level government sectors interplay, configure and collaborate (Amore </w:t>
      </w:r>
      <w:r w:rsidR="00872152" w:rsidRPr="00E23C0C">
        <w:rPr>
          <w:rFonts w:cs="Calibri"/>
          <w:sz w:val="22"/>
          <w:szCs w:val="22"/>
        </w:rPr>
        <w:t>&amp;</w:t>
      </w:r>
      <w:r w:rsidRPr="00E23C0C">
        <w:rPr>
          <w:rFonts w:cs="Calibri"/>
          <w:sz w:val="22"/>
          <w:szCs w:val="22"/>
        </w:rPr>
        <w:t xml:space="preserve"> Hall, 2016). Nevertheless, prior research has given little attention to the changing dynamics of intergovernmental collaboration throughout the whole process of post-disaster destination management. The engagement of government sectors and the interplay they have at different stages could affect the foci, directions, and the effectiveness of collaboration, which thus plays a significant role in undermining or facilitating the success of post-disaster destination management (</w:t>
      </w:r>
      <w:proofErr w:type="spellStart"/>
      <w:r w:rsidR="00872152" w:rsidRPr="00E23C0C">
        <w:rPr>
          <w:rFonts w:cs="Calibri"/>
          <w:sz w:val="22"/>
          <w:szCs w:val="22"/>
        </w:rPr>
        <w:t>Deen</w:t>
      </w:r>
      <w:proofErr w:type="spellEnd"/>
      <w:r w:rsidR="00872152" w:rsidRPr="00E23C0C">
        <w:rPr>
          <w:rFonts w:cs="Calibri"/>
          <w:sz w:val="22"/>
          <w:szCs w:val="22"/>
        </w:rPr>
        <w:t>, 2015</w:t>
      </w:r>
      <w:r w:rsidR="002C4977" w:rsidRPr="00E23C0C">
        <w:rPr>
          <w:rFonts w:cs="Calibri"/>
          <w:sz w:val="22"/>
          <w:szCs w:val="22"/>
        </w:rPr>
        <w:t xml:space="preserve">; </w:t>
      </w:r>
      <w:proofErr w:type="spellStart"/>
      <w:r w:rsidR="002C4977" w:rsidRPr="00E23C0C">
        <w:rPr>
          <w:rFonts w:cs="Calibri"/>
          <w:sz w:val="22"/>
          <w:szCs w:val="22"/>
        </w:rPr>
        <w:t>Espia</w:t>
      </w:r>
      <w:proofErr w:type="spellEnd"/>
      <w:r w:rsidR="002C4977" w:rsidRPr="00E23C0C">
        <w:rPr>
          <w:rFonts w:cs="Calibri"/>
          <w:sz w:val="22"/>
          <w:szCs w:val="22"/>
        </w:rPr>
        <w:t xml:space="preserve"> &amp; Fernandez, 2015</w:t>
      </w:r>
      <w:r w:rsidRPr="00E23C0C">
        <w:rPr>
          <w:rFonts w:cs="Calibri"/>
          <w:sz w:val="22"/>
          <w:szCs w:val="22"/>
        </w:rPr>
        <w:t xml:space="preserve">).  </w:t>
      </w:r>
    </w:p>
    <w:p w14:paraId="7467DA0A" w14:textId="42359E9B"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Methodologically, most post-disaster destination management studies have adopted a qualitative approach to describe intergovernmental collaboration (</w:t>
      </w:r>
      <w:proofErr w:type="spellStart"/>
      <w:r w:rsidRPr="00E23C0C">
        <w:rPr>
          <w:rFonts w:cs="Calibri"/>
          <w:sz w:val="22"/>
          <w:szCs w:val="22"/>
        </w:rPr>
        <w:t>Cioccio</w:t>
      </w:r>
      <w:proofErr w:type="spellEnd"/>
      <w:r w:rsidRPr="00E23C0C">
        <w:rPr>
          <w:rFonts w:cs="Calibri"/>
          <w:sz w:val="22"/>
          <w:szCs w:val="22"/>
        </w:rPr>
        <w:t xml:space="preserve"> </w:t>
      </w:r>
      <w:r w:rsidR="00872152" w:rsidRPr="00E23C0C">
        <w:rPr>
          <w:rFonts w:cs="Calibri"/>
          <w:sz w:val="22"/>
          <w:szCs w:val="22"/>
        </w:rPr>
        <w:t>&amp;</w:t>
      </w:r>
      <w:r w:rsidRPr="00E23C0C">
        <w:rPr>
          <w:rFonts w:cs="Calibri"/>
          <w:sz w:val="22"/>
          <w:szCs w:val="22"/>
        </w:rPr>
        <w:t xml:space="preserve"> Michael, 2007; </w:t>
      </w:r>
      <w:proofErr w:type="spellStart"/>
      <w:r w:rsidRPr="00E23C0C">
        <w:rPr>
          <w:rFonts w:cs="Calibri"/>
          <w:sz w:val="22"/>
          <w:szCs w:val="22"/>
        </w:rPr>
        <w:t>Hystad</w:t>
      </w:r>
      <w:proofErr w:type="spellEnd"/>
      <w:r w:rsidRPr="00E23C0C">
        <w:rPr>
          <w:rFonts w:cs="Calibri"/>
          <w:sz w:val="22"/>
          <w:szCs w:val="22"/>
        </w:rPr>
        <w:t xml:space="preserve"> </w:t>
      </w:r>
      <w:r w:rsidR="00872152" w:rsidRPr="00E23C0C">
        <w:rPr>
          <w:rFonts w:cs="Calibri"/>
          <w:sz w:val="22"/>
          <w:szCs w:val="22"/>
        </w:rPr>
        <w:t>&amp;</w:t>
      </w:r>
      <w:r w:rsidRPr="00E23C0C">
        <w:rPr>
          <w:rFonts w:cs="Calibri"/>
          <w:sz w:val="22"/>
          <w:szCs w:val="22"/>
        </w:rPr>
        <w:t xml:space="preserve"> Keller, 2008). A few studies have employed extensive case-study methodologies to conduct a detailed analysis of government roles and interventions in post-disaster contexts (Amore </w:t>
      </w:r>
      <w:r w:rsidR="00872152" w:rsidRPr="00E23C0C">
        <w:rPr>
          <w:rFonts w:cs="Calibri"/>
          <w:sz w:val="22"/>
          <w:szCs w:val="22"/>
        </w:rPr>
        <w:t>&amp;</w:t>
      </w:r>
      <w:r w:rsidRPr="00E23C0C">
        <w:rPr>
          <w:rFonts w:cs="Calibri"/>
          <w:sz w:val="22"/>
          <w:szCs w:val="22"/>
        </w:rPr>
        <w:t xml:space="preserve"> Hall, 2016</w:t>
      </w:r>
      <w:r w:rsidR="00872152" w:rsidRPr="00E23C0C">
        <w:rPr>
          <w:rFonts w:cs="Calibri"/>
          <w:sz w:val="22"/>
          <w:szCs w:val="22"/>
        </w:rPr>
        <w:t xml:space="preserve">; </w:t>
      </w:r>
      <w:proofErr w:type="spellStart"/>
      <w:r w:rsidR="00872152" w:rsidRPr="00E23C0C">
        <w:rPr>
          <w:rFonts w:cs="Calibri"/>
          <w:sz w:val="22"/>
          <w:szCs w:val="22"/>
        </w:rPr>
        <w:t>Calgaro</w:t>
      </w:r>
      <w:proofErr w:type="spellEnd"/>
      <w:r w:rsidR="00872152" w:rsidRPr="00E23C0C">
        <w:rPr>
          <w:rFonts w:cs="Calibri"/>
          <w:sz w:val="22"/>
          <w:szCs w:val="22"/>
        </w:rPr>
        <w:t>, 2010</w:t>
      </w:r>
      <w:r w:rsidRPr="00E23C0C">
        <w:rPr>
          <w:rFonts w:cs="Calibri"/>
          <w:sz w:val="22"/>
          <w:szCs w:val="22"/>
        </w:rPr>
        <w:t>). The existing research on post-disaster destination management, rooted in qualitative methods, provides a descriptive analysis of interactions between multiple government sectors. However, several important aspects of intergovernmental collaboration remain unclear, including which government departments are interconnected, how they are interconnected, and what kind of relationship they maintain. Such facets can reveal the functioning of intergovernmental collaboration in promoting post-disaster destination management (</w:t>
      </w:r>
      <w:proofErr w:type="spellStart"/>
      <w:r w:rsidRPr="00E23C0C">
        <w:rPr>
          <w:rFonts w:cs="Calibri"/>
          <w:sz w:val="22"/>
          <w:szCs w:val="22"/>
        </w:rPr>
        <w:t>Kapucu</w:t>
      </w:r>
      <w:proofErr w:type="spellEnd"/>
      <w:r w:rsidRPr="00E23C0C">
        <w:rPr>
          <w:rFonts w:cs="Calibri"/>
          <w:sz w:val="22"/>
          <w:szCs w:val="22"/>
        </w:rPr>
        <w:t xml:space="preserve"> </w:t>
      </w:r>
      <w:r w:rsidR="00872152"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Demiroz</w:t>
      </w:r>
      <w:proofErr w:type="spellEnd"/>
      <w:r w:rsidRPr="00E23C0C">
        <w:rPr>
          <w:rFonts w:cs="Calibri"/>
          <w:sz w:val="22"/>
          <w:szCs w:val="22"/>
        </w:rPr>
        <w:t>, 2011). Network analysis is one of the major methods to systematically assess intergovernmental collaboration in other disciplines (</w:t>
      </w:r>
      <w:proofErr w:type="spellStart"/>
      <w:r w:rsidRPr="00E23C0C">
        <w:rPr>
          <w:rFonts w:cs="Calibri"/>
          <w:sz w:val="22"/>
          <w:szCs w:val="22"/>
        </w:rPr>
        <w:t>Caruson</w:t>
      </w:r>
      <w:proofErr w:type="spellEnd"/>
      <w:r w:rsidRPr="00E23C0C">
        <w:rPr>
          <w:rFonts w:cs="Calibri"/>
          <w:sz w:val="22"/>
          <w:szCs w:val="22"/>
        </w:rPr>
        <w:t xml:space="preserve"> </w:t>
      </w:r>
      <w:r w:rsidR="00872152"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Macmanus</w:t>
      </w:r>
      <w:proofErr w:type="spellEnd"/>
      <w:r w:rsidRPr="00E23C0C">
        <w:rPr>
          <w:rFonts w:cs="Calibri"/>
          <w:sz w:val="22"/>
          <w:szCs w:val="22"/>
        </w:rPr>
        <w:t xml:space="preserve">, 2012; Jung </w:t>
      </w:r>
      <w:r w:rsidR="00872152" w:rsidRPr="00E23C0C">
        <w:rPr>
          <w:rFonts w:cs="Calibri"/>
          <w:sz w:val="22"/>
          <w:szCs w:val="22"/>
        </w:rPr>
        <w:t>&amp;</w:t>
      </w:r>
      <w:r w:rsidRPr="00E23C0C">
        <w:rPr>
          <w:rFonts w:cs="Calibri"/>
          <w:sz w:val="22"/>
          <w:szCs w:val="22"/>
        </w:rPr>
        <w:t xml:space="preserve"> Song, 2014). Network analysis can provide more methodological insights into the interface of which government sectors form a collaborative structure, and collaborative interactions among those government sectors in post-disaster destination management. Therefore, this study, drawing on the case of </w:t>
      </w:r>
      <w:proofErr w:type="spellStart"/>
      <w:r w:rsidRPr="00E23C0C">
        <w:rPr>
          <w:rFonts w:cs="Calibri"/>
          <w:sz w:val="22"/>
          <w:szCs w:val="22"/>
        </w:rPr>
        <w:t>Jiuzhiagou</w:t>
      </w:r>
      <w:proofErr w:type="spellEnd"/>
      <w:r w:rsidRPr="00E23C0C">
        <w:rPr>
          <w:rFonts w:cs="Calibri"/>
          <w:sz w:val="22"/>
          <w:szCs w:val="22"/>
        </w:rPr>
        <w:t xml:space="preserve"> National Park, uses network analysis to explore the changing dynamics of intergovernmental collaboration at the emergency, intermediate and long-term recovery stages of post-disaster destination management. </w:t>
      </w:r>
    </w:p>
    <w:p w14:paraId="4F24B1D6" w14:textId="77777777" w:rsidR="0031281E" w:rsidRPr="00E23C0C" w:rsidRDefault="0031281E" w:rsidP="0031281E">
      <w:pPr>
        <w:spacing w:beforeLines="50" w:before="163" w:afterLines="50" w:after="163" w:line="400" w:lineRule="exact"/>
        <w:ind w:firstLine="420"/>
        <w:jc w:val="both"/>
        <w:rPr>
          <w:rFonts w:cs="Calibri"/>
          <w:sz w:val="22"/>
          <w:szCs w:val="22"/>
        </w:rPr>
      </w:pPr>
      <w:proofErr w:type="spellStart"/>
      <w:r w:rsidRPr="00E23C0C">
        <w:rPr>
          <w:rFonts w:cs="Calibri"/>
          <w:sz w:val="22"/>
          <w:szCs w:val="22"/>
        </w:rPr>
        <w:lastRenderedPageBreak/>
        <w:t>Jiuzhaigou</w:t>
      </w:r>
      <w:proofErr w:type="spellEnd"/>
      <w:r w:rsidRPr="00E23C0C">
        <w:rPr>
          <w:rFonts w:cs="Calibri"/>
          <w:sz w:val="22"/>
          <w:szCs w:val="22"/>
        </w:rPr>
        <w:t xml:space="preserve"> National Park is one of the most famous national parks in China. It is managed by the local government, but higher level of governments </w:t>
      </w:r>
      <w:proofErr w:type="gramStart"/>
      <w:r w:rsidRPr="00E23C0C">
        <w:rPr>
          <w:rFonts w:cs="Calibri"/>
          <w:sz w:val="22"/>
          <w:szCs w:val="22"/>
        </w:rPr>
        <w:t>are</w:t>
      </w:r>
      <w:proofErr w:type="gramEnd"/>
      <w:r w:rsidRPr="00E23C0C">
        <w:rPr>
          <w:rFonts w:cs="Calibri"/>
          <w:sz w:val="22"/>
          <w:szCs w:val="22"/>
        </w:rPr>
        <w:t xml:space="preserve"> also involved in its tourism destination management mainly in the form of super</w:t>
      </w:r>
      <w:r w:rsidRPr="00E23C0C">
        <w:rPr>
          <w:rFonts w:cs="Calibri" w:hint="eastAsia"/>
          <w:sz w:val="22"/>
          <w:szCs w:val="22"/>
        </w:rPr>
        <w:t>vision</w:t>
      </w:r>
      <w:r w:rsidRPr="00E23C0C">
        <w:rPr>
          <w:rFonts w:cs="Calibri"/>
          <w:sz w:val="22"/>
          <w:szCs w:val="22"/>
        </w:rPr>
        <w:t xml:space="preserve">. The 2017 </w:t>
      </w:r>
      <w:proofErr w:type="spellStart"/>
      <w:r w:rsidRPr="00E23C0C">
        <w:rPr>
          <w:rFonts w:cs="Calibri"/>
          <w:sz w:val="22"/>
          <w:szCs w:val="22"/>
        </w:rPr>
        <w:t>Jiuzhaigou</w:t>
      </w:r>
      <w:proofErr w:type="spellEnd"/>
      <w:r w:rsidRPr="00E23C0C">
        <w:rPr>
          <w:rFonts w:cs="Calibri"/>
          <w:sz w:val="22"/>
          <w:szCs w:val="22"/>
        </w:rPr>
        <w:t xml:space="preserve"> earthquake seriously destroyed local natural </w:t>
      </w:r>
      <w:proofErr w:type="spellStart"/>
      <w:r w:rsidRPr="00E23C0C">
        <w:rPr>
          <w:rFonts w:cs="Calibri"/>
          <w:sz w:val="22"/>
          <w:szCs w:val="22"/>
        </w:rPr>
        <w:t>landscap</w:t>
      </w:r>
      <w:proofErr w:type="spellEnd"/>
      <w:r w:rsidRPr="00E23C0C">
        <w:rPr>
          <w:rFonts w:cs="Calibri"/>
          <w:sz w:val="22"/>
          <w:szCs w:val="22"/>
          <w:lang w:val="en-US"/>
        </w:rPr>
        <w:t>e</w:t>
      </w:r>
      <w:r w:rsidRPr="00E23C0C">
        <w:rPr>
          <w:rFonts w:cs="Calibri"/>
          <w:sz w:val="22"/>
          <w:szCs w:val="22"/>
        </w:rPr>
        <w:t xml:space="preserve">, which led to the collapse of local tourism industry. It was subsequently announced that </w:t>
      </w:r>
      <w:proofErr w:type="spellStart"/>
      <w:r w:rsidRPr="00E23C0C">
        <w:rPr>
          <w:rFonts w:cs="Calibri"/>
          <w:sz w:val="22"/>
          <w:szCs w:val="22"/>
        </w:rPr>
        <w:t>Jiuzhaigou</w:t>
      </w:r>
      <w:proofErr w:type="spellEnd"/>
      <w:r w:rsidRPr="00E23C0C">
        <w:rPr>
          <w:rFonts w:cs="Calibri"/>
          <w:sz w:val="22"/>
          <w:szCs w:val="22"/>
        </w:rPr>
        <w:t xml:space="preserve"> National Park would have to close for post-disaster recovery. Government sectors at national, provincial, and local levels collaborated to reconstructed natural landscape and tourism-related </w:t>
      </w:r>
      <w:proofErr w:type="gramStart"/>
      <w:r w:rsidRPr="00E23C0C">
        <w:rPr>
          <w:rFonts w:cs="Calibri"/>
          <w:sz w:val="22"/>
          <w:szCs w:val="22"/>
        </w:rPr>
        <w:t>facilities, and</w:t>
      </w:r>
      <w:proofErr w:type="gramEnd"/>
      <w:r w:rsidRPr="00E23C0C">
        <w:rPr>
          <w:rFonts w:cs="Calibri"/>
          <w:sz w:val="22"/>
          <w:szCs w:val="22"/>
        </w:rPr>
        <w:t xml:space="preserve"> restored local tourism industry. The successful post-disaster destination management, dominated by intergovernmental collaboration, enables </w:t>
      </w:r>
      <w:proofErr w:type="spellStart"/>
      <w:r w:rsidRPr="00E23C0C">
        <w:rPr>
          <w:rFonts w:cs="Calibri"/>
          <w:sz w:val="22"/>
          <w:szCs w:val="22"/>
        </w:rPr>
        <w:t>Jiuzhaigou</w:t>
      </w:r>
      <w:proofErr w:type="spellEnd"/>
      <w:r w:rsidRPr="00E23C0C">
        <w:rPr>
          <w:rFonts w:cs="Calibri"/>
          <w:sz w:val="22"/>
          <w:szCs w:val="22"/>
        </w:rPr>
        <w:t xml:space="preserve"> National Park to recover swiftly and reopen to the public after two years that the earthquake occurred. Since </w:t>
      </w:r>
      <w:proofErr w:type="spellStart"/>
      <w:r w:rsidRPr="00E23C0C">
        <w:rPr>
          <w:rFonts w:cs="Calibri"/>
          <w:sz w:val="22"/>
          <w:szCs w:val="22"/>
        </w:rPr>
        <w:t>Jiuzhaigou</w:t>
      </w:r>
      <w:proofErr w:type="spellEnd"/>
      <w:r w:rsidRPr="00E23C0C">
        <w:rPr>
          <w:rFonts w:cs="Calibri"/>
          <w:sz w:val="22"/>
          <w:szCs w:val="22"/>
        </w:rPr>
        <w:t xml:space="preserve"> National Park has developed an intergovernmental collaboration framework in post-disaster destination management, this case can provide more insights for other tourism destinations.</w:t>
      </w:r>
    </w:p>
    <w:p w14:paraId="4DC7307D" w14:textId="4947F766"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The contributions of this study are two-fold. In theory, to the best of our knowledge, quantitative research on intergovernmental collaboration is scarce in post-disaster destination management (</w:t>
      </w:r>
      <w:r w:rsidR="00872152" w:rsidRPr="00E23C0C">
        <w:rPr>
          <w:rFonts w:cs="Calibri"/>
          <w:sz w:val="22"/>
          <w:szCs w:val="22"/>
        </w:rPr>
        <w:t xml:space="preserve">Amore &amp; Hall, 2016; </w:t>
      </w:r>
      <w:proofErr w:type="spellStart"/>
      <w:r w:rsidR="00872152" w:rsidRPr="00E23C0C">
        <w:rPr>
          <w:rFonts w:cs="Calibri"/>
          <w:sz w:val="22"/>
          <w:szCs w:val="22"/>
        </w:rPr>
        <w:t>Calgaro</w:t>
      </w:r>
      <w:proofErr w:type="spellEnd"/>
      <w:r w:rsidR="00872152" w:rsidRPr="00E23C0C">
        <w:rPr>
          <w:rFonts w:cs="Calibri"/>
          <w:sz w:val="22"/>
          <w:szCs w:val="22"/>
        </w:rPr>
        <w:t xml:space="preserve">, 2010; </w:t>
      </w:r>
      <w:proofErr w:type="spellStart"/>
      <w:r w:rsidR="00872152" w:rsidRPr="00E23C0C">
        <w:rPr>
          <w:rFonts w:cs="Calibri"/>
          <w:sz w:val="22"/>
          <w:szCs w:val="22"/>
        </w:rPr>
        <w:t>Cioccio</w:t>
      </w:r>
      <w:proofErr w:type="spellEnd"/>
      <w:r w:rsidR="00872152" w:rsidRPr="00E23C0C">
        <w:rPr>
          <w:rFonts w:cs="Calibri"/>
          <w:sz w:val="22"/>
          <w:szCs w:val="22"/>
        </w:rPr>
        <w:t xml:space="preserve"> &amp; Michael, 2007; </w:t>
      </w:r>
      <w:proofErr w:type="spellStart"/>
      <w:r w:rsidRPr="00E23C0C">
        <w:rPr>
          <w:rFonts w:cs="Calibri"/>
          <w:sz w:val="22"/>
          <w:szCs w:val="22"/>
        </w:rPr>
        <w:t>Hystad</w:t>
      </w:r>
      <w:proofErr w:type="spellEnd"/>
      <w:r w:rsidRPr="00E23C0C">
        <w:rPr>
          <w:rFonts w:cs="Calibri"/>
          <w:sz w:val="22"/>
          <w:szCs w:val="22"/>
        </w:rPr>
        <w:t xml:space="preserve"> </w:t>
      </w:r>
      <w:r w:rsidR="00872152" w:rsidRPr="00E23C0C">
        <w:rPr>
          <w:rFonts w:cs="Calibri"/>
          <w:sz w:val="22"/>
          <w:szCs w:val="22"/>
        </w:rPr>
        <w:t>&amp;</w:t>
      </w:r>
      <w:r w:rsidRPr="00E23C0C">
        <w:rPr>
          <w:rFonts w:cs="Calibri"/>
          <w:sz w:val="22"/>
          <w:szCs w:val="22"/>
        </w:rPr>
        <w:t xml:space="preserve"> Keller, 2008). This research could be the first detailed analysis to systematically explore the structure of intergovernmental collaboration in post-disaster destination management. Based on this, the study, building on the complexity of destination management in the post-disaster context, can contribute to greater understanding of the changing dynamics of intergovernmental collaboration that occur throughout the whole process of post-disaster tourism destination. In practice, attention to the changes of </w:t>
      </w:r>
      <w:r w:rsidRPr="00E23C0C">
        <w:rPr>
          <w:rFonts w:cs="Calibri"/>
          <w:sz w:val="22"/>
          <w:szCs w:val="22"/>
          <w:shd w:val="clear" w:color="auto" w:fill="FFFFFF"/>
        </w:rPr>
        <w:t xml:space="preserve">intergovernmental collaboration dynamic can help multi-level governments and tourism destinations to improve collaborative strategies at different stages of post-disaster destination management. </w:t>
      </w:r>
    </w:p>
    <w:p w14:paraId="6D9C0BC4" w14:textId="77777777" w:rsidR="0031281E" w:rsidRPr="00E23C0C" w:rsidRDefault="0031281E" w:rsidP="0031281E">
      <w:pPr>
        <w:spacing w:beforeLines="50" w:before="163" w:afterLines="50" w:after="163" w:line="400" w:lineRule="exact"/>
        <w:jc w:val="both"/>
        <w:rPr>
          <w:rFonts w:cs="Calibri"/>
          <w:b/>
          <w:sz w:val="28"/>
          <w:szCs w:val="28"/>
        </w:rPr>
      </w:pPr>
      <w:r w:rsidRPr="00E23C0C">
        <w:rPr>
          <w:rFonts w:cs="Calibri"/>
          <w:b/>
          <w:sz w:val="28"/>
          <w:szCs w:val="28"/>
        </w:rPr>
        <w:t>2 Literature review</w:t>
      </w:r>
    </w:p>
    <w:p w14:paraId="167C4EAC" w14:textId="77777777" w:rsidR="0031281E" w:rsidRPr="00E23C0C" w:rsidRDefault="0031281E" w:rsidP="0031281E">
      <w:pPr>
        <w:spacing w:beforeLines="50" w:before="163" w:afterLines="50" w:after="163" w:line="400" w:lineRule="exact"/>
        <w:jc w:val="both"/>
        <w:rPr>
          <w:rFonts w:cs="Calibri"/>
          <w:b/>
          <w:bCs/>
          <w:sz w:val="22"/>
          <w:szCs w:val="22"/>
        </w:rPr>
      </w:pPr>
      <w:r w:rsidRPr="00E23C0C">
        <w:rPr>
          <w:rFonts w:cs="Calibri"/>
          <w:b/>
          <w:bCs/>
          <w:sz w:val="22"/>
          <w:szCs w:val="22"/>
        </w:rPr>
        <w:t xml:space="preserve">2.1 Post-disaster destination management and intergovernmental collaboration </w:t>
      </w:r>
    </w:p>
    <w:p w14:paraId="39E2E8B0" w14:textId="39461555"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With a growing interest in minimising negative disaster impacts on tourist destinations, scholars have given critical standpoints concerning destination management in the post-disaster context (</w:t>
      </w:r>
      <w:proofErr w:type="spellStart"/>
      <w:r w:rsidRPr="00E23C0C">
        <w:rPr>
          <w:rFonts w:cs="Calibri"/>
          <w:sz w:val="22"/>
          <w:szCs w:val="22"/>
        </w:rPr>
        <w:t>Gurtner</w:t>
      </w:r>
      <w:proofErr w:type="spellEnd"/>
      <w:r w:rsidRPr="00E23C0C">
        <w:rPr>
          <w:rFonts w:cs="Calibri"/>
          <w:sz w:val="22"/>
          <w:szCs w:val="22"/>
        </w:rPr>
        <w:t xml:space="preserve">, 2016; </w:t>
      </w:r>
      <w:proofErr w:type="spellStart"/>
      <w:r w:rsidRPr="00E23C0C">
        <w:rPr>
          <w:rFonts w:cs="Calibri"/>
          <w:sz w:val="22"/>
          <w:szCs w:val="22"/>
        </w:rPr>
        <w:t>Seraphin</w:t>
      </w:r>
      <w:proofErr w:type="spellEnd"/>
      <w:r w:rsidRPr="00E23C0C">
        <w:rPr>
          <w:rFonts w:cs="Calibri"/>
          <w:sz w:val="22"/>
          <w:szCs w:val="22"/>
        </w:rPr>
        <w:t>, 2019). Post-disaster destination management consists of overcoming adverse effects of a disaster, as well as keeping destinations competitive and attractive as before (</w:t>
      </w:r>
      <w:proofErr w:type="spellStart"/>
      <w:r w:rsidRPr="00E23C0C">
        <w:rPr>
          <w:rFonts w:cs="Calibri"/>
          <w:sz w:val="22"/>
          <w:szCs w:val="22"/>
        </w:rPr>
        <w:t>Amujo</w:t>
      </w:r>
      <w:proofErr w:type="spellEnd"/>
      <w:r w:rsidRPr="00E23C0C">
        <w:rPr>
          <w:rFonts w:cs="Calibri"/>
          <w:sz w:val="22"/>
          <w:szCs w:val="22"/>
        </w:rPr>
        <w:t xml:space="preserve"> </w:t>
      </w:r>
      <w:r w:rsidR="00872152"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Otubanjo</w:t>
      </w:r>
      <w:proofErr w:type="spellEnd"/>
      <w:r w:rsidRPr="00E23C0C">
        <w:rPr>
          <w:rFonts w:cs="Calibri"/>
          <w:sz w:val="22"/>
          <w:szCs w:val="22"/>
        </w:rPr>
        <w:t xml:space="preserve">, 2012; Lee </w:t>
      </w:r>
      <w:r w:rsidR="00872152" w:rsidRPr="00E23C0C">
        <w:rPr>
          <w:rFonts w:cs="Calibri"/>
          <w:sz w:val="22"/>
          <w:szCs w:val="22"/>
        </w:rPr>
        <w:t>&amp;</w:t>
      </w:r>
      <w:r w:rsidRPr="00E23C0C">
        <w:rPr>
          <w:rFonts w:cs="Calibri"/>
          <w:sz w:val="22"/>
          <w:szCs w:val="22"/>
        </w:rPr>
        <w:t xml:space="preserve"> Hyun, 2016). That is, successful post-disaster destination management should involve swift emergency rescue, well-organised intermediate strategies, and implementing long-term recovery projects (Faulkner, 2001). As such, post-disaster destination management often requires a substantial </w:t>
      </w:r>
      <w:r w:rsidRPr="00E23C0C">
        <w:rPr>
          <w:rFonts w:cs="Calibri"/>
          <w:sz w:val="22"/>
          <w:szCs w:val="22"/>
        </w:rPr>
        <w:lastRenderedPageBreak/>
        <w:t xml:space="preserve">input of resources, capital and technology. Many studies increasingly highlight the necessity of considering government support as an effective strategy for post-disaster destination management (Kato, 2018; Seraphin et al., 2020). </w:t>
      </w:r>
    </w:p>
    <w:p w14:paraId="5105775C" w14:textId="368386FE"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Previous studies have paid considerable attention to the significant role of multi-level government sectors in post-disaster destination management (Beaumont </w:t>
      </w:r>
      <w:r w:rsidR="00872152" w:rsidRPr="00E23C0C">
        <w:rPr>
          <w:rFonts w:cs="Calibri"/>
          <w:sz w:val="22"/>
          <w:szCs w:val="22"/>
        </w:rPr>
        <w:t>&amp;</w:t>
      </w:r>
      <w:r w:rsidRPr="00E23C0C">
        <w:rPr>
          <w:rFonts w:cs="Calibri"/>
          <w:sz w:val="22"/>
          <w:szCs w:val="22"/>
        </w:rPr>
        <w:t xml:space="preserve"> Dredge, 2010</w:t>
      </w:r>
      <w:r w:rsidR="00872152" w:rsidRPr="00E23C0C">
        <w:rPr>
          <w:rFonts w:cs="Calibri"/>
          <w:sz w:val="22"/>
          <w:szCs w:val="22"/>
        </w:rPr>
        <w:t>; Dredge, 2006; Pavlovich, 2001</w:t>
      </w:r>
      <w:r w:rsidRPr="00E23C0C">
        <w:rPr>
          <w:rFonts w:cs="Calibri"/>
          <w:sz w:val="22"/>
          <w:szCs w:val="22"/>
        </w:rPr>
        <w:t>). Many scholars have shown how national and provincial governments often provide disaster response assistance through emergency management training, providing information about potential post-disaster events, and giving local governments funding to facilitate long-term recovery, such as compensation loans and tax exemptions (</w:t>
      </w:r>
      <w:proofErr w:type="spellStart"/>
      <w:r w:rsidRPr="00E23C0C">
        <w:rPr>
          <w:rFonts w:cs="Calibri"/>
          <w:sz w:val="22"/>
          <w:szCs w:val="22"/>
        </w:rPr>
        <w:t>Zurita</w:t>
      </w:r>
      <w:proofErr w:type="spellEnd"/>
      <w:r w:rsidRPr="00E23C0C">
        <w:rPr>
          <w:rFonts w:cs="Calibri"/>
          <w:sz w:val="22"/>
          <w:szCs w:val="22"/>
        </w:rPr>
        <w:t xml:space="preserve"> et al., 2015). Higher level governments are not only responsible for providing extensive resources to help local governments restore affected areas, but also take steps to work out the next stage of post-disaster recovery (Ghaderi et al., 2015). Local governments are geographically situated at the lowest level and closest to affected communities (Baker </w:t>
      </w:r>
      <w:r w:rsidR="00872152"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Refsgaard</w:t>
      </w:r>
      <w:proofErr w:type="spellEnd"/>
      <w:r w:rsidRPr="00E23C0C">
        <w:rPr>
          <w:rFonts w:cs="Calibri"/>
          <w:sz w:val="22"/>
          <w:szCs w:val="22"/>
        </w:rPr>
        <w:t xml:space="preserve">, 2007). Responsibilities of local governments concerning post-disaster destination management can be divided into three categories: 1) taking the initiative in protecting their citizens and tourists (Col, 2007); 2) mobilising local initiatives to engage in the decision-making process; and 3) ensuring greater administrative discretion and flexibility to implement post-disaster planning (Cretney, 2016). Different types of government sectors with distinct roles and functions and their participation underline the significance of these bodies in implementing post-disaster destination management.  </w:t>
      </w:r>
    </w:p>
    <w:p w14:paraId="59C0F2F1" w14:textId="0E65CD7E"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Due to the complexity of post-disaster destination management, the engagement of government sectors, often taking the form of intergovernmental collaboration, can bridge the capacities of multi-level government sectors for management (</w:t>
      </w:r>
      <w:proofErr w:type="spellStart"/>
      <w:r w:rsidRPr="00E23C0C">
        <w:rPr>
          <w:rFonts w:cs="Calibri"/>
          <w:sz w:val="22"/>
          <w:szCs w:val="22"/>
        </w:rPr>
        <w:t>Ladkin</w:t>
      </w:r>
      <w:proofErr w:type="spellEnd"/>
      <w:r w:rsidRPr="00E23C0C">
        <w:rPr>
          <w:rFonts w:cs="Calibri"/>
          <w:sz w:val="22"/>
          <w:szCs w:val="22"/>
        </w:rPr>
        <w:t xml:space="preserve"> et al., 2008). Many studies in other disciplines, such as political science, have explored the establishment and development of intergovernmental collaboration. There are two main types of intergovernmental collaboration: hierarchical collaboration and horizontal collaboration (</w:t>
      </w:r>
      <w:proofErr w:type="spellStart"/>
      <w:r w:rsidR="002C4977" w:rsidRPr="00E23C0C">
        <w:rPr>
          <w:rFonts w:cs="Calibri"/>
          <w:sz w:val="22"/>
          <w:szCs w:val="22"/>
        </w:rPr>
        <w:t>Hovil</w:t>
      </w:r>
      <w:proofErr w:type="spellEnd"/>
      <w:r w:rsidR="002C4977" w:rsidRPr="00E23C0C">
        <w:rPr>
          <w:rFonts w:cs="Calibri"/>
          <w:sz w:val="22"/>
          <w:szCs w:val="22"/>
        </w:rPr>
        <w:t xml:space="preserve"> &amp; </w:t>
      </w:r>
      <w:proofErr w:type="spellStart"/>
      <w:r w:rsidR="002C4977" w:rsidRPr="00E23C0C">
        <w:rPr>
          <w:rFonts w:cs="Calibri"/>
          <w:sz w:val="22"/>
          <w:szCs w:val="22"/>
        </w:rPr>
        <w:t>Stokke</w:t>
      </w:r>
      <w:proofErr w:type="spellEnd"/>
      <w:r w:rsidR="002C4977" w:rsidRPr="00E23C0C">
        <w:rPr>
          <w:rFonts w:cs="Calibri"/>
          <w:sz w:val="22"/>
          <w:szCs w:val="22"/>
        </w:rPr>
        <w:t xml:space="preserve">, 2007; </w:t>
      </w:r>
      <w:r w:rsidRPr="00E23C0C">
        <w:rPr>
          <w:rFonts w:cs="Calibri"/>
          <w:sz w:val="22"/>
          <w:szCs w:val="22"/>
        </w:rPr>
        <w:t xml:space="preserve">Pierre </w:t>
      </w:r>
      <w:r w:rsidR="002C4977" w:rsidRPr="00E23C0C">
        <w:rPr>
          <w:rFonts w:cs="Calibri"/>
          <w:sz w:val="22"/>
          <w:szCs w:val="22"/>
        </w:rPr>
        <w:t xml:space="preserve">&amp; </w:t>
      </w:r>
      <w:r w:rsidRPr="00E23C0C">
        <w:rPr>
          <w:rFonts w:cs="Calibri"/>
          <w:sz w:val="22"/>
          <w:szCs w:val="22"/>
        </w:rPr>
        <w:t>Peters, 2000).</w:t>
      </w:r>
      <w:r w:rsidRPr="00E23C0C" w:rsidDel="008E5D0A">
        <w:rPr>
          <w:rFonts w:cs="Calibri"/>
          <w:sz w:val="22"/>
          <w:szCs w:val="22"/>
        </w:rPr>
        <w:t xml:space="preserve"> </w:t>
      </w:r>
      <w:r w:rsidRPr="00E23C0C">
        <w:rPr>
          <w:rFonts w:cs="Calibri"/>
          <w:sz w:val="22"/>
          <w:szCs w:val="22"/>
        </w:rPr>
        <w:t>Hierarchical collaboration emphasises that multi-level government sectors collaborate to achieve common goals in the centralised way (Moore, 2009). Horizontal collaboration is characterised by local autonomy, devolved power and decentralised problem-solving (</w:t>
      </w:r>
      <w:proofErr w:type="spellStart"/>
      <w:r w:rsidRPr="00E23C0C">
        <w:rPr>
          <w:rFonts w:cs="Calibri"/>
          <w:sz w:val="22"/>
          <w:szCs w:val="22"/>
        </w:rPr>
        <w:t>Caruson</w:t>
      </w:r>
      <w:proofErr w:type="spellEnd"/>
      <w:r w:rsidRPr="00E23C0C">
        <w:rPr>
          <w:rFonts w:cs="Calibri"/>
          <w:sz w:val="22"/>
          <w:szCs w:val="22"/>
        </w:rPr>
        <w:t xml:space="preserve"> </w:t>
      </w:r>
      <w:r w:rsidR="002C4977" w:rsidRPr="00E23C0C">
        <w:rPr>
          <w:rFonts w:cs="Calibri"/>
          <w:sz w:val="22"/>
          <w:szCs w:val="22"/>
        </w:rPr>
        <w:t>&amp;</w:t>
      </w:r>
      <w:r w:rsidRPr="00E23C0C">
        <w:rPr>
          <w:rFonts w:cs="Calibri"/>
          <w:sz w:val="22"/>
          <w:szCs w:val="22"/>
        </w:rPr>
        <w:t xml:space="preserve"> MacManus, 2012). The two types can be summarised as top-down or bottom-up collaboration (</w:t>
      </w:r>
      <w:proofErr w:type="spellStart"/>
      <w:r w:rsidRPr="00E23C0C">
        <w:rPr>
          <w:rFonts w:cs="Calibri"/>
          <w:sz w:val="22"/>
          <w:szCs w:val="22"/>
        </w:rPr>
        <w:t>Kapucu</w:t>
      </w:r>
      <w:proofErr w:type="spellEnd"/>
      <w:r w:rsidRPr="00E23C0C">
        <w:rPr>
          <w:rFonts w:cs="Calibri"/>
          <w:sz w:val="22"/>
          <w:szCs w:val="22"/>
        </w:rPr>
        <w:t xml:space="preserve"> </w:t>
      </w:r>
      <w:r w:rsidR="002C4977"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Garayev</w:t>
      </w:r>
      <w:proofErr w:type="spellEnd"/>
      <w:r w:rsidRPr="00E23C0C">
        <w:rPr>
          <w:rFonts w:cs="Calibri"/>
          <w:sz w:val="22"/>
          <w:szCs w:val="22"/>
        </w:rPr>
        <w:t xml:space="preserve">, 2014). Based on that, scholars have subsequently re-contextualised the two modes discussed above. Instead of separating hierarchical collaboration from horizontal collaboration, </w:t>
      </w:r>
      <w:proofErr w:type="spellStart"/>
      <w:r w:rsidRPr="00E23C0C">
        <w:rPr>
          <w:rFonts w:cs="Calibri"/>
          <w:sz w:val="22"/>
          <w:szCs w:val="22"/>
        </w:rPr>
        <w:t>Scharpf</w:t>
      </w:r>
      <w:proofErr w:type="spellEnd"/>
      <w:r w:rsidRPr="00E23C0C">
        <w:rPr>
          <w:rFonts w:cs="Calibri"/>
          <w:sz w:val="22"/>
          <w:szCs w:val="22"/>
        </w:rPr>
        <w:t xml:space="preserve"> (1994: 40) focuses on their interdependencies, as hierarchical power can be realised by local political </w:t>
      </w:r>
      <w:r w:rsidRPr="00E23C0C">
        <w:rPr>
          <w:rFonts w:cs="Calibri"/>
          <w:sz w:val="22"/>
          <w:szCs w:val="22"/>
        </w:rPr>
        <w:lastRenderedPageBreak/>
        <w:t xml:space="preserve">practices and negotiations, and hierarchical structures can also enhance coordination capacity of local political networks. He emphasises the need for interdependence between hierarchical intervention and local political practices. This interdependence can be understood as “the tangled hierarchies or shadow of hierarchical authority” (Amore </w:t>
      </w:r>
      <w:r w:rsidR="002C4977" w:rsidRPr="00E23C0C">
        <w:rPr>
          <w:rFonts w:cs="Calibri"/>
          <w:sz w:val="22"/>
          <w:szCs w:val="22"/>
        </w:rPr>
        <w:t>&amp;</w:t>
      </w:r>
      <w:r w:rsidRPr="00E23C0C">
        <w:rPr>
          <w:rFonts w:cs="Calibri"/>
          <w:sz w:val="22"/>
          <w:szCs w:val="22"/>
        </w:rPr>
        <w:t xml:space="preserve"> Hall, 2016: 116). The combination of hierarchical intervention with horizontal coordination not only includes the hierarchical administrative </w:t>
      </w:r>
      <w:proofErr w:type="gramStart"/>
      <w:r w:rsidRPr="00E23C0C">
        <w:rPr>
          <w:rFonts w:cs="Calibri"/>
          <w:sz w:val="22"/>
          <w:szCs w:val="22"/>
        </w:rPr>
        <w:t>mode, but</w:t>
      </w:r>
      <w:proofErr w:type="gramEnd"/>
      <w:r w:rsidRPr="00E23C0C">
        <w:rPr>
          <w:rFonts w:cs="Calibri"/>
          <w:sz w:val="22"/>
          <w:szCs w:val="22"/>
        </w:rPr>
        <w:t xml:space="preserve"> adds the engagement of government sectors at the same level (Jessop, 2011).  </w:t>
      </w:r>
    </w:p>
    <w:p w14:paraId="5A34DE51" w14:textId="4FCBAB6C"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Different types of intergovernmental collaboration reflect different modes of interaction that can be shaped by political-administrative contexts (Hall, 1999, 2009; Pierre </w:t>
      </w:r>
      <w:r w:rsidR="002C4977" w:rsidRPr="00E23C0C">
        <w:rPr>
          <w:rFonts w:cs="Calibri"/>
          <w:sz w:val="22"/>
          <w:szCs w:val="22"/>
        </w:rPr>
        <w:t>&amp;</w:t>
      </w:r>
      <w:r w:rsidRPr="00E23C0C">
        <w:rPr>
          <w:rFonts w:cs="Calibri"/>
          <w:sz w:val="22"/>
          <w:szCs w:val="22"/>
        </w:rPr>
        <w:t xml:space="preserve"> Peters, 2005). In many western countries, hierarchical collaboration, horizontal collaboration and the combination of the two are widely welcomed in post-disaster tourism destination management (Amore </w:t>
      </w:r>
      <w:r w:rsidR="0083288D" w:rsidRPr="00E23C0C">
        <w:rPr>
          <w:rFonts w:cs="Calibri"/>
          <w:sz w:val="22"/>
          <w:szCs w:val="22"/>
        </w:rPr>
        <w:t>&amp;</w:t>
      </w:r>
      <w:r w:rsidRPr="00E23C0C">
        <w:rPr>
          <w:rFonts w:cs="Calibri"/>
          <w:sz w:val="22"/>
          <w:szCs w:val="22"/>
        </w:rPr>
        <w:t xml:space="preserve"> Hall, 2016). Unlike many Western countries, the centralised Chinese administrative system has been particularly significant in dominating post-disaster destination management (Yang et al., 2011). This essentially means that the central government has the ultimate decision-making power: that is, the central government has absolute authority, while the local government is subordinate to the superior and the central government (Zhong </w:t>
      </w:r>
      <w:r w:rsidR="002C4977" w:rsidRPr="00E23C0C">
        <w:rPr>
          <w:rFonts w:cs="Calibri"/>
          <w:sz w:val="22"/>
          <w:szCs w:val="22"/>
        </w:rPr>
        <w:t>&amp;</w:t>
      </w:r>
      <w:r w:rsidRPr="00E23C0C">
        <w:rPr>
          <w:rFonts w:cs="Calibri"/>
          <w:sz w:val="22"/>
          <w:szCs w:val="22"/>
        </w:rPr>
        <w:t xml:space="preserve"> Lu, 2018). Although local governments start to strengthen horizontal collaboration with other government at the same level, central and local governments in the Chinese centralised political-administrative structure still follow the traditional hierarchical collaboration mode (Shi, 2012).  </w:t>
      </w:r>
    </w:p>
    <w:p w14:paraId="3941B04E" w14:textId="4370EA01"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The above discussion of intergovernmental collaboration has consistently emphasised how different level government sectors interconnect to form collaborative structure, and further reflected different modes of interaction within a specific context. </w:t>
      </w:r>
      <w:r w:rsidRPr="00E23C0C">
        <w:rPr>
          <w:rFonts w:eastAsiaTheme="minorEastAsia" w:cs="Calibri"/>
          <w:kern w:val="2"/>
          <w:sz w:val="22"/>
          <w:szCs w:val="22"/>
        </w:rPr>
        <w:t xml:space="preserve">Intergovernmental collaboration can provide a means to address organisational and operational issues that emerge from post-disaster destination management (Amore </w:t>
      </w:r>
      <w:r w:rsidR="002C4977" w:rsidRPr="00E23C0C">
        <w:rPr>
          <w:rFonts w:cs="Calibri"/>
          <w:sz w:val="22"/>
          <w:szCs w:val="22"/>
        </w:rPr>
        <w:t>&amp;</w:t>
      </w:r>
      <w:r w:rsidRPr="00E23C0C">
        <w:rPr>
          <w:rFonts w:eastAsiaTheme="minorEastAsia" w:cs="Calibri"/>
          <w:kern w:val="2"/>
          <w:sz w:val="22"/>
          <w:szCs w:val="22"/>
        </w:rPr>
        <w:t xml:space="preserve"> Hall, 2016). </w:t>
      </w:r>
      <w:r w:rsidRPr="00E23C0C">
        <w:rPr>
          <w:rFonts w:cs="Calibri"/>
          <w:sz w:val="22"/>
          <w:szCs w:val="22"/>
        </w:rPr>
        <w:t xml:space="preserve">Post-disaster policy announcements, decisions, and measures for destination management are drawn up and implemented through a wide range of intergovernmental interactions (Ritchie, 2004). </w:t>
      </w:r>
      <w:r w:rsidRPr="00E23C0C">
        <w:rPr>
          <w:rFonts w:eastAsiaTheme="minorEastAsia" w:cs="Calibri"/>
          <w:kern w:val="2"/>
          <w:sz w:val="22"/>
          <w:szCs w:val="22"/>
        </w:rPr>
        <w:t xml:space="preserve">This collaborative process involves the sharing of resources between multi-level government </w:t>
      </w:r>
      <w:r w:rsidRPr="00E23C0C">
        <w:rPr>
          <w:rFonts w:eastAsiaTheme="minorEastAsia" w:cs="Calibri" w:hint="eastAsia"/>
          <w:kern w:val="2"/>
          <w:sz w:val="22"/>
          <w:szCs w:val="22"/>
        </w:rPr>
        <w:t>sector</w:t>
      </w:r>
      <w:r w:rsidRPr="00E23C0C">
        <w:rPr>
          <w:rFonts w:eastAsiaTheme="minorEastAsia" w:cs="Calibri"/>
          <w:kern w:val="2"/>
          <w:sz w:val="22"/>
          <w:szCs w:val="22"/>
        </w:rPr>
        <w:t xml:space="preserve">s </w:t>
      </w:r>
      <w:proofErr w:type="gramStart"/>
      <w:r w:rsidRPr="00E23C0C">
        <w:rPr>
          <w:rFonts w:eastAsiaTheme="minorEastAsia" w:cs="Calibri"/>
          <w:kern w:val="2"/>
          <w:sz w:val="22"/>
          <w:szCs w:val="22"/>
        </w:rPr>
        <w:t>in order to</w:t>
      </w:r>
      <w:proofErr w:type="gramEnd"/>
      <w:r w:rsidRPr="00E23C0C">
        <w:rPr>
          <w:rFonts w:eastAsiaTheme="minorEastAsia" w:cs="Calibri"/>
          <w:kern w:val="2"/>
          <w:sz w:val="22"/>
          <w:szCs w:val="22"/>
        </w:rPr>
        <w:t xml:space="preserve"> address the post-disaster destination management challenges that a single government sector cannot resolve alone. However, little effort has been made to conceptualise the structure of intergovernmental collaboration. It remains unclear how collaboration among government sectors operates across functional, hierarchical and geographical boundaries in post-disaster destination management.</w:t>
      </w:r>
    </w:p>
    <w:p w14:paraId="281562E0" w14:textId="77777777" w:rsidR="0031281E" w:rsidRPr="00E23C0C" w:rsidRDefault="0031281E" w:rsidP="0031281E">
      <w:pPr>
        <w:spacing w:beforeLines="50" w:before="163" w:afterLines="50" w:after="163" w:line="400" w:lineRule="exact"/>
        <w:jc w:val="both"/>
        <w:rPr>
          <w:rFonts w:cs="Calibri"/>
          <w:b/>
          <w:sz w:val="22"/>
          <w:szCs w:val="22"/>
        </w:rPr>
      </w:pPr>
      <w:r w:rsidRPr="00E23C0C">
        <w:rPr>
          <w:rFonts w:cs="Calibri"/>
          <w:b/>
          <w:sz w:val="22"/>
          <w:szCs w:val="22"/>
        </w:rPr>
        <w:lastRenderedPageBreak/>
        <w:t xml:space="preserve">2.2 Network analysis as an approach to understand intergovernmental collaboration in post-disaster destination management </w:t>
      </w:r>
    </w:p>
    <w:p w14:paraId="577EEA3D" w14:textId="6BF981B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lang w:val="en-US"/>
        </w:rPr>
        <w:t>Behind intergovernmental collaboration lie</w:t>
      </w:r>
      <w:r w:rsidRPr="00E23C0C">
        <w:rPr>
          <w:rFonts w:cs="Calibri"/>
          <w:sz w:val="22"/>
          <w:szCs w:val="22"/>
        </w:rPr>
        <w:t xml:space="preserve"> extensive interactions between multi-level government </w:t>
      </w:r>
      <w:r w:rsidRPr="00E23C0C">
        <w:rPr>
          <w:rFonts w:cs="Calibri" w:hint="eastAsia"/>
          <w:sz w:val="22"/>
          <w:szCs w:val="22"/>
        </w:rPr>
        <w:t>sector</w:t>
      </w:r>
      <w:r w:rsidRPr="00E23C0C">
        <w:rPr>
          <w:rFonts w:cs="Calibri"/>
          <w:sz w:val="22"/>
          <w:szCs w:val="22"/>
        </w:rPr>
        <w:t xml:space="preserve">s. As the prevailing discussion on intergovernmental collaboration, collaborative activities are likely to interconnect different level government sectors to form the structure. </w:t>
      </w:r>
      <w:r w:rsidRPr="00E23C0C">
        <w:rPr>
          <w:rFonts w:cs="Calibri"/>
          <w:sz w:val="22"/>
          <w:szCs w:val="22"/>
          <w:lang w:val="en-US"/>
        </w:rPr>
        <w:t xml:space="preserve">Network analysis </w:t>
      </w:r>
      <w:r w:rsidRPr="00E23C0C">
        <w:rPr>
          <w:rFonts w:cs="Calibri" w:hint="eastAsia"/>
          <w:sz w:val="22"/>
          <w:szCs w:val="22"/>
          <w:lang w:val="en-US"/>
        </w:rPr>
        <w:t>is</w:t>
      </w:r>
      <w:r w:rsidRPr="00E23C0C">
        <w:rPr>
          <w:rFonts w:cs="Calibri"/>
          <w:sz w:val="22"/>
          <w:szCs w:val="22"/>
          <w:lang w:val="en-US"/>
        </w:rPr>
        <w:t xml:space="preserve"> an innovative approach to reveal intergovernmental</w:t>
      </w:r>
      <w:r w:rsidRPr="00E23C0C">
        <w:rPr>
          <w:rFonts w:cs="Calibri"/>
          <w:sz w:val="22"/>
          <w:szCs w:val="22"/>
        </w:rPr>
        <w:t xml:space="preserve"> collaboration (</w:t>
      </w:r>
      <w:proofErr w:type="spellStart"/>
      <w:r w:rsidRPr="00E23C0C">
        <w:rPr>
          <w:rFonts w:cs="Calibri"/>
          <w:sz w:val="22"/>
          <w:szCs w:val="22"/>
        </w:rPr>
        <w:t>Caruson</w:t>
      </w:r>
      <w:proofErr w:type="spellEnd"/>
      <w:r w:rsidRPr="00E23C0C">
        <w:rPr>
          <w:rFonts w:cs="Calibri"/>
          <w:sz w:val="22"/>
          <w:szCs w:val="22"/>
        </w:rPr>
        <w:t xml:space="preserve"> </w:t>
      </w:r>
      <w:r w:rsidR="002C4977"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Macmanus</w:t>
      </w:r>
      <w:proofErr w:type="spellEnd"/>
      <w:r w:rsidRPr="00E23C0C">
        <w:rPr>
          <w:rFonts w:cs="Calibri"/>
          <w:sz w:val="22"/>
          <w:szCs w:val="22"/>
        </w:rPr>
        <w:t xml:space="preserve">, 2012; Jung </w:t>
      </w:r>
      <w:r w:rsidR="002C4977" w:rsidRPr="00E23C0C">
        <w:rPr>
          <w:rFonts w:cs="Calibri"/>
          <w:sz w:val="22"/>
          <w:szCs w:val="22"/>
        </w:rPr>
        <w:t>&amp;</w:t>
      </w:r>
      <w:r w:rsidRPr="00E23C0C">
        <w:rPr>
          <w:rFonts w:cs="Calibri"/>
          <w:sz w:val="22"/>
          <w:szCs w:val="22"/>
        </w:rPr>
        <w:t xml:space="preserve"> Song, 2014</w:t>
      </w:r>
      <w:r w:rsidR="002C4977" w:rsidRPr="00E23C0C">
        <w:rPr>
          <w:rFonts w:cs="Calibri"/>
          <w:sz w:val="22"/>
          <w:szCs w:val="22"/>
        </w:rPr>
        <w:t xml:space="preserve">; Mandell &amp; </w:t>
      </w:r>
      <w:proofErr w:type="spellStart"/>
      <w:r w:rsidR="002C4977" w:rsidRPr="00E23C0C">
        <w:rPr>
          <w:rFonts w:cs="Calibri"/>
          <w:sz w:val="22"/>
          <w:szCs w:val="22"/>
        </w:rPr>
        <w:t>Keast</w:t>
      </w:r>
      <w:proofErr w:type="spellEnd"/>
      <w:r w:rsidR="002C4977" w:rsidRPr="00E23C0C">
        <w:rPr>
          <w:rFonts w:cs="Calibri"/>
          <w:sz w:val="22"/>
          <w:szCs w:val="22"/>
        </w:rPr>
        <w:t>, 2007</w:t>
      </w:r>
      <w:r w:rsidRPr="00E23C0C">
        <w:rPr>
          <w:rFonts w:cs="Calibri"/>
          <w:sz w:val="22"/>
          <w:szCs w:val="22"/>
        </w:rPr>
        <w:t xml:space="preserve">). </w:t>
      </w:r>
      <w:r w:rsidRPr="00E23C0C">
        <w:rPr>
          <w:rFonts w:cs="Calibri"/>
          <w:sz w:val="22"/>
          <w:szCs w:val="22"/>
          <w:lang w:val="en-US"/>
        </w:rPr>
        <w:t xml:space="preserve">A range of network analysis indicators, including network density, centrality, clique, structural hole, etc., can be used to examine the degree of government sectors engagement, the collaborative links that they form, and their interactions within the structure of intergovernmental collaboration (Burgos </w:t>
      </w:r>
      <w:r w:rsidR="002C4977" w:rsidRPr="00E23C0C">
        <w:rPr>
          <w:rFonts w:cs="Calibri"/>
          <w:sz w:val="22"/>
          <w:szCs w:val="22"/>
        </w:rPr>
        <w:t>&amp;</w:t>
      </w:r>
      <w:r w:rsidRPr="00E23C0C">
        <w:rPr>
          <w:rFonts w:cs="Calibri"/>
          <w:sz w:val="22"/>
          <w:szCs w:val="22"/>
          <w:lang w:val="en-US"/>
        </w:rPr>
        <w:t xml:space="preserve"> Mertens, 2017). While network analysis approach has been increasingly used to explore tourism destination management, rarely has it been applied to understand intergovernmental collaboration in post-disaster destination management. The foci of network analysis </w:t>
      </w:r>
      <w:proofErr w:type="gramStart"/>
      <w:r w:rsidRPr="00E23C0C">
        <w:rPr>
          <w:rFonts w:cs="Calibri"/>
          <w:sz w:val="22"/>
          <w:szCs w:val="22"/>
          <w:lang w:val="en-US"/>
        </w:rPr>
        <w:t>is</w:t>
      </w:r>
      <w:proofErr w:type="gramEnd"/>
      <w:r w:rsidRPr="00E23C0C">
        <w:rPr>
          <w:rFonts w:cs="Calibri"/>
          <w:sz w:val="22"/>
          <w:szCs w:val="22"/>
          <w:lang w:val="en-US"/>
        </w:rPr>
        <w:t xml:space="preserve"> generally </w:t>
      </w:r>
      <w:r w:rsidRPr="00E23C0C">
        <w:rPr>
          <w:rFonts w:cs="Calibri" w:hint="eastAsia"/>
          <w:sz w:val="22"/>
          <w:szCs w:val="22"/>
          <w:lang w:val="en-US"/>
        </w:rPr>
        <w:t>the</w:t>
      </w:r>
      <w:r w:rsidRPr="00E23C0C">
        <w:rPr>
          <w:rFonts w:cs="Calibri"/>
          <w:sz w:val="22"/>
          <w:szCs w:val="22"/>
          <w:lang w:val="en-US"/>
        </w:rPr>
        <w:t xml:space="preserve"> engagement of actors and their interactions between actors (Mandell </w:t>
      </w:r>
      <w:r w:rsidR="002C4977" w:rsidRPr="00E23C0C">
        <w:rPr>
          <w:rFonts w:cs="Calibri"/>
          <w:sz w:val="22"/>
          <w:szCs w:val="22"/>
        </w:rPr>
        <w:t>&amp;</w:t>
      </w:r>
      <w:r w:rsidRPr="00E23C0C">
        <w:rPr>
          <w:rFonts w:cs="Calibri"/>
          <w:sz w:val="22"/>
          <w:szCs w:val="22"/>
          <w:lang w:val="en-US"/>
        </w:rPr>
        <w:t xml:space="preserve"> </w:t>
      </w:r>
      <w:proofErr w:type="spellStart"/>
      <w:r w:rsidRPr="00E23C0C">
        <w:rPr>
          <w:rFonts w:cs="Calibri"/>
          <w:sz w:val="22"/>
          <w:szCs w:val="22"/>
          <w:lang w:val="en-US"/>
        </w:rPr>
        <w:t>Keast</w:t>
      </w:r>
      <w:proofErr w:type="spellEnd"/>
      <w:r w:rsidRPr="00E23C0C">
        <w:rPr>
          <w:rFonts w:cs="Calibri"/>
          <w:sz w:val="22"/>
          <w:szCs w:val="22"/>
          <w:lang w:val="en-US"/>
        </w:rPr>
        <w:t xml:space="preserve">, 2007). Yet related issues of both network foci have been performed to </w:t>
      </w:r>
      <w:r w:rsidRPr="00E23C0C">
        <w:rPr>
          <w:rFonts w:cs="Calibri" w:hint="eastAsia"/>
          <w:sz w:val="22"/>
          <w:szCs w:val="22"/>
          <w:lang w:val="en-US"/>
        </w:rPr>
        <w:t>exp</w:t>
      </w:r>
      <w:r w:rsidRPr="00E23C0C">
        <w:rPr>
          <w:rFonts w:cs="Calibri"/>
          <w:sz w:val="22"/>
          <w:szCs w:val="22"/>
          <w:lang w:val="en-US"/>
        </w:rPr>
        <w:t>lore intergovernmental collaboration in post-disaster destination management.</w:t>
      </w:r>
      <w:r w:rsidRPr="00E23C0C">
        <w:rPr>
          <w:rFonts w:cs="Calibri"/>
          <w:sz w:val="22"/>
          <w:szCs w:val="22"/>
        </w:rPr>
        <w:t xml:space="preserve"> </w:t>
      </w:r>
    </w:p>
    <w:p w14:paraId="3AED0F36" w14:textId="0A31D45C" w:rsidR="0031281E" w:rsidRPr="00E23C0C" w:rsidRDefault="0031281E" w:rsidP="0031281E">
      <w:pPr>
        <w:spacing w:beforeLines="50" w:before="163" w:afterLines="50" w:after="163" w:line="400" w:lineRule="exact"/>
        <w:ind w:firstLine="420"/>
        <w:jc w:val="both"/>
        <w:rPr>
          <w:rFonts w:cs="Calibri"/>
          <w:sz w:val="22"/>
          <w:szCs w:val="22"/>
        </w:rPr>
      </w:pPr>
      <w:proofErr w:type="gramStart"/>
      <w:r w:rsidRPr="00E23C0C">
        <w:rPr>
          <w:rFonts w:cs="Calibri"/>
          <w:sz w:val="22"/>
          <w:szCs w:val="22"/>
        </w:rPr>
        <w:t>With regard to</w:t>
      </w:r>
      <w:proofErr w:type="gramEnd"/>
      <w:r w:rsidRPr="00E23C0C">
        <w:rPr>
          <w:rFonts w:cs="Calibri"/>
          <w:sz w:val="22"/>
          <w:szCs w:val="22"/>
        </w:rPr>
        <w:t xml:space="preserve"> the first foci of network analysis, intergovernmental collaboration often involves multiple government sectors with distinct roles and functions throughout the whole process of post-disaster destination management (Liu-</w:t>
      </w:r>
      <w:proofErr w:type="spellStart"/>
      <w:r w:rsidRPr="00E23C0C">
        <w:rPr>
          <w:rFonts w:cs="Calibri"/>
          <w:sz w:val="22"/>
          <w:szCs w:val="22"/>
        </w:rPr>
        <w:t>Lastres</w:t>
      </w:r>
      <w:proofErr w:type="spellEnd"/>
      <w:r w:rsidRPr="00E23C0C">
        <w:rPr>
          <w:rFonts w:cs="Calibri"/>
          <w:sz w:val="22"/>
          <w:szCs w:val="22"/>
        </w:rPr>
        <w:t xml:space="preserve"> et al., 2020). Destination management often requires the engagement of higher level of government sectors, which provides substantial budgetary and necessary resources to help local government respond to disasters (Brooks et al., 2013). Examples of the engagement of local governments in the post-disaster destination are common, such as the case of </w:t>
      </w:r>
      <w:proofErr w:type="spellStart"/>
      <w:r w:rsidRPr="00E23C0C">
        <w:rPr>
          <w:rFonts w:cs="Calibri"/>
          <w:sz w:val="22"/>
          <w:szCs w:val="22"/>
        </w:rPr>
        <w:t>Tahoku</w:t>
      </w:r>
      <w:proofErr w:type="spellEnd"/>
      <w:r w:rsidRPr="00E23C0C">
        <w:rPr>
          <w:rFonts w:cs="Calibri"/>
          <w:sz w:val="22"/>
          <w:szCs w:val="22"/>
        </w:rPr>
        <w:t>-Oki earthquake (</w:t>
      </w:r>
      <w:proofErr w:type="spellStart"/>
      <w:r w:rsidRPr="00E23C0C">
        <w:rPr>
          <w:rFonts w:cs="Calibri"/>
          <w:sz w:val="22"/>
          <w:szCs w:val="22"/>
        </w:rPr>
        <w:t>Iuchi</w:t>
      </w:r>
      <w:proofErr w:type="spellEnd"/>
      <w:r w:rsidRPr="00E23C0C">
        <w:rPr>
          <w:rFonts w:cs="Calibri"/>
          <w:sz w:val="22"/>
          <w:szCs w:val="22"/>
        </w:rPr>
        <w:t xml:space="preserve"> et al., 2013), or local government contracting policies and practices to help tourism businesses recover in the Palm Beach of Florida (Atkinson</w:t>
      </w:r>
      <w:r w:rsidR="002C4977" w:rsidRPr="00E23C0C">
        <w:rPr>
          <w:rFonts w:cs="Calibri"/>
          <w:sz w:val="22"/>
          <w:szCs w:val="22"/>
        </w:rPr>
        <w:t xml:space="preserve"> &amp; </w:t>
      </w:r>
      <w:proofErr w:type="spellStart"/>
      <w:r w:rsidRPr="00E23C0C">
        <w:rPr>
          <w:rFonts w:cs="Calibri"/>
          <w:sz w:val="22"/>
          <w:szCs w:val="22"/>
        </w:rPr>
        <w:t>Sapat</w:t>
      </w:r>
      <w:proofErr w:type="spellEnd"/>
      <w:r w:rsidRPr="00E23C0C">
        <w:rPr>
          <w:rFonts w:cs="Calibri"/>
          <w:sz w:val="22"/>
          <w:szCs w:val="22"/>
        </w:rPr>
        <w:t xml:space="preserve">, 2013). The second foci </w:t>
      </w:r>
      <w:proofErr w:type="gramStart"/>
      <w:r w:rsidRPr="00E23C0C">
        <w:rPr>
          <w:rFonts w:cs="Calibri"/>
          <w:sz w:val="22"/>
          <w:szCs w:val="22"/>
        </w:rPr>
        <w:t>relates</w:t>
      </w:r>
      <w:proofErr w:type="gramEnd"/>
      <w:r w:rsidRPr="00E23C0C">
        <w:rPr>
          <w:rFonts w:cs="Calibri"/>
          <w:sz w:val="22"/>
          <w:szCs w:val="22"/>
        </w:rPr>
        <w:t xml:space="preserve"> to interactions existing between different government sectors in post-disaster destination management. Existing literature on this theme mainly emphasises hierarchical collaboration between multi-level government sectors for post-disaster destination management. Horizontal interaction also exists within the collaboration, when local governments seek to collaborate with inter-local government sectors for implementing post-disaster projects easily (</w:t>
      </w:r>
      <w:proofErr w:type="spellStart"/>
      <w:r w:rsidRPr="00E23C0C">
        <w:rPr>
          <w:rFonts w:cs="Calibri"/>
          <w:sz w:val="22"/>
          <w:szCs w:val="22"/>
        </w:rPr>
        <w:t>Kusumasari</w:t>
      </w:r>
      <w:proofErr w:type="spellEnd"/>
      <w:r w:rsidRPr="00E23C0C">
        <w:rPr>
          <w:rFonts w:cs="Calibri"/>
          <w:sz w:val="22"/>
          <w:szCs w:val="22"/>
        </w:rPr>
        <w:t xml:space="preserve"> et al., 2012). </w:t>
      </w:r>
      <w:bookmarkStart w:id="2" w:name="OLE_LINK11"/>
      <w:bookmarkStart w:id="3" w:name="OLE_LINK12"/>
      <w:r w:rsidRPr="00E23C0C">
        <w:rPr>
          <w:rFonts w:cs="Calibri"/>
          <w:sz w:val="22"/>
          <w:szCs w:val="22"/>
        </w:rPr>
        <w:t xml:space="preserve">Relying on higher level governments and </w:t>
      </w:r>
      <w:r w:rsidRPr="00E23C0C">
        <w:rPr>
          <w:rFonts w:cs="Calibri" w:hint="eastAsia"/>
          <w:sz w:val="22"/>
          <w:szCs w:val="22"/>
        </w:rPr>
        <w:t>h</w:t>
      </w:r>
      <w:r w:rsidRPr="00E23C0C">
        <w:rPr>
          <w:rFonts w:cs="Calibri"/>
          <w:sz w:val="22"/>
          <w:szCs w:val="22"/>
        </w:rPr>
        <w:t xml:space="preserve">ierarchical interaction </w:t>
      </w:r>
      <w:r w:rsidRPr="00E23C0C">
        <w:rPr>
          <w:rFonts w:cs="Calibri" w:hint="eastAsia"/>
          <w:sz w:val="22"/>
          <w:szCs w:val="22"/>
        </w:rPr>
        <w:t>that</w:t>
      </w:r>
      <w:r w:rsidRPr="00E23C0C">
        <w:rPr>
          <w:rFonts w:cs="Calibri"/>
          <w:sz w:val="22"/>
          <w:szCs w:val="22"/>
        </w:rPr>
        <w:t xml:space="preserve"> </w:t>
      </w:r>
      <w:r w:rsidRPr="00E23C0C">
        <w:rPr>
          <w:rFonts w:cs="Calibri" w:hint="eastAsia"/>
          <w:sz w:val="22"/>
          <w:szCs w:val="22"/>
        </w:rPr>
        <w:t>they</w:t>
      </w:r>
      <w:r w:rsidRPr="00E23C0C">
        <w:rPr>
          <w:rFonts w:cs="Calibri"/>
          <w:sz w:val="22"/>
          <w:szCs w:val="22"/>
        </w:rPr>
        <w:t xml:space="preserve"> generate can provide significant formal support for post-disaster destination management</w:t>
      </w:r>
      <w:r w:rsidRPr="00E23C0C">
        <w:rPr>
          <w:rFonts w:cs="Calibri"/>
          <w:sz w:val="22"/>
          <w:szCs w:val="22"/>
          <w:lang w:val="en-US"/>
        </w:rPr>
        <w:t>.</w:t>
      </w:r>
      <w:r w:rsidRPr="00E23C0C">
        <w:rPr>
          <w:rFonts w:cs="Calibri"/>
          <w:sz w:val="22"/>
          <w:szCs w:val="22"/>
        </w:rPr>
        <w:t xml:space="preserve"> This support cannot be obtained through horizontal collaboration (</w:t>
      </w:r>
      <w:proofErr w:type="spellStart"/>
      <w:r w:rsidRPr="00E23C0C">
        <w:rPr>
          <w:rFonts w:cs="Calibri"/>
          <w:sz w:val="22"/>
          <w:szCs w:val="22"/>
        </w:rPr>
        <w:t>Bankoff</w:t>
      </w:r>
      <w:proofErr w:type="spellEnd"/>
      <w:r w:rsidRPr="00E23C0C">
        <w:rPr>
          <w:rFonts w:cs="Calibri"/>
          <w:sz w:val="22"/>
          <w:szCs w:val="22"/>
        </w:rPr>
        <w:t xml:space="preserve">, </w:t>
      </w:r>
      <w:r w:rsidRPr="00E23C0C">
        <w:rPr>
          <w:rFonts w:cs="Calibri"/>
          <w:sz w:val="22"/>
          <w:szCs w:val="22"/>
        </w:rPr>
        <w:lastRenderedPageBreak/>
        <w:t>2003). But when national or provincial governments exert their power over local governments at the expense of local interests, this can lead to increased fragmentation of the whole intergovernmental collaboration. Horizontal interaction has become increasingly prominent to mobilise local resources and knowledge in response to disasters (</w:t>
      </w:r>
      <w:proofErr w:type="spellStart"/>
      <w:r w:rsidRPr="00E23C0C">
        <w:rPr>
          <w:rFonts w:cs="Calibri"/>
          <w:sz w:val="22"/>
          <w:szCs w:val="22"/>
        </w:rPr>
        <w:t>Kapucu</w:t>
      </w:r>
      <w:proofErr w:type="spellEnd"/>
      <w:r w:rsidRPr="00E23C0C">
        <w:rPr>
          <w:rFonts w:cs="Calibri"/>
          <w:sz w:val="22"/>
          <w:szCs w:val="22"/>
        </w:rPr>
        <w:t xml:space="preserve"> et al., 2010). However, substantial post-disaster destination management requires a high level of resource input. Resources embedded into horizontal networks are often limited (</w:t>
      </w:r>
      <w:proofErr w:type="spellStart"/>
      <w:r w:rsidRPr="00E23C0C">
        <w:rPr>
          <w:rFonts w:cs="Calibri"/>
          <w:sz w:val="22"/>
          <w:szCs w:val="22"/>
        </w:rPr>
        <w:t>Kapucu</w:t>
      </w:r>
      <w:proofErr w:type="spellEnd"/>
      <w:r w:rsidRPr="00E23C0C">
        <w:rPr>
          <w:rFonts w:cs="Calibri"/>
          <w:sz w:val="22"/>
          <w:szCs w:val="22"/>
        </w:rPr>
        <w:t xml:space="preserve"> </w:t>
      </w:r>
      <w:r w:rsidR="002C4977"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Garayev</w:t>
      </w:r>
      <w:proofErr w:type="spellEnd"/>
      <w:r w:rsidRPr="00E23C0C">
        <w:rPr>
          <w:rFonts w:cs="Calibri"/>
          <w:sz w:val="22"/>
          <w:szCs w:val="22"/>
        </w:rPr>
        <w:t>, 2014).</w:t>
      </w:r>
    </w:p>
    <w:p w14:paraId="336D576B"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As discussed above, the existing studies on post-disaster destination management of intergovernmental collaboration briefly introduce the two foci of network analysis. However, past literature seems to ignore several important factors of collaboration, including the positioning, forwarding and receiving modes of government sectors, and the extent to which a government sector exercises power over other sectors in the collaborative structure. Attention to such elements can reveal how government sectors collaborate with others to function the whole collaborative system for post-disaster destination management (Maldonado et al., 2009). Therefore, employing networks analysis, the study explores the engagement of government sectors and their interactions within the collaborative structure</w:t>
      </w:r>
      <w:r w:rsidRPr="00E23C0C">
        <w:rPr>
          <w:rFonts w:cs="Calibri" w:hint="eastAsia"/>
          <w:sz w:val="22"/>
          <w:szCs w:val="22"/>
        </w:rPr>
        <w:t xml:space="preserve"> </w:t>
      </w:r>
      <w:r w:rsidRPr="00E23C0C">
        <w:rPr>
          <w:rFonts w:cs="Calibri"/>
          <w:sz w:val="22"/>
          <w:szCs w:val="22"/>
        </w:rPr>
        <w:t>throughout the whole process of post-disaster destination management. Based on the foregoing, the changing dynamics of intergovernmental collaboration in post-disaster destination management are discussed in depth.</w:t>
      </w:r>
    </w:p>
    <w:bookmarkEnd w:id="2"/>
    <w:bookmarkEnd w:id="3"/>
    <w:p w14:paraId="04BF84AF" w14:textId="77777777" w:rsidR="0031281E" w:rsidRPr="00E23C0C" w:rsidRDefault="0031281E" w:rsidP="0031281E">
      <w:pPr>
        <w:spacing w:beforeLines="50" w:before="163" w:afterLines="50" w:after="163" w:line="400" w:lineRule="exact"/>
        <w:jc w:val="both"/>
        <w:rPr>
          <w:rFonts w:cs="Calibri"/>
          <w:b/>
          <w:sz w:val="28"/>
          <w:szCs w:val="28"/>
        </w:rPr>
      </w:pPr>
      <w:r w:rsidRPr="00E23C0C">
        <w:rPr>
          <w:rFonts w:cs="Calibri"/>
          <w:b/>
          <w:sz w:val="28"/>
          <w:szCs w:val="28"/>
        </w:rPr>
        <w:t>3 Methodology</w:t>
      </w:r>
    </w:p>
    <w:p w14:paraId="4251D4C3" w14:textId="77777777" w:rsidR="0031281E" w:rsidRPr="00E23C0C" w:rsidRDefault="0031281E" w:rsidP="0031281E">
      <w:pPr>
        <w:pStyle w:val="NormalWeb"/>
        <w:spacing w:beforeLines="50" w:before="163" w:beforeAutospacing="0" w:afterLines="50" w:after="163" w:afterAutospacing="0" w:line="300" w:lineRule="auto"/>
        <w:jc w:val="both"/>
        <w:rPr>
          <w:rFonts w:cs="Calibri"/>
          <w:b/>
          <w:sz w:val="22"/>
          <w:szCs w:val="22"/>
          <w:lang w:val="en-GB"/>
        </w:rPr>
      </w:pPr>
      <w:r w:rsidRPr="00E23C0C">
        <w:rPr>
          <w:rFonts w:cs="Calibri"/>
          <w:b/>
          <w:sz w:val="22"/>
          <w:szCs w:val="22"/>
          <w:lang w:val="en-GB"/>
        </w:rPr>
        <w:t>3.1 Case study</w:t>
      </w:r>
    </w:p>
    <w:p w14:paraId="585C169A" w14:textId="77777777" w:rsidR="0031281E" w:rsidRPr="00E23C0C" w:rsidRDefault="0031281E" w:rsidP="0031281E">
      <w:pPr>
        <w:spacing w:beforeLines="50" w:before="163" w:afterLines="50" w:after="163" w:line="400" w:lineRule="exact"/>
        <w:ind w:firstLine="420"/>
        <w:jc w:val="both"/>
        <w:rPr>
          <w:rFonts w:cs="Calibri"/>
          <w:sz w:val="22"/>
          <w:szCs w:val="22"/>
        </w:rPr>
      </w:pPr>
      <w:proofErr w:type="spellStart"/>
      <w:r w:rsidRPr="00E23C0C">
        <w:rPr>
          <w:rFonts w:cs="Calibri"/>
          <w:sz w:val="22"/>
          <w:szCs w:val="22"/>
        </w:rPr>
        <w:t>Jiuzhaigou</w:t>
      </w:r>
      <w:proofErr w:type="spellEnd"/>
      <w:r w:rsidRPr="00E23C0C">
        <w:rPr>
          <w:rFonts w:cs="Calibri"/>
          <w:sz w:val="22"/>
          <w:szCs w:val="22"/>
        </w:rPr>
        <w:t xml:space="preserve"> National Park, one of the most popular national parks in China, is chosen as the case for this study. It </w:t>
      </w:r>
      <w:proofErr w:type="gramStart"/>
      <w:r w:rsidRPr="00E23C0C">
        <w:rPr>
          <w:rFonts w:cs="Calibri"/>
          <w:sz w:val="22"/>
          <w:szCs w:val="22"/>
        </w:rPr>
        <w:t>is located in</w:t>
      </w:r>
      <w:proofErr w:type="gramEnd"/>
      <w:r w:rsidRPr="00E23C0C">
        <w:rPr>
          <w:rFonts w:cs="Calibri"/>
          <w:sz w:val="22"/>
          <w:szCs w:val="22"/>
        </w:rPr>
        <w:t xml:space="preserve"> Aba Tibetan and </w:t>
      </w:r>
      <w:proofErr w:type="spellStart"/>
      <w:r w:rsidRPr="00E23C0C">
        <w:rPr>
          <w:rFonts w:cs="Calibri"/>
          <w:sz w:val="22"/>
          <w:szCs w:val="22"/>
        </w:rPr>
        <w:t>Qiang</w:t>
      </w:r>
      <w:proofErr w:type="spellEnd"/>
      <w:r w:rsidRPr="00E23C0C">
        <w:rPr>
          <w:rFonts w:cs="Calibri"/>
          <w:sz w:val="22"/>
          <w:szCs w:val="22"/>
        </w:rPr>
        <w:t xml:space="preserve"> Autonomous Prefecture of Sichuan Province (See Fig. 1). </w:t>
      </w:r>
      <w:proofErr w:type="spellStart"/>
      <w:r w:rsidRPr="00E23C0C">
        <w:rPr>
          <w:rFonts w:cs="Calibri"/>
          <w:sz w:val="22"/>
          <w:szCs w:val="22"/>
        </w:rPr>
        <w:t>Jiuzhaigou</w:t>
      </w:r>
      <w:proofErr w:type="spellEnd"/>
      <w:r w:rsidRPr="00E23C0C">
        <w:rPr>
          <w:rFonts w:cs="Calibri"/>
          <w:sz w:val="22"/>
          <w:szCs w:val="22"/>
        </w:rPr>
        <w:t xml:space="preserve"> National Park was declared as a United Nations Educational, Scientific and Cultural Organisation (UNESCO) world heritage site in 1992. </w:t>
      </w:r>
      <w:proofErr w:type="spellStart"/>
      <w:r w:rsidRPr="00E23C0C">
        <w:rPr>
          <w:rFonts w:cs="Calibri"/>
          <w:sz w:val="22"/>
          <w:szCs w:val="22"/>
        </w:rPr>
        <w:t>Jiuzhaigou</w:t>
      </w:r>
      <w:proofErr w:type="spellEnd"/>
      <w:r w:rsidRPr="00E23C0C">
        <w:rPr>
          <w:rFonts w:cs="Calibri"/>
          <w:sz w:val="22"/>
          <w:szCs w:val="22"/>
        </w:rPr>
        <w:t xml:space="preserve"> National Park received approximately 5,000,000 visitors in 2016. It contributed about 30% of the total tourism income of Aba Prefecture. </w:t>
      </w:r>
    </w:p>
    <w:p w14:paraId="5FDC0303"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On the evening of 8</w:t>
      </w:r>
      <w:r w:rsidRPr="00E23C0C">
        <w:rPr>
          <w:rFonts w:cs="Calibri"/>
          <w:sz w:val="22"/>
          <w:szCs w:val="22"/>
          <w:vertAlign w:val="superscript"/>
        </w:rPr>
        <w:t>th</w:t>
      </w:r>
      <w:r w:rsidRPr="00E23C0C">
        <w:rPr>
          <w:rFonts w:cs="Calibri"/>
          <w:sz w:val="22"/>
          <w:szCs w:val="22"/>
        </w:rPr>
        <w:t xml:space="preserve"> August of 2017, an earthquake with a magnitude of seven degrees hit </w:t>
      </w:r>
      <w:proofErr w:type="spellStart"/>
      <w:r w:rsidRPr="00E23C0C">
        <w:rPr>
          <w:rFonts w:cs="Calibri"/>
          <w:sz w:val="22"/>
          <w:szCs w:val="22"/>
        </w:rPr>
        <w:t>Jiuzhaigou</w:t>
      </w:r>
      <w:proofErr w:type="spellEnd"/>
      <w:r w:rsidRPr="00E23C0C">
        <w:rPr>
          <w:rFonts w:cs="Calibri"/>
          <w:sz w:val="22"/>
          <w:szCs w:val="22"/>
        </w:rPr>
        <w:t xml:space="preserve">. It was reported that that 25 people died, 525 people were injured, and 73,671 houses were damaged. In addition to the loss of life, natural environment, tourism-related infrastructure and asset supporting tourism industry within </w:t>
      </w:r>
      <w:proofErr w:type="spellStart"/>
      <w:r w:rsidRPr="00E23C0C">
        <w:rPr>
          <w:rFonts w:cs="Calibri"/>
          <w:sz w:val="22"/>
          <w:szCs w:val="22"/>
        </w:rPr>
        <w:t>Jiuzhaigou</w:t>
      </w:r>
      <w:proofErr w:type="spellEnd"/>
      <w:r w:rsidRPr="00E23C0C">
        <w:rPr>
          <w:rFonts w:cs="Calibri"/>
          <w:sz w:val="22"/>
          <w:szCs w:val="22"/>
        </w:rPr>
        <w:t xml:space="preserve"> National Park were destroyed. The tourist complex in </w:t>
      </w:r>
      <w:proofErr w:type="spellStart"/>
      <w:r w:rsidRPr="00E23C0C">
        <w:rPr>
          <w:rFonts w:cs="Calibri"/>
          <w:sz w:val="22"/>
          <w:szCs w:val="22"/>
        </w:rPr>
        <w:t>Jiuzhaigou</w:t>
      </w:r>
      <w:proofErr w:type="spellEnd"/>
      <w:r w:rsidRPr="00E23C0C">
        <w:rPr>
          <w:rFonts w:cs="Calibri"/>
          <w:sz w:val="22"/>
          <w:szCs w:val="22"/>
        </w:rPr>
        <w:t xml:space="preserve"> National Park, including natural beauty areas </w:t>
      </w:r>
      <w:r w:rsidRPr="00E23C0C">
        <w:rPr>
          <w:rFonts w:cs="Calibri"/>
          <w:sz w:val="22"/>
          <w:szCs w:val="22"/>
        </w:rPr>
        <w:lastRenderedPageBreak/>
        <w:t xml:space="preserve">(waterfalls and lakes), hotels and inns, restaurants, shops and transport, was partially destroyed. Direct economic loss caused by the earthquake amounted to about 8 billion yuan, equivalent to one-third of </w:t>
      </w:r>
      <w:proofErr w:type="spellStart"/>
      <w:r w:rsidRPr="00E23C0C">
        <w:rPr>
          <w:rFonts w:cs="Calibri"/>
          <w:sz w:val="22"/>
          <w:szCs w:val="22"/>
        </w:rPr>
        <w:t>Jiuzhaigou</w:t>
      </w:r>
      <w:proofErr w:type="spellEnd"/>
      <w:r w:rsidRPr="00E23C0C">
        <w:rPr>
          <w:rFonts w:cs="Calibri"/>
          <w:sz w:val="22"/>
          <w:szCs w:val="22"/>
        </w:rPr>
        <w:t xml:space="preserve"> County’s GDP county in 2017. After the earthquake, it was announced that </w:t>
      </w:r>
      <w:proofErr w:type="spellStart"/>
      <w:r w:rsidRPr="00E23C0C">
        <w:rPr>
          <w:rFonts w:cs="Calibri"/>
          <w:sz w:val="22"/>
          <w:szCs w:val="22"/>
        </w:rPr>
        <w:t>Jiuzhaigou</w:t>
      </w:r>
      <w:proofErr w:type="spellEnd"/>
      <w:r w:rsidRPr="00E23C0C">
        <w:rPr>
          <w:rFonts w:cs="Calibri"/>
          <w:sz w:val="22"/>
          <w:szCs w:val="22"/>
        </w:rPr>
        <w:t xml:space="preserve"> National Park would shut down for three years for post-disaster recovery. National, provincial and municipal government sectors collaborated with the administration bureau of </w:t>
      </w:r>
      <w:proofErr w:type="spellStart"/>
      <w:r w:rsidRPr="00E23C0C">
        <w:rPr>
          <w:rFonts w:cs="Calibri"/>
          <w:sz w:val="22"/>
          <w:szCs w:val="22"/>
        </w:rPr>
        <w:t>Jiuzhaigou</w:t>
      </w:r>
      <w:proofErr w:type="spellEnd"/>
      <w:r w:rsidRPr="00E23C0C">
        <w:rPr>
          <w:rFonts w:cs="Calibri"/>
          <w:sz w:val="22"/>
          <w:szCs w:val="22"/>
        </w:rPr>
        <w:t xml:space="preserve"> for post-disaster destination management.</w:t>
      </w:r>
    </w:p>
    <w:p w14:paraId="166C679A" w14:textId="20B886D5"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The post-disaster destination management of </w:t>
      </w:r>
      <w:proofErr w:type="spellStart"/>
      <w:r w:rsidRPr="00E23C0C">
        <w:rPr>
          <w:rFonts w:cs="Calibri"/>
          <w:sz w:val="22"/>
          <w:szCs w:val="22"/>
        </w:rPr>
        <w:t>Jiuzhaigou</w:t>
      </w:r>
      <w:proofErr w:type="spellEnd"/>
      <w:r w:rsidRPr="00E23C0C">
        <w:rPr>
          <w:rFonts w:cs="Calibri"/>
          <w:sz w:val="22"/>
          <w:szCs w:val="22"/>
        </w:rPr>
        <w:t xml:space="preserve"> National Park basically follows the lifecycle of post-disaster destination management (</w:t>
      </w:r>
      <w:proofErr w:type="spellStart"/>
      <w:r w:rsidR="0009739D" w:rsidRPr="00E23C0C">
        <w:rPr>
          <w:rFonts w:cs="Calibri"/>
          <w:sz w:val="22"/>
          <w:szCs w:val="22"/>
        </w:rPr>
        <w:t>Calgaro</w:t>
      </w:r>
      <w:proofErr w:type="spellEnd"/>
      <w:r w:rsidR="0009739D" w:rsidRPr="00E23C0C">
        <w:rPr>
          <w:rFonts w:cs="Calibri"/>
          <w:sz w:val="22"/>
          <w:szCs w:val="22"/>
        </w:rPr>
        <w:t xml:space="preserve">, 2010; </w:t>
      </w:r>
      <w:r w:rsidRPr="00E23C0C">
        <w:rPr>
          <w:rFonts w:cs="Calibri"/>
          <w:sz w:val="22"/>
          <w:szCs w:val="22"/>
        </w:rPr>
        <w:t xml:space="preserve">Faulkner </w:t>
      </w:r>
      <w:r w:rsidR="0009739D"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Vikulov</w:t>
      </w:r>
      <w:proofErr w:type="spellEnd"/>
      <w:r w:rsidRPr="00E23C0C">
        <w:rPr>
          <w:rFonts w:cs="Calibri"/>
          <w:sz w:val="22"/>
          <w:szCs w:val="22"/>
        </w:rPr>
        <w:t xml:space="preserve">, 2001; Miller </w:t>
      </w:r>
      <w:r w:rsidR="0009739D" w:rsidRPr="00E23C0C">
        <w:rPr>
          <w:rFonts w:cs="Calibri"/>
          <w:sz w:val="22"/>
          <w:szCs w:val="22"/>
        </w:rPr>
        <w:t>&amp;</w:t>
      </w:r>
      <w:r w:rsidRPr="00E23C0C">
        <w:rPr>
          <w:rFonts w:cs="Calibri"/>
          <w:sz w:val="22"/>
          <w:szCs w:val="22"/>
        </w:rPr>
        <w:t xml:space="preserve"> Ritchie, 2003; Ritchie, 2004). The emergency stage lasted from 8</w:t>
      </w:r>
      <w:r w:rsidRPr="00E23C0C">
        <w:rPr>
          <w:rFonts w:cs="Calibri"/>
          <w:sz w:val="22"/>
          <w:szCs w:val="22"/>
          <w:vertAlign w:val="superscript"/>
        </w:rPr>
        <w:t>th</w:t>
      </w:r>
      <w:r w:rsidRPr="00E23C0C">
        <w:rPr>
          <w:rFonts w:cs="Calibri"/>
          <w:sz w:val="22"/>
          <w:szCs w:val="22"/>
        </w:rPr>
        <w:t xml:space="preserve"> August to 14</w:t>
      </w:r>
      <w:r w:rsidRPr="00E23C0C">
        <w:rPr>
          <w:rFonts w:cs="Calibri"/>
          <w:sz w:val="22"/>
          <w:szCs w:val="22"/>
          <w:vertAlign w:val="superscript"/>
        </w:rPr>
        <w:t>th</w:t>
      </w:r>
      <w:r w:rsidRPr="00E23C0C">
        <w:rPr>
          <w:rFonts w:cs="Calibri"/>
          <w:sz w:val="22"/>
          <w:szCs w:val="22"/>
        </w:rPr>
        <w:t xml:space="preserve"> </w:t>
      </w:r>
      <w:proofErr w:type="gramStart"/>
      <w:r w:rsidRPr="00E23C0C">
        <w:rPr>
          <w:rFonts w:cs="Calibri"/>
          <w:sz w:val="22"/>
          <w:szCs w:val="22"/>
        </w:rPr>
        <w:t>August,</w:t>
      </w:r>
      <w:proofErr w:type="gramEnd"/>
      <w:r w:rsidRPr="00E23C0C">
        <w:rPr>
          <w:rFonts w:cs="Calibri"/>
          <w:sz w:val="22"/>
          <w:szCs w:val="22"/>
        </w:rPr>
        <w:t xml:space="preserve"> 2017, as rescue and damage limitation was the main objective at this stage and rescue activities fundamentally completed within seven days (Shaw, 2006). During this period, the administration bureau of </w:t>
      </w:r>
      <w:proofErr w:type="spellStart"/>
      <w:r w:rsidRPr="00E23C0C">
        <w:rPr>
          <w:rFonts w:cs="Calibri"/>
          <w:sz w:val="22"/>
          <w:szCs w:val="22"/>
        </w:rPr>
        <w:t>Jiuzhaigou</w:t>
      </w:r>
      <w:proofErr w:type="spellEnd"/>
      <w:r w:rsidRPr="00E23C0C">
        <w:rPr>
          <w:rFonts w:cs="Calibri"/>
          <w:sz w:val="22"/>
          <w:szCs w:val="22"/>
        </w:rPr>
        <w:t xml:space="preserve"> National Park, with the help of </w:t>
      </w:r>
      <w:proofErr w:type="spellStart"/>
      <w:r w:rsidRPr="00E23C0C">
        <w:rPr>
          <w:rFonts w:cs="Calibri"/>
          <w:sz w:val="22"/>
          <w:szCs w:val="22"/>
        </w:rPr>
        <w:t>Jiuzhaigou</w:t>
      </w:r>
      <w:proofErr w:type="spellEnd"/>
      <w:r w:rsidRPr="00E23C0C">
        <w:rPr>
          <w:rFonts w:cs="Calibri"/>
          <w:sz w:val="22"/>
          <w:szCs w:val="22"/>
        </w:rPr>
        <w:t xml:space="preserve"> county government and Aba Autonomous Prefecture government, took swift actions to rescue </w:t>
      </w:r>
      <w:proofErr w:type="gramStart"/>
      <w:r w:rsidRPr="00E23C0C">
        <w:rPr>
          <w:rFonts w:cs="Calibri"/>
          <w:sz w:val="22"/>
          <w:szCs w:val="22"/>
        </w:rPr>
        <w:t>local residents</w:t>
      </w:r>
      <w:proofErr w:type="gramEnd"/>
      <w:r w:rsidRPr="00E23C0C">
        <w:rPr>
          <w:rFonts w:cs="Calibri"/>
          <w:sz w:val="22"/>
          <w:szCs w:val="22"/>
        </w:rPr>
        <w:t xml:space="preserve">, tourists and properties. Tens of thousands of police officers, fire-fighters, and emergency operations officials were recruited to participate in this rescue effort. Certain basic needs, such as water, food and shelter, were provided during the emergency phase. </w:t>
      </w:r>
    </w:p>
    <w:p w14:paraId="57CF4CCB" w14:textId="6F798EDF"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The intermediate stage took place from 15</w:t>
      </w:r>
      <w:r w:rsidRPr="00E23C0C">
        <w:rPr>
          <w:rFonts w:cs="Calibri"/>
          <w:sz w:val="22"/>
          <w:szCs w:val="22"/>
          <w:vertAlign w:val="superscript"/>
        </w:rPr>
        <w:t>th</w:t>
      </w:r>
      <w:r w:rsidRPr="00E23C0C">
        <w:rPr>
          <w:rFonts w:cs="Calibri"/>
          <w:sz w:val="22"/>
          <w:szCs w:val="22"/>
        </w:rPr>
        <w:t xml:space="preserve"> August to 7</w:t>
      </w:r>
      <w:r w:rsidRPr="00E23C0C">
        <w:rPr>
          <w:rFonts w:cs="Calibri"/>
          <w:sz w:val="22"/>
          <w:szCs w:val="22"/>
          <w:vertAlign w:val="superscript"/>
        </w:rPr>
        <w:t>th</w:t>
      </w:r>
      <w:r w:rsidRPr="00E23C0C">
        <w:rPr>
          <w:rFonts w:cs="Calibri"/>
          <w:sz w:val="22"/>
          <w:szCs w:val="22"/>
        </w:rPr>
        <w:t xml:space="preserve"> </w:t>
      </w:r>
      <w:proofErr w:type="gramStart"/>
      <w:r w:rsidRPr="00E23C0C">
        <w:rPr>
          <w:rFonts w:cs="Calibri"/>
          <w:sz w:val="22"/>
          <w:szCs w:val="22"/>
        </w:rPr>
        <w:t>November,</w:t>
      </w:r>
      <w:proofErr w:type="gramEnd"/>
      <w:r w:rsidRPr="00E23C0C">
        <w:rPr>
          <w:rFonts w:cs="Calibri"/>
          <w:sz w:val="22"/>
          <w:szCs w:val="22"/>
        </w:rPr>
        <w:t xml:space="preserve"> 2017. At this stage, post-disaster destination management tasks carried out by the administration bureau mainly entailed restoring affected communities to normal as quickly as possible. Working in conjunction with other government sectors at different levels, the administration bureau took extensive intermediate actions to fulfil short-term needs of </w:t>
      </w:r>
      <w:proofErr w:type="gramStart"/>
      <w:r w:rsidRPr="00E23C0C">
        <w:rPr>
          <w:rFonts w:cs="Calibri"/>
          <w:sz w:val="22"/>
          <w:szCs w:val="22"/>
        </w:rPr>
        <w:t>victims, and</w:t>
      </w:r>
      <w:proofErr w:type="gramEnd"/>
      <w:r w:rsidRPr="00E23C0C">
        <w:rPr>
          <w:rFonts w:cs="Calibri"/>
          <w:sz w:val="22"/>
          <w:szCs w:val="22"/>
        </w:rPr>
        <w:t xml:space="preserve"> restore utilities and essential services. Beyond that, destination management efforts also relate</w:t>
      </w:r>
      <w:r w:rsidRPr="00E23C0C">
        <w:rPr>
          <w:rFonts w:cs="Calibri" w:hint="eastAsia"/>
          <w:sz w:val="22"/>
          <w:szCs w:val="22"/>
        </w:rPr>
        <w:t>d</w:t>
      </w:r>
      <w:r w:rsidRPr="00E23C0C">
        <w:rPr>
          <w:rFonts w:cs="Calibri"/>
          <w:sz w:val="22"/>
          <w:szCs w:val="22"/>
        </w:rPr>
        <w:t xml:space="preserve"> to prepare for long-term management (Faulkner </w:t>
      </w:r>
      <w:r w:rsidR="0009739D"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Vikulov</w:t>
      </w:r>
      <w:proofErr w:type="spellEnd"/>
      <w:r w:rsidRPr="00E23C0C">
        <w:rPr>
          <w:rFonts w:cs="Calibri"/>
          <w:sz w:val="22"/>
          <w:szCs w:val="22"/>
        </w:rPr>
        <w:t xml:space="preserve">, 2001; Ritchie, 2004). The Sichuan provincial government began networking with other government sectors at municipal and district levels to draw up the General Plan for the whole post-disaster recovery process. </w:t>
      </w:r>
    </w:p>
    <w:p w14:paraId="46C1FD62" w14:textId="5B41F89D"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The announcement of the General Planning for Post-disaster Reconstruction of </w:t>
      </w:r>
      <w:proofErr w:type="spellStart"/>
      <w:r w:rsidRPr="00E23C0C">
        <w:rPr>
          <w:rFonts w:cs="Calibri"/>
          <w:sz w:val="22"/>
          <w:szCs w:val="22"/>
        </w:rPr>
        <w:t>Jiuzhaigou</w:t>
      </w:r>
      <w:proofErr w:type="spellEnd"/>
      <w:r w:rsidRPr="00E23C0C">
        <w:rPr>
          <w:rFonts w:cs="Calibri"/>
          <w:sz w:val="22"/>
          <w:szCs w:val="22"/>
        </w:rPr>
        <w:t xml:space="preserve"> on 8</w:t>
      </w:r>
      <w:r w:rsidRPr="00E23C0C">
        <w:rPr>
          <w:rFonts w:cs="Calibri"/>
          <w:sz w:val="22"/>
          <w:szCs w:val="22"/>
          <w:vertAlign w:val="superscript"/>
        </w:rPr>
        <w:t>th</w:t>
      </w:r>
      <w:r w:rsidRPr="00E23C0C">
        <w:rPr>
          <w:rFonts w:cs="Calibri"/>
          <w:sz w:val="22"/>
          <w:szCs w:val="22"/>
        </w:rPr>
        <w:t xml:space="preserve"> </w:t>
      </w:r>
      <w:proofErr w:type="gramStart"/>
      <w:r w:rsidRPr="00E23C0C">
        <w:rPr>
          <w:rFonts w:cs="Calibri"/>
          <w:sz w:val="22"/>
          <w:szCs w:val="22"/>
        </w:rPr>
        <w:t>November,</w:t>
      </w:r>
      <w:proofErr w:type="gramEnd"/>
      <w:r w:rsidRPr="00E23C0C">
        <w:rPr>
          <w:rFonts w:cs="Calibri"/>
          <w:sz w:val="22"/>
          <w:szCs w:val="22"/>
        </w:rPr>
        <w:t xml:space="preserve"> 2017 signalled the end of the intermediate stage and the beginning of the long-term recovery stage. At this point, the </w:t>
      </w:r>
      <w:proofErr w:type="gramStart"/>
      <w:r w:rsidRPr="00E23C0C">
        <w:rPr>
          <w:rFonts w:cs="Calibri"/>
          <w:sz w:val="22"/>
          <w:szCs w:val="22"/>
        </w:rPr>
        <w:t>main focus</w:t>
      </w:r>
      <w:proofErr w:type="gramEnd"/>
      <w:r w:rsidRPr="00E23C0C">
        <w:rPr>
          <w:rFonts w:cs="Calibri"/>
          <w:sz w:val="22"/>
          <w:szCs w:val="22"/>
        </w:rPr>
        <w:t xml:space="preserve"> of the post-disaster destination management switched to implement the General Plan for long-term recovery and rehabilitation (Miller </w:t>
      </w:r>
      <w:r w:rsidR="0009739D" w:rsidRPr="00E23C0C">
        <w:rPr>
          <w:rFonts w:cs="Calibri"/>
          <w:sz w:val="22"/>
          <w:szCs w:val="22"/>
        </w:rPr>
        <w:t xml:space="preserve">&amp; </w:t>
      </w:r>
      <w:r w:rsidRPr="00E23C0C">
        <w:rPr>
          <w:rFonts w:cs="Calibri"/>
          <w:sz w:val="22"/>
          <w:szCs w:val="22"/>
        </w:rPr>
        <w:t xml:space="preserve">Ritchie, 2003). The General Planning for Post-disaster Reconstruction of </w:t>
      </w:r>
      <w:proofErr w:type="spellStart"/>
      <w:r w:rsidRPr="00E23C0C">
        <w:rPr>
          <w:rFonts w:cs="Calibri"/>
          <w:sz w:val="22"/>
          <w:szCs w:val="22"/>
        </w:rPr>
        <w:t>Jiuzhaigou</w:t>
      </w:r>
      <w:proofErr w:type="spellEnd"/>
      <w:r w:rsidRPr="00E23C0C">
        <w:rPr>
          <w:rFonts w:cs="Calibri"/>
          <w:sz w:val="22"/>
          <w:szCs w:val="22"/>
        </w:rPr>
        <w:t xml:space="preserve"> consisted of five anchor projects: 1) the restoration and protection of the ecological environment project; 2) the prevention and control of geological disasters project; 3) the restoration and improvement of the tourism destination and industry; 4) the </w:t>
      </w:r>
      <w:r w:rsidRPr="00E23C0C">
        <w:rPr>
          <w:rFonts w:cs="Calibri"/>
          <w:sz w:val="22"/>
          <w:szCs w:val="22"/>
        </w:rPr>
        <w:lastRenderedPageBreak/>
        <w:t xml:space="preserve">reconstruction of public services; 5) the restoration and reconstruction of urban and rural housing. The General Planning for Post-disaster Reconstruction played a significant role in determining the scale and the development direction of post-disaster </w:t>
      </w:r>
      <w:proofErr w:type="gramStart"/>
      <w:r w:rsidRPr="00E23C0C">
        <w:rPr>
          <w:rFonts w:cs="Calibri"/>
          <w:sz w:val="22"/>
          <w:szCs w:val="22"/>
        </w:rPr>
        <w:t>reconstruction, and</w:t>
      </w:r>
      <w:proofErr w:type="gramEnd"/>
      <w:r w:rsidRPr="00E23C0C">
        <w:rPr>
          <w:rFonts w:cs="Calibri"/>
          <w:sz w:val="22"/>
          <w:szCs w:val="22"/>
        </w:rPr>
        <w:t xml:space="preserve"> achieving the economic and social development goals of the disaster-stricken areas. The five anchor projects provided a basis for planning, and design for the next level of construction projects. These projects need to complete to a basic level within two years. </w:t>
      </w:r>
    </w:p>
    <w:p w14:paraId="1B227930"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Due to the various elements involved in rehabilitation, a coordinated approach was required to effectively implement these projects. Following the General Planning guidelines, the administration bureau of </w:t>
      </w:r>
      <w:proofErr w:type="spellStart"/>
      <w:r w:rsidRPr="00E23C0C">
        <w:rPr>
          <w:rFonts w:cs="Calibri"/>
          <w:sz w:val="22"/>
          <w:szCs w:val="22"/>
        </w:rPr>
        <w:t>Jiuzhaigou</w:t>
      </w:r>
      <w:proofErr w:type="spellEnd"/>
      <w:r w:rsidRPr="00E23C0C">
        <w:rPr>
          <w:rFonts w:cs="Calibri"/>
          <w:sz w:val="22"/>
          <w:szCs w:val="22"/>
        </w:rPr>
        <w:t xml:space="preserve"> National Park was designated as the main government sector with full responsibility for implementing the five anchor projects. National, provincial and municipal government sectors played a supportive and supervisory role in this process. Within the following two years, the administration bureau of </w:t>
      </w:r>
      <w:proofErr w:type="spellStart"/>
      <w:r w:rsidRPr="00E23C0C">
        <w:rPr>
          <w:rFonts w:cs="Calibri"/>
          <w:sz w:val="22"/>
          <w:szCs w:val="22"/>
        </w:rPr>
        <w:t>Jiuzhaigou</w:t>
      </w:r>
      <w:proofErr w:type="spellEnd"/>
      <w:r w:rsidRPr="00E23C0C">
        <w:rPr>
          <w:rFonts w:cs="Calibri"/>
          <w:sz w:val="22"/>
          <w:szCs w:val="22"/>
        </w:rPr>
        <w:t xml:space="preserve"> National Park </w:t>
      </w:r>
      <w:proofErr w:type="gramStart"/>
      <w:r w:rsidRPr="00E23C0C">
        <w:rPr>
          <w:rFonts w:cs="Calibri"/>
          <w:sz w:val="22"/>
          <w:szCs w:val="22"/>
        </w:rPr>
        <w:t>made arrangements</w:t>
      </w:r>
      <w:proofErr w:type="gramEnd"/>
      <w:r w:rsidRPr="00E23C0C">
        <w:rPr>
          <w:rFonts w:cs="Calibri"/>
          <w:sz w:val="22"/>
          <w:szCs w:val="22"/>
        </w:rPr>
        <w:t xml:space="preserve"> with multi-level authorities to expedite measures for the restoration and reconstruction of natural environment, wildlife, infrastructure, tourist facilities, collapsed buildings, and livelihoods. Following the General Planning requirement, the five anchor projects need to fundamentally complete in two years. On 8</w:t>
      </w:r>
      <w:r w:rsidRPr="00E23C0C">
        <w:rPr>
          <w:rFonts w:cs="Calibri"/>
          <w:sz w:val="22"/>
          <w:szCs w:val="22"/>
          <w:vertAlign w:val="superscript"/>
        </w:rPr>
        <w:t>th</w:t>
      </w:r>
      <w:r w:rsidRPr="00E23C0C">
        <w:rPr>
          <w:rFonts w:cs="Calibri"/>
          <w:sz w:val="22"/>
          <w:szCs w:val="22"/>
        </w:rPr>
        <w:t xml:space="preserve"> August 2019, the administration bureau of </w:t>
      </w:r>
      <w:proofErr w:type="spellStart"/>
      <w:r w:rsidRPr="00E23C0C">
        <w:rPr>
          <w:rFonts w:cs="Calibri"/>
          <w:sz w:val="22"/>
          <w:szCs w:val="22"/>
        </w:rPr>
        <w:t>Jiuzhaigou</w:t>
      </w:r>
      <w:proofErr w:type="spellEnd"/>
      <w:r w:rsidRPr="00E23C0C">
        <w:rPr>
          <w:rFonts w:cs="Calibri"/>
          <w:sz w:val="22"/>
          <w:szCs w:val="22"/>
        </w:rPr>
        <w:t xml:space="preserve"> announced that this target was basically achieved. The fulfilment of these projects marked the end of the long-term recovery </w:t>
      </w:r>
      <w:proofErr w:type="gramStart"/>
      <w:r w:rsidRPr="00E23C0C">
        <w:rPr>
          <w:rFonts w:cs="Calibri"/>
          <w:sz w:val="22"/>
          <w:szCs w:val="22"/>
        </w:rPr>
        <w:t>stage, and</w:t>
      </w:r>
      <w:proofErr w:type="gramEnd"/>
      <w:r w:rsidRPr="00E23C0C">
        <w:rPr>
          <w:rFonts w:cs="Calibri"/>
          <w:sz w:val="22"/>
          <w:szCs w:val="22"/>
        </w:rPr>
        <w:t xml:space="preserve"> paved the way for </w:t>
      </w:r>
      <w:proofErr w:type="spellStart"/>
      <w:r w:rsidRPr="00E23C0C">
        <w:rPr>
          <w:rFonts w:cs="Calibri"/>
          <w:sz w:val="22"/>
          <w:szCs w:val="22"/>
        </w:rPr>
        <w:t>Jiuzhaigou</w:t>
      </w:r>
      <w:proofErr w:type="spellEnd"/>
      <w:r w:rsidRPr="00E23C0C">
        <w:rPr>
          <w:rFonts w:cs="Calibri"/>
          <w:sz w:val="22"/>
          <w:szCs w:val="22"/>
        </w:rPr>
        <w:t xml:space="preserve"> National Park to reopen to the public step-by-step.</w:t>
      </w:r>
    </w:p>
    <w:p w14:paraId="148FDF16" w14:textId="77777777" w:rsidR="0031281E" w:rsidRPr="00E23C0C" w:rsidRDefault="0031281E" w:rsidP="0031281E">
      <w:pPr>
        <w:pStyle w:val="NormalWeb"/>
        <w:spacing w:beforeLines="50" w:before="163" w:beforeAutospacing="0" w:afterLines="50" w:after="163" w:afterAutospacing="0" w:line="300" w:lineRule="auto"/>
        <w:jc w:val="both"/>
        <w:rPr>
          <w:rFonts w:cs="Calibri"/>
          <w:b/>
          <w:sz w:val="22"/>
          <w:szCs w:val="22"/>
          <w:lang w:val="en-GB"/>
        </w:rPr>
      </w:pPr>
      <w:r w:rsidRPr="00E23C0C">
        <w:rPr>
          <w:rFonts w:cs="Calibri"/>
          <w:b/>
          <w:sz w:val="22"/>
          <w:szCs w:val="22"/>
          <w:lang w:val="en-GB"/>
        </w:rPr>
        <w:t>3.2 Data collection and analysis</w:t>
      </w:r>
    </w:p>
    <w:p w14:paraId="6E6E0EC1"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In this study, network analysis is employed to assess the structure of intergovernmental collaboration in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 by using UCINET 6 software. Government sectors are represented as nodes. The data was derived from a content analysis of news reports from the websites of </w:t>
      </w:r>
      <w:proofErr w:type="spellStart"/>
      <w:r w:rsidRPr="00E23C0C">
        <w:rPr>
          <w:rFonts w:cs="Calibri"/>
          <w:sz w:val="22"/>
          <w:szCs w:val="22"/>
        </w:rPr>
        <w:t>Jiuzhaigou</w:t>
      </w:r>
      <w:proofErr w:type="spellEnd"/>
      <w:r w:rsidRPr="00E23C0C">
        <w:rPr>
          <w:rFonts w:cs="Calibri"/>
          <w:sz w:val="22"/>
          <w:szCs w:val="22"/>
        </w:rPr>
        <w:t xml:space="preserve"> Administration Bureau, </w:t>
      </w:r>
      <w:proofErr w:type="spellStart"/>
      <w:r w:rsidRPr="00E23C0C">
        <w:rPr>
          <w:rFonts w:cs="Calibri"/>
          <w:sz w:val="22"/>
          <w:szCs w:val="22"/>
        </w:rPr>
        <w:t>Jiuzhaigou</w:t>
      </w:r>
      <w:proofErr w:type="spellEnd"/>
      <w:r w:rsidRPr="00E23C0C">
        <w:rPr>
          <w:rFonts w:cs="Calibri"/>
          <w:sz w:val="22"/>
          <w:szCs w:val="22"/>
        </w:rPr>
        <w:t xml:space="preserve"> County Government, Aba Autonomous Prefecture, Sichuan Province Government, and the Chinese central Government. 989 reports relating to the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 from 8</w:t>
      </w:r>
      <w:r w:rsidRPr="00E23C0C">
        <w:rPr>
          <w:rFonts w:cs="Calibri"/>
          <w:sz w:val="22"/>
          <w:szCs w:val="22"/>
          <w:vertAlign w:val="superscript"/>
        </w:rPr>
        <w:t>th</w:t>
      </w:r>
      <w:r w:rsidRPr="00E23C0C">
        <w:rPr>
          <w:rFonts w:cs="Calibri"/>
          <w:sz w:val="22"/>
          <w:szCs w:val="22"/>
        </w:rPr>
        <w:t xml:space="preserve"> August 2017 to 8</w:t>
      </w:r>
      <w:r w:rsidRPr="00E23C0C">
        <w:rPr>
          <w:rFonts w:cs="Calibri"/>
          <w:sz w:val="22"/>
          <w:szCs w:val="22"/>
          <w:vertAlign w:val="superscript"/>
        </w:rPr>
        <w:t>th</w:t>
      </w:r>
      <w:r w:rsidRPr="00E23C0C">
        <w:rPr>
          <w:rFonts w:cs="Calibri"/>
          <w:sz w:val="22"/>
          <w:szCs w:val="22"/>
        </w:rPr>
        <w:t xml:space="preserve"> August 2019 were collected. After eliminating those reports that did not relate to interactions between government sectors for post-disaster destination management, or were duplicate reports, or only contained photos, 68 reports were selected for this study: 8 reports related to the emergency stage (from 8</w:t>
      </w:r>
      <w:r w:rsidRPr="00E23C0C">
        <w:rPr>
          <w:rFonts w:cs="Calibri"/>
          <w:sz w:val="22"/>
          <w:szCs w:val="22"/>
          <w:vertAlign w:val="superscript"/>
        </w:rPr>
        <w:t>th</w:t>
      </w:r>
      <w:r w:rsidRPr="00E23C0C">
        <w:rPr>
          <w:rFonts w:cs="Calibri"/>
          <w:sz w:val="22"/>
          <w:szCs w:val="22"/>
        </w:rPr>
        <w:t xml:space="preserve"> to 14</w:t>
      </w:r>
      <w:r w:rsidRPr="00E23C0C">
        <w:rPr>
          <w:rFonts w:cs="Calibri"/>
          <w:sz w:val="22"/>
          <w:szCs w:val="22"/>
          <w:vertAlign w:val="superscript"/>
        </w:rPr>
        <w:t>th</w:t>
      </w:r>
      <w:r w:rsidRPr="00E23C0C">
        <w:rPr>
          <w:rFonts w:cs="Calibri"/>
          <w:sz w:val="22"/>
          <w:szCs w:val="22"/>
        </w:rPr>
        <w:t xml:space="preserve"> August 2017); 12 reports associated with the intermediate stage (from 15</w:t>
      </w:r>
      <w:r w:rsidRPr="00E23C0C">
        <w:rPr>
          <w:rFonts w:cs="Calibri"/>
          <w:sz w:val="22"/>
          <w:szCs w:val="22"/>
          <w:vertAlign w:val="superscript"/>
        </w:rPr>
        <w:t>th</w:t>
      </w:r>
      <w:r w:rsidRPr="00E23C0C">
        <w:rPr>
          <w:rFonts w:cs="Calibri"/>
          <w:sz w:val="22"/>
          <w:szCs w:val="22"/>
        </w:rPr>
        <w:t xml:space="preserve"> August to 7</w:t>
      </w:r>
      <w:r w:rsidRPr="00E23C0C">
        <w:rPr>
          <w:rFonts w:cs="Calibri"/>
          <w:sz w:val="22"/>
          <w:szCs w:val="22"/>
          <w:vertAlign w:val="superscript"/>
        </w:rPr>
        <w:t>th</w:t>
      </w:r>
      <w:r w:rsidRPr="00E23C0C">
        <w:rPr>
          <w:rFonts w:cs="Calibri"/>
          <w:sz w:val="22"/>
          <w:szCs w:val="22"/>
        </w:rPr>
        <w:t xml:space="preserve"> November 2017); 48 reports related to the long-term recovery stage (from 8</w:t>
      </w:r>
      <w:r w:rsidRPr="00E23C0C">
        <w:rPr>
          <w:rFonts w:cs="Calibri"/>
          <w:sz w:val="22"/>
          <w:szCs w:val="22"/>
          <w:vertAlign w:val="superscript"/>
        </w:rPr>
        <w:t>th</w:t>
      </w:r>
      <w:r w:rsidRPr="00E23C0C">
        <w:rPr>
          <w:rFonts w:cs="Calibri"/>
          <w:sz w:val="22"/>
          <w:szCs w:val="22"/>
        </w:rPr>
        <w:t xml:space="preserve"> November 2017 </w:t>
      </w:r>
      <w:r w:rsidRPr="00E23C0C">
        <w:rPr>
          <w:rFonts w:cs="Calibri"/>
          <w:sz w:val="22"/>
          <w:szCs w:val="22"/>
        </w:rPr>
        <w:lastRenderedPageBreak/>
        <w:t>to 8</w:t>
      </w:r>
      <w:r w:rsidRPr="00E23C0C">
        <w:rPr>
          <w:rFonts w:cs="Calibri"/>
          <w:sz w:val="22"/>
          <w:szCs w:val="22"/>
          <w:vertAlign w:val="superscript"/>
        </w:rPr>
        <w:t>th</w:t>
      </w:r>
      <w:r w:rsidRPr="00E23C0C">
        <w:rPr>
          <w:rFonts w:cs="Calibri"/>
          <w:sz w:val="22"/>
          <w:szCs w:val="22"/>
        </w:rPr>
        <w:t xml:space="preserve"> August 2019). Table 1 illustrates the three stages of post-disaster destination management and the data collected.</w:t>
      </w:r>
    </w:p>
    <w:p w14:paraId="0F38F20F"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The data analysis can be divided into two phases. In the first phase, to evaluate the intergovernmental response to the earthquake, we carefully reviewed the reports to identify interactions between different government sectors, and each interaction was recorded. The purpose of content analysis here was to understand interactions between different government sectors involved in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 49 government sectors actively participated in the intergovernmental collaboration throughout the whole process of post-disaster destination management (see Table 2): 11 government sectors engaged in the emergency stage; 21 government sectors were involved in the intermediate stage and; 33 government sectors in the long-term recovery stage. We then constructed four adjacency matrixes in the form of government sector × government matrix (49×49 adjacency matrix for the whole network of post-disaster destination management, 11×11 adjacency matrix for the emergency stage, 21×21 adjacency matrix for the intermediate stage, and 33×33 adjacency matrix for the long-term recovery stage). Interaction between government sectors was valued at either 0 or 1. 0 indicates no interaction between two government actors; 1 means that interaction existing between two actors. The structured data obtained from the content analysis was used as an input for network analysis.</w:t>
      </w:r>
    </w:p>
    <w:p w14:paraId="16AAEB50"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In the second phase, network analysis is employed to identify the structure of intergovernmental collaboration in the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 Four principal foci of network analysis are listed by </w:t>
      </w:r>
      <w:proofErr w:type="spellStart"/>
      <w:r w:rsidRPr="00E23C0C">
        <w:rPr>
          <w:rFonts w:cs="Calibri"/>
          <w:sz w:val="22"/>
          <w:szCs w:val="22"/>
        </w:rPr>
        <w:t>Haythornthwaite</w:t>
      </w:r>
      <w:proofErr w:type="spellEnd"/>
      <w:r w:rsidRPr="00E23C0C">
        <w:rPr>
          <w:rFonts w:cs="Calibri"/>
          <w:sz w:val="22"/>
          <w:szCs w:val="22"/>
        </w:rPr>
        <w:t xml:space="preserve"> (1996: 330), namely cohesion, structural equivalence, prominence, and range. This study aims to examine actors and interactions between government sectors in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 Accordingly, the measurements of density, average distance, centrality, clique and structural holes are used to examine the structure of intergovernmental collaboration. </w:t>
      </w:r>
    </w:p>
    <w:p w14:paraId="361228F1" w14:textId="77777777" w:rsidR="0031281E" w:rsidRPr="00E23C0C" w:rsidRDefault="0031281E" w:rsidP="0031281E">
      <w:pPr>
        <w:spacing w:beforeLines="50" w:before="163" w:afterLines="50" w:after="163" w:line="400" w:lineRule="exact"/>
        <w:jc w:val="both"/>
        <w:rPr>
          <w:rFonts w:cs="Calibri"/>
          <w:b/>
          <w:sz w:val="28"/>
          <w:szCs w:val="28"/>
        </w:rPr>
      </w:pPr>
      <w:r w:rsidRPr="00E23C0C">
        <w:rPr>
          <w:rFonts w:cs="Calibri"/>
          <w:b/>
          <w:sz w:val="28"/>
          <w:szCs w:val="28"/>
        </w:rPr>
        <w:t>4 Results</w:t>
      </w:r>
    </w:p>
    <w:p w14:paraId="71B966F6" w14:textId="77777777" w:rsidR="0031281E" w:rsidRPr="00E23C0C" w:rsidRDefault="0031281E" w:rsidP="0031281E">
      <w:pPr>
        <w:pStyle w:val="NormalWeb"/>
        <w:spacing w:beforeLines="50" w:before="163" w:beforeAutospacing="0" w:afterLines="50" w:after="163" w:afterAutospacing="0" w:line="300" w:lineRule="auto"/>
        <w:jc w:val="both"/>
        <w:rPr>
          <w:rFonts w:cs="Calibri"/>
          <w:b/>
          <w:sz w:val="22"/>
          <w:szCs w:val="22"/>
          <w:lang w:val="en-GB"/>
        </w:rPr>
      </w:pPr>
      <w:r w:rsidRPr="00E23C0C">
        <w:rPr>
          <w:rFonts w:cs="Calibri"/>
          <w:b/>
          <w:sz w:val="22"/>
          <w:szCs w:val="22"/>
          <w:lang w:val="en-GB"/>
        </w:rPr>
        <w:t>4.1 Government sector profiles and visualisation</w:t>
      </w:r>
    </w:p>
    <w:p w14:paraId="70AFDB28" w14:textId="74D02D54"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Table 3 shows descriptive statistics relating to government sectors that participated in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 Regarding their types, we found that almost half of the engaged government sectors were at the municipal or district level; over one third operated at the provincial level; less than one fifth operated at the national level. The descriptive statistics indicate that a wide range of government sectors, ranging from </w:t>
      </w:r>
      <w:r w:rsidRPr="00E23C0C">
        <w:rPr>
          <w:rFonts w:cs="Calibri"/>
          <w:sz w:val="22"/>
          <w:szCs w:val="22"/>
        </w:rPr>
        <w:lastRenderedPageBreak/>
        <w:t xml:space="preserve">national to provincial and municipal to district levels, engaged in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 The active participation of </w:t>
      </w:r>
      <w:proofErr w:type="gramStart"/>
      <w:r w:rsidRPr="00E23C0C">
        <w:rPr>
          <w:rFonts w:cs="Calibri"/>
          <w:sz w:val="22"/>
          <w:szCs w:val="22"/>
        </w:rPr>
        <w:t>higher level</w:t>
      </w:r>
      <w:proofErr w:type="gramEnd"/>
      <w:r w:rsidRPr="00E23C0C">
        <w:rPr>
          <w:rFonts w:cs="Calibri"/>
          <w:sz w:val="22"/>
          <w:szCs w:val="22"/>
        </w:rPr>
        <w:t xml:space="preserve"> government sectors represents a point of difference with the Western model of intergovernmental collaboration that depends heavily on local government bodies to facilitate post-disaster destination management (</w:t>
      </w:r>
      <w:proofErr w:type="spellStart"/>
      <w:r w:rsidRPr="00E23C0C">
        <w:rPr>
          <w:rFonts w:cs="Calibri"/>
          <w:sz w:val="22"/>
          <w:szCs w:val="22"/>
        </w:rPr>
        <w:t>Becken</w:t>
      </w:r>
      <w:proofErr w:type="spellEnd"/>
      <w:r w:rsidRPr="00E23C0C">
        <w:rPr>
          <w:rFonts w:cs="Calibri"/>
          <w:sz w:val="22"/>
          <w:szCs w:val="22"/>
        </w:rPr>
        <w:t xml:space="preserve"> </w:t>
      </w:r>
      <w:r w:rsidR="0009739D" w:rsidRPr="00E23C0C">
        <w:rPr>
          <w:rFonts w:cs="Calibri"/>
          <w:sz w:val="22"/>
          <w:szCs w:val="22"/>
        </w:rPr>
        <w:t>&amp;</w:t>
      </w:r>
      <w:r w:rsidRPr="00E23C0C">
        <w:rPr>
          <w:rFonts w:cs="Calibri"/>
          <w:sz w:val="22"/>
          <w:szCs w:val="22"/>
        </w:rPr>
        <w:t xml:space="preserve"> Hughey, 2013). This can be explained by the fact that hierarchical intervention is vital to ensure the effective functioning of intergovernmental collaboration in the Chinese centralised political-administrative structure (Ge et al., 2010).</w:t>
      </w:r>
    </w:p>
    <w:p w14:paraId="25778E09"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Employing a graphical approach, we produced four visual network diagrams of intergovernmental collaboration in post-disaster destination management of </w:t>
      </w:r>
      <w:proofErr w:type="spellStart"/>
      <w:r w:rsidRPr="00E23C0C">
        <w:rPr>
          <w:rFonts w:cs="Calibri"/>
          <w:sz w:val="22"/>
          <w:szCs w:val="22"/>
        </w:rPr>
        <w:t>Jiuzhaigou</w:t>
      </w:r>
      <w:proofErr w:type="spellEnd"/>
      <w:r w:rsidRPr="00E23C0C">
        <w:rPr>
          <w:rFonts w:cs="Calibri"/>
          <w:sz w:val="22"/>
          <w:szCs w:val="22"/>
        </w:rPr>
        <w:t xml:space="preserve"> National Park. Network visualisation can identify the different components of the network, discover network patterns and features, and gain insights into the underlying dynamics of the network (</w:t>
      </w:r>
      <w:proofErr w:type="spellStart"/>
      <w:r w:rsidRPr="00E23C0C">
        <w:rPr>
          <w:rFonts w:cs="Calibri"/>
          <w:sz w:val="22"/>
          <w:szCs w:val="22"/>
        </w:rPr>
        <w:t>Trias</w:t>
      </w:r>
      <w:proofErr w:type="spellEnd"/>
      <w:r w:rsidRPr="00E23C0C">
        <w:rPr>
          <w:rFonts w:cs="Calibri"/>
          <w:sz w:val="22"/>
          <w:szCs w:val="22"/>
        </w:rPr>
        <w:t xml:space="preserve"> et al., 2019). </w:t>
      </w:r>
    </w:p>
    <w:p w14:paraId="7690B686"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Figure 2 illustrates the entire network of intergovernmental collaboration in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 Figure 2 shows that government sectors at national, provincial and local levels collaborate for post-disaster destination management. Intergovernmental collaboration is structured hierarchically and horizontally to facilitate destination management.</w:t>
      </w:r>
    </w:p>
    <w:p w14:paraId="28B728EB"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Figure 3 shows the network of intergovernmental collaboration at the emergency stage. ABJ is the central government sector at this stage. Government sectors at the national, provincial and municipal levels are coordinated, and intergovernmental collaboration mainly developed hierarchically to promote the response activities. Most government sectors, such as ABJ, GA, GS and SCC, play important roles at this stage. This can be explained by the fact that these principal sectors are mainly responsible for the whole emergency management, including rescue activities, provision of shelters and producing disaster impact reports.</w:t>
      </w:r>
    </w:p>
    <w:p w14:paraId="15A98B20"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Figure 4 shows the network of intergovernmental collaboration at the intermediate stage. ABJ plays a leading role in facilitating relief activities, and government sectors at the national level are strongly interconnected with each other at this stage. Compared with intergovernmental collaboration at the emergency stage, horizontal connections between government sectors become more significant at this stage. However, intergovernmental collaboration primarily operates in a hierarchical way. Figure 4 demonstrates that the number of functional government sectors increases rapidly during this stage. Functional sectors, such as TPBA, GEBS, NTD and NFB, are mainly grouped for drawing up the rebuilding planning of tourism-related infrastructure and ecological environment.  </w:t>
      </w:r>
    </w:p>
    <w:p w14:paraId="244B169B"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lastRenderedPageBreak/>
        <w:t>Figure 5 displays the network of intergovernmental collaboration at the long-term recovery stage. ABJ remains the central sector and has the most connections with other sectors. GJ, DRCA and GA act as the secondary central locations within the network. The long-term recovery activities rely heavily on hierarchical collaboration, but horizontal collaboration becomes much more significant in functioning the whole collaboration. Figure 5 illustrates that the long-term recovery is heavily dependent on government sectors at municipal and district levels. The focus of this stage is to implement the General Plan and the five anchored projects. Thus, many functional government sectors at the municipal and district levels, such as EMOA, CEITA, TPBA, and ICBA, are delegated to implement the anchored projects at this stage.</w:t>
      </w:r>
    </w:p>
    <w:p w14:paraId="6FAEF2D3" w14:textId="77777777" w:rsidR="0031281E" w:rsidRPr="00E23C0C" w:rsidRDefault="0031281E" w:rsidP="0031281E">
      <w:pPr>
        <w:pStyle w:val="NormalWeb"/>
        <w:spacing w:beforeLines="50" w:before="163" w:beforeAutospacing="0" w:afterLines="50" w:after="163" w:afterAutospacing="0" w:line="300" w:lineRule="auto"/>
        <w:jc w:val="both"/>
        <w:rPr>
          <w:rFonts w:cs="Calibri"/>
          <w:b/>
          <w:sz w:val="22"/>
          <w:szCs w:val="22"/>
          <w:lang w:val="en-GB"/>
        </w:rPr>
      </w:pPr>
      <w:r w:rsidRPr="00E23C0C">
        <w:rPr>
          <w:rFonts w:cs="Calibri"/>
          <w:b/>
          <w:sz w:val="22"/>
          <w:szCs w:val="22"/>
          <w:lang w:val="en-GB"/>
        </w:rPr>
        <w:t>4.2 Network density and average distance</w:t>
      </w:r>
    </w:p>
    <w:p w14:paraId="25A68389" w14:textId="2C019BBE"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Density measurement is carried out to gauge connectivity level of within a network (</w:t>
      </w:r>
      <w:proofErr w:type="spellStart"/>
      <w:r w:rsidRPr="00E23C0C">
        <w:rPr>
          <w:rFonts w:cs="Calibri"/>
          <w:sz w:val="22"/>
          <w:szCs w:val="22"/>
        </w:rPr>
        <w:t>Hanneman</w:t>
      </w:r>
      <w:proofErr w:type="spellEnd"/>
      <w:r w:rsidRPr="00E23C0C">
        <w:rPr>
          <w:rFonts w:cs="Calibri"/>
          <w:sz w:val="22"/>
          <w:szCs w:val="22"/>
        </w:rPr>
        <w:t xml:space="preserve"> </w:t>
      </w:r>
      <w:r w:rsidR="002C4977" w:rsidRPr="00E23C0C">
        <w:rPr>
          <w:rFonts w:cs="Calibri"/>
          <w:sz w:val="22"/>
          <w:szCs w:val="22"/>
        </w:rPr>
        <w:t>&amp;</w:t>
      </w:r>
      <w:r w:rsidRPr="00E23C0C">
        <w:rPr>
          <w:rFonts w:cs="Calibri"/>
          <w:sz w:val="22"/>
          <w:szCs w:val="22"/>
        </w:rPr>
        <w:t xml:space="preserve"> Riddle, 2005). Table 4 displays descriptive statistics for network density and average distance of intergovernmental collaboration at the emergency, intermediate and long-term recovery stages. Network density refers to the portion of potential ties in a network that are actual ties. A potential tie is the</w:t>
      </w:r>
      <w:r w:rsidRPr="00E23C0C">
        <w:rPr>
          <w:rFonts w:cs="Calibri" w:hint="eastAsia"/>
          <w:sz w:val="22"/>
          <w:szCs w:val="22"/>
        </w:rPr>
        <w:t xml:space="preserve"> </w:t>
      </w:r>
      <w:r w:rsidRPr="00E23C0C">
        <w:rPr>
          <w:rFonts w:cs="Calibri"/>
          <w:sz w:val="22"/>
          <w:szCs w:val="22"/>
        </w:rPr>
        <w:t xml:space="preserve">tie that could potentially exist between two actors, while an actual tie is one that </w:t>
      </w:r>
      <w:proofErr w:type="gramStart"/>
      <w:r w:rsidRPr="00E23C0C">
        <w:rPr>
          <w:rFonts w:cs="Calibri"/>
          <w:sz w:val="22"/>
          <w:szCs w:val="22"/>
        </w:rPr>
        <w:t>actually exists</w:t>
      </w:r>
      <w:proofErr w:type="gramEnd"/>
      <w:r w:rsidRPr="00E23C0C">
        <w:rPr>
          <w:rFonts w:cs="Calibri"/>
          <w:sz w:val="22"/>
          <w:szCs w:val="22"/>
        </w:rPr>
        <w:t>. Network density is not only determined by the sum of ties between actors, but by the sum of actors in the network (Lian</w:t>
      </w:r>
      <w:r w:rsidR="0009739D" w:rsidRPr="00E23C0C">
        <w:rPr>
          <w:rFonts w:cs="Calibri"/>
          <w:sz w:val="22"/>
          <w:szCs w:val="22"/>
        </w:rPr>
        <w:t xml:space="preserve"> et al.</w:t>
      </w:r>
      <w:r w:rsidRPr="00E23C0C">
        <w:rPr>
          <w:rFonts w:cs="Calibri"/>
          <w:sz w:val="22"/>
          <w:szCs w:val="22"/>
        </w:rPr>
        <w:t xml:space="preserve">, 2012; Wise, 2014). The equation 1 shows the calculation of the network density </w:t>
      </w:r>
      <m:oMath>
        <m:r>
          <w:rPr>
            <w:rFonts w:ascii="Cambria Math" w:hAnsi="Cambria Math" w:cs="Calibri"/>
            <w:sz w:val="22"/>
            <w:szCs w:val="22"/>
          </w:rPr>
          <m:t>D</m:t>
        </m:r>
      </m:oMath>
      <w:r w:rsidRPr="00E23C0C">
        <w:rPr>
          <w:rFonts w:cs="Calibri"/>
          <w:sz w:val="22"/>
          <w:szCs w:val="22"/>
        </w:rPr>
        <w:t xml:space="preserve"> as following (</w:t>
      </w:r>
      <w:proofErr w:type="spellStart"/>
      <w:r w:rsidRPr="00E23C0C">
        <w:rPr>
          <w:rFonts w:cs="Calibri"/>
          <w:sz w:val="22"/>
          <w:szCs w:val="22"/>
        </w:rPr>
        <w:t>Alsamadani</w:t>
      </w:r>
      <w:proofErr w:type="spellEnd"/>
      <w:r w:rsidRPr="00E23C0C">
        <w:rPr>
          <w:rFonts w:cs="Calibri"/>
          <w:sz w:val="22"/>
          <w:szCs w:val="22"/>
        </w:rPr>
        <w:t xml:space="preserve"> et al., 2013):</w:t>
      </w:r>
    </w:p>
    <w:p w14:paraId="0010F46B" w14:textId="77777777" w:rsidR="0031281E" w:rsidRPr="00E23C0C" w:rsidRDefault="0031281E" w:rsidP="0031281E">
      <w:pPr>
        <w:rPr>
          <w:rFonts w:eastAsiaTheme="minorEastAsia" w:cs="Calibri"/>
          <w:i/>
          <w:sz w:val="22"/>
          <w:szCs w:val="22"/>
        </w:rPr>
      </w:pPr>
      <m:oMathPara>
        <m:oMath>
          <m:r>
            <w:rPr>
              <w:rFonts w:ascii="Cambria Math" w:eastAsiaTheme="minorEastAsia" w:hAnsi="Cambria Math" w:cs="Calibri"/>
              <w:kern w:val="2"/>
              <w:sz w:val="22"/>
              <w:szCs w:val="22"/>
            </w:rPr>
            <m:t xml:space="preserve">                                                           D</m:t>
          </m:r>
          <m:r>
            <w:rPr>
              <w:rFonts w:ascii="Cambria Math" w:hAnsi="Cambria Math" w:cs="Calibri"/>
              <w:sz w:val="22"/>
              <w:szCs w:val="22"/>
            </w:rPr>
            <m:t>=</m:t>
          </m:r>
          <m:f>
            <m:fPr>
              <m:ctrlPr>
                <w:rPr>
                  <w:rFonts w:ascii="Cambria Math" w:eastAsiaTheme="minorEastAsia" w:hAnsi="Cambria Math" w:cs="Calibri"/>
                  <w:i/>
                  <w:kern w:val="2"/>
                  <w:sz w:val="22"/>
                  <w:szCs w:val="22"/>
                </w:rPr>
              </m:ctrlPr>
            </m:fPr>
            <m:num>
              <m:r>
                <w:rPr>
                  <w:rFonts w:ascii="Cambria Math" w:eastAsiaTheme="minorEastAsia" w:hAnsi="Cambria Math" w:cs="Calibri"/>
                  <w:kern w:val="2"/>
                  <w:sz w:val="22"/>
                  <w:szCs w:val="22"/>
                </w:rPr>
                <m:t>T</m:t>
              </m:r>
            </m:num>
            <m:den>
              <m:r>
                <w:rPr>
                  <w:rFonts w:ascii="Cambria Math" w:eastAsiaTheme="minorEastAsia" w:hAnsi="Cambria Math" w:cs="Calibri"/>
                  <w:kern w:val="2"/>
                  <w:sz w:val="22"/>
                  <w:szCs w:val="22"/>
                </w:rPr>
                <m:t>n(n-1)</m:t>
              </m:r>
            </m:den>
          </m:f>
          <m:r>
            <w:rPr>
              <w:rFonts w:ascii="Cambria Math" w:eastAsiaTheme="minorEastAsia" w:hAnsi="Cambria Math" w:cs="Calibri"/>
              <w:kern w:val="2"/>
              <w:sz w:val="22"/>
              <w:szCs w:val="22"/>
            </w:rPr>
            <m:t xml:space="preserve">                                                                               (1)</m:t>
          </m:r>
        </m:oMath>
      </m:oMathPara>
    </w:p>
    <w:p w14:paraId="257D5197" w14:textId="72B7AEBE"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Where </w:t>
      </w:r>
      <m:oMath>
        <m:r>
          <w:rPr>
            <w:rFonts w:ascii="Cambria Math" w:hAnsi="Cambria Math" w:cs="Calibri"/>
            <w:sz w:val="22"/>
            <w:szCs w:val="22"/>
          </w:rPr>
          <m:t>T</m:t>
        </m:r>
      </m:oMath>
      <w:r w:rsidRPr="00E23C0C">
        <w:rPr>
          <w:rFonts w:cs="Calibri"/>
          <w:sz w:val="22"/>
          <w:szCs w:val="22"/>
        </w:rPr>
        <w:t xml:space="preserve"> is the actual number of ties, </w:t>
      </w:r>
      <m:oMath>
        <m:r>
          <w:rPr>
            <w:rFonts w:ascii="Cambria Math" w:hAnsi="Cambria Math" w:cs="Calibri"/>
            <w:sz w:val="22"/>
            <w:szCs w:val="22"/>
          </w:rPr>
          <m:t>n</m:t>
        </m:r>
      </m:oMath>
      <w:r w:rsidRPr="00E23C0C">
        <w:rPr>
          <w:rFonts w:cs="Calibri"/>
          <w:sz w:val="22"/>
          <w:szCs w:val="22"/>
        </w:rPr>
        <w:t xml:space="preserve"> is the number of government sectors in the </w:t>
      </w:r>
      <w:proofErr w:type="gramStart"/>
      <w:r w:rsidRPr="00E23C0C">
        <w:rPr>
          <w:rFonts w:cs="Calibri"/>
          <w:sz w:val="22"/>
          <w:szCs w:val="22"/>
        </w:rPr>
        <w:t>network.</w:t>
      </w:r>
      <w:proofErr w:type="gramEnd"/>
      <w:r w:rsidRPr="00E23C0C">
        <w:rPr>
          <w:rFonts w:cs="Calibri"/>
          <w:sz w:val="22"/>
          <w:szCs w:val="22"/>
        </w:rPr>
        <w:t xml:space="preserve"> In Table 4, the intermediate stage has the highest density value with 21 actors and 184 ties; the emergency stage ranks the </w:t>
      </w:r>
      <w:proofErr w:type="gramStart"/>
      <w:r w:rsidRPr="00E23C0C">
        <w:rPr>
          <w:rFonts w:cs="Calibri"/>
          <w:sz w:val="22"/>
          <w:szCs w:val="22"/>
        </w:rPr>
        <w:t>second, and</w:t>
      </w:r>
      <w:proofErr w:type="gramEnd"/>
      <w:r w:rsidRPr="00E23C0C">
        <w:rPr>
          <w:rFonts w:cs="Calibri"/>
          <w:sz w:val="22"/>
          <w:szCs w:val="22"/>
        </w:rPr>
        <w:t xml:space="preserve"> has 11 actors and 37 ties; the long-term recovery stage has the lowest density value, with 33 actors and 147 ties. Although there are 147 ties at the long-term stage, the number of actors engaged at this point is considerably higher than that of the emergency stage. Thus, network density at the long-term stage is the lowest. The above results demonstrate that the most frequent interactions between government sectors occurred at the intermediate stage. One explanation may be that measures for post-disaster destination management at the intermediate stage often relate to the continuing rescue efforts, the provision of facilities or mental health support to affected locals (Faulkner </w:t>
      </w:r>
      <w:r w:rsidR="002C4977"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Vikulov</w:t>
      </w:r>
      <w:proofErr w:type="spellEnd"/>
      <w:r w:rsidRPr="00E23C0C">
        <w:rPr>
          <w:rFonts w:cs="Calibri"/>
          <w:sz w:val="22"/>
          <w:szCs w:val="22"/>
        </w:rPr>
        <w:t xml:space="preserve">, 2001). Post-disaster destination management at this stage involves </w:t>
      </w:r>
      <w:r w:rsidRPr="00E23C0C">
        <w:rPr>
          <w:rFonts w:cs="Calibri"/>
          <w:sz w:val="22"/>
          <w:szCs w:val="22"/>
        </w:rPr>
        <w:lastRenderedPageBreak/>
        <w:t>a combination of ongoing emergency protection and pre- long-term recovery. The combination requires a broad range of specific government sectors to engage in this complex management process.</w:t>
      </w:r>
    </w:p>
    <w:p w14:paraId="53AFC17B"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Average distance </w:t>
      </w:r>
      <m:oMath>
        <m:r>
          <w:rPr>
            <w:rFonts w:ascii="Cambria Math" w:eastAsiaTheme="minorEastAsia" w:hAnsi="Cambria Math" w:cs="Calibri"/>
            <w:kern w:val="2"/>
            <w:sz w:val="22"/>
            <w:szCs w:val="22"/>
          </w:rPr>
          <m:t>AD</m:t>
        </m:r>
      </m:oMath>
      <w:r w:rsidRPr="00E23C0C">
        <w:rPr>
          <w:rFonts w:cs="Calibri"/>
          <w:sz w:val="22"/>
          <w:szCs w:val="22"/>
        </w:rPr>
        <w:t xml:space="preserve"> is to measure network cohesion. The equation 2 of average distance </w:t>
      </w:r>
      <m:oMath>
        <m:r>
          <w:rPr>
            <w:rFonts w:ascii="Cambria Math" w:eastAsiaTheme="minorEastAsia" w:hAnsi="Cambria Math" w:cs="Calibri"/>
            <w:kern w:val="2"/>
            <w:sz w:val="22"/>
            <w:szCs w:val="22"/>
          </w:rPr>
          <m:t>AD</m:t>
        </m:r>
      </m:oMath>
      <w:r w:rsidRPr="00E23C0C">
        <w:rPr>
          <w:rFonts w:cs="Calibri"/>
          <w:sz w:val="22"/>
          <w:szCs w:val="22"/>
        </w:rPr>
        <w:t xml:space="preserve"> is shown below (</w:t>
      </w:r>
      <w:proofErr w:type="spellStart"/>
      <w:r w:rsidRPr="00E23C0C">
        <w:rPr>
          <w:rFonts w:cs="Calibri"/>
          <w:sz w:val="22"/>
          <w:szCs w:val="22"/>
        </w:rPr>
        <w:t>Fujihara</w:t>
      </w:r>
      <w:proofErr w:type="spellEnd"/>
      <w:r w:rsidRPr="00E23C0C">
        <w:rPr>
          <w:rFonts w:cs="Calibri"/>
          <w:sz w:val="22"/>
          <w:szCs w:val="22"/>
        </w:rPr>
        <w:t xml:space="preserve"> et al., 2009): </w:t>
      </w:r>
    </w:p>
    <w:p w14:paraId="189E78EF" w14:textId="77777777" w:rsidR="0031281E" w:rsidRPr="00E23C0C" w:rsidRDefault="0031281E" w:rsidP="0031281E">
      <w:pPr>
        <w:rPr>
          <w:rFonts w:eastAsiaTheme="minorEastAsia" w:cs="Calibri"/>
          <w:i/>
          <w:sz w:val="22"/>
          <w:szCs w:val="22"/>
        </w:rPr>
      </w:pPr>
      <m:oMathPara>
        <m:oMath>
          <m:r>
            <w:rPr>
              <w:rFonts w:ascii="Cambria Math" w:eastAsiaTheme="minorEastAsia" w:hAnsi="Cambria Math" w:cs="Calibri"/>
              <w:kern w:val="2"/>
              <w:sz w:val="22"/>
              <w:szCs w:val="22"/>
            </w:rPr>
            <m:t xml:space="preserve">                                                                   AD</m:t>
          </m:r>
          <m:r>
            <w:rPr>
              <w:rFonts w:ascii="Cambria Math" w:hAnsi="Cambria Math" w:cs="Calibri"/>
              <w:sz w:val="22"/>
              <w:szCs w:val="22"/>
            </w:rPr>
            <m:t>=</m:t>
          </m:r>
          <m:f>
            <m:fPr>
              <m:ctrlPr>
                <w:rPr>
                  <w:rFonts w:ascii="Cambria Math" w:eastAsiaTheme="minorEastAsia" w:hAnsi="Cambria Math" w:cs="Calibri"/>
                  <w:i/>
                  <w:kern w:val="2"/>
                  <w:sz w:val="22"/>
                  <w:szCs w:val="22"/>
                </w:rPr>
              </m:ctrlPr>
            </m:fPr>
            <m:num>
              <m:nary>
                <m:naryPr>
                  <m:chr m:val="∑"/>
                  <m:limLoc m:val="subSup"/>
                  <m:ctrlPr>
                    <w:rPr>
                      <w:rFonts w:ascii="Cambria Math" w:eastAsiaTheme="minorEastAsia" w:hAnsi="Cambria Math" w:cs="Calibri"/>
                      <w:i/>
                      <w:kern w:val="2"/>
                      <w:sz w:val="22"/>
                      <w:szCs w:val="22"/>
                    </w:rPr>
                  </m:ctrlPr>
                </m:naryPr>
                <m:sub>
                  <m:r>
                    <w:rPr>
                      <w:rFonts w:ascii="Cambria Math" w:hAnsi="Cambria Math" w:cs="Calibri"/>
                      <w:sz w:val="22"/>
                      <w:szCs w:val="22"/>
                    </w:rPr>
                    <m:t>j</m:t>
                  </m:r>
                </m:sub>
                <m:sup>
                  <m:r>
                    <w:rPr>
                      <w:rFonts w:ascii="Cambria Math" w:hAnsi="Cambria Math" w:cs="Calibri"/>
                      <w:sz w:val="22"/>
                      <w:szCs w:val="22"/>
                    </w:rPr>
                    <m:t>n</m:t>
                  </m:r>
                </m:sup>
                <m:e>
                  <m:sSub>
                    <m:sSubPr>
                      <m:ctrlPr>
                        <w:rPr>
                          <w:rFonts w:ascii="Cambria Math" w:eastAsiaTheme="minorEastAsia" w:hAnsi="Cambria Math" w:cs="Calibri"/>
                          <w:i/>
                          <w:kern w:val="2"/>
                          <w:sz w:val="22"/>
                          <w:szCs w:val="22"/>
                        </w:rPr>
                      </m:ctrlPr>
                    </m:sSubPr>
                    <m:e>
                      <m:r>
                        <w:rPr>
                          <w:rFonts w:ascii="Cambria Math" w:hAnsi="Cambria Math" w:cs="Calibri"/>
                          <w:sz w:val="22"/>
                          <w:szCs w:val="22"/>
                        </w:rPr>
                        <m:t>d</m:t>
                      </m:r>
                    </m:e>
                    <m:sub>
                      <m:r>
                        <w:rPr>
                          <w:rFonts w:ascii="Cambria Math" w:hAnsi="Cambria Math" w:cs="Calibri"/>
                          <w:sz w:val="22"/>
                          <w:szCs w:val="22"/>
                        </w:rPr>
                        <m:t>ij</m:t>
                      </m:r>
                    </m:sub>
                  </m:sSub>
                </m:e>
              </m:nary>
            </m:num>
            <m:den>
              <m:r>
                <w:rPr>
                  <w:rFonts w:ascii="Cambria Math" w:eastAsiaTheme="minorEastAsia" w:hAnsi="Cambria Math" w:cs="Calibri"/>
                  <w:kern w:val="2"/>
                  <w:sz w:val="22"/>
                  <w:szCs w:val="22"/>
                </w:rPr>
                <m:t>2n</m:t>
              </m:r>
            </m:den>
          </m:f>
          <m:r>
            <w:rPr>
              <w:rFonts w:ascii="Cambria Math" w:eastAsiaTheme="minorEastAsia" w:hAnsi="Cambria Math" w:cs="Calibri"/>
              <w:kern w:val="2"/>
              <w:sz w:val="22"/>
              <w:szCs w:val="22"/>
            </w:rPr>
            <m:t xml:space="preserve">;i </m:t>
          </m:r>
          <m:r>
            <w:rPr>
              <w:rFonts w:ascii="Cambria Math" w:eastAsiaTheme="minorEastAsia" w:hAnsi="Cambria Math" w:cs="Calibri" w:hint="eastAsia"/>
              <w:kern w:val="2"/>
              <w:sz w:val="22"/>
              <w:szCs w:val="22"/>
            </w:rPr>
            <m:t>≠</m:t>
          </m:r>
          <m:r>
            <w:rPr>
              <w:rFonts w:ascii="Cambria Math" w:eastAsiaTheme="minorEastAsia" w:hAnsi="Cambria Math" w:cs="Calibri"/>
              <w:kern w:val="2"/>
              <w:sz w:val="22"/>
              <w:szCs w:val="22"/>
            </w:rPr>
            <m:t>j                                                           (</m:t>
          </m:r>
          <m:r>
            <m:rPr>
              <m:sty m:val="p"/>
            </m:rPr>
            <w:rPr>
              <w:rFonts w:ascii="Cambria Math" w:hAnsi="Cambria Math" w:cs="Calibri"/>
              <w:sz w:val="22"/>
              <w:szCs w:val="22"/>
            </w:rPr>
            <m:t xml:space="preserve">2) </m:t>
          </m:r>
          <m:r>
            <w:rPr>
              <w:rFonts w:ascii="Cambria Math" w:eastAsiaTheme="minorEastAsia" w:hAnsi="Cambria Math" w:cs="Calibri"/>
              <w:kern w:val="2"/>
              <w:sz w:val="22"/>
              <w:szCs w:val="22"/>
            </w:rPr>
            <m:t xml:space="preserve"> </m:t>
          </m:r>
        </m:oMath>
      </m:oMathPara>
    </w:p>
    <w:p w14:paraId="129215DC"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Where </w:t>
      </w:r>
      <m:oMath>
        <m:sSub>
          <m:sSubPr>
            <m:ctrlPr>
              <w:rPr>
                <w:rFonts w:ascii="Cambria Math" w:hAnsi="Cambria Math" w:cs="Calibri"/>
                <w:i/>
                <w:sz w:val="22"/>
                <w:szCs w:val="22"/>
              </w:rPr>
            </m:ctrlPr>
          </m:sSubPr>
          <m:e>
            <m:r>
              <w:rPr>
                <w:rFonts w:ascii="Cambria Math" w:hAnsi="Cambria Math" w:cs="Calibri"/>
                <w:sz w:val="22"/>
                <w:szCs w:val="22"/>
              </w:rPr>
              <m:t>d</m:t>
            </m:r>
          </m:e>
          <m:sub>
            <m:r>
              <w:rPr>
                <w:rFonts w:ascii="Cambria Math" w:hAnsi="Cambria Math" w:cs="Calibri"/>
                <w:sz w:val="22"/>
                <w:szCs w:val="22"/>
              </w:rPr>
              <m:t>ij</m:t>
            </m:r>
          </m:sub>
        </m:sSub>
      </m:oMath>
      <w:r w:rsidRPr="00E23C0C">
        <w:rPr>
          <w:rFonts w:cs="Calibri"/>
          <w:sz w:val="22"/>
          <w:szCs w:val="22"/>
        </w:rPr>
        <w:t xml:space="preserve"> denotes as the length of the shortest path between government sector </w:t>
      </w:r>
      <m:oMath>
        <m:r>
          <w:rPr>
            <w:rFonts w:ascii="Cambria Math" w:hAnsi="Cambria Math" w:cs="Calibri"/>
            <w:kern w:val="2"/>
            <w:sz w:val="22"/>
            <w:szCs w:val="22"/>
          </w:rPr>
          <m:t>i</m:t>
        </m:r>
      </m:oMath>
      <w:r w:rsidRPr="00E23C0C">
        <w:rPr>
          <w:rFonts w:cs="Calibri"/>
          <w:sz w:val="22"/>
          <w:szCs w:val="22"/>
        </w:rPr>
        <w:t xml:space="preserve"> and </w:t>
      </w:r>
      <m:oMath>
        <m:r>
          <w:rPr>
            <w:rFonts w:ascii="Cambria Math" w:hAnsi="Cambria Math" w:cs="Calibri"/>
            <w:kern w:val="2"/>
            <w:sz w:val="22"/>
            <w:szCs w:val="22"/>
          </w:rPr>
          <m:t>j.</m:t>
        </m:r>
      </m:oMath>
      <w:r w:rsidRPr="00E23C0C">
        <w:rPr>
          <w:rFonts w:cs="Calibri"/>
          <w:kern w:val="2"/>
          <w:sz w:val="22"/>
          <w:szCs w:val="22"/>
        </w:rPr>
        <w:t xml:space="preserve"> </w:t>
      </w:r>
      <m:oMath>
        <m:r>
          <w:rPr>
            <w:rFonts w:ascii="Cambria Math" w:hAnsi="Cambria Math" w:cs="Calibri"/>
            <w:sz w:val="22"/>
            <w:szCs w:val="22"/>
          </w:rPr>
          <m:t>n</m:t>
        </m:r>
      </m:oMath>
      <w:r w:rsidRPr="00E23C0C">
        <w:rPr>
          <w:rFonts w:cs="Calibri"/>
          <w:sz w:val="22"/>
          <w:szCs w:val="22"/>
        </w:rPr>
        <w:t xml:space="preserve"> is the number of government sectors</w:t>
      </w:r>
      <w:r w:rsidRPr="00E23C0C">
        <w:rPr>
          <w:rFonts w:cs="Calibri"/>
          <w:i/>
          <w:iCs/>
          <w:sz w:val="22"/>
          <w:szCs w:val="22"/>
        </w:rPr>
        <w:t>.</w:t>
      </w:r>
      <w:r w:rsidRPr="00E23C0C">
        <w:rPr>
          <w:rFonts w:cs="Calibri"/>
          <w:sz w:val="22"/>
          <w:szCs w:val="22"/>
        </w:rPr>
        <w:t xml:space="preserve"> The bigger average distance is, the less network cohesion is. The average distance of collaborative network is the smallest, suggesting its network cohesion is the biggest at the emergency stage; the average distance increases at the intermediate stage; the average distance becomes the greatest at the long-term recovery stage with the smallest network cohesion. </w:t>
      </w:r>
      <w:proofErr w:type="gramStart"/>
      <w:r w:rsidRPr="00E23C0C">
        <w:rPr>
          <w:rFonts w:cs="Calibri"/>
          <w:sz w:val="22"/>
          <w:szCs w:val="22"/>
        </w:rPr>
        <w:t>All of</w:t>
      </w:r>
      <w:proofErr w:type="gramEnd"/>
      <w:r w:rsidRPr="00E23C0C">
        <w:rPr>
          <w:rFonts w:cs="Calibri"/>
          <w:sz w:val="22"/>
          <w:szCs w:val="22"/>
        </w:rPr>
        <w:t xml:space="preserve"> average distance at the three stages are greater than one, indicating that each government sector at the three stages can connect with other government sectors within the collaboration structure by virtue of a sector. </w:t>
      </w:r>
    </w:p>
    <w:p w14:paraId="095D52C5" w14:textId="77777777" w:rsidR="0031281E" w:rsidRPr="00E23C0C" w:rsidRDefault="0031281E" w:rsidP="0031281E">
      <w:pPr>
        <w:pStyle w:val="NormalWeb"/>
        <w:spacing w:beforeLines="50" w:before="163" w:beforeAutospacing="0" w:afterLines="50" w:after="163" w:afterAutospacing="0" w:line="300" w:lineRule="auto"/>
        <w:jc w:val="both"/>
        <w:rPr>
          <w:rFonts w:cs="Calibri"/>
          <w:b/>
          <w:sz w:val="22"/>
          <w:szCs w:val="22"/>
          <w:lang w:val="en-GB"/>
        </w:rPr>
      </w:pPr>
      <w:r w:rsidRPr="00E23C0C">
        <w:rPr>
          <w:rFonts w:cs="Calibri"/>
          <w:b/>
          <w:sz w:val="22"/>
          <w:szCs w:val="22"/>
          <w:lang w:val="en-GB"/>
        </w:rPr>
        <w:t>4.3 Centrality</w:t>
      </w:r>
    </w:p>
    <w:p w14:paraId="5C3D0BBC" w14:textId="7FFB3EEB"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Centrality is a significant quantitative characteristic in network </w:t>
      </w:r>
      <w:proofErr w:type="gramStart"/>
      <w:r w:rsidRPr="00E23C0C">
        <w:rPr>
          <w:rFonts w:cs="Calibri"/>
          <w:sz w:val="22"/>
          <w:szCs w:val="22"/>
        </w:rPr>
        <w:t>analysis, and</w:t>
      </w:r>
      <w:proofErr w:type="gramEnd"/>
      <w:r w:rsidRPr="00E23C0C">
        <w:rPr>
          <w:rFonts w:cs="Calibri"/>
          <w:sz w:val="22"/>
          <w:szCs w:val="22"/>
        </w:rPr>
        <w:t xml:space="preserve"> refers to the power that an actor gains within the structure, rather than power obtained by individual attributes. Centrality has been widely used to examine the power of actors within the network structure (Wasserman </w:t>
      </w:r>
      <w:r w:rsidR="002C4977" w:rsidRPr="00E23C0C">
        <w:rPr>
          <w:rFonts w:cs="Calibri"/>
          <w:sz w:val="22"/>
          <w:szCs w:val="22"/>
        </w:rPr>
        <w:t>&amp;</w:t>
      </w:r>
      <w:r w:rsidRPr="00E23C0C">
        <w:rPr>
          <w:rFonts w:cs="Calibri"/>
          <w:sz w:val="22"/>
          <w:szCs w:val="22"/>
        </w:rPr>
        <w:t xml:space="preserve"> Faust, 1994). Degree, closeness and betweenness are three main centrality measurements which are used to analyse the position and power of government sectors in intergovernmental collaboration. The rationale for measuring degree centrality is that actors with more ties are less dependent on other sectors, and thus they are more powerful within the network (</w:t>
      </w:r>
      <w:proofErr w:type="spellStart"/>
      <w:r w:rsidRPr="00E23C0C">
        <w:rPr>
          <w:rFonts w:cs="Calibri"/>
          <w:sz w:val="22"/>
          <w:szCs w:val="22"/>
        </w:rPr>
        <w:t>Hanneman</w:t>
      </w:r>
      <w:proofErr w:type="spellEnd"/>
      <w:r w:rsidRPr="00E23C0C">
        <w:rPr>
          <w:rFonts w:cs="Calibri"/>
          <w:sz w:val="22"/>
          <w:szCs w:val="22"/>
        </w:rPr>
        <w:t xml:space="preserve"> </w:t>
      </w:r>
      <w:r w:rsidR="0009739D" w:rsidRPr="00E23C0C">
        <w:rPr>
          <w:rFonts w:cs="Calibri"/>
          <w:sz w:val="22"/>
          <w:szCs w:val="22"/>
        </w:rPr>
        <w:t xml:space="preserve">&amp; </w:t>
      </w:r>
      <w:r w:rsidRPr="00E23C0C">
        <w:rPr>
          <w:rFonts w:cs="Calibri"/>
          <w:sz w:val="22"/>
          <w:szCs w:val="22"/>
        </w:rPr>
        <w:t xml:space="preserve">Riddle, 2005). The equation 3 of </w:t>
      </w:r>
      <w:r w:rsidRPr="00E23C0C">
        <w:rPr>
          <w:rFonts w:cs="Calibri" w:hint="eastAsia"/>
          <w:sz w:val="22"/>
          <w:szCs w:val="22"/>
        </w:rPr>
        <w:t>d</w:t>
      </w:r>
      <w:r w:rsidRPr="00E23C0C">
        <w:rPr>
          <w:rFonts w:cs="Calibri"/>
          <w:sz w:val="22"/>
          <w:szCs w:val="22"/>
        </w:rPr>
        <w:t xml:space="preserve">egree centrality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C</m:t>
            </m:r>
          </m:e>
          <m:sub>
            <m:r>
              <w:rPr>
                <w:rFonts w:ascii="Cambria Math" w:hAnsi="Cambria Math" w:cs="Calibri"/>
                <w:sz w:val="22"/>
                <w:szCs w:val="22"/>
              </w:rPr>
              <m:t>D</m:t>
            </m:r>
          </m:sub>
        </m:sSub>
        <m:d>
          <m:dPr>
            <m:ctrlPr>
              <w:rPr>
                <w:rFonts w:ascii="Cambria Math" w:hAnsi="Cambria Math" w:cs="Calibri"/>
                <w:i/>
                <w:sz w:val="22"/>
                <w:szCs w:val="22"/>
              </w:rPr>
            </m:ctrlPr>
          </m:dPr>
          <m:e>
            <m:r>
              <w:rPr>
                <w:rFonts w:ascii="Cambria Math" w:hAnsi="Cambria Math" w:cs="Calibri"/>
                <w:sz w:val="22"/>
                <w:szCs w:val="22"/>
              </w:rPr>
              <m:t>i</m:t>
            </m:r>
          </m:e>
        </m:d>
      </m:oMath>
      <w:r w:rsidRPr="00E23C0C">
        <w:rPr>
          <w:rFonts w:cs="Calibri"/>
          <w:sz w:val="22"/>
          <w:szCs w:val="22"/>
        </w:rPr>
        <w:t xml:space="preserve"> is shown below (Freeman, 1978):     </w:t>
      </w:r>
    </w:p>
    <w:p w14:paraId="2CF7FFAB" w14:textId="77777777" w:rsidR="0031281E" w:rsidRPr="00E23C0C" w:rsidRDefault="00BF2C97" w:rsidP="0031281E">
      <w:pPr>
        <w:rPr>
          <w:rFonts w:eastAsiaTheme="minorEastAsia" w:cs="Calibri"/>
          <w:sz w:val="22"/>
          <w:szCs w:val="22"/>
        </w:rPr>
      </w:pPr>
      <m:oMathPara>
        <m:oMath>
          <m:sSub>
            <m:sSubPr>
              <m:ctrlPr>
                <w:rPr>
                  <w:rFonts w:ascii="Cambria Math" w:eastAsiaTheme="minorEastAsia" w:hAnsi="Cambria Math" w:cs="Calibri"/>
                  <w:i/>
                  <w:kern w:val="2"/>
                  <w:sz w:val="22"/>
                  <w:szCs w:val="22"/>
                </w:rPr>
              </m:ctrlPr>
            </m:sSubPr>
            <m:e>
              <m:r>
                <w:rPr>
                  <w:rFonts w:ascii="Cambria Math" w:hAnsi="Cambria Math" w:cs="Calibri"/>
                  <w:sz w:val="22"/>
                  <w:szCs w:val="22"/>
                </w:rPr>
                <m:t xml:space="preserve">                                                            C</m:t>
              </m:r>
            </m:e>
            <m:sub>
              <m:r>
                <w:rPr>
                  <w:rFonts w:ascii="Cambria Math" w:hAnsi="Cambria Math" w:cs="Calibri"/>
                  <w:sz w:val="22"/>
                  <w:szCs w:val="22"/>
                </w:rPr>
                <m:t>D</m:t>
              </m:r>
            </m:sub>
          </m:sSub>
          <m:d>
            <m:dPr>
              <m:ctrlPr>
                <w:rPr>
                  <w:rFonts w:ascii="Cambria Math" w:hAnsi="Cambria Math" w:cs="Calibri"/>
                  <w:i/>
                  <w:sz w:val="22"/>
                  <w:szCs w:val="22"/>
                </w:rPr>
              </m:ctrlPr>
            </m:dPr>
            <m:e>
              <m:r>
                <w:rPr>
                  <w:rFonts w:ascii="Cambria Math" w:hAnsi="Cambria Math" w:cs="Calibri"/>
                  <w:sz w:val="22"/>
                  <w:szCs w:val="22"/>
                </w:rPr>
                <m:t>i</m:t>
              </m:r>
            </m:e>
          </m:d>
          <m:r>
            <w:rPr>
              <w:rFonts w:ascii="Cambria Math" w:hAnsi="Cambria Math" w:cs="Calibri"/>
              <w:sz w:val="22"/>
              <w:szCs w:val="22"/>
            </w:rPr>
            <m:t>=</m:t>
          </m:r>
          <m:nary>
            <m:naryPr>
              <m:chr m:val="∑"/>
              <m:limLoc m:val="subSup"/>
              <m:ctrlPr>
                <w:rPr>
                  <w:rFonts w:ascii="Cambria Math" w:eastAsiaTheme="minorEastAsia" w:hAnsi="Cambria Math" w:cs="Calibri"/>
                  <w:i/>
                  <w:kern w:val="2"/>
                  <w:sz w:val="22"/>
                  <w:szCs w:val="22"/>
                </w:rPr>
              </m:ctrlPr>
            </m:naryPr>
            <m:sub>
              <m:r>
                <w:rPr>
                  <w:rFonts w:ascii="Cambria Math" w:hAnsi="Cambria Math" w:cs="Calibri"/>
                  <w:sz w:val="22"/>
                  <w:szCs w:val="22"/>
                </w:rPr>
                <m:t>j</m:t>
              </m:r>
            </m:sub>
            <m:sup>
              <m:r>
                <w:rPr>
                  <w:rFonts w:ascii="Cambria Math" w:hAnsi="Cambria Math" w:cs="Calibri"/>
                  <w:sz w:val="22"/>
                  <w:szCs w:val="22"/>
                </w:rPr>
                <m:t>n</m:t>
              </m:r>
            </m:sup>
            <m:e>
              <m:sSub>
                <m:sSubPr>
                  <m:ctrlPr>
                    <w:rPr>
                      <w:rFonts w:ascii="Cambria Math" w:eastAsiaTheme="minorEastAsia" w:hAnsi="Cambria Math" w:cs="Calibri"/>
                      <w:i/>
                      <w:kern w:val="2"/>
                      <w:sz w:val="22"/>
                      <w:szCs w:val="22"/>
                    </w:rPr>
                  </m:ctrlPr>
                </m:sSubPr>
                <m:e>
                  <m:r>
                    <w:rPr>
                      <w:rFonts w:ascii="Cambria Math" w:hAnsi="Cambria Math" w:cs="Calibri"/>
                      <w:sz w:val="22"/>
                      <w:szCs w:val="22"/>
                    </w:rPr>
                    <m:t>I</m:t>
                  </m:r>
                </m:e>
                <m:sub>
                  <m:r>
                    <w:rPr>
                      <w:rFonts w:ascii="Cambria Math" w:hAnsi="Cambria Math" w:cs="Calibri"/>
                      <w:sz w:val="22"/>
                      <w:szCs w:val="22"/>
                    </w:rPr>
                    <m:t>ij</m:t>
                  </m:r>
                </m:sub>
              </m:sSub>
            </m:e>
          </m:nary>
          <m:r>
            <w:rPr>
              <w:rFonts w:ascii="Cambria Math" w:eastAsiaTheme="minorEastAsia" w:hAnsi="Cambria Math" w:cs="Calibri"/>
              <w:kern w:val="2"/>
              <w:sz w:val="22"/>
              <w:szCs w:val="22"/>
            </w:rPr>
            <m:t xml:space="preserve">; i </m:t>
          </m:r>
          <m:r>
            <w:rPr>
              <w:rFonts w:ascii="Cambria Math" w:eastAsiaTheme="minorEastAsia" w:hAnsi="Cambria Math" w:cs="Calibri" w:hint="eastAsia"/>
              <w:kern w:val="2"/>
              <w:sz w:val="22"/>
              <w:szCs w:val="22"/>
            </w:rPr>
            <m:t>≠</m:t>
          </m:r>
          <m:r>
            <w:rPr>
              <w:rFonts w:ascii="Cambria Math" w:eastAsiaTheme="minorEastAsia" w:hAnsi="Cambria Math" w:cs="Calibri"/>
              <w:kern w:val="2"/>
              <w:sz w:val="22"/>
              <w:szCs w:val="22"/>
            </w:rPr>
            <m:t xml:space="preserve">j                                                             </m:t>
          </m:r>
          <m:r>
            <m:rPr>
              <m:sty m:val="p"/>
            </m:rPr>
            <w:rPr>
              <w:rFonts w:ascii="Cambria Math" w:eastAsiaTheme="minorEastAsia" w:hAnsi="Cambria Math" w:cs="Calibri"/>
              <w:kern w:val="2"/>
              <w:sz w:val="22"/>
              <w:szCs w:val="22"/>
            </w:rPr>
            <m:t>(3)</m:t>
          </m:r>
        </m:oMath>
      </m:oMathPara>
    </w:p>
    <w:p w14:paraId="41180AD4"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Where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I</m:t>
            </m:r>
          </m:e>
          <m:sub>
            <m:r>
              <w:rPr>
                <w:rFonts w:ascii="Cambria Math" w:hAnsi="Cambria Math" w:cs="Calibri"/>
                <w:sz w:val="22"/>
                <w:szCs w:val="22"/>
              </w:rPr>
              <m:t>ij</m:t>
            </m:r>
          </m:sub>
        </m:sSub>
        <m:r>
          <w:rPr>
            <w:rFonts w:ascii="Cambria Math" w:eastAsiaTheme="minorEastAsia" w:hAnsi="Cambria Math" w:cs="Calibri"/>
            <w:kern w:val="2"/>
            <w:sz w:val="22"/>
            <w:szCs w:val="22"/>
          </w:rPr>
          <m:t xml:space="preserve"> </m:t>
        </m:r>
      </m:oMath>
      <w:r w:rsidRPr="00E23C0C">
        <w:rPr>
          <w:rFonts w:cs="Calibri"/>
          <w:kern w:val="2"/>
          <w:sz w:val="22"/>
          <w:szCs w:val="22"/>
        </w:rPr>
        <w:t xml:space="preserve">is </w:t>
      </w:r>
      <w:r w:rsidRPr="00E23C0C">
        <w:rPr>
          <w:rFonts w:cs="Calibri"/>
          <w:sz w:val="22"/>
          <w:szCs w:val="22"/>
        </w:rPr>
        <w:t>the value of the tie from government sector </w:t>
      </w:r>
      <m:oMath>
        <m:r>
          <w:rPr>
            <w:rFonts w:ascii="Cambria Math" w:hAnsi="Cambria Math" w:cs="Calibri"/>
            <w:kern w:val="2"/>
            <w:sz w:val="22"/>
            <w:szCs w:val="22"/>
          </w:rPr>
          <m:t>i</m:t>
        </m:r>
      </m:oMath>
      <w:r w:rsidRPr="00E23C0C">
        <w:rPr>
          <w:rFonts w:cs="Calibri"/>
          <w:sz w:val="22"/>
          <w:szCs w:val="22"/>
        </w:rPr>
        <w:t xml:space="preserve"> to government sector </w:t>
      </w:r>
      <m:oMath>
        <m:r>
          <w:rPr>
            <w:rFonts w:ascii="Cambria Math" w:hAnsi="Cambria Math" w:cs="Calibri"/>
            <w:kern w:val="2"/>
            <w:sz w:val="22"/>
            <w:szCs w:val="22"/>
          </w:rPr>
          <m:t>j</m:t>
        </m:r>
      </m:oMath>
      <w:r w:rsidRPr="00E23C0C">
        <w:rPr>
          <w:rFonts w:cs="Calibri"/>
          <w:i/>
          <w:iCs/>
          <w:sz w:val="22"/>
          <w:szCs w:val="22"/>
        </w:rPr>
        <w:t> </w:t>
      </w:r>
      <w:r w:rsidRPr="00E23C0C">
        <w:rPr>
          <w:rFonts w:cs="Calibri"/>
          <w:sz w:val="22"/>
          <w:szCs w:val="22"/>
        </w:rPr>
        <w:t xml:space="preserve">(the value is either 0 or 1: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I</m:t>
            </m:r>
          </m:e>
          <m:sub>
            <m:r>
              <w:rPr>
                <w:rFonts w:ascii="Cambria Math" w:hAnsi="Cambria Math" w:cs="Calibri"/>
                <w:sz w:val="22"/>
                <w:szCs w:val="22"/>
              </w:rPr>
              <m:t>ij</m:t>
            </m:r>
          </m:sub>
        </m:sSub>
        <m:r>
          <w:rPr>
            <w:rFonts w:ascii="Cambria Math" w:eastAsiaTheme="minorEastAsia" w:hAnsi="Cambria Math" w:cs="Calibri"/>
            <w:kern w:val="2"/>
            <w:sz w:val="22"/>
            <w:szCs w:val="22"/>
          </w:rPr>
          <m:t>=1</m:t>
        </m:r>
      </m:oMath>
      <w:r w:rsidRPr="00E23C0C">
        <w:rPr>
          <w:rFonts w:cs="Calibri"/>
          <w:sz w:val="22"/>
          <w:szCs w:val="22"/>
        </w:rPr>
        <w:t xml:space="preserve"> means a tie existing between government sector </w:t>
      </w:r>
      <m:oMath>
        <m:r>
          <w:rPr>
            <w:rFonts w:ascii="Cambria Math" w:hAnsi="Cambria Math" w:cs="Calibri"/>
            <w:kern w:val="2"/>
            <w:sz w:val="22"/>
            <w:szCs w:val="22"/>
          </w:rPr>
          <m:t>i</m:t>
        </m:r>
      </m:oMath>
      <w:r w:rsidRPr="00E23C0C">
        <w:rPr>
          <w:rFonts w:cs="Calibri"/>
          <w:sz w:val="22"/>
          <w:szCs w:val="22"/>
        </w:rPr>
        <w:t xml:space="preserve"> and government sector</w:t>
      </w:r>
      <m:oMath>
        <m:r>
          <w:rPr>
            <w:rFonts w:ascii="Cambria Math" w:hAnsi="Cambria Math" w:cs="Calibri"/>
            <w:kern w:val="2"/>
            <w:sz w:val="22"/>
            <w:szCs w:val="22"/>
          </w:rPr>
          <m:t xml:space="preserve"> j</m:t>
        </m:r>
      </m:oMath>
      <w:r w:rsidRPr="00E23C0C">
        <w:rPr>
          <w:rFonts w:cs="Calibri"/>
          <w:kern w:val="2"/>
          <w:sz w:val="22"/>
          <w:szCs w:val="22"/>
        </w:rPr>
        <w:t xml:space="preserve">,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I</m:t>
            </m:r>
          </m:e>
          <m:sub>
            <m:r>
              <w:rPr>
                <w:rFonts w:ascii="Cambria Math" w:hAnsi="Cambria Math" w:cs="Calibri"/>
                <w:sz w:val="22"/>
                <w:szCs w:val="22"/>
              </w:rPr>
              <m:t>ij</m:t>
            </m:r>
          </m:sub>
        </m:sSub>
        <m:r>
          <w:rPr>
            <w:rFonts w:ascii="Cambria Math" w:eastAsiaTheme="minorEastAsia" w:hAnsi="Cambria Math" w:cs="Calibri"/>
            <w:kern w:val="2"/>
            <w:sz w:val="22"/>
            <w:szCs w:val="22"/>
          </w:rPr>
          <m:t>=0</m:t>
        </m:r>
      </m:oMath>
      <w:r w:rsidRPr="00E23C0C">
        <w:rPr>
          <w:rFonts w:cs="Calibri"/>
          <w:kern w:val="2"/>
          <w:sz w:val="22"/>
          <w:szCs w:val="22"/>
        </w:rPr>
        <w:t xml:space="preserve"> means no tie between them). </w:t>
      </w:r>
      <m:oMath>
        <m:r>
          <w:rPr>
            <w:rFonts w:ascii="Cambria Math" w:hAnsi="Cambria Math" w:cs="Calibri"/>
            <w:sz w:val="22"/>
            <w:szCs w:val="22"/>
          </w:rPr>
          <m:t>n</m:t>
        </m:r>
      </m:oMath>
      <w:r w:rsidRPr="00E23C0C">
        <w:rPr>
          <w:rFonts w:cs="Calibri"/>
          <w:sz w:val="22"/>
          <w:szCs w:val="22"/>
        </w:rPr>
        <w:t xml:space="preserve"> is the number of government sectors. </w:t>
      </w:r>
    </w:p>
    <w:p w14:paraId="52643A56" w14:textId="6F8F1A05"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lastRenderedPageBreak/>
        <w:t xml:space="preserve">Closeness centrality indicates the shortest path between an actor and one other </w:t>
      </w:r>
      <w:proofErr w:type="gramStart"/>
      <w:r w:rsidRPr="00E23C0C">
        <w:rPr>
          <w:rFonts w:cs="Calibri"/>
          <w:sz w:val="22"/>
          <w:szCs w:val="22"/>
        </w:rPr>
        <w:t>actor, and</w:t>
      </w:r>
      <w:proofErr w:type="gramEnd"/>
      <w:r w:rsidRPr="00E23C0C">
        <w:rPr>
          <w:rFonts w:cs="Calibri"/>
          <w:sz w:val="22"/>
          <w:szCs w:val="22"/>
        </w:rPr>
        <w:t xml:space="preserve"> is used to analyse the communication process between actors (Comfort </w:t>
      </w:r>
      <w:r w:rsidR="002C4977"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Haase</w:t>
      </w:r>
      <w:proofErr w:type="spellEnd"/>
      <w:r w:rsidRPr="00E23C0C">
        <w:rPr>
          <w:rFonts w:cs="Calibri"/>
          <w:sz w:val="22"/>
          <w:szCs w:val="22"/>
        </w:rPr>
        <w:t xml:space="preserve">, 2006). The equation 4 of closeness centrality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C</m:t>
            </m:r>
          </m:e>
          <m:sub>
            <m:r>
              <w:rPr>
                <w:rFonts w:ascii="Cambria Math" w:hAnsi="Cambria Math" w:cs="Calibri"/>
                <w:sz w:val="22"/>
                <w:szCs w:val="22"/>
              </w:rPr>
              <m:t>c</m:t>
            </m:r>
          </m:sub>
        </m:sSub>
        <m:d>
          <m:dPr>
            <m:ctrlPr>
              <w:rPr>
                <w:rFonts w:ascii="Cambria Math" w:hAnsi="Cambria Math" w:cs="Calibri"/>
                <w:i/>
                <w:sz w:val="22"/>
                <w:szCs w:val="22"/>
              </w:rPr>
            </m:ctrlPr>
          </m:dPr>
          <m:e>
            <m:r>
              <w:rPr>
                <w:rFonts w:ascii="Cambria Math" w:hAnsi="Cambria Math" w:cs="Calibri"/>
                <w:sz w:val="22"/>
                <w:szCs w:val="22"/>
              </w:rPr>
              <m:t>i</m:t>
            </m:r>
          </m:e>
        </m:d>
      </m:oMath>
      <w:r w:rsidRPr="00E23C0C">
        <w:rPr>
          <w:rFonts w:cs="Calibri"/>
          <w:sz w:val="22"/>
          <w:szCs w:val="22"/>
        </w:rPr>
        <w:t xml:space="preserve"> is shown below (Freeman, 1978): </w:t>
      </w:r>
    </w:p>
    <w:p w14:paraId="6A1ECE7B" w14:textId="77777777" w:rsidR="0031281E" w:rsidRPr="00E23C0C" w:rsidRDefault="00BF2C97" w:rsidP="0031281E">
      <w:pPr>
        <w:rPr>
          <w:rFonts w:eastAsiaTheme="minorEastAsia" w:cs="Calibri"/>
          <w:sz w:val="22"/>
          <w:szCs w:val="22"/>
        </w:rPr>
      </w:pPr>
      <m:oMathPara>
        <m:oMath>
          <m:sSub>
            <m:sSubPr>
              <m:ctrlPr>
                <w:rPr>
                  <w:rFonts w:ascii="Cambria Math" w:eastAsiaTheme="minorEastAsia" w:hAnsi="Cambria Math" w:cs="Calibri"/>
                  <w:i/>
                  <w:kern w:val="2"/>
                  <w:sz w:val="22"/>
                  <w:szCs w:val="22"/>
                </w:rPr>
              </m:ctrlPr>
            </m:sSubPr>
            <m:e>
              <m:r>
                <w:rPr>
                  <w:rFonts w:ascii="Cambria Math" w:hAnsi="Cambria Math" w:cs="Calibri"/>
                  <w:sz w:val="22"/>
                  <w:szCs w:val="22"/>
                </w:rPr>
                <m:t xml:space="preserve">                                                              C</m:t>
              </m:r>
            </m:e>
            <m:sub>
              <m:r>
                <w:rPr>
                  <w:rFonts w:ascii="Cambria Math" w:hAnsi="Cambria Math" w:cs="Calibri"/>
                  <w:sz w:val="22"/>
                  <w:szCs w:val="22"/>
                </w:rPr>
                <m:t>c</m:t>
              </m:r>
            </m:sub>
          </m:sSub>
          <m:d>
            <m:dPr>
              <m:ctrlPr>
                <w:rPr>
                  <w:rFonts w:ascii="Cambria Math" w:hAnsi="Cambria Math" w:cs="Calibri"/>
                  <w:i/>
                  <w:sz w:val="22"/>
                  <w:szCs w:val="22"/>
                </w:rPr>
              </m:ctrlPr>
            </m:dPr>
            <m:e>
              <m:r>
                <w:rPr>
                  <w:rFonts w:ascii="Cambria Math" w:hAnsi="Cambria Math" w:cs="Calibri"/>
                  <w:sz w:val="22"/>
                  <w:szCs w:val="22"/>
                </w:rPr>
                <m:t>i</m:t>
              </m:r>
            </m:e>
          </m:d>
          <m:r>
            <w:rPr>
              <w:rFonts w:ascii="Cambria Math" w:hAnsi="Cambria Math" w:cs="Calibri"/>
              <w:sz w:val="22"/>
              <w:szCs w:val="22"/>
            </w:rPr>
            <m:t>=</m:t>
          </m:r>
          <m:f>
            <m:fPr>
              <m:ctrlPr>
                <w:rPr>
                  <w:rFonts w:ascii="Cambria Math" w:eastAsiaTheme="minorEastAsia" w:hAnsi="Cambria Math" w:cs="Calibri"/>
                  <w:i/>
                  <w:kern w:val="2"/>
                  <w:sz w:val="22"/>
                  <w:szCs w:val="22"/>
                </w:rPr>
              </m:ctrlPr>
            </m:fPr>
            <m:num>
              <m:r>
                <w:rPr>
                  <w:rFonts w:ascii="Cambria Math" w:hAnsi="Cambria Math" w:cs="Calibri"/>
                  <w:sz w:val="22"/>
                  <w:szCs w:val="22"/>
                </w:rPr>
                <m:t>1</m:t>
              </m:r>
            </m:num>
            <m:den>
              <m:nary>
                <m:naryPr>
                  <m:chr m:val="∑"/>
                  <m:limLoc m:val="subSup"/>
                  <m:ctrlPr>
                    <w:rPr>
                      <w:rFonts w:ascii="Cambria Math" w:eastAsiaTheme="minorEastAsia" w:hAnsi="Cambria Math" w:cs="Calibri"/>
                      <w:i/>
                      <w:kern w:val="2"/>
                      <w:sz w:val="22"/>
                      <w:szCs w:val="22"/>
                    </w:rPr>
                  </m:ctrlPr>
                </m:naryPr>
                <m:sub>
                  <m:r>
                    <w:rPr>
                      <w:rFonts w:ascii="Cambria Math" w:hAnsi="Cambria Math" w:cs="Calibri"/>
                      <w:sz w:val="22"/>
                      <w:szCs w:val="22"/>
                    </w:rPr>
                    <m:t>j</m:t>
                  </m:r>
                </m:sub>
                <m:sup>
                  <m:r>
                    <w:rPr>
                      <w:rFonts w:ascii="Cambria Math" w:hAnsi="Cambria Math" w:cs="Calibri"/>
                      <w:sz w:val="22"/>
                      <w:szCs w:val="22"/>
                    </w:rPr>
                    <m:t>n</m:t>
                  </m:r>
                </m:sup>
                <m:e>
                  <m:sSub>
                    <m:sSubPr>
                      <m:ctrlPr>
                        <w:rPr>
                          <w:rFonts w:ascii="Cambria Math" w:eastAsiaTheme="minorEastAsia" w:hAnsi="Cambria Math" w:cs="Calibri"/>
                          <w:i/>
                          <w:kern w:val="2"/>
                          <w:sz w:val="22"/>
                          <w:szCs w:val="22"/>
                        </w:rPr>
                      </m:ctrlPr>
                    </m:sSubPr>
                    <m:e>
                      <m:r>
                        <w:rPr>
                          <w:rFonts w:ascii="Cambria Math" w:hAnsi="Cambria Math" w:cs="Calibri"/>
                          <w:sz w:val="22"/>
                          <w:szCs w:val="22"/>
                        </w:rPr>
                        <m:t>d</m:t>
                      </m:r>
                    </m:e>
                    <m:sub>
                      <m:r>
                        <w:rPr>
                          <w:rFonts w:ascii="Cambria Math" w:hAnsi="Cambria Math" w:cs="Calibri"/>
                          <w:sz w:val="22"/>
                          <w:szCs w:val="22"/>
                        </w:rPr>
                        <m:t>ij</m:t>
                      </m:r>
                    </m:sub>
                  </m:sSub>
                </m:e>
              </m:nary>
            </m:den>
          </m:f>
          <m:r>
            <w:rPr>
              <w:rFonts w:ascii="Cambria Math" w:eastAsiaTheme="minorEastAsia" w:hAnsi="Cambria Math" w:cs="Calibri"/>
              <w:kern w:val="2"/>
              <w:sz w:val="22"/>
              <w:szCs w:val="22"/>
            </w:rPr>
            <m:t xml:space="preserve">; i </m:t>
          </m:r>
          <m:r>
            <w:rPr>
              <w:rFonts w:ascii="Cambria Math" w:eastAsiaTheme="minorEastAsia" w:hAnsi="Cambria Math" w:cs="Calibri" w:hint="eastAsia"/>
              <w:kern w:val="2"/>
              <w:sz w:val="22"/>
              <w:szCs w:val="22"/>
            </w:rPr>
            <m:t>≠</m:t>
          </m:r>
          <m:r>
            <w:rPr>
              <w:rFonts w:ascii="Cambria Math" w:eastAsiaTheme="minorEastAsia" w:hAnsi="Cambria Math" w:cs="Calibri"/>
              <w:kern w:val="2"/>
              <w:sz w:val="22"/>
              <w:szCs w:val="22"/>
            </w:rPr>
            <m:t xml:space="preserve">j                                                            </m:t>
          </m:r>
          <m:r>
            <m:rPr>
              <m:sty m:val="p"/>
            </m:rPr>
            <w:rPr>
              <w:rFonts w:ascii="Cambria Math" w:eastAsiaTheme="minorEastAsia" w:hAnsi="Cambria Math" w:cs="Calibri"/>
              <w:kern w:val="2"/>
              <w:sz w:val="22"/>
              <w:szCs w:val="22"/>
            </w:rPr>
            <m:t>(4)</m:t>
          </m:r>
        </m:oMath>
      </m:oMathPara>
    </w:p>
    <w:p w14:paraId="3AE42B56" w14:textId="77777777" w:rsidR="0031281E" w:rsidRPr="00E23C0C" w:rsidRDefault="0031281E" w:rsidP="0031281E">
      <w:pPr>
        <w:spacing w:beforeLines="50" w:before="163" w:afterLines="50" w:after="163" w:line="400" w:lineRule="exact"/>
        <w:ind w:firstLine="420"/>
        <w:jc w:val="both"/>
        <w:rPr>
          <w:rFonts w:cs="Calibri"/>
          <w:iCs/>
          <w:sz w:val="22"/>
          <w:szCs w:val="22"/>
        </w:rPr>
      </w:pPr>
      <w:r w:rsidRPr="00E23C0C">
        <w:rPr>
          <w:rFonts w:cs="Calibri"/>
          <w:sz w:val="22"/>
          <w:szCs w:val="22"/>
        </w:rPr>
        <w:t xml:space="preserve">Where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d</m:t>
            </m:r>
          </m:e>
          <m:sub>
            <m:r>
              <w:rPr>
                <w:rFonts w:ascii="Cambria Math" w:hAnsi="Cambria Math" w:cs="Calibri"/>
                <w:sz w:val="22"/>
                <w:szCs w:val="22"/>
              </w:rPr>
              <m:t>ij</m:t>
            </m:r>
          </m:sub>
        </m:sSub>
      </m:oMath>
      <w:r w:rsidRPr="00E23C0C">
        <w:rPr>
          <w:rFonts w:cs="Calibri"/>
          <w:sz w:val="22"/>
          <w:szCs w:val="22"/>
        </w:rPr>
        <w:t xml:space="preserve"> denotes as the length of the shortest path between government </w:t>
      </w:r>
      <m:oMath>
        <m:r>
          <w:rPr>
            <w:rFonts w:ascii="Cambria Math" w:hAnsi="Cambria Math" w:cs="Calibri"/>
            <w:kern w:val="2"/>
            <w:sz w:val="22"/>
            <w:szCs w:val="22"/>
          </w:rPr>
          <m:t>i</m:t>
        </m:r>
      </m:oMath>
      <w:r w:rsidRPr="00E23C0C">
        <w:rPr>
          <w:rFonts w:cs="Calibri"/>
          <w:sz w:val="22"/>
          <w:szCs w:val="22"/>
        </w:rPr>
        <w:t xml:space="preserve"> and </w:t>
      </w:r>
      <m:oMath>
        <m:r>
          <w:rPr>
            <w:rFonts w:ascii="Cambria Math" w:hAnsi="Cambria Math" w:cs="Calibri"/>
            <w:kern w:val="2"/>
            <w:sz w:val="22"/>
            <w:szCs w:val="22"/>
          </w:rPr>
          <m:t>j</m:t>
        </m:r>
      </m:oMath>
      <w:r w:rsidRPr="00E23C0C">
        <w:rPr>
          <w:rFonts w:cs="Calibri"/>
          <w:kern w:val="2"/>
          <w:sz w:val="22"/>
          <w:szCs w:val="22"/>
        </w:rPr>
        <w:t xml:space="preserve">, and </w:t>
      </w:r>
      <m:oMath>
        <m:r>
          <w:rPr>
            <w:rFonts w:ascii="Cambria Math" w:hAnsi="Cambria Math" w:cs="Calibri"/>
            <w:sz w:val="22"/>
            <w:szCs w:val="22"/>
          </w:rPr>
          <m:t>n</m:t>
        </m:r>
      </m:oMath>
      <w:r w:rsidRPr="00E23C0C">
        <w:rPr>
          <w:rFonts w:cs="Calibri"/>
          <w:sz w:val="22"/>
          <w:szCs w:val="22"/>
        </w:rPr>
        <w:t xml:space="preserve"> is the number of government sectors.</w:t>
      </w:r>
      <m:oMath>
        <m:r>
          <w:rPr>
            <w:rFonts w:ascii="Cambria Math" w:hAnsi="Cambria Math" w:cs="Calibri"/>
            <w:sz w:val="22"/>
            <w:szCs w:val="22"/>
          </w:rPr>
          <m:t xml:space="preserve"> </m:t>
        </m:r>
      </m:oMath>
      <w:r w:rsidRPr="00E23C0C">
        <w:rPr>
          <w:rFonts w:cs="Calibri"/>
          <w:i/>
          <w:sz w:val="22"/>
          <w:szCs w:val="22"/>
        </w:rPr>
        <w:t xml:space="preserve"> </w:t>
      </w:r>
    </w:p>
    <w:p w14:paraId="5E5F563C"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Betweenness centrality of a government sector discloses the extent to which this sector is in an advantageous position and could make significant links with other sectors (Comfort and </w:t>
      </w:r>
      <w:proofErr w:type="spellStart"/>
      <w:r w:rsidRPr="00E23C0C">
        <w:rPr>
          <w:rFonts w:cs="Calibri"/>
          <w:sz w:val="22"/>
          <w:szCs w:val="22"/>
        </w:rPr>
        <w:t>Haase</w:t>
      </w:r>
      <w:proofErr w:type="spellEnd"/>
      <w:r w:rsidRPr="00E23C0C">
        <w:rPr>
          <w:rFonts w:cs="Calibri"/>
          <w:sz w:val="22"/>
          <w:szCs w:val="22"/>
        </w:rPr>
        <w:t xml:space="preserve">, 2006). The equation 5 of betweenness centrality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C</m:t>
            </m:r>
          </m:e>
          <m:sub>
            <m:r>
              <w:rPr>
                <w:rFonts w:ascii="Cambria Math" w:hAnsi="Cambria Math" w:cs="Calibri"/>
                <w:sz w:val="22"/>
                <w:szCs w:val="22"/>
              </w:rPr>
              <m:t>B</m:t>
            </m:r>
          </m:sub>
        </m:sSub>
        <m:d>
          <m:dPr>
            <m:ctrlPr>
              <w:rPr>
                <w:rFonts w:ascii="Cambria Math" w:hAnsi="Cambria Math" w:cs="Calibri"/>
                <w:i/>
                <w:sz w:val="22"/>
                <w:szCs w:val="22"/>
              </w:rPr>
            </m:ctrlPr>
          </m:dPr>
          <m:e>
            <m:r>
              <w:rPr>
                <w:rFonts w:ascii="Cambria Math" w:hAnsi="Cambria Math" w:cs="Calibri"/>
                <w:sz w:val="22"/>
                <w:szCs w:val="22"/>
              </w:rPr>
              <m:t>i</m:t>
            </m:r>
          </m:e>
        </m:d>
        <m:r>
          <w:rPr>
            <w:rFonts w:ascii="Cambria Math" w:hAnsi="Cambria Math" w:cs="Calibri"/>
            <w:sz w:val="22"/>
            <w:szCs w:val="22"/>
          </w:rPr>
          <m:t xml:space="preserve"> </m:t>
        </m:r>
      </m:oMath>
      <w:r w:rsidRPr="00E23C0C">
        <w:rPr>
          <w:rFonts w:cs="Calibri"/>
          <w:sz w:val="22"/>
          <w:szCs w:val="22"/>
        </w:rPr>
        <w:t xml:space="preserve"> is shown below (Freeman, 1978): </w:t>
      </w:r>
    </w:p>
    <w:p w14:paraId="0A7C2D64" w14:textId="77777777" w:rsidR="0031281E" w:rsidRPr="00E23C0C" w:rsidRDefault="00BF2C97" w:rsidP="0031281E">
      <w:pPr>
        <w:rPr>
          <w:rFonts w:cs="Calibri"/>
        </w:rPr>
      </w:pPr>
      <m:oMathPara>
        <m:oMath>
          <m:sSub>
            <m:sSubPr>
              <m:ctrlPr>
                <w:rPr>
                  <w:rFonts w:ascii="Cambria Math" w:eastAsiaTheme="minorEastAsia" w:hAnsi="Cambria Math" w:cs="Calibri"/>
                  <w:i/>
                  <w:kern w:val="2"/>
                  <w:sz w:val="22"/>
                  <w:szCs w:val="22"/>
                </w:rPr>
              </m:ctrlPr>
            </m:sSubPr>
            <m:e>
              <m:r>
                <w:rPr>
                  <w:rFonts w:ascii="Cambria Math" w:hAnsi="Cambria Math" w:cs="Calibri"/>
                  <w:sz w:val="22"/>
                  <w:szCs w:val="22"/>
                </w:rPr>
                <m:t xml:space="preserve">                                              C</m:t>
              </m:r>
            </m:e>
            <m:sub>
              <m:r>
                <w:rPr>
                  <w:rFonts w:ascii="Cambria Math" w:hAnsi="Cambria Math" w:cs="Calibri"/>
                  <w:sz w:val="22"/>
                  <w:szCs w:val="22"/>
                </w:rPr>
                <m:t>B</m:t>
              </m:r>
            </m:sub>
          </m:sSub>
          <m:d>
            <m:dPr>
              <m:ctrlPr>
                <w:rPr>
                  <w:rFonts w:ascii="Cambria Math" w:hAnsi="Cambria Math" w:cs="Calibri"/>
                  <w:i/>
                  <w:sz w:val="22"/>
                  <w:szCs w:val="22"/>
                </w:rPr>
              </m:ctrlPr>
            </m:dPr>
            <m:e>
              <m:r>
                <w:rPr>
                  <w:rFonts w:ascii="Cambria Math" w:hAnsi="Cambria Math" w:cs="Calibri"/>
                  <w:sz w:val="22"/>
                  <w:szCs w:val="22"/>
                </w:rPr>
                <m:t>i</m:t>
              </m:r>
            </m:e>
          </m:d>
          <m:r>
            <w:rPr>
              <w:rFonts w:ascii="Cambria Math" w:hAnsi="Cambria Math" w:cs="Calibri"/>
              <w:sz w:val="22"/>
              <w:szCs w:val="22"/>
            </w:rPr>
            <m:t>=</m:t>
          </m:r>
          <m:nary>
            <m:naryPr>
              <m:chr m:val="∑"/>
              <m:limLoc m:val="subSup"/>
              <m:ctrlPr>
                <w:rPr>
                  <w:rFonts w:ascii="Cambria Math" w:eastAsiaTheme="minorEastAsia" w:hAnsi="Cambria Math" w:cs="Calibri"/>
                  <w:i/>
                  <w:kern w:val="2"/>
                  <w:sz w:val="22"/>
                  <w:szCs w:val="22"/>
                </w:rPr>
              </m:ctrlPr>
            </m:naryPr>
            <m:sub>
              <m:r>
                <w:rPr>
                  <w:rFonts w:ascii="Cambria Math" w:eastAsiaTheme="minorEastAsia" w:hAnsi="Cambria Math" w:cs="Calibri"/>
                  <w:kern w:val="2"/>
                  <w:sz w:val="22"/>
                  <w:szCs w:val="22"/>
                </w:rPr>
                <m:t>j</m:t>
              </m:r>
            </m:sub>
            <m:sup>
              <m:r>
                <w:rPr>
                  <w:rFonts w:ascii="Cambria Math" w:eastAsiaTheme="minorEastAsia" w:hAnsi="Cambria Math" w:cs="Calibri"/>
                  <w:kern w:val="2"/>
                  <w:sz w:val="22"/>
                  <w:szCs w:val="22"/>
                </w:rPr>
                <m:t>n</m:t>
              </m:r>
            </m:sup>
            <m:e>
              <m:nary>
                <m:naryPr>
                  <m:chr m:val="∑"/>
                  <m:limLoc m:val="subSup"/>
                  <m:ctrlPr>
                    <w:rPr>
                      <w:rFonts w:ascii="Cambria Math" w:eastAsiaTheme="minorEastAsia" w:hAnsi="Cambria Math" w:cs="Calibri"/>
                      <w:i/>
                      <w:kern w:val="2"/>
                      <w:sz w:val="22"/>
                      <w:szCs w:val="22"/>
                    </w:rPr>
                  </m:ctrlPr>
                </m:naryPr>
                <m:sub>
                  <m:r>
                    <w:rPr>
                      <w:rFonts w:ascii="Cambria Math" w:eastAsiaTheme="minorEastAsia" w:hAnsi="Cambria Math" w:cs="Calibri"/>
                      <w:kern w:val="2"/>
                      <w:sz w:val="22"/>
                      <w:szCs w:val="22"/>
                    </w:rPr>
                    <m:t>k</m:t>
                  </m:r>
                </m:sub>
                <m:sup>
                  <m:r>
                    <w:rPr>
                      <w:rFonts w:ascii="Cambria Math" w:eastAsiaTheme="minorEastAsia" w:hAnsi="Cambria Math" w:cs="Calibri"/>
                      <w:kern w:val="2"/>
                      <w:sz w:val="22"/>
                      <w:szCs w:val="22"/>
                    </w:rPr>
                    <m:t>n</m:t>
                  </m:r>
                </m:sup>
                <m:e>
                  <m:f>
                    <m:fPr>
                      <m:ctrlPr>
                        <w:rPr>
                          <w:rFonts w:ascii="Cambria Math" w:eastAsiaTheme="minorEastAsia" w:hAnsi="Cambria Math" w:cs="Calibri"/>
                          <w:i/>
                          <w:kern w:val="2"/>
                          <w:sz w:val="22"/>
                          <w:szCs w:val="22"/>
                        </w:rPr>
                      </m:ctrlPr>
                    </m:fPr>
                    <m:num>
                      <m:sSub>
                        <m:sSubPr>
                          <m:ctrlPr>
                            <w:rPr>
                              <w:rFonts w:ascii="Cambria Math" w:eastAsiaTheme="minorEastAsia" w:hAnsi="Cambria Math" w:cs="Calibri"/>
                              <w:i/>
                              <w:kern w:val="2"/>
                              <w:sz w:val="22"/>
                              <w:szCs w:val="22"/>
                            </w:rPr>
                          </m:ctrlPr>
                        </m:sSubPr>
                        <m:e>
                          <m:r>
                            <w:rPr>
                              <w:rFonts w:ascii="Cambria Math" w:hAnsi="Cambria Math" w:cs="Calibri"/>
                              <w:sz w:val="22"/>
                              <w:szCs w:val="22"/>
                            </w:rPr>
                            <m:t>g</m:t>
                          </m:r>
                        </m:e>
                        <m:sub>
                          <m:r>
                            <w:rPr>
                              <w:rFonts w:ascii="Cambria Math" w:hAnsi="Cambria Math" w:cs="Calibri"/>
                              <w:sz w:val="22"/>
                              <w:szCs w:val="22"/>
                            </w:rPr>
                            <m:t>jk</m:t>
                          </m:r>
                        </m:sub>
                      </m:sSub>
                      <m:d>
                        <m:dPr>
                          <m:ctrlPr>
                            <w:rPr>
                              <w:rFonts w:ascii="Cambria Math" w:eastAsiaTheme="minorEastAsia" w:hAnsi="Cambria Math" w:cs="Calibri"/>
                              <w:i/>
                              <w:kern w:val="2"/>
                              <w:sz w:val="22"/>
                              <w:szCs w:val="22"/>
                            </w:rPr>
                          </m:ctrlPr>
                        </m:dPr>
                        <m:e>
                          <m:r>
                            <w:rPr>
                              <w:rFonts w:ascii="Cambria Math" w:hAnsi="Cambria Math" w:cs="Calibri"/>
                              <w:sz w:val="22"/>
                              <w:szCs w:val="22"/>
                            </w:rPr>
                            <m:t>i</m:t>
                          </m:r>
                        </m:e>
                      </m:d>
                    </m:num>
                    <m:den>
                      <m:sSub>
                        <m:sSubPr>
                          <m:ctrlPr>
                            <w:rPr>
                              <w:rFonts w:ascii="Cambria Math" w:eastAsiaTheme="minorEastAsia" w:hAnsi="Cambria Math" w:cs="Calibri"/>
                              <w:i/>
                              <w:kern w:val="2"/>
                              <w:sz w:val="22"/>
                              <w:szCs w:val="22"/>
                            </w:rPr>
                          </m:ctrlPr>
                        </m:sSubPr>
                        <m:e>
                          <m:r>
                            <w:rPr>
                              <w:rFonts w:ascii="Cambria Math" w:hAnsi="Cambria Math" w:cs="Calibri"/>
                              <w:sz w:val="22"/>
                              <w:szCs w:val="22"/>
                            </w:rPr>
                            <m:t>g</m:t>
                          </m:r>
                        </m:e>
                        <m:sub>
                          <m:r>
                            <w:rPr>
                              <w:rFonts w:ascii="Cambria Math" w:hAnsi="Cambria Math" w:cs="Calibri"/>
                              <w:sz w:val="22"/>
                              <w:szCs w:val="22"/>
                            </w:rPr>
                            <m:t>jk</m:t>
                          </m:r>
                        </m:sub>
                      </m:sSub>
                    </m:den>
                  </m:f>
                  <m:r>
                    <w:rPr>
                      <w:rFonts w:ascii="Cambria Math" w:eastAsiaTheme="minorEastAsia" w:hAnsi="Cambria Math" w:cs="Calibri"/>
                      <w:kern w:val="2"/>
                      <w:sz w:val="22"/>
                      <w:szCs w:val="22"/>
                    </w:rPr>
                    <m:t xml:space="preserve"> ;j</m:t>
                  </m:r>
                  <m:r>
                    <w:rPr>
                      <w:rFonts w:ascii="Cambria Math" w:eastAsiaTheme="minorEastAsia" w:hAnsi="Cambria Math" w:cs="Calibri" w:hint="eastAsia"/>
                      <w:kern w:val="2"/>
                      <w:sz w:val="22"/>
                      <w:szCs w:val="22"/>
                    </w:rPr>
                    <m:t>≠</m:t>
                  </m:r>
                </m:e>
              </m:nary>
            </m:e>
          </m:nary>
          <m:r>
            <w:rPr>
              <w:rFonts w:ascii="Cambria Math" w:eastAsiaTheme="minorEastAsia" w:hAnsi="Cambria Math" w:cs="Calibri"/>
              <w:kern w:val="2"/>
              <w:sz w:val="22"/>
              <w:szCs w:val="22"/>
            </w:rPr>
            <m:t>k</m:t>
          </m:r>
          <m:r>
            <w:rPr>
              <w:rFonts w:ascii="Cambria Math" w:eastAsiaTheme="minorEastAsia" w:hAnsi="Cambria Math" w:cs="Calibri" w:hint="eastAsia"/>
              <w:kern w:val="2"/>
              <w:sz w:val="22"/>
              <w:szCs w:val="22"/>
            </w:rPr>
            <m:t>≠</m:t>
          </m:r>
          <m:r>
            <w:rPr>
              <w:rFonts w:ascii="Cambria Math" w:eastAsiaTheme="minorEastAsia" w:hAnsi="Cambria Math" w:cs="Calibri"/>
              <w:kern w:val="2"/>
              <w:sz w:val="22"/>
              <w:szCs w:val="22"/>
            </w:rPr>
            <m:t xml:space="preserve">i                                                </m:t>
          </m:r>
          <m:r>
            <m:rPr>
              <m:sty m:val="p"/>
            </m:rPr>
            <w:rPr>
              <w:rFonts w:ascii="Cambria Math" w:eastAsiaTheme="minorEastAsia" w:hAnsi="Cambria Math" w:cs="Calibri"/>
              <w:kern w:val="2"/>
              <w:sz w:val="22"/>
              <w:szCs w:val="22"/>
            </w:rPr>
            <m:t>(5)</m:t>
          </m:r>
        </m:oMath>
      </m:oMathPara>
    </w:p>
    <w:p w14:paraId="58E616E4" w14:textId="77777777" w:rsidR="0031281E" w:rsidRPr="00E23C0C" w:rsidRDefault="0031281E" w:rsidP="0031281E">
      <w:pPr>
        <w:spacing w:beforeLines="50" w:before="163" w:afterLines="50" w:after="163" w:line="400" w:lineRule="exact"/>
        <w:ind w:firstLine="420"/>
        <w:jc w:val="both"/>
        <w:rPr>
          <w:rFonts w:cs="Calibri"/>
          <w:kern w:val="2"/>
          <w:sz w:val="22"/>
          <w:szCs w:val="22"/>
        </w:rPr>
      </w:pPr>
      <w:r w:rsidRPr="00E23C0C">
        <w:rPr>
          <w:rFonts w:cs="Calibri"/>
          <w:sz w:val="22"/>
          <w:szCs w:val="22"/>
        </w:rPr>
        <w:t xml:space="preserve">Where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g</m:t>
            </m:r>
          </m:e>
          <m:sub>
            <m:r>
              <w:rPr>
                <w:rFonts w:ascii="Cambria Math" w:hAnsi="Cambria Math" w:cs="Calibri"/>
                <w:sz w:val="22"/>
                <w:szCs w:val="22"/>
              </w:rPr>
              <m:t>jk</m:t>
            </m:r>
          </m:sub>
        </m:sSub>
      </m:oMath>
      <w:r w:rsidRPr="00E23C0C">
        <w:rPr>
          <w:rFonts w:cs="Calibri"/>
          <w:kern w:val="2"/>
          <w:sz w:val="22"/>
          <w:szCs w:val="22"/>
        </w:rPr>
        <w:t xml:space="preserve"> is the number of </w:t>
      </w:r>
      <w:r w:rsidRPr="00E23C0C">
        <w:rPr>
          <w:rFonts w:cs="Calibri"/>
          <w:sz w:val="22"/>
          <w:szCs w:val="22"/>
        </w:rPr>
        <w:t>the shortest path</w:t>
      </w:r>
      <w:r w:rsidRPr="00E23C0C">
        <w:rPr>
          <w:rFonts w:cs="Calibri"/>
          <w:kern w:val="2"/>
          <w:sz w:val="22"/>
          <w:szCs w:val="22"/>
        </w:rPr>
        <w:t xml:space="preserve"> for government actor </w:t>
      </w:r>
      <w:r w:rsidRPr="00E23C0C">
        <w:rPr>
          <w:rFonts w:cs="Calibri"/>
          <w:i/>
          <w:iCs/>
          <w:kern w:val="2"/>
          <w:sz w:val="22"/>
          <w:szCs w:val="22"/>
        </w:rPr>
        <w:t>j</w:t>
      </w:r>
      <w:r w:rsidRPr="00E23C0C">
        <w:rPr>
          <w:rFonts w:cs="Calibri"/>
          <w:kern w:val="2"/>
          <w:sz w:val="22"/>
          <w:szCs w:val="22"/>
        </w:rPr>
        <w:t xml:space="preserve"> to reach actor </w:t>
      </w:r>
      <w:r w:rsidRPr="00E23C0C">
        <w:rPr>
          <w:rFonts w:cs="Calibri"/>
          <w:i/>
          <w:iCs/>
          <w:kern w:val="2"/>
          <w:sz w:val="22"/>
          <w:szCs w:val="22"/>
        </w:rPr>
        <w:t>k</w:t>
      </w:r>
      <w:r w:rsidRPr="00E23C0C">
        <w:rPr>
          <w:rFonts w:cs="Calibri"/>
          <w:kern w:val="2"/>
          <w:sz w:val="22"/>
          <w:szCs w:val="22"/>
        </w:rPr>
        <w:t xml:space="preserve">;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g</m:t>
            </m:r>
          </m:e>
          <m:sub>
            <m:r>
              <w:rPr>
                <w:rFonts w:ascii="Cambria Math" w:hAnsi="Cambria Math" w:cs="Calibri"/>
                <w:sz w:val="22"/>
                <w:szCs w:val="22"/>
              </w:rPr>
              <m:t>jk</m:t>
            </m:r>
          </m:sub>
        </m:sSub>
        <m:d>
          <m:dPr>
            <m:ctrlPr>
              <w:rPr>
                <w:rFonts w:ascii="Cambria Math" w:eastAsiaTheme="minorEastAsia" w:hAnsi="Cambria Math" w:cs="Calibri"/>
                <w:i/>
                <w:kern w:val="2"/>
                <w:sz w:val="22"/>
                <w:szCs w:val="22"/>
              </w:rPr>
            </m:ctrlPr>
          </m:dPr>
          <m:e>
            <m:r>
              <w:rPr>
                <w:rFonts w:ascii="Cambria Math" w:hAnsi="Cambria Math" w:cs="Calibri"/>
                <w:sz w:val="22"/>
                <w:szCs w:val="22"/>
              </w:rPr>
              <m:t>i</m:t>
            </m:r>
          </m:e>
        </m:d>
      </m:oMath>
      <w:r w:rsidRPr="00E23C0C">
        <w:rPr>
          <w:rFonts w:cs="Calibri"/>
          <w:kern w:val="2"/>
          <w:sz w:val="22"/>
          <w:szCs w:val="22"/>
        </w:rPr>
        <w:t xml:space="preserve"> is the number of shortcuts from government actor </w:t>
      </w:r>
      <m:oMath>
        <m:r>
          <w:rPr>
            <w:rFonts w:ascii="Cambria Math" w:hAnsi="Cambria Math" w:cs="Calibri"/>
            <w:kern w:val="2"/>
            <w:sz w:val="22"/>
            <w:szCs w:val="22"/>
          </w:rPr>
          <m:t>j</m:t>
        </m:r>
      </m:oMath>
      <w:r w:rsidRPr="00E23C0C">
        <w:rPr>
          <w:rFonts w:cs="Calibri"/>
          <w:kern w:val="2"/>
          <w:sz w:val="22"/>
          <w:szCs w:val="22"/>
        </w:rPr>
        <w:t xml:space="preserve"> and government actor </w:t>
      </w:r>
      <m:oMath>
        <m:r>
          <w:rPr>
            <w:rFonts w:ascii="Cambria Math" w:hAnsi="Cambria Math" w:cs="Calibri"/>
            <w:kern w:val="2"/>
            <w:sz w:val="22"/>
            <w:szCs w:val="22"/>
          </w:rPr>
          <m:t>k</m:t>
        </m:r>
      </m:oMath>
      <w:r w:rsidRPr="00E23C0C">
        <w:rPr>
          <w:rFonts w:cs="Calibri"/>
          <w:kern w:val="2"/>
          <w:sz w:val="22"/>
          <w:szCs w:val="22"/>
        </w:rPr>
        <w:t xml:space="preserve">, which also crosses point </w:t>
      </w:r>
      <m:oMath>
        <m:r>
          <w:rPr>
            <w:rFonts w:ascii="Cambria Math" w:hAnsi="Cambria Math" w:cs="Calibri"/>
            <w:kern w:val="2"/>
            <w:sz w:val="22"/>
            <w:szCs w:val="22"/>
          </w:rPr>
          <m:t>i</m:t>
        </m:r>
      </m:oMath>
      <w:r w:rsidRPr="00E23C0C">
        <w:rPr>
          <w:rFonts w:cs="Calibri"/>
          <w:kern w:val="2"/>
          <w:sz w:val="22"/>
          <w:szCs w:val="22"/>
        </w:rPr>
        <w:t xml:space="preserve">; </w:t>
      </w:r>
      <m:oMath>
        <m:r>
          <w:rPr>
            <w:rFonts w:ascii="Cambria Math" w:hAnsi="Cambria Math" w:cs="Calibri"/>
            <w:sz w:val="22"/>
            <w:szCs w:val="22"/>
          </w:rPr>
          <m:t>n</m:t>
        </m:r>
      </m:oMath>
      <w:r w:rsidRPr="00E23C0C">
        <w:rPr>
          <w:rFonts w:cs="Calibri"/>
          <w:sz w:val="22"/>
          <w:szCs w:val="22"/>
        </w:rPr>
        <w:t xml:space="preserve"> is the number of government sectors.</w:t>
      </w:r>
      <m:oMath>
        <m:r>
          <w:rPr>
            <w:rFonts w:ascii="Cambria Math" w:hAnsi="Cambria Math" w:cs="Calibri"/>
            <w:sz w:val="22"/>
            <w:szCs w:val="22"/>
          </w:rPr>
          <m:t xml:space="preserve"> </m:t>
        </m:r>
      </m:oMath>
      <w:r w:rsidRPr="00E23C0C">
        <w:rPr>
          <w:rFonts w:cs="Calibri"/>
          <w:i/>
          <w:sz w:val="22"/>
          <w:szCs w:val="22"/>
        </w:rPr>
        <w:t xml:space="preserve"> </w:t>
      </w:r>
    </w:p>
    <w:p w14:paraId="0E090033"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Table 5 displays the results of centrality measures of intergovernmental collaboration during the emergency stage. ABJ ranks the highest in degree centrality, followed by GA. Being the most connected actor in the network is not always an advantageous position, but dependent on the context. In this study, the assumption is that government sectors with more links are in relatively advantageous positions, as they have access to alternative ways to satisfy their needs. Thus, at the emergency stage of post-disaster destination management, ABJ and GA are the most connected, and both therefore have more resources to tap into other government sectors. ABJ and GA also have the most closeness centrality, indicating that they have more frequent interactions with other government sectors at this post-disaster destination management stage. One explanation may be that local government sectors play an important role in actively protecting </w:t>
      </w:r>
      <w:proofErr w:type="gramStart"/>
      <w:r w:rsidRPr="00E23C0C">
        <w:rPr>
          <w:rFonts w:cs="Calibri"/>
          <w:sz w:val="22"/>
          <w:szCs w:val="22"/>
        </w:rPr>
        <w:t>local residents</w:t>
      </w:r>
      <w:proofErr w:type="gramEnd"/>
      <w:r w:rsidRPr="00E23C0C">
        <w:rPr>
          <w:rFonts w:cs="Calibri"/>
          <w:sz w:val="22"/>
          <w:szCs w:val="22"/>
        </w:rPr>
        <w:t xml:space="preserve"> and tourists</w:t>
      </w:r>
      <w:r w:rsidRPr="00E23C0C" w:rsidDel="007B11B1">
        <w:rPr>
          <w:rFonts w:cs="Calibri"/>
          <w:sz w:val="22"/>
          <w:szCs w:val="22"/>
        </w:rPr>
        <w:t xml:space="preserve"> </w:t>
      </w:r>
      <w:r w:rsidRPr="00E23C0C">
        <w:rPr>
          <w:rFonts w:cs="Calibri"/>
          <w:sz w:val="22"/>
          <w:szCs w:val="22"/>
        </w:rPr>
        <w:t xml:space="preserve">(Col, 2007). In terms of betweenness centrality, ABJ, GA and DFS have the maximum amounts. This indicates that these three government sectors play the most critical role in functioning intergovernmental collaboration, and their power is highly concentrated. ABJ tops the list and this is perhaps linked to its role in controlling resource allocation, deciding where to direct efforts, and establishing and facilitating coordination between government sectors at the emergency stage. </w:t>
      </w:r>
    </w:p>
    <w:p w14:paraId="0A595010" w14:textId="34403770"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lastRenderedPageBreak/>
        <w:t xml:space="preserve">Table 6 shows the results of the centrality measures of intergovernmental collaboration at the intermediate stage. ABJ and DRCS have the highest degree and closeness centrality. These results indicate that ABJ and DRCS are more closely connected than </w:t>
      </w:r>
      <w:proofErr w:type="gramStart"/>
      <w:r w:rsidRPr="00E23C0C">
        <w:rPr>
          <w:rFonts w:cs="Calibri"/>
          <w:sz w:val="22"/>
          <w:szCs w:val="22"/>
        </w:rPr>
        <w:t>others, and</w:t>
      </w:r>
      <w:proofErr w:type="gramEnd"/>
      <w:r w:rsidRPr="00E23C0C">
        <w:rPr>
          <w:rFonts w:cs="Calibri"/>
          <w:sz w:val="22"/>
          <w:szCs w:val="22"/>
        </w:rPr>
        <w:t xml:space="preserve"> have the most frequent interactions in the collaboration. One possible explanation for the highest ranking of ABJ in degree and closeness centrality is that ABJ may make greater efforts than other sectors to maintain ties with other government sectors, as it is closest to the affected region (Baker </w:t>
      </w:r>
      <w:r w:rsidR="002C4977"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Refsgaard</w:t>
      </w:r>
      <w:proofErr w:type="spellEnd"/>
      <w:r w:rsidRPr="00E23C0C">
        <w:rPr>
          <w:rFonts w:cs="Calibri"/>
          <w:sz w:val="22"/>
          <w:szCs w:val="22"/>
        </w:rPr>
        <w:t xml:space="preserve">, 2007). The foci of the intermediate stage </w:t>
      </w:r>
      <w:proofErr w:type="gramStart"/>
      <w:r w:rsidRPr="00E23C0C">
        <w:rPr>
          <w:rFonts w:cs="Calibri"/>
          <w:sz w:val="22"/>
          <w:szCs w:val="22"/>
        </w:rPr>
        <w:t>is</w:t>
      </w:r>
      <w:proofErr w:type="gramEnd"/>
      <w:r w:rsidRPr="00E23C0C">
        <w:rPr>
          <w:rFonts w:cs="Calibri"/>
          <w:sz w:val="22"/>
          <w:szCs w:val="22"/>
        </w:rPr>
        <w:t xml:space="preserve"> to restore utilities and essential services that are essential for the long-term recovery of tourism destination, which requires much financial support (Ritchie, 2004). It is not surprising that DRCS ranks highly and plays an influential role at this stage. ABJ is the highest in terms of betweenness centrality during the intermediate stage, indicating that it heavily involves in implementing intermediate activities for destination management. This could be because the principal government sectors often play a bridging role in implementing destination management through collaborating with other functional government sectors.</w:t>
      </w:r>
    </w:p>
    <w:p w14:paraId="1F613DBF" w14:textId="68D3A2B9"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Table 7 shows the results of network centrality of intergovernmental collaboration at the long-term recovery stage. ABJ and GA rank the highest in degree, closeness and betweenness centrality. These results suggest that ABJ and GA have the most extensive web of links, making it relatively easy to influence the other. Both also have the most structural advantages in bargaining for and exchanging resources required for long-term recovery activities. This is because long-term recovery work focuses on reconstructing tourism-related infrastructure, rehabilitating environmentally-damaged areas, restoring tourist business, and boosting tourism-market confidence (Faulkner </w:t>
      </w:r>
      <w:r w:rsidR="002C4977" w:rsidRPr="00E23C0C">
        <w:rPr>
          <w:rFonts w:cs="Calibri"/>
          <w:sz w:val="22"/>
          <w:szCs w:val="22"/>
        </w:rPr>
        <w:t>&amp;</w:t>
      </w:r>
      <w:r w:rsidRPr="00E23C0C">
        <w:rPr>
          <w:rFonts w:cs="Calibri"/>
          <w:sz w:val="22"/>
          <w:szCs w:val="22"/>
        </w:rPr>
        <w:t xml:space="preserve"> </w:t>
      </w:r>
      <w:proofErr w:type="spellStart"/>
      <w:r w:rsidRPr="00E23C0C">
        <w:rPr>
          <w:rFonts w:cs="Calibri"/>
          <w:sz w:val="22"/>
          <w:szCs w:val="22"/>
        </w:rPr>
        <w:t>Vikulov</w:t>
      </w:r>
      <w:proofErr w:type="spellEnd"/>
      <w:r w:rsidRPr="00E23C0C">
        <w:rPr>
          <w:rFonts w:cs="Calibri"/>
          <w:sz w:val="22"/>
          <w:szCs w:val="22"/>
        </w:rPr>
        <w:t>, 2001). The implementation of long-term recovery projects often relies heavily on local government due to its geographical and institutional proximity to the region (</w:t>
      </w:r>
      <w:proofErr w:type="spellStart"/>
      <w:r w:rsidRPr="00E23C0C">
        <w:rPr>
          <w:rFonts w:cs="Calibri"/>
          <w:sz w:val="22"/>
          <w:szCs w:val="22"/>
        </w:rPr>
        <w:t>Çakar</w:t>
      </w:r>
      <w:proofErr w:type="spellEnd"/>
      <w:r w:rsidRPr="00E23C0C">
        <w:rPr>
          <w:rFonts w:cs="Calibri"/>
          <w:sz w:val="22"/>
          <w:szCs w:val="22"/>
        </w:rPr>
        <w:t xml:space="preserve">, 2018). </w:t>
      </w:r>
    </w:p>
    <w:p w14:paraId="708A8A3F" w14:textId="77777777" w:rsidR="0031281E" w:rsidRPr="00E23C0C" w:rsidRDefault="0031281E" w:rsidP="0031281E">
      <w:pPr>
        <w:pStyle w:val="NormalWeb"/>
        <w:spacing w:beforeLines="50" w:before="163" w:beforeAutospacing="0" w:afterLines="50" w:after="163" w:afterAutospacing="0" w:line="300" w:lineRule="auto"/>
        <w:jc w:val="both"/>
        <w:rPr>
          <w:rFonts w:cs="Calibri"/>
          <w:b/>
          <w:sz w:val="22"/>
          <w:szCs w:val="22"/>
          <w:lang w:val="en-GB"/>
        </w:rPr>
      </w:pPr>
      <w:r w:rsidRPr="00E23C0C">
        <w:rPr>
          <w:rFonts w:cs="Calibri"/>
          <w:b/>
          <w:sz w:val="22"/>
          <w:szCs w:val="22"/>
          <w:lang w:val="en-GB"/>
        </w:rPr>
        <w:t xml:space="preserve">4.4 Clique analysis </w:t>
      </w:r>
    </w:p>
    <w:p w14:paraId="0DE68621" w14:textId="6EE25553"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Clique analysis is used to identify the sub-networks of government sectors within the network (</w:t>
      </w:r>
      <w:proofErr w:type="spellStart"/>
      <w:r w:rsidRPr="00E23C0C">
        <w:rPr>
          <w:rFonts w:cs="Calibri"/>
          <w:sz w:val="22"/>
          <w:szCs w:val="22"/>
        </w:rPr>
        <w:t>Hanneman</w:t>
      </w:r>
      <w:proofErr w:type="spellEnd"/>
      <w:r w:rsidRPr="00E23C0C">
        <w:rPr>
          <w:rFonts w:cs="Calibri"/>
          <w:sz w:val="22"/>
          <w:szCs w:val="22"/>
        </w:rPr>
        <w:t xml:space="preserve"> </w:t>
      </w:r>
      <w:r w:rsidR="002C4977" w:rsidRPr="00E23C0C">
        <w:rPr>
          <w:rFonts w:cs="Calibri"/>
          <w:sz w:val="22"/>
          <w:szCs w:val="22"/>
        </w:rPr>
        <w:t>&amp;</w:t>
      </w:r>
      <w:r w:rsidRPr="00E23C0C">
        <w:rPr>
          <w:rFonts w:cs="Calibri"/>
          <w:sz w:val="22"/>
          <w:szCs w:val="22"/>
        </w:rPr>
        <w:t xml:space="preserve"> Riddle, 2011). In this study, clique analysis was undertaken to show the preferred types of cliques and subgroups operating in intergovernmental collaboration. </w:t>
      </w:r>
    </w:p>
    <w:p w14:paraId="5FB4618D"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Table 8 shows the clique analysis results of intergovernmental collaboration at the emergency, intermediate and long-term recovery stages. At the emergency stage, four cliques are identified in the network: the cliques 1, 3 and 4 develop hierarchically, and involve government sectors at national, provincial and municipal levels; the clique 2 develops horizontally, and all the government sectors in this clique are at the municipal level. All the </w:t>
      </w:r>
      <w:r w:rsidRPr="00E23C0C">
        <w:rPr>
          <w:rFonts w:cs="Calibri"/>
          <w:sz w:val="22"/>
          <w:szCs w:val="22"/>
        </w:rPr>
        <w:lastRenderedPageBreak/>
        <w:t xml:space="preserve">cliques have links with ABJ. At the intermediate stage, six cliques are identified in the intergovernmental collaboration network: the cliques 1, 2, 3 and 5 develop in a hierarchical way, while the clique 4 and 6 develop horizontally. Hierarchical collaboration involves government sectors at the national, provincial and municipal levels in the clique 1 and 5, while the clique 2 and 3 only involve government sectors at the provincial and municipal levels. Horizontal collaboration within the clique 4 relates to provincial government sectors, while the clique 6 involves government sectors at the municipal level. At the long-term recovery stage, there are fourteen cliques identified within the collaboration structure. Eleven hierarchical cliques involve national, provincial and local government sectors, while three local cliques are involved in the horizontal collaboration. </w:t>
      </w:r>
    </w:p>
    <w:p w14:paraId="260F3597" w14:textId="28E63ECE"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In Table 8, intergovernmental collaboration developed hierarchically throughout post-disaster destination management process, but horizontal collaboration between provincial or local government sectors also plays an increasingly important role. Even if hierarchical influence remains apparent within intergovernmental collaboration under the Chinses centralised system (Xu </w:t>
      </w:r>
      <w:r w:rsidR="002C4977" w:rsidRPr="00E23C0C">
        <w:rPr>
          <w:rFonts w:cs="Calibri"/>
          <w:sz w:val="22"/>
          <w:szCs w:val="22"/>
        </w:rPr>
        <w:t>&amp;</w:t>
      </w:r>
      <w:r w:rsidRPr="00E23C0C">
        <w:rPr>
          <w:rFonts w:cs="Calibri"/>
          <w:sz w:val="22"/>
          <w:szCs w:val="22"/>
        </w:rPr>
        <w:t xml:space="preserve"> Lu, 2013), horizontal collaboration becomes progressively more significant in post-disaster destination management. This phenomenon has also been observed in many western countries, such as New Zealand (Amore </w:t>
      </w:r>
      <w:r w:rsidR="0009739D" w:rsidRPr="00E23C0C">
        <w:rPr>
          <w:rFonts w:cs="Calibri"/>
          <w:sz w:val="22"/>
          <w:szCs w:val="22"/>
        </w:rPr>
        <w:t xml:space="preserve">&amp; </w:t>
      </w:r>
      <w:r w:rsidRPr="00E23C0C">
        <w:rPr>
          <w:rFonts w:cs="Calibri"/>
          <w:sz w:val="22"/>
          <w:szCs w:val="22"/>
        </w:rPr>
        <w:t>Hall, 2016). The interdependencies between hierarchical intervention and horizontal coordination within the post-disaster destination management could be explained by the fact that “the hierarchical power is realised in or through local political practices or negotiations, so too is the effective collaboration of local political networks or clans enhanced by virtue of their embeddedness within hierarchical structures” (</w:t>
      </w:r>
      <w:proofErr w:type="spellStart"/>
      <w:r w:rsidRPr="00E23C0C">
        <w:rPr>
          <w:rFonts w:cs="Calibri"/>
          <w:sz w:val="22"/>
          <w:szCs w:val="22"/>
        </w:rPr>
        <w:t>Scharph</w:t>
      </w:r>
      <w:proofErr w:type="spellEnd"/>
      <w:r w:rsidRPr="00E23C0C">
        <w:rPr>
          <w:rFonts w:cs="Calibri"/>
          <w:sz w:val="22"/>
          <w:szCs w:val="22"/>
        </w:rPr>
        <w:t xml:space="preserve">, 1994: 40). </w:t>
      </w:r>
    </w:p>
    <w:p w14:paraId="3087B3C1" w14:textId="77777777" w:rsidR="0031281E" w:rsidRPr="00E23C0C" w:rsidRDefault="0031281E" w:rsidP="0031281E">
      <w:pPr>
        <w:pStyle w:val="NormalWeb"/>
        <w:numPr>
          <w:ilvl w:val="1"/>
          <w:numId w:val="10"/>
        </w:numPr>
        <w:spacing w:beforeLines="50" w:before="163" w:beforeAutospacing="0" w:afterLines="50" w:after="163" w:afterAutospacing="0" w:line="300" w:lineRule="auto"/>
        <w:jc w:val="both"/>
        <w:rPr>
          <w:rFonts w:cs="Calibri"/>
          <w:b/>
          <w:sz w:val="22"/>
          <w:szCs w:val="22"/>
          <w:lang w:val="en-GB"/>
        </w:rPr>
      </w:pPr>
      <w:r w:rsidRPr="00E23C0C">
        <w:rPr>
          <w:rFonts w:cs="Calibri"/>
          <w:b/>
          <w:sz w:val="22"/>
          <w:szCs w:val="22"/>
          <w:lang w:val="en-GB"/>
        </w:rPr>
        <w:t>Structural holes</w:t>
      </w:r>
    </w:p>
    <w:p w14:paraId="6107BB0B"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Structural holes represent the non-redundancy ties between two actors and indicate whether an actor is in an advantageous position to control the flow of information and resources within the </w:t>
      </w:r>
      <w:proofErr w:type="gramStart"/>
      <w:r w:rsidRPr="00E23C0C">
        <w:rPr>
          <w:rFonts w:cs="Calibri"/>
          <w:sz w:val="22"/>
          <w:szCs w:val="22"/>
        </w:rPr>
        <w:t>network as a whole</w:t>
      </w:r>
      <w:proofErr w:type="gramEnd"/>
      <w:r w:rsidRPr="00E23C0C">
        <w:rPr>
          <w:rFonts w:cs="Calibri"/>
          <w:sz w:val="22"/>
          <w:szCs w:val="22"/>
        </w:rPr>
        <w:t xml:space="preserve"> (Scott, 2013). Burt (1992) identifies three indicators of structural holes, namely: effective size, efficiency and constraint. We use these measures to test structural holes of intergovernmental collaboration in this study. </w:t>
      </w:r>
    </w:p>
    <w:p w14:paraId="009F7D3A"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Effective network size is to measure the redundancy of certain ties of nodes (Burt, 1992). The equation 6 of network effective size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ES</m:t>
            </m:r>
          </m:e>
          <m:sub>
            <m:r>
              <w:rPr>
                <w:rFonts w:ascii="Cambria Math" w:hAnsi="Cambria Math" w:cs="Calibri"/>
                <w:sz w:val="22"/>
                <w:szCs w:val="22"/>
              </w:rPr>
              <m:t>i</m:t>
            </m:r>
          </m:sub>
        </m:sSub>
        <m:r>
          <w:rPr>
            <w:rFonts w:ascii="Cambria Math" w:eastAsiaTheme="minorEastAsia" w:hAnsi="Cambria Math" w:cs="Calibri"/>
            <w:kern w:val="2"/>
            <w:sz w:val="22"/>
            <w:szCs w:val="22"/>
          </w:rPr>
          <m:t xml:space="preserve"> </m:t>
        </m:r>
      </m:oMath>
      <w:r w:rsidRPr="00E23C0C">
        <w:rPr>
          <w:rFonts w:cs="Calibri"/>
          <w:sz w:val="22"/>
          <w:szCs w:val="22"/>
        </w:rPr>
        <w:t>is shown below (Burt, 1992):</w:t>
      </w:r>
    </w:p>
    <w:p w14:paraId="0193C096" w14:textId="77777777" w:rsidR="0031281E" w:rsidRPr="00E23C0C" w:rsidRDefault="00BF2C97" w:rsidP="0031281E">
      <w:pPr>
        <w:rPr>
          <w:rFonts w:eastAsiaTheme="minorEastAsia" w:cs="Calibri"/>
          <w:sz w:val="22"/>
          <w:szCs w:val="22"/>
        </w:rPr>
      </w:pPr>
      <m:oMathPara>
        <m:oMath>
          <m:sSub>
            <m:sSubPr>
              <m:ctrlPr>
                <w:rPr>
                  <w:rFonts w:ascii="Cambria Math" w:eastAsiaTheme="minorEastAsia" w:hAnsi="Cambria Math" w:cs="Calibri"/>
                  <w:i/>
                  <w:kern w:val="2"/>
                  <w:sz w:val="22"/>
                  <w:szCs w:val="22"/>
                </w:rPr>
              </m:ctrlPr>
            </m:sSubPr>
            <m:e>
              <m:r>
                <w:rPr>
                  <w:rFonts w:ascii="Cambria Math" w:hAnsi="Cambria Math" w:cs="Calibri"/>
                  <w:sz w:val="22"/>
                  <w:szCs w:val="22"/>
                </w:rPr>
                <m:t xml:space="preserve">                                                     ES</m:t>
              </m:r>
            </m:e>
            <m:sub>
              <m:r>
                <w:rPr>
                  <w:rFonts w:ascii="Cambria Math" w:hAnsi="Cambria Math" w:cs="Calibri"/>
                  <w:sz w:val="22"/>
                  <w:szCs w:val="22"/>
                </w:rPr>
                <m:t>i</m:t>
              </m:r>
            </m:sub>
          </m:sSub>
          <m:r>
            <w:rPr>
              <w:rFonts w:ascii="Cambria Math" w:hAnsi="Cambria Math" w:cs="Calibri"/>
              <w:sz w:val="22"/>
              <w:szCs w:val="22"/>
            </w:rPr>
            <m:t>=n-</m:t>
          </m:r>
          <m:f>
            <m:fPr>
              <m:ctrlPr>
                <w:rPr>
                  <w:rFonts w:ascii="Cambria Math" w:eastAsiaTheme="minorEastAsia" w:hAnsi="Cambria Math" w:cs="Calibri"/>
                  <w:i/>
                  <w:kern w:val="2"/>
                  <w:sz w:val="22"/>
                  <w:szCs w:val="22"/>
                </w:rPr>
              </m:ctrlPr>
            </m:fPr>
            <m:num>
              <m:r>
                <w:rPr>
                  <w:rFonts w:ascii="Cambria Math" w:hAnsi="Cambria Math" w:cs="Calibri"/>
                  <w:sz w:val="22"/>
                  <w:szCs w:val="22"/>
                </w:rPr>
                <m:t>1</m:t>
              </m:r>
            </m:num>
            <m:den>
              <m:r>
                <w:rPr>
                  <w:rFonts w:ascii="Cambria Math" w:eastAsiaTheme="minorEastAsia" w:hAnsi="Cambria Math" w:cs="Calibri"/>
                  <w:kern w:val="2"/>
                  <w:sz w:val="22"/>
                  <w:szCs w:val="22"/>
                </w:rPr>
                <m:t>n</m:t>
              </m:r>
            </m:den>
          </m:f>
          <m:nary>
            <m:naryPr>
              <m:chr m:val="∑"/>
              <m:limLoc m:val="subSup"/>
              <m:ctrlPr>
                <w:rPr>
                  <w:rFonts w:ascii="Cambria Math" w:eastAsiaTheme="minorEastAsia" w:hAnsi="Cambria Math" w:cs="Calibri"/>
                  <w:i/>
                  <w:kern w:val="2"/>
                  <w:sz w:val="22"/>
                  <w:szCs w:val="22"/>
                </w:rPr>
              </m:ctrlPr>
            </m:naryPr>
            <m:sub>
              <m:r>
                <w:rPr>
                  <w:rFonts w:ascii="Cambria Math" w:eastAsiaTheme="minorEastAsia" w:hAnsi="Cambria Math" w:cs="Calibri"/>
                  <w:kern w:val="2"/>
                  <w:sz w:val="22"/>
                  <w:szCs w:val="22"/>
                </w:rPr>
                <m:t>j</m:t>
              </m:r>
            </m:sub>
            <m:sup>
              <m:r>
                <w:rPr>
                  <w:rFonts w:ascii="Cambria Math" w:eastAsiaTheme="minorEastAsia" w:hAnsi="Cambria Math" w:cs="Calibri"/>
                  <w:kern w:val="2"/>
                  <w:sz w:val="22"/>
                  <w:szCs w:val="22"/>
                </w:rPr>
                <m:t>n</m:t>
              </m:r>
            </m:sup>
            <m:e>
              <m:nary>
                <m:naryPr>
                  <m:chr m:val="∑"/>
                  <m:limLoc m:val="subSup"/>
                  <m:ctrlPr>
                    <w:rPr>
                      <w:rFonts w:ascii="Cambria Math" w:eastAsiaTheme="minorEastAsia" w:hAnsi="Cambria Math" w:cs="Calibri"/>
                      <w:i/>
                      <w:kern w:val="2"/>
                      <w:sz w:val="22"/>
                      <w:szCs w:val="22"/>
                    </w:rPr>
                  </m:ctrlPr>
                </m:naryPr>
                <m:sub>
                  <m:r>
                    <w:rPr>
                      <w:rFonts w:ascii="Cambria Math" w:eastAsiaTheme="minorEastAsia" w:hAnsi="Cambria Math" w:cs="Calibri"/>
                      <w:kern w:val="2"/>
                      <w:sz w:val="22"/>
                      <w:szCs w:val="22"/>
                    </w:rPr>
                    <m:t>q</m:t>
                  </m:r>
                </m:sub>
                <m:sup>
                  <m:r>
                    <w:rPr>
                      <w:rFonts w:ascii="Cambria Math" w:eastAsiaTheme="minorEastAsia" w:hAnsi="Cambria Math" w:cs="Calibri"/>
                      <w:kern w:val="2"/>
                      <w:sz w:val="22"/>
                      <w:szCs w:val="22"/>
                    </w:rPr>
                    <m:t>n</m:t>
                  </m:r>
                </m:sup>
                <m:e>
                  <m:sSub>
                    <m:sSubPr>
                      <m:ctrlPr>
                        <w:rPr>
                          <w:rFonts w:ascii="Cambria Math" w:eastAsiaTheme="minorEastAsia" w:hAnsi="Cambria Math" w:cs="Calibri"/>
                          <w:i/>
                          <w:kern w:val="2"/>
                          <w:sz w:val="22"/>
                          <w:szCs w:val="22"/>
                        </w:rPr>
                      </m:ctrlPr>
                    </m:sSubPr>
                    <m:e>
                      <m:r>
                        <w:rPr>
                          <w:rFonts w:ascii="Cambria Math" w:hAnsi="Cambria Math" w:cs="Calibri"/>
                          <w:sz w:val="22"/>
                          <w:szCs w:val="22"/>
                        </w:rPr>
                        <m:t>m</m:t>
                      </m:r>
                    </m:e>
                    <m:sub>
                      <m:r>
                        <w:rPr>
                          <w:rFonts w:ascii="Cambria Math" w:hAnsi="Cambria Math" w:cs="Calibri"/>
                          <w:sz w:val="22"/>
                          <w:szCs w:val="22"/>
                        </w:rPr>
                        <m:t>jq</m:t>
                      </m:r>
                    </m:sub>
                  </m:sSub>
                </m:e>
              </m:nary>
            </m:e>
          </m:nary>
          <m:r>
            <w:rPr>
              <w:rFonts w:ascii="Cambria Math" w:eastAsiaTheme="minorEastAsia" w:hAnsi="Cambria Math" w:cs="Calibri"/>
              <w:kern w:val="2"/>
              <w:sz w:val="22"/>
              <w:szCs w:val="22"/>
            </w:rPr>
            <m:t>;q</m:t>
          </m:r>
          <m:r>
            <w:rPr>
              <w:rFonts w:ascii="Cambria Math" w:eastAsiaTheme="minorEastAsia" w:hAnsi="Cambria Math" w:cs="Calibri" w:hint="eastAsia"/>
              <w:kern w:val="2"/>
              <w:sz w:val="22"/>
              <w:szCs w:val="22"/>
            </w:rPr>
            <m:t>≠</m:t>
          </m:r>
          <m:r>
            <w:rPr>
              <w:rFonts w:ascii="Cambria Math" w:eastAsiaTheme="minorEastAsia" w:hAnsi="Cambria Math" w:cs="Calibri"/>
              <w:kern w:val="2"/>
              <w:sz w:val="22"/>
              <w:szCs w:val="22"/>
            </w:rPr>
            <m:t xml:space="preserve">i, j                                               </m:t>
          </m:r>
          <m:r>
            <m:rPr>
              <m:sty m:val="p"/>
            </m:rPr>
            <w:rPr>
              <w:rFonts w:ascii="Cambria Math" w:hAnsi="Cambria Math" w:cs="Calibri"/>
              <w:kern w:val="2"/>
              <w:sz w:val="22"/>
              <w:szCs w:val="22"/>
            </w:rPr>
            <m:t>(6)</m:t>
          </m:r>
        </m:oMath>
      </m:oMathPara>
    </w:p>
    <w:p w14:paraId="1C4FFBE9" w14:textId="77777777" w:rsidR="0031281E" w:rsidRPr="00E23C0C" w:rsidRDefault="0031281E" w:rsidP="0031281E">
      <w:pPr>
        <w:spacing w:beforeLines="50" w:before="163" w:afterLines="50" w:after="163" w:line="400" w:lineRule="exact"/>
        <w:ind w:firstLine="420"/>
        <w:jc w:val="both"/>
        <w:rPr>
          <w:rFonts w:cs="Calibri"/>
          <w:i/>
          <w:iCs/>
          <w:kern w:val="2"/>
          <w:sz w:val="22"/>
          <w:szCs w:val="22"/>
        </w:rPr>
      </w:pPr>
      <w:r w:rsidRPr="00E23C0C">
        <w:rPr>
          <w:rFonts w:cs="Calibri"/>
          <w:sz w:val="22"/>
          <w:szCs w:val="22"/>
        </w:rPr>
        <w:lastRenderedPageBreak/>
        <w:t xml:space="preserve">Where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m</m:t>
            </m:r>
          </m:e>
          <m:sub>
            <m:r>
              <w:rPr>
                <w:rFonts w:ascii="Cambria Math" w:hAnsi="Cambria Math" w:cs="Calibri"/>
                <w:sz w:val="22"/>
                <w:szCs w:val="22"/>
              </w:rPr>
              <m:t>jq</m:t>
            </m:r>
          </m:sub>
        </m:sSub>
      </m:oMath>
      <w:r w:rsidRPr="00E23C0C">
        <w:rPr>
          <w:rFonts w:cs="Calibri"/>
          <w:kern w:val="2"/>
          <w:sz w:val="22"/>
          <w:szCs w:val="22"/>
        </w:rPr>
        <w:t xml:space="preserve"> equals the strength of direct ties from government sector </w:t>
      </w:r>
      <m:oMath>
        <m:r>
          <w:rPr>
            <w:rFonts w:ascii="Cambria Math" w:hAnsi="Cambria Math" w:cs="Calibri"/>
            <w:kern w:val="2"/>
            <w:sz w:val="22"/>
            <w:szCs w:val="22"/>
          </w:rPr>
          <m:t>j</m:t>
        </m:r>
      </m:oMath>
      <w:r w:rsidRPr="00E23C0C">
        <w:rPr>
          <w:rFonts w:cs="Calibri"/>
          <w:i/>
          <w:iCs/>
          <w:kern w:val="2"/>
          <w:sz w:val="22"/>
          <w:szCs w:val="22"/>
        </w:rPr>
        <w:t xml:space="preserve"> </w:t>
      </w:r>
      <w:r w:rsidRPr="00E23C0C">
        <w:rPr>
          <w:rFonts w:cs="Calibri"/>
          <w:kern w:val="2"/>
          <w:sz w:val="22"/>
          <w:szCs w:val="22"/>
        </w:rPr>
        <w:t xml:space="preserve">to government </w:t>
      </w:r>
      <m:oMath>
        <m:r>
          <w:rPr>
            <w:rFonts w:ascii="Cambria Math" w:eastAsiaTheme="minorEastAsia" w:hAnsi="Cambria Math" w:cs="Calibri"/>
            <w:kern w:val="2"/>
            <w:sz w:val="22"/>
            <w:szCs w:val="22"/>
          </w:rPr>
          <m:t>q</m:t>
        </m:r>
      </m:oMath>
      <w:r w:rsidRPr="00E23C0C">
        <w:rPr>
          <w:rFonts w:cs="Calibri"/>
          <w:sz w:val="22"/>
          <w:szCs w:val="22"/>
        </w:rPr>
        <w:t xml:space="preserve">, and </w:t>
      </w:r>
      <m:oMath>
        <m:r>
          <w:rPr>
            <w:rFonts w:ascii="Cambria Math" w:hAnsi="Cambria Math" w:cs="Calibri"/>
            <w:sz w:val="22"/>
            <w:szCs w:val="22"/>
          </w:rPr>
          <m:t>n</m:t>
        </m:r>
      </m:oMath>
      <w:r w:rsidRPr="00E23C0C">
        <w:rPr>
          <w:rFonts w:cs="Calibri"/>
          <w:sz w:val="22"/>
          <w:szCs w:val="22"/>
        </w:rPr>
        <w:t xml:space="preserve"> is the number of government sectors.</w:t>
      </w:r>
      <m:oMath>
        <m:r>
          <w:rPr>
            <w:rFonts w:ascii="Cambria Math" w:hAnsi="Cambria Math" w:cs="Calibri"/>
            <w:sz w:val="22"/>
            <w:szCs w:val="22"/>
          </w:rPr>
          <m:t xml:space="preserve"> </m:t>
        </m:r>
      </m:oMath>
      <w:r w:rsidRPr="00E23C0C">
        <w:rPr>
          <w:rFonts w:cs="Calibri"/>
          <w:i/>
          <w:sz w:val="22"/>
          <w:szCs w:val="22"/>
        </w:rPr>
        <w:t xml:space="preserve"> </w:t>
      </w:r>
    </w:p>
    <w:p w14:paraId="437FC836" w14:textId="77777777" w:rsidR="0031281E" w:rsidRPr="00E23C0C" w:rsidRDefault="0031281E" w:rsidP="0031281E">
      <w:pPr>
        <w:spacing w:beforeLines="50" w:before="163" w:afterLines="50" w:after="163" w:line="400" w:lineRule="exact"/>
        <w:ind w:firstLine="420"/>
        <w:jc w:val="both"/>
        <w:rPr>
          <w:rFonts w:cs="Calibri"/>
          <w:kern w:val="2"/>
          <w:sz w:val="22"/>
          <w:szCs w:val="22"/>
        </w:rPr>
      </w:pPr>
      <w:r w:rsidRPr="00E23C0C">
        <w:rPr>
          <w:rFonts w:cs="Calibri"/>
          <w:sz w:val="22"/>
          <w:szCs w:val="22"/>
        </w:rPr>
        <w:t xml:space="preserve">Efficiency is the ratio of the effective scale of the network nodes to the actual scale (Burt, 1992). The equation 7 of network efficiency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EC</m:t>
            </m:r>
          </m:e>
          <m:sub>
            <m:r>
              <w:rPr>
                <w:rFonts w:ascii="Cambria Math" w:hAnsi="Cambria Math" w:cs="Calibri"/>
                <w:sz w:val="22"/>
                <w:szCs w:val="22"/>
              </w:rPr>
              <m:t>i</m:t>
            </m:r>
          </m:sub>
        </m:sSub>
        <m:r>
          <w:rPr>
            <w:rFonts w:ascii="Cambria Math" w:eastAsiaTheme="minorEastAsia" w:hAnsi="Cambria Math" w:cs="Calibri"/>
            <w:kern w:val="2"/>
            <w:sz w:val="22"/>
            <w:szCs w:val="22"/>
          </w:rPr>
          <m:t xml:space="preserve"> </m:t>
        </m:r>
      </m:oMath>
      <w:r w:rsidRPr="00E23C0C">
        <w:rPr>
          <w:rFonts w:cs="Calibri"/>
          <w:sz w:val="22"/>
          <w:szCs w:val="22"/>
        </w:rPr>
        <w:t xml:space="preserve">is shown below (Burt, 1992): </w:t>
      </w:r>
    </w:p>
    <w:p w14:paraId="18309167" w14:textId="77777777" w:rsidR="0031281E" w:rsidRPr="00E23C0C" w:rsidRDefault="00BF2C97" w:rsidP="0031281E">
      <w:pPr>
        <w:rPr>
          <w:rFonts w:eastAsiaTheme="minorEastAsia" w:cs="Calibri"/>
          <w:kern w:val="2"/>
          <w:sz w:val="22"/>
          <w:szCs w:val="22"/>
        </w:rPr>
      </w:pPr>
      <m:oMathPara>
        <m:oMath>
          <m:sSub>
            <m:sSubPr>
              <m:ctrlPr>
                <w:rPr>
                  <w:rFonts w:ascii="Cambria Math" w:eastAsiaTheme="minorEastAsia" w:hAnsi="Cambria Math" w:cs="Calibri"/>
                  <w:i/>
                  <w:kern w:val="2"/>
                  <w:sz w:val="22"/>
                  <w:szCs w:val="22"/>
                </w:rPr>
              </m:ctrlPr>
            </m:sSubPr>
            <m:e>
              <m:r>
                <w:rPr>
                  <w:rFonts w:ascii="Cambria Math" w:hAnsi="Cambria Math" w:cs="Calibri"/>
                  <w:sz w:val="22"/>
                  <w:szCs w:val="22"/>
                </w:rPr>
                <m:t xml:space="preserve">                                                                    EC</m:t>
              </m:r>
            </m:e>
            <m:sub>
              <m:r>
                <w:rPr>
                  <w:rFonts w:ascii="Cambria Math" w:hAnsi="Cambria Math" w:cs="Calibri"/>
                  <w:sz w:val="22"/>
                  <w:szCs w:val="22"/>
                </w:rPr>
                <m:t>i</m:t>
              </m:r>
            </m:sub>
          </m:sSub>
          <m:r>
            <w:rPr>
              <w:rFonts w:ascii="Cambria Math" w:hAnsi="Cambria Math" w:cs="Calibri"/>
              <w:sz w:val="22"/>
              <w:szCs w:val="22"/>
            </w:rPr>
            <m:t>=</m:t>
          </m:r>
          <m:f>
            <m:fPr>
              <m:ctrlPr>
                <w:rPr>
                  <w:rFonts w:ascii="Cambria Math" w:eastAsiaTheme="minorEastAsia" w:hAnsi="Cambria Math" w:cs="Calibri"/>
                  <w:i/>
                  <w:kern w:val="2"/>
                  <w:sz w:val="22"/>
                  <w:szCs w:val="22"/>
                </w:rPr>
              </m:ctrlPr>
            </m:fPr>
            <m:num>
              <m:sSub>
                <m:sSubPr>
                  <m:ctrlPr>
                    <w:rPr>
                      <w:rFonts w:ascii="Cambria Math" w:eastAsiaTheme="minorEastAsia" w:hAnsi="Cambria Math" w:cs="Calibri"/>
                      <w:i/>
                      <w:kern w:val="2"/>
                      <w:sz w:val="22"/>
                      <w:szCs w:val="22"/>
                    </w:rPr>
                  </m:ctrlPr>
                </m:sSubPr>
                <m:e>
                  <m:r>
                    <w:rPr>
                      <w:rFonts w:ascii="Cambria Math" w:hAnsi="Cambria Math" w:cs="Calibri"/>
                      <w:sz w:val="22"/>
                      <w:szCs w:val="22"/>
                    </w:rPr>
                    <m:t>ES</m:t>
                  </m:r>
                </m:e>
                <m:sub>
                  <m:r>
                    <w:rPr>
                      <w:rFonts w:ascii="Cambria Math" w:hAnsi="Cambria Math" w:cs="Calibri"/>
                      <w:sz w:val="22"/>
                      <w:szCs w:val="22"/>
                    </w:rPr>
                    <m:t>i</m:t>
                  </m:r>
                </m:sub>
              </m:sSub>
            </m:num>
            <m:den>
              <m:r>
                <w:rPr>
                  <w:rFonts w:ascii="Cambria Math" w:eastAsiaTheme="minorEastAsia" w:hAnsi="Cambria Math" w:cs="Calibri"/>
                  <w:kern w:val="2"/>
                  <w:sz w:val="22"/>
                  <w:szCs w:val="22"/>
                </w:rPr>
                <m:t>l</m:t>
              </m:r>
            </m:den>
          </m:f>
          <m:r>
            <w:rPr>
              <w:rFonts w:ascii="Cambria Math" w:eastAsiaTheme="minorEastAsia" w:hAnsi="Cambria Math" w:cs="Calibri"/>
              <w:kern w:val="2"/>
              <w:sz w:val="22"/>
              <w:szCs w:val="22"/>
            </w:rPr>
            <m:t xml:space="preserve">                                                                          </m:t>
          </m:r>
          <m:r>
            <m:rPr>
              <m:sty m:val="p"/>
            </m:rPr>
            <w:rPr>
              <w:rFonts w:ascii="Cambria Math" w:hAnsi="Cambria Math" w:cs="Calibri"/>
              <w:kern w:val="2"/>
              <w:sz w:val="22"/>
              <w:szCs w:val="22"/>
            </w:rPr>
            <m:t>(7)</m:t>
          </m:r>
        </m:oMath>
      </m:oMathPara>
    </w:p>
    <w:p w14:paraId="1A46ED0B" w14:textId="77777777" w:rsidR="0031281E" w:rsidRPr="00E23C0C" w:rsidRDefault="0031281E" w:rsidP="0031281E">
      <w:pPr>
        <w:spacing w:beforeLines="50" w:before="163" w:afterLines="50" w:after="163" w:line="400" w:lineRule="exact"/>
        <w:ind w:firstLine="420"/>
        <w:rPr>
          <w:rFonts w:cs="Calibri"/>
          <w:sz w:val="22"/>
          <w:szCs w:val="22"/>
        </w:rPr>
      </w:pPr>
      <w:r w:rsidRPr="00E23C0C">
        <w:rPr>
          <w:rFonts w:cs="Calibri"/>
          <w:kern w:val="2"/>
          <w:sz w:val="22"/>
          <w:szCs w:val="22"/>
        </w:rPr>
        <w:t>Where</w:t>
      </w:r>
      <w:r w:rsidRPr="00E23C0C">
        <w:rPr>
          <w:rFonts w:cs="Calibri"/>
          <w:sz w:val="22"/>
          <w:szCs w:val="22"/>
        </w:rPr>
        <w:t xml:space="preserve">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ES</m:t>
            </m:r>
          </m:e>
          <m:sub>
            <m:r>
              <w:rPr>
                <w:rFonts w:ascii="Cambria Math" w:hAnsi="Cambria Math" w:cs="Calibri"/>
                <w:sz w:val="22"/>
                <w:szCs w:val="22"/>
              </w:rPr>
              <m:t>i</m:t>
            </m:r>
          </m:sub>
        </m:sSub>
      </m:oMath>
      <w:r w:rsidRPr="00E23C0C">
        <w:rPr>
          <w:rFonts w:cs="Calibri"/>
          <w:kern w:val="2"/>
          <w:sz w:val="22"/>
          <w:szCs w:val="22"/>
        </w:rPr>
        <w:t xml:space="preserve"> is the</w:t>
      </w:r>
      <w:r w:rsidRPr="00E23C0C">
        <w:rPr>
          <w:rFonts w:cs="Calibri"/>
          <w:sz w:val="22"/>
          <w:szCs w:val="22"/>
        </w:rPr>
        <w:t xml:space="preserve"> network effective size, and </w:t>
      </w:r>
      <m:oMath>
        <m:r>
          <w:rPr>
            <w:rFonts w:ascii="Cambria Math" w:eastAsiaTheme="minorEastAsia" w:hAnsi="Cambria Math" w:cs="Calibri"/>
            <w:kern w:val="2"/>
            <w:sz w:val="22"/>
            <w:szCs w:val="22"/>
          </w:rPr>
          <m:t>l</m:t>
        </m:r>
      </m:oMath>
      <w:r w:rsidRPr="00E23C0C">
        <w:rPr>
          <w:rFonts w:cs="Calibri"/>
          <w:kern w:val="2"/>
          <w:sz w:val="22"/>
          <w:szCs w:val="22"/>
        </w:rPr>
        <w:t xml:space="preserve"> is the number of actors that connect to government sector </w:t>
      </w:r>
      <m:oMath>
        <m:r>
          <w:rPr>
            <w:rFonts w:ascii="Cambria Math" w:eastAsiaTheme="minorEastAsia" w:hAnsi="Cambria Math" w:cs="Calibri"/>
            <w:kern w:val="2"/>
            <w:sz w:val="22"/>
            <w:szCs w:val="22"/>
          </w:rPr>
          <m:t xml:space="preserve">i. </m:t>
        </m:r>
      </m:oMath>
    </w:p>
    <w:p w14:paraId="2E00838F"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Constraint measures the extent to which node is directly and indirectly dependent on other nodes, via crisscrossing connections and the absence of structural holes (Burt, 1992). The equation 8 of network constraint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C</m:t>
            </m:r>
          </m:e>
          <m:sub>
            <m:r>
              <w:rPr>
                <w:rFonts w:ascii="Cambria Math" w:hAnsi="Cambria Math" w:cs="Calibri"/>
                <w:sz w:val="22"/>
                <w:szCs w:val="22"/>
              </w:rPr>
              <m:t>ij</m:t>
            </m:r>
          </m:sub>
        </m:sSub>
        <m:r>
          <w:rPr>
            <w:rFonts w:ascii="Cambria Math" w:eastAsiaTheme="minorEastAsia" w:hAnsi="Cambria Math" w:cs="Calibri"/>
            <w:kern w:val="2"/>
            <w:sz w:val="22"/>
            <w:szCs w:val="22"/>
          </w:rPr>
          <m:t xml:space="preserve"> </m:t>
        </m:r>
      </m:oMath>
      <w:r w:rsidRPr="00E23C0C">
        <w:rPr>
          <w:rFonts w:cs="Calibri"/>
          <w:sz w:val="22"/>
          <w:szCs w:val="22"/>
        </w:rPr>
        <w:t xml:space="preserve">is shown below (Burt, 1992): </w:t>
      </w:r>
    </w:p>
    <w:p w14:paraId="64C3C024" w14:textId="77777777" w:rsidR="0031281E" w:rsidRPr="00E23C0C" w:rsidRDefault="0031281E" w:rsidP="0031281E">
      <w:pPr>
        <w:spacing w:beforeLines="50" w:before="163" w:afterLines="50" w:after="163" w:line="400" w:lineRule="exact"/>
        <w:jc w:val="center"/>
        <w:rPr>
          <w:rFonts w:cs="Calibri"/>
          <w:sz w:val="22"/>
          <w:szCs w:val="22"/>
        </w:rPr>
      </w:pPr>
      <m:oMath>
        <m:r>
          <w:rPr>
            <w:rFonts w:ascii="Cambria Math" w:eastAsiaTheme="minorEastAsia" w:hAnsi="Cambria Math" w:cs="Calibri"/>
            <w:kern w:val="2"/>
            <w:sz w:val="22"/>
            <w:szCs w:val="22"/>
          </w:rPr>
          <m:t xml:space="preserve">                                               </m:t>
        </m:r>
        <m:sSub>
          <m:sSubPr>
            <m:ctrlPr>
              <w:rPr>
                <w:rFonts w:ascii="Cambria Math" w:eastAsiaTheme="minorEastAsia" w:hAnsi="Cambria Math" w:cs="Calibri"/>
                <w:i/>
                <w:kern w:val="2"/>
                <w:sz w:val="22"/>
                <w:szCs w:val="22"/>
              </w:rPr>
            </m:ctrlPr>
          </m:sSubPr>
          <m:e>
            <m:r>
              <w:rPr>
                <w:rFonts w:ascii="Cambria Math" w:hAnsi="Cambria Math" w:cs="Calibri"/>
                <w:sz w:val="22"/>
                <w:szCs w:val="22"/>
              </w:rPr>
              <m:t>C</m:t>
            </m:r>
          </m:e>
          <m:sub>
            <m:r>
              <w:rPr>
                <w:rFonts w:ascii="Cambria Math" w:hAnsi="Cambria Math" w:cs="Calibri"/>
                <w:sz w:val="22"/>
                <w:szCs w:val="22"/>
              </w:rPr>
              <m:t>ij</m:t>
            </m:r>
          </m:sub>
        </m:sSub>
        <m:r>
          <w:rPr>
            <w:rFonts w:ascii="Cambria Math" w:eastAsiaTheme="minorEastAsia" w:hAnsi="Cambria Math" w:cs="Calibri"/>
            <w:kern w:val="2"/>
            <w:sz w:val="22"/>
            <w:szCs w:val="22"/>
          </w:rPr>
          <m:t xml:space="preserve">= </m:t>
        </m:r>
        <m:sSup>
          <m:sSupPr>
            <m:ctrlPr>
              <w:rPr>
                <w:rFonts w:ascii="Cambria Math" w:eastAsiaTheme="minorEastAsia" w:hAnsi="Cambria Math" w:cs="Calibri"/>
                <w:i/>
                <w:kern w:val="2"/>
                <w:sz w:val="22"/>
                <w:szCs w:val="22"/>
              </w:rPr>
            </m:ctrlPr>
          </m:sSupPr>
          <m:e>
            <m:sSub>
              <m:sSubPr>
                <m:ctrlPr>
                  <w:rPr>
                    <w:rFonts w:ascii="Cambria Math" w:eastAsiaTheme="minorEastAsia" w:hAnsi="Cambria Math" w:cs="Calibri"/>
                    <w:i/>
                    <w:kern w:val="2"/>
                    <w:sz w:val="22"/>
                    <w:szCs w:val="22"/>
                  </w:rPr>
                </m:ctrlPr>
              </m:sSubPr>
              <m:e>
                <m:r>
                  <w:rPr>
                    <w:rFonts w:ascii="Cambria Math" w:hAnsi="Cambria Math" w:cs="Calibri"/>
                    <w:sz w:val="22"/>
                    <w:szCs w:val="22"/>
                  </w:rPr>
                  <m:t>(p</m:t>
                </m:r>
              </m:e>
              <m:sub>
                <m:r>
                  <w:rPr>
                    <w:rFonts w:ascii="Cambria Math" w:hAnsi="Cambria Math" w:cs="Calibri"/>
                    <w:sz w:val="22"/>
                    <w:szCs w:val="22"/>
                  </w:rPr>
                  <m:t>ij</m:t>
                </m:r>
              </m:sub>
            </m:sSub>
            <m:r>
              <w:rPr>
                <w:rFonts w:ascii="Cambria Math" w:eastAsiaTheme="minorEastAsia" w:hAnsi="Cambria Math" w:cs="Calibri"/>
                <w:kern w:val="2"/>
                <w:sz w:val="22"/>
                <w:szCs w:val="22"/>
              </w:rPr>
              <m:t>+</m:t>
            </m:r>
            <m:nary>
              <m:naryPr>
                <m:chr m:val="∑"/>
                <m:limLoc m:val="subSup"/>
                <m:ctrlPr>
                  <w:rPr>
                    <w:rFonts w:ascii="Cambria Math" w:eastAsiaTheme="minorEastAsia" w:hAnsi="Cambria Math" w:cs="Calibri"/>
                    <w:i/>
                    <w:kern w:val="2"/>
                    <w:sz w:val="22"/>
                    <w:szCs w:val="22"/>
                  </w:rPr>
                </m:ctrlPr>
              </m:naryPr>
              <m:sub>
                <m:r>
                  <w:rPr>
                    <w:rFonts w:ascii="Cambria Math" w:hAnsi="Cambria Math" w:cs="Calibri"/>
                    <w:sz w:val="22"/>
                    <w:szCs w:val="22"/>
                  </w:rPr>
                  <m:t>q</m:t>
                </m:r>
              </m:sub>
              <m:sup>
                <m:r>
                  <w:rPr>
                    <w:rFonts w:ascii="Cambria Math" w:hAnsi="Cambria Math" w:cs="Calibri"/>
                    <w:sz w:val="22"/>
                    <w:szCs w:val="22"/>
                  </w:rPr>
                  <m:t>n</m:t>
                </m:r>
              </m:sup>
              <m:e>
                <m:sSub>
                  <m:sSubPr>
                    <m:ctrlPr>
                      <w:rPr>
                        <w:rFonts w:ascii="Cambria Math" w:eastAsiaTheme="minorEastAsia" w:hAnsi="Cambria Math" w:cs="Calibri"/>
                        <w:i/>
                        <w:kern w:val="2"/>
                        <w:sz w:val="22"/>
                        <w:szCs w:val="22"/>
                      </w:rPr>
                    </m:ctrlPr>
                  </m:sSubPr>
                  <m:e>
                    <m:r>
                      <w:rPr>
                        <w:rFonts w:ascii="Cambria Math" w:hAnsi="Cambria Math" w:cs="Calibri"/>
                        <w:sz w:val="22"/>
                        <w:szCs w:val="22"/>
                      </w:rPr>
                      <m:t>p</m:t>
                    </m:r>
                  </m:e>
                  <m:sub>
                    <m:r>
                      <w:rPr>
                        <w:rFonts w:ascii="Cambria Math" w:hAnsi="Cambria Math" w:cs="Calibri"/>
                        <w:sz w:val="22"/>
                        <w:szCs w:val="22"/>
                      </w:rPr>
                      <m:t>iq</m:t>
                    </m:r>
                    <m:r>
                      <w:rPr>
                        <w:rFonts w:ascii="Cambria Math" w:eastAsiaTheme="minorEastAsia" w:hAnsi="Cambria Math" w:cs="Calibri"/>
                        <w:kern w:val="2"/>
                        <w:sz w:val="22"/>
                        <w:szCs w:val="22"/>
                      </w:rPr>
                      <m:t xml:space="preserve"> </m:t>
                    </m:r>
                  </m:sub>
                </m:sSub>
                <m:sSub>
                  <m:sSubPr>
                    <m:ctrlPr>
                      <w:rPr>
                        <w:rFonts w:ascii="Cambria Math" w:eastAsiaTheme="minorEastAsia" w:hAnsi="Cambria Math" w:cs="Calibri"/>
                        <w:i/>
                        <w:kern w:val="2"/>
                        <w:sz w:val="22"/>
                        <w:szCs w:val="22"/>
                      </w:rPr>
                    </m:ctrlPr>
                  </m:sSubPr>
                  <m:e>
                    <m:r>
                      <w:rPr>
                        <w:rFonts w:ascii="Cambria Math" w:hAnsi="Cambria Math" w:cs="Calibri"/>
                        <w:sz w:val="22"/>
                        <w:szCs w:val="22"/>
                      </w:rPr>
                      <m:t>p</m:t>
                    </m:r>
                  </m:e>
                  <m:sub>
                    <m:r>
                      <w:rPr>
                        <w:rFonts w:ascii="Cambria Math" w:hAnsi="Cambria Math" w:cs="Calibri"/>
                        <w:sz w:val="22"/>
                        <w:szCs w:val="22"/>
                      </w:rPr>
                      <m:t>jq</m:t>
                    </m:r>
                  </m:sub>
                </m:sSub>
                <m:r>
                  <w:rPr>
                    <w:rFonts w:ascii="Cambria Math" w:eastAsiaTheme="minorEastAsia" w:hAnsi="Cambria Math" w:cs="Calibri"/>
                    <w:kern w:val="2"/>
                    <w:sz w:val="22"/>
                    <w:szCs w:val="22"/>
                  </w:rPr>
                  <m:t>)</m:t>
                </m:r>
              </m:e>
            </m:nary>
          </m:e>
          <m:sup>
            <m:r>
              <w:rPr>
                <w:rFonts w:ascii="Cambria Math" w:eastAsiaTheme="minorEastAsia" w:hAnsi="Cambria Math" w:cs="Calibri"/>
                <w:kern w:val="2"/>
                <w:sz w:val="22"/>
                <w:szCs w:val="22"/>
              </w:rPr>
              <m:t>2</m:t>
            </m:r>
          </m:sup>
        </m:sSup>
        <m:r>
          <w:rPr>
            <w:rFonts w:ascii="Cambria Math" w:eastAsiaTheme="minorEastAsia" w:hAnsi="Cambria Math" w:cs="Calibri"/>
            <w:kern w:val="2"/>
            <w:sz w:val="22"/>
            <w:szCs w:val="22"/>
          </w:rPr>
          <m:t>;q</m:t>
        </m:r>
        <m:r>
          <w:rPr>
            <w:rFonts w:ascii="Cambria Math" w:eastAsiaTheme="minorEastAsia" w:hAnsi="Cambria Math" w:cs="Calibri" w:hint="eastAsia"/>
            <w:kern w:val="2"/>
            <w:sz w:val="22"/>
            <w:szCs w:val="22"/>
          </w:rPr>
          <m:t>≠</m:t>
        </m:r>
        <m:r>
          <w:rPr>
            <w:rFonts w:ascii="Cambria Math" w:eastAsiaTheme="minorEastAsia" w:hAnsi="Cambria Math" w:cs="Calibri"/>
            <w:kern w:val="2"/>
            <w:sz w:val="22"/>
            <w:szCs w:val="22"/>
          </w:rPr>
          <m:t xml:space="preserve">i, j  </m:t>
        </m:r>
      </m:oMath>
      <w:r w:rsidRPr="00E23C0C">
        <w:rPr>
          <w:rFonts w:cs="Calibri"/>
          <w:kern w:val="2"/>
          <w:sz w:val="22"/>
          <w:szCs w:val="22"/>
        </w:rPr>
        <w:t xml:space="preserve">                     (8)</w:t>
      </w:r>
    </w:p>
    <w:p w14:paraId="44AF11F3" w14:textId="77777777" w:rsidR="0031281E" w:rsidRPr="00E23C0C" w:rsidRDefault="0031281E" w:rsidP="0031281E">
      <w:pPr>
        <w:spacing w:beforeLines="50" w:before="163" w:afterLines="50" w:after="163" w:line="400" w:lineRule="exact"/>
        <w:ind w:firstLine="420"/>
        <w:rPr>
          <w:rFonts w:cs="Calibri"/>
          <w:kern w:val="2"/>
          <w:sz w:val="22"/>
          <w:szCs w:val="22"/>
        </w:rPr>
      </w:pPr>
      <w:r w:rsidRPr="00E23C0C">
        <w:rPr>
          <w:rFonts w:cs="Calibri"/>
          <w:sz w:val="22"/>
          <w:szCs w:val="22"/>
        </w:rPr>
        <w:t xml:space="preserve">Where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p</m:t>
            </m:r>
          </m:e>
          <m:sub>
            <m:r>
              <w:rPr>
                <w:rFonts w:ascii="Cambria Math" w:hAnsi="Cambria Math" w:cs="Calibri"/>
                <w:sz w:val="22"/>
                <w:szCs w:val="22"/>
              </w:rPr>
              <m:t>ij</m:t>
            </m:r>
          </m:sub>
        </m:sSub>
      </m:oMath>
      <w:r w:rsidRPr="00E23C0C">
        <w:rPr>
          <w:rFonts w:cs="Calibri"/>
          <w:kern w:val="2"/>
          <w:sz w:val="22"/>
          <w:szCs w:val="22"/>
        </w:rPr>
        <w:t xml:space="preserve"> equals the strength of direct ties from government sector </w:t>
      </w:r>
      <m:oMath>
        <m:r>
          <w:rPr>
            <w:rFonts w:ascii="Cambria Math" w:eastAsiaTheme="minorEastAsia" w:hAnsi="Cambria Math" w:cs="Calibri"/>
            <w:kern w:val="2"/>
            <w:sz w:val="22"/>
            <w:szCs w:val="22"/>
          </w:rPr>
          <m:t>i</m:t>
        </m:r>
      </m:oMath>
      <w:r w:rsidRPr="00E23C0C">
        <w:rPr>
          <w:rFonts w:cs="Calibri"/>
          <w:kern w:val="2"/>
          <w:sz w:val="22"/>
          <w:szCs w:val="22"/>
        </w:rPr>
        <w:t xml:space="preserve"> to government </w:t>
      </w:r>
      <m:oMath>
        <m:r>
          <w:rPr>
            <w:rFonts w:ascii="Cambria Math" w:hAnsi="Cambria Math" w:cs="Calibri"/>
            <w:kern w:val="2"/>
            <w:sz w:val="22"/>
            <w:szCs w:val="22"/>
          </w:rPr>
          <m:t>j</m:t>
        </m:r>
      </m:oMath>
      <w:r w:rsidRPr="00E23C0C">
        <w:rPr>
          <w:rFonts w:cs="Calibri"/>
          <w:kern w:val="2"/>
          <w:sz w:val="22"/>
          <w:szCs w:val="22"/>
        </w:rPr>
        <w:t xml:space="preserve">; </w:t>
      </w:r>
      <m:oMath>
        <m:sSub>
          <m:sSubPr>
            <m:ctrlPr>
              <w:rPr>
                <w:rFonts w:ascii="Cambria Math" w:eastAsiaTheme="minorEastAsia" w:hAnsi="Cambria Math" w:cs="Calibri"/>
                <w:i/>
                <w:kern w:val="2"/>
                <w:sz w:val="22"/>
                <w:szCs w:val="22"/>
              </w:rPr>
            </m:ctrlPr>
          </m:sSubPr>
          <m:e>
            <m:r>
              <w:rPr>
                <w:rFonts w:ascii="Cambria Math" w:hAnsi="Cambria Math" w:cs="Calibri"/>
                <w:sz w:val="22"/>
                <w:szCs w:val="22"/>
              </w:rPr>
              <m:t>p</m:t>
            </m:r>
          </m:e>
          <m:sub>
            <m:r>
              <w:rPr>
                <w:rFonts w:ascii="Cambria Math" w:hAnsi="Cambria Math" w:cs="Calibri"/>
                <w:sz w:val="22"/>
                <w:szCs w:val="22"/>
              </w:rPr>
              <m:t>iq</m:t>
            </m:r>
            <m:r>
              <w:rPr>
                <w:rFonts w:ascii="Cambria Math" w:eastAsiaTheme="minorEastAsia" w:hAnsi="Cambria Math" w:cs="Calibri"/>
                <w:kern w:val="2"/>
                <w:sz w:val="22"/>
                <w:szCs w:val="22"/>
              </w:rPr>
              <m:t xml:space="preserve"> </m:t>
            </m:r>
          </m:sub>
        </m:sSub>
        <m:sSub>
          <m:sSubPr>
            <m:ctrlPr>
              <w:rPr>
                <w:rFonts w:ascii="Cambria Math" w:eastAsiaTheme="minorEastAsia" w:hAnsi="Cambria Math" w:cs="Calibri"/>
                <w:i/>
                <w:kern w:val="2"/>
                <w:sz w:val="22"/>
                <w:szCs w:val="22"/>
              </w:rPr>
            </m:ctrlPr>
          </m:sSubPr>
          <m:e>
            <m:r>
              <w:rPr>
                <w:rFonts w:ascii="Cambria Math" w:hAnsi="Cambria Math" w:cs="Calibri"/>
                <w:sz w:val="22"/>
                <w:szCs w:val="22"/>
              </w:rPr>
              <m:t>p</m:t>
            </m:r>
          </m:e>
          <m:sub>
            <m:r>
              <w:rPr>
                <w:rFonts w:ascii="Cambria Math" w:hAnsi="Cambria Math" w:cs="Calibri"/>
                <w:sz w:val="22"/>
                <w:szCs w:val="22"/>
              </w:rPr>
              <m:t>jq</m:t>
            </m:r>
          </m:sub>
        </m:sSub>
      </m:oMath>
      <w:r w:rsidRPr="00E23C0C">
        <w:rPr>
          <w:rFonts w:cs="Calibri"/>
          <w:kern w:val="2"/>
          <w:sz w:val="22"/>
          <w:szCs w:val="22"/>
        </w:rPr>
        <w:t xml:space="preserve"> is the sum of the indirect tie strength from </w:t>
      </w:r>
      <m:oMath>
        <m:r>
          <w:rPr>
            <w:rFonts w:ascii="Cambria Math" w:eastAsiaTheme="minorEastAsia" w:hAnsi="Cambria Math" w:cs="Calibri"/>
            <w:kern w:val="2"/>
            <w:sz w:val="22"/>
            <w:szCs w:val="22"/>
          </w:rPr>
          <m:t>i</m:t>
        </m:r>
      </m:oMath>
      <w:r w:rsidRPr="00E23C0C">
        <w:rPr>
          <w:rFonts w:cs="Calibri"/>
          <w:kern w:val="2"/>
          <w:sz w:val="22"/>
          <w:szCs w:val="22"/>
        </w:rPr>
        <w:t xml:space="preserve"> to </w:t>
      </w:r>
      <m:oMath>
        <m:r>
          <w:rPr>
            <w:rFonts w:ascii="Cambria Math" w:hAnsi="Cambria Math" w:cs="Calibri"/>
            <w:kern w:val="2"/>
            <w:sz w:val="22"/>
            <w:szCs w:val="22"/>
          </w:rPr>
          <m:t>j</m:t>
        </m:r>
      </m:oMath>
      <w:r w:rsidRPr="00E23C0C">
        <w:rPr>
          <w:rFonts w:cs="Calibri"/>
          <w:i/>
          <w:iCs/>
          <w:kern w:val="2"/>
          <w:sz w:val="22"/>
          <w:szCs w:val="22"/>
        </w:rPr>
        <w:t xml:space="preserve"> </w:t>
      </w:r>
      <w:r w:rsidRPr="00E23C0C">
        <w:rPr>
          <w:rFonts w:cs="Calibri"/>
          <w:kern w:val="2"/>
          <w:sz w:val="22"/>
          <w:szCs w:val="22"/>
        </w:rPr>
        <w:t xml:space="preserve">via </w:t>
      </w:r>
      <m:oMath>
        <m:r>
          <w:rPr>
            <w:rFonts w:ascii="Cambria Math" w:hAnsi="Cambria Math" w:cs="Calibri"/>
            <w:kern w:val="2"/>
            <w:sz w:val="22"/>
            <w:szCs w:val="22"/>
          </w:rPr>
          <m:t>q</m:t>
        </m:r>
      </m:oMath>
      <w:r w:rsidRPr="00E23C0C">
        <w:rPr>
          <w:rFonts w:cs="Calibri"/>
          <w:kern w:val="2"/>
          <w:sz w:val="22"/>
          <w:szCs w:val="22"/>
        </w:rPr>
        <w:t xml:space="preserve">; </w:t>
      </w:r>
      <m:oMath>
        <m:r>
          <w:rPr>
            <w:rFonts w:ascii="Cambria Math" w:hAnsi="Cambria Math" w:cs="Calibri"/>
            <w:sz w:val="22"/>
            <w:szCs w:val="22"/>
          </w:rPr>
          <m:t>n</m:t>
        </m:r>
      </m:oMath>
      <w:r w:rsidRPr="00E23C0C">
        <w:rPr>
          <w:rFonts w:cs="Calibri"/>
          <w:sz w:val="22"/>
          <w:szCs w:val="22"/>
        </w:rPr>
        <w:t xml:space="preserve"> is the number of government sectors.</w:t>
      </w:r>
    </w:p>
    <w:p w14:paraId="0B506E33"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Table 9 shows the measurement results of structural holes at the emergency stage of post-disaster destination management. ABJ and GA have the largest effective size but the fewest constraints, revealing that they are the most non-substitutable government sectors and are situated in a bridging position. This may be linked to the significant role they play at the emergency stage: both ABJ and GA are situated at the local level, and they thus are responsible for rescue and relief activities to protect affected locals and tourists (Cretney, 2016). LRBS and TBA rank the highest in efficiency, demonstrating that they are in the most advantageous positions in exchanging information and resources. This could be due to their positions within the collaborative </w:t>
      </w:r>
      <w:proofErr w:type="gramStart"/>
      <w:r w:rsidRPr="00E23C0C">
        <w:rPr>
          <w:rFonts w:cs="Calibri"/>
          <w:sz w:val="22"/>
          <w:szCs w:val="22"/>
        </w:rPr>
        <w:t>structure as a whole, in</w:t>
      </w:r>
      <w:proofErr w:type="gramEnd"/>
      <w:r w:rsidRPr="00E23C0C">
        <w:rPr>
          <w:rFonts w:cs="Calibri"/>
          <w:sz w:val="22"/>
          <w:szCs w:val="22"/>
        </w:rPr>
        <w:t xml:space="preserve"> that both government sectors are only connected with ABJ.  </w:t>
      </w:r>
    </w:p>
    <w:p w14:paraId="27A0429E"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Table 10 shows the results of structural holes of intergovernmental collaboration at the intermediate stage of post-disaster destination management. ABJ and DRCS are the top two in effective size ranking as well as having the lowest constraint values, which suggests that both ABJ and DRCS play the non-substitutable roles at this stage. It is also the easiest for them to link with other sectors. DRCS is an emerging sector within the collaborative structure at this stage. Its prominent role is partly in accordance with the focus on tourism planning during this </w:t>
      </w:r>
      <w:r w:rsidRPr="00E23C0C">
        <w:rPr>
          <w:rFonts w:cs="Calibri"/>
          <w:sz w:val="22"/>
          <w:szCs w:val="22"/>
        </w:rPr>
        <w:lastRenderedPageBreak/>
        <w:t xml:space="preserve">stage of the post-disaster destination development. GEBS and SMBS have the highest efficiency scores, meaning that they can mostly impact other government sectors at this destination management stage. One of the main tasks at the intermediate stage is to assess and monitor the damaged environment (Ritchie, 2004). Thus, these two government sectors that are responsible for environmental protection and monitoring are the most influential within the collaboration. </w:t>
      </w:r>
    </w:p>
    <w:p w14:paraId="4A2861B1"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Table 11 shows the structural holes results of intergovernmental collaboration at the long-term recovery stage. ABJ and GA are the two highest in effective size ranking, denoting that both have more non-redundancy ties, enabling them to span across other government sectors. ABJ and DRCA have the lowest constraint values, and hence are in the most advantageous position in information flow from multiple channels. Most resources required for the long-term recovery </w:t>
      </w:r>
      <w:proofErr w:type="gramStart"/>
      <w:r w:rsidRPr="00E23C0C">
        <w:rPr>
          <w:rFonts w:cs="Calibri"/>
          <w:sz w:val="22"/>
          <w:szCs w:val="22"/>
        </w:rPr>
        <w:t>have to</w:t>
      </w:r>
      <w:proofErr w:type="gramEnd"/>
      <w:r w:rsidRPr="00E23C0C">
        <w:rPr>
          <w:rFonts w:cs="Calibri"/>
          <w:sz w:val="22"/>
          <w:szCs w:val="22"/>
        </w:rPr>
        <w:t xml:space="preserve"> pass through these government sectors. NCD, EMOA, DFA, OLRS, BGMRS, and ABS have the highest efficiency values, showing that these government sectors have the most ties with other government sectors. However, they are also the most constrained sectors within the collaboration structure and so are likely to face hierarchical obstacles. These results indicate that government sectors cross functional, geographical and hierarchical boundaries are inclusively situated within the collaboration through political agreement, concessions and compromise. The results also show that the collaboration develops hierarchically at this stage, as government sectors at the provincial and local levels are driven by hierarchical power to operate long-term recovery activities for destination management. </w:t>
      </w:r>
    </w:p>
    <w:p w14:paraId="0A38A948" w14:textId="77777777" w:rsidR="0031281E" w:rsidRPr="00E23C0C" w:rsidRDefault="0031281E" w:rsidP="0031281E">
      <w:pPr>
        <w:spacing w:beforeLines="50" w:before="163" w:afterLines="50" w:after="163" w:line="400" w:lineRule="exact"/>
        <w:jc w:val="both"/>
        <w:rPr>
          <w:rFonts w:cs="Calibri"/>
          <w:b/>
          <w:sz w:val="28"/>
          <w:szCs w:val="28"/>
        </w:rPr>
      </w:pPr>
      <w:r w:rsidRPr="00E23C0C">
        <w:rPr>
          <w:rFonts w:cs="Calibri"/>
          <w:b/>
          <w:sz w:val="28"/>
          <w:szCs w:val="28"/>
        </w:rPr>
        <w:t>5 Discussions and conclusion</w:t>
      </w:r>
    </w:p>
    <w:p w14:paraId="3AC2EACD" w14:textId="77777777" w:rsidR="0031281E" w:rsidRPr="00E23C0C" w:rsidRDefault="0031281E" w:rsidP="0031281E">
      <w:pPr>
        <w:spacing w:beforeLines="50" w:before="163" w:afterLines="50" w:after="163" w:line="400" w:lineRule="exact"/>
        <w:ind w:firstLine="420"/>
        <w:jc w:val="both"/>
        <w:rPr>
          <w:rFonts w:cs="Calibri"/>
          <w:sz w:val="22"/>
          <w:szCs w:val="22"/>
          <w:lang w:val="en-US"/>
        </w:rPr>
      </w:pPr>
      <w:r w:rsidRPr="00E23C0C">
        <w:rPr>
          <w:rFonts w:cs="Calibri"/>
          <w:sz w:val="22"/>
          <w:szCs w:val="22"/>
        </w:rPr>
        <w:t xml:space="preserve">The study, taking </w:t>
      </w:r>
      <w:proofErr w:type="spellStart"/>
      <w:r w:rsidRPr="00E23C0C">
        <w:rPr>
          <w:rFonts w:cs="Calibri"/>
          <w:sz w:val="22"/>
          <w:szCs w:val="22"/>
        </w:rPr>
        <w:t>Jiuzhaigou</w:t>
      </w:r>
      <w:proofErr w:type="spellEnd"/>
      <w:r w:rsidRPr="00E23C0C">
        <w:rPr>
          <w:rFonts w:cs="Calibri"/>
          <w:sz w:val="22"/>
          <w:szCs w:val="22"/>
        </w:rPr>
        <w:t xml:space="preserve"> National Park as the case, employed network analysis to explore the changing dynamics of intergovernmental collaboration that occur throughout the whole process of post-disaster destination management. Intergovernmental collaboration is a joint response that extends across the national, provincial and local government levels in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 At the emergency stage of post-disaster destination management, intergovernmental collaboration relies heavily on hierarchical collaboration. Higher level government sectors, featured with stronger supportive capabilities, provide diversified resources for local government to implement rescue activities and protect locals and tourists. At the intermediate and long-term recovery stages of post-disaster destination management, intergovernmental collaboration is dominated by hierarchical collaboration. However, horizontal interactions play a significant </w:t>
      </w:r>
      <w:r w:rsidRPr="00E23C0C">
        <w:rPr>
          <w:rFonts w:cs="Calibri"/>
          <w:sz w:val="22"/>
          <w:szCs w:val="22"/>
        </w:rPr>
        <w:lastRenderedPageBreak/>
        <w:t>role in mobilising resources and coordinating post-disaster destination management activities at the intermediate and long-term recovery stages.</w:t>
      </w:r>
    </w:p>
    <w:p w14:paraId="62B6846D"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Throughout the whole process of post-disaster destination management, intergovernmental collaboration develops both hierarchically and horizontally to promote the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 but it is largely dominated by hierarchical collaboration. As mentioned in the network visualisation and clique analysis sections, higher level governments use their central position to facilitate connectivity across the collaboration and dominate the collaborative mode at all the three stages. Our results also suggest that intergovernmental collaboration is primarily based on intergovernmental hierarchies established and maintained in post-disaster destination management. This is in line with the argument advanced by Tang et al. (2017) which claims that, in the context of Chinese centralised political-administrative structure, hierarchical collaboration is the traditional approach employed in response to post-disaster destination management challenges. During the emergency, intermediate and long-term recovery stages, the participation of local government bodies is required, but working together with higher level government sectors in the intergovernmental collaboration. Such hierarchical intervention can prevent the fragmentation of local authorities and facilitate wider collaboration that goes beyond functional and institutional boundaries in post-disaster destination management (Liu-</w:t>
      </w:r>
      <w:proofErr w:type="spellStart"/>
      <w:r w:rsidRPr="00E23C0C">
        <w:rPr>
          <w:rFonts w:cs="Calibri"/>
          <w:sz w:val="22"/>
          <w:szCs w:val="22"/>
        </w:rPr>
        <w:t>Lastres</w:t>
      </w:r>
      <w:proofErr w:type="spellEnd"/>
      <w:r w:rsidRPr="00E23C0C">
        <w:rPr>
          <w:rFonts w:cs="Calibri"/>
          <w:sz w:val="22"/>
          <w:szCs w:val="22"/>
        </w:rPr>
        <w:t xml:space="preserve"> et al., 2020).</w:t>
      </w:r>
    </w:p>
    <w:p w14:paraId="0F032E28" w14:textId="528DACDF"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As the post-disaster destination management develops, especially during the intermediate and long-term recovery stages, local government sectors progressively play a lubricating role in the intergovernmental collaboration, and horizontal collaboration becomes increasingly significant. Our findings obtained from the analysis of centrality and structural holes reveal that municipal and district government sectors are the dominant actors in facilitating the functioning of intergovernmental collaboration. The principal government sectors at the local level, such as ABJ, GJ and GA, establish collaborative relationships with other government sectors at the same level to integrate their resources and capabilities for more effective destination management after disasters. The central position of local government sectors affects the flow of information/resources, the direction and speed, and the functioning of intergovernmental collaboration in achieving post-disaster management goals. </w:t>
      </w:r>
      <w:proofErr w:type="gramStart"/>
      <w:r w:rsidRPr="00E23C0C">
        <w:rPr>
          <w:rFonts w:cs="Calibri"/>
          <w:sz w:val="22"/>
          <w:szCs w:val="22"/>
        </w:rPr>
        <w:t>In particular, intergovernmental</w:t>
      </w:r>
      <w:proofErr w:type="gramEnd"/>
      <w:r w:rsidRPr="00E23C0C">
        <w:rPr>
          <w:rFonts w:cs="Calibri"/>
          <w:sz w:val="22"/>
          <w:szCs w:val="22"/>
        </w:rPr>
        <w:t xml:space="preserve"> collaboration mainly functions through the interconnections between the administration bureau of </w:t>
      </w:r>
      <w:proofErr w:type="spellStart"/>
      <w:r w:rsidRPr="00E23C0C">
        <w:rPr>
          <w:rFonts w:cs="Calibri"/>
          <w:sz w:val="22"/>
          <w:szCs w:val="22"/>
        </w:rPr>
        <w:t>Jiuzhaigou</w:t>
      </w:r>
      <w:proofErr w:type="spellEnd"/>
      <w:r w:rsidRPr="00E23C0C">
        <w:rPr>
          <w:rFonts w:cs="Calibri"/>
          <w:sz w:val="22"/>
          <w:szCs w:val="22"/>
        </w:rPr>
        <w:t xml:space="preserve"> National Park and other actors. ABJ is situated in the most advantageous position in controlling resource allocation, deciding where to direct efforts, and facilitating coordination between government sectors. </w:t>
      </w:r>
      <w:r w:rsidRPr="00E23C0C">
        <w:rPr>
          <w:rFonts w:cs="Calibri"/>
          <w:sz w:val="22"/>
          <w:szCs w:val="22"/>
        </w:rPr>
        <w:lastRenderedPageBreak/>
        <w:t xml:space="preserve">In addition, as discussed in the clique section, horizontal collaboration becomes more dominant as post-disaster destination management develops. Building on the existing literature that emphasises the functions of higher-level government sectors in the Chinese context in post-disaster destination management (Ge et al., 2010; Guo, 2012; Xu </w:t>
      </w:r>
      <w:r w:rsidR="002C4977" w:rsidRPr="00E23C0C">
        <w:rPr>
          <w:rFonts w:cs="Calibri"/>
          <w:sz w:val="22"/>
          <w:szCs w:val="22"/>
        </w:rPr>
        <w:t>&amp;</w:t>
      </w:r>
      <w:r w:rsidRPr="00E23C0C">
        <w:rPr>
          <w:rFonts w:cs="Calibri"/>
          <w:sz w:val="22"/>
          <w:szCs w:val="22"/>
        </w:rPr>
        <w:t xml:space="preserve"> Lu, 2013), our findings provide a greater understanding of the bridging role played by local government sectors and the significance of horizontal collaboration to destination management activities in response to post-disaster challenges. </w:t>
      </w:r>
    </w:p>
    <w:p w14:paraId="080E5EDF" w14:textId="5CE5AF82"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These findings provide more insights into intergovernmental collaboration in comprehensive post-disaster destination management. Building on the lifecycle model of post-disaster destination management (Chan et al., 2019</w:t>
      </w:r>
      <w:r w:rsidR="002C4977" w:rsidRPr="00E23C0C">
        <w:rPr>
          <w:rFonts w:cs="Calibri"/>
          <w:sz w:val="22"/>
          <w:szCs w:val="22"/>
          <w:lang w:val="en-US"/>
        </w:rPr>
        <w:t xml:space="preserve">; </w:t>
      </w:r>
      <w:r w:rsidR="002C4977" w:rsidRPr="00E23C0C">
        <w:rPr>
          <w:rFonts w:cs="Calibri"/>
          <w:sz w:val="22"/>
          <w:szCs w:val="22"/>
        </w:rPr>
        <w:t>Faulkner, 2001; Ritchie, 2004</w:t>
      </w:r>
      <w:r w:rsidRPr="00E23C0C">
        <w:rPr>
          <w:rFonts w:cs="Calibri"/>
          <w:sz w:val="22"/>
          <w:szCs w:val="22"/>
        </w:rPr>
        <w:t xml:space="preserve">), this study expands the understanding of the changing dynamics of intergovernmental collaboration in response to disaster challenges. Findings showed in the case of </w:t>
      </w:r>
      <w:proofErr w:type="spellStart"/>
      <w:r w:rsidRPr="00E23C0C">
        <w:rPr>
          <w:rFonts w:cs="Calibri"/>
          <w:sz w:val="22"/>
          <w:szCs w:val="22"/>
        </w:rPr>
        <w:t>Jiuzhaigou</w:t>
      </w:r>
      <w:proofErr w:type="spellEnd"/>
      <w:r w:rsidRPr="00E23C0C">
        <w:rPr>
          <w:rFonts w:cs="Calibri"/>
          <w:sz w:val="22"/>
          <w:szCs w:val="22"/>
        </w:rPr>
        <w:t xml:space="preserve"> National Park contribute to post-disaster destination management knowledge. This can be regarded as a reference for other tourist destination management. Results derived from this study highlight the changing dynamics intergovernmental collaboration throughout the whole process of post-disaster destination management. In the whole process of post-disaster tourism destination management, due to the focus change of tourism destination management at different stages, government sectors at all levels interact with each other in different ways. These findings add more insights into past studies that only concentrate on static characteristics of intergovernmental collaboration in all stages of post-disaster destination management (Amore </w:t>
      </w:r>
      <w:r w:rsidR="002C4977" w:rsidRPr="00E23C0C">
        <w:rPr>
          <w:rFonts w:cs="Calibri"/>
          <w:sz w:val="22"/>
          <w:szCs w:val="22"/>
        </w:rPr>
        <w:t>&amp;</w:t>
      </w:r>
      <w:r w:rsidRPr="00E23C0C">
        <w:rPr>
          <w:rFonts w:cs="Calibri"/>
          <w:sz w:val="22"/>
          <w:szCs w:val="22"/>
        </w:rPr>
        <w:t xml:space="preserve"> Hall, 2016; </w:t>
      </w:r>
      <w:r w:rsidR="002C4977" w:rsidRPr="00E23C0C">
        <w:rPr>
          <w:rFonts w:cs="Calibri"/>
          <w:sz w:val="22"/>
          <w:szCs w:val="22"/>
        </w:rPr>
        <w:t xml:space="preserve">Hall, 2009; </w:t>
      </w:r>
      <w:r w:rsidRPr="00E23C0C">
        <w:rPr>
          <w:rFonts w:cs="Calibri"/>
          <w:sz w:val="22"/>
          <w:szCs w:val="22"/>
        </w:rPr>
        <w:t xml:space="preserve">Jiang </w:t>
      </w:r>
      <w:r w:rsidR="002C4977" w:rsidRPr="00E23C0C">
        <w:rPr>
          <w:rFonts w:cs="Calibri"/>
          <w:sz w:val="22"/>
          <w:szCs w:val="22"/>
        </w:rPr>
        <w:t>&amp;</w:t>
      </w:r>
      <w:r w:rsidRPr="00E23C0C">
        <w:rPr>
          <w:rFonts w:cs="Calibri"/>
          <w:sz w:val="22"/>
          <w:szCs w:val="22"/>
        </w:rPr>
        <w:t xml:space="preserve"> Ritchie, 2017). Besides that, intergovernmental collaboration in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 is hybrid in the Chinese centralised political-administrative structure, with an interdependence between hierarchical collaboration and horizontal interactions. This hybrid is not mutually exclusive, but complementary throughout the whole process of post-disaster destination management. This outcome contributes to the existing studies on hierarchical or horizontal collaboration in post-disaster destination management (Larsen et al., 2011</w:t>
      </w:r>
      <w:r w:rsidR="002C4977" w:rsidRPr="00E23C0C">
        <w:rPr>
          <w:rFonts w:cs="Calibri"/>
          <w:sz w:val="22"/>
          <w:szCs w:val="22"/>
        </w:rPr>
        <w:t>; Whitehead, 2003</w:t>
      </w:r>
      <w:r w:rsidRPr="00E23C0C">
        <w:rPr>
          <w:rFonts w:cs="Calibri"/>
          <w:sz w:val="22"/>
          <w:szCs w:val="22"/>
        </w:rPr>
        <w:t xml:space="preserve">). In the case of </w:t>
      </w:r>
      <w:proofErr w:type="spellStart"/>
      <w:r w:rsidRPr="00E23C0C">
        <w:rPr>
          <w:rFonts w:cs="Calibri"/>
          <w:sz w:val="22"/>
          <w:szCs w:val="22"/>
        </w:rPr>
        <w:t>Jiuzhaigou</w:t>
      </w:r>
      <w:proofErr w:type="spellEnd"/>
      <w:r w:rsidRPr="00E23C0C">
        <w:rPr>
          <w:rFonts w:cs="Calibri"/>
          <w:sz w:val="22"/>
          <w:szCs w:val="22"/>
        </w:rPr>
        <w:t xml:space="preserve"> National Park, </w:t>
      </w:r>
      <w:r w:rsidRPr="00E23C0C">
        <w:rPr>
          <w:rFonts w:cs="Calibri" w:hint="eastAsia"/>
          <w:sz w:val="22"/>
          <w:szCs w:val="22"/>
        </w:rPr>
        <w:t>d</w:t>
      </w:r>
      <w:r w:rsidRPr="00E23C0C">
        <w:rPr>
          <w:rFonts w:cs="Calibri"/>
          <w:sz w:val="22"/>
          <w:szCs w:val="22"/>
        </w:rPr>
        <w:t xml:space="preserve">ue to the different time pressure, control degree and event intensity in different management stages, post-disaster destination management has a strong complexity. This complexity </w:t>
      </w:r>
      <w:r w:rsidRPr="00E23C0C">
        <w:rPr>
          <w:rFonts w:cs="Calibri"/>
          <w:sz w:val="22"/>
          <w:szCs w:val="22"/>
          <w:lang w:val="en-US"/>
        </w:rPr>
        <w:t>leads to more demanding strategic management responses of post-disaster destination management, which thus requires the combination of both types of intergovernmental collaboration.</w:t>
      </w:r>
      <w:r w:rsidRPr="00E23C0C">
        <w:rPr>
          <w:rFonts w:cs="Calibri"/>
          <w:sz w:val="22"/>
          <w:szCs w:val="22"/>
        </w:rPr>
        <w:t xml:space="preserve"> Understanding post-disaster destination management, their lifecycle and potential impacts and actions can help us to develop </w:t>
      </w:r>
      <w:r w:rsidRPr="00E23C0C">
        <w:rPr>
          <w:rFonts w:cs="Calibri"/>
          <w:sz w:val="22"/>
          <w:szCs w:val="22"/>
        </w:rPr>
        <w:lastRenderedPageBreak/>
        <w:t xml:space="preserve">collaborative strategies by multi-level government sectors, as well as coping with destination management incidents after disasters. </w:t>
      </w:r>
    </w:p>
    <w:p w14:paraId="2A5A362E" w14:textId="77777777" w:rsidR="0031281E" w:rsidRPr="00E23C0C" w:rsidRDefault="0031281E" w:rsidP="0031281E">
      <w:pPr>
        <w:spacing w:beforeLines="50" w:before="163" w:afterLines="50" w:after="163" w:line="400" w:lineRule="exact"/>
        <w:jc w:val="both"/>
        <w:rPr>
          <w:rFonts w:cs="Calibri"/>
          <w:b/>
          <w:sz w:val="28"/>
          <w:szCs w:val="28"/>
        </w:rPr>
      </w:pPr>
      <w:r w:rsidRPr="00E23C0C">
        <w:rPr>
          <w:rFonts w:cs="Calibri"/>
          <w:b/>
          <w:sz w:val="28"/>
          <w:szCs w:val="28"/>
        </w:rPr>
        <w:t>6 Limitation and implications</w:t>
      </w:r>
    </w:p>
    <w:p w14:paraId="61DD39C8"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This study has some limitations. Firstly, the study only discusses the intergovernmental collaboration between government sectors. As other participating actors such as NGOs, local entrepreneurs, etc., have the potential to engage in post-disaster destination management (</w:t>
      </w:r>
      <w:proofErr w:type="spellStart"/>
      <w:r w:rsidRPr="00E23C0C">
        <w:rPr>
          <w:rFonts w:cs="Calibri"/>
          <w:sz w:val="22"/>
          <w:szCs w:val="22"/>
        </w:rPr>
        <w:t>Ireni</w:t>
      </w:r>
      <w:proofErr w:type="spellEnd"/>
      <w:r w:rsidRPr="00E23C0C">
        <w:rPr>
          <w:rFonts w:cs="Calibri"/>
          <w:sz w:val="22"/>
          <w:szCs w:val="22"/>
        </w:rPr>
        <w:t xml:space="preserve">, 2014), future research could focus on the collaboration among these stakeholders and Secondly, given that horizontal collaboration is inevitable in the Chinese context, future research could examine the benefits and drawbacks of the horizontal governmental approach to post-disaster destination management in China. Despite the establishment of a hierarchical order, more discussion regarding unconventional and non-horizontal approaches can be conducted. Thirdly, this study only presents the network </w:t>
      </w:r>
      <w:r w:rsidRPr="00E23C0C">
        <w:rPr>
          <w:rFonts w:cs="Calibri" w:hint="eastAsia"/>
          <w:sz w:val="22"/>
          <w:szCs w:val="22"/>
        </w:rPr>
        <w:t>land</w:t>
      </w:r>
      <w:r w:rsidRPr="00E23C0C">
        <w:rPr>
          <w:rFonts w:cs="Calibri"/>
          <w:sz w:val="22"/>
          <w:szCs w:val="22"/>
          <w:lang w:val="en-US"/>
        </w:rPr>
        <w:t>scape</w:t>
      </w:r>
      <w:r w:rsidRPr="00E23C0C">
        <w:rPr>
          <w:rFonts w:cs="Calibri"/>
          <w:sz w:val="22"/>
          <w:szCs w:val="22"/>
        </w:rPr>
        <w:t xml:space="preserve"> of intergovernmental collaboration in the post-disaster management based on the text data collected from official government websites. To a certain extent, there is a lack of detailed analysis of internal data at multi-level government sectors in post-disaster destination management. Thus, future research can adopt a mixed-methods approach, such as integrating the data generated by interviewing with different level governments into network analysis, to have more insights into </w:t>
      </w:r>
      <w:r w:rsidRPr="00E23C0C">
        <w:rPr>
          <w:rFonts w:cs="Calibri"/>
          <w:sz w:val="22"/>
          <w:szCs w:val="22"/>
          <w:shd w:val="clear" w:color="auto" w:fill="FFFFFF"/>
        </w:rPr>
        <w:t>the internal working structure of intergovernmental collaboration.</w:t>
      </w:r>
    </w:p>
    <w:p w14:paraId="7EFE9AE6" w14:textId="77777777" w:rsidR="0031281E" w:rsidRPr="00E23C0C" w:rsidRDefault="0031281E" w:rsidP="0031281E">
      <w:pPr>
        <w:spacing w:beforeLines="50" w:before="163" w:afterLines="50" w:after="163" w:line="400" w:lineRule="exact"/>
        <w:ind w:firstLine="420"/>
        <w:jc w:val="both"/>
        <w:rPr>
          <w:rFonts w:cs="Calibri"/>
          <w:sz w:val="22"/>
          <w:szCs w:val="22"/>
        </w:rPr>
      </w:pPr>
      <w:r w:rsidRPr="00E23C0C">
        <w:rPr>
          <w:rFonts w:cs="Calibri"/>
          <w:sz w:val="22"/>
          <w:szCs w:val="22"/>
        </w:rPr>
        <w:t xml:space="preserve">Despite the limitations outlined above, </w:t>
      </w:r>
      <w:r w:rsidRPr="00E23C0C">
        <w:rPr>
          <w:rFonts w:cs="Calibri"/>
          <w:sz w:val="22"/>
          <w:szCs w:val="22"/>
          <w:shd w:val="clear" w:color="auto" w:fill="FFFFFF"/>
        </w:rPr>
        <w:t xml:space="preserve">intergovernmental collaboration was extremely important throughout the process of the post-disaster management of </w:t>
      </w:r>
      <w:proofErr w:type="spellStart"/>
      <w:r w:rsidRPr="00E23C0C">
        <w:rPr>
          <w:rFonts w:cs="Calibri"/>
          <w:sz w:val="22"/>
          <w:szCs w:val="22"/>
        </w:rPr>
        <w:t>Jiuzhaigou</w:t>
      </w:r>
      <w:proofErr w:type="spellEnd"/>
      <w:r w:rsidRPr="00E23C0C">
        <w:rPr>
          <w:rFonts w:cs="Calibri"/>
          <w:sz w:val="22"/>
          <w:szCs w:val="22"/>
        </w:rPr>
        <w:t xml:space="preserve"> National Park,</w:t>
      </w:r>
      <w:r w:rsidRPr="00E23C0C">
        <w:rPr>
          <w:rFonts w:cs="Calibri"/>
          <w:sz w:val="22"/>
          <w:szCs w:val="22"/>
          <w:shd w:val="clear" w:color="auto" w:fill="FFFFFF"/>
        </w:rPr>
        <w:t xml:space="preserve"> and hence it can clearly be seen to</w:t>
      </w:r>
      <w:r w:rsidRPr="00E23C0C">
        <w:rPr>
          <w:rFonts w:cs="Calibri"/>
          <w:sz w:val="22"/>
          <w:szCs w:val="22"/>
        </w:rPr>
        <w:t xml:space="preserve"> play a fundamental role in post-disaster destination management. </w:t>
      </w:r>
      <w:r w:rsidRPr="00E23C0C">
        <w:rPr>
          <w:rFonts w:cs="Calibri"/>
          <w:sz w:val="22"/>
          <w:szCs w:val="22"/>
          <w:shd w:val="clear" w:color="auto" w:fill="FFFFFF"/>
        </w:rPr>
        <w:t xml:space="preserve">Thus, intergovernmental collaboration should be established and developed to promote post-disaster destination </w:t>
      </w:r>
      <w:proofErr w:type="gramStart"/>
      <w:r w:rsidRPr="00E23C0C">
        <w:rPr>
          <w:rFonts w:cs="Calibri"/>
          <w:sz w:val="22"/>
          <w:szCs w:val="22"/>
          <w:shd w:val="clear" w:color="auto" w:fill="FFFFFF"/>
        </w:rPr>
        <w:t>management, and</w:t>
      </w:r>
      <w:proofErr w:type="gramEnd"/>
      <w:r w:rsidRPr="00E23C0C">
        <w:rPr>
          <w:rFonts w:cs="Calibri"/>
          <w:sz w:val="22"/>
          <w:szCs w:val="22"/>
          <w:shd w:val="clear" w:color="auto" w:fill="FFFFFF"/>
        </w:rPr>
        <w:t xml:space="preserve"> could take one of two forms. In the first, higher-level government sectors can be incorporated into intergovernmental collaboration </w:t>
      </w:r>
      <w:proofErr w:type="gramStart"/>
      <w:r w:rsidRPr="00E23C0C">
        <w:rPr>
          <w:rFonts w:cs="Calibri"/>
          <w:sz w:val="22"/>
          <w:szCs w:val="22"/>
          <w:shd w:val="clear" w:color="auto" w:fill="FFFFFF"/>
        </w:rPr>
        <w:t>in order to</w:t>
      </w:r>
      <w:proofErr w:type="gramEnd"/>
      <w:r w:rsidRPr="00E23C0C">
        <w:rPr>
          <w:rFonts w:cs="Calibri"/>
          <w:sz w:val="22"/>
          <w:szCs w:val="22"/>
          <w:shd w:val="clear" w:color="auto" w:fill="FFFFFF"/>
        </w:rPr>
        <w:t xml:space="preserve"> res</w:t>
      </w:r>
      <w:r w:rsidRPr="00E23C0C">
        <w:rPr>
          <w:rFonts w:cs="Calibri"/>
          <w:sz w:val="22"/>
          <w:szCs w:val="22"/>
        </w:rPr>
        <w:t xml:space="preserve">olve post-disaster destination management issues. </w:t>
      </w:r>
      <w:r w:rsidRPr="00E23C0C">
        <w:rPr>
          <w:rFonts w:cs="Calibri"/>
          <w:sz w:val="22"/>
          <w:szCs w:val="22"/>
          <w:shd w:val="clear" w:color="auto" w:fill="FFFFFF"/>
        </w:rPr>
        <w:t xml:space="preserve">More specifically, </w:t>
      </w:r>
      <w:r w:rsidRPr="00E23C0C">
        <w:rPr>
          <w:rFonts w:cs="Calibri"/>
          <w:sz w:val="22"/>
          <w:szCs w:val="22"/>
        </w:rPr>
        <w:t xml:space="preserve">higher level government sectors can engage in post-disaster destination management by providing more supportive resources for local government bodies. In the second, as local governments play an increasingly important role in coordinating post disaster response activities, national and provincial governments can decentralise power and give more power to local governments, especially in the context of Chinese centralised political and administrative structure. Thus, local governments with extensive local knowledge are in a favourable position in terms of intergovernmental cooperation, and hence could enable post-disaster destination management to operate more effectively. </w:t>
      </w:r>
    </w:p>
    <w:p w14:paraId="08896351" w14:textId="77777777" w:rsidR="0031281E" w:rsidRPr="00E23C0C" w:rsidRDefault="0031281E" w:rsidP="0031281E">
      <w:pPr>
        <w:spacing w:beforeLines="50" w:before="163" w:afterLines="50" w:after="163" w:line="400" w:lineRule="exact"/>
        <w:jc w:val="both"/>
        <w:rPr>
          <w:rFonts w:cs="Calibri"/>
          <w:b/>
          <w:sz w:val="28"/>
          <w:szCs w:val="28"/>
        </w:rPr>
      </w:pPr>
      <w:r w:rsidRPr="00E23C0C">
        <w:rPr>
          <w:rFonts w:cs="Calibri"/>
          <w:b/>
          <w:sz w:val="28"/>
          <w:szCs w:val="28"/>
        </w:rPr>
        <w:lastRenderedPageBreak/>
        <w:t>References</w:t>
      </w:r>
    </w:p>
    <w:p w14:paraId="19B3D459" w14:textId="77777777" w:rsidR="0031281E" w:rsidRPr="00E23C0C" w:rsidRDefault="0031281E" w:rsidP="0031281E">
      <w:pPr>
        <w:ind w:left="720" w:hanging="720"/>
        <w:jc w:val="both"/>
        <w:rPr>
          <w:rFonts w:cs="Calibri"/>
          <w:sz w:val="22"/>
          <w:szCs w:val="22"/>
        </w:rPr>
      </w:pPr>
      <w:proofErr w:type="spellStart"/>
      <w:r w:rsidRPr="00E23C0C">
        <w:rPr>
          <w:rFonts w:cs="Calibri"/>
          <w:sz w:val="22"/>
          <w:szCs w:val="22"/>
        </w:rPr>
        <w:t>Alsamadani</w:t>
      </w:r>
      <w:proofErr w:type="spellEnd"/>
      <w:r w:rsidRPr="00E23C0C">
        <w:rPr>
          <w:rFonts w:cs="Calibri"/>
          <w:sz w:val="22"/>
          <w:szCs w:val="22"/>
        </w:rPr>
        <w:t xml:space="preserve">, R., Hallowell, M., &amp; </w:t>
      </w:r>
      <w:proofErr w:type="spellStart"/>
      <w:r w:rsidRPr="00E23C0C">
        <w:rPr>
          <w:rFonts w:cs="Calibri"/>
          <w:sz w:val="22"/>
          <w:szCs w:val="22"/>
        </w:rPr>
        <w:t>Javernick</w:t>
      </w:r>
      <w:proofErr w:type="spellEnd"/>
      <w:r w:rsidRPr="00E23C0C">
        <w:rPr>
          <w:rFonts w:cs="Calibri"/>
          <w:sz w:val="22"/>
          <w:szCs w:val="22"/>
        </w:rPr>
        <w:t>-Will, A. N. (2013). Measuring and modelling safety communication in small work crews in the US using social network analysis. </w:t>
      </w:r>
      <w:r w:rsidRPr="00E23C0C">
        <w:rPr>
          <w:rFonts w:cs="Calibri"/>
          <w:i/>
          <w:iCs/>
          <w:sz w:val="22"/>
          <w:szCs w:val="22"/>
        </w:rPr>
        <w:t>Construction Management and Economics, 31</w:t>
      </w:r>
      <w:r w:rsidRPr="00E23C0C">
        <w:rPr>
          <w:rFonts w:cs="Calibri"/>
          <w:sz w:val="22"/>
          <w:szCs w:val="22"/>
        </w:rPr>
        <w:t>(6), 568-579.</w:t>
      </w:r>
    </w:p>
    <w:p w14:paraId="22E61D78"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Amore, A., &amp; Hall, C. M. (2016). From governance to meta-governance in tourism? Re-incorporating politics, interests and values in the analysis of tourism governance. </w:t>
      </w:r>
      <w:r w:rsidRPr="00E23C0C">
        <w:rPr>
          <w:rFonts w:cs="Calibri"/>
          <w:i/>
          <w:noProof/>
          <w:sz w:val="22"/>
          <w:szCs w:val="22"/>
        </w:rPr>
        <w:t>Tourism Recreation Research, 41</w:t>
      </w:r>
      <w:r w:rsidRPr="00E23C0C">
        <w:rPr>
          <w:rFonts w:cs="Calibri"/>
          <w:noProof/>
          <w:sz w:val="22"/>
          <w:szCs w:val="22"/>
        </w:rPr>
        <w:t>(2), 109-122.</w:t>
      </w:r>
    </w:p>
    <w:p w14:paraId="710554D7" w14:textId="77777777" w:rsidR="0031281E" w:rsidRPr="00E23C0C" w:rsidRDefault="0031281E" w:rsidP="0031281E">
      <w:pPr>
        <w:ind w:left="720" w:hanging="720"/>
        <w:jc w:val="both"/>
        <w:rPr>
          <w:rFonts w:cs="Calibri"/>
          <w:sz w:val="22"/>
          <w:szCs w:val="22"/>
        </w:rPr>
      </w:pPr>
      <w:proofErr w:type="spellStart"/>
      <w:r w:rsidRPr="00E23C0C">
        <w:rPr>
          <w:rFonts w:cs="Calibri"/>
          <w:sz w:val="22"/>
          <w:szCs w:val="22"/>
        </w:rPr>
        <w:t>Amujo</w:t>
      </w:r>
      <w:proofErr w:type="spellEnd"/>
      <w:r w:rsidRPr="00E23C0C">
        <w:rPr>
          <w:rFonts w:cs="Calibri"/>
          <w:sz w:val="22"/>
          <w:szCs w:val="22"/>
        </w:rPr>
        <w:t xml:space="preserve">, O. C., &amp; </w:t>
      </w:r>
      <w:proofErr w:type="spellStart"/>
      <w:r w:rsidRPr="00E23C0C">
        <w:rPr>
          <w:rFonts w:cs="Calibri"/>
          <w:sz w:val="22"/>
          <w:szCs w:val="22"/>
        </w:rPr>
        <w:t>Otubanjo</w:t>
      </w:r>
      <w:proofErr w:type="spellEnd"/>
      <w:r w:rsidRPr="00E23C0C">
        <w:rPr>
          <w:rFonts w:cs="Calibri"/>
          <w:sz w:val="22"/>
          <w:szCs w:val="22"/>
        </w:rPr>
        <w:t>, O. (2012). Leveraging rebranding of ‘unattractive’ nation brands to stimulate post-disaster tourism. </w:t>
      </w:r>
      <w:r w:rsidRPr="00E23C0C">
        <w:rPr>
          <w:rFonts w:cs="Calibri"/>
          <w:i/>
          <w:iCs/>
          <w:sz w:val="22"/>
          <w:szCs w:val="22"/>
        </w:rPr>
        <w:t>Tourist Studies, 12</w:t>
      </w:r>
      <w:r w:rsidRPr="00E23C0C">
        <w:rPr>
          <w:rFonts w:cs="Calibri"/>
          <w:sz w:val="22"/>
          <w:szCs w:val="22"/>
        </w:rPr>
        <w:t>(1), 87-105.</w:t>
      </w:r>
    </w:p>
    <w:p w14:paraId="7494AA8C"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Atkinson, C. L., &amp; </w:t>
      </w:r>
      <w:proofErr w:type="spellStart"/>
      <w:r w:rsidRPr="00E23C0C">
        <w:rPr>
          <w:rFonts w:cs="Calibri"/>
          <w:sz w:val="22"/>
          <w:szCs w:val="22"/>
        </w:rPr>
        <w:t>Sapat</w:t>
      </w:r>
      <w:proofErr w:type="spellEnd"/>
      <w:r w:rsidRPr="00E23C0C">
        <w:rPr>
          <w:rFonts w:cs="Calibri"/>
          <w:sz w:val="22"/>
          <w:szCs w:val="22"/>
        </w:rPr>
        <w:t>, A. K. (2013). Hurricane Wilma and long-term business recovery in disasters: the role of local government procurement and economic development. </w:t>
      </w:r>
      <w:r w:rsidRPr="00E23C0C">
        <w:rPr>
          <w:rFonts w:cs="Calibri"/>
          <w:i/>
          <w:sz w:val="22"/>
          <w:szCs w:val="22"/>
        </w:rPr>
        <w:t>Journal of Homeland Security and Emergency Management, 11</w:t>
      </w:r>
      <w:r w:rsidRPr="00E23C0C">
        <w:rPr>
          <w:rFonts w:cs="Calibri"/>
          <w:sz w:val="22"/>
          <w:szCs w:val="22"/>
        </w:rPr>
        <w:t>(1), 169-192.</w:t>
      </w:r>
    </w:p>
    <w:p w14:paraId="065FB32D"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Baker, D., &amp; Refsgaard, K. (2007). Institutional development and scale matching in disaster response management. </w:t>
      </w:r>
      <w:r w:rsidRPr="00E23C0C">
        <w:rPr>
          <w:rFonts w:cs="Calibri"/>
          <w:i/>
          <w:noProof/>
          <w:sz w:val="22"/>
          <w:szCs w:val="22"/>
        </w:rPr>
        <w:t>Ecological Economics, 63</w:t>
      </w:r>
      <w:r w:rsidRPr="00E23C0C">
        <w:rPr>
          <w:rFonts w:cs="Calibri"/>
          <w:noProof/>
          <w:sz w:val="22"/>
          <w:szCs w:val="22"/>
        </w:rPr>
        <w:t>(2-3), 331-343.</w:t>
      </w:r>
    </w:p>
    <w:p w14:paraId="206971A2"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Bankoff, G. (2003) Vulnerability as a measure of change in society. </w:t>
      </w:r>
      <w:r w:rsidRPr="00E23C0C">
        <w:rPr>
          <w:rFonts w:cs="Calibri"/>
          <w:i/>
          <w:noProof/>
          <w:sz w:val="22"/>
          <w:szCs w:val="22"/>
        </w:rPr>
        <w:t>International Journal of Mass Emergencies and Disasters, 21</w:t>
      </w:r>
      <w:r w:rsidRPr="00E23C0C">
        <w:rPr>
          <w:rFonts w:cs="Calibri"/>
          <w:noProof/>
          <w:sz w:val="22"/>
          <w:szCs w:val="22"/>
        </w:rPr>
        <w:t>(2), 5-30.</w:t>
      </w:r>
    </w:p>
    <w:p w14:paraId="083914BE"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Beaumont, N., &amp; Dredge, D. (2010). Local tourism governance: A comparison of three network approaches. </w:t>
      </w:r>
      <w:r w:rsidRPr="00E23C0C">
        <w:rPr>
          <w:rFonts w:cs="Calibri"/>
          <w:i/>
          <w:sz w:val="22"/>
          <w:szCs w:val="22"/>
        </w:rPr>
        <w:t xml:space="preserve">Journal of Sustainable Tourism, 18, </w:t>
      </w:r>
      <w:r w:rsidRPr="00E23C0C">
        <w:rPr>
          <w:rFonts w:cs="Calibri"/>
          <w:sz w:val="22"/>
          <w:szCs w:val="22"/>
        </w:rPr>
        <w:t>7-28.</w:t>
      </w:r>
    </w:p>
    <w:p w14:paraId="10DD7C0B" w14:textId="77777777" w:rsidR="0031281E" w:rsidRPr="00E23C0C" w:rsidRDefault="0031281E" w:rsidP="0031281E">
      <w:pPr>
        <w:ind w:left="720" w:hanging="720"/>
        <w:jc w:val="both"/>
        <w:rPr>
          <w:rFonts w:cs="Calibri"/>
          <w:sz w:val="22"/>
          <w:szCs w:val="22"/>
        </w:rPr>
      </w:pPr>
      <w:proofErr w:type="spellStart"/>
      <w:r w:rsidRPr="00E23C0C">
        <w:rPr>
          <w:rFonts w:cs="Calibri"/>
          <w:sz w:val="22"/>
          <w:szCs w:val="22"/>
        </w:rPr>
        <w:t>Becken</w:t>
      </w:r>
      <w:proofErr w:type="spellEnd"/>
      <w:r w:rsidRPr="00E23C0C">
        <w:rPr>
          <w:rFonts w:cs="Calibri"/>
          <w:sz w:val="22"/>
          <w:szCs w:val="22"/>
        </w:rPr>
        <w:t>, S., &amp; Hughey, K. F. D. (2013). Linking tourism into emergency management structures to enhance disaster risk reduction. </w:t>
      </w:r>
      <w:r w:rsidRPr="00E23C0C">
        <w:rPr>
          <w:rFonts w:cs="Calibri"/>
          <w:i/>
          <w:sz w:val="22"/>
          <w:szCs w:val="22"/>
        </w:rPr>
        <w:t>Tourism Management, 36,</w:t>
      </w:r>
      <w:r w:rsidRPr="00E23C0C">
        <w:rPr>
          <w:rFonts w:cs="Calibri"/>
          <w:sz w:val="22"/>
          <w:szCs w:val="22"/>
        </w:rPr>
        <w:t xml:space="preserve"> 77-85.</w:t>
      </w:r>
    </w:p>
    <w:p w14:paraId="1BEC5C42" w14:textId="77777777" w:rsidR="0031281E" w:rsidRPr="00E23C0C" w:rsidRDefault="0031281E" w:rsidP="0031281E">
      <w:pPr>
        <w:ind w:left="720" w:hanging="720"/>
        <w:jc w:val="both"/>
        <w:rPr>
          <w:rFonts w:cs="Calibri"/>
          <w:sz w:val="22"/>
          <w:szCs w:val="22"/>
          <w:shd w:val="clear" w:color="auto" w:fill="FFFFFF"/>
        </w:rPr>
      </w:pPr>
      <w:proofErr w:type="spellStart"/>
      <w:r w:rsidRPr="00E23C0C">
        <w:rPr>
          <w:rFonts w:cs="Calibri"/>
          <w:sz w:val="22"/>
          <w:szCs w:val="22"/>
        </w:rPr>
        <w:t>Beritelli</w:t>
      </w:r>
      <w:proofErr w:type="spellEnd"/>
      <w:r w:rsidRPr="00E23C0C">
        <w:rPr>
          <w:rFonts w:cs="Calibri"/>
          <w:sz w:val="22"/>
          <w:szCs w:val="22"/>
          <w:shd w:val="clear" w:color="auto" w:fill="FFFFFF"/>
        </w:rPr>
        <w:t xml:space="preserve">, P., </w:t>
      </w:r>
      <w:proofErr w:type="spellStart"/>
      <w:r w:rsidRPr="00E23C0C">
        <w:rPr>
          <w:rFonts w:cs="Calibri"/>
          <w:sz w:val="22"/>
          <w:szCs w:val="22"/>
          <w:shd w:val="clear" w:color="auto" w:fill="FFFFFF"/>
        </w:rPr>
        <w:t>Bieger</w:t>
      </w:r>
      <w:proofErr w:type="spellEnd"/>
      <w:r w:rsidRPr="00E23C0C">
        <w:rPr>
          <w:rFonts w:cs="Calibri"/>
          <w:sz w:val="22"/>
          <w:szCs w:val="22"/>
          <w:shd w:val="clear" w:color="auto" w:fill="FFFFFF"/>
        </w:rPr>
        <w:t xml:space="preserve">, T., &amp; </w:t>
      </w:r>
      <w:proofErr w:type="spellStart"/>
      <w:r w:rsidRPr="00E23C0C">
        <w:rPr>
          <w:rFonts w:cs="Calibri"/>
          <w:sz w:val="22"/>
          <w:szCs w:val="22"/>
          <w:shd w:val="clear" w:color="auto" w:fill="FFFFFF"/>
        </w:rPr>
        <w:t>Laesser</w:t>
      </w:r>
      <w:proofErr w:type="spellEnd"/>
      <w:r w:rsidRPr="00E23C0C">
        <w:rPr>
          <w:rFonts w:cs="Calibri"/>
          <w:sz w:val="22"/>
          <w:szCs w:val="22"/>
          <w:shd w:val="clear" w:color="auto" w:fill="FFFFFF"/>
        </w:rPr>
        <w:t>, C. (2007). Destination governance: Using corporate governance theories as a foundation for effective destination management. </w:t>
      </w:r>
      <w:r w:rsidRPr="00E23C0C">
        <w:rPr>
          <w:rFonts w:cs="Calibri"/>
          <w:i/>
          <w:iCs/>
          <w:sz w:val="22"/>
          <w:szCs w:val="22"/>
          <w:shd w:val="clear" w:color="auto" w:fill="FFFFFF"/>
        </w:rPr>
        <w:t>Journal of Travel Research</w:t>
      </w:r>
      <w:r w:rsidRPr="00E23C0C">
        <w:rPr>
          <w:rFonts w:cs="Calibri"/>
          <w:sz w:val="22"/>
          <w:szCs w:val="22"/>
          <w:shd w:val="clear" w:color="auto" w:fill="FFFFFF"/>
        </w:rPr>
        <w:t>, </w:t>
      </w:r>
      <w:r w:rsidRPr="00E23C0C">
        <w:rPr>
          <w:rFonts w:cs="Calibri"/>
          <w:i/>
          <w:iCs/>
          <w:sz w:val="22"/>
          <w:szCs w:val="22"/>
          <w:shd w:val="clear" w:color="auto" w:fill="FFFFFF"/>
        </w:rPr>
        <w:t>46</w:t>
      </w:r>
      <w:r w:rsidRPr="00E23C0C">
        <w:rPr>
          <w:rFonts w:cs="Calibri"/>
          <w:sz w:val="22"/>
          <w:szCs w:val="22"/>
          <w:shd w:val="clear" w:color="auto" w:fill="FFFFFF"/>
        </w:rPr>
        <w:t>(1), 96-107.</w:t>
      </w:r>
    </w:p>
    <w:p w14:paraId="559C1489"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Brooks, J. M., Bodeau, D., &amp; Fedorowicz, J. (2013). Network management in emergency response: Articulation practices of state-level managers - interweaving up, down, and sideways. </w:t>
      </w:r>
      <w:r w:rsidRPr="00E23C0C">
        <w:rPr>
          <w:rFonts w:cs="Calibri"/>
          <w:i/>
          <w:noProof/>
          <w:sz w:val="22"/>
          <w:szCs w:val="22"/>
        </w:rPr>
        <w:t>Administration and Society, 45</w:t>
      </w:r>
      <w:r w:rsidRPr="00E23C0C">
        <w:rPr>
          <w:rFonts w:cs="Calibri"/>
          <w:noProof/>
          <w:sz w:val="22"/>
          <w:szCs w:val="22"/>
        </w:rPr>
        <w:t>(8), 911-948. </w:t>
      </w:r>
    </w:p>
    <w:p w14:paraId="5FCCAD53"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Burgos, A., &amp; Mertens, F. (2017). Participatory management of community-based tourism: A network perspective. </w:t>
      </w:r>
      <w:r w:rsidRPr="00E23C0C">
        <w:rPr>
          <w:rFonts w:cs="Calibri"/>
          <w:i/>
          <w:iCs/>
          <w:noProof/>
          <w:sz w:val="22"/>
          <w:szCs w:val="22"/>
        </w:rPr>
        <w:t>Community Development, 48</w:t>
      </w:r>
      <w:r w:rsidRPr="00E23C0C">
        <w:rPr>
          <w:rFonts w:cs="Calibri"/>
          <w:noProof/>
          <w:sz w:val="22"/>
          <w:szCs w:val="22"/>
        </w:rPr>
        <w:t>(4), 546-565.</w:t>
      </w:r>
    </w:p>
    <w:p w14:paraId="4A223606"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Burt, R. S. (1992). </w:t>
      </w:r>
      <w:r w:rsidRPr="00E23C0C">
        <w:rPr>
          <w:rFonts w:cs="Calibri"/>
          <w:i/>
          <w:sz w:val="22"/>
          <w:szCs w:val="22"/>
        </w:rPr>
        <w:t>Structural holes</w:t>
      </w:r>
      <w:r w:rsidRPr="00E23C0C">
        <w:rPr>
          <w:rFonts w:cs="Calibri"/>
          <w:sz w:val="22"/>
          <w:szCs w:val="22"/>
        </w:rPr>
        <w:t>. Harvard University.</w:t>
      </w:r>
    </w:p>
    <w:p w14:paraId="1D7F5B19" w14:textId="77777777" w:rsidR="0031281E" w:rsidRPr="00E23C0C" w:rsidRDefault="0031281E" w:rsidP="0031281E">
      <w:pPr>
        <w:ind w:left="720" w:hanging="720"/>
        <w:jc w:val="both"/>
        <w:rPr>
          <w:rFonts w:cs="Calibri"/>
          <w:sz w:val="22"/>
          <w:szCs w:val="22"/>
        </w:rPr>
      </w:pPr>
      <w:proofErr w:type="spellStart"/>
      <w:r w:rsidRPr="00E23C0C">
        <w:rPr>
          <w:rFonts w:cs="Calibri"/>
          <w:sz w:val="22"/>
          <w:szCs w:val="22"/>
        </w:rPr>
        <w:t>Çakar</w:t>
      </w:r>
      <w:proofErr w:type="spellEnd"/>
      <w:r w:rsidRPr="00E23C0C">
        <w:rPr>
          <w:rFonts w:cs="Calibri"/>
          <w:sz w:val="22"/>
          <w:szCs w:val="22"/>
        </w:rPr>
        <w:t xml:space="preserve">, K. (2018). Critical success factors for tourist destination governance in times of crisis: a case study of Antalya, Turkey. </w:t>
      </w:r>
      <w:r w:rsidRPr="00E23C0C">
        <w:rPr>
          <w:rFonts w:cs="Calibri"/>
          <w:i/>
          <w:sz w:val="22"/>
          <w:szCs w:val="22"/>
        </w:rPr>
        <w:t>Journal of Travel &amp; Tourism Marketing, 35</w:t>
      </w:r>
      <w:r w:rsidRPr="00E23C0C">
        <w:rPr>
          <w:rFonts w:cs="Calibri"/>
          <w:sz w:val="22"/>
          <w:szCs w:val="22"/>
        </w:rPr>
        <w:t xml:space="preserve">(6), 786-802. </w:t>
      </w:r>
    </w:p>
    <w:p w14:paraId="39D69C88" w14:textId="77777777" w:rsidR="0031281E" w:rsidRPr="00E23C0C" w:rsidRDefault="0031281E" w:rsidP="0031281E">
      <w:pPr>
        <w:ind w:left="720" w:hanging="720"/>
        <w:jc w:val="both"/>
        <w:rPr>
          <w:rFonts w:cs="Calibri"/>
          <w:sz w:val="22"/>
          <w:szCs w:val="22"/>
        </w:rPr>
      </w:pPr>
      <w:proofErr w:type="spellStart"/>
      <w:r w:rsidRPr="00E23C0C">
        <w:rPr>
          <w:rFonts w:cs="Calibri"/>
          <w:sz w:val="22"/>
          <w:szCs w:val="22"/>
        </w:rPr>
        <w:t>Calgaro</w:t>
      </w:r>
      <w:proofErr w:type="spellEnd"/>
      <w:r w:rsidRPr="00E23C0C">
        <w:rPr>
          <w:rFonts w:cs="Calibri"/>
          <w:sz w:val="22"/>
          <w:szCs w:val="22"/>
        </w:rPr>
        <w:t xml:space="preserve">, E. (2010). Building resilient tourism destination futures in a world of uncertainty: Assessing destination vulnerability in Khao Lak, </w:t>
      </w:r>
      <w:proofErr w:type="spellStart"/>
      <w:r w:rsidRPr="00E23C0C">
        <w:rPr>
          <w:rFonts w:cs="Calibri"/>
          <w:sz w:val="22"/>
          <w:szCs w:val="22"/>
        </w:rPr>
        <w:t>Patong</w:t>
      </w:r>
      <w:proofErr w:type="spellEnd"/>
      <w:r w:rsidRPr="00E23C0C">
        <w:rPr>
          <w:rFonts w:cs="Calibri"/>
          <w:sz w:val="22"/>
          <w:szCs w:val="22"/>
        </w:rPr>
        <w:t xml:space="preserve"> and Phi </w:t>
      </w:r>
      <w:proofErr w:type="spellStart"/>
      <w:r w:rsidRPr="00E23C0C">
        <w:rPr>
          <w:rFonts w:cs="Calibri"/>
          <w:sz w:val="22"/>
          <w:szCs w:val="22"/>
        </w:rPr>
        <w:t>Phi</w:t>
      </w:r>
      <w:proofErr w:type="spellEnd"/>
      <w:r w:rsidRPr="00E23C0C">
        <w:rPr>
          <w:rFonts w:cs="Calibri"/>
          <w:sz w:val="22"/>
          <w:szCs w:val="22"/>
        </w:rPr>
        <w:t xml:space="preserve"> Don, Thailand to the 2004 Tsunami (Doctoral thesis). Macquarie University, Sydney. Retrieved from http://hdl. handle.net/1959.14/164721. Access February 16, 2021</w:t>
      </w:r>
    </w:p>
    <w:p w14:paraId="793FEE10"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Cameron, D. (2001). The structures of intergovernmental relations. </w:t>
      </w:r>
      <w:r w:rsidRPr="00E23C0C">
        <w:rPr>
          <w:rFonts w:cs="Calibri"/>
          <w:i/>
          <w:noProof/>
          <w:sz w:val="22"/>
          <w:szCs w:val="22"/>
        </w:rPr>
        <w:t>International Social Science Journal, 53</w:t>
      </w:r>
      <w:r w:rsidRPr="00E23C0C">
        <w:rPr>
          <w:rFonts w:cs="Calibri"/>
          <w:noProof/>
          <w:sz w:val="22"/>
          <w:szCs w:val="22"/>
        </w:rPr>
        <w:t>(167), 121-127.</w:t>
      </w:r>
    </w:p>
    <w:p w14:paraId="249CC1CB" w14:textId="77777777" w:rsidR="0031281E" w:rsidRPr="00E23C0C" w:rsidRDefault="0031281E" w:rsidP="0031281E">
      <w:pPr>
        <w:ind w:left="720" w:hanging="720"/>
        <w:jc w:val="both"/>
        <w:rPr>
          <w:rFonts w:cs="Calibri"/>
          <w:noProof/>
          <w:sz w:val="22"/>
          <w:szCs w:val="22"/>
        </w:rPr>
      </w:pPr>
      <w:proofErr w:type="spellStart"/>
      <w:r w:rsidRPr="00E23C0C">
        <w:rPr>
          <w:rFonts w:cs="Calibri"/>
          <w:sz w:val="22"/>
          <w:szCs w:val="22"/>
        </w:rPr>
        <w:t>Caruson</w:t>
      </w:r>
      <w:proofErr w:type="spellEnd"/>
      <w:r w:rsidRPr="00E23C0C">
        <w:rPr>
          <w:rFonts w:cs="Calibri"/>
          <w:sz w:val="22"/>
          <w:szCs w:val="22"/>
        </w:rPr>
        <w:t xml:space="preserve">, K., </w:t>
      </w:r>
      <w:r w:rsidRPr="00E23C0C">
        <w:rPr>
          <w:rFonts w:cs="Calibri"/>
          <w:noProof/>
          <w:sz w:val="22"/>
          <w:szCs w:val="22"/>
        </w:rPr>
        <w:t xml:space="preserve">&amp; </w:t>
      </w:r>
      <w:proofErr w:type="spellStart"/>
      <w:r w:rsidRPr="00E23C0C">
        <w:rPr>
          <w:rFonts w:cs="Calibri"/>
          <w:sz w:val="22"/>
          <w:szCs w:val="22"/>
        </w:rPr>
        <w:t>Macmanus</w:t>
      </w:r>
      <w:proofErr w:type="spellEnd"/>
      <w:r w:rsidRPr="00E23C0C">
        <w:rPr>
          <w:rFonts w:cs="Calibri"/>
          <w:sz w:val="22"/>
          <w:szCs w:val="22"/>
        </w:rPr>
        <w:t>, S. A. (2012). Interlocal emergency management collaboration: Vertical and horizontal roadblocks. </w:t>
      </w:r>
      <w:r w:rsidRPr="00E23C0C">
        <w:rPr>
          <w:rFonts w:cs="Calibri"/>
          <w:i/>
          <w:sz w:val="22"/>
          <w:szCs w:val="22"/>
        </w:rPr>
        <w:t>The Journal of Federalism, 42</w:t>
      </w:r>
      <w:r w:rsidRPr="00E23C0C">
        <w:rPr>
          <w:rFonts w:cs="Calibri"/>
          <w:sz w:val="22"/>
          <w:szCs w:val="22"/>
        </w:rPr>
        <w:t>(1), 162-187.</w:t>
      </w:r>
    </w:p>
    <w:p w14:paraId="2CC34477" w14:textId="77777777" w:rsidR="0031281E" w:rsidRPr="00E23C0C" w:rsidRDefault="0031281E" w:rsidP="0031281E">
      <w:pPr>
        <w:ind w:left="720" w:hanging="720"/>
        <w:jc w:val="both"/>
        <w:rPr>
          <w:rFonts w:cs="Calibri"/>
          <w:sz w:val="22"/>
          <w:szCs w:val="22"/>
        </w:rPr>
      </w:pPr>
      <w:r w:rsidRPr="00E23C0C">
        <w:rPr>
          <w:rFonts w:cs="Calibri"/>
          <w:sz w:val="22"/>
          <w:szCs w:val="22"/>
        </w:rPr>
        <w:lastRenderedPageBreak/>
        <w:t xml:space="preserve">Chan, C.-S., </w:t>
      </w:r>
      <w:proofErr w:type="spellStart"/>
      <w:r w:rsidRPr="00E23C0C">
        <w:rPr>
          <w:rFonts w:cs="Calibri"/>
          <w:sz w:val="22"/>
          <w:szCs w:val="22"/>
        </w:rPr>
        <w:t>Nozu</w:t>
      </w:r>
      <w:proofErr w:type="spellEnd"/>
      <w:r w:rsidRPr="00E23C0C">
        <w:rPr>
          <w:rFonts w:cs="Calibri"/>
          <w:sz w:val="22"/>
          <w:szCs w:val="22"/>
        </w:rPr>
        <w:t xml:space="preserve">, K., &amp; Cheung, T. O. L. (2019). Tourism and natural disaster management process: perception of tourism stakeholders in the case of Kumamoto earthquake in Japan. </w:t>
      </w:r>
      <w:r w:rsidRPr="00E23C0C">
        <w:rPr>
          <w:rFonts w:cs="Calibri"/>
          <w:i/>
          <w:sz w:val="22"/>
          <w:szCs w:val="22"/>
        </w:rPr>
        <w:t>Current Issues in Tourism, 23</w:t>
      </w:r>
      <w:r w:rsidRPr="00E23C0C">
        <w:rPr>
          <w:rFonts w:cs="Calibri"/>
          <w:sz w:val="22"/>
          <w:szCs w:val="22"/>
        </w:rPr>
        <w:t>(15), 1864-1885</w:t>
      </w:r>
    </w:p>
    <w:p w14:paraId="5A265A27" w14:textId="77777777" w:rsidR="0031281E" w:rsidRPr="00E23C0C" w:rsidRDefault="0031281E" w:rsidP="0031281E">
      <w:pPr>
        <w:ind w:left="720" w:hanging="720"/>
        <w:jc w:val="both"/>
        <w:rPr>
          <w:rFonts w:cs="Calibri"/>
          <w:sz w:val="22"/>
          <w:szCs w:val="22"/>
        </w:rPr>
      </w:pPr>
      <w:proofErr w:type="spellStart"/>
      <w:r w:rsidRPr="00E23C0C">
        <w:rPr>
          <w:rFonts w:cs="Calibri"/>
          <w:sz w:val="22"/>
          <w:szCs w:val="22"/>
        </w:rPr>
        <w:t>Cioccio</w:t>
      </w:r>
      <w:proofErr w:type="spellEnd"/>
      <w:r w:rsidRPr="00E23C0C">
        <w:rPr>
          <w:rFonts w:cs="Calibri"/>
          <w:sz w:val="22"/>
          <w:szCs w:val="22"/>
        </w:rPr>
        <w:t xml:space="preserve">, L., </w:t>
      </w:r>
      <w:r w:rsidRPr="00E23C0C">
        <w:rPr>
          <w:rFonts w:cs="Calibri"/>
          <w:noProof/>
          <w:sz w:val="22"/>
          <w:szCs w:val="22"/>
        </w:rPr>
        <w:t xml:space="preserve">&amp; </w:t>
      </w:r>
      <w:r w:rsidRPr="00E23C0C">
        <w:rPr>
          <w:rFonts w:cs="Calibri"/>
          <w:sz w:val="22"/>
          <w:szCs w:val="22"/>
        </w:rPr>
        <w:t xml:space="preserve">Michael, E. J. (2007). Hazard or disaster: Tourism management for the inevitable in Northeast Victoria. </w:t>
      </w:r>
      <w:r w:rsidRPr="00E23C0C">
        <w:rPr>
          <w:rFonts w:cs="Calibri"/>
          <w:i/>
          <w:sz w:val="22"/>
          <w:szCs w:val="22"/>
        </w:rPr>
        <w:t>Tourism Management, 28</w:t>
      </w:r>
      <w:r w:rsidRPr="00E23C0C">
        <w:rPr>
          <w:rFonts w:cs="Calibri"/>
          <w:sz w:val="22"/>
          <w:szCs w:val="22"/>
        </w:rPr>
        <w:t>(1), 1-11.</w:t>
      </w:r>
    </w:p>
    <w:p w14:paraId="0C5D6A9B"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Col, J. M. (2007). Managing disasters: The role of local government. </w:t>
      </w:r>
      <w:r w:rsidRPr="00E23C0C">
        <w:rPr>
          <w:rFonts w:cs="Calibri"/>
          <w:i/>
          <w:noProof/>
          <w:sz w:val="22"/>
          <w:szCs w:val="22"/>
        </w:rPr>
        <w:t xml:space="preserve">Public Administration Review, 67, </w:t>
      </w:r>
      <w:r w:rsidRPr="00E23C0C">
        <w:rPr>
          <w:rFonts w:cs="Calibri"/>
          <w:noProof/>
          <w:sz w:val="22"/>
          <w:szCs w:val="22"/>
        </w:rPr>
        <w:t>114-124.</w:t>
      </w:r>
    </w:p>
    <w:p w14:paraId="76CF6704"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Comfort, L.K., &amp; Haase, T.W. (2006). Communication, coherence, and collective action: The impact of Hurricane Katrina on communications infrastructure. </w:t>
      </w:r>
      <w:r w:rsidRPr="00E23C0C">
        <w:rPr>
          <w:rFonts w:cs="Calibri"/>
          <w:i/>
          <w:noProof/>
          <w:sz w:val="22"/>
          <w:szCs w:val="22"/>
        </w:rPr>
        <w:t>Public Works Management and Policy, 10</w:t>
      </w:r>
      <w:r w:rsidRPr="00E23C0C">
        <w:rPr>
          <w:rFonts w:cs="Calibri"/>
          <w:noProof/>
          <w:sz w:val="22"/>
          <w:szCs w:val="22"/>
        </w:rPr>
        <w:t>(3), 328-343.</w:t>
      </w:r>
    </w:p>
    <w:p w14:paraId="0DAFF2D3" w14:textId="77777777" w:rsidR="0031281E" w:rsidRPr="00E23C0C" w:rsidRDefault="0031281E" w:rsidP="0031281E">
      <w:pPr>
        <w:ind w:left="720" w:hanging="720"/>
        <w:jc w:val="both"/>
        <w:rPr>
          <w:rFonts w:cs="Calibri"/>
          <w:noProof/>
          <w:sz w:val="22"/>
          <w:szCs w:val="22"/>
        </w:rPr>
      </w:pPr>
      <w:r w:rsidRPr="00E23C0C">
        <w:rPr>
          <w:rFonts w:cs="Calibri"/>
          <w:sz w:val="22"/>
          <w:szCs w:val="22"/>
        </w:rPr>
        <w:t>Cretney, R. (2016). Local responses to disaster: the value of community led post disaster response action in a resilience framework. </w:t>
      </w:r>
      <w:r w:rsidRPr="00E23C0C">
        <w:rPr>
          <w:rFonts w:cs="Calibri"/>
          <w:i/>
          <w:sz w:val="22"/>
          <w:szCs w:val="22"/>
        </w:rPr>
        <w:t>Disaster Prevention and Management, 25</w:t>
      </w:r>
      <w:r w:rsidRPr="00E23C0C">
        <w:rPr>
          <w:rFonts w:cs="Calibri"/>
          <w:sz w:val="22"/>
          <w:szCs w:val="22"/>
        </w:rPr>
        <w:t>(1), 27-40.</w:t>
      </w:r>
    </w:p>
    <w:p w14:paraId="3203518F"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Deen, S. (2015). Pakistan 2010 floods. Policy gaps in disaster preparedness and response. </w:t>
      </w:r>
      <w:r w:rsidRPr="00E23C0C">
        <w:rPr>
          <w:rFonts w:cs="Calibri"/>
          <w:i/>
          <w:noProof/>
          <w:sz w:val="22"/>
          <w:szCs w:val="22"/>
        </w:rPr>
        <w:t>International Journal of Disaster Risk Reduction, 12</w:t>
      </w:r>
      <w:r w:rsidRPr="00E23C0C">
        <w:rPr>
          <w:rFonts w:cs="Calibri"/>
          <w:noProof/>
          <w:sz w:val="22"/>
          <w:szCs w:val="22"/>
        </w:rPr>
        <w:t>, 341-349.</w:t>
      </w:r>
    </w:p>
    <w:p w14:paraId="445CAAAC" w14:textId="77777777" w:rsidR="0031281E" w:rsidRPr="00E23C0C" w:rsidRDefault="0031281E" w:rsidP="0031281E">
      <w:pPr>
        <w:ind w:left="720" w:hanging="720"/>
        <w:jc w:val="both"/>
        <w:rPr>
          <w:rFonts w:cs="Calibri"/>
          <w:noProof/>
          <w:sz w:val="22"/>
          <w:szCs w:val="22"/>
        </w:rPr>
      </w:pPr>
      <w:r w:rsidRPr="00E23C0C">
        <w:rPr>
          <w:rFonts w:cs="Calibri"/>
          <w:sz w:val="22"/>
          <w:szCs w:val="22"/>
        </w:rPr>
        <w:t xml:space="preserve">Dredge, D. (2006). Networks, conflict and collaborative communities. </w:t>
      </w:r>
      <w:r w:rsidRPr="00E23C0C">
        <w:rPr>
          <w:rFonts w:cs="Calibri"/>
          <w:i/>
          <w:sz w:val="22"/>
          <w:szCs w:val="22"/>
        </w:rPr>
        <w:t>Journal of Sustainable Tourism, 14</w:t>
      </w:r>
      <w:r w:rsidRPr="00E23C0C">
        <w:rPr>
          <w:rFonts w:cs="Calibri"/>
          <w:sz w:val="22"/>
          <w:szCs w:val="22"/>
        </w:rPr>
        <w:t>(6), 562-581.</w:t>
      </w:r>
    </w:p>
    <w:p w14:paraId="320C6C84"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Espia, J. C. P., &amp; Fernandez Jr, P. (2015). Insiders and outsiders: Local government and NGO engagement in disaster response in Guimaras, Philippines. </w:t>
      </w:r>
      <w:r w:rsidRPr="00E23C0C">
        <w:rPr>
          <w:rFonts w:cs="Calibri"/>
          <w:i/>
          <w:noProof/>
          <w:sz w:val="22"/>
          <w:szCs w:val="22"/>
        </w:rPr>
        <w:t>Disasters, 39</w:t>
      </w:r>
      <w:r w:rsidRPr="00E23C0C">
        <w:rPr>
          <w:rFonts w:cs="Calibri"/>
          <w:noProof/>
          <w:sz w:val="22"/>
          <w:szCs w:val="22"/>
        </w:rPr>
        <w:t>(1), 51-68.</w:t>
      </w:r>
    </w:p>
    <w:p w14:paraId="21ABCA3D"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Faulkner, B. (2001). Towards a framework for tourism disaster management. </w:t>
      </w:r>
      <w:r w:rsidRPr="00E23C0C">
        <w:rPr>
          <w:rFonts w:cs="Calibri"/>
          <w:i/>
          <w:iCs/>
          <w:sz w:val="22"/>
          <w:szCs w:val="22"/>
        </w:rPr>
        <w:t>Tourism Management, 22</w:t>
      </w:r>
      <w:r w:rsidRPr="00E23C0C">
        <w:rPr>
          <w:rFonts w:cs="Calibri"/>
          <w:sz w:val="22"/>
          <w:szCs w:val="22"/>
        </w:rPr>
        <w:t xml:space="preserve">(2), 135-147. </w:t>
      </w:r>
    </w:p>
    <w:p w14:paraId="567A482C"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Faulkner, B., </w:t>
      </w:r>
      <w:r w:rsidRPr="00E23C0C">
        <w:rPr>
          <w:rFonts w:cs="Calibri"/>
          <w:noProof/>
          <w:sz w:val="22"/>
          <w:szCs w:val="22"/>
        </w:rPr>
        <w:t xml:space="preserve">&amp; </w:t>
      </w:r>
      <w:proofErr w:type="spellStart"/>
      <w:r w:rsidRPr="00E23C0C">
        <w:rPr>
          <w:rFonts w:cs="Calibri"/>
          <w:sz w:val="22"/>
          <w:szCs w:val="22"/>
        </w:rPr>
        <w:t>Vikulov</w:t>
      </w:r>
      <w:proofErr w:type="spellEnd"/>
      <w:r w:rsidRPr="00E23C0C">
        <w:rPr>
          <w:rFonts w:cs="Calibri"/>
          <w:sz w:val="22"/>
          <w:szCs w:val="22"/>
        </w:rPr>
        <w:t xml:space="preserve">, S. (2001). </w:t>
      </w:r>
      <w:proofErr w:type="gramStart"/>
      <w:r w:rsidRPr="00E23C0C">
        <w:rPr>
          <w:rFonts w:cs="Calibri"/>
          <w:sz w:val="22"/>
          <w:szCs w:val="22"/>
        </w:rPr>
        <w:t>Katherine,</w:t>
      </w:r>
      <w:proofErr w:type="gramEnd"/>
      <w:r w:rsidRPr="00E23C0C">
        <w:rPr>
          <w:rFonts w:cs="Calibri"/>
          <w:sz w:val="22"/>
          <w:szCs w:val="22"/>
        </w:rPr>
        <w:t xml:space="preserve"> washed out one day, back on track the next: a post-mortem of a tourism disaster. </w:t>
      </w:r>
      <w:r w:rsidRPr="00E23C0C">
        <w:rPr>
          <w:rFonts w:cs="Calibri"/>
          <w:i/>
          <w:sz w:val="22"/>
          <w:szCs w:val="22"/>
        </w:rPr>
        <w:t>Tourism Management, 22</w:t>
      </w:r>
      <w:r w:rsidRPr="00E23C0C">
        <w:rPr>
          <w:rFonts w:cs="Calibri"/>
          <w:sz w:val="22"/>
          <w:szCs w:val="22"/>
        </w:rPr>
        <w:t>(4), 331-344.</w:t>
      </w:r>
    </w:p>
    <w:p w14:paraId="2C2F9ACD" w14:textId="77777777" w:rsidR="0031281E" w:rsidRPr="00E23C0C" w:rsidRDefault="0031281E" w:rsidP="0031281E">
      <w:pPr>
        <w:ind w:left="720" w:hanging="720"/>
        <w:jc w:val="both"/>
        <w:rPr>
          <w:rFonts w:cs="Calibri"/>
          <w:sz w:val="22"/>
          <w:szCs w:val="22"/>
        </w:rPr>
      </w:pPr>
      <w:proofErr w:type="spellStart"/>
      <w:r w:rsidRPr="00E23C0C">
        <w:rPr>
          <w:rFonts w:cs="Calibri"/>
          <w:sz w:val="22"/>
          <w:szCs w:val="22"/>
        </w:rPr>
        <w:t>Fujihara</w:t>
      </w:r>
      <w:proofErr w:type="spellEnd"/>
      <w:r w:rsidRPr="00E23C0C">
        <w:rPr>
          <w:rFonts w:cs="Calibri"/>
          <w:sz w:val="22"/>
          <w:szCs w:val="22"/>
        </w:rPr>
        <w:t>, A., Ide, Y., Konno, N., Masuda, N., Miwa, H., &amp; Uchida, M. (2009). Limit Theorems for the Average Distance and the Degree Distribution of the Threshold Network Model. </w:t>
      </w:r>
      <w:r w:rsidRPr="00E23C0C">
        <w:rPr>
          <w:rFonts w:cs="Calibri"/>
          <w:i/>
          <w:iCs/>
          <w:sz w:val="22"/>
          <w:szCs w:val="22"/>
        </w:rPr>
        <w:t>Interdisciplinary Information Sciences, 15</w:t>
      </w:r>
      <w:r w:rsidRPr="00E23C0C">
        <w:rPr>
          <w:rFonts w:cs="Calibri"/>
          <w:sz w:val="22"/>
          <w:szCs w:val="22"/>
        </w:rPr>
        <w:t>(3), 361-366.</w:t>
      </w:r>
    </w:p>
    <w:p w14:paraId="395263A5"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Ge, Y., Gu, Y., &amp; Deng, W. (2010). Evaluating China’s national post-disaster plans: The 2008 Wenchuan earthquake’s recovery and reconstruction planning. </w:t>
      </w:r>
      <w:r w:rsidRPr="00E23C0C">
        <w:rPr>
          <w:rFonts w:cs="Calibri"/>
          <w:i/>
          <w:noProof/>
          <w:sz w:val="22"/>
          <w:szCs w:val="22"/>
        </w:rPr>
        <w:t>International Journal of Disaster Risk Science, 1</w:t>
      </w:r>
      <w:r w:rsidRPr="00E23C0C">
        <w:rPr>
          <w:rFonts w:cs="Calibri"/>
          <w:noProof/>
          <w:sz w:val="22"/>
          <w:szCs w:val="22"/>
        </w:rPr>
        <w:t>(2), 17-27.</w:t>
      </w:r>
    </w:p>
    <w:p w14:paraId="28C57B1F" w14:textId="77777777" w:rsidR="0031281E" w:rsidRPr="00E23C0C" w:rsidRDefault="0031281E" w:rsidP="0031281E">
      <w:pPr>
        <w:ind w:left="720" w:hanging="720"/>
        <w:jc w:val="both"/>
        <w:rPr>
          <w:rFonts w:cs="Calibri"/>
          <w:sz w:val="22"/>
          <w:szCs w:val="22"/>
          <w:shd w:val="clear" w:color="auto" w:fill="FFFFFF"/>
        </w:rPr>
      </w:pPr>
      <w:proofErr w:type="spellStart"/>
      <w:r w:rsidRPr="00E23C0C">
        <w:rPr>
          <w:rFonts w:cs="Calibri"/>
          <w:sz w:val="22"/>
          <w:szCs w:val="22"/>
          <w:shd w:val="clear" w:color="auto" w:fill="FFFFFF"/>
        </w:rPr>
        <w:t>Gelter</w:t>
      </w:r>
      <w:proofErr w:type="spellEnd"/>
      <w:r w:rsidRPr="00E23C0C">
        <w:rPr>
          <w:rFonts w:cs="Calibri"/>
          <w:sz w:val="22"/>
          <w:szCs w:val="22"/>
          <w:shd w:val="clear" w:color="auto" w:fill="FFFFFF"/>
        </w:rPr>
        <w:t xml:space="preserve">, J., </w:t>
      </w:r>
      <w:proofErr w:type="spellStart"/>
      <w:r w:rsidRPr="00E23C0C">
        <w:rPr>
          <w:rFonts w:cs="Calibri"/>
          <w:sz w:val="22"/>
          <w:szCs w:val="22"/>
          <w:shd w:val="clear" w:color="auto" w:fill="FFFFFF"/>
        </w:rPr>
        <w:t>Lexhagen</w:t>
      </w:r>
      <w:proofErr w:type="spellEnd"/>
      <w:r w:rsidRPr="00E23C0C">
        <w:rPr>
          <w:rFonts w:cs="Calibri"/>
          <w:sz w:val="22"/>
          <w:szCs w:val="22"/>
          <w:shd w:val="clear" w:color="auto" w:fill="FFFFFF"/>
        </w:rPr>
        <w:t>, M., &amp; Fuchs, M. (2020). A meta-narrative analysis of smart tourism destinations: implications for tourism destination management. </w:t>
      </w:r>
      <w:r w:rsidRPr="00E23C0C">
        <w:rPr>
          <w:rFonts w:cs="Calibri"/>
          <w:i/>
          <w:iCs/>
          <w:sz w:val="22"/>
          <w:szCs w:val="22"/>
          <w:shd w:val="clear" w:color="auto" w:fill="FFFFFF"/>
        </w:rPr>
        <w:t>Current Issues in Tourism</w:t>
      </w:r>
      <w:r w:rsidRPr="00E23C0C">
        <w:rPr>
          <w:rFonts w:cs="Calibri"/>
          <w:sz w:val="22"/>
          <w:szCs w:val="22"/>
          <w:shd w:val="clear" w:color="auto" w:fill="FFFFFF"/>
        </w:rPr>
        <w:t>, 1-15.</w:t>
      </w:r>
    </w:p>
    <w:p w14:paraId="3B11275C"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Ghaderi, Z., Mat Som, A. P., &amp; Henderson, J. C. (2015). When disaster strikes: The Thai floods of 2011 and tourism industry response and resilience. </w:t>
      </w:r>
      <w:r w:rsidRPr="00E23C0C">
        <w:rPr>
          <w:rFonts w:cs="Calibri"/>
          <w:i/>
          <w:noProof/>
          <w:sz w:val="22"/>
          <w:szCs w:val="22"/>
        </w:rPr>
        <w:t>Asia Pacific Journal of Tourism Research, 20</w:t>
      </w:r>
      <w:r w:rsidRPr="00E23C0C">
        <w:rPr>
          <w:rFonts w:cs="Calibri"/>
          <w:noProof/>
          <w:sz w:val="22"/>
          <w:szCs w:val="22"/>
        </w:rPr>
        <w:t>(4), 399-415.</w:t>
      </w:r>
    </w:p>
    <w:p w14:paraId="1C1FB8C2" w14:textId="77777777" w:rsidR="0031281E" w:rsidRPr="00E23C0C" w:rsidRDefault="0031281E" w:rsidP="0031281E">
      <w:pPr>
        <w:ind w:left="720" w:hanging="720"/>
        <w:jc w:val="both"/>
        <w:rPr>
          <w:rFonts w:cs="Calibri"/>
          <w:sz w:val="22"/>
          <w:szCs w:val="22"/>
          <w:shd w:val="clear" w:color="auto" w:fill="FFFFFF"/>
        </w:rPr>
      </w:pPr>
      <w:r w:rsidRPr="00E23C0C">
        <w:rPr>
          <w:rFonts w:cs="Calibri"/>
          <w:sz w:val="22"/>
          <w:szCs w:val="22"/>
          <w:shd w:val="clear" w:color="auto" w:fill="FFFFFF"/>
        </w:rPr>
        <w:t>Granville, F., Mehta, A., &amp; Pike, S. (2016). Destinations, disasters and public relations: Stakeholder engagement in multi-phase disaster management. </w:t>
      </w:r>
      <w:r w:rsidRPr="00E23C0C">
        <w:rPr>
          <w:rFonts w:cs="Calibri"/>
          <w:i/>
          <w:iCs/>
          <w:sz w:val="22"/>
          <w:szCs w:val="22"/>
          <w:shd w:val="clear" w:color="auto" w:fill="FFFFFF"/>
        </w:rPr>
        <w:t>Journal of Hospitality and Tourism Management</w:t>
      </w:r>
      <w:r w:rsidRPr="00E23C0C">
        <w:rPr>
          <w:rFonts w:cs="Calibri"/>
          <w:sz w:val="22"/>
          <w:szCs w:val="22"/>
          <w:shd w:val="clear" w:color="auto" w:fill="FFFFFF"/>
        </w:rPr>
        <w:t>, </w:t>
      </w:r>
      <w:r w:rsidRPr="00E23C0C">
        <w:rPr>
          <w:rFonts w:cs="Calibri"/>
          <w:i/>
          <w:iCs/>
          <w:sz w:val="22"/>
          <w:szCs w:val="22"/>
          <w:shd w:val="clear" w:color="auto" w:fill="FFFFFF"/>
        </w:rPr>
        <w:t>28</w:t>
      </w:r>
      <w:r w:rsidRPr="00E23C0C">
        <w:rPr>
          <w:rFonts w:cs="Calibri"/>
          <w:sz w:val="22"/>
          <w:szCs w:val="22"/>
          <w:shd w:val="clear" w:color="auto" w:fill="FFFFFF"/>
        </w:rPr>
        <w:t>, 73-79.</w:t>
      </w:r>
    </w:p>
    <w:p w14:paraId="07FFB722"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Guo, Y. (2012). Urban resilience in post-disaster reconstruction: Towards a resilient development in Sichuan, China. </w:t>
      </w:r>
      <w:r w:rsidRPr="00E23C0C">
        <w:rPr>
          <w:rFonts w:cs="Calibri"/>
          <w:i/>
          <w:noProof/>
          <w:sz w:val="22"/>
          <w:szCs w:val="22"/>
        </w:rPr>
        <w:t>International Journal of Disaster Risk Science, 3</w:t>
      </w:r>
      <w:r w:rsidRPr="00E23C0C">
        <w:rPr>
          <w:rFonts w:cs="Calibri"/>
          <w:noProof/>
          <w:sz w:val="22"/>
          <w:szCs w:val="22"/>
        </w:rPr>
        <w:t>(1), 45-55.</w:t>
      </w:r>
    </w:p>
    <w:p w14:paraId="78213FDB" w14:textId="77777777" w:rsidR="0031281E" w:rsidRPr="00E23C0C" w:rsidRDefault="0031281E" w:rsidP="0031281E">
      <w:pPr>
        <w:ind w:left="720" w:hanging="720"/>
        <w:jc w:val="both"/>
        <w:rPr>
          <w:rFonts w:cs="Calibri"/>
          <w:sz w:val="22"/>
          <w:szCs w:val="22"/>
          <w:shd w:val="clear" w:color="auto" w:fill="FFFFFF"/>
        </w:rPr>
      </w:pPr>
      <w:proofErr w:type="spellStart"/>
      <w:r w:rsidRPr="00E23C0C">
        <w:rPr>
          <w:rFonts w:cs="Calibri"/>
          <w:sz w:val="22"/>
          <w:szCs w:val="22"/>
          <w:shd w:val="clear" w:color="auto" w:fill="FFFFFF"/>
        </w:rPr>
        <w:lastRenderedPageBreak/>
        <w:t>Gurtner</w:t>
      </w:r>
      <w:proofErr w:type="spellEnd"/>
      <w:r w:rsidRPr="00E23C0C">
        <w:rPr>
          <w:rFonts w:cs="Calibri"/>
          <w:sz w:val="22"/>
          <w:szCs w:val="22"/>
          <w:shd w:val="clear" w:color="auto" w:fill="FFFFFF"/>
        </w:rPr>
        <w:t>, Y. (2016). Returning to paradise: Investigating issues of tourism crisis and disaster recovery on the island of Bali. </w:t>
      </w:r>
      <w:r w:rsidRPr="00E23C0C">
        <w:rPr>
          <w:rFonts w:cs="Calibri"/>
          <w:i/>
          <w:iCs/>
          <w:sz w:val="22"/>
          <w:szCs w:val="22"/>
          <w:shd w:val="clear" w:color="auto" w:fill="FFFFFF"/>
        </w:rPr>
        <w:t>Journal of Hospitality and Tourism Management</w:t>
      </w:r>
      <w:r w:rsidRPr="00E23C0C">
        <w:rPr>
          <w:rFonts w:cs="Calibri"/>
          <w:sz w:val="22"/>
          <w:szCs w:val="22"/>
          <w:shd w:val="clear" w:color="auto" w:fill="FFFFFF"/>
        </w:rPr>
        <w:t>, </w:t>
      </w:r>
      <w:r w:rsidRPr="00E23C0C">
        <w:rPr>
          <w:rFonts w:cs="Calibri"/>
          <w:i/>
          <w:iCs/>
          <w:sz w:val="22"/>
          <w:szCs w:val="22"/>
          <w:shd w:val="clear" w:color="auto" w:fill="FFFFFF"/>
        </w:rPr>
        <w:t>28</w:t>
      </w:r>
      <w:r w:rsidRPr="00E23C0C">
        <w:rPr>
          <w:rFonts w:cs="Calibri"/>
          <w:sz w:val="22"/>
          <w:szCs w:val="22"/>
          <w:shd w:val="clear" w:color="auto" w:fill="FFFFFF"/>
        </w:rPr>
        <w:t>, 11-19.</w:t>
      </w:r>
    </w:p>
    <w:p w14:paraId="2E9BB0B7"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Hall, C. M. (1999). Rethinking collaboration and partnership: A public policy perspective. </w:t>
      </w:r>
      <w:r w:rsidRPr="00E23C0C">
        <w:rPr>
          <w:rFonts w:cs="Calibri"/>
          <w:i/>
          <w:sz w:val="22"/>
          <w:szCs w:val="22"/>
        </w:rPr>
        <w:t>Journal of Sustainable Tourism, 7</w:t>
      </w:r>
      <w:r w:rsidRPr="00E23C0C">
        <w:rPr>
          <w:rFonts w:cs="Calibri"/>
          <w:sz w:val="22"/>
          <w:szCs w:val="22"/>
        </w:rPr>
        <w:t>, 274-289.</w:t>
      </w:r>
    </w:p>
    <w:p w14:paraId="25D73592"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Hall, C. M. (2009). A typology of governance and its implications for tourism policy analysis. </w:t>
      </w:r>
      <w:r w:rsidRPr="00E23C0C">
        <w:rPr>
          <w:rFonts w:cs="Calibri"/>
          <w:i/>
          <w:iCs/>
          <w:sz w:val="22"/>
          <w:szCs w:val="22"/>
        </w:rPr>
        <w:t>Journal of Sustainable Tourism</w:t>
      </w:r>
      <w:r w:rsidRPr="00E23C0C">
        <w:rPr>
          <w:rFonts w:cs="Calibri"/>
          <w:sz w:val="22"/>
          <w:szCs w:val="22"/>
        </w:rPr>
        <w:t>, 19(4-5), 437-457.</w:t>
      </w:r>
    </w:p>
    <w:p w14:paraId="4C2EFAC1" w14:textId="77777777" w:rsidR="0031281E" w:rsidRPr="00E23C0C" w:rsidRDefault="0031281E" w:rsidP="0031281E">
      <w:pPr>
        <w:ind w:left="720" w:hanging="720"/>
        <w:jc w:val="both"/>
        <w:rPr>
          <w:rFonts w:cs="Calibri"/>
          <w:sz w:val="22"/>
          <w:szCs w:val="22"/>
        </w:rPr>
      </w:pPr>
      <w:proofErr w:type="spellStart"/>
      <w:r w:rsidRPr="00E23C0C">
        <w:rPr>
          <w:rFonts w:cs="Calibri"/>
          <w:sz w:val="22"/>
          <w:szCs w:val="22"/>
        </w:rPr>
        <w:t>Hanneman</w:t>
      </w:r>
      <w:proofErr w:type="spellEnd"/>
      <w:r w:rsidRPr="00E23C0C">
        <w:rPr>
          <w:rFonts w:cs="Calibri"/>
          <w:sz w:val="22"/>
          <w:szCs w:val="22"/>
        </w:rPr>
        <w:t xml:space="preserve">, R.A., </w:t>
      </w:r>
      <w:r w:rsidRPr="00E23C0C">
        <w:rPr>
          <w:rFonts w:cs="Calibri"/>
          <w:noProof/>
          <w:sz w:val="22"/>
          <w:szCs w:val="22"/>
        </w:rPr>
        <w:t xml:space="preserve">&amp; </w:t>
      </w:r>
      <w:r w:rsidRPr="00E23C0C">
        <w:rPr>
          <w:rFonts w:cs="Calibri"/>
          <w:sz w:val="22"/>
          <w:szCs w:val="22"/>
        </w:rPr>
        <w:t xml:space="preserve">Riddle, M. (2005). </w:t>
      </w:r>
      <w:r w:rsidRPr="00E23C0C">
        <w:rPr>
          <w:rFonts w:cs="Calibri"/>
          <w:i/>
          <w:iCs/>
          <w:sz w:val="22"/>
          <w:szCs w:val="22"/>
        </w:rPr>
        <w:t>Introduction to social network methods.</w:t>
      </w:r>
      <w:r w:rsidRPr="00E23C0C">
        <w:rPr>
          <w:rFonts w:cs="Calibri"/>
          <w:sz w:val="22"/>
          <w:szCs w:val="22"/>
        </w:rPr>
        <w:t xml:space="preserve"> University of California. </w:t>
      </w:r>
    </w:p>
    <w:p w14:paraId="41569A5A" w14:textId="6EE25459" w:rsidR="0031281E" w:rsidRPr="00E23C0C" w:rsidRDefault="0031281E" w:rsidP="0031281E">
      <w:pPr>
        <w:ind w:left="720" w:hanging="720"/>
        <w:jc w:val="both"/>
        <w:rPr>
          <w:rFonts w:cs="Calibri"/>
          <w:noProof/>
          <w:sz w:val="22"/>
          <w:szCs w:val="22"/>
        </w:rPr>
      </w:pPr>
      <w:proofErr w:type="spellStart"/>
      <w:r w:rsidRPr="00E23C0C">
        <w:rPr>
          <w:rFonts w:cs="Calibri"/>
          <w:sz w:val="22"/>
          <w:szCs w:val="22"/>
        </w:rPr>
        <w:t>Hanneman</w:t>
      </w:r>
      <w:proofErr w:type="spellEnd"/>
      <w:r w:rsidRPr="00E23C0C">
        <w:rPr>
          <w:rFonts w:cs="Calibri"/>
          <w:sz w:val="22"/>
          <w:szCs w:val="22"/>
        </w:rPr>
        <w:t xml:space="preserve">, R. A., </w:t>
      </w:r>
      <w:r w:rsidRPr="00E23C0C">
        <w:rPr>
          <w:rFonts w:cs="Calibri"/>
          <w:noProof/>
          <w:sz w:val="22"/>
          <w:szCs w:val="22"/>
        </w:rPr>
        <w:t>&amp;</w:t>
      </w:r>
      <w:r w:rsidRPr="00E23C0C">
        <w:rPr>
          <w:rFonts w:cs="Calibri"/>
          <w:sz w:val="22"/>
          <w:szCs w:val="22"/>
        </w:rPr>
        <w:t xml:space="preserve"> Riddle, M. (2011). Concepts and Measures for Basic Network Analysis. In J. Scott, &amp; P. J. Carrington </w:t>
      </w:r>
      <w:r w:rsidRPr="00E23C0C">
        <w:rPr>
          <w:rFonts w:cs="Calibri"/>
          <w:iCs/>
          <w:sz w:val="22"/>
          <w:szCs w:val="22"/>
        </w:rPr>
        <w:t>(Eds.)</w:t>
      </w:r>
      <w:r w:rsidRPr="00E23C0C">
        <w:rPr>
          <w:rFonts w:cs="Calibri"/>
          <w:sz w:val="22"/>
          <w:szCs w:val="22"/>
        </w:rPr>
        <w:t xml:space="preserve">, </w:t>
      </w:r>
      <w:r w:rsidRPr="00E23C0C">
        <w:rPr>
          <w:rFonts w:cs="Calibri"/>
          <w:i/>
          <w:iCs/>
          <w:sz w:val="22"/>
          <w:szCs w:val="22"/>
        </w:rPr>
        <w:t xml:space="preserve">The sage handbook of social network analysis </w:t>
      </w:r>
      <w:r w:rsidRPr="00E23C0C">
        <w:rPr>
          <w:rFonts w:cs="Calibri"/>
          <w:iCs/>
          <w:sz w:val="22"/>
          <w:szCs w:val="22"/>
        </w:rPr>
        <w:t>(pp. 340-369).</w:t>
      </w:r>
      <w:r w:rsidRPr="00E23C0C">
        <w:rPr>
          <w:rFonts w:cs="Calibri"/>
          <w:i/>
          <w:iCs/>
          <w:sz w:val="22"/>
          <w:szCs w:val="22"/>
        </w:rPr>
        <w:t xml:space="preserve"> </w:t>
      </w:r>
    </w:p>
    <w:p w14:paraId="326C392D"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Haythornthwaite, C. (1996). Social network analysis: An approach and technique for the study of information exchange. </w:t>
      </w:r>
      <w:r w:rsidRPr="00E23C0C">
        <w:rPr>
          <w:rFonts w:cs="Calibri"/>
          <w:i/>
          <w:noProof/>
          <w:sz w:val="22"/>
          <w:szCs w:val="22"/>
        </w:rPr>
        <w:t>Library and Information Science Research, 18</w:t>
      </w:r>
      <w:r w:rsidRPr="00E23C0C">
        <w:rPr>
          <w:rFonts w:cs="Calibri"/>
          <w:noProof/>
          <w:sz w:val="22"/>
          <w:szCs w:val="22"/>
        </w:rPr>
        <w:t>:323-342.</w:t>
      </w:r>
    </w:p>
    <w:p w14:paraId="7CDA3BF3"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He, F., &amp; Zhuang, J. (2016). Balancing pre-disaster preparedness and post-disaster relief. </w:t>
      </w:r>
      <w:r w:rsidRPr="00E23C0C">
        <w:rPr>
          <w:rFonts w:cs="Calibri"/>
          <w:i/>
          <w:noProof/>
          <w:sz w:val="22"/>
          <w:szCs w:val="22"/>
        </w:rPr>
        <w:t>European Journal of Operational Research, 252</w:t>
      </w:r>
      <w:r w:rsidRPr="00E23C0C">
        <w:rPr>
          <w:rFonts w:cs="Calibri"/>
          <w:noProof/>
          <w:sz w:val="22"/>
          <w:szCs w:val="22"/>
        </w:rPr>
        <w:t>(1), 246-256.</w:t>
      </w:r>
    </w:p>
    <w:p w14:paraId="5B3AD9DA" w14:textId="77777777" w:rsidR="0031281E" w:rsidRPr="00E23C0C" w:rsidRDefault="0031281E" w:rsidP="0031281E">
      <w:pPr>
        <w:ind w:left="720" w:hanging="720"/>
        <w:jc w:val="both"/>
        <w:rPr>
          <w:rFonts w:cs="Calibri"/>
          <w:noProof/>
          <w:sz w:val="22"/>
          <w:szCs w:val="22"/>
        </w:rPr>
      </w:pPr>
      <w:proofErr w:type="spellStart"/>
      <w:r w:rsidRPr="00E23C0C">
        <w:rPr>
          <w:rFonts w:cs="Calibri"/>
          <w:sz w:val="22"/>
          <w:szCs w:val="22"/>
        </w:rPr>
        <w:t>Hovil</w:t>
      </w:r>
      <w:proofErr w:type="spellEnd"/>
      <w:r w:rsidRPr="00E23C0C">
        <w:rPr>
          <w:rFonts w:cs="Calibri"/>
          <w:sz w:val="22"/>
          <w:szCs w:val="22"/>
        </w:rPr>
        <w:t xml:space="preserve">, S., </w:t>
      </w:r>
      <w:r w:rsidRPr="00E23C0C">
        <w:rPr>
          <w:rFonts w:cs="Calibri"/>
          <w:noProof/>
          <w:sz w:val="22"/>
          <w:szCs w:val="22"/>
        </w:rPr>
        <w:t xml:space="preserve">&amp; </w:t>
      </w:r>
      <w:proofErr w:type="spellStart"/>
      <w:r w:rsidRPr="00E23C0C">
        <w:rPr>
          <w:rFonts w:cs="Calibri"/>
          <w:sz w:val="22"/>
          <w:szCs w:val="22"/>
        </w:rPr>
        <w:t>Stokke</w:t>
      </w:r>
      <w:proofErr w:type="spellEnd"/>
      <w:r w:rsidRPr="00E23C0C">
        <w:rPr>
          <w:rFonts w:cs="Calibri"/>
          <w:sz w:val="22"/>
          <w:szCs w:val="22"/>
        </w:rPr>
        <w:t>, K.B. (2007). Network governance and policy integration – The case of regional coastal zone planning in Norway.</w:t>
      </w:r>
      <w:r w:rsidRPr="00E23C0C">
        <w:rPr>
          <w:rFonts w:cs="Calibri"/>
          <w:i/>
          <w:sz w:val="22"/>
          <w:szCs w:val="22"/>
        </w:rPr>
        <w:t xml:space="preserve"> European Planning Studies, 15, </w:t>
      </w:r>
      <w:r w:rsidRPr="00E23C0C">
        <w:rPr>
          <w:rFonts w:cs="Calibri"/>
          <w:sz w:val="22"/>
          <w:szCs w:val="22"/>
        </w:rPr>
        <w:t>927-944.</w:t>
      </w:r>
    </w:p>
    <w:p w14:paraId="7BC474B5"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Hystad, P. W., &amp; Keller, P. C. (2008). Towards a destination tourism disaster management framework: Long-term lessons from a forest fire disaster. </w:t>
      </w:r>
      <w:r w:rsidRPr="00E23C0C">
        <w:rPr>
          <w:rFonts w:cs="Calibri"/>
          <w:i/>
          <w:noProof/>
          <w:sz w:val="22"/>
          <w:szCs w:val="22"/>
        </w:rPr>
        <w:t>Tourism Management, 29</w:t>
      </w:r>
      <w:r w:rsidRPr="00E23C0C">
        <w:rPr>
          <w:rFonts w:cs="Calibri"/>
          <w:noProof/>
          <w:sz w:val="22"/>
          <w:szCs w:val="22"/>
        </w:rPr>
        <w:t>(1), 151-162.</w:t>
      </w:r>
    </w:p>
    <w:p w14:paraId="3ABE2EE7"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Ireni, S. L. (2014). Entrepreneurial brokers in disaster response network in typhoon haiyan in the philippines. </w:t>
      </w:r>
      <w:r w:rsidRPr="00E23C0C">
        <w:rPr>
          <w:rFonts w:cs="Calibri"/>
          <w:i/>
          <w:noProof/>
          <w:sz w:val="22"/>
          <w:szCs w:val="22"/>
        </w:rPr>
        <w:t>Public Management Review, 17</w:t>
      </w:r>
      <w:r w:rsidRPr="00E23C0C">
        <w:rPr>
          <w:rFonts w:cs="Calibri"/>
          <w:noProof/>
          <w:sz w:val="22"/>
          <w:szCs w:val="22"/>
        </w:rPr>
        <w:t>(10), 1-22.</w:t>
      </w:r>
    </w:p>
    <w:p w14:paraId="2D1A242B" w14:textId="77777777" w:rsidR="0031281E" w:rsidRPr="00E23C0C" w:rsidRDefault="0031281E" w:rsidP="0031281E">
      <w:pPr>
        <w:ind w:left="770" w:hangingChars="350" w:hanging="770"/>
        <w:jc w:val="both"/>
        <w:rPr>
          <w:rFonts w:cs="Calibri"/>
          <w:noProof/>
          <w:sz w:val="22"/>
          <w:szCs w:val="22"/>
        </w:rPr>
      </w:pPr>
      <w:r w:rsidRPr="00E23C0C">
        <w:rPr>
          <w:rFonts w:cs="Calibri"/>
          <w:noProof/>
          <w:sz w:val="22"/>
          <w:szCs w:val="22"/>
        </w:rPr>
        <w:t xml:space="preserve">Iuchi, K., Johnson, L. A., &amp; Olshansky, R. B. (2013). Securing Tohoku's future: Planning forrebuilding in the first year following the Tohoku-oki earthquake and tsunami. </w:t>
      </w:r>
      <w:r w:rsidRPr="00E23C0C">
        <w:rPr>
          <w:rFonts w:cs="Calibri"/>
          <w:i/>
          <w:iCs/>
          <w:noProof/>
          <w:sz w:val="22"/>
          <w:szCs w:val="22"/>
        </w:rPr>
        <w:t>Earthquake Spectra,</w:t>
      </w:r>
      <w:r w:rsidRPr="00E23C0C">
        <w:rPr>
          <w:rFonts w:cs="Calibri"/>
          <w:noProof/>
          <w:sz w:val="22"/>
          <w:szCs w:val="22"/>
        </w:rPr>
        <w:t xml:space="preserve"> </w:t>
      </w:r>
      <w:r w:rsidRPr="00E23C0C">
        <w:rPr>
          <w:rFonts w:cs="Calibri"/>
          <w:i/>
          <w:noProof/>
          <w:sz w:val="22"/>
          <w:szCs w:val="22"/>
        </w:rPr>
        <w:t>29</w:t>
      </w:r>
      <w:r w:rsidRPr="00E23C0C">
        <w:rPr>
          <w:rFonts w:cs="Calibri"/>
          <w:noProof/>
          <w:sz w:val="22"/>
          <w:szCs w:val="22"/>
        </w:rPr>
        <w:t>(1), 479-499.</w:t>
      </w:r>
    </w:p>
    <w:p w14:paraId="5EEA4DB3" w14:textId="140B8817" w:rsidR="0031281E" w:rsidRPr="00E23C0C" w:rsidRDefault="0031281E" w:rsidP="0031281E">
      <w:pPr>
        <w:ind w:left="720" w:hanging="720"/>
        <w:jc w:val="both"/>
        <w:rPr>
          <w:rFonts w:cs="Calibri"/>
          <w:sz w:val="22"/>
          <w:szCs w:val="22"/>
        </w:rPr>
      </w:pPr>
      <w:r w:rsidRPr="00E23C0C">
        <w:rPr>
          <w:rFonts w:cs="Calibri"/>
          <w:sz w:val="22"/>
          <w:szCs w:val="22"/>
        </w:rPr>
        <w:t xml:space="preserve">Jessop, B. (2011). </w:t>
      </w:r>
      <w:proofErr w:type="spellStart"/>
      <w:r w:rsidRPr="00E23C0C">
        <w:rPr>
          <w:rFonts w:cs="Calibri"/>
          <w:sz w:val="22"/>
          <w:szCs w:val="22"/>
        </w:rPr>
        <w:t>Metagovernance</w:t>
      </w:r>
      <w:proofErr w:type="spellEnd"/>
      <w:r w:rsidRPr="00E23C0C">
        <w:rPr>
          <w:rFonts w:cs="Calibri"/>
          <w:sz w:val="22"/>
          <w:szCs w:val="22"/>
        </w:rPr>
        <w:t xml:space="preserve">. In M. </w:t>
      </w:r>
      <w:proofErr w:type="spellStart"/>
      <w:r w:rsidRPr="00E23C0C">
        <w:rPr>
          <w:rFonts w:cs="Calibri"/>
          <w:sz w:val="22"/>
          <w:szCs w:val="22"/>
        </w:rPr>
        <w:t>Bevir</w:t>
      </w:r>
      <w:proofErr w:type="spellEnd"/>
      <w:r w:rsidRPr="00E23C0C">
        <w:rPr>
          <w:rFonts w:cs="Calibri"/>
          <w:sz w:val="22"/>
          <w:szCs w:val="22"/>
        </w:rPr>
        <w:t xml:space="preserve"> (Eds.), </w:t>
      </w:r>
      <w:r w:rsidRPr="00E23C0C">
        <w:rPr>
          <w:rFonts w:cs="Calibri"/>
          <w:i/>
          <w:sz w:val="22"/>
          <w:szCs w:val="22"/>
        </w:rPr>
        <w:t>The sage handbook of governance</w:t>
      </w:r>
      <w:r w:rsidRPr="00E23C0C">
        <w:rPr>
          <w:rFonts w:cs="Calibri"/>
          <w:sz w:val="22"/>
          <w:szCs w:val="22"/>
        </w:rPr>
        <w:t xml:space="preserve"> (pp. 106-123). </w:t>
      </w:r>
    </w:p>
    <w:p w14:paraId="5DB3C230"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Jiang, Y., &amp; Ritchie, B. W. (2017). Disaster collaboration in tourism: Motives, impediments and success factors. </w:t>
      </w:r>
      <w:r w:rsidRPr="00E23C0C">
        <w:rPr>
          <w:rFonts w:cs="Calibri"/>
          <w:i/>
          <w:iCs/>
          <w:sz w:val="22"/>
          <w:szCs w:val="22"/>
        </w:rPr>
        <w:t>Journal of Hospitality and Tourism Management, 31,</w:t>
      </w:r>
      <w:r w:rsidRPr="00E23C0C">
        <w:rPr>
          <w:rFonts w:cs="Calibri"/>
          <w:sz w:val="22"/>
          <w:szCs w:val="22"/>
        </w:rPr>
        <w:t xml:space="preserve"> 70-82.</w:t>
      </w:r>
    </w:p>
    <w:p w14:paraId="542D966F"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Jung, K., &amp; Song, M. (2014). Linking emergency management networks to disaster resilience: bonding and bridging strategy in hierarchical or horizontal collaboration networks. </w:t>
      </w:r>
      <w:r w:rsidRPr="00E23C0C">
        <w:rPr>
          <w:rFonts w:cs="Calibri"/>
          <w:i/>
          <w:noProof/>
          <w:sz w:val="22"/>
          <w:szCs w:val="22"/>
        </w:rPr>
        <w:t>Quality &amp; Quantity, 49</w:t>
      </w:r>
      <w:r w:rsidRPr="00E23C0C">
        <w:rPr>
          <w:rFonts w:cs="Calibri"/>
          <w:noProof/>
          <w:sz w:val="22"/>
          <w:szCs w:val="22"/>
        </w:rPr>
        <w:t>(4), 1465-1483.</w:t>
      </w:r>
    </w:p>
    <w:p w14:paraId="73F108D9"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Kapucu, N., Arslan, T., &amp; Collins, M. L. (2010). Examining intergovernmental and interorganisational response to catastrophic disasters. </w:t>
      </w:r>
      <w:r w:rsidRPr="00E23C0C">
        <w:rPr>
          <w:rFonts w:cs="Calibri"/>
          <w:i/>
          <w:noProof/>
          <w:sz w:val="22"/>
          <w:szCs w:val="22"/>
        </w:rPr>
        <w:t>Administration and Society, 42</w:t>
      </w:r>
      <w:r w:rsidRPr="00E23C0C">
        <w:rPr>
          <w:rFonts w:cs="Calibri"/>
          <w:noProof/>
          <w:sz w:val="22"/>
          <w:szCs w:val="22"/>
        </w:rPr>
        <w:t>(2), 222-247.</w:t>
      </w:r>
    </w:p>
    <w:p w14:paraId="00ED5596"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Kapucu, N., &amp; Demiroz, F. (2011). Measuring performance for collaborative public management using network analysis methods and tools. </w:t>
      </w:r>
      <w:r w:rsidRPr="00E23C0C">
        <w:rPr>
          <w:rFonts w:cs="Calibri"/>
          <w:i/>
          <w:noProof/>
          <w:sz w:val="22"/>
          <w:szCs w:val="22"/>
        </w:rPr>
        <w:t>Public Performance and Management Review, 34</w:t>
      </w:r>
      <w:r w:rsidRPr="00E23C0C">
        <w:rPr>
          <w:rFonts w:cs="Calibri"/>
          <w:noProof/>
          <w:sz w:val="22"/>
          <w:szCs w:val="22"/>
        </w:rPr>
        <w:t>(4), 549-579.</w:t>
      </w:r>
    </w:p>
    <w:p w14:paraId="2BF90C92"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Kapucu, N., &amp; Garayev, V. (2014). Structure and network performance: horizontal and vertical networks in emergency management. </w:t>
      </w:r>
      <w:r w:rsidRPr="00E23C0C">
        <w:rPr>
          <w:rFonts w:cs="Calibri"/>
          <w:i/>
          <w:noProof/>
          <w:sz w:val="22"/>
          <w:szCs w:val="22"/>
        </w:rPr>
        <w:t>Administration and Society, 48</w:t>
      </w:r>
      <w:r w:rsidRPr="00E23C0C">
        <w:rPr>
          <w:rFonts w:cs="Calibri"/>
          <w:noProof/>
          <w:sz w:val="22"/>
          <w:szCs w:val="22"/>
        </w:rPr>
        <w:t>(8), 931-961.</w:t>
      </w:r>
    </w:p>
    <w:p w14:paraId="0C6415E9" w14:textId="77777777" w:rsidR="0031281E" w:rsidRPr="00E23C0C" w:rsidRDefault="0031281E" w:rsidP="0031281E">
      <w:pPr>
        <w:ind w:left="720" w:hanging="720"/>
        <w:jc w:val="both"/>
        <w:rPr>
          <w:rFonts w:cs="Calibri"/>
          <w:sz w:val="22"/>
          <w:szCs w:val="22"/>
          <w:shd w:val="clear" w:color="auto" w:fill="FFFFFF"/>
        </w:rPr>
      </w:pPr>
      <w:r w:rsidRPr="00E23C0C">
        <w:rPr>
          <w:rFonts w:cs="Calibri"/>
          <w:sz w:val="22"/>
          <w:szCs w:val="22"/>
          <w:shd w:val="clear" w:color="auto" w:fill="FFFFFF"/>
        </w:rPr>
        <w:lastRenderedPageBreak/>
        <w:t>Kato, K. (2018). Debating sustainability in tourism development: Resilience, traditional knowledge and community: A post-disaster perspective. </w:t>
      </w:r>
      <w:r w:rsidRPr="00E23C0C">
        <w:rPr>
          <w:rFonts w:cs="Calibri"/>
          <w:i/>
          <w:iCs/>
          <w:sz w:val="22"/>
          <w:szCs w:val="22"/>
          <w:shd w:val="clear" w:color="auto" w:fill="FFFFFF"/>
        </w:rPr>
        <w:t>Tourism Planning and Development</w:t>
      </w:r>
      <w:r w:rsidRPr="00E23C0C">
        <w:rPr>
          <w:rFonts w:cs="Calibri"/>
          <w:sz w:val="22"/>
          <w:szCs w:val="22"/>
          <w:shd w:val="clear" w:color="auto" w:fill="FFFFFF"/>
        </w:rPr>
        <w:t>, </w:t>
      </w:r>
      <w:r w:rsidRPr="00E23C0C">
        <w:rPr>
          <w:rFonts w:cs="Calibri"/>
          <w:i/>
          <w:iCs/>
          <w:sz w:val="22"/>
          <w:szCs w:val="22"/>
          <w:shd w:val="clear" w:color="auto" w:fill="FFFFFF"/>
        </w:rPr>
        <w:t>15</w:t>
      </w:r>
      <w:r w:rsidRPr="00E23C0C">
        <w:rPr>
          <w:rFonts w:cs="Calibri"/>
          <w:sz w:val="22"/>
          <w:szCs w:val="22"/>
          <w:shd w:val="clear" w:color="auto" w:fill="FFFFFF"/>
        </w:rPr>
        <w:t>(1), 55-67.</w:t>
      </w:r>
    </w:p>
    <w:p w14:paraId="76A93497"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Kusumasari, B., Alam, Q., &amp; Siddiqui, K. (2010). Resource capability for local government in managing disaster. </w:t>
      </w:r>
      <w:r w:rsidRPr="00E23C0C">
        <w:rPr>
          <w:rFonts w:cs="Calibri"/>
          <w:i/>
          <w:noProof/>
          <w:sz w:val="22"/>
          <w:szCs w:val="22"/>
        </w:rPr>
        <w:t>Disaster Prevention and Management: An International Journal, 19</w:t>
      </w:r>
      <w:r w:rsidRPr="00E23C0C">
        <w:rPr>
          <w:rFonts w:cs="Calibri"/>
          <w:noProof/>
          <w:sz w:val="22"/>
          <w:szCs w:val="22"/>
        </w:rPr>
        <w:t>(4), 438-451.</w:t>
      </w:r>
    </w:p>
    <w:p w14:paraId="54537C1A" w14:textId="77777777" w:rsidR="0031281E" w:rsidRPr="00E23C0C" w:rsidRDefault="0031281E" w:rsidP="0031281E">
      <w:pPr>
        <w:ind w:left="720" w:hanging="720"/>
        <w:jc w:val="both"/>
        <w:rPr>
          <w:rFonts w:cs="Calibri"/>
          <w:sz w:val="22"/>
          <w:szCs w:val="22"/>
          <w:shd w:val="clear" w:color="auto" w:fill="FFFFFF"/>
        </w:rPr>
      </w:pPr>
      <w:proofErr w:type="spellStart"/>
      <w:r w:rsidRPr="00E23C0C">
        <w:rPr>
          <w:rFonts w:cs="Calibri"/>
          <w:sz w:val="22"/>
          <w:szCs w:val="22"/>
          <w:shd w:val="clear" w:color="auto" w:fill="FFFFFF"/>
        </w:rPr>
        <w:t>Ladkin</w:t>
      </w:r>
      <w:proofErr w:type="spellEnd"/>
      <w:r w:rsidRPr="00E23C0C">
        <w:rPr>
          <w:rFonts w:cs="Calibri"/>
          <w:sz w:val="22"/>
          <w:szCs w:val="22"/>
          <w:shd w:val="clear" w:color="auto" w:fill="FFFFFF"/>
        </w:rPr>
        <w:t xml:space="preserve">, A., </w:t>
      </w:r>
      <w:proofErr w:type="spellStart"/>
      <w:r w:rsidRPr="00E23C0C">
        <w:rPr>
          <w:rFonts w:cs="Calibri"/>
          <w:sz w:val="22"/>
          <w:szCs w:val="22"/>
          <w:shd w:val="clear" w:color="auto" w:fill="FFFFFF"/>
        </w:rPr>
        <w:t>Fyall</w:t>
      </w:r>
      <w:proofErr w:type="spellEnd"/>
      <w:r w:rsidRPr="00E23C0C">
        <w:rPr>
          <w:rFonts w:cs="Calibri"/>
          <w:sz w:val="22"/>
          <w:szCs w:val="22"/>
          <w:shd w:val="clear" w:color="auto" w:fill="FFFFFF"/>
        </w:rPr>
        <w:t>, A., Fletcher, J., &amp; Shipway, R. (2008). London tourism: A ‘post-disaster’ marketing response. </w:t>
      </w:r>
      <w:r w:rsidRPr="00E23C0C">
        <w:rPr>
          <w:rFonts w:cs="Calibri"/>
          <w:i/>
          <w:iCs/>
          <w:sz w:val="22"/>
          <w:szCs w:val="22"/>
          <w:shd w:val="clear" w:color="auto" w:fill="FFFFFF"/>
        </w:rPr>
        <w:t>Journal of Travel &amp; Tourism Marketing</w:t>
      </w:r>
      <w:r w:rsidRPr="00E23C0C">
        <w:rPr>
          <w:rFonts w:cs="Calibri"/>
          <w:sz w:val="22"/>
          <w:szCs w:val="22"/>
          <w:shd w:val="clear" w:color="auto" w:fill="FFFFFF"/>
        </w:rPr>
        <w:t>, </w:t>
      </w:r>
      <w:r w:rsidRPr="00E23C0C">
        <w:rPr>
          <w:rFonts w:cs="Calibri"/>
          <w:i/>
          <w:iCs/>
          <w:sz w:val="22"/>
          <w:szCs w:val="22"/>
          <w:shd w:val="clear" w:color="auto" w:fill="FFFFFF"/>
        </w:rPr>
        <w:t>23</w:t>
      </w:r>
      <w:r w:rsidRPr="00E23C0C">
        <w:rPr>
          <w:rFonts w:cs="Calibri"/>
          <w:sz w:val="22"/>
          <w:szCs w:val="22"/>
          <w:shd w:val="clear" w:color="auto" w:fill="FFFFFF"/>
        </w:rPr>
        <w:t>(2-4), 95-111.</w:t>
      </w:r>
    </w:p>
    <w:p w14:paraId="21CCE19D"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Larsen, R. K., Calgaro, E., &amp; Thomalla, F. (2011). Governing resilience building in Thailands tourism-dependent coastal communities: Conceptualising stakeholder agency in social–ecological systems. </w:t>
      </w:r>
      <w:r w:rsidRPr="00E23C0C">
        <w:rPr>
          <w:rFonts w:cs="Calibri"/>
          <w:i/>
          <w:noProof/>
          <w:sz w:val="22"/>
          <w:szCs w:val="22"/>
        </w:rPr>
        <w:t>Global Environmental Change, 21(</w:t>
      </w:r>
      <w:r w:rsidRPr="00E23C0C">
        <w:rPr>
          <w:rFonts w:cs="Calibri"/>
          <w:noProof/>
          <w:sz w:val="22"/>
          <w:szCs w:val="22"/>
        </w:rPr>
        <w:t xml:space="preserve">2), 481-491. </w:t>
      </w:r>
    </w:p>
    <w:p w14:paraId="4BF81AA7" w14:textId="77777777" w:rsidR="0031281E" w:rsidRPr="00E23C0C" w:rsidRDefault="0031281E" w:rsidP="0031281E">
      <w:pPr>
        <w:ind w:left="720" w:hanging="720"/>
        <w:jc w:val="both"/>
        <w:rPr>
          <w:rFonts w:cs="Calibri"/>
          <w:sz w:val="22"/>
          <w:szCs w:val="22"/>
          <w:shd w:val="clear" w:color="auto" w:fill="FFFFFF"/>
        </w:rPr>
      </w:pPr>
      <w:r w:rsidRPr="00E23C0C">
        <w:rPr>
          <w:rFonts w:cs="Calibri"/>
          <w:sz w:val="22"/>
          <w:szCs w:val="22"/>
          <w:shd w:val="clear" w:color="auto" w:fill="FFFFFF"/>
        </w:rPr>
        <w:t>Lee, K. H., &amp; Hyun, S. S. (2016). The effects of perceived destination ability and destination brand love on tourists’ loyalty to post-disaster tourism destinations: The case of Korean tourists to Japan. </w:t>
      </w:r>
      <w:r w:rsidRPr="00E23C0C">
        <w:rPr>
          <w:rFonts w:cs="Calibri"/>
          <w:i/>
          <w:iCs/>
          <w:sz w:val="22"/>
          <w:szCs w:val="22"/>
          <w:shd w:val="clear" w:color="auto" w:fill="FFFFFF"/>
        </w:rPr>
        <w:t>Journal of Travel &amp; Tourism Marketing</w:t>
      </w:r>
      <w:r w:rsidRPr="00E23C0C">
        <w:rPr>
          <w:rFonts w:cs="Calibri"/>
          <w:sz w:val="22"/>
          <w:szCs w:val="22"/>
          <w:shd w:val="clear" w:color="auto" w:fill="FFFFFF"/>
        </w:rPr>
        <w:t>, </w:t>
      </w:r>
      <w:r w:rsidRPr="00E23C0C">
        <w:rPr>
          <w:rFonts w:cs="Calibri"/>
          <w:i/>
          <w:iCs/>
          <w:sz w:val="22"/>
          <w:szCs w:val="22"/>
          <w:shd w:val="clear" w:color="auto" w:fill="FFFFFF"/>
        </w:rPr>
        <w:t>33</w:t>
      </w:r>
      <w:r w:rsidRPr="00E23C0C">
        <w:rPr>
          <w:rFonts w:cs="Calibri"/>
          <w:sz w:val="22"/>
          <w:szCs w:val="22"/>
          <w:shd w:val="clear" w:color="auto" w:fill="FFFFFF"/>
        </w:rPr>
        <w:t>(5), 613-627.</w:t>
      </w:r>
    </w:p>
    <w:p w14:paraId="0823519D"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Lian, T., Yu, C., &amp; Zong, Q. (2012). A study on net-work structure of China's tourism website: Based on a social network analysis. </w:t>
      </w:r>
      <w:r w:rsidRPr="00E23C0C">
        <w:rPr>
          <w:rFonts w:cs="Calibri"/>
          <w:i/>
          <w:iCs/>
          <w:noProof/>
          <w:sz w:val="22"/>
          <w:szCs w:val="22"/>
        </w:rPr>
        <w:t>Tourism Science, 6</w:t>
      </w:r>
      <w:r w:rsidRPr="00E23C0C">
        <w:rPr>
          <w:rFonts w:cs="Calibri"/>
          <w:noProof/>
          <w:sz w:val="22"/>
          <w:szCs w:val="22"/>
        </w:rPr>
        <w:t>, 80-88.</w:t>
      </w:r>
    </w:p>
    <w:p w14:paraId="4DFE9873" w14:textId="77777777" w:rsidR="0031281E" w:rsidRPr="00E23C0C" w:rsidRDefault="0031281E" w:rsidP="0031281E">
      <w:pPr>
        <w:ind w:left="720" w:hanging="720"/>
        <w:jc w:val="both"/>
        <w:rPr>
          <w:rFonts w:cs="Calibri"/>
          <w:sz w:val="22"/>
          <w:szCs w:val="22"/>
          <w:shd w:val="clear" w:color="auto" w:fill="FFFFFF"/>
        </w:rPr>
      </w:pPr>
      <w:r w:rsidRPr="00E23C0C">
        <w:rPr>
          <w:rFonts w:cs="Calibri"/>
          <w:sz w:val="22"/>
          <w:szCs w:val="22"/>
          <w:shd w:val="clear" w:color="auto" w:fill="FFFFFF"/>
        </w:rPr>
        <w:t>Liu-</w:t>
      </w:r>
      <w:proofErr w:type="spellStart"/>
      <w:r w:rsidRPr="00E23C0C">
        <w:rPr>
          <w:rFonts w:cs="Calibri"/>
          <w:sz w:val="22"/>
          <w:szCs w:val="22"/>
          <w:shd w:val="clear" w:color="auto" w:fill="FFFFFF"/>
        </w:rPr>
        <w:t>Lastres</w:t>
      </w:r>
      <w:proofErr w:type="spellEnd"/>
      <w:r w:rsidRPr="00E23C0C">
        <w:rPr>
          <w:rFonts w:cs="Calibri"/>
          <w:sz w:val="22"/>
          <w:szCs w:val="22"/>
          <w:shd w:val="clear" w:color="auto" w:fill="FFFFFF"/>
        </w:rPr>
        <w:t>, B., Mariska, D., Tan, X., &amp; Ying, T. (2020). Can post-disaster tourism development improve destination livelihoods? A case study of Aceh, Indonesia. </w:t>
      </w:r>
      <w:r w:rsidRPr="00E23C0C">
        <w:rPr>
          <w:rFonts w:cs="Calibri"/>
          <w:i/>
          <w:iCs/>
          <w:sz w:val="22"/>
          <w:szCs w:val="22"/>
          <w:shd w:val="clear" w:color="auto" w:fill="FFFFFF"/>
        </w:rPr>
        <w:t>Journal of Destination Marketing &amp; Management</w:t>
      </w:r>
      <w:r w:rsidRPr="00E23C0C">
        <w:rPr>
          <w:rFonts w:cs="Calibri"/>
          <w:sz w:val="22"/>
          <w:szCs w:val="22"/>
          <w:shd w:val="clear" w:color="auto" w:fill="FFFFFF"/>
        </w:rPr>
        <w:t>, </w:t>
      </w:r>
      <w:r w:rsidRPr="00E23C0C">
        <w:rPr>
          <w:rFonts w:cs="Calibri"/>
          <w:i/>
          <w:iCs/>
          <w:sz w:val="22"/>
          <w:szCs w:val="22"/>
          <w:shd w:val="clear" w:color="auto" w:fill="FFFFFF"/>
        </w:rPr>
        <w:t>18</w:t>
      </w:r>
      <w:r w:rsidRPr="00E23C0C">
        <w:rPr>
          <w:rFonts w:cs="Calibri"/>
          <w:sz w:val="22"/>
          <w:szCs w:val="22"/>
          <w:shd w:val="clear" w:color="auto" w:fill="FFFFFF"/>
        </w:rPr>
        <w:t>, 100510.</w:t>
      </w:r>
    </w:p>
    <w:p w14:paraId="3B2B5842"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Mair, J., Ritchie, B. W., &amp; Walters, G. (2016). Towards a research agenda for post-disaster and post-crisis recovery strategies for tourist destinations: A narrative review. </w:t>
      </w:r>
      <w:r w:rsidRPr="00E23C0C">
        <w:rPr>
          <w:rFonts w:cs="Calibri"/>
          <w:i/>
          <w:iCs/>
          <w:noProof/>
          <w:sz w:val="22"/>
          <w:szCs w:val="22"/>
        </w:rPr>
        <w:t>Current Issues in Tourism, 19</w:t>
      </w:r>
      <w:r w:rsidRPr="00E23C0C">
        <w:rPr>
          <w:rFonts w:cs="Calibri"/>
          <w:noProof/>
          <w:sz w:val="22"/>
          <w:szCs w:val="22"/>
        </w:rPr>
        <w:t>(1), 1-26.</w:t>
      </w:r>
    </w:p>
    <w:p w14:paraId="08E5A5B6"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Maldonado, E. A., Maitland, C. F., &amp; Tapia, A. H. (2009). Collaborative systems development in disaster relief: The impact of multi-level governance. </w:t>
      </w:r>
      <w:r w:rsidRPr="00E23C0C">
        <w:rPr>
          <w:rFonts w:cs="Calibri"/>
          <w:i/>
          <w:noProof/>
          <w:sz w:val="22"/>
          <w:szCs w:val="22"/>
        </w:rPr>
        <w:t>Information Systems Frontiers, 12</w:t>
      </w:r>
      <w:r w:rsidRPr="00E23C0C">
        <w:rPr>
          <w:rFonts w:cs="Calibri"/>
          <w:noProof/>
          <w:sz w:val="22"/>
          <w:szCs w:val="22"/>
        </w:rPr>
        <w:t>(1), 9-27.</w:t>
      </w:r>
    </w:p>
    <w:p w14:paraId="6D12E066"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Mandell, M.P., &amp; Keast, R. (2007). Evaluating network arrangements. </w:t>
      </w:r>
      <w:r w:rsidRPr="00E23C0C">
        <w:rPr>
          <w:rFonts w:cs="Calibri"/>
          <w:i/>
          <w:noProof/>
          <w:sz w:val="22"/>
          <w:szCs w:val="22"/>
        </w:rPr>
        <w:t>Public Performance and Management Review, 30(</w:t>
      </w:r>
      <w:r w:rsidRPr="00E23C0C">
        <w:rPr>
          <w:rFonts w:cs="Calibri"/>
          <w:noProof/>
          <w:sz w:val="22"/>
          <w:szCs w:val="22"/>
        </w:rPr>
        <w:t>4), 574-597.</w:t>
      </w:r>
    </w:p>
    <w:p w14:paraId="0837AC7C" w14:textId="77777777" w:rsidR="0031281E" w:rsidRPr="00E23C0C" w:rsidRDefault="0031281E" w:rsidP="0031281E">
      <w:pPr>
        <w:ind w:left="720" w:hanging="720"/>
        <w:jc w:val="both"/>
        <w:rPr>
          <w:rFonts w:cs="Calibri"/>
          <w:noProof/>
          <w:sz w:val="22"/>
          <w:szCs w:val="22"/>
        </w:rPr>
      </w:pPr>
      <w:r w:rsidRPr="00E23C0C">
        <w:rPr>
          <w:rFonts w:cs="Calibri"/>
          <w:sz w:val="22"/>
          <w:szCs w:val="22"/>
          <w:shd w:val="clear" w:color="auto" w:fill="FFFFFF"/>
        </w:rPr>
        <w:t>Miller, G. A., &amp; Ritchie, B. W. (2003). A farming crisis or a tourism disaster? An analysis of the foot and mouth disease in the UK. </w:t>
      </w:r>
      <w:r w:rsidRPr="00E23C0C">
        <w:rPr>
          <w:rFonts w:cs="Calibri"/>
          <w:i/>
          <w:iCs/>
          <w:sz w:val="22"/>
          <w:szCs w:val="22"/>
          <w:shd w:val="clear" w:color="auto" w:fill="FFFFFF"/>
        </w:rPr>
        <w:t>Current Issues in Tourism</w:t>
      </w:r>
      <w:r w:rsidRPr="00E23C0C">
        <w:rPr>
          <w:rFonts w:cs="Calibri"/>
          <w:sz w:val="22"/>
          <w:szCs w:val="22"/>
          <w:shd w:val="clear" w:color="auto" w:fill="FFFFFF"/>
        </w:rPr>
        <w:t>, </w:t>
      </w:r>
      <w:r w:rsidRPr="00E23C0C">
        <w:rPr>
          <w:rFonts w:cs="Calibri"/>
          <w:i/>
          <w:iCs/>
          <w:sz w:val="22"/>
          <w:szCs w:val="22"/>
          <w:shd w:val="clear" w:color="auto" w:fill="FFFFFF"/>
        </w:rPr>
        <w:t>6</w:t>
      </w:r>
      <w:r w:rsidRPr="00E23C0C">
        <w:rPr>
          <w:rFonts w:cs="Calibri"/>
          <w:sz w:val="22"/>
          <w:szCs w:val="22"/>
          <w:shd w:val="clear" w:color="auto" w:fill="FFFFFF"/>
        </w:rPr>
        <w:t>(2), 150-171.</w:t>
      </w:r>
    </w:p>
    <w:p w14:paraId="5AE0B53C"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Moore, M. H. (2009). Networked government: Survey of rationales, forms, and techniques. In S. Goldsmith, &amp; F. K. Donald (Eds.). </w:t>
      </w:r>
      <w:r w:rsidRPr="00E23C0C">
        <w:rPr>
          <w:rFonts w:cs="Calibri"/>
          <w:i/>
          <w:noProof/>
          <w:sz w:val="22"/>
          <w:szCs w:val="22"/>
        </w:rPr>
        <w:t xml:space="preserve">Unlocking the power of networks: keys to high-performance government </w:t>
      </w:r>
      <w:r w:rsidRPr="00E23C0C">
        <w:rPr>
          <w:rFonts w:cs="Calibri"/>
          <w:noProof/>
          <w:sz w:val="22"/>
          <w:szCs w:val="22"/>
        </w:rPr>
        <w:t xml:space="preserve">(pp. 190-228). </w:t>
      </w:r>
    </w:p>
    <w:p w14:paraId="7995B4BB"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Paraskevas, A., &amp; Arendell, B. (2007). A strategic framework for terrorism prevention and mitigation in tourism destinations. </w:t>
      </w:r>
      <w:r w:rsidRPr="00E23C0C">
        <w:rPr>
          <w:rFonts w:cs="Calibri"/>
          <w:i/>
          <w:noProof/>
          <w:sz w:val="22"/>
          <w:szCs w:val="22"/>
        </w:rPr>
        <w:t>Tourism Management, 28</w:t>
      </w:r>
      <w:r w:rsidRPr="00E23C0C">
        <w:rPr>
          <w:rFonts w:cs="Calibri"/>
          <w:noProof/>
          <w:sz w:val="22"/>
          <w:szCs w:val="22"/>
        </w:rPr>
        <w:t>(6), 1560-1573.</w:t>
      </w:r>
    </w:p>
    <w:p w14:paraId="7F436663"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Pavlovich, K. (2001). The twin landscapes of Waitomo: Tourism network and sustainability through the Landcare Group. </w:t>
      </w:r>
      <w:r w:rsidRPr="00E23C0C">
        <w:rPr>
          <w:rFonts w:cs="Calibri"/>
          <w:i/>
          <w:sz w:val="22"/>
          <w:szCs w:val="22"/>
        </w:rPr>
        <w:t xml:space="preserve">Journal of Sustainable Tourism, 9, </w:t>
      </w:r>
      <w:r w:rsidRPr="00E23C0C">
        <w:rPr>
          <w:rFonts w:cs="Calibri"/>
          <w:sz w:val="22"/>
          <w:szCs w:val="22"/>
        </w:rPr>
        <w:t xml:space="preserve">491-504. </w:t>
      </w:r>
    </w:p>
    <w:p w14:paraId="57BBD8ED" w14:textId="77777777" w:rsidR="0031281E" w:rsidRPr="00E23C0C" w:rsidRDefault="0031281E" w:rsidP="0031281E">
      <w:pPr>
        <w:ind w:left="720" w:hanging="720"/>
        <w:jc w:val="both"/>
        <w:rPr>
          <w:rFonts w:cs="Calibri"/>
          <w:sz w:val="22"/>
          <w:szCs w:val="22"/>
        </w:rPr>
      </w:pPr>
      <w:r w:rsidRPr="00E23C0C">
        <w:rPr>
          <w:rFonts w:cs="Calibri"/>
          <w:sz w:val="22"/>
          <w:szCs w:val="22"/>
        </w:rPr>
        <w:t>Pierre, J., &amp; Peters, B.G. (2000). Governance, politics and the state. St. Martin’s Press.</w:t>
      </w:r>
    </w:p>
    <w:p w14:paraId="65A445E8" w14:textId="3EFF89EC" w:rsidR="0031281E" w:rsidRPr="00E23C0C" w:rsidRDefault="0031281E" w:rsidP="00AC727F">
      <w:pPr>
        <w:ind w:left="720" w:hanging="720"/>
        <w:jc w:val="both"/>
        <w:rPr>
          <w:rFonts w:cs="Calibri"/>
          <w:sz w:val="22"/>
          <w:szCs w:val="22"/>
        </w:rPr>
      </w:pPr>
      <w:r w:rsidRPr="00E23C0C">
        <w:rPr>
          <w:rFonts w:cs="Calibri"/>
          <w:sz w:val="22"/>
          <w:szCs w:val="22"/>
        </w:rPr>
        <w:t xml:space="preserve">Pierre, J., &amp; Peters, B.G. (2005). Governing complex societies: Trajectories and scenarios. Palgrave Macmillan. </w:t>
      </w:r>
    </w:p>
    <w:p w14:paraId="6A1AB3EA" w14:textId="77777777" w:rsidR="0031281E" w:rsidRPr="00E23C0C" w:rsidRDefault="0031281E" w:rsidP="0031281E">
      <w:pPr>
        <w:ind w:left="720" w:hanging="720"/>
        <w:jc w:val="both"/>
        <w:rPr>
          <w:rFonts w:cs="Calibri"/>
          <w:sz w:val="22"/>
          <w:szCs w:val="22"/>
        </w:rPr>
      </w:pPr>
      <w:r w:rsidRPr="00E23C0C">
        <w:rPr>
          <w:rFonts w:cs="Calibri"/>
          <w:sz w:val="22"/>
          <w:szCs w:val="22"/>
        </w:rPr>
        <w:t>Ritchie, B. W. (2004). Chaos, crises and disasters: a strategic approach to crisis management in the tourism industry. </w:t>
      </w:r>
      <w:r w:rsidRPr="00E23C0C">
        <w:rPr>
          <w:rFonts w:cs="Calibri"/>
          <w:i/>
          <w:sz w:val="22"/>
          <w:szCs w:val="22"/>
        </w:rPr>
        <w:t>Tourism Management, 25</w:t>
      </w:r>
      <w:r w:rsidRPr="00E23C0C">
        <w:rPr>
          <w:rFonts w:cs="Calibri"/>
          <w:sz w:val="22"/>
          <w:szCs w:val="22"/>
        </w:rPr>
        <w:t>(6), 669-683.</w:t>
      </w:r>
    </w:p>
    <w:p w14:paraId="1D7501A9" w14:textId="77777777" w:rsidR="0031281E" w:rsidRPr="00E23C0C" w:rsidRDefault="0031281E" w:rsidP="0031281E">
      <w:pPr>
        <w:ind w:left="720" w:hanging="720"/>
        <w:jc w:val="both"/>
        <w:rPr>
          <w:rFonts w:cs="Calibri"/>
          <w:sz w:val="22"/>
          <w:szCs w:val="22"/>
        </w:rPr>
      </w:pPr>
      <w:proofErr w:type="spellStart"/>
      <w:r w:rsidRPr="00E23C0C">
        <w:rPr>
          <w:rFonts w:cs="Calibri"/>
          <w:sz w:val="22"/>
          <w:szCs w:val="22"/>
        </w:rPr>
        <w:lastRenderedPageBreak/>
        <w:t>Scharpf</w:t>
      </w:r>
      <w:proofErr w:type="spellEnd"/>
      <w:r w:rsidRPr="00E23C0C">
        <w:rPr>
          <w:rFonts w:cs="Calibri"/>
          <w:sz w:val="22"/>
          <w:szCs w:val="22"/>
        </w:rPr>
        <w:t xml:space="preserve">, F. W. (1994). Games real actors could play: Positive and negative coordination in embedded negotiations. </w:t>
      </w:r>
      <w:r w:rsidRPr="00E23C0C">
        <w:rPr>
          <w:rFonts w:cs="Calibri"/>
          <w:i/>
          <w:sz w:val="22"/>
          <w:szCs w:val="22"/>
        </w:rPr>
        <w:t>Journal of Theoretical Politics, 6</w:t>
      </w:r>
      <w:r w:rsidRPr="00E23C0C">
        <w:rPr>
          <w:rFonts w:cs="Calibri"/>
          <w:sz w:val="22"/>
          <w:szCs w:val="22"/>
        </w:rPr>
        <w:t xml:space="preserve">(1), 27-53. </w:t>
      </w:r>
    </w:p>
    <w:p w14:paraId="2CCD6838"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Schulz, S. F., &amp; </w:t>
      </w:r>
      <w:proofErr w:type="spellStart"/>
      <w:r w:rsidRPr="00E23C0C">
        <w:rPr>
          <w:rFonts w:cs="Calibri"/>
          <w:sz w:val="22"/>
          <w:szCs w:val="22"/>
        </w:rPr>
        <w:t>Blecken</w:t>
      </w:r>
      <w:proofErr w:type="spellEnd"/>
      <w:r w:rsidRPr="00E23C0C">
        <w:rPr>
          <w:rFonts w:cs="Calibri"/>
          <w:sz w:val="22"/>
          <w:szCs w:val="22"/>
        </w:rPr>
        <w:t xml:space="preserve">, A. (2010). Horizontal cooperation in disaster relief logistics: benefits and impediments. </w:t>
      </w:r>
      <w:r w:rsidRPr="00E23C0C">
        <w:rPr>
          <w:rFonts w:cs="Calibri"/>
          <w:i/>
          <w:sz w:val="22"/>
          <w:szCs w:val="22"/>
        </w:rPr>
        <w:t>International Journal of Physical Distribution and Logistics Management, 40</w:t>
      </w:r>
      <w:r w:rsidRPr="00E23C0C">
        <w:rPr>
          <w:rFonts w:cs="Calibri"/>
          <w:sz w:val="22"/>
          <w:szCs w:val="22"/>
        </w:rPr>
        <w:t>(8/9), 636-656.</w:t>
      </w:r>
    </w:p>
    <w:p w14:paraId="5F23EC2E"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Scott, J. (2013). </w:t>
      </w:r>
      <w:r w:rsidRPr="00E23C0C">
        <w:rPr>
          <w:rFonts w:cs="Calibri"/>
          <w:i/>
          <w:noProof/>
          <w:sz w:val="22"/>
          <w:szCs w:val="22"/>
        </w:rPr>
        <w:t xml:space="preserve">Social network analysis </w:t>
      </w:r>
      <w:r w:rsidRPr="00E23C0C">
        <w:rPr>
          <w:rFonts w:cs="Calibri"/>
          <w:noProof/>
          <w:sz w:val="22"/>
          <w:szCs w:val="22"/>
        </w:rPr>
        <w:t>(3rd ed.).</w:t>
      </w:r>
      <w:r w:rsidRPr="00E23C0C">
        <w:rPr>
          <w:rFonts w:cs="Calibri"/>
          <w:i/>
          <w:noProof/>
          <w:sz w:val="22"/>
          <w:szCs w:val="22"/>
        </w:rPr>
        <w:t xml:space="preserve"> </w:t>
      </w:r>
      <w:r w:rsidRPr="00E23C0C">
        <w:rPr>
          <w:rFonts w:cs="Calibri"/>
          <w:noProof/>
          <w:sz w:val="22"/>
          <w:szCs w:val="22"/>
        </w:rPr>
        <w:t>Sage.</w:t>
      </w:r>
    </w:p>
    <w:p w14:paraId="002897A0" w14:textId="77777777" w:rsidR="0031281E" w:rsidRPr="00E23C0C" w:rsidRDefault="0031281E" w:rsidP="0031281E">
      <w:pPr>
        <w:ind w:left="720" w:hanging="720"/>
        <w:jc w:val="both"/>
        <w:rPr>
          <w:rFonts w:cs="Calibri"/>
          <w:sz w:val="22"/>
          <w:szCs w:val="22"/>
          <w:shd w:val="clear" w:color="auto" w:fill="FFFFFF"/>
        </w:rPr>
      </w:pPr>
      <w:r w:rsidRPr="00E23C0C">
        <w:rPr>
          <w:rFonts w:cs="Calibri"/>
          <w:sz w:val="22"/>
          <w:szCs w:val="22"/>
          <w:shd w:val="clear" w:color="auto" w:fill="FFFFFF"/>
        </w:rPr>
        <w:t>Seraphin, H. (2019). Natural disaster and destination management: The case of the Caribbean and hurricane Irma. </w:t>
      </w:r>
      <w:r w:rsidRPr="00E23C0C">
        <w:rPr>
          <w:rFonts w:cs="Calibri"/>
          <w:i/>
          <w:iCs/>
          <w:sz w:val="22"/>
          <w:szCs w:val="22"/>
          <w:shd w:val="clear" w:color="auto" w:fill="FFFFFF"/>
        </w:rPr>
        <w:t>Current Issues in Tourism</w:t>
      </w:r>
      <w:r w:rsidRPr="00E23C0C">
        <w:rPr>
          <w:rFonts w:cs="Calibri"/>
          <w:sz w:val="22"/>
          <w:szCs w:val="22"/>
          <w:shd w:val="clear" w:color="auto" w:fill="FFFFFF"/>
        </w:rPr>
        <w:t>, </w:t>
      </w:r>
      <w:r w:rsidRPr="00E23C0C">
        <w:rPr>
          <w:rFonts w:cs="Calibri"/>
          <w:i/>
          <w:iCs/>
          <w:sz w:val="22"/>
          <w:szCs w:val="22"/>
          <w:shd w:val="clear" w:color="auto" w:fill="FFFFFF"/>
        </w:rPr>
        <w:t>22</w:t>
      </w:r>
      <w:r w:rsidRPr="00E23C0C">
        <w:rPr>
          <w:rFonts w:cs="Calibri"/>
          <w:sz w:val="22"/>
          <w:szCs w:val="22"/>
          <w:shd w:val="clear" w:color="auto" w:fill="FFFFFF"/>
        </w:rPr>
        <w:t>(1), 21-28.</w:t>
      </w:r>
    </w:p>
    <w:p w14:paraId="304D92B8" w14:textId="77777777" w:rsidR="0031281E" w:rsidRPr="00E23C0C" w:rsidRDefault="0031281E" w:rsidP="0031281E">
      <w:pPr>
        <w:ind w:left="720" w:hanging="720"/>
        <w:jc w:val="both"/>
        <w:rPr>
          <w:rFonts w:cs="Calibri"/>
          <w:sz w:val="22"/>
          <w:szCs w:val="22"/>
          <w:shd w:val="clear" w:color="auto" w:fill="FFFFFF"/>
        </w:rPr>
      </w:pPr>
      <w:r w:rsidRPr="00E23C0C">
        <w:rPr>
          <w:rFonts w:cs="Calibri"/>
          <w:sz w:val="22"/>
          <w:szCs w:val="22"/>
          <w:shd w:val="clear" w:color="auto" w:fill="FFFFFF"/>
        </w:rPr>
        <w:t xml:space="preserve">Seraphin, H., </w:t>
      </w:r>
      <w:proofErr w:type="spellStart"/>
      <w:r w:rsidRPr="00E23C0C">
        <w:rPr>
          <w:rFonts w:cs="Calibri"/>
          <w:sz w:val="22"/>
          <w:szCs w:val="22"/>
          <w:shd w:val="clear" w:color="auto" w:fill="FFFFFF"/>
        </w:rPr>
        <w:t>Korstanje</w:t>
      </w:r>
      <w:proofErr w:type="spellEnd"/>
      <w:r w:rsidRPr="00E23C0C">
        <w:rPr>
          <w:rFonts w:cs="Calibri"/>
          <w:sz w:val="22"/>
          <w:szCs w:val="22"/>
          <w:shd w:val="clear" w:color="auto" w:fill="FFFFFF"/>
        </w:rPr>
        <w:t xml:space="preserve">, M., &amp; </w:t>
      </w:r>
      <w:proofErr w:type="spellStart"/>
      <w:r w:rsidRPr="00E23C0C">
        <w:rPr>
          <w:rFonts w:cs="Calibri"/>
          <w:sz w:val="22"/>
          <w:szCs w:val="22"/>
          <w:shd w:val="clear" w:color="auto" w:fill="FFFFFF"/>
        </w:rPr>
        <w:t>Gowreesunkar</w:t>
      </w:r>
      <w:proofErr w:type="spellEnd"/>
      <w:r w:rsidRPr="00E23C0C">
        <w:rPr>
          <w:rFonts w:cs="Calibri"/>
          <w:sz w:val="22"/>
          <w:szCs w:val="22"/>
          <w:shd w:val="clear" w:color="auto" w:fill="FFFFFF"/>
        </w:rPr>
        <w:t>, V. (2020). Diaspora and ambidextrous management of tourism in post-colonial, post-conflict and post-disaster destinations. </w:t>
      </w:r>
      <w:r w:rsidRPr="00E23C0C">
        <w:rPr>
          <w:rFonts w:cs="Calibri"/>
          <w:i/>
          <w:iCs/>
          <w:sz w:val="22"/>
          <w:szCs w:val="22"/>
          <w:shd w:val="clear" w:color="auto" w:fill="FFFFFF"/>
        </w:rPr>
        <w:t>Journal of Tourism and Cultural Change</w:t>
      </w:r>
      <w:r w:rsidRPr="00E23C0C">
        <w:rPr>
          <w:rFonts w:cs="Calibri"/>
          <w:sz w:val="22"/>
          <w:szCs w:val="22"/>
          <w:shd w:val="clear" w:color="auto" w:fill="FFFFFF"/>
        </w:rPr>
        <w:t>, </w:t>
      </w:r>
      <w:r w:rsidRPr="00E23C0C">
        <w:rPr>
          <w:rFonts w:cs="Calibri"/>
          <w:i/>
          <w:iCs/>
          <w:sz w:val="22"/>
          <w:szCs w:val="22"/>
          <w:shd w:val="clear" w:color="auto" w:fill="FFFFFF"/>
        </w:rPr>
        <w:t>18</w:t>
      </w:r>
      <w:r w:rsidRPr="00E23C0C">
        <w:rPr>
          <w:rFonts w:cs="Calibri"/>
          <w:sz w:val="22"/>
          <w:szCs w:val="22"/>
          <w:shd w:val="clear" w:color="auto" w:fill="FFFFFF"/>
        </w:rPr>
        <w:t>(2), 113-132.</w:t>
      </w:r>
    </w:p>
    <w:p w14:paraId="2B025C29" w14:textId="77777777" w:rsidR="0031281E" w:rsidRPr="00E23C0C" w:rsidRDefault="0031281E" w:rsidP="0031281E">
      <w:pPr>
        <w:ind w:left="720" w:hanging="720"/>
        <w:jc w:val="both"/>
        <w:rPr>
          <w:rFonts w:cs="Calibri"/>
          <w:sz w:val="22"/>
          <w:szCs w:val="22"/>
          <w:shd w:val="clear" w:color="auto" w:fill="FFFFFF"/>
        </w:rPr>
      </w:pPr>
      <w:r w:rsidRPr="00E23C0C">
        <w:rPr>
          <w:rFonts w:cs="Calibri"/>
          <w:sz w:val="22"/>
          <w:szCs w:val="22"/>
          <w:shd w:val="clear" w:color="auto" w:fill="FFFFFF"/>
        </w:rPr>
        <w:t xml:space="preserve">Shaw, R. (2006). Indian Ocean tsunami and aftermath: Need for environment-disaster synergy in the reconstruction process. </w:t>
      </w:r>
      <w:r w:rsidRPr="00E23C0C">
        <w:rPr>
          <w:rFonts w:cs="Calibri"/>
          <w:i/>
          <w:iCs/>
          <w:sz w:val="22"/>
          <w:szCs w:val="22"/>
          <w:shd w:val="clear" w:color="auto" w:fill="FFFFFF"/>
        </w:rPr>
        <w:t>Disaster Prevention and Management, 15</w:t>
      </w:r>
      <w:r w:rsidRPr="00E23C0C">
        <w:rPr>
          <w:rFonts w:cs="Calibri"/>
          <w:sz w:val="22"/>
          <w:szCs w:val="22"/>
          <w:shd w:val="clear" w:color="auto" w:fill="FFFFFF"/>
        </w:rPr>
        <w:t>(1), 5-20.</w:t>
      </w:r>
    </w:p>
    <w:p w14:paraId="1496656B" w14:textId="77777777" w:rsidR="0031281E" w:rsidRPr="00E23C0C" w:rsidRDefault="0031281E" w:rsidP="0031281E">
      <w:pPr>
        <w:ind w:left="720" w:hanging="720"/>
        <w:jc w:val="both"/>
        <w:rPr>
          <w:rFonts w:cs="Calibri"/>
          <w:sz w:val="22"/>
          <w:szCs w:val="22"/>
          <w:shd w:val="clear" w:color="auto" w:fill="FFFFFF"/>
        </w:rPr>
      </w:pPr>
      <w:r w:rsidRPr="00E23C0C">
        <w:rPr>
          <w:rFonts w:cs="Calibri"/>
          <w:sz w:val="22"/>
          <w:szCs w:val="22"/>
          <w:shd w:val="clear" w:color="auto" w:fill="FFFFFF"/>
        </w:rPr>
        <w:t>Shi, P. (2012). On the role of government in integrated disaster risk governance—Based on practices in China. </w:t>
      </w:r>
      <w:r w:rsidRPr="00E23C0C">
        <w:rPr>
          <w:rFonts w:cs="Calibri"/>
          <w:i/>
          <w:iCs/>
          <w:sz w:val="22"/>
          <w:szCs w:val="22"/>
          <w:shd w:val="clear" w:color="auto" w:fill="FFFFFF"/>
        </w:rPr>
        <w:t>International Journal of Disaster Risk Science</w:t>
      </w:r>
      <w:r w:rsidRPr="00E23C0C">
        <w:rPr>
          <w:rFonts w:cs="Calibri"/>
          <w:sz w:val="22"/>
          <w:szCs w:val="22"/>
          <w:shd w:val="clear" w:color="auto" w:fill="FFFFFF"/>
        </w:rPr>
        <w:t>, </w:t>
      </w:r>
      <w:r w:rsidRPr="00E23C0C">
        <w:rPr>
          <w:rFonts w:cs="Calibri"/>
          <w:i/>
          <w:iCs/>
          <w:sz w:val="22"/>
          <w:szCs w:val="22"/>
          <w:shd w:val="clear" w:color="auto" w:fill="FFFFFF"/>
        </w:rPr>
        <w:t>3</w:t>
      </w:r>
      <w:r w:rsidRPr="00E23C0C">
        <w:rPr>
          <w:rFonts w:cs="Calibri"/>
          <w:sz w:val="22"/>
          <w:szCs w:val="22"/>
          <w:shd w:val="clear" w:color="auto" w:fill="FFFFFF"/>
        </w:rPr>
        <w:t>(3), 139-146.</w:t>
      </w:r>
    </w:p>
    <w:p w14:paraId="68BD6926"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Tang, P., Deng, C., Shao, S., &amp; Shen, G. Q. (2017). Leveraging intergovernmental and cross-sectoral networks to manage nuclear power plant accidents: A case study from China. </w:t>
      </w:r>
      <w:r w:rsidRPr="00E23C0C">
        <w:rPr>
          <w:rFonts w:cs="Calibri"/>
          <w:i/>
          <w:noProof/>
          <w:sz w:val="22"/>
          <w:szCs w:val="22"/>
        </w:rPr>
        <w:t>Journal of Cleaner Production, 162,</w:t>
      </w:r>
      <w:r w:rsidRPr="00E23C0C">
        <w:rPr>
          <w:rFonts w:cs="Calibri"/>
          <w:noProof/>
          <w:sz w:val="22"/>
          <w:szCs w:val="22"/>
        </w:rPr>
        <w:t xml:space="preserve"> 1551-1566.</w:t>
      </w:r>
    </w:p>
    <w:p w14:paraId="1F49F2E1" w14:textId="77777777" w:rsidR="0031281E" w:rsidRPr="00E23C0C" w:rsidRDefault="0031281E" w:rsidP="0031281E">
      <w:pPr>
        <w:ind w:left="720" w:hanging="720"/>
        <w:jc w:val="both"/>
        <w:rPr>
          <w:rFonts w:cs="Calibri"/>
          <w:sz w:val="22"/>
          <w:szCs w:val="22"/>
        </w:rPr>
      </w:pPr>
      <w:proofErr w:type="spellStart"/>
      <w:r w:rsidRPr="00E23C0C">
        <w:rPr>
          <w:rFonts w:cs="Calibri"/>
          <w:sz w:val="22"/>
          <w:szCs w:val="22"/>
        </w:rPr>
        <w:t>Trias</w:t>
      </w:r>
      <w:proofErr w:type="spellEnd"/>
      <w:r w:rsidRPr="00E23C0C">
        <w:rPr>
          <w:rFonts w:cs="Calibri"/>
          <w:sz w:val="22"/>
          <w:szCs w:val="22"/>
        </w:rPr>
        <w:t xml:space="preserve">, A. P. L., Lassa, J., &amp; </w:t>
      </w:r>
      <w:proofErr w:type="spellStart"/>
      <w:r w:rsidRPr="00E23C0C">
        <w:rPr>
          <w:rFonts w:cs="Calibri"/>
          <w:sz w:val="22"/>
          <w:szCs w:val="22"/>
        </w:rPr>
        <w:t>Surjan</w:t>
      </w:r>
      <w:proofErr w:type="spellEnd"/>
      <w:r w:rsidRPr="00E23C0C">
        <w:rPr>
          <w:rFonts w:cs="Calibri"/>
          <w:sz w:val="22"/>
          <w:szCs w:val="22"/>
        </w:rPr>
        <w:t>, A. (2019). Connecting the actors, discovering the ties: Exploring disaster risk governance network in Asia and the Pacific. </w:t>
      </w:r>
      <w:r w:rsidRPr="00E23C0C">
        <w:rPr>
          <w:rFonts w:cs="Calibri"/>
          <w:i/>
          <w:sz w:val="22"/>
          <w:szCs w:val="22"/>
        </w:rPr>
        <w:t>International Journal of Disaster Risk Reduction, 33,</w:t>
      </w:r>
      <w:r w:rsidRPr="00E23C0C">
        <w:rPr>
          <w:rFonts w:cs="Calibri"/>
          <w:sz w:val="22"/>
          <w:szCs w:val="22"/>
        </w:rPr>
        <w:t xml:space="preserve"> 217-228. </w:t>
      </w:r>
    </w:p>
    <w:p w14:paraId="72F75AFB"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Wang, Y. (2011). Destination marketing and management: Scope, definition and structures. In Y. Wang, &amp; A. </w:t>
      </w:r>
      <w:proofErr w:type="spellStart"/>
      <w:r w:rsidRPr="00E23C0C">
        <w:rPr>
          <w:rFonts w:cs="Calibri"/>
          <w:sz w:val="22"/>
          <w:szCs w:val="22"/>
        </w:rPr>
        <w:t>Pizam</w:t>
      </w:r>
      <w:proofErr w:type="spellEnd"/>
      <w:r w:rsidRPr="00E23C0C">
        <w:rPr>
          <w:rFonts w:cs="Calibri"/>
          <w:sz w:val="22"/>
          <w:szCs w:val="22"/>
        </w:rPr>
        <w:t xml:space="preserve"> (Eds.). </w:t>
      </w:r>
      <w:r w:rsidRPr="00E23C0C">
        <w:rPr>
          <w:rFonts w:cs="Calibri"/>
          <w:i/>
          <w:iCs/>
          <w:sz w:val="22"/>
          <w:szCs w:val="22"/>
        </w:rPr>
        <w:t>Destination marketing and management: theories and applications</w:t>
      </w:r>
      <w:r w:rsidRPr="00E23C0C">
        <w:rPr>
          <w:rFonts w:cs="Calibri"/>
          <w:sz w:val="22"/>
          <w:szCs w:val="22"/>
        </w:rPr>
        <w:t xml:space="preserve"> (pp. 1-20). </w:t>
      </w:r>
    </w:p>
    <w:p w14:paraId="166A46B2"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Wasserman, S., &amp; Faust, K. (1994). Social network analysis: methods and applications.  Cambridge University Press.</w:t>
      </w:r>
    </w:p>
    <w:p w14:paraId="0626E9B8"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Whitehead, M. (2003). ‘In the shadow of hierarchy’: Meta-governance, policy reform and urban regeneration in the West Midlands. </w:t>
      </w:r>
      <w:r w:rsidRPr="00E23C0C">
        <w:rPr>
          <w:rFonts w:cs="Calibri"/>
          <w:i/>
          <w:sz w:val="22"/>
          <w:szCs w:val="22"/>
        </w:rPr>
        <w:t>Area, 35</w:t>
      </w:r>
      <w:r w:rsidRPr="00E23C0C">
        <w:rPr>
          <w:rFonts w:cs="Calibri"/>
          <w:sz w:val="22"/>
          <w:szCs w:val="22"/>
        </w:rPr>
        <w:t xml:space="preserve">(1), 6-14. </w:t>
      </w:r>
    </w:p>
    <w:p w14:paraId="1DE0DD29" w14:textId="77777777" w:rsidR="0031281E" w:rsidRPr="00E23C0C" w:rsidRDefault="0031281E" w:rsidP="0031281E">
      <w:pPr>
        <w:ind w:left="720" w:hanging="720"/>
        <w:jc w:val="both"/>
        <w:rPr>
          <w:rFonts w:cs="Calibri"/>
          <w:noProof/>
          <w:sz w:val="22"/>
          <w:szCs w:val="22"/>
        </w:rPr>
      </w:pPr>
      <w:r w:rsidRPr="00E23C0C">
        <w:rPr>
          <w:rFonts w:cs="Calibri"/>
          <w:noProof/>
          <w:sz w:val="22"/>
          <w:szCs w:val="22"/>
        </w:rPr>
        <w:t xml:space="preserve">Wise, S. (2014). Can a team have too much cohesion? The dark side to network density. </w:t>
      </w:r>
      <w:r w:rsidRPr="00E23C0C">
        <w:rPr>
          <w:rFonts w:cs="Calibri"/>
          <w:i/>
          <w:iCs/>
          <w:noProof/>
          <w:sz w:val="22"/>
          <w:szCs w:val="22"/>
        </w:rPr>
        <w:t>European Management Journal</w:t>
      </w:r>
      <w:r w:rsidRPr="00E23C0C">
        <w:rPr>
          <w:rFonts w:cs="Calibri"/>
          <w:noProof/>
          <w:sz w:val="22"/>
          <w:szCs w:val="22"/>
        </w:rPr>
        <w:t>, 32(5), 703-711.</w:t>
      </w:r>
    </w:p>
    <w:p w14:paraId="569132E7" w14:textId="77777777" w:rsidR="0031281E" w:rsidRPr="00E23C0C" w:rsidRDefault="0031281E" w:rsidP="0031281E">
      <w:pPr>
        <w:ind w:left="720" w:hanging="720"/>
        <w:jc w:val="both"/>
        <w:rPr>
          <w:rFonts w:cs="Calibri"/>
          <w:sz w:val="22"/>
          <w:szCs w:val="22"/>
        </w:rPr>
      </w:pPr>
      <w:r w:rsidRPr="00E23C0C">
        <w:rPr>
          <w:rFonts w:cs="Calibri"/>
          <w:sz w:val="22"/>
          <w:szCs w:val="22"/>
        </w:rPr>
        <w:t xml:space="preserve">Xu, J., &amp; Lu, Y. (2013). A comparative study on the national counterpart aid model for post-disaster recovery and reconstruction. </w:t>
      </w:r>
      <w:r w:rsidRPr="00E23C0C">
        <w:rPr>
          <w:rFonts w:cs="Calibri"/>
          <w:i/>
          <w:iCs/>
          <w:sz w:val="22"/>
          <w:szCs w:val="22"/>
        </w:rPr>
        <w:t>Disaster Prevention and Management</w:t>
      </w:r>
      <w:r w:rsidRPr="00E23C0C">
        <w:rPr>
          <w:rFonts w:cs="Calibri"/>
          <w:sz w:val="22"/>
          <w:szCs w:val="22"/>
        </w:rPr>
        <w:t xml:space="preserve">, </w:t>
      </w:r>
      <w:r w:rsidRPr="00E23C0C">
        <w:rPr>
          <w:rFonts w:cs="Calibri"/>
          <w:i/>
          <w:iCs/>
          <w:sz w:val="22"/>
          <w:szCs w:val="22"/>
        </w:rPr>
        <w:t>22</w:t>
      </w:r>
      <w:r w:rsidRPr="00E23C0C">
        <w:rPr>
          <w:rFonts w:cs="Calibri"/>
          <w:sz w:val="22"/>
          <w:szCs w:val="22"/>
        </w:rPr>
        <w:t>(1),75-93.</w:t>
      </w:r>
    </w:p>
    <w:p w14:paraId="1B5AACED" w14:textId="77777777" w:rsidR="0031281E" w:rsidRPr="00E23C0C" w:rsidRDefault="0031281E" w:rsidP="0031281E">
      <w:pPr>
        <w:ind w:left="720" w:hanging="720"/>
        <w:jc w:val="both"/>
        <w:rPr>
          <w:rFonts w:cs="Calibri"/>
          <w:sz w:val="22"/>
          <w:szCs w:val="22"/>
          <w:shd w:val="clear" w:color="auto" w:fill="FFFFFF"/>
        </w:rPr>
      </w:pPr>
      <w:r w:rsidRPr="00E23C0C">
        <w:rPr>
          <w:rFonts w:cs="Calibri"/>
          <w:sz w:val="22"/>
          <w:szCs w:val="22"/>
          <w:shd w:val="clear" w:color="auto" w:fill="FFFFFF"/>
        </w:rPr>
        <w:t>Yang, W., Wang, D., &amp; Chen, G. (2011). Reconstruction strategies after the Wenchuan earthquake in Sichuan, China. </w:t>
      </w:r>
      <w:r w:rsidRPr="00E23C0C">
        <w:rPr>
          <w:rFonts w:cs="Calibri"/>
          <w:i/>
          <w:iCs/>
          <w:sz w:val="22"/>
          <w:szCs w:val="22"/>
          <w:shd w:val="clear" w:color="auto" w:fill="FFFFFF"/>
        </w:rPr>
        <w:t>Tourism Management</w:t>
      </w:r>
      <w:r w:rsidRPr="00E23C0C">
        <w:rPr>
          <w:rFonts w:cs="Calibri"/>
          <w:sz w:val="22"/>
          <w:szCs w:val="22"/>
          <w:shd w:val="clear" w:color="auto" w:fill="FFFFFF"/>
        </w:rPr>
        <w:t>, </w:t>
      </w:r>
      <w:r w:rsidRPr="00E23C0C">
        <w:rPr>
          <w:rFonts w:cs="Calibri"/>
          <w:i/>
          <w:iCs/>
          <w:sz w:val="22"/>
          <w:szCs w:val="22"/>
          <w:shd w:val="clear" w:color="auto" w:fill="FFFFFF"/>
        </w:rPr>
        <w:t>32</w:t>
      </w:r>
      <w:r w:rsidRPr="00E23C0C">
        <w:rPr>
          <w:rFonts w:cs="Calibri"/>
          <w:sz w:val="22"/>
          <w:szCs w:val="22"/>
          <w:shd w:val="clear" w:color="auto" w:fill="FFFFFF"/>
        </w:rPr>
        <w:t>(4), 949-956.</w:t>
      </w:r>
    </w:p>
    <w:p w14:paraId="00A8ADE2" w14:textId="77777777" w:rsidR="0031281E" w:rsidRPr="00E23C0C" w:rsidRDefault="0031281E" w:rsidP="0031281E">
      <w:pPr>
        <w:ind w:left="720" w:hanging="720"/>
        <w:jc w:val="both"/>
        <w:rPr>
          <w:rFonts w:cs="Calibri"/>
          <w:sz w:val="22"/>
          <w:szCs w:val="22"/>
          <w:shd w:val="clear" w:color="auto" w:fill="FFFFFF"/>
        </w:rPr>
      </w:pPr>
      <w:r w:rsidRPr="00E23C0C">
        <w:rPr>
          <w:rFonts w:cs="Calibri"/>
          <w:sz w:val="22"/>
          <w:szCs w:val="22"/>
          <w:shd w:val="clear" w:color="auto" w:fill="FFFFFF"/>
        </w:rPr>
        <w:t>Zhong, K., &amp; Lu, X. (2018). Exploring the administrative mechanism of China's Paired Assistance to Disaster Affected Areas programme. </w:t>
      </w:r>
      <w:r w:rsidRPr="00E23C0C">
        <w:rPr>
          <w:rFonts w:cs="Calibri"/>
          <w:i/>
          <w:iCs/>
          <w:sz w:val="22"/>
          <w:szCs w:val="22"/>
          <w:shd w:val="clear" w:color="auto" w:fill="FFFFFF"/>
        </w:rPr>
        <w:t>Disasters</w:t>
      </w:r>
      <w:r w:rsidRPr="00E23C0C">
        <w:rPr>
          <w:rFonts w:cs="Calibri"/>
          <w:sz w:val="22"/>
          <w:szCs w:val="22"/>
          <w:shd w:val="clear" w:color="auto" w:fill="FFFFFF"/>
        </w:rPr>
        <w:t>, </w:t>
      </w:r>
      <w:r w:rsidRPr="00E23C0C">
        <w:rPr>
          <w:rFonts w:cs="Calibri"/>
          <w:i/>
          <w:iCs/>
          <w:sz w:val="22"/>
          <w:szCs w:val="22"/>
          <w:shd w:val="clear" w:color="auto" w:fill="FFFFFF"/>
        </w:rPr>
        <w:t>42</w:t>
      </w:r>
      <w:r w:rsidRPr="00E23C0C">
        <w:rPr>
          <w:rFonts w:cs="Calibri"/>
          <w:sz w:val="22"/>
          <w:szCs w:val="22"/>
          <w:shd w:val="clear" w:color="auto" w:fill="FFFFFF"/>
        </w:rPr>
        <w:t>(3), 590-612.</w:t>
      </w:r>
    </w:p>
    <w:p w14:paraId="338D7F0C" w14:textId="5F462FEC" w:rsidR="00E23C0C" w:rsidRDefault="0031281E" w:rsidP="00B34207">
      <w:pPr>
        <w:ind w:left="720" w:hanging="720"/>
        <w:jc w:val="both"/>
        <w:rPr>
          <w:rFonts w:cs="Calibri"/>
          <w:sz w:val="22"/>
          <w:szCs w:val="22"/>
        </w:rPr>
      </w:pPr>
      <w:proofErr w:type="spellStart"/>
      <w:r w:rsidRPr="00E23C0C">
        <w:rPr>
          <w:rFonts w:cs="Calibri"/>
          <w:sz w:val="22"/>
          <w:szCs w:val="22"/>
        </w:rPr>
        <w:t>Zurita</w:t>
      </w:r>
      <w:proofErr w:type="spellEnd"/>
      <w:r w:rsidRPr="00E23C0C">
        <w:rPr>
          <w:rFonts w:cs="Calibri"/>
          <w:sz w:val="22"/>
          <w:szCs w:val="22"/>
        </w:rPr>
        <w:t>, M., Cook, B., Harms, L., &amp; March, A. (2015). Towards new disaster governance: subsidiarity as a critical tool. </w:t>
      </w:r>
      <w:r w:rsidRPr="00E23C0C">
        <w:rPr>
          <w:rFonts w:cs="Calibri"/>
          <w:i/>
          <w:sz w:val="22"/>
          <w:szCs w:val="22"/>
        </w:rPr>
        <w:t>Environmental Policy &amp; Governance, 25</w:t>
      </w:r>
      <w:r w:rsidRPr="00E23C0C">
        <w:rPr>
          <w:rFonts w:cs="Calibri"/>
          <w:sz w:val="22"/>
          <w:szCs w:val="22"/>
        </w:rPr>
        <w:t>(6), 386-339.</w:t>
      </w:r>
    </w:p>
    <w:p w14:paraId="22A94C26" w14:textId="77777777" w:rsidR="00E23C0C" w:rsidRDefault="00E23C0C">
      <w:pPr>
        <w:rPr>
          <w:rFonts w:cs="Calibri"/>
          <w:sz w:val="22"/>
          <w:szCs w:val="22"/>
        </w:rPr>
      </w:pPr>
      <w:r>
        <w:rPr>
          <w:rFonts w:cs="Calibri"/>
          <w:sz w:val="22"/>
          <w:szCs w:val="22"/>
        </w:rPr>
        <w:br w:type="page"/>
      </w:r>
    </w:p>
    <w:p w14:paraId="733727A8" w14:textId="77777777" w:rsidR="00E23C0C" w:rsidRPr="000F34DB" w:rsidRDefault="00E23C0C" w:rsidP="00E23C0C">
      <w:pPr>
        <w:spacing w:beforeLines="50" w:before="163" w:afterLines="50" w:after="163" w:line="400" w:lineRule="exact"/>
        <w:rPr>
          <w:rFonts w:cs="Calibri"/>
          <w:sz w:val="20"/>
          <w:szCs w:val="20"/>
        </w:rPr>
      </w:pPr>
      <w:r w:rsidRPr="000F34DB">
        <w:rPr>
          <w:rFonts w:cs="Calibri"/>
          <w:sz w:val="20"/>
          <w:szCs w:val="20"/>
        </w:rPr>
        <w:lastRenderedPageBreak/>
        <w:t xml:space="preserve">Table 1. Post-disaster destination management stages and the data collected  </w:t>
      </w:r>
    </w:p>
    <w:tbl>
      <w:tblPr>
        <w:tblW w:w="8222" w:type="dxa"/>
        <w:jc w:val="center"/>
        <w:tblLayout w:type="fixed"/>
        <w:tblLook w:val="04A0" w:firstRow="1" w:lastRow="0" w:firstColumn="1" w:lastColumn="0" w:noHBand="0" w:noVBand="1"/>
      </w:tblPr>
      <w:tblGrid>
        <w:gridCol w:w="2268"/>
        <w:gridCol w:w="2694"/>
        <w:gridCol w:w="3213"/>
        <w:gridCol w:w="47"/>
      </w:tblGrid>
      <w:tr w:rsidR="00E23C0C" w:rsidRPr="000F34DB" w14:paraId="193B6F85" w14:textId="77777777" w:rsidTr="00162986">
        <w:trPr>
          <w:jc w:val="center"/>
        </w:trPr>
        <w:tc>
          <w:tcPr>
            <w:tcW w:w="2268" w:type="dxa"/>
            <w:tcBorders>
              <w:top w:val="single" w:sz="4" w:space="0" w:color="auto"/>
              <w:bottom w:val="single" w:sz="4" w:space="0" w:color="auto"/>
            </w:tcBorders>
            <w:shd w:val="clear" w:color="auto" w:fill="auto"/>
          </w:tcPr>
          <w:p w14:paraId="25F95C3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Phase</w:t>
            </w:r>
          </w:p>
        </w:tc>
        <w:tc>
          <w:tcPr>
            <w:tcW w:w="2694" w:type="dxa"/>
            <w:tcBorders>
              <w:top w:val="single" w:sz="4" w:space="0" w:color="auto"/>
              <w:bottom w:val="single" w:sz="4" w:space="0" w:color="auto"/>
            </w:tcBorders>
            <w:shd w:val="clear" w:color="auto" w:fill="auto"/>
          </w:tcPr>
          <w:p w14:paraId="6A53209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Duration</w:t>
            </w:r>
          </w:p>
        </w:tc>
        <w:tc>
          <w:tcPr>
            <w:tcW w:w="3260" w:type="dxa"/>
            <w:gridSpan w:val="2"/>
            <w:tcBorders>
              <w:top w:val="single" w:sz="4" w:space="0" w:color="auto"/>
              <w:bottom w:val="single" w:sz="4" w:space="0" w:color="auto"/>
            </w:tcBorders>
            <w:shd w:val="clear" w:color="auto" w:fill="auto"/>
          </w:tcPr>
          <w:p w14:paraId="12170C3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Total number of secondary reports collected</w:t>
            </w:r>
          </w:p>
        </w:tc>
      </w:tr>
      <w:tr w:rsidR="00E23C0C" w:rsidRPr="000F34DB" w14:paraId="2DDDBB41" w14:textId="77777777" w:rsidTr="00162986">
        <w:trPr>
          <w:gridAfter w:val="1"/>
          <w:wAfter w:w="47" w:type="dxa"/>
          <w:jc w:val="center"/>
        </w:trPr>
        <w:tc>
          <w:tcPr>
            <w:tcW w:w="2268" w:type="dxa"/>
            <w:tcBorders>
              <w:top w:val="single" w:sz="4" w:space="0" w:color="auto"/>
            </w:tcBorders>
            <w:shd w:val="clear" w:color="auto" w:fill="auto"/>
          </w:tcPr>
          <w:p w14:paraId="1832123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Emergency stage</w:t>
            </w:r>
          </w:p>
        </w:tc>
        <w:tc>
          <w:tcPr>
            <w:tcW w:w="2694" w:type="dxa"/>
            <w:tcBorders>
              <w:top w:val="single" w:sz="4" w:space="0" w:color="auto"/>
            </w:tcBorders>
            <w:shd w:val="clear" w:color="auto" w:fill="auto"/>
          </w:tcPr>
          <w:p w14:paraId="53F28E9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From 08/08/2017 to 14/08/2017</w:t>
            </w:r>
          </w:p>
        </w:tc>
        <w:tc>
          <w:tcPr>
            <w:tcW w:w="3213" w:type="dxa"/>
            <w:tcBorders>
              <w:top w:val="single" w:sz="4" w:space="0" w:color="auto"/>
            </w:tcBorders>
            <w:shd w:val="clear" w:color="auto" w:fill="auto"/>
          </w:tcPr>
          <w:p w14:paraId="1B552E4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8</w:t>
            </w:r>
          </w:p>
        </w:tc>
      </w:tr>
      <w:tr w:rsidR="00E23C0C" w:rsidRPr="000F34DB" w14:paraId="64245DD6" w14:textId="77777777" w:rsidTr="00162986">
        <w:trPr>
          <w:gridAfter w:val="1"/>
          <w:wAfter w:w="47" w:type="dxa"/>
          <w:jc w:val="center"/>
        </w:trPr>
        <w:tc>
          <w:tcPr>
            <w:tcW w:w="2268" w:type="dxa"/>
            <w:shd w:val="clear" w:color="auto" w:fill="auto"/>
          </w:tcPr>
          <w:p w14:paraId="2E65757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Intermediate stage</w:t>
            </w:r>
          </w:p>
        </w:tc>
        <w:tc>
          <w:tcPr>
            <w:tcW w:w="2694" w:type="dxa"/>
            <w:shd w:val="clear" w:color="auto" w:fill="auto"/>
          </w:tcPr>
          <w:p w14:paraId="05575F2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From 15/08/2017 to 07/11/2017</w:t>
            </w:r>
          </w:p>
        </w:tc>
        <w:tc>
          <w:tcPr>
            <w:tcW w:w="3213" w:type="dxa"/>
            <w:shd w:val="clear" w:color="auto" w:fill="auto"/>
          </w:tcPr>
          <w:p w14:paraId="03EADCC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12</w:t>
            </w:r>
          </w:p>
        </w:tc>
      </w:tr>
      <w:tr w:rsidR="00E23C0C" w:rsidRPr="000F34DB" w14:paraId="3BDBAB61" w14:textId="77777777" w:rsidTr="00162986">
        <w:trPr>
          <w:gridAfter w:val="1"/>
          <w:wAfter w:w="47" w:type="dxa"/>
          <w:jc w:val="center"/>
        </w:trPr>
        <w:tc>
          <w:tcPr>
            <w:tcW w:w="2268" w:type="dxa"/>
            <w:tcBorders>
              <w:bottom w:val="single" w:sz="4" w:space="0" w:color="auto"/>
            </w:tcBorders>
            <w:shd w:val="clear" w:color="auto" w:fill="auto"/>
          </w:tcPr>
          <w:p w14:paraId="6230C6A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Long-term recovery stage</w:t>
            </w:r>
          </w:p>
        </w:tc>
        <w:tc>
          <w:tcPr>
            <w:tcW w:w="2694" w:type="dxa"/>
            <w:tcBorders>
              <w:bottom w:val="single" w:sz="4" w:space="0" w:color="auto"/>
            </w:tcBorders>
            <w:shd w:val="clear" w:color="auto" w:fill="auto"/>
          </w:tcPr>
          <w:p w14:paraId="04414AA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From 08/11/2017 to 08/08/2019</w:t>
            </w:r>
          </w:p>
        </w:tc>
        <w:tc>
          <w:tcPr>
            <w:tcW w:w="3213" w:type="dxa"/>
            <w:tcBorders>
              <w:bottom w:val="single" w:sz="4" w:space="0" w:color="auto"/>
            </w:tcBorders>
            <w:shd w:val="clear" w:color="auto" w:fill="auto"/>
          </w:tcPr>
          <w:p w14:paraId="57D9068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48</w:t>
            </w:r>
          </w:p>
        </w:tc>
      </w:tr>
      <w:tr w:rsidR="00E23C0C" w:rsidRPr="000F34DB" w14:paraId="07766CCD" w14:textId="77777777" w:rsidTr="00162986">
        <w:trPr>
          <w:gridAfter w:val="1"/>
          <w:wAfter w:w="47" w:type="dxa"/>
          <w:jc w:val="center"/>
        </w:trPr>
        <w:tc>
          <w:tcPr>
            <w:tcW w:w="8175" w:type="dxa"/>
            <w:gridSpan w:val="3"/>
            <w:tcBorders>
              <w:top w:val="single" w:sz="4" w:space="0" w:color="auto"/>
              <w:bottom w:val="single" w:sz="4" w:space="0" w:color="auto"/>
            </w:tcBorders>
            <w:shd w:val="clear" w:color="auto" w:fill="auto"/>
          </w:tcPr>
          <w:p w14:paraId="754A6F44"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Data sources:</w:t>
            </w:r>
          </w:p>
          <w:p w14:paraId="439B8B66" w14:textId="77777777" w:rsidR="00E23C0C" w:rsidRPr="000F34DB" w:rsidRDefault="00E23C0C" w:rsidP="00162986">
            <w:pPr>
              <w:spacing w:line="240" w:lineRule="exact"/>
              <w:rPr>
                <w:rFonts w:eastAsia="DengXian" w:cs="Calibri"/>
                <w:sz w:val="20"/>
                <w:szCs w:val="20"/>
              </w:rPr>
            </w:pPr>
            <w:proofErr w:type="spellStart"/>
            <w:r w:rsidRPr="000F34DB">
              <w:rPr>
                <w:rFonts w:eastAsia="DengXian" w:cs="Calibri"/>
                <w:sz w:val="20"/>
                <w:szCs w:val="20"/>
              </w:rPr>
              <w:t>Jiuzhaigou</w:t>
            </w:r>
            <w:proofErr w:type="spellEnd"/>
            <w:r w:rsidRPr="000F34DB">
              <w:rPr>
                <w:rFonts w:eastAsia="DengXian" w:cs="Calibri"/>
                <w:sz w:val="20"/>
                <w:szCs w:val="20"/>
              </w:rPr>
              <w:t xml:space="preserve"> Administration Bureau website (</w:t>
            </w:r>
            <w:hyperlink r:id="rId8" w:history="1">
              <w:r w:rsidRPr="000F34DB">
                <w:rPr>
                  <w:rFonts w:eastAsia="DengXian" w:cs="Calibri"/>
                  <w:sz w:val="20"/>
                  <w:szCs w:val="20"/>
                </w:rPr>
                <w:t>https://www.jiuzhai.com/</w:t>
              </w:r>
            </w:hyperlink>
            <w:r w:rsidRPr="000F34DB">
              <w:rPr>
                <w:rFonts w:eastAsia="DengXian" w:cs="Calibri"/>
                <w:sz w:val="20"/>
                <w:szCs w:val="20"/>
              </w:rPr>
              <w:t>)</w:t>
            </w:r>
          </w:p>
          <w:p w14:paraId="413FA018" w14:textId="77777777" w:rsidR="00E23C0C" w:rsidRPr="000F34DB" w:rsidRDefault="00E23C0C" w:rsidP="00162986">
            <w:pPr>
              <w:spacing w:line="240" w:lineRule="exact"/>
              <w:rPr>
                <w:rFonts w:eastAsia="DengXian" w:cs="Calibri"/>
                <w:sz w:val="20"/>
                <w:szCs w:val="20"/>
              </w:rPr>
            </w:pPr>
            <w:proofErr w:type="spellStart"/>
            <w:r w:rsidRPr="000F34DB">
              <w:rPr>
                <w:rFonts w:eastAsia="DengXian" w:cs="Calibri"/>
                <w:sz w:val="20"/>
                <w:szCs w:val="20"/>
              </w:rPr>
              <w:t>Jiuzhaigou</w:t>
            </w:r>
            <w:proofErr w:type="spellEnd"/>
            <w:r w:rsidRPr="000F34DB">
              <w:rPr>
                <w:rFonts w:eastAsia="DengXian" w:cs="Calibri"/>
                <w:sz w:val="20"/>
                <w:szCs w:val="20"/>
              </w:rPr>
              <w:t xml:space="preserve"> County Government website (</w:t>
            </w:r>
            <w:hyperlink r:id="rId9" w:history="1">
              <w:r w:rsidRPr="000F34DB">
                <w:rPr>
                  <w:rFonts w:eastAsia="DengXian" w:cs="Calibri"/>
                  <w:sz w:val="20"/>
                  <w:szCs w:val="20"/>
                </w:rPr>
                <w:t>http://www.jzg.gov.cn/</w:t>
              </w:r>
            </w:hyperlink>
            <w:r w:rsidRPr="000F34DB">
              <w:rPr>
                <w:rFonts w:eastAsia="DengXian" w:cs="Calibri"/>
                <w:sz w:val="20"/>
                <w:szCs w:val="20"/>
              </w:rPr>
              <w:t>)</w:t>
            </w:r>
          </w:p>
          <w:p w14:paraId="40EDA2F8"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Aba Autonomous Prefecture website (</w:t>
            </w:r>
            <w:hyperlink r:id="rId10" w:history="1">
              <w:r w:rsidRPr="000F34DB">
                <w:rPr>
                  <w:rFonts w:eastAsia="DengXian" w:cs="Calibri"/>
                  <w:sz w:val="20"/>
                  <w:szCs w:val="20"/>
                </w:rPr>
                <w:t>http://www.abazhou.gov.cn/</w:t>
              </w:r>
            </w:hyperlink>
            <w:r w:rsidRPr="000F34DB">
              <w:rPr>
                <w:rFonts w:eastAsia="DengXian" w:cs="Calibri"/>
                <w:sz w:val="20"/>
                <w:szCs w:val="20"/>
              </w:rPr>
              <w:t>)</w:t>
            </w:r>
          </w:p>
          <w:p w14:paraId="7791CD4C"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Sichuan Province Government website (</w:t>
            </w:r>
            <w:hyperlink r:id="rId11" w:history="1">
              <w:r w:rsidRPr="000F34DB">
                <w:rPr>
                  <w:rFonts w:eastAsia="DengXian" w:cs="Calibri"/>
                  <w:sz w:val="20"/>
                  <w:szCs w:val="20"/>
                </w:rPr>
                <w:t>https://www.sc.gov.cn/</w:t>
              </w:r>
            </w:hyperlink>
            <w:r w:rsidRPr="000F34DB">
              <w:rPr>
                <w:rFonts w:eastAsia="DengXian" w:cs="Calibri"/>
                <w:sz w:val="20"/>
                <w:szCs w:val="20"/>
              </w:rPr>
              <w:t>)</w:t>
            </w:r>
          </w:p>
          <w:p w14:paraId="2F7DC835"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Chinese Government website (</w:t>
            </w:r>
            <w:hyperlink r:id="rId12" w:history="1">
              <w:r w:rsidRPr="000F34DB">
                <w:rPr>
                  <w:rFonts w:eastAsia="DengXian" w:cs="Calibri"/>
                  <w:sz w:val="20"/>
                  <w:szCs w:val="20"/>
                </w:rPr>
                <w:t>http://www.gov.cn/</w:t>
              </w:r>
            </w:hyperlink>
            <w:r w:rsidRPr="000F34DB">
              <w:rPr>
                <w:rFonts w:eastAsia="DengXian" w:cs="Calibri"/>
                <w:sz w:val="20"/>
                <w:szCs w:val="20"/>
              </w:rPr>
              <w:t xml:space="preserve">) </w:t>
            </w:r>
          </w:p>
        </w:tc>
      </w:tr>
    </w:tbl>
    <w:p w14:paraId="6538BC41" w14:textId="77777777" w:rsidR="00E23C0C" w:rsidRPr="000F34DB" w:rsidRDefault="00E23C0C" w:rsidP="00E23C0C">
      <w:pPr>
        <w:spacing w:beforeLines="50" w:before="163" w:afterLines="50" w:after="163" w:line="400" w:lineRule="exact"/>
        <w:rPr>
          <w:rFonts w:cs="Calibri"/>
          <w:sz w:val="20"/>
          <w:szCs w:val="20"/>
        </w:rPr>
      </w:pPr>
    </w:p>
    <w:p w14:paraId="4C9AE3E7" w14:textId="77777777" w:rsidR="00E23C0C" w:rsidRPr="000F34DB" w:rsidRDefault="00E23C0C" w:rsidP="00E23C0C">
      <w:pPr>
        <w:spacing w:beforeLines="50" w:before="163" w:afterLines="50" w:after="163" w:line="400" w:lineRule="exact"/>
        <w:jc w:val="both"/>
        <w:rPr>
          <w:rFonts w:cs="Calibri"/>
          <w:sz w:val="20"/>
          <w:szCs w:val="20"/>
        </w:rPr>
      </w:pPr>
      <w:r w:rsidRPr="000F34DB">
        <w:rPr>
          <w:rFonts w:cs="Calibri"/>
          <w:sz w:val="20"/>
          <w:szCs w:val="20"/>
        </w:rPr>
        <w:t xml:space="preserve">Table 2. 49 government sectors that participated in the post-disaster destination management of </w:t>
      </w:r>
      <w:proofErr w:type="spellStart"/>
      <w:r w:rsidRPr="000F34DB">
        <w:rPr>
          <w:rFonts w:cs="Calibri"/>
          <w:sz w:val="20"/>
          <w:szCs w:val="20"/>
        </w:rPr>
        <w:t>Jiuzhaigou</w:t>
      </w:r>
      <w:proofErr w:type="spellEnd"/>
      <w:r w:rsidRPr="000F34DB">
        <w:rPr>
          <w:rFonts w:cs="Calibri"/>
          <w:sz w:val="20"/>
          <w:szCs w:val="20"/>
        </w:rPr>
        <w:t xml:space="preserve"> National Park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1954"/>
        <w:gridCol w:w="5820"/>
      </w:tblGrid>
      <w:tr w:rsidR="00E23C0C" w:rsidRPr="000F34DB" w14:paraId="2C93987D" w14:textId="77777777" w:rsidTr="00162986">
        <w:tc>
          <w:tcPr>
            <w:tcW w:w="534" w:type="dxa"/>
            <w:tcBorders>
              <w:top w:val="single" w:sz="4" w:space="0" w:color="auto"/>
              <w:bottom w:val="single" w:sz="4" w:space="0" w:color="auto"/>
            </w:tcBorders>
            <w:vAlign w:val="center"/>
          </w:tcPr>
          <w:p w14:paraId="6D25EA0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No.</w:t>
            </w:r>
          </w:p>
        </w:tc>
        <w:tc>
          <w:tcPr>
            <w:tcW w:w="1984" w:type="dxa"/>
            <w:tcBorders>
              <w:top w:val="single" w:sz="4" w:space="0" w:color="auto"/>
              <w:bottom w:val="single" w:sz="4" w:space="0" w:color="auto"/>
            </w:tcBorders>
            <w:vAlign w:val="center"/>
          </w:tcPr>
          <w:p w14:paraId="6290424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Government sector</w:t>
            </w:r>
          </w:p>
        </w:tc>
        <w:tc>
          <w:tcPr>
            <w:tcW w:w="6004" w:type="dxa"/>
            <w:tcBorders>
              <w:top w:val="single" w:sz="4" w:space="0" w:color="auto"/>
              <w:bottom w:val="single" w:sz="4" w:space="0" w:color="auto"/>
            </w:tcBorders>
            <w:vAlign w:val="center"/>
          </w:tcPr>
          <w:p w14:paraId="534C2E2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Full title</w:t>
            </w:r>
          </w:p>
        </w:tc>
      </w:tr>
      <w:tr w:rsidR="00E23C0C" w:rsidRPr="000F34DB" w14:paraId="45455612" w14:textId="77777777" w:rsidTr="00162986">
        <w:tc>
          <w:tcPr>
            <w:tcW w:w="534" w:type="dxa"/>
            <w:tcBorders>
              <w:top w:val="single" w:sz="4" w:space="0" w:color="auto"/>
            </w:tcBorders>
            <w:vAlign w:val="center"/>
          </w:tcPr>
          <w:p w14:paraId="354DB2B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w:t>
            </w:r>
          </w:p>
        </w:tc>
        <w:tc>
          <w:tcPr>
            <w:tcW w:w="1984" w:type="dxa"/>
            <w:tcBorders>
              <w:top w:val="single" w:sz="4" w:space="0" w:color="auto"/>
            </w:tcBorders>
            <w:vAlign w:val="center"/>
          </w:tcPr>
          <w:p w14:paraId="00CE4FB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w:t>
            </w:r>
          </w:p>
        </w:tc>
        <w:tc>
          <w:tcPr>
            <w:tcW w:w="6004" w:type="dxa"/>
            <w:tcBorders>
              <w:top w:val="single" w:sz="4" w:space="0" w:color="auto"/>
            </w:tcBorders>
            <w:vAlign w:val="center"/>
          </w:tcPr>
          <w:p w14:paraId="05D486D5"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 xml:space="preserve">Administration Bureau of </w:t>
            </w:r>
            <w:proofErr w:type="spellStart"/>
            <w:r w:rsidRPr="000F34DB">
              <w:rPr>
                <w:rFonts w:eastAsia="DengXian" w:cs="Calibri"/>
                <w:sz w:val="20"/>
                <w:szCs w:val="20"/>
              </w:rPr>
              <w:t>Jiuzhaigou</w:t>
            </w:r>
            <w:proofErr w:type="spellEnd"/>
            <w:r w:rsidRPr="000F34DB">
              <w:rPr>
                <w:rFonts w:eastAsia="DengXian" w:cs="Calibri"/>
                <w:sz w:val="20"/>
                <w:szCs w:val="20"/>
              </w:rPr>
              <w:t xml:space="preserve"> National Park</w:t>
            </w:r>
          </w:p>
        </w:tc>
      </w:tr>
      <w:tr w:rsidR="00E23C0C" w:rsidRPr="000F34DB" w14:paraId="447EF828" w14:textId="77777777" w:rsidTr="00162986">
        <w:tc>
          <w:tcPr>
            <w:tcW w:w="534" w:type="dxa"/>
            <w:vAlign w:val="center"/>
          </w:tcPr>
          <w:p w14:paraId="1003DAD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w:t>
            </w:r>
          </w:p>
        </w:tc>
        <w:tc>
          <w:tcPr>
            <w:tcW w:w="1984" w:type="dxa"/>
            <w:vAlign w:val="center"/>
          </w:tcPr>
          <w:p w14:paraId="7EEE828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GJ</w:t>
            </w:r>
          </w:p>
        </w:tc>
        <w:tc>
          <w:tcPr>
            <w:tcW w:w="6004" w:type="dxa"/>
            <w:vAlign w:val="center"/>
          </w:tcPr>
          <w:p w14:paraId="1F135A61" w14:textId="77777777" w:rsidR="00E23C0C" w:rsidRPr="000F34DB" w:rsidRDefault="00E23C0C" w:rsidP="00162986">
            <w:pPr>
              <w:spacing w:line="240" w:lineRule="exact"/>
              <w:rPr>
                <w:rFonts w:eastAsia="DengXian" w:cs="Calibri"/>
                <w:sz w:val="20"/>
                <w:szCs w:val="20"/>
              </w:rPr>
            </w:pPr>
            <w:proofErr w:type="spellStart"/>
            <w:r w:rsidRPr="000F34DB">
              <w:rPr>
                <w:rFonts w:eastAsia="DengXian" w:cs="Calibri"/>
                <w:sz w:val="20"/>
                <w:szCs w:val="20"/>
              </w:rPr>
              <w:t>Jiuzhaigou</w:t>
            </w:r>
            <w:proofErr w:type="spellEnd"/>
            <w:r w:rsidRPr="000F34DB">
              <w:rPr>
                <w:rFonts w:eastAsia="DengXian" w:cs="Calibri"/>
                <w:sz w:val="20"/>
                <w:szCs w:val="20"/>
              </w:rPr>
              <w:t xml:space="preserve"> County government</w:t>
            </w:r>
          </w:p>
        </w:tc>
      </w:tr>
      <w:tr w:rsidR="00E23C0C" w:rsidRPr="000F34DB" w14:paraId="3B8AD398" w14:textId="77777777" w:rsidTr="00162986">
        <w:tc>
          <w:tcPr>
            <w:tcW w:w="534" w:type="dxa"/>
            <w:vAlign w:val="center"/>
          </w:tcPr>
          <w:p w14:paraId="5602E3D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c>
          <w:tcPr>
            <w:tcW w:w="1984" w:type="dxa"/>
            <w:vAlign w:val="center"/>
          </w:tcPr>
          <w:p w14:paraId="47EC33C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DCJ</w:t>
            </w:r>
          </w:p>
        </w:tc>
        <w:tc>
          <w:tcPr>
            <w:tcW w:w="6004" w:type="dxa"/>
            <w:vAlign w:val="center"/>
          </w:tcPr>
          <w:p w14:paraId="4B8B56B9"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 xml:space="preserve">Department of Construction of </w:t>
            </w:r>
            <w:proofErr w:type="spellStart"/>
            <w:r w:rsidRPr="000F34DB">
              <w:rPr>
                <w:rFonts w:eastAsia="DengXian" w:cs="Calibri"/>
                <w:sz w:val="20"/>
                <w:szCs w:val="20"/>
              </w:rPr>
              <w:t>Jiuzhaigou</w:t>
            </w:r>
            <w:proofErr w:type="spellEnd"/>
            <w:r w:rsidRPr="000F34DB">
              <w:rPr>
                <w:rFonts w:eastAsia="DengXian" w:cs="Calibri"/>
                <w:sz w:val="20"/>
                <w:szCs w:val="20"/>
              </w:rPr>
              <w:t xml:space="preserve"> County</w:t>
            </w:r>
          </w:p>
        </w:tc>
      </w:tr>
      <w:tr w:rsidR="00E23C0C" w:rsidRPr="000F34DB" w14:paraId="3FA16831" w14:textId="77777777" w:rsidTr="00162986">
        <w:trPr>
          <w:trHeight w:val="57"/>
        </w:trPr>
        <w:tc>
          <w:tcPr>
            <w:tcW w:w="534" w:type="dxa"/>
            <w:vAlign w:val="center"/>
          </w:tcPr>
          <w:p w14:paraId="57E446A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c>
          <w:tcPr>
            <w:tcW w:w="1984" w:type="dxa"/>
            <w:vAlign w:val="center"/>
          </w:tcPr>
          <w:p w14:paraId="6B769B9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DFJ</w:t>
            </w:r>
          </w:p>
        </w:tc>
        <w:tc>
          <w:tcPr>
            <w:tcW w:w="6004" w:type="dxa"/>
            <w:vAlign w:val="center"/>
          </w:tcPr>
          <w:p w14:paraId="403B57BB"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 xml:space="preserve">Department of Finance of </w:t>
            </w:r>
            <w:proofErr w:type="spellStart"/>
            <w:r w:rsidRPr="000F34DB">
              <w:rPr>
                <w:rFonts w:eastAsia="DengXian" w:cs="Calibri"/>
                <w:sz w:val="20"/>
                <w:szCs w:val="20"/>
              </w:rPr>
              <w:t>Jiuzhaigou</w:t>
            </w:r>
            <w:proofErr w:type="spellEnd"/>
          </w:p>
        </w:tc>
      </w:tr>
      <w:tr w:rsidR="00E23C0C" w:rsidRPr="000F34DB" w14:paraId="6B7E90D5" w14:textId="77777777" w:rsidTr="00162986">
        <w:tc>
          <w:tcPr>
            <w:tcW w:w="534" w:type="dxa"/>
            <w:vAlign w:val="center"/>
          </w:tcPr>
          <w:p w14:paraId="2E26EFA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w:t>
            </w:r>
          </w:p>
        </w:tc>
        <w:tc>
          <w:tcPr>
            <w:tcW w:w="1984" w:type="dxa"/>
            <w:vAlign w:val="center"/>
          </w:tcPr>
          <w:p w14:paraId="26C58B7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DRCJ</w:t>
            </w:r>
          </w:p>
        </w:tc>
        <w:tc>
          <w:tcPr>
            <w:tcW w:w="6004" w:type="dxa"/>
            <w:vAlign w:val="center"/>
          </w:tcPr>
          <w:p w14:paraId="03839F2F"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Development</w:t>
            </w:r>
            <w:r w:rsidRPr="000F34DB">
              <w:rPr>
                <w:rFonts w:eastAsia="DengXian" w:cs="Calibri"/>
                <w:sz w:val="20"/>
                <w:szCs w:val="20"/>
              </w:rPr>
              <w:t> </w:t>
            </w:r>
            <w:r w:rsidRPr="000F34DB">
              <w:rPr>
                <w:rFonts w:eastAsia="DengXian" w:cs="Calibri"/>
                <w:sz w:val="20"/>
                <w:szCs w:val="20"/>
              </w:rPr>
              <w:t>and</w:t>
            </w:r>
            <w:r w:rsidRPr="000F34DB">
              <w:rPr>
                <w:rFonts w:eastAsia="DengXian" w:cs="Calibri"/>
                <w:sz w:val="20"/>
                <w:szCs w:val="20"/>
              </w:rPr>
              <w:t> </w:t>
            </w:r>
            <w:r w:rsidRPr="000F34DB">
              <w:rPr>
                <w:rFonts w:eastAsia="DengXian" w:cs="Calibri"/>
                <w:sz w:val="20"/>
                <w:szCs w:val="20"/>
              </w:rPr>
              <w:t>Reform</w:t>
            </w:r>
            <w:r w:rsidRPr="000F34DB">
              <w:rPr>
                <w:rFonts w:eastAsia="DengXian" w:cs="Calibri"/>
                <w:sz w:val="20"/>
                <w:szCs w:val="20"/>
              </w:rPr>
              <w:t> </w:t>
            </w:r>
            <w:r w:rsidRPr="000F34DB">
              <w:rPr>
                <w:rFonts w:eastAsia="DengXian" w:cs="Calibri"/>
                <w:sz w:val="20"/>
                <w:szCs w:val="20"/>
              </w:rPr>
              <w:t xml:space="preserve">Commission of </w:t>
            </w:r>
            <w:proofErr w:type="spellStart"/>
            <w:r w:rsidRPr="000F34DB">
              <w:rPr>
                <w:rFonts w:eastAsia="DengXian" w:cs="Calibri"/>
                <w:sz w:val="20"/>
                <w:szCs w:val="20"/>
              </w:rPr>
              <w:t>Jiuzhaigou</w:t>
            </w:r>
            <w:proofErr w:type="spellEnd"/>
            <w:r w:rsidRPr="000F34DB">
              <w:rPr>
                <w:rFonts w:eastAsia="DengXian" w:cs="Calibri"/>
                <w:sz w:val="20"/>
                <w:szCs w:val="20"/>
              </w:rPr>
              <w:t xml:space="preserve"> county</w:t>
            </w:r>
          </w:p>
        </w:tc>
      </w:tr>
      <w:tr w:rsidR="00E23C0C" w:rsidRPr="000F34DB" w14:paraId="1D9720D1" w14:textId="77777777" w:rsidTr="00162986">
        <w:tc>
          <w:tcPr>
            <w:tcW w:w="534" w:type="dxa"/>
            <w:vAlign w:val="center"/>
          </w:tcPr>
          <w:p w14:paraId="7187358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w:t>
            </w:r>
          </w:p>
        </w:tc>
        <w:tc>
          <w:tcPr>
            <w:tcW w:w="1984" w:type="dxa"/>
            <w:vAlign w:val="center"/>
          </w:tcPr>
          <w:p w14:paraId="6B1CBF6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FGBJ</w:t>
            </w:r>
          </w:p>
        </w:tc>
        <w:tc>
          <w:tcPr>
            <w:tcW w:w="6004" w:type="dxa"/>
            <w:vAlign w:val="center"/>
          </w:tcPr>
          <w:p w14:paraId="48E89489"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 xml:space="preserve">Forestry and Grass Bureau of </w:t>
            </w:r>
            <w:proofErr w:type="spellStart"/>
            <w:r w:rsidRPr="000F34DB">
              <w:rPr>
                <w:rFonts w:eastAsia="DengXian" w:cs="Calibri"/>
                <w:sz w:val="20"/>
                <w:szCs w:val="20"/>
              </w:rPr>
              <w:t>Jiuzhaigou</w:t>
            </w:r>
            <w:proofErr w:type="spellEnd"/>
            <w:r w:rsidRPr="000F34DB">
              <w:rPr>
                <w:rFonts w:eastAsia="DengXian" w:cs="Calibri"/>
                <w:sz w:val="20"/>
                <w:szCs w:val="20"/>
              </w:rPr>
              <w:t xml:space="preserve"> County</w:t>
            </w:r>
          </w:p>
        </w:tc>
      </w:tr>
      <w:tr w:rsidR="00E23C0C" w:rsidRPr="000F34DB" w14:paraId="1225EF72" w14:textId="77777777" w:rsidTr="00162986">
        <w:tc>
          <w:tcPr>
            <w:tcW w:w="534" w:type="dxa"/>
            <w:vAlign w:val="center"/>
          </w:tcPr>
          <w:p w14:paraId="49D2AB9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7</w:t>
            </w:r>
          </w:p>
        </w:tc>
        <w:tc>
          <w:tcPr>
            <w:tcW w:w="1984" w:type="dxa"/>
            <w:vAlign w:val="center"/>
          </w:tcPr>
          <w:p w14:paraId="320EC75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SFJ</w:t>
            </w:r>
          </w:p>
        </w:tc>
        <w:tc>
          <w:tcPr>
            <w:tcW w:w="6004" w:type="dxa"/>
            <w:vAlign w:val="center"/>
          </w:tcPr>
          <w:p w14:paraId="7C02CAAB"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 xml:space="preserve">South Forestry Bureau of </w:t>
            </w:r>
            <w:proofErr w:type="spellStart"/>
            <w:r w:rsidRPr="000F34DB">
              <w:rPr>
                <w:rFonts w:eastAsia="DengXian" w:cs="Calibri"/>
                <w:sz w:val="20"/>
                <w:szCs w:val="20"/>
              </w:rPr>
              <w:t>Jiuzhaigou</w:t>
            </w:r>
            <w:proofErr w:type="spellEnd"/>
            <w:r w:rsidRPr="000F34DB">
              <w:rPr>
                <w:rFonts w:eastAsia="DengXian" w:cs="Calibri"/>
                <w:sz w:val="20"/>
                <w:szCs w:val="20"/>
              </w:rPr>
              <w:t xml:space="preserve"> County</w:t>
            </w:r>
          </w:p>
        </w:tc>
      </w:tr>
      <w:tr w:rsidR="00E23C0C" w:rsidRPr="000F34DB" w14:paraId="7523E8BF" w14:textId="77777777" w:rsidTr="00162986">
        <w:tc>
          <w:tcPr>
            <w:tcW w:w="534" w:type="dxa"/>
            <w:vAlign w:val="center"/>
          </w:tcPr>
          <w:p w14:paraId="545F9C7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8</w:t>
            </w:r>
          </w:p>
        </w:tc>
        <w:tc>
          <w:tcPr>
            <w:tcW w:w="1984" w:type="dxa"/>
            <w:vAlign w:val="center"/>
          </w:tcPr>
          <w:p w14:paraId="73034A7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TBA</w:t>
            </w:r>
          </w:p>
        </w:tc>
        <w:tc>
          <w:tcPr>
            <w:tcW w:w="6004" w:type="dxa"/>
            <w:vAlign w:val="center"/>
          </w:tcPr>
          <w:p w14:paraId="604C9603"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Tourism</w:t>
            </w:r>
            <w:r w:rsidRPr="000F34DB">
              <w:rPr>
                <w:rFonts w:eastAsia="DengXian" w:cs="Calibri"/>
                <w:sz w:val="20"/>
                <w:szCs w:val="20"/>
              </w:rPr>
              <w:t> </w:t>
            </w:r>
            <w:r w:rsidRPr="000F34DB">
              <w:rPr>
                <w:rFonts w:eastAsia="DengXian" w:cs="Calibri"/>
                <w:sz w:val="20"/>
                <w:szCs w:val="20"/>
              </w:rPr>
              <w:t>Bureau</w:t>
            </w:r>
            <w:r w:rsidRPr="000F34DB">
              <w:rPr>
                <w:rFonts w:eastAsia="DengXian" w:cs="Calibri"/>
                <w:sz w:val="20"/>
                <w:szCs w:val="20"/>
              </w:rPr>
              <w:t> </w:t>
            </w:r>
            <w:r w:rsidRPr="000F34DB">
              <w:rPr>
                <w:rFonts w:eastAsia="DengXian" w:cs="Calibri"/>
                <w:sz w:val="20"/>
                <w:szCs w:val="20"/>
              </w:rPr>
              <w:t>of Aba Autonomous Prefecture</w:t>
            </w:r>
          </w:p>
        </w:tc>
      </w:tr>
      <w:tr w:rsidR="00E23C0C" w:rsidRPr="000F34DB" w14:paraId="1C0471BC" w14:textId="77777777" w:rsidTr="00162986">
        <w:tc>
          <w:tcPr>
            <w:tcW w:w="534" w:type="dxa"/>
            <w:vAlign w:val="center"/>
          </w:tcPr>
          <w:p w14:paraId="7DA4EAA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w:t>
            </w:r>
          </w:p>
        </w:tc>
        <w:tc>
          <w:tcPr>
            <w:tcW w:w="1984" w:type="dxa"/>
            <w:vAlign w:val="center"/>
          </w:tcPr>
          <w:p w14:paraId="3ACB383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DCA</w:t>
            </w:r>
          </w:p>
        </w:tc>
        <w:tc>
          <w:tcPr>
            <w:tcW w:w="6004" w:type="dxa"/>
            <w:vAlign w:val="center"/>
          </w:tcPr>
          <w:p w14:paraId="2138D307"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Department of Construction of Aba Autonomous Prefecture</w:t>
            </w:r>
          </w:p>
        </w:tc>
      </w:tr>
      <w:tr w:rsidR="00E23C0C" w:rsidRPr="000F34DB" w14:paraId="5457BA8C" w14:textId="77777777" w:rsidTr="00162986">
        <w:tc>
          <w:tcPr>
            <w:tcW w:w="534" w:type="dxa"/>
            <w:vAlign w:val="center"/>
          </w:tcPr>
          <w:p w14:paraId="718C09F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w:t>
            </w:r>
          </w:p>
        </w:tc>
        <w:tc>
          <w:tcPr>
            <w:tcW w:w="1984" w:type="dxa"/>
            <w:vAlign w:val="center"/>
          </w:tcPr>
          <w:p w14:paraId="2468472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GA</w:t>
            </w:r>
          </w:p>
        </w:tc>
        <w:tc>
          <w:tcPr>
            <w:tcW w:w="6004" w:type="dxa"/>
            <w:vAlign w:val="center"/>
          </w:tcPr>
          <w:p w14:paraId="4F7EF3B1"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Aba Autonomous Prefecture government</w:t>
            </w:r>
          </w:p>
        </w:tc>
      </w:tr>
      <w:tr w:rsidR="00E23C0C" w:rsidRPr="000F34DB" w14:paraId="4B5D23A8" w14:textId="77777777" w:rsidTr="00162986">
        <w:tc>
          <w:tcPr>
            <w:tcW w:w="534" w:type="dxa"/>
            <w:vAlign w:val="center"/>
          </w:tcPr>
          <w:p w14:paraId="449C604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w:t>
            </w:r>
          </w:p>
        </w:tc>
        <w:tc>
          <w:tcPr>
            <w:tcW w:w="1984" w:type="dxa"/>
            <w:vAlign w:val="center"/>
          </w:tcPr>
          <w:p w14:paraId="3E257DD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DRCA</w:t>
            </w:r>
          </w:p>
        </w:tc>
        <w:tc>
          <w:tcPr>
            <w:tcW w:w="6004" w:type="dxa"/>
            <w:vAlign w:val="center"/>
          </w:tcPr>
          <w:p w14:paraId="3F58C3D2"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Development</w:t>
            </w:r>
            <w:r w:rsidRPr="000F34DB">
              <w:rPr>
                <w:rFonts w:eastAsia="DengXian" w:cs="Calibri"/>
                <w:sz w:val="20"/>
                <w:szCs w:val="20"/>
              </w:rPr>
              <w:t> </w:t>
            </w:r>
            <w:r w:rsidRPr="000F34DB">
              <w:rPr>
                <w:rFonts w:eastAsia="DengXian" w:cs="Calibri"/>
                <w:sz w:val="20"/>
                <w:szCs w:val="20"/>
              </w:rPr>
              <w:t>and</w:t>
            </w:r>
            <w:r w:rsidRPr="000F34DB">
              <w:rPr>
                <w:rFonts w:eastAsia="DengXian" w:cs="Calibri"/>
                <w:sz w:val="20"/>
                <w:szCs w:val="20"/>
              </w:rPr>
              <w:t> </w:t>
            </w:r>
            <w:r w:rsidRPr="000F34DB">
              <w:rPr>
                <w:rFonts w:eastAsia="DengXian" w:cs="Calibri"/>
                <w:sz w:val="20"/>
                <w:szCs w:val="20"/>
              </w:rPr>
              <w:t>Reform</w:t>
            </w:r>
            <w:r w:rsidRPr="000F34DB">
              <w:rPr>
                <w:rFonts w:eastAsia="DengXian" w:cs="Calibri"/>
                <w:sz w:val="20"/>
                <w:szCs w:val="20"/>
              </w:rPr>
              <w:t> </w:t>
            </w:r>
            <w:r w:rsidRPr="000F34DB">
              <w:rPr>
                <w:rFonts w:eastAsia="DengXian" w:cs="Calibri"/>
                <w:sz w:val="20"/>
                <w:szCs w:val="20"/>
              </w:rPr>
              <w:t>Commission of Aba Autonomous Prefecture</w:t>
            </w:r>
          </w:p>
        </w:tc>
      </w:tr>
      <w:tr w:rsidR="00E23C0C" w:rsidRPr="000F34DB" w14:paraId="0BB1BFB5" w14:textId="77777777" w:rsidTr="00162986">
        <w:tc>
          <w:tcPr>
            <w:tcW w:w="534" w:type="dxa"/>
            <w:vAlign w:val="center"/>
          </w:tcPr>
          <w:p w14:paraId="4F2DD21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12</w:t>
            </w:r>
          </w:p>
        </w:tc>
        <w:tc>
          <w:tcPr>
            <w:tcW w:w="1984" w:type="dxa"/>
            <w:vAlign w:val="center"/>
          </w:tcPr>
          <w:p w14:paraId="2BE202C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EMOA</w:t>
            </w:r>
          </w:p>
        </w:tc>
        <w:tc>
          <w:tcPr>
            <w:tcW w:w="6004" w:type="dxa"/>
            <w:vAlign w:val="center"/>
          </w:tcPr>
          <w:p w14:paraId="1890F272"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Emergency Management Office of Aba Autonomous Prefecture</w:t>
            </w:r>
          </w:p>
        </w:tc>
      </w:tr>
      <w:tr w:rsidR="00E23C0C" w:rsidRPr="000F34DB" w14:paraId="4750F2F0" w14:textId="77777777" w:rsidTr="00162986">
        <w:tc>
          <w:tcPr>
            <w:tcW w:w="534" w:type="dxa"/>
            <w:vAlign w:val="center"/>
          </w:tcPr>
          <w:p w14:paraId="3D14306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13</w:t>
            </w:r>
          </w:p>
        </w:tc>
        <w:tc>
          <w:tcPr>
            <w:tcW w:w="1984" w:type="dxa"/>
            <w:vAlign w:val="center"/>
          </w:tcPr>
          <w:p w14:paraId="4A91113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DFA</w:t>
            </w:r>
          </w:p>
        </w:tc>
        <w:tc>
          <w:tcPr>
            <w:tcW w:w="6004" w:type="dxa"/>
            <w:vAlign w:val="center"/>
          </w:tcPr>
          <w:p w14:paraId="3A4D6CBA"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Department of Finance of Aba Autonomous Prefecture</w:t>
            </w:r>
          </w:p>
        </w:tc>
      </w:tr>
      <w:tr w:rsidR="00E23C0C" w:rsidRPr="000F34DB" w14:paraId="4B0E253E" w14:textId="77777777" w:rsidTr="00162986">
        <w:tc>
          <w:tcPr>
            <w:tcW w:w="534" w:type="dxa"/>
            <w:vAlign w:val="center"/>
          </w:tcPr>
          <w:p w14:paraId="0784B31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14</w:t>
            </w:r>
          </w:p>
        </w:tc>
        <w:tc>
          <w:tcPr>
            <w:tcW w:w="1984" w:type="dxa"/>
            <w:vAlign w:val="center"/>
          </w:tcPr>
          <w:p w14:paraId="08D71AE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CSOA</w:t>
            </w:r>
          </w:p>
        </w:tc>
        <w:tc>
          <w:tcPr>
            <w:tcW w:w="6004" w:type="dxa"/>
            <w:vAlign w:val="center"/>
          </w:tcPr>
          <w:p w14:paraId="3F30B7F6"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Comprehensive Supervision Office of Aba Autonomous Prefecture</w:t>
            </w:r>
          </w:p>
        </w:tc>
      </w:tr>
      <w:tr w:rsidR="00E23C0C" w:rsidRPr="000F34DB" w14:paraId="7B8D1421" w14:textId="77777777" w:rsidTr="00162986">
        <w:tc>
          <w:tcPr>
            <w:tcW w:w="534" w:type="dxa"/>
            <w:vAlign w:val="center"/>
          </w:tcPr>
          <w:p w14:paraId="78B7A34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w:t>
            </w:r>
          </w:p>
        </w:tc>
        <w:tc>
          <w:tcPr>
            <w:tcW w:w="1984" w:type="dxa"/>
            <w:vAlign w:val="center"/>
          </w:tcPr>
          <w:p w14:paraId="38008A6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CEITA</w:t>
            </w:r>
          </w:p>
        </w:tc>
        <w:tc>
          <w:tcPr>
            <w:tcW w:w="6004" w:type="dxa"/>
            <w:vAlign w:val="center"/>
          </w:tcPr>
          <w:p w14:paraId="07CA6B8F"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Committee of Economic and Information Technology of Aba Autonomous Prefecture</w:t>
            </w:r>
          </w:p>
        </w:tc>
      </w:tr>
      <w:tr w:rsidR="00E23C0C" w:rsidRPr="000F34DB" w14:paraId="73440E7E" w14:textId="77777777" w:rsidTr="00162986">
        <w:tc>
          <w:tcPr>
            <w:tcW w:w="534" w:type="dxa"/>
            <w:vAlign w:val="center"/>
          </w:tcPr>
          <w:p w14:paraId="6E4A254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16</w:t>
            </w:r>
          </w:p>
        </w:tc>
        <w:tc>
          <w:tcPr>
            <w:tcW w:w="1984" w:type="dxa"/>
            <w:vAlign w:val="center"/>
          </w:tcPr>
          <w:p w14:paraId="2D8424C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EPCURA</w:t>
            </w:r>
          </w:p>
        </w:tc>
        <w:tc>
          <w:tcPr>
            <w:tcW w:w="6004" w:type="dxa"/>
            <w:vAlign w:val="center"/>
          </w:tcPr>
          <w:p w14:paraId="4183AB01"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Environmental Protection Committee for Urban and Rural Construction of Aba Autonomous Prefecture</w:t>
            </w:r>
          </w:p>
        </w:tc>
      </w:tr>
      <w:tr w:rsidR="00E23C0C" w:rsidRPr="000F34DB" w14:paraId="2C2A82C2" w14:textId="77777777" w:rsidTr="00162986">
        <w:tc>
          <w:tcPr>
            <w:tcW w:w="534" w:type="dxa"/>
            <w:vAlign w:val="center"/>
          </w:tcPr>
          <w:p w14:paraId="14ECDC6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17</w:t>
            </w:r>
          </w:p>
        </w:tc>
        <w:tc>
          <w:tcPr>
            <w:tcW w:w="1984" w:type="dxa"/>
            <w:vAlign w:val="center"/>
          </w:tcPr>
          <w:p w14:paraId="5DD0332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ROA</w:t>
            </w:r>
          </w:p>
        </w:tc>
        <w:tc>
          <w:tcPr>
            <w:tcW w:w="6004" w:type="dxa"/>
            <w:vAlign w:val="center"/>
          </w:tcPr>
          <w:p w14:paraId="17477A46"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Reconstruction Office of Aba Autonomous Prefecture</w:t>
            </w:r>
          </w:p>
        </w:tc>
      </w:tr>
      <w:tr w:rsidR="00E23C0C" w:rsidRPr="000F34DB" w14:paraId="4D75B73C" w14:textId="77777777" w:rsidTr="00162986">
        <w:tc>
          <w:tcPr>
            <w:tcW w:w="534" w:type="dxa"/>
            <w:vAlign w:val="center"/>
          </w:tcPr>
          <w:p w14:paraId="75E7103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18</w:t>
            </w:r>
          </w:p>
        </w:tc>
        <w:tc>
          <w:tcPr>
            <w:tcW w:w="1984" w:type="dxa"/>
            <w:vAlign w:val="center"/>
          </w:tcPr>
          <w:p w14:paraId="3C65C94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FGBA</w:t>
            </w:r>
          </w:p>
        </w:tc>
        <w:tc>
          <w:tcPr>
            <w:tcW w:w="6004" w:type="dxa"/>
            <w:vAlign w:val="center"/>
          </w:tcPr>
          <w:p w14:paraId="27E669CD"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Forestry and Grass Bureau of Aba Autonomous Prefecture</w:t>
            </w:r>
          </w:p>
        </w:tc>
      </w:tr>
      <w:tr w:rsidR="00E23C0C" w:rsidRPr="000F34DB" w14:paraId="458F4FB7" w14:textId="77777777" w:rsidTr="00162986">
        <w:tc>
          <w:tcPr>
            <w:tcW w:w="534" w:type="dxa"/>
            <w:vAlign w:val="center"/>
          </w:tcPr>
          <w:p w14:paraId="380369D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19</w:t>
            </w:r>
          </w:p>
        </w:tc>
        <w:tc>
          <w:tcPr>
            <w:tcW w:w="1984" w:type="dxa"/>
            <w:vAlign w:val="center"/>
          </w:tcPr>
          <w:p w14:paraId="760120C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WBA</w:t>
            </w:r>
          </w:p>
        </w:tc>
        <w:tc>
          <w:tcPr>
            <w:tcW w:w="6004" w:type="dxa"/>
            <w:vAlign w:val="center"/>
          </w:tcPr>
          <w:p w14:paraId="2453FFF6"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Water Bureau of Aba Autonomous Prefecture</w:t>
            </w:r>
          </w:p>
        </w:tc>
      </w:tr>
      <w:tr w:rsidR="00E23C0C" w:rsidRPr="000F34DB" w14:paraId="50D27F4F" w14:textId="77777777" w:rsidTr="00162986">
        <w:tc>
          <w:tcPr>
            <w:tcW w:w="534" w:type="dxa"/>
            <w:vAlign w:val="center"/>
          </w:tcPr>
          <w:p w14:paraId="25F2070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20</w:t>
            </w:r>
          </w:p>
        </w:tc>
        <w:tc>
          <w:tcPr>
            <w:tcW w:w="1984" w:type="dxa"/>
            <w:vAlign w:val="center"/>
          </w:tcPr>
          <w:p w14:paraId="510498C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TPBA</w:t>
            </w:r>
          </w:p>
        </w:tc>
        <w:tc>
          <w:tcPr>
            <w:tcW w:w="6004" w:type="dxa"/>
            <w:vAlign w:val="center"/>
          </w:tcPr>
          <w:p w14:paraId="38668A40"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Transport Bureau of Aba Autonomous Prefecture</w:t>
            </w:r>
          </w:p>
        </w:tc>
      </w:tr>
      <w:tr w:rsidR="00E23C0C" w:rsidRPr="000F34DB" w14:paraId="15EE8C10" w14:textId="77777777" w:rsidTr="00162986">
        <w:tc>
          <w:tcPr>
            <w:tcW w:w="534" w:type="dxa"/>
            <w:vAlign w:val="center"/>
          </w:tcPr>
          <w:p w14:paraId="366ACD2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21</w:t>
            </w:r>
          </w:p>
        </w:tc>
        <w:tc>
          <w:tcPr>
            <w:tcW w:w="1984" w:type="dxa"/>
            <w:vAlign w:val="center"/>
          </w:tcPr>
          <w:p w14:paraId="3A4DD1C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FBA</w:t>
            </w:r>
          </w:p>
        </w:tc>
        <w:tc>
          <w:tcPr>
            <w:tcW w:w="6004" w:type="dxa"/>
            <w:vAlign w:val="center"/>
          </w:tcPr>
          <w:p w14:paraId="56765D85"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Finance Bureau of Aba Autonomous Prefecture</w:t>
            </w:r>
          </w:p>
        </w:tc>
      </w:tr>
      <w:tr w:rsidR="00E23C0C" w:rsidRPr="000F34DB" w14:paraId="3AC99335" w14:textId="77777777" w:rsidTr="00162986">
        <w:tc>
          <w:tcPr>
            <w:tcW w:w="534" w:type="dxa"/>
            <w:vAlign w:val="center"/>
          </w:tcPr>
          <w:p w14:paraId="7B8005F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22</w:t>
            </w:r>
          </w:p>
        </w:tc>
        <w:tc>
          <w:tcPr>
            <w:tcW w:w="1984" w:type="dxa"/>
            <w:vAlign w:val="center"/>
          </w:tcPr>
          <w:p w14:paraId="7972ECB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ICBA</w:t>
            </w:r>
          </w:p>
        </w:tc>
        <w:tc>
          <w:tcPr>
            <w:tcW w:w="6004" w:type="dxa"/>
            <w:vAlign w:val="center"/>
          </w:tcPr>
          <w:p w14:paraId="48F003AB"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Industrial and Commercial Bureau of Aba Autonomous Prefecture</w:t>
            </w:r>
          </w:p>
        </w:tc>
      </w:tr>
      <w:tr w:rsidR="00E23C0C" w:rsidRPr="000F34DB" w14:paraId="28CFDE9B" w14:textId="77777777" w:rsidTr="00162986">
        <w:tc>
          <w:tcPr>
            <w:tcW w:w="534" w:type="dxa"/>
            <w:vAlign w:val="center"/>
          </w:tcPr>
          <w:p w14:paraId="62213B2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23</w:t>
            </w:r>
          </w:p>
        </w:tc>
        <w:tc>
          <w:tcPr>
            <w:tcW w:w="1984" w:type="dxa"/>
            <w:vAlign w:val="center"/>
          </w:tcPr>
          <w:p w14:paraId="2FE764B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MG</w:t>
            </w:r>
          </w:p>
        </w:tc>
        <w:tc>
          <w:tcPr>
            <w:tcW w:w="6004" w:type="dxa"/>
            <w:vAlign w:val="center"/>
          </w:tcPr>
          <w:p w14:paraId="5B10A67D" w14:textId="77777777" w:rsidR="00E23C0C" w:rsidRPr="000F34DB" w:rsidRDefault="00E23C0C" w:rsidP="00162986">
            <w:pPr>
              <w:spacing w:line="240" w:lineRule="exact"/>
              <w:rPr>
                <w:rFonts w:eastAsia="DengXian" w:cs="Calibri"/>
                <w:sz w:val="20"/>
                <w:szCs w:val="20"/>
              </w:rPr>
            </w:pPr>
            <w:proofErr w:type="spellStart"/>
            <w:r w:rsidRPr="000F34DB">
              <w:rPr>
                <w:rFonts w:eastAsia="DengXian" w:cs="Calibri"/>
                <w:sz w:val="20"/>
                <w:szCs w:val="20"/>
              </w:rPr>
              <w:t>Mianyang</w:t>
            </w:r>
            <w:proofErr w:type="spellEnd"/>
            <w:r w:rsidRPr="000F34DB">
              <w:rPr>
                <w:rFonts w:eastAsia="DengXian" w:cs="Calibri"/>
                <w:sz w:val="20"/>
                <w:szCs w:val="20"/>
              </w:rPr>
              <w:t xml:space="preserve"> City government</w:t>
            </w:r>
          </w:p>
        </w:tc>
      </w:tr>
      <w:tr w:rsidR="00E23C0C" w:rsidRPr="000F34DB" w14:paraId="03876D39" w14:textId="77777777" w:rsidTr="00162986">
        <w:tc>
          <w:tcPr>
            <w:tcW w:w="534" w:type="dxa"/>
            <w:vAlign w:val="center"/>
          </w:tcPr>
          <w:p w14:paraId="499BA7F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24</w:t>
            </w:r>
          </w:p>
        </w:tc>
        <w:tc>
          <w:tcPr>
            <w:tcW w:w="1984" w:type="dxa"/>
            <w:vAlign w:val="center"/>
          </w:tcPr>
          <w:p w14:paraId="738694E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EPCURS</w:t>
            </w:r>
          </w:p>
        </w:tc>
        <w:tc>
          <w:tcPr>
            <w:tcW w:w="6004" w:type="dxa"/>
            <w:vAlign w:val="center"/>
          </w:tcPr>
          <w:p w14:paraId="0D0B3F48"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Environmental Protection Committee for Urban and Rural Construction of Sichuan</w:t>
            </w:r>
            <w:r w:rsidRPr="000F34DB">
              <w:rPr>
                <w:rFonts w:eastAsia="DengXian" w:cs="Calibri"/>
                <w:sz w:val="20"/>
                <w:szCs w:val="20"/>
              </w:rPr>
              <w:t> </w:t>
            </w:r>
            <w:r w:rsidRPr="000F34DB">
              <w:rPr>
                <w:rFonts w:eastAsia="DengXian" w:cs="Calibri"/>
                <w:sz w:val="20"/>
                <w:szCs w:val="20"/>
              </w:rPr>
              <w:t>Province</w:t>
            </w:r>
          </w:p>
        </w:tc>
      </w:tr>
      <w:tr w:rsidR="00E23C0C" w:rsidRPr="000F34DB" w14:paraId="688B96D1" w14:textId="77777777" w:rsidTr="00162986">
        <w:tc>
          <w:tcPr>
            <w:tcW w:w="534" w:type="dxa"/>
            <w:vAlign w:val="center"/>
          </w:tcPr>
          <w:p w14:paraId="7D75E2C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25</w:t>
            </w:r>
          </w:p>
        </w:tc>
        <w:tc>
          <w:tcPr>
            <w:tcW w:w="1984" w:type="dxa"/>
            <w:vAlign w:val="center"/>
          </w:tcPr>
          <w:p w14:paraId="2E8A83B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GEBS</w:t>
            </w:r>
          </w:p>
        </w:tc>
        <w:tc>
          <w:tcPr>
            <w:tcW w:w="6004" w:type="dxa"/>
            <w:vAlign w:val="center"/>
          </w:tcPr>
          <w:p w14:paraId="12EB50E8"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Earth and Environment Bureau of Sichuan Province</w:t>
            </w:r>
          </w:p>
        </w:tc>
      </w:tr>
      <w:tr w:rsidR="00E23C0C" w:rsidRPr="000F34DB" w14:paraId="5B664B3F" w14:textId="77777777" w:rsidTr="00162986">
        <w:tc>
          <w:tcPr>
            <w:tcW w:w="534" w:type="dxa"/>
            <w:vAlign w:val="center"/>
          </w:tcPr>
          <w:p w14:paraId="4E25B52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26</w:t>
            </w:r>
          </w:p>
        </w:tc>
        <w:tc>
          <w:tcPr>
            <w:tcW w:w="1984" w:type="dxa"/>
            <w:vAlign w:val="center"/>
          </w:tcPr>
          <w:p w14:paraId="17A3823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DRS</w:t>
            </w:r>
          </w:p>
        </w:tc>
        <w:tc>
          <w:tcPr>
            <w:tcW w:w="6004" w:type="dxa"/>
            <w:vAlign w:val="center"/>
          </w:tcPr>
          <w:p w14:paraId="76C76B24"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Department of Construction of Sichuan Province</w:t>
            </w:r>
          </w:p>
        </w:tc>
      </w:tr>
      <w:tr w:rsidR="00E23C0C" w:rsidRPr="000F34DB" w14:paraId="39BF028A" w14:textId="77777777" w:rsidTr="00162986">
        <w:tc>
          <w:tcPr>
            <w:tcW w:w="534" w:type="dxa"/>
            <w:vAlign w:val="center"/>
          </w:tcPr>
          <w:p w14:paraId="7E61A3C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27</w:t>
            </w:r>
          </w:p>
        </w:tc>
        <w:tc>
          <w:tcPr>
            <w:tcW w:w="1984" w:type="dxa"/>
            <w:vAlign w:val="center"/>
          </w:tcPr>
          <w:p w14:paraId="02D5C93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DRCS</w:t>
            </w:r>
          </w:p>
        </w:tc>
        <w:tc>
          <w:tcPr>
            <w:tcW w:w="6004" w:type="dxa"/>
            <w:vAlign w:val="center"/>
          </w:tcPr>
          <w:p w14:paraId="5E95F403"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Development</w:t>
            </w:r>
            <w:r w:rsidRPr="000F34DB">
              <w:rPr>
                <w:rFonts w:eastAsia="DengXian" w:cs="Calibri"/>
                <w:sz w:val="20"/>
                <w:szCs w:val="20"/>
              </w:rPr>
              <w:t> </w:t>
            </w:r>
            <w:r w:rsidRPr="000F34DB">
              <w:rPr>
                <w:rFonts w:eastAsia="DengXian" w:cs="Calibri"/>
                <w:sz w:val="20"/>
                <w:szCs w:val="20"/>
              </w:rPr>
              <w:t>and</w:t>
            </w:r>
            <w:r w:rsidRPr="000F34DB">
              <w:rPr>
                <w:rFonts w:eastAsia="DengXian" w:cs="Calibri"/>
                <w:sz w:val="20"/>
                <w:szCs w:val="20"/>
              </w:rPr>
              <w:t> </w:t>
            </w:r>
            <w:r w:rsidRPr="000F34DB">
              <w:rPr>
                <w:rFonts w:eastAsia="DengXian" w:cs="Calibri"/>
                <w:sz w:val="20"/>
                <w:szCs w:val="20"/>
              </w:rPr>
              <w:t>Reform</w:t>
            </w:r>
            <w:r w:rsidRPr="000F34DB">
              <w:rPr>
                <w:rFonts w:eastAsia="DengXian" w:cs="Calibri"/>
                <w:sz w:val="20"/>
                <w:szCs w:val="20"/>
              </w:rPr>
              <w:t> </w:t>
            </w:r>
            <w:r w:rsidRPr="000F34DB">
              <w:rPr>
                <w:rFonts w:eastAsia="DengXian" w:cs="Calibri"/>
                <w:sz w:val="20"/>
                <w:szCs w:val="20"/>
              </w:rPr>
              <w:t>Commission of Sichuan province</w:t>
            </w:r>
          </w:p>
        </w:tc>
      </w:tr>
      <w:tr w:rsidR="00E23C0C" w:rsidRPr="000F34DB" w14:paraId="071384D7" w14:textId="77777777" w:rsidTr="00162986">
        <w:tc>
          <w:tcPr>
            <w:tcW w:w="534" w:type="dxa"/>
            <w:vAlign w:val="center"/>
          </w:tcPr>
          <w:p w14:paraId="6FD144B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28</w:t>
            </w:r>
          </w:p>
        </w:tc>
        <w:tc>
          <w:tcPr>
            <w:tcW w:w="1984" w:type="dxa"/>
            <w:vAlign w:val="center"/>
          </w:tcPr>
          <w:p w14:paraId="4A471A5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GS</w:t>
            </w:r>
          </w:p>
        </w:tc>
        <w:tc>
          <w:tcPr>
            <w:tcW w:w="6004" w:type="dxa"/>
            <w:vAlign w:val="center"/>
          </w:tcPr>
          <w:p w14:paraId="24CA7C69"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Government</w:t>
            </w:r>
            <w:r w:rsidRPr="000F34DB">
              <w:rPr>
                <w:rFonts w:eastAsia="DengXian" w:cs="Calibri"/>
                <w:sz w:val="20"/>
                <w:szCs w:val="20"/>
              </w:rPr>
              <w:t> </w:t>
            </w:r>
            <w:r w:rsidRPr="000F34DB">
              <w:rPr>
                <w:rFonts w:eastAsia="DengXian" w:cs="Calibri"/>
                <w:sz w:val="20"/>
                <w:szCs w:val="20"/>
              </w:rPr>
              <w:t>of</w:t>
            </w:r>
            <w:r w:rsidRPr="000F34DB">
              <w:rPr>
                <w:rFonts w:eastAsia="DengXian" w:cs="Calibri"/>
                <w:sz w:val="20"/>
                <w:szCs w:val="20"/>
              </w:rPr>
              <w:t> </w:t>
            </w:r>
            <w:r w:rsidRPr="000F34DB">
              <w:rPr>
                <w:rFonts w:eastAsia="DengXian" w:cs="Calibri"/>
                <w:sz w:val="20"/>
                <w:szCs w:val="20"/>
              </w:rPr>
              <w:t>Sichuan</w:t>
            </w:r>
            <w:r w:rsidRPr="000F34DB">
              <w:rPr>
                <w:rFonts w:eastAsia="DengXian" w:cs="Calibri"/>
                <w:sz w:val="20"/>
                <w:szCs w:val="20"/>
              </w:rPr>
              <w:t> </w:t>
            </w:r>
            <w:r w:rsidRPr="000F34DB">
              <w:rPr>
                <w:rFonts w:eastAsia="DengXian" w:cs="Calibri"/>
                <w:sz w:val="20"/>
                <w:szCs w:val="20"/>
              </w:rPr>
              <w:t>Province</w:t>
            </w:r>
          </w:p>
        </w:tc>
      </w:tr>
      <w:tr w:rsidR="00E23C0C" w:rsidRPr="000F34DB" w14:paraId="18A0AEE5" w14:textId="77777777" w:rsidTr="00162986">
        <w:tc>
          <w:tcPr>
            <w:tcW w:w="534" w:type="dxa"/>
            <w:vAlign w:val="center"/>
          </w:tcPr>
          <w:p w14:paraId="12DBE48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29</w:t>
            </w:r>
          </w:p>
        </w:tc>
        <w:tc>
          <w:tcPr>
            <w:tcW w:w="1984" w:type="dxa"/>
            <w:vAlign w:val="center"/>
          </w:tcPr>
          <w:p w14:paraId="18DAE04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DCS</w:t>
            </w:r>
          </w:p>
        </w:tc>
        <w:tc>
          <w:tcPr>
            <w:tcW w:w="6004" w:type="dxa"/>
            <w:vAlign w:val="center"/>
          </w:tcPr>
          <w:p w14:paraId="1FDA66A6"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Department of Construction of Sichuan Province</w:t>
            </w:r>
          </w:p>
        </w:tc>
      </w:tr>
      <w:tr w:rsidR="00E23C0C" w:rsidRPr="000F34DB" w14:paraId="4183148E" w14:textId="77777777" w:rsidTr="00162986">
        <w:tc>
          <w:tcPr>
            <w:tcW w:w="534" w:type="dxa"/>
            <w:vAlign w:val="center"/>
          </w:tcPr>
          <w:p w14:paraId="676250B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lastRenderedPageBreak/>
              <w:t>30</w:t>
            </w:r>
          </w:p>
        </w:tc>
        <w:tc>
          <w:tcPr>
            <w:tcW w:w="1984" w:type="dxa"/>
            <w:vAlign w:val="center"/>
          </w:tcPr>
          <w:p w14:paraId="41BE9DC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DFS</w:t>
            </w:r>
          </w:p>
        </w:tc>
        <w:tc>
          <w:tcPr>
            <w:tcW w:w="6004" w:type="dxa"/>
            <w:vAlign w:val="center"/>
          </w:tcPr>
          <w:p w14:paraId="48B777FE"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Department of Finance of Sichuan Province</w:t>
            </w:r>
          </w:p>
        </w:tc>
      </w:tr>
      <w:tr w:rsidR="00E23C0C" w:rsidRPr="000F34DB" w14:paraId="119A59D4" w14:textId="77777777" w:rsidTr="00162986">
        <w:tc>
          <w:tcPr>
            <w:tcW w:w="534" w:type="dxa"/>
            <w:vAlign w:val="center"/>
          </w:tcPr>
          <w:p w14:paraId="5CB857C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31</w:t>
            </w:r>
          </w:p>
        </w:tc>
        <w:tc>
          <w:tcPr>
            <w:tcW w:w="1984" w:type="dxa"/>
            <w:vAlign w:val="center"/>
          </w:tcPr>
          <w:p w14:paraId="270CAFC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LRBS</w:t>
            </w:r>
          </w:p>
        </w:tc>
        <w:tc>
          <w:tcPr>
            <w:tcW w:w="6004" w:type="dxa"/>
            <w:vAlign w:val="center"/>
          </w:tcPr>
          <w:p w14:paraId="2CC1605B"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Land and Resource Bureau of Sichuan Province</w:t>
            </w:r>
          </w:p>
        </w:tc>
      </w:tr>
      <w:tr w:rsidR="00E23C0C" w:rsidRPr="000F34DB" w14:paraId="2AB83258" w14:textId="77777777" w:rsidTr="00162986">
        <w:tc>
          <w:tcPr>
            <w:tcW w:w="534" w:type="dxa"/>
            <w:vAlign w:val="center"/>
          </w:tcPr>
          <w:p w14:paraId="6974DA8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32</w:t>
            </w:r>
          </w:p>
        </w:tc>
        <w:tc>
          <w:tcPr>
            <w:tcW w:w="1984" w:type="dxa"/>
            <w:vAlign w:val="center"/>
          </w:tcPr>
          <w:p w14:paraId="42F055F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TBS</w:t>
            </w:r>
          </w:p>
        </w:tc>
        <w:tc>
          <w:tcPr>
            <w:tcW w:w="6004" w:type="dxa"/>
            <w:vAlign w:val="center"/>
          </w:tcPr>
          <w:p w14:paraId="191DE3C8"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Tourism</w:t>
            </w:r>
            <w:r w:rsidRPr="000F34DB">
              <w:rPr>
                <w:rFonts w:eastAsia="DengXian" w:cs="Calibri"/>
                <w:sz w:val="20"/>
                <w:szCs w:val="20"/>
              </w:rPr>
              <w:t> </w:t>
            </w:r>
            <w:r w:rsidRPr="000F34DB">
              <w:rPr>
                <w:rFonts w:eastAsia="DengXian" w:cs="Calibri"/>
                <w:sz w:val="20"/>
                <w:szCs w:val="20"/>
              </w:rPr>
              <w:t>Bureau</w:t>
            </w:r>
            <w:r w:rsidRPr="000F34DB">
              <w:rPr>
                <w:rFonts w:eastAsia="DengXian" w:cs="Calibri"/>
                <w:sz w:val="20"/>
                <w:szCs w:val="20"/>
              </w:rPr>
              <w:t> </w:t>
            </w:r>
            <w:r w:rsidRPr="000F34DB">
              <w:rPr>
                <w:rFonts w:eastAsia="DengXian" w:cs="Calibri"/>
                <w:sz w:val="20"/>
                <w:szCs w:val="20"/>
              </w:rPr>
              <w:t>of</w:t>
            </w:r>
            <w:r w:rsidRPr="000F34DB">
              <w:rPr>
                <w:rFonts w:eastAsia="DengXian" w:cs="Calibri"/>
                <w:sz w:val="20"/>
                <w:szCs w:val="20"/>
              </w:rPr>
              <w:t> </w:t>
            </w:r>
            <w:r w:rsidRPr="000F34DB">
              <w:rPr>
                <w:rFonts w:eastAsia="DengXian" w:cs="Calibri"/>
                <w:sz w:val="20"/>
                <w:szCs w:val="20"/>
              </w:rPr>
              <w:t>Sichuan</w:t>
            </w:r>
            <w:r w:rsidRPr="000F34DB">
              <w:rPr>
                <w:rFonts w:eastAsia="DengXian" w:cs="Calibri"/>
                <w:sz w:val="20"/>
                <w:szCs w:val="20"/>
              </w:rPr>
              <w:t> </w:t>
            </w:r>
            <w:r w:rsidRPr="000F34DB">
              <w:rPr>
                <w:rFonts w:eastAsia="DengXian" w:cs="Calibri"/>
                <w:sz w:val="20"/>
                <w:szCs w:val="20"/>
              </w:rPr>
              <w:t>Province</w:t>
            </w:r>
          </w:p>
        </w:tc>
      </w:tr>
      <w:tr w:rsidR="00E23C0C" w:rsidRPr="000F34DB" w14:paraId="7D96735C" w14:textId="77777777" w:rsidTr="00162986">
        <w:tc>
          <w:tcPr>
            <w:tcW w:w="534" w:type="dxa"/>
            <w:vAlign w:val="center"/>
          </w:tcPr>
          <w:p w14:paraId="777026C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33</w:t>
            </w:r>
          </w:p>
        </w:tc>
        <w:tc>
          <w:tcPr>
            <w:tcW w:w="1984" w:type="dxa"/>
            <w:vAlign w:val="center"/>
          </w:tcPr>
          <w:p w14:paraId="248C346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OLRS</w:t>
            </w:r>
          </w:p>
        </w:tc>
        <w:tc>
          <w:tcPr>
            <w:tcW w:w="6004" w:type="dxa"/>
            <w:vAlign w:val="center"/>
          </w:tcPr>
          <w:p w14:paraId="31C2146D"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Land and Resources Office of Sichuan</w:t>
            </w:r>
            <w:r w:rsidRPr="000F34DB">
              <w:rPr>
                <w:rFonts w:eastAsia="DengXian" w:cs="Calibri"/>
                <w:sz w:val="20"/>
                <w:szCs w:val="20"/>
              </w:rPr>
              <w:t> </w:t>
            </w:r>
            <w:r w:rsidRPr="000F34DB">
              <w:rPr>
                <w:rFonts w:eastAsia="DengXian" w:cs="Calibri"/>
                <w:sz w:val="20"/>
                <w:szCs w:val="20"/>
              </w:rPr>
              <w:t>Province</w:t>
            </w:r>
          </w:p>
        </w:tc>
      </w:tr>
      <w:tr w:rsidR="00E23C0C" w:rsidRPr="000F34DB" w14:paraId="3E402FA8" w14:textId="77777777" w:rsidTr="00162986">
        <w:tc>
          <w:tcPr>
            <w:tcW w:w="534" w:type="dxa"/>
            <w:vAlign w:val="center"/>
          </w:tcPr>
          <w:p w14:paraId="0FD4817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34</w:t>
            </w:r>
          </w:p>
        </w:tc>
        <w:tc>
          <w:tcPr>
            <w:tcW w:w="1984" w:type="dxa"/>
            <w:vAlign w:val="center"/>
          </w:tcPr>
          <w:p w14:paraId="667875F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GAQSS</w:t>
            </w:r>
          </w:p>
        </w:tc>
        <w:tc>
          <w:tcPr>
            <w:tcW w:w="6004" w:type="dxa"/>
            <w:vAlign w:val="center"/>
          </w:tcPr>
          <w:p w14:paraId="36538C75"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General Administration of Quality Supervision of Sichuan province</w:t>
            </w:r>
          </w:p>
        </w:tc>
      </w:tr>
      <w:tr w:rsidR="00E23C0C" w:rsidRPr="000F34DB" w14:paraId="6FB7B837" w14:textId="77777777" w:rsidTr="00162986">
        <w:tc>
          <w:tcPr>
            <w:tcW w:w="534" w:type="dxa"/>
            <w:vAlign w:val="center"/>
          </w:tcPr>
          <w:p w14:paraId="3F7120F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35</w:t>
            </w:r>
          </w:p>
        </w:tc>
        <w:tc>
          <w:tcPr>
            <w:tcW w:w="1984" w:type="dxa"/>
            <w:vAlign w:val="center"/>
          </w:tcPr>
          <w:p w14:paraId="720B656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BGMRS</w:t>
            </w:r>
          </w:p>
        </w:tc>
        <w:tc>
          <w:tcPr>
            <w:tcW w:w="6004" w:type="dxa"/>
            <w:vAlign w:val="center"/>
          </w:tcPr>
          <w:p w14:paraId="3A3DCB94"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Bureau of Geology and Mineral Resources of Sichuan province</w:t>
            </w:r>
          </w:p>
        </w:tc>
      </w:tr>
      <w:tr w:rsidR="00E23C0C" w:rsidRPr="000F34DB" w14:paraId="5313FD0B" w14:textId="77777777" w:rsidTr="00162986">
        <w:tc>
          <w:tcPr>
            <w:tcW w:w="534" w:type="dxa"/>
            <w:vAlign w:val="center"/>
          </w:tcPr>
          <w:p w14:paraId="762312C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36</w:t>
            </w:r>
          </w:p>
        </w:tc>
        <w:tc>
          <w:tcPr>
            <w:tcW w:w="1984" w:type="dxa"/>
            <w:vAlign w:val="center"/>
          </w:tcPr>
          <w:p w14:paraId="3A9580B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EBS</w:t>
            </w:r>
          </w:p>
        </w:tc>
        <w:tc>
          <w:tcPr>
            <w:tcW w:w="6004" w:type="dxa"/>
            <w:vAlign w:val="center"/>
          </w:tcPr>
          <w:p w14:paraId="1477CD84"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Energy Bureau of Sichuan Province</w:t>
            </w:r>
          </w:p>
        </w:tc>
      </w:tr>
      <w:tr w:rsidR="00E23C0C" w:rsidRPr="000F34DB" w14:paraId="09F7DDF1" w14:textId="77777777" w:rsidTr="00162986">
        <w:tc>
          <w:tcPr>
            <w:tcW w:w="534" w:type="dxa"/>
            <w:vAlign w:val="center"/>
          </w:tcPr>
          <w:p w14:paraId="40DF82C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37</w:t>
            </w:r>
          </w:p>
        </w:tc>
        <w:tc>
          <w:tcPr>
            <w:tcW w:w="1984" w:type="dxa"/>
            <w:vAlign w:val="center"/>
          </w:tcPr>
          <w:p w14:paraId="59A83EA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ABS</w:t>
            </w:r>
          </w:p>
        </w:tc>
        <w:tc>
          <w:tcPr>
            <w:tcW w:w="6004" w:type="dxa"/>
            <w:vAlign w:val="center"/>
          </w:tcPr>
          <w:p w14:paraId="2678F912"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Auditing Bureau of Sichuan Province</w:t>
            </w:r>
          </w:p>
        </w:tc>
      </w:tr>
      <w:tr w:rsidR="00E23C0C" w:rsidRPr="000F34DB" w14:paraId="41CD886E" w14:textId="77777777" w:rsidTr="00162986">
        <w:tc>
          <w:tcPr>
            <w:tcW w:w="534" w:type="dxa"/>
            <w:vAlign w:val="center"/>
          </w:tcPr>
          <w:p w14:paraId="050A151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38</w:t>
            </w:r>
          </w:p>
        </w:tc>
        <w:tc>
          <w:tcPr>
            <w:tcW w:w="1984" w:type="dxa"/>
            <w:vAlign w:val="center"/>
          </w:tcPr>
          <w:p w14:paraId="6ED798B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FGBS</w:t>
            </w:r>
          </w:p>
        </w:tc>
        <w:tc>
          <w:tcPr>
            <w:tcW w:w="6004" w:type="dxa"/>
            <w:vAlign w:val="center"/>
          </w:tcPr>
          <w:p w14:paraId="600BDA96"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Forestry and Grass Bureau of Sichuan Province</w:t>
            </w:r>
          </w:p>
        </w:tc>
      </w:tr>
      <w:tr w:rsidR="00E23C0C" w:rsidRPr="000F34DB" w14:paraId="30E2BB6D" w14:textId="77777777" w:rsidTr="00162986">
        <w:tc>
          <w:tcPr>
            <w:tcW w:w="534" w:type="dxa"/>
            <w:vAlign w:val="center"/>
          </w:tcPr>
          <w:p w14:paraId="04F7B8E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39</w:t>
            </w:r>
          </w:p>
        </w:tc>
        <w:tc>
          <w:tcPr>
            <w:tcW w:w="1984" w:type="dxa"/>
            <w:vAlign w:val="center"/>
          </w:tcPr>
          <w:p w14:paraId="2E7E5B8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SMBS</w:t>
            </w:r>
          </w:p>
        </w:tc>
        <w:tc>
          <w:tcPr>
            <w:tcW w:w="6004" w:type="dxa"/>
            <w:vAlign w:val="center"/>
          </w:tcPr>
          <w:p w14:paraId="408B08F0"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Surveying and Mapping Bureau of Sichuan Province</w:t>
            </w:r>
          </w:p>
        </w:tc>
      </w:tr>
      <w:tr w:rsidR="00E23C0C" w:rsidRPr="000F34DB" w14:paraId="625A1A38" w14:textId="77777777" w:rsidTr="00162986">
        <w:tc>
          <w:tcPr>
            <w:tcW w:w="534" w:type="dxa"/>
            <w:vAlign w:val="center"/>
          </w:tcPr>
          <w:p w14:paraId="053D0F1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40</w:t>
            </w:r>
          </w:p>
        </w:tc>
        <w:tc>
          <w:tcPr>
            <w:tcW w:w="1984" w:type="dxa"/>
            <w:vAlign w:val="center"/>
          </w:tcPr>
          <w:p w14:paraId="12783AE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PCSS</w:t>
            </w:r>
          </w:p>
        </w:tc>
        <w:tc>
          <w:tcPr>
            <w:tcW w:w="6004" w:type="dxa"/>
            <w:vAlign w:val="center"/>
          </w:tcPr>
          <w:p w14:paraId="2977573A"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Protection Central Station of Sichuan Province</w:t>
            </w:r>
          </w:p>
        </w:tc>
      </w:tr>
      <w:tr w:rsidR="00E23C0C" w:rsidRPr="000F34DB" w14:paraId="30CAC35C" w14:textId="77777777" w:rsidTr="00162986">
        <w:tc>
          <w:tcPr>
            <w:tcW w:w="534" w:type="dxa"/>
            <w:vAlign w:val="center"/>
          </w:tcPr>
          <w:p w14:paraId="35ACC17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41</w:t>
            </w:r>
          </w:p>
        </w:tc>
        <w:tc>
          <w:tcPr>
            <w:tcW w:w="1984" w:type="dxa"/>
            <w:vAlign w:val="center"/>
          </w:tcPr>
          <w:p w14:paraId="3F87CED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NCD</w:t>
            </w:r>
          </w:p>
        </w:tc>
        <w:tc>
          <w:tcPr>
            <w:tcW w:w="6004" w:type="dxa"/>
            <w:vAlign w:val="center"/>
          </w:tcPr>
          <w:p w14:paraId="58182185"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National Construction Department</w:t>
            </w:r>
          </w:p>
        </w:tc>
      </w:tr>
      <w:tr w:rsidR="00E23C0C" w:rsidRPr="000F34DB" w14:paraId="65210B5E" w14:textId="77777777" w:rsidTr="00162986">
        <w:tc>
          <w:tcPr>
            <w:tcW w:w="534" w:type="dxa"/>
            <w:vAlign w:val="center"/>
          </w:tcPr>
          <w:p w14:paraId="6DB5644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42</w:t>
            </w:r>
          </w:p>
        </w:tc>
        <w:tc>
          <w:tcPr>
            <w:tcW w:w="1984" w:type="dxa"/>
            <w:vAlign w:val="center"/>
          </w:tcPr>
          <w:p w14:paraId="62D5F3E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NCAD</w:t>
            </w:r>
          </w:p>
        </w:tc>
        <w:tc>
          <w:tcPr>
            <w:tcW w:w="6004" w:type="dxa"/>
            <w:vAlign w:val="center"/>
          </w:tcPr>
          <w:p w14:paraId="44FAD097"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National Civil Affairs Department</w:t>
            </w:r>
          </w:p>
        </w:tc>
      </w:tr>
      <w:tr w:rsidR="00E23C0C" w:rsidRPr="000F34DB" w14:paraId="16833A6B" w14:textId="77777777" w:rsidTr="00162986">
        <w:tc>
          <w:tcPr>
            <w:tcW w:w="534" w:type="dxa"/>
            <w:vAlign w:val="center"/>
          </w:tcPr>
          <w:p w14:paraId="3FBDFF2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43</w:t>
            </w:r>
          </w:p>
        </w:tc>
        <w:tc>
          <w:tcPr>
            <w:tcW w:w="1984" w:type="dxa"/>
            <w:vAlign w:val="center"/>
          </w:tcPr>
          <w:p w14:paraId="76F315A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NDRC</w:t>
            </w:r>
          </w:p>
        </w:tc>
        <w:tc>
          <w:tcPr>
            <w:tcW w:w="6004" w:type="dxa"/>
            <w:vAlign w:val="center"/>
          </w:tcPr>
          <w:p w14:paraId="669252E6"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National Development and Reform Commission</w:t>
            </w:r>
          </w:p>
        </w:tc>
      </w:tr>
      <w:tr w:rsidR="00E23C0C" w:rsidRPr="000F34DB" w14:paraId="109F99EC" w14:textId="77777777" w:rsidTr="00162986">
        <w:tc>
          <w:tcPr>
            <w:tcW w:w="534" w:type="dxa"/>
            <w:vAlign w:val="center"/>
          </w:tcPr>
          <w:p w14:paraId="4364CDD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44</w:t>
            </w:r>
          </w:p>
        </w:tc>
        <w:tc>
          <w:tcPr>
            <w:tcW w:w="1984" w:type="dxa"/>
            <w:vAlign w:val="center"/>
          </w:tcPr>
          <w:p w14:paraId="0D38DEE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NEB</w:t>
            </w:r>
          </w:p>
        </w:tc>
        <w:tc>
          <w:tcPr>
            <w:tcW w:w="6004" w:type="dxa"/>
            <w:vAlign w:val="center"/>
          </w:tcPr>
          <w:p w14:paraId="59CC6084"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 xml:space="preserve">National Earthquake Bureau </w:t>
            </w:r>
          </w:p>
        </w:tc>
      </w:tr>
      <w:tr w:rsidR="00E23C0C" w:rsidRPr="000F34DB" w14:paraId="5CF4D73E" w14:textId="77777777" w:rsidTr="00162986">
        <w:tc>
          <w:tcPr>
            <w:tcW w:w="534" w:type="dxa"/>
            <w:vAlign w:val="center"/>
          </w:tcPr>
          <w:p w14:paraId="55E0B0C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45</w:t>
            </w:r>
          </w:p>
        </w:tc>
        <w:tc>
          <w:tcPr>
            <w:tcW w:w="1984" w:type="dxa"/>
            <w:vAlign w:val="center"/>
          </w:tcPr>
          <w:p w14:paraId="27EA850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NFB</w:t>
            </w:r>
          </w:p>
        </w:tc>
        <w:tc>
          <w:tcPr>
            <w:tcW w:w="6004" w:type="dxa"/>
            <w:vAlign w:val="center"/>
          </w:tcPr>
          <w:p w14:paraId="6AFF3DDA"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National Finance Bureau</w:t>
            </w:r>
          </w:p>
        </w:tc>
      </w:tr>
      <w:tr w:rsidR="00E23C0C" w:rsidRPr="000F34DB" w14:paraId="54970832" w14:textId="77777777" w:rsidTr="00162986">
        <w:tc>
          <w:tcPr>
            <w:tcW w:w="534" w:type="dxa"/>
            <w:vAlign w:val="center"/>
          </w:tcPr>
          <w:p w14:paraId="37F259E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46</w:t>
            </w:r>
          </w:p>
        </w:tc>
        <w:tc>
          <w:tcPr>
            <w:tcW w:w="1984" w:type="dxa"/>
            <w:vAlign w:val="center"/>
          </w:tcPr>
          <w:p w14:paraId="676F36A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NFD</w:t>
            </w:r>
          </w:p>
        </w:tc>
        <w:tc>
          <w:tcPr>
            <w:tcW w:w="6004" w:type="dxa"/>
            <w:vAlign w:val="center"/>
          </w:tcPr>
          <w:p w14:paraId="30916330"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National Finance Department</w:t>
            </w:r>
          </w:p>
        </w:tc>
      </w:tr>
      <w:tr w:rsidR="00E23C0C" w:rsidRPr="000F34DB" w14:paraId="118A31D1" w14:textId="77777777" w:rsidTr="00162986">
        <w:tc>
          <w:tcPr>
            <w:tcW w:w="534" w:type="dxa"/>
            <w:vAlign w:val="center"/>
          </w:tcPr>
          <w:p w14:paraId="4122454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47</w:t>
            </w:r>
          </w:p>
        </w:tc>
        <w:tc>
          <w:tcPr>
            <w:tcW w:w="1984" w:type="dxa"/>
            <w:vAlign w:val="center"/>
          </w:tcPr>
          <w:p w14:paraId="5AC76EF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NTB</w:t>
            </w:r>
          </w:p>
        </w:tc>
        <w:tc>
          <w:tcPr>
            <w:tcW w:w="6004" w:type="dxa"/>
            <w:vAlign w:val="center"/>
          </w:tcPr>
          <w:p w14:paraId="2FF97F02"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National Tourism Bureau</w:t>
            </w:r>
          </w:p>
        </w:tc>
      </w:tr>
      <w:tr w:rsidR="00E23C0C" w:rsidRPr="000F34DB" w14:paraId="7349051A" w14:textId="77777777" w:rsidTr="00162986">
        <w:tc>
          <w:tcPr>
            <w:tcW w:w="534" w:type="dxa"/>
            <w:vAlign w:val="center"/>
          </w:tcPr>
          <w:p w14:paraId="7DA5DA5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48</w:t>
            </w:r>
          </w:p>
        </w:tc>
        <w:tc>
          <w:tcPr>
            <w:tcW w:w="1984" w:type="dxa"/>
            <w:vAlign w:val="center"/>
          </w:tcPr>
          <w:p w14:paraId="5EB63D6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NTD</w:t>
            </w:r>
          </w:p>
        </w:tc>
        <w:tc>
          <w:tcPr>
            <w:tcW w:w="6004" w:type="dxa"/>
            <w:vAlign w:val="center"/>
          </w:tcPr>
          <w:p w14:paraId="105DA329"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National Transport Department</w:t>
            </w:r>
          </w:p>
        </w:tc>
      </w:tr>
      <w:tr w:rsidR="00E23C0C" w:rsidRPr="000F34DB" w14:paraId="09BC3C99" w14:textId="77777777" w:rsidTr="00162986">
        <w:tc>
          <w:tcPr>
            <w:tcW w:w="534" w:type="dxa"/>
            <w:tcBorders>
              <w:bottom w:val="single" w:sz="4" w:space="0" w:color="auto"/>
            </w:tcBorders>
            <w:vAlign w:val="center"/>
          </w:tcPr>
          <w:p w14:paraId="5355B2E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49</w:t>
            </w:r>
          </w:p>
        </w:tc>
        <w:tc>
          <w:tcPr>
            <w:tcW w:w="1984" w:type="dxa"/>
            <w:tcBorders>
              <w:bottom w:val="single" w:sz="4" w:space="0" w:color="auto"/>
            </w:tcBorders>
            <w:vAlign w:val="center"/>
          </w:tcPr>
          <w:p w14:paraId="19BD168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SCC</w:t>
            </w:r>
          </w:p>
        </w:tc>
        <w:tc>
          <w:tcPr>
            <w:tcW w:w="6004" w:type="dxa"/>
            <w:tcBorders>
              <w:bottom w:val="single" w:sz="4" w:space="0" w:color="auto"/>
            </w:tcBorders>
            <w:vAlign w:val="center"/>
          </w:tcPr>
          <w:p w14:paraId="0615B48D" w14:textId="77777777" w:rsidR="00E23C0C" w:rsidRPr="000F34DB" w:rsidRDefault="00E23C0C" w:rsidP="00162986">
            <w:pPr>
              <w:spacing w:line="240" w:lineRule="exact"/>
              <w:rPr>
                <w:rFonts w:eastAsia="DengXian" w:cs="Calibri"/>
                <w:sz w:val="20"/>
                <w:szCs w:val="20"/>
              </w:rPr>
            </w:pPr>
            <w:r w:rsidRPr="000F34DB">
              <w:rPr>
                <w:rFonts w:eastAsia="DengXian" w:cs="Calibri"/>
                <w:sz w:val="20"/>
                <w:szCs w:val="20"/>
              </w:rPr>
              <w:t>State Council of China</w:t>
            </w:r>
          </w:p>
        </w:tc>
      </w:tr>
    </w:tbl>
    <w:p w14:paraId="156D75FA" w14:textId="77777777" w:rsidR="00E23C0C" w:rsidRPr="000F34DB" w:rsidRDefault="00E23C0C" w:rsidP="00E23C0C">
      <w:pPr>
        <w:spacing w:beforeLines="50" w:before="163" w:afterLines="50" w:after="163" w:line="400" w:lineRule="exact"/>
        <w:rPr>
          <w:rFonts w:cs="Calibri"/>
          <w:sz w:val="20"/>
          <w:szCs w:val="20"/>
        </w:rPr>
      </w:pPr>
    </w:p>
    <w:p w14:paraId="2353BABC" w14:textId="77777777" w:rsidR="00E23C0C" w:rsidRPr="000F34DB" w:rsidRDefault="00E23C0C" w:rsidP="00E23C0C">
      <w:pPr>
        <w:spacing w:beforeLines="50" w:before="163" w:afterLines="50" w:after="163" w:line="400" w:lineRule="exact"/>
        <w:jc w:val="both"/>
        <w:rPr>
          <w:rFonts w:cs="Calibri"/>
          <w:sz w:val="20"/>
          <w:szCs w:val="20"/>
        </w:rPr>
      </w:pPr>
      <w:r w:rsidRPr="000F34DB">
        <w:rPr>
          <w:rFonts w:cs="Calibri"/>
          <w:sz w:val="20"/>
          <w:szCs w:val="20"/>
        </w:rPr>
        <w:t xml:space="preserve">Table 3 Descriptive statistics of government sectors involved in the post-disaster management of </w:t>
      </w:r>
      <w:proofErr w:type="spellStart"/>
      <w:r w:rsidRPr="000F34DB">
        <w:rPr>
          <w:rFonts w:cs="Calibri"/>
          <w:sz w:val="20"/>
          <w:szCs w:val="20"/>
        </w:rPr>
        <w:t>Jiuzhaigou</w:t>
      </w:r>
      <w:proofErr w:type="spellEnd"/>
      <w:r w:rsidRPr="000F34DB">
        <w:rPr>
          <w:rFonts w:cs="Calibri"/>
          <w:sz w:val="20"/>
          <w:szCs w:val="20"/>
        </w:rPr>
        <w:t xml:space="preserve"> National Park</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2111"/>
        <w:gridCol w:w="2765"/>
      </w:tblGrid>
      <w:tr w:rsidR="00E23C0C" w:rsidRPr="000F34DB" w14:paraId="267C09C2" w14:textId="77777777" w:rsidTr="00162986">
        <w:trPr>
          <w:jc w:val="center"/>
        </w:trPr>
        <w:tc>
          <w:tcPr>
            <w:tcW w:w="3510" w:type="dxa"/>
            <w:tcBorders>
              <w:top w:val="single" w:sz="4" w:space="0" w:color="auto"/>
              <w:bottom w:val="single" w:sz="4" w:space="0" w:color="auto"/>
            </w:tcBorders>
          </w:tcPr>
          <w:p w14:paraId="5E2F79A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Types</w:t>
            </w:r>
          </w:p>
        </w:tc>
        <w:tc>
          <w:tcPr>
            <w:tcW w:w="2167" w:type="dxa"/>
            <w:tcBorders>
              <w:top w:val="single" w:sz="4" w:space="0" w:color="auto"/>
              <w:bottom w:val="single" w:sz="4" w:space="0" w:color="auto"/>
            </w:tcBorders>
          </w:tcPr>
          <w:p w14:paraId="5E5A5D0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Number</w:t>
            </w:r>
          </w:p>
        </w:tc>
        <w:tc>
          <w:tcPr>
            <w:tcW w:w="2839" w:type="dxa"/>
            <w:tcBorders>
              <w:top w:val="single" w:sz="4" w:space="0" w:color="auto"/>
              <w:bottom w:val="single" w:sz="4" w:space="0" w:color="auto"/>
            </w:tcBorders>
          </w:tcPr>
          <w:p w14:paraId="4BAF7DD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Percentage</w:t>
            </w:r>
          </w:p>
        </w:tc>
      </w:tr>
      <w:tr w:rsidR="00E23C0C" w:rsidRPr="000F34DB" w14:paraId="1A616972" w14:textId="77777777" w:rsidTr="00162986">
        <w:trPr>
          <w:jc w:val="center"/>
        </w:trPr>
        <w:tc>
          <w:tcPr>
            <w:tcW w:w="3510" w:type="dxa"/>
            <w:tcBorders>
              <w:top w:val="single" w:sz="4" w:space="0" w:color="auto"/>
            </w:tcBorders>
          </w:tcPr>
          <w:p w14:paraId="7F8F311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National</w:t>
            </w:r>
          </w:p>
        </w:tc>
        <w:tc>
          <w:tcPr>
            <w:tcW w:w="2167" w:type="dxa"/>
            <w:tcBorders>
              <w:top w:val="single" w:sz="4" w:space="0" w:color="auto"/>
            </w:tcBorders>
          </w:tcPr>
          <w:p w14:paraId="335B227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w:t>
            </w:r>
          </w:p>
        </w:tc>
        <w:tc>
          <w:tcPr>
            <w:tcW w:w="2839" w:type="dxa"/>
            <w:tcBorders>
              <w:top w:val="single" w:sz="4" w:space="0" w:color="auto"/>
            </w:tcBorders>
          </w:tcPr>
          <w:p w14:paraId="4A46D4E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18.3%</w:t>
            </w:r>
          </w:p>
        </w:tc>
      </w:tr>
      <w:tr w:rsidR="00E23C0C" w:rsidRPr="000F34DB" w14:paraId="099E7431" w14:textId="77777777" w:rsidTr="00162986">
        <w:trPr>
          <w:trHeight w:val="96"/>
          <w:jc w:val="center"/>
        </w:trPr>
        <w:tc>
          <w:tcPr>
            <w:tcW w:w="3510" w:type="dxa"/>
            <w:tcBorders>
              <w:bottom w:val="nil"/>
            </w:tcBorders>
          </w:tcPr>
          <w:p w14:paraId="26170C9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Provincial</w:t>
            </w:r>
          </w:p>
        </w:tc>
        <w:tc>
          <w:tcPr>
            <w:tcW w:w="2167" w:type="dxa"/>
            <w:tcBorders>
              <w:bottom w:val="nil"/>
            </w:tcBorders>
          </w:tcPr>
          <w:p w14:paraId="5D4BA07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17</w:t>
            </w:r>
          </w:p>
        </w:tc>
        <w:tc>
          <w:tcPr>
            <w:tcW w:w="2839" w:type="dxa"/>
            <w:tcBorders>
              <w:bottom w:val="nil"/>
            </w:tcBorders>
          </w:tcPr>
          <w:p w14:paraId="3958401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34.6%</w:t>
            </w:r>
          </w:p>
        </w:tc>
      </w:tr>
      <w:tr w:rsidR="00E23C0C" w:rsidRPr="000F34DB" w14:paraId="3A55FF95" w14:textId="77777777" w:rsidTr="00162986">
        <w:trPr>
          <w:trHeight w:val="70"/>
          <w:jc w:val="center"/>
        </w:trPr>
        <w:tc>
          <w:tcPr>
            <w:tcW w:w="3510" w:type="dxa"/>
            <w:tcBorders>
              <w:top w:val="nil"/>
              <w:bottom w:val="single" w:sz="4" w:space="0" w:color="auto"/>
            </w:tcBorders>
          </w:tcPr>
          <w:p w14:paraId="1EDC2F2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Municipal/district</w:t>
            </w:r>
          </w:p>
        </w:tc>
        <w:tc>
          <w:tcPr>
            <w:tcW w:w="2167" w:type="dxa"/>
            <w:tcBorders>
              <w:top w:val="nil"/>
              <w:bottom w:val="single" w:sz="4" w:space="0" w:color="auto"/>
            </w:tcBorders>
          </w:tcPr>
          <w:p w14:paraId="0008C8B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23</w:t>
            </w:r>
          </w:p>
        </w:tc>
        <w:tc>
          <w:tcPr>
            <w:tcW w:w="2839" w:type="dxa"/>
            <w:tcBorders>
              <w:top w:val="nil"/>
              <w:bottom w:val="single" w:sz="4" w:space="0" w:color="auto"/>
            </w:tcBorders>
          </w:tcPr>
          <w:p w14:paraId="6C0942D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46.9%</w:t>
            </w:r>
          </w:p>
        </w:tc>
      </w:tr>
    </w:tbl>
    <w:p w14:paraId="103AD7B7" w14:textId="77777777" w:rsidR="00E23C0C" w:rsidRPr="000F34DB" w:rsidRDefault="00E23C0C" w:rsidP="00E23C0C">
      <w:pPr>
        <w:spacing w:beforeLines="50" w:before="163" w:afterLines="50" w:after="163" w:line="400" w:lineRule="exact"/>
        <w:rPr>
          <w:rFonts w:cs="Calibri"/>
          <w:sz w:val="20"/>
          <w:szCs w:val="20"/>
        </w:rPr>
      </w:pPr>
    </w:p>
    <w:p w14:paraId="3C724020" w14:textId="77777777" w:rsidR="00E23C0C" w:rsidRPr="000F34DB" w:rsidRDefault="00E23C0C" w:rsidP="00E23C0C">
      <w:pPr>
        <w:spacing w:beforeLines="50" w:before="163" w:afterLines="50" w:after="163" w:line="400" w:lineRule="exact"/>
        <w:jc w:val="both"/>
        <w:rPr>
          <w:rFonts w:cs="Calibri"/>
          <w:sz w:val="20"/>
          <w:szCs w:val="20"/>
        </w:rPr>
      </w:pPr>
      <w:r w:rsidRPr="000F34DB">
        <w:rPr>
          <w:rFonts w:cs="Calibri"/>
          <w:sz w:val="20"/>
          <w:szCs w:val="20"/>
        </w:rPr>
        <w:t>Table 4. Network density and cohesion of intergovernmental collaboration networks at the emergency, intermediate and long-term recovery stages</w:t>
      </w:r>
    </w:p>
    <w:tbl>
      <w:tblPr>
        <w:tblW w:w="0" w:type="auto"/>
        <w:tblLook w:val="04A0" w:firstRow="1" w:lastRow="0" w:firstColumn="1" w:lastColumn="0" w:noHBand="0" w:noVBand="1"/>
      </w:tblPr>
      <w:tblGrid>
        <w:gridCol w:w="2238"/>
        <w:gridCol w:w="1955"/>
        <w:gridCol w:w="1551"/>
        <w:gridCol w:w="2556"/>
      </w:tblGrid>
      <w:tr w:rsidR="00E23C0C" w:rsidRPr="000F34DB" w14:paraId="6CC2A4D4" w14:textId="77777777" w:rsidTr="00162986">
        <w:trPr>
          <w:trHeight w:val="170"/>
        </w:trPr>
        <w:tc>
          <w:tcPr>
            <w:tcW w:w="2238" w:type="dxa"/>
            <w:tcBorders>
              <w:top w:val="single" w:sz="4" w:space="0" w:color="auto"/>
              <w:bottom w:val="single" w:sz="4" w:space="0" w:color="auto"/>
            </w:tcBorders>
          </w:tcPr>
          <w:p w14:paraId="0612F1C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Indexes</w:t>
            </w:r>
          </w:p>
        </w:tc>
        <w:tc>
          <w:tcPr>
            <w:tcW w:w="1955" w:type="dxa"/>
            <w:tcBorders>
              <w:top w:val="single" w:sz="4" w:space="0" w:color="auto"/>
              <w:bottom w:val="single" w:sz="4" w:space="0" w:color="auto"/>
            </w:tcBorders>
          </w:tcPr>
          <w:p w14:paraId="1FD142B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Emergency stage</w:t>
            </w:r>
          </w:p>
        </w:tc>
        <w:tc>
          <w:tcPr>
            <w:tcW w:w="1551" w:type="dxa"/>
            <w:tcBorders>
              <w:top w:val="single" w:sz="4" w:space="0" w:color="auto"/>
              <w:bottom w:val="single" w:sz="4" w:space="0" w:color="auto"/>
            </w:tcBorders>
          </w:tcPr>
          <w:p w14:paraId="39F8686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Intermediate stage</w:t>
            </w:r>
          </w:p>
        </w:tc>
        <w:tc>
          <w:tcPr>
            <w:tcW w:w="2556" w:type="dxa"/>
            <w:tcBorders>
              <w:top w:val="single" w:sz="4" w:space="0" w:color="auto"/>
              <w:bottom w:val="single" w:sz="4" w:space="0" w:color="auto"/>
            </w:tcBorders>
          </w:tcPr>
          <w:p w14:paraId="09C9102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Long-term recovery</w:t>
            </w:r>
          </w:p>
          <w:p w14:paraId="017E7E5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stage</w:t>
            </w:r>
          </w:p>
        </w:tc>
      </w:tr>
      <w:tr w:rsidR="00E23C0C" w:rsidRPr="000F34DB" w14:paraId="39676A61" w14:textId="77777777" w:rsidTr="00162986">
        <w:trPr>
          <w:trHeight w:val="170"/>
        </w:trPr>
        <w:tc>
          <w:tcPr>
            <w:tcW w:w="2238" w:type="dxa"/>
            <w:tcBorders>
              <w:top w:val="single" w:sz="4" w:space="0" w:color="auto"/>
            </w:tcBorders>
          </w:tcPr>
          <w:p w14:paraId="023A3A3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Density</w:t>
            </w:r>
          </w:p>
        </w:tc>
        <w:tc>
          <w:tcPr>
            <w:tcW w:w="1955" w:type="dxa"/>
            <w:tcBorders>
              <w:top w:val="single" w:sz="4" w:space="0" w:color="auto"/>
            </w:tcBorders>
          </w:tcPr>
          <w:p w14:paraId="0ED78C2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0.3364</w:t>
            </w:r>
          </w:p>
        </w:tc>
        <w:tc>
          <w:tcPr>
            <w:tcW w:w="1551" w:type="dxa"/>
            <w:tcBorders>
              <w:top w:val="single" w:sz="4" w:space="0" w:color="auto"/>
            </w:tcBorders>
          </w:tcPr>
          <w:p w14:paraId="7E293F1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0.4381</w:t>
            </w:r>
          </w:p>
        </w:tc>
        <w:tc>
          <w:tcPr>
            <w:tcW w:w="2556" w:type="dxa"/>
            <w:tcBorders>
              <w:top w:val="single" w:sz="4" w:space="0" w:color="auto"/>
            </w:tcBorders>
          </w:tcPr>
          <w:p w14:paraId="0F6539C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0.1392</w:t>
            </w:r>
          </w:p>
        </w:tc>
      </w:tr>
      <w:tr w:rsidR="00E23C0C" w:rsidRPr="000F34DB" w14:paraId="7DAA0A47" w14:textId="77777777" w:rsidTr="00162986">
        <w:trPr>
          <w:trHeight w:val="170"/>
        </w:trPr>
        <w:tc>
          <w:tcPr>
            <w:tcW w:w="2238" w:type="dxa"/>
          </w:tcPr>
          <w:p w14:paraId="4F68DD3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Ties</w:t>
            </w:r>
          </w:p>
        </w:tc>
        <w:tc>
          <w:tcPr>
            <w:tcW w:w="1955" w:type="dxa"/>
          </w:tcPr>
          <w:p w14:paraId="04FB2F8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37</w:t>
            </w:r>
          </w:p>
        </w:tc>
        <w:tc>
          <w:tcPr>
            <w:tcW w:w="1551" w:type="dxa"/>
          </w:tcPr>
          <w:p w14:paraId="335ABF0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184</w:t>
            </w:r>
          </w:p>
        </w:tc>
        <w:tc>
          <w:tcPr>
            <w:tcW w:w="2556" w:type="dxa"/>
          </w:tcPr>
          <w:p w14:paraId="3B606FB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147</w:t>
            </w:r>
          </w:p>
        </w:tc>
      </w:tr>
      <w:tr w:rsidR="00E23C0C" w:rsidRPr="000F34DB" w14:paraId="13A1EB9F" w14:textId="77777777" w:rsidTr="00162986">
        <w:trPr>
          <w:trHeight w:val="170"/>
        </w:trPr>
        <w:tc>
          <w:tcPr>
            <w:tcW w:w="2238" w:type="dxa"/>
          </w:tcPr>
          <w:p w14:paraId="7F59475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Actors</w:t>
            </w:r>
          </w:p>
        </w:tc>
        <w:tc>
          <w:tcPr>
            <w:tcW w:w="1955" w:type="dxa"/>
          </w:tcPr>
          <w:p w14:paraId="1F12D70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w:t>
            </w:r>
          </w:p>
        </w:tc>
        <w:tc>
          <w:tcPr>
            <w:tcW w:w="1551" w:type="dxa"/>
          </w:tcPr>
          <w:p w14:paraId="30D1171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21</w:t>
            </w:r>
          </w:p>
        </w:tc>
        <w:tc>
          <w:tcPr>
            <w:tcW w:w="2556" w:type="dxa"/>
          </w:tcPr>
          <w:p w14:paraId="606EBEF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33</w:t>
            </w:r>
          </w:p>
        </w:tc>
      </w:tr>
      <w:tr w:rsidR="00E23C0C" w:rsidRPr="000F34DB" w14:paraId="0F5ADD78" w14:textId="77777777" w:rsidTr="00162986">
        <w:trPr>
          <w:trHeight w:val="170"/>
        </w:trPr>
        <w:tc>
          <w:tcPr>
            <w:tcW w:w="2238" w:type="dxa"/>
            <w:tcBorders>
              <w:bottom w:val="single" w:sz="4" w:space="0" w:color="auto"/>
            </w:tcBorders>
          </w:tcPr>
          <w:p w14:paraId="45D8E1F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Average distance</w:t>
            </w:r>
          </w:p>
        </w:tc>
        <w:tc>
          <w:tcPr>
            <w:tcW w:w="1955" w:type="dxa"/>
            <w:tcBorders>
              <w:bottom w:val="single" w:sz="4" w:space="0" w:color="auto"/>
            </w:tcBorders>
          </w:tcPr>
          <w:p w14:paraId="2C61AB3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1.664</w:t>
            </w:r>
          </w:p>
        </w:tc>
        <w:tc>
          <w:tcPr>
            <w:tcW w:w="1551" w:type="dxa"/>
            <w:tcBorders>
              <w:bottom w:val="single" w:sz="4" w:space="0" w:color="auto"/>
            </w:tcBorders>
          </w:tcPr>
          <w:p w14:paraId="39F1C80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1.733</w:t>
            </w:r>
          </w:p>
        </w:tc>
        <w:tc>
          <w:tcPr>
            <w:tcW w:w="2556" w:type="dxa"/>
            <w:tcBorders>
              <w:bottom w:val="single" w:sz="4" w:space="0" w:color="auto"/>
            </w:tcBorders>
          </w:tcPr>
          <w:p w14:paraId="0B92873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1.861</w:t>
            </w:r>
          </w:p>
        </w:tc>
      </w:tr>
    </w:tbl>
    <w:p w14:paraId="2BEF01D0" w14:textId="77777777" w:rsidR="00E23C0C" w:rsidRPr="000F34DB" w:rsidRDefault="00E23C0C" w:rsidP="00E23C0C">
      <w:pPr>
        <w:spacing w:beforeLines="50" w:before="163" w:afterLines="50" w:after="163" w:line="400" w:lineRule="exact"/>
        <w:rPr>
          <w:rFonts w:cs="Calibri"/>
          <w:sz w:val="20"/>
          <w:szCs w:val="20"/>
        </w:rPr>
      </w:pPr>
    </w:p>
    <w:p w14:paraId="0B254B67" w14:textId="77777777" w:rsidR="00E23C0C" w:rsidRPr="000F34DB" w:rsidRDefault="00E23C0C" w:rsidP="00E23C0C">
      <w:pPr>
        <w:spacing w:beforeLines="50" w:before="163" w:afterLines="50" w:after="163" w:line="400" w:lineRule="exact"/>
        <w:rPr>
          <w:rFonts w:cs="Calibri"/>
          <w:sz w:val="20"/>
          <w:szCs w:val="20"/>
        </w:rPr>
      </w:pPr>
      <w:r w:rsidRPr="000F34DB">
        <w:rPr>
          <w:rFonts w:cs="Calibri"/>
          <w:sz w:val="20"/>
          <w:szCs w:val="20"/>
        </w:rPr>
        <w:t>Table 5 Centrality measures of the intergovernmental collaboration network at the emergency stage</w:t>
      </w:r>
    </w:p>
    <w:tbl>
      <w:tblPr>
        <w:tblW w:w="8472" w:type="dxa"/>
        <w:jc w:val="center"/>
        <w:tblLook w:val="04A0" w:firstRow="1" w:lastRow="0" w:firstColumn="1" w:lastColumn="0" w:noHBand="0" w:noVBand="1"/>
      </w:tblPr>
      <w:tblGrid>
        <w:gridCol w:w="2130"/>
        <w:gridCol w:w="2130"/>
        <w:gridCol w:w="2131"/>
        <w:gridCol w:w="2081"/>
      </w:tblGrid>
      <w:tr w:rsidR="00E23C0C" w:rsidRPr="000F34DB" w14:paraId="599B7615" w14:textId="77777777" w:rsidTr="00162986">
        <w:trPr>
          <w:trHeight w:val="99"/>
          <w:jc w:val="center"/>
        </w:trPr>
        <w:tc>
          <w:tcPr>
            <w:tcW w:w="2130" w:type="dxa"/>
            <w:tcBorders>
              <w:top w:val="single" w:sz="4" w:space="0" w:color="auto"/>
              <w:bottom w:val="single" w:sz="4" w:space="0" w:color="auto"/>
            </w:tcBorders>
          </w:tcPr>
          <w:p w14:paraId="30CA62C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Government sectors</w:t>
            </w:r>
          </w:p>
        </w:tc>
        <w:tc>
          <w:tcPr>
            <w:tcW w:w="2130" w:type="dxa"/>
            <w:tcBorders>
              <w:top w:val="single" w:sz="4" w:space="0" w:color="auto"/>
              <w:bottom w:val="single" w:sz="4" w:space="0" w:color="auto"/>
            </w:tcBorders>
          </w:tcPr>
          <w:p w14:paraId="5F3CDE4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Degree</w:t>
            </w:r>
          </w:p>
        </w:tc>
        <w:tc>
          <w:tcPr>
            <w:tcW w:w="2131" w:type="dxa"/>
            <w:tcBorders>
              <w:top w:val="single" w:sz="4" w:space="0" w:color="auto"/>
              <w:bottom w:val="single" w:sz="4" w:space="0" w:color="auto"/>
            </w:tcBorders>
          </w:tcPr>
          <w:p w14:paraId="3D29715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Closeness</w:t>
            </w:r>
          </w:p>
        </w:tc>
        <w:tc>
          <w:tcPr>
            <w:tcW w:w="2081" w:type="dxa"/>
            <w:tcBorders>
              <w:top w:val="single" w:sz="4" w:space="0" w:color="auto"/>
              <w:bottom w:val="single" w:sz="4" w:space="0" w:color="auto"/>
            </w:tcBorders>
          </w:tcPr>
          <w:p w14:paraId="79EECF8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Betweenness</w:t>
            </w:r>
          </w:p>
        </w:tc>
      </w:tr>
      <w:tr w:rsidR="00E23C0C" w:rsidRPr="000F34DB" w14:paraId="7D98666F" w14:textId="77777777" w:rsidTr="00162986">
        <w:trPr>
          <w:jc w:val="center"/>
        </w:trPr>
        <w:tc>
          <w:tcPr>
            <w:tcW w:w="2130" w:type="dxa"/>
            <w:tcBorders>
              <w:top w:val="single" w:sz="4" w:space="0" w:color="auto"/>
            </w:tcBorders>
          </w:tcPr>
          <w:p w14:paraId="3C0DE4F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SCC</w:t>
            </w:r>
          </w:p>
        </w:tc>
        <w:tc>
          <w:tcPr>
            <w:tcW w:w="2130" w:type="dxa"/>
            <w:tcBorders>
              <w:top w:val="single" w:sz="4" w:space="0" w:color="auto"/>
            </w:tcBorders>
          </w:tcPr>
          <w:p w14:paraId="7C15895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40.000</w:t>
            </w:r>
          </w:p>
        </w:tc>
        <w:tc>
          <w:tcPr>
            <w:tcW w:w="2131" w:type="dxa"/>
            <w:tcBorders>
              <w:top w:val="single" w:sz="4" w:space="0" w:color="auto"/>
            </w:tcBorders>
          </w:tcPr>
          <w:p w14:paraId="6142652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62.500</w:t>
            </w:r>
          </w:p>
        </w:tc>
        <w:tc>
          <w:tcPr>
            <w:tcW w:w="2081" w:type="dxa"/>
            <w:tcBorders>
              <w:top w:val="single" w:sz="4" w:space="0" w:color="auto"/>
            </w:tcBorders>
          </w:tcPr>
          <w:p w14:paraId="4B2FA34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12C7A82C" w14:textId="77777777" w:rsidTr="00162986">
        <w:trPr>
          <w:jc w:val="center"/>
        </w:trPr>
        <w:tc>
          <w:tcPr>
            <w:tcW w:w="2130" w:type="dxa"/>
          </w:tcPr>
          <w:p w14:paraId="5A9EA9A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GS</w:t>
            </w:r>
          </w:p>
        </w:tc>
        <w:tc>
          <w:tcPr>
            <w:tcW w:w="2130" w:type="dxa"/>
          </w:tcPr>
          <w:p w14:paraId="13DE88B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40.000</w:t>
            </w:r>
          </w:p>
        </w:tc>
        <w:tc>
          <w:tcPr>
            <w:tcW w:w="2131" w:type="dxa"/>
          </w:tcPr>
          <w:p w14:paraId="5B2EA3C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62.500</w:t>
            </w:r>
          </w:p>
        </w:tc>
        <w:tc>
          <w:tcPr>
            <w:tcW w:w="2081" w:type="dxa"/>
          </w:tcPr>
          <w:p w14:paraId="274EBD7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65D718A7" w14:textId="77777777" w:rsidTr="00162986">
        <w:trPr>
          <w:jc w:val="center"/>
        </w:trPr>
        <w:tc>
          <w:tcPr>
            <w:tcW w:w="2130" w:type="dxa"/>
          </w:tcPr>
          <w:p w14:paraId="108B51F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GA</w:t>
            </w:r>
          </w:p>
        </w:tc>
        <w:tc>
          <w:tcPr>
            <w:tcW w:w="2130" w:type="dxa"/>
          </w:tcPr>
          <w:p w14:paraId="4BD42A2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50.000</w:t>
            </w:r>
          </w:p>
        </w:tc>
        <w:tc>
          <w:tcPr>
            <w:tcW w:w="2131" w:type="dxa"/>
          </w:tcPr>
          <w:p w14:paraId="2560ECB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66.667</w:t>
            </w:r>
          </w:p>
        </w:tc>
        <w:tc>
          <w:tcPr>
            <w:tcW w:w="2081" w:type="dxa"/>
          </w:tcPr>
          <w:p w14:paraId="1265C8D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3.333</w:t>
            </w:r>
          </w:p>
        </w:tc>
      </w:tr>
      <w:tr w:rsidR="00E23C0C" w:rsidRPr="000F34DB" w14:paraId="231A2BDD" w14:textId="77777777" w:rsidTr="00162986">
        <w:trPr>
          <w:jc w:val="center"/>
        </w:trPr>
        <w:tc>
          <w:tcPr>
            <w:tcW w:w="2130" w:type="dxa"/>
          </w:tcPr>
          <w:p w14:paraId="07D9A71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GJ</w:t>
            </w:r>
          </w:p>
        </w:tc>
        <w:tc>
          <w:tcPr>
            <w:tcW w:w="2130" w:type="dxa"/>
          </w:tcPr>
          <w:p w14:paraId="43ED0BA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40.000</w:t>
            </w:r>
          </w:p>
        </w:tc>
        <w:tc>
          <w:tcPr>
            <w:tcW w:w="2131" w:type="dxa"/>
          </w:tcPr>
          <w:p w14:paraId="77E5ED9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62.500</w:t>
            </w:r>
          </w:p>
        </w:tc>
        <w:tc>
          <w:tcPr>
            <w:tcW w:w="2081" w:type="dxa"/>
          </w:tcPr>
          <w:p w14:paraId="4AD9DDA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2FD3FFC4" w14:textId="77777777" w:rsidTr="00162986">
        <w:trPr>
          <w:jc w:val="center"/>
        </w:trPr>
        <w:tc>
          <w:tcPr>
            <w:tcW w:w="2130" w:type="dxa"/>
          </w:tcPr>
          <w:p w14:paraId="3E1173F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w:t>
            </w:r>
          </w:p>
        </w:tc>
        <w:tc>
          <w:tcPr>
            <w:tcW w:w="2130" w:type="dxa"/>
          </w:tcPr>
          <w:p w14:paraId="3E9B54F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100.000</w:t>
            </w:r>
          </w:p>
        </w:tc>
        <w:tc>
          <w:tcPr>
            <w:tcW w:w="2131" w:type="dxa"/>
          </w:tcPr>
          <w:p w14:paraId="6816D64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100.000</w:t>
            </w:r>
          </w:p>
        </w:tc>
        <w:tc>
          <w:tcPr>
            <w:tcW w:w="2081" w:type="dxa"/>
          </w:tcPr>
          <w:p w14:paraId="4F27402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75.556</w:t>
            </w:r>
          </w:p>
        </w:tc>
      </w:tr>
      <w:tr w:rsidR="00E23C0C" w:rsidRPr="000F34DB" w14:paraId="33228456" w14:textId="77777777" w:rsidTr="00162986">
        <w:trPr>
          <w:jc w:val="center"/>
        </w:trPr>
        <w:tc>
          <w:tcPr>
            <w:tcW w:w="2130" w:type="dxa"/>
          </w:tcPr>
          <w:p w14:paraId="7307CA8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NDRC</w:t>
            </w:r>
          </w:p>
        </w:tc>
        <w:tc>
          <w:tcPr>
            <w:tcW w:w="2130" w:type="dxa"/>
          </w:tcPr>
          <w:p w14:paraId="0CF0C1E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20.000</w:t>
            </w:r>
          </w:p>
        </w:tc>
        <w:tc>
          <w:tcPr>
            <w:tcW w:w="2131" w:type="dxa"/>
          </w:tcPr>
          <w:p w14:paraId="0B4CA61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55.556</w:t>
            </w:r>
          </w:p>
        </w:tc>
        <w:tc>
          <w:tcPr>
            <w:tcW w:w="2081" w:type="dxa"/>
          </w:tcPr>
          <w:p w14:paraId="168CD05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2C6B66CD" w14:textId="77777777" w:rsidTr="00162986">
        <w:trPr>
          <w:jc w:val="center"/>
        </w:trPr>
        <w:tc>
          <w:tcPr>
            <w:tcW w:w="2130" w:type="dxa"/>
          </w:tcPr>
          <w:p w14:paraId="4E3B971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DFS</w:t>
            </w:r>
          </w:p>
        </w:tc>
        <w:tc>
          <w:tcPr>
            <w:tcW w:w="2130" w:type="dxa"/>
          </w:tcPr>
          <w:p w14:paraId="5F1FD12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30.000</w:t>
            </w:r>
          </w:p>
        </w:tc>
        <w:tc>
          <w:tcPr>
            <w:tcW w:w="2131" w:type="dxa"/>
          </w:tcPr>
          <w:p w14:paraId="62A88F4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58.824</w:t>
            </w:r>
          </w:p>
        </w:tc>
        <w:tc>
          <w:tcPr>
            <w:tcW w:w="2081" w:type="dxa"/>
          </w:tcPr>
          <w:p w14:paraId="778E62A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1.111</w:t>
            </w:r>
          </w:p>
        </w:tc>
      </w:tr>
      <w:tr w:rsidR="00E23C0C" w:rsidRPr="000F34DB" w14:paraId="50211AF6" w14:textId="77777777" w:rsidTr="00162986">
        <w:trPr>
          <w:jc w:val="center"/>
        </w:trPr>
        <w:tc>
          <w:tcPr>
            <w:tcW w:w="2130" w:type="dxa"/>
          </w:tcPr>
          <w:p w14:paraId="2F53A0E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lastRenderedPageBreak/>
              <w:t>DFJ</w:t>
            </w:r>
          </w:p>
        </w:tc>
        <w:tc>
          <w:tcPr>
            <w:tcW w:w="2130" w:type="dxa"/>
          </w:tcPr>
          <w:p w14:paraId="3650EDB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20.000</w:t>
            </w:r>
          </w:p>
        </w:tc>
        <w:tc>
          <w:tcPr>
            <w:tcW w:w="2131" w:type="dxa"/>
          </w:tcPr>
          <w:p w14:paraId="59BBCAC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55.556</w:t>
            </w:r>
          </w:p>
        </w:tc>
        <w:tc>
          <w:tcPr>
            <w:tcW w:w="2081" w:type="dxa"/>
          </w:tcPr>
          <w:p w14:paraId="14605EC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7F717F8A" w14:textId="77777777" w:rsidTr="00162986">
        <w:trPr>
          <w:jc w:val="center"/>
        </w:trPr>
        <w:tc>
          <w:tcPr>
            <w:tcW w:w="2130" w:type="dxa"/>
          </w:tcPr>
          <w:p w14:paraId="2114365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WBA</w:t>
            </w:r>
          </w:p>
        </w:tc>
        <w:tc>
          <w:tcPr>
            <w:tcW w:w="2130" w:type="dxa"/>
          </w:tcPr>
          <w:p w14:paraId="1F74B14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20.000</w:t>
            </w:r>
          </w:p>
        </w:tc>
        <w:tc>
          <w:tcPr>
            <w:tcW w:w="2131" w:type="dxa"/>
          </w:tcPr>
          <w:p w14:paraId="5AC26B5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55.556</w:t>
            </w:r>
          </w:p>
        </w:tc>
        <w:tc>
          <w:tcPr>
            <w:tcW w:w="2081" w:type="dxa"/>
          </w:tcPr>
          <w:p w14:paraId="6F9D451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5B43B1B1" w14:textId="77777777" w:rsidTr="00162986">
        <w:trPr>
          <w:jc w:val="center"/>
        </w:trPr>
        <w:tc>
          <w:tcPr>
            <w:tcW w:w="2130" w:type="dxa"/>
          </w:tcPr>
          <w:p w14:paraId="4036C3D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LRBS</w:t>
            </w:r>
          </w:p>
        </w:tc>
        <w:tc>
          <w:tcPr>
            <w:tcW w:w="2130" w:type="dxa"/>
          </w:tcPr>
          <w:p w14:paraId="1004394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10.000</w:t>
            </w:r>
          </w:p>
        </w:tc>
        <w:tc>
          <w:tcPr>
            <w:tcW w:w="2131" w:type="dxa"/>
          </w:tcPr>
          <w:p w14:paraId="0D15D2F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52.632</w:t>
            </w:r>
          </w:p>
        </w:tc>
        <w:tc>
          <w:tcPr>
            <w:tcW w:w="2081" w:type="dxa"/>
          </w:tcPr>
          <w:p w14:paraId="194A87A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1C30D2E6" w14:textId="77777777" w:rsidTr="00162986">
        <w:trPr>
          <w:trHeight w:val="70"/>
          <w:jc w:val="center"/>
        </w:trPr>
        <w:tc>
          <w:tcPr>
            <w:tcW w:w="2130" w:type="dxa"/>
            <w:tcBorders>
              <w:bottom w:val="single" w:sz="4" w:space="0" w:color="auto"/>
            </w:tcBorders>
          </w:tcPr>
          <w:p w14:paraId="4F04B5D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TBA</w:t>
            </w:r>
          </w:p>
        </w:tc>
        <w:tc>
          <w:tcPr>
            <w:tcW w:w="2130" w:type="dxa"/>
            <w:tcBorders>
              <w:bottom w:val="single" w:sz="4" w:space="0" w:color="auto"/>
            </w:tcBorders>
          </w:tcPr>
          <w:p w14:paraId="02C080C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10.000</w:t>
            </w:r>
          </w:p>
        </w:tc>
        <w:tc>
          <w:tcPr>
            <w:tcW w:w="2131" w:type="dxa"/>
            <w:tcBorders>
              <w:bottom w:val="single" w:sz="4" w:space="0" w:color="auto"/>
            </w:tcBorders>
          </w:tcPr>
          <w:p w14:paraId="2E180D7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52.632</w:t>
            </w:r>
          </w:p>
        </w:tc>
        <w:tc>
          <w:tcPr>
            <w:tcW w:w="2081" w:type="dxa"/>
            <w:tcBorders>
              <w:bottom w:val="single" w:sz="4" w:space="0" w:color="auto"/>
            </w:tcBorders>
          </w:tcPr>
          <w:p w14:paraId="6BC914D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bl>
    <w:p w14:paraId="181778EE" w14:textId="77777777" w:rsidR="00E23C0C" w:rsidRPr="000F34DB" w:rsidRDefault="00E23C0C" w:rsidP="00E23C0C">
      <w:pPr>
        <w:spacing w:beforeLines="50" w:before="163" w:afterLines="50" w:after="163" w:line="400" w:lineRule="exact"/>
        <w:rPr>
          <w:rFonts w:cs="Calibri"/>
          <w:sz w:val="20"/>
          <w:szCs w:val="20"/>
        </w:rPr>
      </w:pPr>
    </w:p>
    <w:p w14:paraId="5786FEDA" w14:textId="77777777" w:rsidR="00E23C0C" w:rsidRPr="000F34DB" w:rsidRDefault="00E23C0C" w:rsidP="00E23C0C">
      <w:pPr>
        <w:spacing w:beforeLines="50" w:before="163" w:afterLines="50" w:after="163" w:line="400" w:lineRule="exact"/>
        <w:jc w:val="both"/>
        <w:rPr>
          <w:rFonts w:cs="Calibri"/>
          <w:sz w:val="20"/>
          <w:szCs w:val="20"/>
        </w:rPr>
      </w:pPr>
      <w:r w:rsidRPr="000F34DB">
        <w:rPr>
          <w:rFonts w:cs="Calibri"/>
          <w:sz w:val="20"/>
          <w:szCs w:val="20"/>
        </w:rPr>
        <w:t>Table 6. Centrality measures of the intergovernmental collaboration network at the intermediate stage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2061"/>
        <w:gridCol w:w="2073"/>
        <w:gridCol w:w="2088"/>
      </w:tblGrid>
      <w:tr w:rsidR="00E23C0C" w:rsidRPr="000F34DB" w14:paraId="4292FE35" w14:textId="77777777" w:rsidTr="00162986">
        <w:tc>
          <w:tcPr>
            <w:tcW w:w="2130" w:type="dxa"/>
            <w:tcBorders>
              <w:top w:val="single" w:sz="4" w:space="0" w:color="auto"/>
              <w:bottom w:val="single" w:sz="4" w:space="0" w:color="auto"/>
            </w:tcBorders>
          </w:tcPr>
          <w:p w14:paraId="70EBDA7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Government sectors</w:t>
            </w:r>
          </w:p>
        </w:tc>
        <w:tc>
          <w:tcPr>
            <w:tcW w:w="2130" w:type="dxa"/>
            <w:tcBorders>
              <w:top w:val="single" w:sz="4" w:space="0" w:color="auto"/>
              <w:bottom w:val="single" w:sz="4" w:space="0" w:color="auto"/>
            </w:tcBorders>
          </w:tcPr>
          <w:p w14:paraId="23290F4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Degree</w:t>
            </w:r>
          </w:p>
        </w:tc>
        <w:tc>
          <w:tcPr>
            <w:tcW w:w="2131" w:type="dxa"/>
            <w:tcBorders>
              <w:top w:val="single" w:sz="4" w:space="0" w:color="auto"/>
              <w:bottom w:val="single" w:sz="4" w:space="0" w:color="auto"/>
            </w:tcBorders>
          </w:tcPr>
          <w:p w14:paraId="793CD16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Closeness</w:t>
            </w:r>
          </w:p>
        </w:tc>
        <w:tc>
          <w:tcPr>
            <w:tcW w:w="2131" w:type="dxa"/>
            <w:tcBorders>
              <w:top w:val="single" w:sz="4" w:space="0" w:color="auto"/>
              <w:bottom w:val="single" w:sz="4" w:space="0" w:color="auto"/>
            </w:tcBorders>
          </w:tcPr>
          <w:p w14:paraId="2D3AC48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Betweenness</w:t>
            </w:r>
          </w:p>
        </w:tc>
      </w:tr>
      <w:tr w:rsidR="00E23C0C" w:rsidRPr="000F34DB" w14:paraId="3E9BDFD1" w14:textId="77777777" w:rsidTr="00162986">
        <w:tc>
          <w:tcPr>
            <w:tcW w:w="2130" w:type="dxa"/>
            <w:tcBorders>
              <w:top w:val="single" w:sz="4" w:space="0" w:color="auto"/>
            </w:tcBorders>
          </w:tcPr>
          <w:p w14:paraId="1C2F1EC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w:t>
            </w:r>
          </w:p>
        </w:tc>
        <w:tc>
          <w:tcPr>
            <w:tcW w:w="2130" w:type="dxa"/>
            <w:tcBorders>
              <w:top w:val="single" w:sz="4" w:space="0" w:color="auto"/>
            </w:tcBorders>
          </w:tcPr>
          <w:p w14:paraId="56BD9FB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70.000</w:t>
            </w:r>
          </w:p>
        </w:tc>
        <w:tc>
          <w:tcPr>
            <w:tcW w:w="2131" w:type="dxa"/>
            <w:tcBorders>
              <w:top w:val="single" w:sz="4" w:space="0" w:color="auto"/>
            </w:tcBorders>
          </w:tcPr>
          <w:p w14:paraId="43A562B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76.923</w:t>
            </w:r>
          </w:p>
        </w:tc>
        <w:tc>
          <w:tcPr>
            <w:tcW w:w="2131" w:type="dxa"/>
            <w:tcBorders>
              <w:top w:val="single" w:sz="4" w:space="0" w:color="auto"/>
            </w:tcBorders>
          </w:tcPr>
          <w:p w14:paraId="3AC8A62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41.404</w:t>
            </w:r>
          </w:p>
        </w:tc>
      </w:tr>
      <w:tr w:rsidR="00E23C0C" w:rsidRPr="000F34DB" w14:paraId="6B671864" w14:textId="77777777" w:rsidTr="00162986">
        <w:tc>
          <w:tcPr>
            <w:tcW w:w="2130" w:type="dxa"/>
          </w:tcPr>
          <w:p w14:paraId="7CE63C1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GJ</w:t>
            </w:r>
          </w:p>
        </w:tc>
        <w:tc>
          <w:tcPr>
            <w:tcW w:w="2130" w:type="dxa"/>
          </w:tcPr>
          <w:p w14:paraId="279C8FD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65.000</w:t>
            </w:r>
          </w:p>
        </w:tc>
        <w:tc>
          <w:tcPr>
            <w:tcW w:w="2131" w:type="dxa"/>
          </w:tcPr>
          <w:p w14:paraId="3C47994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66.667</w:t>
            </w:r>
          </w:p>
        </w:tc>
        <w:tc>
          <w:tcPr>
            <w:tcW w:w="2131" w:type="dxa"/>
          </w:tcPr>
          <w:p w14:paraId="21D1098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2.480</w:t>
            </w:r>
          </w:p>
        </w:tc>
      </w:tr>
      <w:tr w:rsidR="00E23C0C" w:rsidRPr="000F34DB" w14:paraId="6CD100C3" w14:textId="77777777" w:rsidTr="00162986">
        <w:tc>
          <w:tcPr>
            <w:tcW w:w="2130" w:type="dxa"/>
          </w:tcPr>
          <w:p w14:paraId="6D1FB5C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GEBS</w:t>
            </w:r>
          </w:p>
        </w:tc>
        <w:tc>
          <w:tcPr>
            <w:tcW w:w="2130" w:type="dxa"/>
          </w:tcPr>
          <w:p w14:paraId="748E74E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10.000</w:t>
            </w:r>
          </w:p>
        </w:tc>
        <w:tc>
          <w:tcPr>
            <w:tcW w:w="2131" w:type="dxa"/>
          </w:tcPr>
          <w:p w14:paraId="1826BBE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42.553</w:t>
            </w:r>
          </w:p>
        </w:tc>
        <w:tc>
          <w:tcPr>
            <w:tcW w:w="2131" w:type="dxa"/>
          </w:tcPr>
          <w:p w14:paraId="210235A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64AB8C84" w14:textId="77777777" w:rsidTr="00162986">
        <w:tc>
          <w:tcPr>
            <w:tcW w:w="2130" w:type="dxa"/>
          </w:tcPr>
          <w:p w14:paraId="2917226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SMBS</w:t>
            </w:r>
          </w:p>
        </w:tc>
        <w:tc>
          <w:tcPr>
            <w:tcW w:w="2130" w:type="dxa"/>
          </w:tcPr>
          <w:p w14:paraId="779013C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10.000</w:t>
            </w:r>
          </w:p>
        </w:tc>
        <w:tc>
          <w:tcPr>
            <w:tcW w:w="2131" w:type="dxa"/>
          </w:tcPr>
          <w:p w14:paraId="6D546A6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42.553</w:t>
            </w:r>
          </w:p>
        </w:tc>
        <w:tc>
          <w:tcPr>
            <w:tcW w:w="2131" w:type="dxa"/>
          </w:tcPr>
          <w:p w14:paraId="5A82BD7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4A84A82D" w14:textId="77777777" w:rsidTr="00162986">
        <w:tc>
          <w:tcPr>
            <w:tcW w:w="2130" w:type="dxa"/>
          </w:tcPr>
          <w:p w14:paraId="243AA1A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GS</w:t>
            </w:r>
          </w:p>
        </w:tc>
        <w:tc>
          <w:tcPr>
            <w:tcW w:w="2130" w:type="dxa"/>
          </w:tcPr>
          <w:p w14:paraId="7859887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65.000</w:t>
            </w:r>
          </w:p>
        </w:tc>
        <w:tc>
          <w:tcPr>
            <w:tcW w:w="2131" w:type="dxa"/>
          </w:tcPr>
          <w:p w14:paraId="1DD551E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66.667</w:t>
            </w:r>
          </w:p>
        </w:tc>
        <w:tc>
          <w:tcPr>
            <w:tcW w:w="2131" w:type="dxa"/>
          </w:tcPr>
          <w:p w14:paraId="1BB359B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2.480</w:t>
            </w:r>
          </w:p>
        </w:tc>
      </w:tr>
      <w:tr w:rsidR="00E23C0C" w:rsidRPr="000F34DB" w14:paraId="249AE085" w14:textId="77777777" w:rsidTr="00162986">
        <w:trPr>
          <w:trHeight w:val="92"/>
        </w:trPr>
        <w:tc>
          <w:tcPr>
            <w:tcW w:w="2130" w:type="dxa"/>
          </w:tcPr>
          <w:p w14:paraId="5E34AE1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GA</w:t>
            </w:r>
          </w:p>
        </w:tc>
        <w:tc>
          <w:tcPr>
            <w:tcW w:w="2130" w:type="dxa"/>
          </w:tcPr>
          <w:p w14:paraId="2608CB0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55.000</w:t>
            </w:r>
          </w:p>
        </w:tc>
        <w:tc>
          <w:tcPr>
            <w:tcW w:w="2131" w:type="dxa"/>
          </w:tcPr>
          <w:p w14:paraId="3A62B23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54.054</w:t>
            </w:r>
          </w:p>
        </w:tc>
        <w:tc>
          <w:tcPr>
            <w:tcW w:w="2131" w:type="dxa"/>
          </w:tcPr>
          <w:p w14:paraId="775C224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375073E9" w14:textId="77777777" w:rsidTr="00162986">
        <w:tc>
          <w:tcPr>
            <w:tcW w:w="2130" w:type="dxa"/>
          </w:tcPr>
          <w:p w14:paraId="64A41E1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NDRC</w:t>
            </w:r>
          </w:p>
        </w:tc>
        <w:tc>
          <w:tcPr>
            <w:tcW w:w="2130" w:type="dxa"/>
          </w:tcPr>
          <w:p w14:paraId="0724298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60.000</w:t>
            </w:r>
          </w:p>
        </w:tc>
        <w:tc>
          <w:tcPr>
            <w:tcW w:w="2131" w:type="dxa"/>
          </w:tcPr>
          <w:p w14:paraId="115A2EE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64.516</w:t>
            </w:r>
          </w:p>
        </w:tc>
        <w:tc>
          <w:tcPr>
            <w:tcW w:w="2131" w:type="dxa"/>
          </w:tcPr>
          <w:p w14:paraId="4BC7493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0.287</w:t>
            </w:r>
          </w:p>
        </w:tc>
      </w:tr>
      <w:tr w:rsidR="00E23C0C" w:rsidRPr="000F34DB" w14:paraId="44C8A894" w14:textId="77777777" w:rsidTr="00162986">
        <w:tc>
          <w:tcPr>
            <w:tcW w:w="2130" w:type="dxa"/>
          </w:tcPr>
          <w:p w14:paraId="247B7C9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NCAD</w:t>
            </w:r>
          </w:p>
        </w:tc>
        <w:tc>
          <w:tcPr>
            <w:tcW w:w="2130" w:type="dxa"/>
          </w:tcPr>
          <w:p w14:paraId="3066DF7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60.000</w:t>
            </w:r>
          </w:p>
        </w:tc>
        <w:tc>
          <w:tcPr>
            <w:tcW w:w="2131" w:type="dxa"/>
          </w:tcPr>
          <w:p w14:paraId="75974CF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64.516</w:t>
            </w:r>
          </w:p>
        </w:tc>
        <w:tc>
          <w:tcPr>
            <w:tcW w:w="2131" w:type="dxa"/>
          </w:tcPr>
          <w:p w14:paraId="48717CA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0.287</w:t>
            </w:r>
          </w:p>
        </w:tc>
      </w:tr>
      <w:tr w:rsidR="00E23C0C" w:rsidRPr="000F34DB" w14:paraId="79216085" w14:textId="77777777" w:rsidTr="00162986">
        <w:tc>
          <w:tcPr>
            <w:tcW w:w="2130" w:type="dxa"/>
          </w:tcPr>
          <w:p w14:paraId="60F8044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NFD</w:t>
            </w:r>
          </w:p>
        </w:tc>
        <w:tc>
          <w:tcPr>
            <w:tcW w:w="2130" w:type="dxa"/>
          </w:tcPr>
          <w:p w14:paraId="25C9728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60.000</w:t>
            </w:r>
          </w:p>
        </w:tc>
        <w:tc>
          <w:tcPr>
            <w:tcW w:w="2131" w:type="dxa"/>
          </w:tcPr>
          <w:p w14:paraId="3C3AC71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64.516</w:t>
            </w:r>
          </w:p>
        </w:tc>
        <w:tc>
          <w:tcPr>
            <w:tcW w:w="2131" w:type="dxa"/>
          </w:tcPr>
          <w:p w14:paraId="35F4530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0.287</w:t>
            </w:r>
          </w:p>
        </w:tc>
      </w:tr>
      <w:tr w:rsidR="00E23C0C" w:rsidRPr="000F34DB" w14:paraId="1011AFC7" w14:textId="77777777" w:rsidTr="00162986">
        <w:tc>
          <w:tcPr>
            <w:tcW w:w="2130" w:type="dxa"/>
          </w:tcPr>
          <w:p w14:paraId="1080C4A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NCD</w:t>
            </w:r>
          </w:p>
        </w:tc>
        <w:tc>
          <w:tcPr>
            <w:tcW w:w="2130" w:type="dxa"/>
          </w:tcPr>
          <w:p w14:paraId="3704272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60.000</w:t>
            </w:r>
          </w:p>
        </w:tc>
        <w:tc>
          <w:tcPr>
            <w:tcW w:w="2131" w:type="dxa"/>
          </w:tcPr>
          <w:p w14:paraId="355E2A9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64.516</w:t>
            </w:r>
          </w:p>
        </w:tc>
        <w:tc>
          <w:tcPr>
            <w:tcW w:w="2131" w:type="dxa"/>
          </w:tcPr>
          <w:p w14:paraId="78953B5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0.287</w:t>
            </w:r>
          </w:p>
        </w:tc>
      </w:tr>
      <w:tr w:rsidR="00E23C0C" w:rsidRPr="000F34DB" w14:paraId="33209AA9" w14:textId="77777777" w:rsidTr="00162986">
        <w:tc>
          <w:tcPr>
            <w:tcW w:w="2130" w:type="dxa"/>
          </w:tcPr>
          <w:p w14:paraId="119129D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NTD</w:t>
            </w:r>
          </w:p>
        </w:tc>
        <w:tc>
          <w:tcPr>
            <w:tcW w:w="2130" w:type="dxa"/>
          </w:tcPr>
          <w:p w14:paraId="08FF71C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60.000</w:t>
            </w:r>
          </w:p>
        </w:tc>
        <w:tc>
          <w:tcPr>
            <w:tcW w:w="2131" w:type="dxa"/>
          </w:tcPr>
          <w:p w14:paraId="4ABBBF9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64.516</w:t>
            </w:r>
          </w:p>
        </w:tc>
        <w:tc>
          <w:tcPr>
            <w:tcW w:w="2131" w:type="dxa"/>
          </w:tcPr>
          <w:p w14:paraId="1FB30DA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0.287</w:t>
            </w:r>
          </w:p>
        </w:tc>
      </w:tr>
      <w:tr w:rsidR="00E23C0C" w:rsidRPr="000F34DB" w14:paraId="59A58142" w14:textId="77777777" w:rsidTr="00162986">
        <w:tc>
          <w:tcPr>
            <w:tcW w:w="2130" w:type="dxa"/>
          </w:tcPr>
          <w:p w14:paraId="04DA260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NFB</w:t>
            </w:r>
          </w:p>
        </w:tc>
        <w:tc>
          <w:tcPr>
            <w:tcW w:w="2130" w:type="dxa"/>
          </w:tcPr>
          <w:p w14:paraId="3FF2A6B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60.000</w:t>
            </w:r>
          </w:p>
        </w:tc>
        <w:tc>
          <w:tcPr>
            <w:tcW w:w="2131" w:type="dxa"/>
          </w:tcPr>
          <w:p w14:paraId="5AF2030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64.516</w:t>
            </w:r>
          </w:p>
        </w:tc>
        <w:tc>
          <w:tcPr>
            <w:tcW w:w="2131" w:type="dxa"/>
          </w:tcPr>
          <w:p w14:paraId="116B3A3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0.287</w:t>
            </w:r>
          </w:p>
        </w:tc>
      </w:tr>
      <w:tr w:rsidR="00E23C0C" w:rsidRPr="000F34DB" w14:paraId="6EE0E462" w14:textId="77777777" w:rsidTr="00162986">
        <w:tc>
          <w:tcPr>
            <w:tcW w:w="2130" w:type="dxa"/>
          </w:tcPr>
          <w:p w14:paraId="3D5CB80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NTB</w:t>
            </w:r>
          </w:p>
        </w:tc>
        <w:tc>
          <w:tcPr>
            <w:tcW w:w="2130" w:type="dxa"/>
          </w:tcPr>
          <w:p w14:paraId="290D232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60.000</w:t>
            </w:r>
          </w:p>
        </w:tc>
        <w:tc>
          <w:tcPr>
            <w:tcW w:w="2131" w:type="dxa"/>
          </w:tcPr>
          <w:p w14:paraId="780AB95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64.516</w:t>
            </w:r>
          </w:p>
        </w:tc>
        <w:tc>
          <w:tcPr>
            <w:tcW w:w="2131" w:type="dxa"/>
          </w:tcPr>
          <w:p w14:paraId="4E74B8C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0.287</w:t>
            </w:r>
          </w:p>
        </w:tc>
      </w:tr>
      <w:tr w:rsidR="00E23C0C" w:rsidRPr="000F34DB" w14:paraId="253BAC5B" w14:textId="77777777" w:rsidTr="00162986">
        <w:tc>
          <w:tcPr>
            <w:tcW w:w="2130" w:type="dxa"/>
          </w:tcPr>
          <w:p w14:paraId="44A671B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NEB</w:t>
            </w:r>
          </w:p>
        </w:tc>
        <w:tc>
          <w:tcPr>
            <w:tcW w:w="2130" w:type="dxa"/>
          </w:tcPr>
          <w:p w14:paraId="406686D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60.000</w:t>
            </w:r>
          </w:p>
        </w:tc>
        <w:tc>
          <w:tcPr>
            <w:tcW w:w="2131" w:type="dxa"/>
          </w:tcPr>
          <w:p w14:paraId="384F2FB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64.516</w:t>
            </w:r>
          </w:p>
        </w:tc>
        <w:tc>
          <w:tcPr>
            <w:tcW w:w="2131" w:type="dxa"/>
          </w:tcPr>
          <w:p w14:paraId="50E6118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0.287</w:t>
            </w:r>
          </w:p>
        </w:tc>
      </w:tr>
      <w:tr w:rsidR="00E23C0C" w:rsidRPr="000F34DB" w14:paraId="3F6700F0" w14:textId="77777777" w:rsidTr="00162986">
        <w:tc>
          <w:tcPr>
            <w:tcW w:w="2130" w:type="dxa"/>
          </w:tcPr>
          <w:p w14:paraId="7D4FF4F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DRCS</w:t>
            </w:r>
          </w:p>
        </w:tc>
        <w:tc>
          <w:tcPr>
            <w:tcW w:w="2130" w:type="dxa"/>
          </w:tcPr>
          <w:p w14:paraId="7F76E7F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70.000</w:t>
            </w:r>
          </w:p>
        </w:tc>
        <w:tc>
          <w:tcPr>
            <w:tcW w:w="2131" w:type="dxa"/>
          </w:tcPr>
          <w:p w14:paraId="0FAD454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68.966</w:t>
            </w:r>
          </w:p>
        </w:tc>
        <w:tc>
          <w:tcPr>
            <w:tcW w:w="2131" w:type="dxa"/>
          </w:tcPr>
          <w:p w14:paraId="05483D5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19.234</w:t>
            </w:r>
          </w:p>
        </w:tc>
      </w:tr>
      <w:tr w:rsidR="00E23C0C" w:rsidRPr="000F34DB" w14:paraId="36E3FE69" w14:textId="77777777" w:rsidTr="00162986">
        <w:tc>
          <w:tcPr>
            <w:tcW w:w="2130" w:type="dxa"/>
          </w:tcPr>
          <w:p w14:paraId="6D9BBD1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DRS</w:t>
            </w:r>
          </w:p>
        </w:tc>
        <w:tc>
          <w:tcPr>
            <w:tcW w:w="2130" w:type="dxa"/>
          </w:tcPr>
          <w:p w14:paraId="0AB22D9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15.000</w:t>
            </w:r>
          </w:p>
        </w:tc>
        <w:tc>
          <w:tcPr>
            <w:tcW w:w="2131" w:type="dxa"/>
          </w:tcPr>
          <w:p w14:paraId="708CCF7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47.619</w:t>
            </w:r>
          </w:p>
        </w:tc>
        <w:tc>
          <w:tcPr>
            <w:tcW w:w="2131" w:type="dxa"/>
          </w:tcPr>
          <w:p w14:paraId="64FF72C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55469C72" w14:textId="77777777" w:rsidTr="00162986">
        <w:tc>
          <w:tcPr>
            <w:tcW w:w="2130" w:type="dxa"/>
          </w:tcPr>
          <w:p w14:paraId="63A3D71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TBA</w:t>
            </w:r>
          </w:p>
        </w:tc>
        <w:tc>
          <w:tcPr>
            <w:tcW w:w="2130" w:type="dxa"/>
          </w:tcPr>
          <w:p w14:paraId="1F804CA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25.000</w:t>
            </w:r>
          </w:p>
        </w:tc>
        <w:tc>
          <w:tcPr>
            <w:tcW w:w="2131" w:type="dxa"/>
          </w:tcPr>
          <w:p w14:paraId="18086ED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52.632</w:t>
            </w:r>
          </w:p>
        </w:tc>
        <w:tc>
          <w:tcPr>
            <w:tcW w:w="2131" w:type="dxa"/>
          </w:tcPr>
          <w:p w14:paraId="16910A5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26.842</w:t>
            </w:r>
          </w:p>
        </w:tc>
      </w:tr>
      <w:tr w:rsidR="00E23C0C" w:rsidRPr="000F34DB" w14:paraId="11C373D3" w14:textId="77777777" w:rsidTr="00162986">
        <w:tc>
          <w:tcPr>
            <w:tcW w:w="2130" w:type="dxa"/>
          </w:tcPr>
          <w:p w14:paraId="10ECB06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TPBA</w:t>
            </w:r>
          </w:p>
        </w:tc>
        <w:tc>
          <w:tcPr>
            <w:tcW w:w="2130" w:type="dxa"/>
          </w:tcPr>
          <w:p w14:paraId="633779D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15.000</w:t>
            </w:r>
          </w:p>
        </w:tc>
        <w:tc>
          <w:tcPr>
            <w:tcW w:w="2131" w:type="dxa"/>
          </w:tcPr>
          <w:p w14:paraId="6249151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36.364</w:t>
            </w:r>
          </w:p>
        </w:tc>
        <w:tc>
          <w:tcPr>
            <w:tcW w:w="2131" w:type="dxa"/>
          </w:tcPr>
          <w:p w14:paraId="28BA650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037EF98F" w14:textId="77777777" w:rsidTr="00162986">
        <w:trPr>
          <w:trHeight w:val="66"/>
        </w:trPr>
        <w:tc>
          <w:tcPr>
            <w:tcW w:w="2130" w:type="dxa"/>
          </w:tcPr>
          <w:p w14:paraId="123F1FC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FBA</w:t>
            </w:r>
          </w:p>
        </w:tc>
        <w:tc>
          <w:tcPr>
            <w:tcW w:w="2130" w:type="dxa"/>
          </w:tcPr>
          <w:p w14:paraId="1AB3AD2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15.000</w:t>
            </w:r>
          </w:p>
        </w:tc>
        <w:tc>
          <w:tcPr>
            <w:tcW w:w="2131" w:type="dxa"/>
          </w:tcPr>
          <w:p w14:paraId="7A06750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36.364</w:t>
            </w:r>
          </w:p>
        </w:tc>
        <w:tc>
          <w:tcPr>
            <w:tcW w:w="2131" w:type="dxa"/>
          </w:tcPr>
          <w:p w14:paraId="64C5634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13D48B03" w14:textId="77777777" w:rsidTr="00162986">
        <w:tc>
          <w:tcPr>
            <w:tcW w:w="2130" w:type="dxa"/>
          </w:tcPr>
          <w:p w14:paraId="3938971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ICBA</w:t>
            </w:r>
          </w:p>
        </w:tc>
        <w:tc>
          <w:tcPr>
            <w:tcW w:w="2130" w:type="dxa"/>
          </w:tcPr>
          <w:p w14:paraId="4B09841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15.000</w:t>
            </w:r>
          </w:p>
        </w:tc>
        <w:tc>
          <w:tcPr>
            <w:tcW w:w="2131" w:type="dxa"/>
          </w:tcPr>
          <w:p w14:paraId="471DDA7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36.364</w:t>
            </w:r>
          </w:p>
        </w:tc>
        <w:tc>
          <w:tcPr>
            <w:tcW w:w="2131" w:type="dxa"/>
          </w:tcPr>
          <w:p w14:paraId="5F53258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0839B02E" w14:textId="77777777" w:rsidTr="00162986">
        <w:trPr>
          <w:trHeight w:val="73"/>
        </w:trPr>
        <w:tc>
          <w:tcPr>
            <w:tcW w:w="2130" w:type="dxa"/>
            <w:tcBorders>
              <w:bottom w:val="single" w:sz="4" w:space="0" w:color="auto"/>
            </w:tcBorders>
          </w:tcPr>
          <w:p w14:paraId="5BE59E1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TBS</w:t>
            </w:r>
          </w:p>
        </w:tc>
        <w:tc>
          <w:tcPr>
            <w:tcW w:w="2130" w:type="dxa"/>
            <w:tcBorders>
              <w:bottom w:val="single" w:sz="4" w:space="0" w:color="auto"/>
            </w:tcBorders>
          </w:tcPr>
          <w:p w14:paraId="12EE0A4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10.000</w:t>
            </w:r>
          </w:p>
        </w:tc>
        <w:tc>
          <w:tcPr>
            <w:tcW w:w="2131" w:type="dxa"/>
            <w:tcBorders>
              <w:bottom w:val="single" w:sz="4" w:space="0" w:color="auto"/>
            </w:tcBorders>
          </w:tcPr>
          <w:p w14:paraId="510D3BA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48.780</w:t>
            </w:r>
          </w:p>
        </w:tc>
        <w:tc>
          <w:tcPr>
            <w:tcW w:w="2131" w:type="dxa"/>
            <w:tcBorders>
              <w:bottom w:val="single" w:sz="4" w:space="0" w:color="auto"/>
            </w:tcBorders>
          </w:tcPr>
          <w:p w14:paraId="03B66B2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bl>
    <w:p w14:paraId="2828959A" w14:textId="77777777" w:rsidR="00E23C0C" w:rsidRPr="000F34DB" w:rsidRDefault="00E23C0C" w:rsidP="00E23C0C">
      <w:pPr>
        <w:spacing w:beforeLines="50" w:before="163" w:afterLines="50" w:after="163" w:line="400" w:lineRule="exact"/>
        <w:rPr>
          <w:rFonts w:cs="Calibri"/>
          <w:sz w:val="20"/>
          <w:szCs w:val="20"/>
        </w:rPr>
      </w:pPr>
    </w:p>
    <w:p w14:paraId="37FFF3F6" w14:textId="77777777" w:rsidR="00E23C0C" w:rsidRPr="000F34DB" w:rsidRDefault="00E23C0C" w:rsidP="00E23C0C">
      <w:pPr>
        <w:spacing w:beforeLines="50" w:before="163" w:afterLines="50" w:after="163" w:line="400" w:lineRule="exact"/>
        <w:jc w:val="both"/>
        <w:rPr>
          <w:rFonts w:cs="Calibri"/>
          <w:sz w:val="20"/>
          <w:szCs w:val="20"/>
        </w:rPr>
      </w:pPr>
      <w:r w:rsidRPr="000F34DB">
        <w:rPr>
          <w:rFonts w:cs="Calibri"/>
          <w:sz w:val="20"/>
          <w:szCs w:val="20"/>
        </w:rPr>
        <w:t>Table 7. Centrality measures of the intergovernmental collaboration network at the long-term recovery stage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1792"/>
        <w:gridCol w:w="2067"/>
        <w:gridCol w:w="2399"/>
      </w:tblGrid>
      <w:tr w:rsidR="00E23C0C" w:rsidRPr="000F34DB" w14:paraId="05281AA0" w14:textId="77777777" w:rsidTr="00162986">
        <w:trPr>
          <w:jc w:val="center"/>
        </w:trPr>
        <w:tc>
          <w:tcPr>
            <w:tcW w:w="2093" w:type="dxa"/>
            <w:tcBorders>
              <w:top w:val="single" w:sz="4" w:space="0" w:color="auto"/>
              <w:bottom w:val="single" w:sz="4" w:space="0" w:color="auto"/>
            </w:tcBorders>
          </w:tcPr>
          <w:p w14:paraId="713EF4F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Government sectors</w:t>
            </w:r>
          </w:p>
        </w:tc>
        <w:tc>
          <w:tcPr>
            <w:tcW w:w="1843" w:type="dxa"/>
            <w:tcBorders>
              <w:top w:val="single" w:sz="4" w:space="0" w:color="auto"/>
              <w:bottom w:val="single" w:sz="4" w:space="0" w:color="auto"/>
            </w:tcBorders>
          </w:tcPr>
          <w:p w14:paraId="174978D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Degree</w:t>
            </w:r>
          </w:p>
        </w:tc>
        <w:tc>
          <w:tcPr>
            <w:tcW w:w="2126" w:type="dxa"/>
            <w:tcBorders>
              <w:top w:val="single" w:sz="4" w:space="0" w:color="auto"/>
              <w:bottom w:val="single" w:sz="4" w:space="0" w:color="auto"/>
            </w:tcBorders>
          </w:tcPr>
          <w:p w14:paraId="78AD650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Closeness</w:t>
            </w:r>
          </w:p>
        </w:tc>
        <w:tc>
          <w:tcPr>
            <w:tcW w:w="2460" w:type="dxa"/>
            <w:tcBorders>
              <w:top w:val="single" w:sz="4" w:space="0" w:color="auto"/>
              <w:bottom w:val="single" w:sz="4" w:space="0" w:color="auto"/>
            </w:tcBorders>
          </w:tcPr>
          <w:p w14:paraId="2F08F19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Betweenness</w:t>
            </w:r>
          </w:p>
        </w:tc>
      </w:tr>
      <w:tr w:rsidR="00E23C0C" w:rsidRPr="000F34DB" w14:paraId="51612A93" w14:textId="77777777" w:rsidTr="00162986">
        <w:trPr>
          <w:jc w:val="center"/>
        </w:trPr>
        <w:tc>
          <w:tcPr>
            <w:tcW w:w="2093" w:type="dxa"/>
            <w:tcBorders>
              <w:top w:val="single" w:sz="4" w:space="0" w:color="auto"/>
            </w:tcBorders>
          </w:tcPr>
          <w:p w14:paraId="6E92228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w:t>
            </w:r>
          </w:p>
        </w:tc>
        <w:tc>
          <w:tcPr>
            <w:tcW w:w="1843" w:type="dxa"/>
            <w:tcBorders>
              <w:top w:val="single" w:sz="4" w:space="0" w:color="auto"/>
            </w:tcBorders>
          </w:tcPr>
          <w:p w14:paraId="7743439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100.000</w:t>
            </w:r>
          </w:p>
        </w:tc>
        <w:tc>
          <w:tcPr>
            <w:tcW w:w="2126" w:type="dxa"/>
            <w:tcBorders>
              <w:top w:val="single" w:sz="4" w:space="0" w:color="auto"/>
            </w:tcBorders>
          </w:tcPr>
          <w:p w14:paraId="6A84309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100.000</w:t>
            </w:r>
          </w:p>
        </w:tc>
        <w:tc>
          <w:tcPr>
            <w:tcW w:w="2460" w:type="dxa"/>
            <w:tcBorders>
              <w:top w:val="single" w:sz="4" w:space="0" w:color="auto"/>
            </w:tcBorders>
          </w:tcPr>
          <w:p w14:paraId="6C49417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86.492</w:t>
            </w:r>
          </w:p>
        </w:tc>
      </w:tr>
      <w:tr w:rsidR="00E23C0C" w:rsidRPr="000F34DB" w14:paraId="03F9C67E" w14:textId="77777777" w:rsidTr="00162986">
        <w:trPr>
          <w:jc w:val="center"/>
        </w:trPr>
        <w:tc>
          <w:tcPr>
            <w:tcW w:w="2093" w:type="dxa"/>
          </w:tcPr>
          <w:p w14:paraId="17AB3A0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DRCS</w:t>
            </w:r>
          </w:p>
        </w:tc>
        <w:tc>
          <w:tcPr>
            <w:tcW w:w="1843" w:type="dxa"/>
          </w:tcPr>
          <w:p w14:paraId="1EDDABE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12.500</w:t>
            </w:r>
          </w:p>
        </w:tc>
        <w:tc>
          <w:tcPr>
            <w:tcW w:w="2126" w:type="dxa"/>
          </w:tcPr>
          <w:p w14:paraId="3917BD5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53.333</w:t>
            </w:r>
          </w:p>
        </w:tc>
        <w:tc>
          <w:tcPr>
            <w:tcW w:w="2460" w:type="dxa"/>
          </w:tcPr>
          <w:p w14:paraId="5EC6997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0.067</w:t>
            </w:r>
          </w:p>
        </w:tc>
      </w:tr>
      <w:tr w:rsidR="00E23C0C" w:rsidRPr="000F34DB" w14:paraId="2EC82A7A" w14:textId="77777777" w:rsidTr="00162986">
        <w:trPr>
          <w:jc w:val="center"/>
        </w:trPr>
        <w:tc>
          <w:tcPr>
            <w:tcW w:w="2093" w:type="dxa"/>
          </w:tcPr>
          <w:p w14:paraId="204090F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GS</w:t>
            </w:r>
          </w:p>
        </w:tc>
        <w:tc>
          <w:tcPr>
            <w:tcW w:w="1843" w:type="dxa"/>
          </w:tcPr>
          <w:p w14:paraId="6806084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15.625</w:t>
            </w:r>
          </w:p>
        </w:tc>
        <w:tc>
          <w:tcPr>
            <w:tcW w:w="2126" w:type="dxa"/>
          </w:tcPr>
          <w:p w14:paraId="4A778C1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54.237</w:t>
            </w:r>
          </w:p>
        </w:tc>
        <w:tc>
          <w:tcPr>
            <w:tcW w:w="2460" w:type="dxa"/>
          </w:tcPr>
          <w:p w14:paraId="674720F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0.202</w:t>
            </w:r>
          </w:p>
        </w:tc>
      </w:tr>
      <w:tr w:rsidR="00E23C0C" w:rsidRPr="000F34DB" w14:paraId="316B9614" w14:textId="77777777" w:rsidTr="00162986">
        <w:trPr>
          <w:jc w:val="center"/>
        </w:trPr>
        <w:tc>
          <w:tcPr>
            <w:tcW w:w="2093" w:type="dxa"/>
          </w:tcPr>
          <w:p w14:paraId="50124B2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DCS</w:t>
            </w:r>
          </w:p>
        </w:tc>
        <w:tc>
          <w:tcPr>
            <w:tcW w:w="1843" w:type="dxa"/>
          </w:tcPr>
          <w:p w14:paraId="68D935C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9.375</w:t>
            </w:r>
          </w:p>
        </w:tc>
        <w:tc>
          <w:tcPr>
            <w:tcW w:w="2126" w:type="dxa"/>
          </w:tcPr>
          <w:p w14:paraId="6FF04E9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52.459</w:t>
            </w:r>
          </w:p>
        </w:tc>
        <w:tc>
          <w:tcPr>
            <w:tcW w:w="2460" w:type="dxa"/>
          </w:tcPr>
          <w:p w14:paraId="710394A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0EC00AF7" w14:textId="77777777" w:rsidTr="00162986">
        <w:trPr>
          <w:jc w:val="center"/>
        </w:trPr>
        <w:tc>
          <w:tcPr>
            <w:tcW w:w="2093" w:type="dxa"/>
          </w:tcPr>
          <w:p w14:paraId="0769400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NCD</w:t>
            </w:r>
          </w:p>
        </w:tc>
        <w:tc>
          <w:tcPr>
            <w:tcW w:w="1843" w:type="dxa"/>
          </w:tcPr>
          <w:p w14:paraId="6BCA204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3.125</w:t>
            </w:r>
          </w:p>
        </w:tc>
        <w:tc>
          <w:tcPr>
            <w:tcW w:w="2126" w:type="dxa"/>
          </w:tcPr>
          <w:p w14:paraId="444679C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50.794</w:t>
            </w:r>
          </w:p>
        </w:tc>
        <w:tc>
          <w:tcPr>
            <w:tcW w:w="2460" w:type="dxa"/>
          </w:tcPr>
          <w:p w14:paraId="5EB988C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20DE765F" w14:textId="77777777" w:rsidTr="00162986">
        <w:trPr>
          <w:jc w:val="center"/>
        </w:trPr>
        <w:tc>
          <w:tcPr>
            <w:tcW w:w="2093" w:type="dxa"/>
          </w:tcPr>
          <w:p w14:paraId="787157B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DFS</w:t>
            </w:r>
          </w:p>
        </w:tc>
        <w:tc>
          <w:tcPr>
            <w:tcW w:w="1843" w:type="dxa"/>
          </w:tcPr>
          <w:p w14:paraId="2F3E9A8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6.250</w:t>
            </w:r>
          </w:p>
        </w:tc>
        <w:tc>
          <w:tcPr>
            <w:tcW w:w="2126" w:type="dxa"/>
          </w:tcPr>
          <w:p w14:paraId="0FBA72D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51.613</w:t>
            </w:r>
          </w:p>
        </w:tc>
        <w:tc>
          <w:tcPr>
            <w:tcW w:w="2460" w:type="dxa"/>
          </w:tcPr>
          <w:p w14:paraId="7ED3DD5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2409936A" w14:textId="77777777" w:rsidTr="00162986">
        <w:trPr>
          <w:jc w:val="center"/>
        </w:trPr>
        <w:tc>
          <w:tcPr>
            <w:tcW w:w="2093" w:type="dxa"/>
          </w:tcPr>
          <w:p w14:paraId="116FDD6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TBS</w:t>
            </w:r>
          </w:p>
        </w:tc>
        <w:tc>
          <w:tcPr>
            <w:tcW w:w="1843" w:type="dxa"/>
          </w:tcPr>
          <w:p w14:paraId="0B8E59F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15.625</w:t>
            </w:r>
          </w:p>
        </w:tc>
        <w:tc>
          <w:tcPr>
            <w:tcW w:w="2126" w:type="dxa"/>
          </w:tcPr>
          <w:p w14:paraId="6F1D46F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54.237</w:t>
            </w:r>
          </w:p>
        </w:tc>
        <w:tc>
          <w:tcPr>
            <w:tcW w:w="2460" w:type="dxa"/>
          </w:tcPr>
          <w:p w14:paraId="5139735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0.134</w:t>
            </w:r>
          </w:p>
        </w:tc>
      </w:tr>
      <w:tr w:rsidR="00E23C0C" w:rsidRPr="000F34DB" w14:paraId="2C4E30F6" w14:textId="77777777" w:rsidTr="00162986">
        <w:trPr>
          <w:jc w:val="center"/>
        </w:trPr>
        <w:tc>
          <w:tcPr>
            <w:tcW w:w="2093" w:type="dxa"/>
          </w:tcPr>
          <w:p w14:paraId="1E690AB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TBA</w:t>
            </w:r>
          </w:p>
        </w:tc>
        <w:tc>
          <w:tcPr>
            <w:tcW w:w="1843" w:type="dxa"/>
          </w:tcPr>
          <w:p w14:paraId="3ECC298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15.625</w:t>
            </w:r>
          </w:p>
        </w:tc>
        <w:tc>
          <w:tcPr>
            <w:tcW w:w="2126" w:type="dxa"/>
          </w:tcPr>
          <w:p w14:paraId="3962ECB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54.237</w:t>
            </w:r>
          </w:p>
        </w:tc>
        <w:tc>
          <w:tcPr>
            <w:tcW w:w="2460" w:type="dxa"/>
          </w:tcPr>
          <w:p w14:paraId="232061A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0.134</w:t>
            </w:r>
          </w:p>
        </w:tc>
      </w:tr>
      <w:tr w:rsidR="00E23C0C" w:rsidRPr="000F34DB" w14:paraId="378AA6B9" w14:textId="77777777" w:rsidTr="00162986">
        <w:trPr>
          <w:jc w:val="center"/>
        </w:trPr>
        <w:tc>
          <w:tcPr>
            <w:tcW w:w="2093" w:type="dxa"/>
          </w:tcPr>
          <w:p w14:paraId="4EB90E2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DCA</w:t>
            </w:r>
          </w:p>
        </w:tc>
        <w:tc>
          <w:tcPr>
            <w:tcW w:w="1843" w:type="dxa"/>
          </w:tcPr>
          <w:p w14:paraId="2C61D91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15.625</w:t>
            </w:r>
          </w:p>
        </w:tc>
        <w:tc>
          <w:tcPr>
            <w:tcW w:w="2126" w:type="dxa"/>
          </w:tcPr>
          <w:p w14:paraId="40D34F0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54.237</w:t>
            </w:r>
          </w:p>
        </w:tc>
        <w:tc>
          <w:tcPr>
            <w:tcW w:w="2460" w:type="dxa"/>
          </w:tcPr>
          <w:p w14:paraId="058AC3E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0.403</w:t>
            </w:r>
          </w:p>
        </w:tc>
      </w:tr>
      <w:tr w:rsidR="00E23C0C" w:rsidRPr="000F34DB" w14:paraId="29102AC5" w14:textId="77777777" w:rsidTr="00162986">
        <w:trPr>
          <w:jc w:val="center"/>
        </w:trPr>
        <w:tc>
          <w:tcPr>
            <w:tcW w:w="2093" w:type="dxa"/>
          </w:tcPr>
          <w:p w14:paraId="5D2AE25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GJ</w:t>
            </w:r>
          </w:p>
        </w:tc>
        <w:tc>
          <w:tcPr>
            <w:tcW w:w="1843" w:type="dxa"/>
          </w:tcPr>
          <w:p w14:paraId="513938D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21.875</w:t>
            </w:r>
          </w:p>
        </w:tc>
        <w:tc>
          <w:tcPr>
            <w:tcW w:w="2126" w:type="dxa"/>
          </w:tcPr>
          <w:p w14:paraId="1B46237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56.140</w:t>
            </w:r>
          </w:p>
        </w:tc>
        <w:tc>
          <w:tcPr>
            <w:tcW w:w="2460" w:type="dxa"/>
          </w:tcPr>
          <w:p w14:paraId="6CCA544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1.310</w:t>
            </w:r>
          </w:p>
        </w:tc>
      </w:tr>
      <w:tr w:rsidR="00E23C0C" w:rsidRPr="000F34DB" w14:paraId="0056BF67" w14:textId="77777777" w:rsidTr="00162986">
        <w:trPr>
          <w:jc w:val="center"/>
        </w:trPr>
        <w:tc>
          <w:tcPr>
            <w:tcW w:w="2093" w:type="dxa"/>
          </w:tcPr>
          <w:p w14:paraId="6C458E8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GA</w:t>
            </w:r>
          </w:p>
        </w:tc>
        <w:tc>
          <w:tcPr>
            <w:tcW w:w="1843" w:type="dxa"/>
          </w:tcPr>
          <w:p w14:paraId="4379850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25.000</w:t>
            </w:r>
          </w:p>
        </w:tc>
        <w:tc>
          <w:tcPr>
            <w:tcW w:w="2126" w:type="dxa"/>
          </w:tcPr>
          <w:p w14:paraId="27F1D33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57.143</w:t>
            </w:r>
          </w:p>
        </w:tc>
        <w:tc>
          <w:tcPr>
            <w:tcW w:w="2460" w:type="dxa"/>
          </w:tcPr>
          <w:p w14:paraId="03416F4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1.579</w:t>
            </w:r>
          </w:p>
        </w:tc>
      </w:tr>
      <w:tr w:rsidR="00E23C0C" w:rsidRPr="000F34DB" w14:paraId="412E9A75" w14:textId="77777777" w:rsidTr="00162986">
        <w:trPr>
          <w:jc w:val="center"/>
        </w:trPr>
        <w:tc>
          <w:tcPr>
            <w:tcW w:w="2093" w:type="dxa"/>
          </w:tcPr>
          <w:p w14:paraId="1AF9864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DRCA</w:t>
            </w:r>
          </w:p>
        </w:tc>
        <w:tc>
          <w:tcPr>
            <w:tcW w:w="1843" w:type="dxa"/>
          </w:tcPr>
          <w:p w14:paraId="71A0EA3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21.875</w:t>
            </w:r>
          </w:p>
        </w:tc>
        <w:tc>
          <w:tcPr>
            <w:tcW w:w="2126" w:type="dxa"/>
          </w:tcPr>
          <w:p w14:paraId="454611C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56.140</w:t>
            </w:r>
          </w:p>
        </w:tc>
        <w:tc>
          <w:tcPr>
            <w:tcW w:w="2460" w:type="dxa"/>
          </w:tcPr>
          <w:p w14:paraId="2C25CCC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1.210</w:t>
            </w:r>
          </w:p>
        </w:tc>
      </w:tr>
      <w:tr w:rsidR="00E23C0C" w:rsidRPr="000F34DB" w14:paraId="561DB2BB" w14:textId="77777777" w:rsidTr="00162986">
        <w:trPr>
          <w:jc w:val="center"/>
        </w:trPr>
        <w:tc>
          <w:tcPr>
            <w:tcW w:w="2093" w:type="dxa"/>
          </w:tcPr>
          <w:p w14:paraId="33E8470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EMOA</w:t>
            </w:r>
          </w:p>
        </w:tc>
        <w:tc>
          <w:tcPr>
            <w:tcW w:w="1843" w:type="dxa"/>
          </w:tcPr>
          <w:p w14:paraId="70F8DCA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3.125</w:t>
            </w:r>
          </w:p>
        </w:tc>
        <w:tc>
          <w:tcPr>
            <w:tcW w:w="2126" w:type="dxa"/>
          </w:tcPr>
          <w:p w14:paraId="16361D6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50.794</w:t>
            </w:r>
          </w:p>
        </w:tc>
        <w:tc>
          <w:tcPr>
            <w:tcW w:w="2460" w:type="dxa"/>
          </w:tcPr>
          <w:p w14:paraId="3513DD4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7EAC572C" w14:textId="77777777" w:rsidTr="00162986">
        <w:trPr>
          <w:jc w:val="center"/>
        </w:trPr>
        <w:tc>
          <w:tcPr>
            <w:tcW w:w="2093" w:type="dxa"/>
          </w:tcPr>
          <w:p w14:paraId="4C5E8F0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DFA</w:t>
            </w:r>
          </w:p>
        </w:tc>
        <w:tc>
          <w:tcPr>
            <w:tcW w:w="1843" w:type="dxa"/>
          </w:tcPr>
          <w:p w14:paraId="62A1798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3.125</w:t>
            </w:r>
          </w:p>
        </w:tc>
        <w:tc>
          <w:tcPr>
            <w:tcW w:w="2126" w:type="dxa"/>
          </w:tcPr>
          <w:p w14:paraId="67C0DBA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50.794</w:t>
            </w:r>
          </w:p>
        </w:tc>
        <w:tc>
          <w:tcPr>
            <w:tcW w:w="2460" w:type="dxa"/>
          </w:tcPr>
          <w:p w14:paraId="6CB88AA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481E3B35" w14:textId="77777777" w:rsidTr="00162986">
        <w:trPr>
          <w:jc w:val="center"/>
        </w:trPr>
        <w:tc>
          <w:tcPr>
            <w:tcW w:w="2093" w:type="dxa"/>
          </w:tcPr>
          <w:p w14:paraId="349934D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CSOA</w:t>
            </w:r>
          </w:p>
        </w:tc>
        <w:tc>
          <w:tcPr>
            <w:tcW w:w="1843" w:type="dxa"/>
          </w:tcPr>
          <w:p w14:paraId="748CC75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6.250</w:t>
            </w:r>
          </w:p>
        </w:tc>
        <w:tc>
          <w:tcPr>
            <w:tcW w:w="2126" w:type="dxa"/>
          </w:tcPr>
          <w:p w14:paraId="57C8270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51.613</w:t>
            </w:r>
          </w:p>
        </w:tc>
        <w:tc>
          <w:tcPr>
            <w:tcW w:w="2460" w:type="dxa"/>
          </w:tcPr>
          <w:p w14:paraId="348E09E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47A42B3E" w14:textId="77777777" w:rsidTr="00162986">
        <w:trPr>
          <w:jc w:val="center"/>
        </w:trPr>
        <w:tc>
          <w:tcPr>
            <w:tcW w:w="2093" w:type="dxa"/>
          </w:tcPr>
          <w:p w14:paraId="4AD22FC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NFD</w:t>
            </w:r>
          </w:p>
        </w:tc>
        <w:tc>
          <w:tcPr>
            <w:tcW w:w="1843" w:type="dxa"/>
          </w:tcPr>
          <w:p w14:paraId="7C7ECE3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9.375</w:t>
            </w:r>
          </w:p>
        </w:tc>
        <w:tc>
          <w:tcPr>
            <w:tcW w:w="2126" w:type="dxa"/>
          </w:tcPr>
          <w:p w14:paraId="27BACCC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52.459</w:t>
            </w:r>
          </w:p>
        </w:tc>
        <w:tc>
          <w:tcPr>
            <w:tcW w:w="2460" w:type="dxa"/>
          </w:tcPr>
          <w:p w14:paraId="444FE22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1B0B601D" w14:textId="77777777" w:rsidTr="00162986">
        <w:trPr>
          <w:jc w:val="center"/>
        </w:trPr>
        <w:tc>
          <w:tcPr>
            <w:tcW w:w="2093" w:type="dxa"/>
          </w:tcPr>
          <w:p w14:paraId="001BB60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DCJ</w:t>
            </w:r>
          </w:p>
        </w:tc>
        <w:tc>
          <w:tcPr>
            <w:tcW w:w="1843" w:type="dxa"/>
          </w:tcPr>
          <w:p w14:paraId="4222EF7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9.375</w:t>
            </w:r>
          </w:p>
        </w:tc>
        <w:tc>
          <w:tcPr>
            <w:tcW w:w="2126" w:type="dxa"/>
          </w:tcPr>
          <w:p w14:paraId="5149F95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52.459</w:t>
            </w:r>
          </w:p>
        </w:tc>
        <w:tc>
          <w:tcPr>
            <w:tcW w:w="2460" w:type="dxa"/>
          </w:tcPr>
          <w:p w14:paraId="1DEFFEB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3826E21F" w14:textId="77777777" w:rsidTr="00162986">
        <w:trPr>
          <w:jc w:val="center"/>
        </w:trPr>
        <w:tc>
          <w:tcPr>
            <w:tcW w:w="2093" w:type="dxa"/>
          </w:tcPr>
          <w:p w14:paraId="1E7303C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CEITA</w:t>
            </w:r>
          </w:p>
        </w:tc>
        <w:tc>
          <w:tcPr>
            <w:tcW w:w="1843" w:type="dxa"/>
          </w:tcPr>
          <w:p w14:paraId="3D6437C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9.375</w:t>
            </w:r>
          </w:p>
        </w:tc>
        <w:tc>
          <w:tcPr>
            <w:tcW w:w="2126" w:type="dxa"/>
          </w:tcPr>
          <w:p w14:paraId="48BC319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52.459</w:t>
            </w:r>
          </w:p>
        </w:tc>
        <w:tc>
          <w:tcPr>
            <w:tcW w:w="2460" w:type="dxa"/>
          </w:tcPr>
          <w:p w14:paraId="76C67FE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00ED6CB8" w14:textId="77777777" w:rsidTr="00162986">
        <w:trPr>
          <w:jc w:val="center"/>
        </w:trPr>
        <w:tc>
          <w:tcPr>
            <w:tcW w:w="2093" w:type="dxa"/>
          </w:tcPr>
          <w:p w14:paraId="46BD812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lastRenderedPageBreak/>
              <w:t>EPCURS</w:t>
            </w:r>
          </w:p>
        </w:tc>
        <w:tc>
          <w:tcPr>
            <w:tcW w:w="1843" w:type="dxa"/>
          </w:tcPr>
          <w:p w14:paraId="6F0F758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12.500</w:t>
            </w:r>
          </w:p>
        </w:tc>
        <w:tc>
          <w:tcPr>
            <w:tcW w:w="2126" w:type="dxa"/>
          </w:tcPr>
          <w:p w14:paraId="3F1B974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53.333</w:t>
            </w:r>
          </w:p>
        </w:tc>
        <w:tc>
          <w:tcPr>
            <w:tcW w:w="2460" w:type="dxa"/>
          </w:tcPr>
          <w:p w14:paraId="2087484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44C52C9C" w14:textId="77777777" w:rsidTr="00162986">
        <w:trPr>
          <w:jc w:val="center"/>
        </w:trPr>
        <w:tc>
          <w:tcPr>
            <w:tcW w:w="2093" w:type="dxa"/>
          </w:tcPr>
          <w:p w14:paraId="2F7091E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EPCURA</w:t>
            </w:r>
          </w:p>
        </w:tc>
        <w:tc>
          <w:tcPr>
            <w:tcW w:w="1843" w:type="dxa"/>
          </w:tcPr>
          <w:p w14:paraId="0C9A3A9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12.500</w:t>
            </w:r>
          </w:p>
        </w:tc>
        <w:tc>
          <w:tcPr>
            <w:tcW w:w="2126" w:type="dxa"/>
          </w:tcPr>
          <w:p w14:paraId="13C57E0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53.333</w:t>
            </w:r>
          </w:p>
        </w:tc>
        <w:tc>
          <w:tcPr>
            <w:tcW w:w="2460" w:type="dxa"/>
          </w:tcPr>
          <w:p w14:paraId="1A803D8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614AD132" w14:textId="77777777" w:rsidTr="00162986">
        <w:trPr>
          <w:jc w:val="center"/>
        </w:trPr>
        <w:tc>
          <w:tcPr>
            <w:tcW w:w="2093" w:type="dxa"/>
          </w:tcPr>
          <w:p w14:paraId="5B4D469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OLRS</w:t>
            </w:r>
          </w:p>
        </w:tc>
        <w:tc>
          <w:tcPr>
            <w:tcW w:w="1843" w:type="dxa"/>
          </w:tcPr>
          <w:p w14:paraId="3E99A57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3.125</w:t>
            </w:r>
          </w:p>
        </w:tc>
        <w:tc>
          <w:tcPr>
            <w:tcW w:w="2126" w:type="dxa"/>
          </w:tcPr>
          <w:p w14:paraId="276E5A5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50.794</w:t>
            </w:r>
          </w:p>
        </w:tc>
        <w:tc>
          <w:tcPr>
            <w:tcW w:w="2460" w:type="dxa"/>
          </w:tcPr>
          <w:p w14:paraId="4F8CA2B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3F8D1BB8" w14:textId="77777777" w:rsidTr="00162986">
        <w:trPr>
          <w:jc w:val="center"/>
        </w:trPr>
        <w:tc>
          <w:tcPr>
            <w:tcW w:w="2093" w:type="dxa"/>
          </w:tcPr>
          <w:p w14:paraId="0E48440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ROA</w:t>
            </w:r>
          </w:p>
        </w:tc>
        <w:tc>
          <w:tcPr>
            <w:tcW w:w="1843" w:type="dxa"/>
          </w:tcPr>
          <w:p w14:paraId="0566AAB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9.375</w:t>
            </w:r>
          </w:p>
        </w:tc>
        <w:tc>
          <w:tcPr>
            <w:tcW w:w="2126" w:type="dxa"/>
          </w:tcPr>
          <w:p w14:paraId="4EB0171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52.459</w:t>
            </w:r>
          </w:p>
        </w:tc>
        <w:tc>
          <w:tcPr>
            <w:tcW w:w="2460" w:type="dxa"/>
          </w:tcPr>
          <w:p w14:paraId="547249F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2F023BFC" w14:textId="77777777" w:rsidTr="00162986">
        <w:trPr>
          <w:jc w:val="center"/>
        </w:trPr>
        <w:tc>
          <w:tcPr>
            <w:tcW w:w="2093" w:type="dxa"/>
          </w:tcPr>
          <w:p w14:paraId="236D2D2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GAQSS</w:t>
            </w:r>
          </w:p>
        </w:tc>
        <w:tc>
          <w:tcPr>
            <w:tcW w:w="1843" w:type="dxa"/>
          </w:tcPr>
          <w:p w14:paraId="2E69D35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9.375</w:t>
            </w:r>
          </w:p>
        </w:tc>
        <w:tc>
          <w:tcPr>
            <w:tcW w:w="2126" w:type="dxa"/>
          </w:tcPr>
          <w:p w14:paraId="2CDD5D7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52.459</w:t>
            </w:r>
          </w:p>
        </w:tc>
        <w:tc>
          <w:tcPr>
            <w:tcW w:w="2460" w:type="dxa"/>
          </w:tcPr>
          <w:p w14:paraId="435856A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74186CF8" w14:textId="77777777" w:rsidTr="00162986">
        <w:trPr>
          <w:jc w:val="center"/>
        </w:trPr>
        <w:tc>
          <w:tcPr>
            <w:tcW w:w="2093" w:type="dxa"/>
          </w:tcPr>
          <w:p w14:paraId="03C4062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BGMRS</w:t>
            </w:r>
          </w:p>
        </w:tc>
        <w:tc>
          <w:tcPr>
            <w:tcW w:w="1843" w:type="dxa"/>
          </w:tcPr>
          <w:p w14:paraId="122D6E6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3.125</w:t>
            </w:r>
          </w:p>
        </w:tc>
        <w:tc>
          <w:tcPr>
            <w:tcW w:w="2126" w:type="dxa"/>
          </w:tcPr>
          <w:p w14:paraId="73F008A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50.794</w:t>
            </w:r>
          </w:p>
        </w:tc>
        <w:tc>
          <w:tcPr>
            <w:tcW w:w="2460" w:type="dxa"/>
          </w:tcPr>
          <w:p w14:paraId="5A89D0B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71D72076" w14:textId="77777777" w:rsidTr="00162986">
        <w:trPr>
          <w:jc w:val="center"/>
        </w:trPr>
        <w:tc>
          <w:tcPr>
            <w:tcW w:w="2093" w:type="dxa"/>
          </w:tcPr>
          <w:p w14:paraId="68194F4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MG</w:t>
            </w:r>
          </w:p>
        </w:tc>
        <w:tc>
          <w:tcPr>
            <w:tcW w:w="1843" w:type="dxa"/>
          </w:tcPr>
          <w:p w14:paraId="2E03CAF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9.375</w:t>
            </w:r>
          </w:p>
        </w:tc>
        <w:tc>
          <w:tcPr>
            <w:tcW w:w="2126" w:type="dxa"/>
          </w:tcPr>
          <w:p w14:paraId="628EFE1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52.459</w:t>
            </w:r>
          </w:p>
        </w:tc>
        <w:tc>
          <w:tcPr>
            <w:tcW w:w="2460" w:type="dxa"/>
          </w:tcPr>
          <w:p w14:paraId="22B76CD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243C820A" w14:textId="77777777" w:rsidTr="00162986">
        <w:trPr>
          <w:jc w:val="center"/>
        </w:trPr>
        <w:tc>
          <w:tcPr>
            <w:tcW w:w="2093" w:type="dxa"/>
          </w:tcPr>
          <w:p w14:paraId="65053D1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DRCJ</w:t>
            </w:r>
          </w:p>
        </w:tc>
        <w:tc>
          <w:tcPr>
            <w:tcW w:w="1843" w:type="dxa"/>
          </w:tcPr>
          <w:p w14:paraId="1505565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9.375</w:t>
            </w:r>
          </w:p>
        </w:tc>
        <w:tc>
          <w:tcPr>
            <w:tcW w:w="2126" w:type="dxa"/>
          </w:tcPr>
          <w:p w14:paraId="08CD861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52.459</w:t>
            </w:r>
          </w:p>
        </w:tc>
        <w:tc>
          <w:tcPr>
            <w:tcW w:w="2460" w:type="dxa"/>
          </w:tcPr>
          <w:p w14:paraId="4F9F102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583BD42A" w14:textId="77777777" w:rsidTr="00162986">
        <w:trPr>
          <w:jc w:val="center"/>
        </w:trPr>
        <w:tc>
          <w:tcPr>
            <w:tcW w:w="2093" w:type="dxa"/>
          </w:tcPr>
          <w:p w14:paraId="40557E7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EBS</w:t>
            </w:r>
          </w:p>
        </w:tc>
        <w:tc>
          <w:tcPr>
            <w:tcW w:w="1843" w:type="dxa"/>
          </w:tcPr>
          <w:p w14:paraId="2AE27ED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9.375</w:t>
            </w:r>
          </w:p>
        </w:tc>
        <w:tc>
          <w:tcPr>
            <w:tcW w:w="2126" w:type="dxa"/>
          </w:tcPr>
          <w:p w14:paraId="4E28DA7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52.459</w:t>
            </w:r>
          </w:p>
        </w:tc>
        <w:tc>
          <w:tcPr>
            <w:tcW w:w="2460" w:type="dxa"/>
          </w:tcPr>
          <w:p w14:paraId="1052EC3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110289A5" w14:textId="77777777" w:rsidTr="00162986">
        <w:trPr>
          <w:jc w:val="center"/>
        </w:trPr>
        <w:tc>
          <w:tcPr>
            <w:tcW w:w="2093" w:type="dxa"/>
          </w:tcPr>
          <w:p w14:paraId="0A472A3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ABS</w:t>
            </w:r>
          </w:p>
        </w:tc>
        <w:tc>
          <w:tcPr>
            <w:tcW w:w="1843" w:type="dxa"/>
          </w:tcPr>
          <w:p w14:paraId="672B93D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3.125</w:t>
            </w:r>
          </w:p>
        </w:tc>
        <w:tc>
          <w:tcPr>
            <w:tcW w:w="2126" w:type="dxa"/>
          </w:tcPr>
          <w:p w14:paraId="0DD27AD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50.794</w:t>
            </w:r>
          </w:p>
        </w:tc>
        <w:tc>
          <w:tcPr>
            <w:tcW w:w="2460" w:type="dxa"/>
          </w:tcPr>
          <w:p w14:paraId="5EC0442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34FB18E3" w14:textId="77777777" w:rsidTr="00162986">
        <w:trPr>
          <w:jc w:val="center"/>
        </w:trPr>
        <w:tc>
          <w:tcPr>
            <w:tcW w:w="2093" w:type="dxa"/>
          </w:tcPr>
          <w:p w14:paraId="296748B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FGBS</w:t>
            </w:r>
          </w:p>
        </w:tc>
        <w:tc>
          <w:tcPr>
            <w:tcW w:w="1843" w:type="dxa"/>
          </w:tcPr>
          <w:p w14:paraId="7A5E9E0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15.625</w:t>
            </w:r>
          </w:p>
        </w:tc>
        <w:tc>
          <w:tcPr>
            <w:tcW w:w="2126" w:type="dxa"/>
          </w:tcPr>
          <w:p w14:paraId="1AE0654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54.237</w:t>
            </w:r>
          </w:p>
        </w:tc>
        <w:tc>
          <w:tcPr>
            <w:tcW w:w="2460" w:type="dxa"/>
          </w:tcPr>
          <w:p w14:paraId="2D9B2C3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323B40C0" w14:textId="77777777" w:rsidTr="00162986">
        <w:trPr>
          <w:jc w:val="center"/>
        </w:trPr>
        <w:tc>
          <w:tcPr>
            <w:tcW w:w="2093" w:type="dxa"/>
          </w:tcPr>
          <w:p w14:paraId="1FF6821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PCSS</w:t>
            </w:r>
          </w:p>
        </w:tc>
        <w:tc>
          <w:tcPr>
            <w:tcW w:w="1843" w:type="dxa"/>
          </w:tcPr>
          <w:p w14:paraId="4EE8E2E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15.625</w:t>
            </w:r>
          </w:p>
        </w:tc>
        <w:tc>
          <w:tcPr>
            <w:tcW w:w="2126" w:type="dxa"/>
          </w:tcPr>
          <w:p w14:paraId="575677A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54.237</w:t>
            </w:r>
          </w:p>
        </w:tc>
        <w:tc>
          <w:tcPr>
            <w:tcW w:w="2460" w:type="dxa"/>
          </w:tcPr>
          <w:p w14:paraId="2B38846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6ECC6066" w14:textId="77777777" w:rsidTr="00162986">
        <w:trPr>
          <w:jc w:val="center"/>
        </w:trPr>
        <w:tc>
          <w:tcPr>
            <w:tcW w:w="2093" w:type="dxa"/>
          </w:tcPr>
          <w:p w14:paraId="262FD27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FGBA</w:t>
            </w:r>
          </w:p>
        </w:tc>
        <w:tc>
          <w:tcPr>
            <w:tcW w:w="1843" w:type="dxa"/>
          </w:tcPr>
          <w:p w14:paraId="13AA6C2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15.625</w:t>
            </w:r>
          </w:p>
        </w:tc>
        <w:tc>
          <w:tcPr>
            <w:tcW w:w="2126" w:type="dxa"/>
          </w:tcPr>
          <w:p w14:paraId="0C04329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54.237</w:t>
            </w:r>
          </w:p>
        </w:tc>
        <w:tc>
          <w:tcPr>
            <w:tcW w:w="2460" w:type="dxa"/>
          </w:tcPr>
          <w:p w14:paraId="1814BE1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2C08B27D" w14:textId="77777777" w:rsidTr="00162986">
        <w:trPr>
          <w:jc w:val="center"/>
        </w:trPr>
        <w:tc>
          <w:tcPr>
            <w:tcW w:w="2093" w:type="dxa"/>
          </w:tcPr>
          <w:p w14:paraId="319B1B2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FGBJ</w:t>
            </w:r>
          </w:p>
        </w:tc>
        <w:tc>
          <w:tcPr>
            <w:tcW w:w="1843" w:type="dxa"/>
          </w:tcPr>
          <w:p w14:paraId="266E330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15.625</w:t>
            </w:r>
          </w:p>
        </w:tc>
        <w:tc>
          <w:tcPr>
            <w:tcW w:w="2126" w:type="dxa"/>
          </w:tcPr>
          <w:p w14:paraId="6CA8C81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54.237</w:t>
            </w:r>
          </w:p>
        </w:tc>
        <w:tc>
          <w:tcPr>
            <w:tcW w:w="2460" w:type="dxa"/>
          </w:tcPr>
          <w:p w14:paraId="22121DA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r w:rsidR="00E23C0C" w:rsidRPr="000F34DB" w14:paraId="7C1568F8" w14:textId="77777777" w:rsidTr="00162986">
        <w:trPr>
          <w:jc w:val="center"/>
        </w:trPr>
        <w:tc>
          <w:tcPr>
            <w:tcW w:w="2093" w:type="dxa"/>
            <w:tcBorders>
              <w:bottom w:val="single" w:sz="4" w:space="0" w:color="auto"/>
            </w:tcBorders>
          </w:tcPr>
          <w:p w14:paraId="64B433E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SFJ</w:t>
            </w:r>
          </w:p>
        </w:tc>
        <w:tc>
          <w:tcPr>
            <w:tcW w:w="1843" w:type="dxa"/>
            <w:tcBorders>
              <w:bottom w:val="single" w:sz="4" w:space="0" w:color="auto"/>
            </w:tcBorders>
          </w:tcPr>
          <w:p w14:paraId="70393F7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15.625</w:t>
            </w:r>
          </w:p>
        </w:tc>
        <w:tc>
          <w:tcPr>
            <w:tcW w:w="2126" w:type="dxa"/>
            <w:tcBorders>
              <w:bottom w:val="single" w:sz="4" w:space="0" w:color="auto"/>
            </w:tcBorders>
          </w:tcPr>
          <w:p w14:paraId="5F4400A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54.237</w:t>
            </w:r>
          </w:p>
        </w:tc>
        <w:tc>
          <w:tcPr>
            <w:tcW w:w="2460" w:type="dxa"/>
            <w:tcBorders>
              <w:bottom w:val="single" w:sz="4" w:space="0" w:color="auto"/>
            </w:tcBorders>
          </w:tcPr>
          <w:p w14:paraId="4ED9296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0.000</w:t>
            </w:r>
          </w:p>
        </w:tc>
      </w:tr>
    </w:tbl>
    <w:p w14:paraId="5C68E029" w14:textId="77777777" w:rsidR="00E23C0C" w:rsidRPr="000F34DB" w:rsidRDefault="00E23C0C" w:rsidP="00E23C0C">
      <w:pPr>
        <w:spacing w:beforeLines="50" w:before="163" w:afterLines="50" w:after="163" w:line="400" w:lineRule="exact"/>
        <w:rPr>
          <w:rFonts w:cs="Calibri"/>
          <w:sz w:val="20"/>
          <w:szCs w:val="20"/>
        </w:rPr>
      </w:pPr>
    </w:p>
    <w:p w14:paraId="3E6C7EA7" w14:textId="77777777" w:rsidR="00E23C0C" w:rsidRPr="000F34DB" w:rsidRDefault="00E23C0C" w:rsidP="00E23C0C">
      <w:pPr>
        <w:spacing w:beforeLines="50" w:before="163" w:afterLines="50" w:after="163" w:line="400" w:lineRule="exact"/>
        <w:jc w:val="both"/>
        <w:rPr>
          <w:rFonts w:cs="Calibri"/>
          <w:sz w:val="20"/>
          <w:szCs w:val="20"/>
        </w:rPr>
      </w:pPr>
      <w:r w:rsidRPr="000F34DB">
        <w:rPr>
          <w:rFonts w:cs="Calibri"/>
          <w:sz w:val="20"/>
          <w:szCs w:val="20"/>
        </w:rPr>
        <w:t>Table 8. Clique analysis results for the intergovernmental collaboration network at the emergency, intermediate and long-term recovery stages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766"/>
        <w:gridCol w:w="5416"/>
        <w:gridCol w:w="782"/>
      </w:tblGrid>
      <w:tr w:rsidR="00E23C0C" w:rsidRPr="000F34DB" w14:paraId="57350F32" w14:textId="77777777" w:rsidTr="00162986">
        <w:trPr>
          <w:jc w:val="center"/>
        </w:trPr>
        <w:tc>
          <w:tcPr>
            <w:tcW w:w="1326" w:type="dxa"/>
            <w:tcBorders>
              <w:top w:val="single" w:sz="4" w:space="0" w:color="auto"/>
              <w:bottom w:val="single" w:sz="4" w:space="0" w:color="auto"/>
            </w:tcBorders>
          </w:tcPr>
          <w:p w14:paraId="6343ACE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Stage</w:t>
            </w:r>
          </w:p>
        </w:tc>
        <w:tc>
          <w:tcPr>
            <w:tcW w:w="766" w:type="dxa"/>
            <w:tcBorders>
              <w:top w:val="single" w:sz="4" w:space="0" w:color="auto"/>
              <w:bottom w:val="single" w:sz="4" w:space="0" w:color="auto"/>
            </w:tcBorders>
          </w:tcPr>
          <w:p w14:paraId="364BEFE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Clique</w:t>
            </w:r>
          </w:p>
        </w:tc>
        <w:tc>
          <w:tcPr>
            <w:tcW w:w="5416" w:type="dxa"/>
            <w:tcBorders>
              <w:top w:val="single" w:sz="4" w:space="0" w:color="auto"/>
              <w:bottom w:val="single" w:sz="4" w:space="0" w:color="auto"/>
            </w:tcBorders>
          </w:tcPr>
          <w:p w14:paraId="1A3F6BA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Government sector</w:t>
            </w:r>
          </w:p>
        </w:tc>
        <w:tc>
          <w:tcPr>
            <w:tcW w:w="782" w:type="dxa"/>
            <w:tcBorders>
              <w:top w:val="single" w:sz="4" w:space="0" w:color="auto"/>
              <w:bottom w:val="single" w:sz="4" w:space="0" w:color="auto"/>
            </w:tcBorders>
          </w:tcPr>
          <w:p w14:paraId="0E11AD6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Size</w:t>
            </w:r>
          </w:p>
        </w:tc>
      </w:tr>
      <w:tr w:rsidR="00E23C0C" w:rsidRPr="000F34DB" w14:paraId="19AC89AE" w14:textId="77777777" w:rsidTr="00162986">
        <w:trPr>
          <w:jc w:val="center"/>
        </w:trPr>
        <w:tc>
          <w:tcPr>
            <w:tcW w:w="1326" w:type="dxa"/>
            <w:vMerge w:val="restart"/>
            <w:tcBorders>
              <w:top w:val="single" w:sz="4" w:space="0" w:color="auto"/>
            </w:tcBorders>
          </w:tcPr>
          <w:p w14:paraId="2994CA68" w14:textId="77777777" w:rsidR="00E23C0C" w:rsidRPr="000F34DB" w:rsidRDefault="00E23C0C" w:rsidP="00162986">
            <w:pPr>
              <w:spacing w:line="240" w:lineRule="exact"/>
              <w:jc w:val="center"/>
              <w:rPr>
                <w:rFonts w:eastAsia="DengXian" w:cs="Calibri"/>
                <w:sz w:val="20"/>
                <w:szCs w:val="20"/>
              </w:rPr>
            </w:pPr>
          </w:p>
          <w:p w14:paraId="4C25B81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Emergency stage</w:t>
            </w:r>
          </w:p>
        </w:tc>
        <w:tc>
          <w:tcPr>
            <w:tcW w:w="766" w:type="dxa"/>
            <w:tcBorders>
              <w:top w:val="single" w:sz="4" w:space="0" w:color="auto"/>
            </w:tcBorders>
          </w:tcPr>
          <w:p w14:paraId="5E135E8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w:t>
            </w:r>
          </w:p>
        </w:tc>
        <w:tc>
          <w:tcPr>
            <w:tcW w:w="5416" w:type="dxa"/>
            <w:tcBorders>
              <w:top w:val="single" w:sz="4" w:space="0" w:color="auto"/>
            </w:tcBorders>
          </w:tcPr>
          <w:p w14:paraId="281E790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SCC GS GA GJ ABJ</w:t>
            </w:r>
          </w:p>
        </w:tc>
        <w:tc>
          <w:tcPr>
            <w:tcW w:w="782" w:type="dxa"/>
            <w:tcBorders>
              <w:top w:val="single" w:sz="4" w:space="0" w:color="auto"/>
            </w:tcBorders>
          </w:tcPr>
          <w:p w14:paraId="3414B69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w:t>
            </w:r>
          </w:p>
        </w:tc>
      </w:tr>
      <w:tr w:rsidR="00E23C0C" w:rsidRPr="000F34DB" w14:paraId="2D5C9912" w14:textId="77777777" w:rsidTr="00162986">
        <w:trPr>
          <w:jc w:val="center"/>
        </w:trPr>
        <w:tc>
          <w:tcPr>
            <w:tcW w:w="1326" w:type="dxa"/>
            <w:vMerge/>
          </w:tcPr>
          <w:p w14:paraId="0B2AAA1C" w14:textId="77777777" w:rsidR="00E23C0C" w:rsidRPr="000F34DB" w:rsidRDefault="00E23C0C" w:rsidP="00162986">
            <w:pPr>
              <w:spacing w:line="240" w:lineRule="exact"/>
              <w:jc w:val="center"/>
              <w:rPr>
                <w:rFonts w:eastAsia="DengXian" w:cs="Calibri"/>
                <w:sz w:val="20"/>
                <w:szCs w:val="20"/>
              </w:rPr>
            </w:pPr>
          </w:p>
        </w:tc>
        <w:tc>
          <w:tcPr>
            <w:tcW w:w="766" w:type="dxa"/>
          </w:tcPr>
          <w:p w14:paraId="7ECCBC1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w:t>
            </w:r>
          </w:p>
        </w:tc>
        <w:tc>
          <w:tcPr>
            <w:tcW w:w="5416" w:type="dxa"/>
          </w:tcPr>
          <w:p w14:paraId="0F5919A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GA ABJ WBA</w:t>
            </w:r>
          </w:p>
        </w:tc>
        <w:tc>
          <w:tcPr>
            <w:tcW w:w="782" w:type="dxa"/>
          </w:tcPr>
          <w:p w14:paraId="683AA86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r>
      <w:tr w:rsidR="00E23C0C" w:rsidRPr="000F34DB" w14:paraId="331012EF" w14:textId="77777777" w:rsidTr="00162986">
        <w:trPr>
          <w:jc w:val="center"/>
        </w:trPr>
        <w:tc>
          <w:tcPr>
            <w:tcW w:w="1326" w:type="dxa"/>
            <w:vMerge/>
          </w:tcPr>
          <w:p w14:paraId="54690CD9" w14:textId="77777777" w:rsidR="00E23C0C" w:rsidRPr="000F34DB" w:rsidRDefault="00E23C0C" w:rsidP="00162986">
            <w:pPr>
              <w:spacing w:line="240" w:lineRule="exact"/>
              <w:jc w:val="center"/>
              <w:rPr>
                <w:rFonts w:eastAsia="DengXian" w:cs="Calibri"/>
                <w:sz w:val="20"/>
                <w:szCs w:val="20"/>
              </w:rPr>
            </w:pPr>
          </w:p>
        </w:tc>
        <w:tc>
          <w:tcPr>
            <w:tcW w:w="766" w:type="dxa"/>
          </w:tcPr>
          <w:p w14:paraId="5D1EBB5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c>
          <w:tcPr>
            <w:tcW w:w="5416" w:type="dxa"/>
          </w:tcPr>
          <w:p w14:paraId="7F0608F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NDRC DFS</w:t>
            </w:r>
          </w:p>
        </w:tc>
        <w:tc>
          <w:tcPr>
            <w:tcW w:w="782" w:type="dxa"/>
          </w:tcPr>
          <w:p w14:paraId="2593D2F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r>
      <w:tr w:rsidR="00E23C0C" w:rsidRPr="000F34DB" w14:paraId="11BBE498" w14:textId="77777777" w:rsidTr="00162986">
        <w:trPr>
          <w:jc w:val="center"/>
        </w:trPr>
        <w:tc>
          <w:tcPr>
            <w:tcW w:w="1326" w:type="dxa"/>
            <w:vMerge/>
            <w:tcBorders>
              <w:bottom w:val="single" w:sz="4" w:space="0" w:color="auto"/>
            </w:tcBorders>
          </w:tcPr>
          <w:p w14:paraId="0AB33B30" w14:textId="77777777" w:rsidR="00E23C0C" w:rsidRPr="000F34DB" w:rsidRDefault="00E23C0C" w:rsidP="00162986">
            <w:pPr>
              <w:spacing w:line="240" w:lineRule="exact"/>
              <w:jc w:val="center"/>
              <w:rPr>
                <w:rFonts w:eastAsia="DengXian" w:cs="Calibri"/>
                <w:sz w:val="20"/>
                <w:szCs w:val="20"/>
              </w:rPr>
            </w:pPr>
          </w:p>
        </w:tc>
        <w:tc>
          <w:tcPr>
            <w:tcW w:w="766" w:type="dxa"/>
            <w:tcBorders>
              <w:bottom w:val="single" w:sz="4" w:space="0" w:color="auto"/>
            </w:tcBorders>
          </w:tcPr>
          <w:p w14:paraId="18F2442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c>
          <w:tcPr>
            <w:tcW w:w="5416" w:type="dxa"/>
            <w:tcBorders>
              <w:bottom w:val="single" w:sz="4" w:space="0" w:color="auto"/>
            </w:tcBorders>
          </w:tcPr>
          <w:p w14:paraId="212E64D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DFS DFJ</w:t>
            </w:r>
          </w:p>
        </w:tc>
        <w:tc>
          <w:tcPr>
            <w:tcW w:w="782" w:type="dxa"/>
            <w:tcBorders>
              <w:bottom w:val="single" w:sz="4" w:space="0" w:color="auto"/>
            </w:tcBorders>
          </w:tcPr>
          <w:p w14:paraId="0BDF549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r>
      <w:tr w:rsidR="00E23C0C" w:rsidRPr="000F34DB" w14:paraId="11CC20BB" w14:textId="77777777" w:rsidTr="00162986">
        <w:trPr>
          <w:jc w:val="center"/>
        </w:trPr>
        <w:tc>
          <w:tcPr>
            <w:tcW w:w="1326" w:type="dxa"/>
            <w:vMerge w:val="restart"/>
            <w:tcBorders>
              <w:top w:val="single" w:sz="4" w:space="0" w:color="auto"/>
            </w:tcBorders>
          </w:tcPr>
          <w:p w14:paraId="703D4B3F" w14:textId="77777777" w:rsidR="00E23C0C" w:rsidRPr="000F34DB" w:rsidRDefault="00E23C0C" w:rsidP="00162986">
            <w:pPr>
              <w:spacing w:line="240" w:lineRule="exact"/>
              <w:jc w:val="center"/>
              <w:rPr>
                <w:rFonts w:eastAsia="DengXian" w:cs="Calibri"/>
                <w:sz w:val="20"/>
                <w:szCs w:val="20"/>
              </w:rPr>
            </w:pPr>
          </w:p>
          <w:p w14:paraId="7A7C9A48" w14:textId="77777777" w:rsidR="00E23C0C" w:rsidRPr="000F34DB" w:rsidRDefault="00E23C0C" w:rsidP="00162986">
            <w:pPr>
              <w:spacing w:line="240" w:lineRule="exact"/>
              <w:jc w:val="center"/>
              <w:rPr>
                <w:rFonts w:eastAsia="DengXian" w:cs="Calibri"/>
                <w:sz w:val="20"/>
                <w:szCs w:val="20"/>
              </w:rPr>
            </w:pPr>
          </w:p>
          <w:p w14:paraId="1937B9A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Intermediate stage</w:t>
            </w:r>
          </w:p>
        </w:tc>
        <w:tc>
          <w:tcPr>
            <w:tcW w:w="766" w:type="dxa"/>
            <w:tcBorders>
              <w:top w:val="single" w:sz="4" w:space="0" w:color="auto"/>
            </w:tcBorders>
          </w:tcPr>
          <w:p w14:paraId="09DA6BD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w:t>
            </w:r>
          </w:p>
        </w:tc>
        <w:tc>
          <w:tcPr>
            <w:tcW w:w="5416" w:type="dxa"/>
            <w:tcBorders>
              <w:top w:val="single" w:sz="4" w:space="0" w:color="auto"/>
            </w:tcBorders>
          </w:tcPr>
          <w:p w14:paraId="1B6758E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GJ GS NDRC NCAD NFD NCD NTD NFB NTB NEB DRCS</w:t>
            </w:r>
          </w:p>
        </w:tc>
        <w:tc>
          <w:tcPr>
            <w:tcW w:w="782" w:type="dxa"/>
            <w:tcBorders>
              <w:top w:val="single" w:sz="4" w:space="0" w:color="auto"/>
            </w:tcBorders>
          </w:tcPr>
          <w:p w14:paraId="66CAEBF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12</w:t>
            </w:r>
          </w:p>
        </w:tc>
      </w:tr>
      <w:tr w:rsidR="00E23C0C" w:rsidRPr="000F34DB" w14:paraId="7C941247" w14:textId="77777777" w:rsidTr="00162986">
        <w:trPr>
          <w:jc w:val="center"/>
        </w:trPr>
        <w:tc>
          <w:tcPr>
            <w:tcW w:w="1326" w:type="dxa"/>
            <w:vMerge/>
          </w:tcPr>
          <w:p w14:paraId="5F1054E9" w14:textId="77777777" w:rsidR="00E23C0C" w:rsidRPr="000F34DB" w:rsidRDefault="00E23C0C" w:rsidP="00162986">
            <w:pPr>
              <w:spacing w:line="240" w:lineRule="exact"/>
              <w:jc w:val="center"/>
              <w:rPr>
                <w:rFonts w:eastAsia="DengXian" w:cs="Calibri"/>
                <w:sz w:val="20"/>
                <w:szCs w:val="20"/>
              </w:rPr>
            </w:pPr>
          </w:p>
        </w:tc>
        <w:tc>
          <w:tcPr>
            <w:tcW w:w="766" w:type="dxa"/>
          </w:tcPr>
          <w:p w14:paraId="10966A9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w:t>
            </w:r>
          </w:p>
        </w:tc>
        <w:tc>
          <w:tcPr>
            <w:tcW w:w="5416" w:type="dxa"/>
          </w:tcPr>
          <w:p w14:paraId="758373D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GJ GS DRS</w:t>
            </w:r>
          </w:p>
        </w:tc>
        <w:tc>
          <w:tcPr>
            <w:tcW w:w="782" w:type="dxa"/>
          </w:tcPr>
          <w:p w14:paraId="4F01367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r>
      <w:tr w:rsidR="00E23C0C" w:rsidRPr="000F34DB" w14:paraId="348808D4" w14:textId="77777777" w:rsidTr="00162986">
        <w:trPr>
          <w:jc w:val="center"/>
        </w:trPr>
        <w:tc>
          <w:tcPr>
            <w:tcW w:w="1326" w:type="dxa"/>
            <w:vMerge/>
          </w:tcPr>
          <w:p w14:paraId="578E28D3" w14:textId="77777777" w:rsidR="00E23C0C" w:rsidRPr="000F34DB" w:rsidRDefault="00E23C0C" w:rsidP="00162986">
            <w:pPr>
              <w:spacing w:line="240" w:lineRule="exact"/>
              <w:jc w:val="center"/>
              <w:rPr>
                <w:rFonts w:eastAsia="DengXian" w:cs="Calibri"/>
                <w:sz w:val="20"/>
                <w:szCs w:val="20"/>
              </w:rPr>
            </w:pPr>
          </w:p>
        </w:tc>
        <w:tc>
          <w:tcPr>
            <w:tcW w:w="766" w:type="dxa"/>
          </w:tcPr>
          <w:p w14:paraId="03C10A6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c>
          <w:tcPr>
            <w:tcW w:w="5416" w:type="dxa"/>
          </w:tcPr>
          <w:p w14:paraId="1FB8226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TBA TBS</w:t>
            </w:r>
          </w:p>
        </w:tc>
        <w:tc>
          <w:tcPr>
            <w:tcW w:w="782" w:type="dxa"/>
          </w:tcPr>
          <w:p w14:paraId="760B8F5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r>
      <w:tr w:rsidR="00E23C0C" w:rsidRPr="000F34DB" w14:paraId="208AE0FB" w14:textId="77777777" w:rsidTr="00162986">
        <w:trPr>
          <w:jc w:val="center"/>
        </w:trPr>
        <w:tc>
          <w:tcPr>
            <w:tcW w:w="1326" w:type="dxa"/>
            <w:vMerge/>
          </w:tcPr>
          <w:p w14:paraId="61C77445" w14:textId="77777777" w:rsidR="00E23C0C" w:rsidRPr="000F34DB" w:rsidRDefault="00E23C0C" w:rsidP="00162986">
            <w:pPr>
              <w:spacing w:line="240" w:lineRule="exact"/>
              <w:jc w:val="center"/>
              <w:rPr>
                <w:rFonts w:eastAsia="DengXian" w:cs="Calibri"/>
                <w:sz w:val="20"/>
                <w:szCs w:val="20"/>
              </w:rPr>
            </w:pPr>
          </w:p>
        </w:tc>
        <w:tc>
          <w:tcPr>
            <w:tcW w:w="766" w:type="dxa"/>
          </w:tcPr>
          <w:p w14:paraId="3BC4714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c>
          <w:tcPr>
            <w:tcW w:w="5416" w:type="dxa"/>
          </w:tcPr>
          <w:p w14:paraId="7A3B88E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GEBS SMBS DRCS</w:t>
            </w:r>
          </w:p>
        </w:tc>
        <w:tc>
          <w:tcPr>
            <w:tcW w:w="782" w:type="dxa"/>
          </w:tcPr>
          <w:p w14:paraId="5901439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r>
      <w:tr w:rsidR="00E23C0C" w:rsidRPr="000F34DB" w14:paraId="5A581FB5" w14:textId="77777777" w:rsidTr="00162986">
        <w:trPr>
          <w:jc w:val="center"/>
        </w:trPr>
        <w:tc>
          <w:tcPr>
            <w:tcW w:w="1326" w:type="dxa"/>
            <w:vMerge/>
          </w:tcPr>
          <w:p w14:paraId="0AE5D0F5" w14:textId="77777777" w:rsidR="00E23C0C" w:rsidRPr="000F34DB" w:rsidRDefault="00E23C0C" w:rsidP="00162986">
            <w:pPr>
              <w:spacing w:line="240" w:lineRule="exact"/>
              <w:jc w:val="center"/>
              <w:rPr>
                <w:rFonts w:eastAsia="DengXian" w:cs="Calibri"/>
                <w:sz w:val="20"/>
                <w:szCs w:val="20"/>
              </w:rPr>
            </w:pPr>
          </w:p>
        </w:tc>
        <w:tc>
          <w:tcPr>
            <w:tcW w:w="766" w:type="dxa"/>
          </w:tcPr>
          <w:p w14:paraId="2D8DFD5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w:t>
            </w:r>
          </w:p>
        </w:tc>
        <w:tc>
          <w:tcPr>
            <w:tcW w:w="5416" w:type="dxa"/>
          </w:tcPr>
          <w:p w14:paraId="3B3C4D7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GJ GS GA NDRC NCAD NFD NCD NTD NFB NTB NEB DRCS</w:t>
            </w:r>
          </w:p>
        </w:tc>
        <w:tc>
          <w:tcPr>
            <w:tcW w:w="782" w:type="dxa"/>
          </w:tcPr>
          <w:p w14:paraId="1373BE4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12</w:t>
            </w:r>
          </w:p>
        </w:tc>
      </w:tr>
      <w:tr w:rsidR="00E23C0C" w:rsidRPr="000F34DB" w14:paraId="7AAC4C61" w14:textId="77777777" w:rsidTr="00162986">
        <w:trPr>
          <w:jc w:val="center"/>
        </w:trPr>
        <w:tc>
          <w:tcPr>
            <w:tcW w:w="1326" w:type="dxa"/>
            <w:vMerge/>
            <w:tcBorders>
              <w:bottom w:val="single" w:sz="4" w:space="0" w:color="auto"/>
            </w:tcBorders>
          </w:tcPr>
          <w:p w14:paraId="01C54224" w14:textId="77777777" w:rsidR="00E23C0C" w:rsidRPr="000F34DB" w:rsidRDefault="00E23C0C" w:rsidP="00162986">
            <w:pPr>
              <w:spacing w:line="240" w:lineRule="exact"/>
              <w:jc w:val="center"/>
              <w:rPr>
                <w:rFonts w:eastAsia="DengXian" w:cs="Calibri"/>
                <w:sz w:val="20"/>
                <w:szCs w:val="20"/>
              </w:rPr>
            </w:pPr>
          </w:p>
        </w:tc>
        <w:tc>
          <w:tcPr>
            <w:tcW w:w="766" w:type="dxa"/>
            <w:tcBorders>
              <w:bottom w:val="single" w:sz="4" w:space="0" w:color="auto"/>
            </w:tcBorders>
          </w:tcPr>
          <w:p w14:paraId="07871B5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w:t>
            </w:r>
          </w:p>
        </w:tc>
        <w:tc>
          <w:tcPr>
            <w:tcW w:w="5416" w:type="dxa"/>
            <w:tcBorders>
              <w:bottom w:val="single" w:sz="4" w:space="0" w:color="auto"/>
            </w:tcBorders>
          </w:tcPr>
          <w:p w14:paraId="652FF42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TBA TPBA FBA ICBA</w:t>
            </w:r>
          </w:p>
        </w:tc>
        <w:tc>
          <w:tcPr>
            <w:tcW w:w="782" w:type="dxa"/>
            <w:tcBorders>
              <w:bottom w:val="single" w:sz="4" w:space="0" w:color="auto"/>
            </w:tcBorders>
          </w:tcPr>
          <w:p w14:paraId="7BB5709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r>
      <w:tr w:rsidR="00E23C0C" w:rsidRPr="000F34DB" w14:paraId="15CCB3F9" w14:textId="77777777" w:rsidTr="00162986">
        <w:trPr>
          <w:jc w:val="center"/>
        </w:trPr>
        <w:tc>
          <w:tcPr>
            <w:tcW w:w="1326" w:type="dxa"/>
            <w:vMerge w:val="restart"/>
            <w:tcBorders>
              <w:top w:val="single" w:sz="4" w:space="0" w:color="auto"/>
            </w:tcBorders>
          </w:tcPr>
          <w:p w14:paraId="3EFB200C" w14:textId="77777777" w:rsidR="00E23C0C" w:rsidRPr="000F34DB" w:rsidRDefault="00E23C0C" w:rsidP="00162986">
            <w:pPr>
              <w:spacing w:line="240" w:lineRule="exact"/>
              <w:jc w:val="center"/>
              <w:rPr>
                <w:rFonts w:eastAsia="DengXian" w:cs="Calibri"/>
                <w:sz w:val="20"/>
                <w:szCs w:val="20"/>
              </w:rPr>
            </w:pPr>
          </w:p>
          <w:p w14:paraId="43093B1C" w14:textId="77777777" w:rsidR="00E23C0C" w:rsidRPr="000F34DB" w:rsidRDefault="00E23C0C" w:rsidP="00162986">
            <w:pPr>
              <w:spacing w:line="240" w:lineRule="exact"/>
              <w:jc w:val="center"/>
              <w:rPr>
                <w:rFonts w:eastAsia="DengXian" w:cs="Calibri"/>
                <w:sz w:val="20"/>
                <w:szCs w:val="20"/>
              </w:rPr>
            </w:pPr>
          </w:p>
          <w:p w14:paraId="542D7757" w14:textId="77777777" w:rsidR="00E23C0C" w:rsidRPr="000F34DB" w:rsidRDefault="00E23C0C" w:rsidP="00162986">
            <w:pPr>
              <w:spacing w:line="240" w:lineRule="exact"/>
              <w:jc w:val="center"/>
              <w:rPr>
                <w:rFonts w:eastAsia="DengXian" w:cs="Calibri"/>
                <w:sz w:val="20"/>
                <w:szCs w:val="20"/>
              </w:rPr>
            </w:pPr>
          </w:p>
          <w:p w14:paraId="6F481A19" w14:textId="77777777" w:rsidR="00E23C0C" w:rsidRPr="000F34DB" w:rsidRDefault="00E23C0C" w:rsidP="00162986">
            <w:pPr>
              <w:spacing w:line="240" w:lineRule="exact"/>
              <w:jc w:val="center"/>
              <w:rPr>
                <w:rFonts w:eastAsia="DengXian" w:cs="Calibri"/>
                <w:sz w:val="20"/>
                <w:szCs w:val="20"/>
              </w:rPr>
            </w:pPr>
          </w:p>
          <w:p w14:paraId="3C1E149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Long-term recovery stage</w:t>
            </w:r>
          </w:p>
        </w:tc>
        <w:tc>
          <w:tcPr>
            <w:tcW w:w="766" w:type="dxa"/>
            <w:tcBorders>
              <w:top w:val="single" w:sz="4" w:space="0" w:color="auto"/>
            </w:tcBorders>
          </w:tcPr>
          <w:p w14:paraId="6908A0B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w:t>
            </w:r>
          </w:p>
        </w:tc>
        <w:tc>
          <w:tcPr>
            <w:tcW w:w="5416" w:type="dxa"/>
            <w:tcBorders>
              <w:top w:val="single" w:sz="4" w:space="0" w:color="auto"/>
            </w:tcBorders>
          </w:tcPr>
          <w:p w14:paraId="0B0AB812" w14:textId="77777777" w:rsidR="00E23C0C" w:rsidRPr="000F34DB" w:rsidRDefault="00E23C0C" w:rsidP="00162986">
            <w:pPr>
              <w:tabs>
                <w:tab w:val="left" w:pos="1498"/>
              </w:tabs>
              <w:spacing w:line="240" w:lineRule="exact"/>
              <w:jc w:val="center"/>
              <w:rPr>
                <w:rFonts w:eastAsia="DengXian" w:cs="Calibri"/>
                <w:sz w:val="20"/>
                <w:szCs w:val="20"/>
              </w:rPr>
            </w:pPr>
            <w:r w:rsidRPr="000F34DB">
              <w:rPr>
                <w:rFonts w:eastAsia="DengXian" w:cs="Calibri"/>
                <w:sz w:val="20"/>
                <w:szCs w:val="20"/>
              </w:rPr>
              <w:t>ABJ, DRCS, GS, GA</w:t>
            </w:r>
          </w:p>
        </w:tc>
        <w:tc>
          <w:tcPr>
            <w:tcW w:w="782" w:type="dxa"/>
            <w:tcBorders>
              <w:top w:val="single" w:sz="4" w:space="0" w:color="auto"/>
            </w:tcBorders>
          </w:tcPr>
          <w:p w14:paraId="35443C5E" w14:textId="77777777" w:rsidR="00E23C0C" w:rsidRPr="000F34DB" w:rsidRDefault="00E23C0C" w:rsidP="00162986">
            <w:pPr>
              <w:tabs>
                <w:tab w:val="left" w:pos="1498"/>
              </w:tabs>
              <w:spacing w:line="240" w:lineRule="exact"/>
              <w:jc w:val="center"/>
              <w:rPr>
                <w:rFonts w:eastAsia="DengXian" w:cs="Calibri"/>
                <w:sz w:val="20"/>
                <w:szCs w:val="20"/>
              </w:rPr>
            </w:pPr>
            <w:r w:rsidRPr="000F34DB">
              <w:rPr>
                <w:rFonts w:eastAsia="DengXian" w:cs="Calibri"/>
                <w:sz w:val="20"/>
                <w:szCs w:val="20"/>
              </w:rPr>
              <w:t>4</w:t>
            </w:r>
          </w:p>
        </w:tc>
      </w:tr>
      <w:tr w:rsidR="00E23C0C" w:rsidRPr="000F34DB" w14:paraId="262BD33D" w14:textId="77777777" w:rsidTr="00162986">
        <w:trPr>
          <w:jc w:val="center"/>
        </w:trPr>
        <w:tc>
          <w:tcPr>
            <w:tcW w:w="1326" w:type="dxa"/>
            <w:vMerge/>
          </w:tcPr>
          <w:p w14:paraId="6921186B" w14:textId="77777777" w:rsidR="00E23C0C" w:rsidRPr="000F34DB" w:rsidRDefault="00E23C0C" w:rsidP="00162986">
            <w:pPr>
              <w:spacing w:line="240" w:lineRule="exact"/>
              <w:jc w:val="center"/>
              <w:rPr>
                <w:rFonts w:eastAsia="DengXian" w:cs="Calibri"/>
                <w:sz w:val="20"/>
                <w:szCs w:val="20"/>
              </w:rPr>
            </w:pPr>
          </w:p>
        </w:tc>
        <w:tc>
          <w:tcPr>
            <w:tcW w:w="766" w:type="dxa"/>
          </w:tcPr>
          <w:p w14:paraId="35B2AD3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w:t>
            </w:r>
          </w:p>
        </w:tc>
        <w:tc>
          <w:tcPr>
            <w:tcW w:w="5416" w:type="dxa"/>
          </w:tcPr>
          <w:p w14:paraId="22AC09D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GS, GA, ROA</w:t>
            </w:r>
          </w:p>
        </w:tc>
        <w:tc>
          <w:tcPr>
            <w:tcW w:w="782" w:type="dxa"/>
          </w:tcPr>
          <w:p w14:paraId="3D028EC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r>
      <w:tr w:rsidR="00E23C0C" w:rsidRPr="000F34DB" w14:paraId="2918A2B6" w14:textId="77777777" w:rsidTr="00162986">
        <w:trPr>
          <w:jc w:val="center"/>
        </w:trPr>
        <w:tc>
          <w:tcPr>
            <w:tcW w:w="1326" w:type="dxa"/>
            <w:vMerge/>
          </w:tcPr>
          <w:p w14:paraId="7A53A36C" w14:textId="77777777" w:rsidR="00E23C0C" w:rsidRPr="000F34DB" w:rsidRDefault="00E23C0C" w:rsidP="00162986">
            <w:pPr>
              <w:spacing w:line="240" w:lineRule="exact"/>
              <w:jc w:val="center"/>
              <w:rPr>
                <w:rFonts w:eastAsia="DengXian" w:cs="Calibri"/>
                <w:sz w:val="20"/>
                <w:szCs w:val="20"/>
              </w:rPr>
            </w:pPr>
          </w:p>
        </w:tc>
        <w:tc>
          <w:tcPr>
            <w:tcW w:w="766" w:type="dxa"/>
          </w:tcPr>
          <w:p w14:paraId="75B1656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c>
          <w:tcPr>
            <w:tcW w:w="5416" w:type="dxa"/>
          </w:tcPr>
          <w:p w14:paraId="318B6A3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GS, GA, MG</w:t>
            </w:r>
          </w:p>
        </w:tc>
        <w:tc>
          <w:tcPr>
            <w:tcW w:w="782" w:type="dxa"/>
          </w:tcPr>
          <w:p w14:paraId="4C77C04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r>
      <w:tr w:rsidR="00E23C0C" w:rsidRPr="000F34DB" w14:paraId="3F0A8CC5" w14:textId="77777777" w:rsidTr="00162986">
        <w:trPr>
          <w:jc w:val="center"/>
        </w:trPr>
        <w:tc>
          <w:tcPr>
            <w:tcW w:w="1326" w:type="dxa"/>
            <w:vMerge/>
          </w:tcPr>
          <w:p w14:paraId="3126F310" w14:textId="77777777" w:rsidR="00E23C0C" w:rsidRPr="000F34DB" w:rsidRDefault="00E23C0C" w:rsidP="00162986">
            <w:pPr>
              <w:spacing w:line="240" w:lineRule="exact"/>
              <w:jc w:val="center"/>
              <w:rPr>
                <w:rFonts w:eastAsia="DengXian" w:cs="Calibri"/>
                <w:sz w:val="20"/>
                <w:szCs w:val="20"/>
              </w:rPr>
            </w:pPr>
          </w:p>
        </w:tc>
        <w:tc>
          <w:tcPr>
            <w:tcW w:w="766" w:type="dxa"/>
          </w:tcPr>
          <w:p w14:paraId="3E47899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c>
          <w:tcPr>
            <w:tcW w:w="5416" w:type="dxa"/>
          </w:tcPr>
          <w:p w14:paraId="5975A14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DFS, GA</w:t>
            </w:r>
          </w:p>
        </w:tc>
        <w:tc>
          <w:tcPr>
            <w:tcW w:w="782" w:type="dxa"/>
          </w:tcPr>
          <w:p w14:paraId="10B9B2B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r>
      <w:tr w:rsidR="00E23C0C" w:rsidRPr="000F34DB" w14:paraId="31D96912" w14:textId="77777777" w:rsidTr="00162986">
        <w:trPr>
          <w:jc w:val="center"/>
        </w:trPr>
        <w:tc>
          <w:tcPr>
            <w:tcW w:w="1326" w:type="dxa"/>
            <w:vMerge/>
          </w:tcPr>
          <w:p w14:paraId="12C73D6E" w14:textId="77777777" w:rsidR="00E23C0C" w:rsidRPr="000F34DB" w:rsidRDefault="00E23C0C" w:rsidP="00162986">
            <w:pPr>
              <w:spacing w:line="240" w:lineRule="exact"/>
              <w:jc w:val="center"/>
              <w:rPr>
                <w:rFonts w:eastAsia="DengXian" w:cs="Calibri"/>
                <w:sz w:val="20"/>
                <w:szCs w:val="20"/>
              </w:rPr>
            </w:pPr>
          </w:p>
        </w:tc>
        <w:tc>
          <w:tcPr>
            <w:tcW w:w="766" w:type="dxa"/>
          </w:tcPr>
          <w:p w14:paraId="008C72F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w:t>
            </w:r>
          </w:p>
        </w:tc>
        <w:tc>
          <w:tcPr>
            <w:tcW w:w="5416" w:type="dxa"/>
          </w:tcPr>
          <w:p w14:paraId="2723249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 xml:space="preserve">ABJ, </w:t>
            </w:r>
            <w:proofErr w:type="gramStart"/>
            <w:r w:rsidRPr="000F34DB">
              <w:rPr>
                <w:rFonts w:eastAsia="DengXian" w:cs="Calibri"/>
                <w:sz w:val="20"/>
                <w:szCs w:val="20"/>
              </w:rPr>
              <w:t>GJ,GA</w:t>
            </w:r>
            <w:proofErr w:type="gramEnd"/>
          </w:p>
        </w:tc>
        <w:tc>
          <w:tcPr>
            <w:tcW w:w="782" w:type="dxa"/>
          </w:tcPr>
          <w:p w14:paraId="0A3F1A1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r>
      <w:tr w:rsidR="00E23C0C" w:rsidRPr="000F34DB" w14:paraId="50C6FA60" w14:textId="77777777" w:rsidTr="00162986">
        <w:trPr>
          <w:jc w:val="center"/>
        </w:trPr>
        <w:tc>
          <w:tcPr>
            <w:tcW w:w="1326" w:type="dxa"/>
            <w:vMerge/>
          </w:tcPr>
          <w:p w14:paraId="7CA09EE8" w14:textId="77777777" w:rsidR="00E23C0C" w:rsidRPr="000F34DB" w:rsidRDefault="00E23C0C" w:rsidP="00162986">
            <w:pPr>
              <w:spacing w:line="240" w:lineRule="exact"/>
              <w:jc w:val="center"/>
              <w:rPr>
                <w:rFonts w:eastAsia="DengXian" w:cs="Calibri"/>
                <w:sz w:val="20"/>
                <w:szCs w:val="20"/>
              </w:rPr>
            </w:pPr>
          </w:p>
        </w:tc>
        <w:tc>
          <w:tcPr>
            <w:tcW w:w="766" w:type="dxa"/>
          </w:tcPr>
          <w:p w14:paraId="38FD17C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w:t>
            </w:r>
          </w:p>
        </w:tc>
        <w:tc>
          <w:tcPr>
            <w:tcW w:w="5416" w:type="dxa"/>
          </w:tcPr>
          <w:p w14:paraId="6086790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DRCS, GA, DRCA</w:t>
            </w:r>
          </w:p>
        </w:tc>
        <w:tc>
          <w:tcPr>
            <w:tcW w:w="782" w:type="dxa"/>
          </w:tcPr>
          <w:p w14:paraId="21DDB07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r>
      <w:tr w:rsidR="00E23C0C" w:rsidRPr="000F34DB" w14:paraId="3F7B6634" w14:textId="77777777" w:rsidTr="00162986">
        <w:trPr>
          <w:jc w:val="center"/>
        </w:trPr>
        <w:tc>
          <w:tcPr>
            <w:tcW w:w="1326" w:type="dxa"/>
            <w:vMerge/>
          </w:tcPr>
          <w:p w14:paraId="7C802377" w14:textId="77777777" w:rsidR="00E23C0C" w:rsidRPr="000F34DB" w:rsidRDefault="00E23C0C" w:rsidP="00162986">
            <w:pPr>
              <w:spacing w:line="240" w:lineRule="exact"/>
              <w:jc w:val="center"/>
              <w:rPr>
                <w:rFonts w:eastAsia="DengXian" w:cs="Calibri"/>
                <w:sz w:val="20"/>
                <w:szCs w:val="20"/>
              </w:rPr>
            </w:pPr>
          </w:p>
        </w:tc>
        <w:tc>
          <w:tcPr>
            <w:tcW w:w="766" w:type="dxa"/>
          </w:tcPr>
          <w:p w14:paraId="5ADD905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7</w:t>
            </w:r>
          </w:p>
        </w:tc>
        <w:tc>
          <w:tcPr>
            <w:tcW w:w="5416" w:type="dxa"/>
          </w:tcPr>
          <w:p w14:paraId="00F6C95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DCS, DCA, ROA</w:t>
            </w:r>
          </w:p>
        </w:tc>
        <w:tc>
          <w:tcPr>
            <w:tcW w:w="782" w:type="dxa"/>
          </w:tcPr>
          <w:p w14:paraId="1697253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r>
      <w:tr w:rsidR="00E23C0C" w:rsidRPr="000F34DB" w14:paraId="17BAE777" w14:textId="77777777" w:rsidTr="00162986">
        <w:trPr>
          <w:jc w:val="center"/>
        </w:trPr>
        <w:tc>
          <w:tcPr>
            <w:tcW w:w="1326" w:type="dxa"/>
            <w:vMerge/>
          </w:tcPr>
          <w:p w14:paraId="7C0CB935" w14:textId="77777777" w:rsidR="00E23C0C" w:rsidRPr="000F34DB" w:rsidRDefault="00E23C0C" w:rsidP="00162986">
            <w:pPr>
              <w:spacing w:line="240" w:lineRule="exact"/>
              <w:jc w:val="center"/>
              <w:rPr>
                <w:rFonts w:eastAsia="DengXian" w:cs="Calibri"/>
                <w:sz w:val="20"/>
                <w:szCs w:val="20"/>
              </w:rPr>
            </w:pPr>
          </w:p>
        </w:tc>
        <w:tc>
          <w:tcPr>
            <w:tcW w:w="766" w:type="dxa"/>
          </w:tcPr>
          <w:p w14:paraId="0F2A266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8</w:t>
            </w:r>
          </w:p>
        </w:tc>
        <w:tc>
          <w:tcPr>
            <w:tcW w:w="5416" w:type="dxa"/>
          </w:tcPr>
          <w:p w14:paraId="5F0F487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TBS, TBA, EPCURS, EPCURA</w:t>
            </w:r>
          </w:p>
        </w:tc>
        <w:tc>
          <w:tcPr>
            <w:tcW w:w="782" w:type="dxa"/>
          </w:tcPr>
          <w:p w14:paraId="685B759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w:t>
            </w:r>
          </w:p>
        </w:tc>
      </w:tr>
      <w:tr w:rsidR="00E23C0C" w:rsidRPr="000F34DB" w14:paraId="7DB869D0" w14:textId="77777777" w:rsidTr="00162986">
        <w:trPr>
          <w:jc w:val="center"/>
        </w:trPr>
        <w:tc>
          <w:tcPr>
            <w:tcW w:w="1326" w:type="dxa"/>
            <w:vMerge/>
          </w:tcPr>
          <w:p w14:paraId="784E9040" w14:textId="77777777" w:rsidR="00E23C0C" w:rsidRPr="000F34DB" w:rsidRDefault="00E23C0C" w:rsidP="00162986">
            <w:pPr>
              <w:spacing w:line="240" w:lineRule="exact"/>
              <w:jc w:val="center"/>
              <w:rPr>
                <w:rFonts w:eastAsia="DengXian" w:cs="Calibri"/>
                <w:sz w:val="20"/>
                <w:szCs w:val="20"/>
              </w:rPr>
            </w:pPr>
          </w:p>
        </w:tc>
        <w:tc>
          <w:tcPr>
            <w:tcW w:w="766" w:type="dxa"/>
          </w:tcPr>
          <w:p w14:paraId="7900E72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9</w:t>
            </w:r>
          </w:p>
        </w:tc>
        <w:tc>
          <w:tcPr>
            <w:tcW w:w="5416" w:type="dxa"/>
          </w:tcPr>
          <w:p w14:paraId="32B09F6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TBS, TBA, GJ</w:t>
            </w:r>
          </w:p>
        </w:tc>
        <w:tc>
          <w:tcPr>
            <w:tcW w:w="782" w:type="dxa"/>
          </w:tcPr>
          <w:p w14:paraId="3CE0235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r>
      <w:tr w:rsidR="00E23C0C" w:rsidRPr="000F34DB" w14:paraId="36375A78" w14:textId="77777777" w:rsidTr="00162986">
        <w:trPr>
          <w:jc w:val="center"/>
        </w:trPr>
        <w:tc>
          <w:tcPr>
            <w:tcW w:w="1326" w:type="dxa"/>
            <w:vMerge/>
          </w:tcPr>
          <w:p w14:paraId="26C04D05" w14:textId="77777777" w:rsidR="00E23C0C" w:rsidRPr="000F34DB" w:rsidRDefault="00E23C0C" w:rsidP="00162986">
            <w:pPr>
              <w:spacing w:line="240" w:lineRule="exact"/>
              <w:jc w:val="center"/>
              <w:rPr>
                <w:rFonts w:eastAsia="DengXian" w:cs="Calibri"/>
                <w:sz w:val="20"/>
                <w:szCs w:val="20"/>
              </w:rPr>
            </w:pPr>
          </w:p>
        </w:tc>
        <w:tc>
          <w:tcPr>
            <w:tcW w:w="766" w:type="dxa"/>
          </w:tcPr>
          <w:p w14:paraId="3A57876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w:t>
            </w:r>
          </w:p>
        </w:tc>
        <w:tc>
          <w:tcPr>
            <w:tcW w:w="5416" w:type="dxa"/>
          </w:tcPr>
          <w:p w14:paraId="4AF2DC1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 xml:space="preserve">ABJ, </w:t>
            </w:r>
            <w:proofErr w:type="gramStart"/>
            <w:r w:rsidRPr="000F34DB">
              <w:rPr>
                <w:rFonts w:eastAsia="DengXian" w:cs="Calibri"/>
                <w:sz w:val="20"/>
                <w:szCs w:val="20"/>
              </w:rPr>
              <w:t>DCA,DRCA</w:t>
            </w:r>
            <w:proofErr w:type="gramEnd"/>
            <w:r w:rsidRPr="000F34DB">
              <w:rPr>
                <w:rFonts w:eastAsia="DengXian" w:cs="Calibri"/>
                <w:sz w:val="20"/>
                <w:szCs w:val="20"/>
              </w:rPr>
              <w:t>,CEITA</w:t>
            </w:r>
          </w:p>
        </w:tc>
        <w:tc>
          <w:tcPr>
            <w:tcW w:w="782" w:type="dxa"/>
          </w:tcPr>
          <w:p w14:paraId="61F2AF2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r>
      <w:tr w:rsidR="00E23C0C" w:rsidRPr="000F34DB" w14:paraId="10D51A8F" w14:textId="77777777" w:rsidTr="00162986">
        <w:trPr>
          <w:jc w:val="center"/>
        </w:trPr>
        <w:tc>
          <w:tcPr>
            <w:tcW w:w="1326" w:type="dxa"/>
            <w:vMerge/>
          </w:tcPr>
          <w:p w14:paraId="04967082" w14:textId="77777777" w:rsidR="00E23C0C" w:rsidRPr="000F34DB" w:rsidRDefault="00E23C0C" w:rsidP="00162986">
            <w:pPr>
              <w:spacing w:line="240" w:lineRule="exact"/>
              <w:jc w:val="center"/>
              <w:rPr>
                <w:rFonts w:eastAsia="DengXian" w:cs="Calibri"/>
                <w:sz w:val="20"/>
                <w:szCs w:val="20"/>
              </w:rPr>
            </w:pPr>
          </w:p>
        </w:tc>
        <w:tc>
          <w:tcPr>
            <w:tcW w:w="766" w:type="dxa"/>
          </w:tcPr>
          <w:p w14:paraId="1A66E69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w:t>
            </w:r>
          </w:p>
        </w:tc>
        <w:tc>
          <w:tcPr>
            <w:tcW w:w="5416" w:type="dxa"/>
          </w:tcPr>
          <w:p w14:paraId="78A8437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 xml:space="preserve">ABJ, </w:t>
            </w:r>
            <w:proofErr w:type="gramStart"/>
            <w:r w:rsidRPr="000F34DB">
              <w:rPr>
                <w:rFonts w:eastAsia="DengXian" w:cs="Calibri"/>
                <w:sz w:val="20"/>
                <w:szCs w:val="20"/>
              </w:rPr>
              <w:t>GJ,CSOA</w:t>
            </w:r>
            <w:proofErr w:type="gramEnd"/>
          </w:p>
        </w:tc>
        <w:tc>
          <w:tcPr>
            <w:tcW w:w="782" w:type="dxa"/>
          </w:tcPr>
          <w:p w14:paraId="6A31BAB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w:t>
            </w:r>
          </w:p>
        </w:tc>
      </w:tr>
      <w:tr w:rsidR="00E23C0C" w:rsidRPr="000F34DB" w14:paraId="1C1F7A4A" w14:textId="77777777" w:rsidTr="00162986">
        <w:trPr>
          <w:jc w:val="center"/>
        </w:trPr>
        <w:tc>
          <w:tcPr>
            <w:tcW w:w="1326" w:type="dxa"/>
            <w:vMerge/>
          </w:tcPr>
          <w:p w14:paraId="5A68A123" w14:textId="77777777" w:rsidR="00E23C0C" w:rsidRPr="000F34DB" w:rsidRDefault="00E23C0C" w:rsidP="00162986">
            <w:pPr>
              <w:spacing w:line="240" w:lineRule="exact"/>
              <w:jc w:val="center"/>
              <w:rPr>
                <w:rFonts w:eastAsia="DengXian" w:cs="Calibri"/>
                <w:sz w:val="20"/>
                <w:szCs w:val="20"/>
              </w:rPr>
            </w:pPr>
          </w:p>
        </w:tc>
        <w:tc>
          <w:tcPr>
            <w:tcW w:w="766" w:type="dxa"/>
          </w:tcPr>
          <w:p w14:paraId="7AFA969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12</w:t>
            </w:r>
          </w:p>
        </w:tc>
        <w:tc>
          <w:tcPr>
            <w:tcW w:w="5416" w:type="dxa"/>
          </w:tcPr>
          <w:p w14:paraId="7A70787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 xml:space="preserve">ABJ, GJ, </w:t>
            </w:r>
            <w:proofErr w:type="gramStart"/>
            <w:r w:rsidRPr="000F34DB">
              <w:rPr>
                <w:rFonts w:eastAsia="DengXian" w:cs="Calibri"/>
                <w:sz w:val="20"/>
                <w:szCs w:val="20"/>
              </w:rPr>
              <w:t>NFD,DCJ</w:t>
            </w:r>
            <w:proofErr w:type="gramEnd"/>
          </w:p>
        </w:tc>
        <w:tc>
          <w:tcPr>
            <w:tcW w:w="782" w:type="dxa"/>
          </w:tcPr>
          <w:p w14:paraId="47C999D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r>
      <w:tr w:rsidR="00E23C0C" w:rsidRPr="000F34DB" w14:paraId="6FF1E0B1" w14:textId="77777777" w:rsidTr="00162986">
        <w:trPr>
          <w:jc w:val="center"/>
        </w:trPr>
        <w:tc>
          <w:tcPr>
            <w:tcW w:w="1326" w:type="dxa"/>
            <w:vMerge/>
          </w:tcPr>
          <w:p w14:paraId="7EA330A9" w14:textId="77777777" w:rsidR="00E23C0C" w:rsidRPr="000F34DB" w:rsidRDefault="00E23C0C" w:rsidP="00162986">
            <w:pPr>
              <w:spacing w:line="240" w:lineRule="exact"/>
              <w:jc w:val="center"/>
              <w:rPr>
                <w:rFonts w:eastAsia="DengXian" w:cs="Calibri"/>
                <w:sz w:val="20"/>
                <w:szCs w:val="20"/>
              </w:rPr>
            </w:pPr>
          </w:p>
        </w:tc>
        <w:tc>
          <w:tcPr>
            <w:tcW w:w="766" w:type="dxa"/>
          </w:tcPr>
          <w:p w14:paraId="558EC40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13</w:t>
            </w:r>
          </w:p>
        </w:tc>
        <w:tc>
          <w:tcPr>
            <w:tcW w:w="5416" w:type="dxa"/>
          </w:tcPr>
          <w:p w14:paraId="6103D58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DRCA, DRCJ, EBS</w:t>
            </w:r>
          </w:p>
        </w:tc>
        <w:tc>
          <w:tcPr>
            <w:tcW w:w="782" w:type="dxa"/>
          </w:tcPr>
          <w:p w14:paraId="6B24703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w:t>
            </w:r>
          </w:p>
        </w:tc>
      </w:tr>
      <w:tr w:rsidR="00E23C0C" w:rsidRPr="000F34DB" w14:paraId="203DD6AC" w14:textId="77777777" w:rsidTr="00162986">
        <w:trPr>
          <w:jc w:val="center"/>
        </w:trPr>
        <w:tc>
          <w:tcPr>
            <w:tcW w:w="1326" w:type="dxa"/>
            <w:vMerge/>
            <w:tcBorders>
              <w:bottom w:val="single" w:sz="4" w:space="0" w:color="auto"/>
            </w:tcBorders>
          </w:tcPr>
          <w:p w14:paraId="2D45EA1A" w14:textId="77777777" w:rsidR="00E23C0C" w:rsidRPr="000F34DB" w:rsidRDefault="00E23C0C" w:rsidP="00162986">
            <w:pPr>
              <w:spacing w:line="240" w:lineRule="exact"/>
              <w:jc w:val="center"/>
              <w:rPr>
                <w:rFonts w:eastAsia="DengXian" w:cs="Calibri"/>
                <w:sz w:val="20"/>
                <w:szCs w:val="20"/>
              </w:rPr>
            </w:pPr>
          </w:p>
        </w:tc>
        <w:tc>
          <w:tcPr>
            <w:tcW w:w="766" w:type="dxa"/>
            <w:tcBorders>
              <w:bottom w:val="single" w:sz="4" w:space="0" w:color="auto"/>
            </w:tcBorders>
          </w:tcPr>
          <w:p w14:paraId="6E32AE6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14</w:t>
            </w:r>
          </w:p>
        </w:tc>
        <w:tc>
          <w:tcPr>
            <w:tcW w:w="5416" w:type="dxa"/>
            <w:tcBorders>
              <w:bottom w:val="single" w:sz="4" w:space="0" w:color="auto"/>
            </w:tcBorders>
          </w:tcPr>
          <w:p w14:paraId="29597FC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 FGBS, PCSS, FGBA, FGBJ, SFJ</w:t>
            </w:r>
          </w:p>
        </w:tc>
        <w:tc>
          <w:tcPr>
            <w:tcW w:w="782" w:type="dxa"/>
            <w:tcBorders>
              <w:bottom w:val="single" w:sz="4" w:space="0" w:color="auto"/>
            </w:tcBorders>
          </w:tcPr>
          <w:p w14:paraId="6987F7E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6</w:t>
            </w:r>
          </w:p>
        </w:tc>
      </w:tr>
    </w:tbl>
    <w:p w14:paraId="7F614D16" w14:textId="77777777" w:rsidR="00E23C0C" w:rsidRPr="000F34DB" w:rsidRDefault="00E23C0C" w:rsidP="00E23C0C">
      <w:pPr>
        <w:spacing w:beforeLines="50" w:before="163" w:afterLines="50" w:after="163" w:line="400" w:lineRule="exact"/>
        <w:rPr>
          <w:rFonts w:cs="Calibri"/>
          <w:sz w:val="20"/>
          <w:szCs w:val="20"/>
        </w:rPr>
      </w:pPr>
    </w:p>
    <w:p w14:paraId="52D74591" w14:textId="77777777" w:rsidR="00E23C0C" w:rsidRPr="000F34DB" w:rsidRDefault="00E23C0C" w:rsidP="00E23C0C">
      <w:pPr>
        <w:spacing w:beforeLines="50" w:before="163" w:afterLines="50" w:after="163" w:line="400" w:lineRule="exact"/>
        <w:jc w:val="both"/>
        <w:rPr>
          <w:rFonts w:cs="Calibri"/>
          <w:sz w:val="20"/>
          <w:szCs w:val="20"/>
        </w:rPr>
      </w:pPr>
      <w:r w:rsidRPr="000F34DB">
        <w:rPr>
          <w:rFonts w:cs="Calibri"/>
          <w:sz w:val="20"/>
          <w:szCs w:val="20"/>
        </w:rPr>
        <w:t>Table 9. Results for structural holes in the intergovernmental collaboration network at the emergency stage</w:t>
      </w:r>
    </w:p>
    <w:tbl>
      <w:tblPr>
        <w:tblStyle w:val="TableGrid"/>
        <w:tblW w:w="81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701"/>
        <w:gridCol w:w="1961"/>
        <w:gridCol w:w="1985"/>
      </w:tblGrid>
      <w:tr w:rsidR="00E23C0C" w:rsidRPr="000F34DB" w14:paraId="49730AD3" w14:textId="77777777" w:rsidTr="00162986">
        <w:trPr>
          <w:jc w:val="center"/>
        </w:trPr>
        <w:tc>
          <w:tcPr>
            <w:tcW w:w="2547" w:type="dxa"/>
            <w:tcBorders>
              <w:top w:val="single" w:sz="4" w:space="0" w:color="auto"/>
              <w:bottom w:val="single" w:sz="4" w:space="0" w:color="auto"/>
            </w:tcBorders>
          </w:tcPr>
          <w:p w14:paraId="2794C03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Government sectors</w:t>
            </w:r>
          </w:p>
        </w:tc>
        <w:tc>
          <w:tcPr>
            <w:tcW w:w="1701" w:type="dxa"/>
            <w:tcBorders>
              <w:top w:val="single" w:sz="4" w:space="0" w:color="auto"/>
              <w:bottom w:val="single" w:sz="4" w:space="0" w:color="auto"/>
            </w:tcBorders>
          </w:tcPr>
          <w:p w14:paraId="109DDC97" w14:textId="77777777" w:rsidR="00E23C0C" w:rsidRPr="000F34DB" w:rsidRDefault="00E23C0C" w:rsidP="00162986">
            <w:pPr>
              <w:spacing w:line="240" w:lineRule="exact"/>
              <w:jc w:val="center"/>
              <w:rPr>
                <w:rFonts w:eastAsia="DengXian" w:cs="Calibri"/>
                <w:sz w:val="20"/>
                <w:szCs w:val="20"/>
              </w:rPr>
            </w:pPr>
            <w:proofErr w:type="spellStart"/>
            <w:r w:rsidRPr="000F34DB">
              <w:rPr>
                <w:rFonts w:eastAsia="DengXian" w:cs="Calibri"/>
                <w:sz w:val="20"/>
                <w:szCs w:val="20"/>
              </w:rPr>
              <w:t>EffSize</w:t>
            </w:r>
            <w:proofErr w:type="spellEnd"/>
          </w:p>
        </w:tc>
        <w:tc>
          <w:tcPr>
            <w:tcW w:w="1961" w:type="dxa"/>
            <w:tcBorders>
              <w:top w:val="single" w:sz="4" w:space="0" w:color="auto"/>
              <w:bottom w:val="single" w:sz="4" w:space="0" w:color="auto"/>
            </w:tcBorders>
          </w:tcPr>
          <w:p w14:paraId="13243698" w14:textId="77777777" w:rsidR="00E23C0C" w:rsidRPr="000F34DB" w:rsidRDefault="00E23C0C" w:rsidP="00162986">
            <w:pPr>
              <w:spacing w:line="240" w:lineRule="exact"/>
              <w:jc w:val="center"/>
              <w:rPr>
                <w:rFonts w:eastAsia="DengXian" w:cs="Calibri"/>
                <w:sz w:val="20"/>
                <w:szCs w:val="20"/>
              </w:rPr>
            </w:pPr>
            <w:proofErr w:type="spellStart"/>
            <w:r w:rsidRPr="000F34DB">
              <w:rPr>
                <w:rFonts w:eastAsia="DengXian" w:cs="Calibri"/>
                <w:sz w:val="20"/>
                <w:szCs w:val="20"/>
              </w:rPr>
              <w:t>Efficie</w:t>
            </w:r>
            <w:proofErr w:type="spellEnd"/>
          </w:p>
        </w:tc>
        <w:tc>
          <w:tcPr>
            <w:tcW w:w="1985" w:type="dxa"/>
            <w:tcBorders>
              <w:top w:val="single" w:sz="4" w:space="0" w:color="auto"/>
              <w:bottom w:val="single" w:sz="4" w:space="0" w:color="auto"/>
            </w:tcBorders>
          </w:tcPr>
          <w:p w14:paraId="6F4F1F5C" w14:textId="77777777" w:rsidR="00E23C0C" w:rsidRPr="000F34DB" w:rsidRDefault="00E23C0C" w:rsidP="00162986">
            <w:pPr>
              <w:spacing w:line="240" w:lineRule="exact"/>
              <w:jc w:val="center"/>
              <w:rPr>
                <w:rFonts w:eastAsia="DengXian" w:cs="Calibri"/>
                <w:sz w:val="20"/>
                <w:szCs w:val="20"/>
              </w:rPr>
            </w:pPr>
            <w:proofErr w:type="spellStart"/>
            <w:r w:rsidRPr="000F34DB">
              <w:rPr>
                <w:rFonts w:eastAsia="DengXian" w:cs="Calibri"/>
                <w:sz w:val="20"/>
                <w:szCs w:val="20"/>
              </w:rPr>
              <w:t>Constra</w:t>
            </w:r>
            <w:proofErr w:type="spellEnd"/>
          </w:p>
        </w:tc>
      </w:tr>
      <w:tr w:rsidR="00E23C0C" w:rsidRPr="000F34DB" w14:paraId="4BEEB6BE" w14:textId="77777777" w:rsidTr="00162986">
        <w:trPr>
          <w:jc w:val="center"/>
        </w:trPr>
        <w:tc>
          <w:tcPr>
            <w:tcW w:w="2547" w:type="dxa"/>
            <w:tcBorders>
              <w:top w:val="single" w:sz="4" w:space="0" w:color="auto"/>
            </w:tcBorders>
          </w:tcPr>
          <w:p w14:paraId="5D732AF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SCC</w:t>
            </w:r>
          </w:p>
        </w:tc>
        <w:tc>
          <w:tcPr>
            <w:tcW w:w="1701" w:type="dxa"/>
            <w:tcBorders>
              <w:top w:val="single" w:sz="4" w:space="0" w:color="auto"/>
            </w:tcBorders>
          </w:tcPr>
          <w:p w14:paraId="264488F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61" w:type="dxa"/>
            <w:tcBorders>
              <w:top w:val="single" w:sz="4" w:space="0" w:color="auto"/>
            </w:tcBorders>
          </w:tcPr>
          <w:p w14:paraId="2E485FC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0.250</w:t>
            </w:r>
          </w:p>
        </w:tc>
        <w:tc>
          <w:tcPr>
            <w:tcW w:w="1985" w:type="dxa"/>
            <w:tcBorders>
              <w:top w:val="single" w:sz="4" w:space="0" w:color="auto"/>
            </w:tcBorders>
          </w:tcPr>
          <w:p w14:paraId="298E1CA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0.766</w:t>
            </w:r>
          </w:p>
        </w:tc>
      </w:tr>
      <w:tr w:rsidR="00E23C0C" w:rsidRPr="000F34DB" w14:paraId="07DACCDE" w14:textId="77777777" w:rsidTr="00162986">
        <w:trPr>
          <w:jc w:val="center"/>
        </w:trPr>
        <w:tc>
          <w:tcPr>
            <w:tcW w:w="2547" w:type="dxa"/>
          </w:tcPr>
          <w:p w14:paraId="1FE5831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GS</w:t>
            </w:r>
          </w:p>
        </w:tc>
        <w:tc>
          <w:tcPr>
            <w:tcW w:w="1701" w:type="dxa"/>
          </w:tcPr>
          <w:p w14:paraId="42E2208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61" w:type="dxa"/>
          </w:tcPr>
          <w:p w14:paraId="7806D6D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0.250</w:t>
            </w:r>
          </w:p>
        </w:tc>
        <w:tc>
          <w:tcPr>
            <w:tcW w:w="1985" w:type="dxa"/>
          </w:tcPr>
          <w:p w14:paraId="396C393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0.766</w:t>
            </w:r>
          </w:p>
        </w:tc>
      </w:tr>
      <w:tr w:rsidR="00E23C0C" w:rsidRPr="000F34DB" w14:paraId="70B86CE8" w14:textId="77777777" w:rsidTr="00162986">
        <w:trPr>
          <w:jc w:val="center"/>
        </w:trPr>
        <w:tc>
          <w:tcPr>
            <w:tcW w:w="2547" w:type="dxa"/>
          </w:tcPr>
          <w:p w14:paraId="6FF21FB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lastRenderedPageBreak/>
              <w:t>GA</w:t>
            </w:r>
          </w:p>
        </w:tc>
        <w:tc>
          <w:tcPr>
            <w:tcW w:w="1701" w:type="dxa"/>
          </w:tcPr>
          <w:p w14:paraId="36B86D4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2.000</w:t>
            </w:r>
          </w:p>
        </w:tc>
        <w:tc>
          <w:tcPr>
            <w:tcW w:w="1961" w:type="dxa"/>
          </w:tcPr>
          <w:p w14:paraId="5C44172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0.400</w:t>
            </w:r>
          </w:p>
        </w:tc>
        <w:tc>
          <w:tcPr>
            <w:tcW w:w="1985" w:type="dxa"/>
          </w:tcPr>
          <w:p w14:paraId="3B380F8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 xml:space="preserve">0.667  </w:t>
            </w:r>
          </w:p>
        </w:tc>
      </w:tr>
      <w:tr w:rsidR="00E23C0C" w:rsidRPr="000F34DB" w14:paraId="1EA8AD36" w14:textId="77777777" w:rsidTr="00162986">
        <w:trPr>
          <w:jc w:val="center"/>
        </w:trPr>
        <w:tc>
          <w:tcPr>
            <w:tcW w:w="2547" w:type="dxa"/>
          </w:tcPr>
          <w:p w14:paraId="6E36E95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GJ</w:t>
            </w:r>
          </w:p>
        </w:tc>
        <w:tc>
          <w:tcPr>
            <w:tcW w:w="1701" w:type="dxa"/>
          </w:tcPr>
          <w:p w14:paraId="4BA22ED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61" w:type="dxa"/>
          </w:tcPr>
          <w:p w14:paraId="27EB69D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0.250</w:t>
            </w:r>
          </w:p>
        </w:tc>
        <w:tc>
          <w:tcPr>
            <w:tcW w:w="1985" w:type="dxa"/>
          </w:tcPr>
          <w:p w14:paraId="0D48030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0.766</w:t>
            </w:r>
          </w:p>
        </w:tc>
      </w:tr>
      <w:tr w:rsidR="00E23C0C" w:rsidRPr="000F34DB" w14:paraId="5912DAD7" w14:textId="77777777" w:rsidTr="00162986">
        <w:trPr>
          <w:jc w:val="center"/>
        </w:trPr>
        <w:tc>
          <w:tcPr>
            <w:tcW w:w="2547" w:type="dxa"/>
          </w:tcPr>
          <w:p w14:paraId="4809B4A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w:t>
            </w:r>
          </w:p>
        </w:tc>
        <w:tc>
          <w:tcPr>
            <w:tcW w:w="1701" w:type="dxa"/>
          </w:tcPr>
          <w:p w14:paraId="376441C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8.300</w:t>
            </w:r>
          </w:p>
        </w:tc>
        <w:tc>
          <w:tcPr>
            <w:tcW w:w="1961" w:type="dxa"/>
          </w:tcPr>
          <w:p w14:paraId="1C3D858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0.830</w:t>
            </w:r>
          </w:p>
        </w:tc>
        <w:tc>
          <w:tcPr>
            <w:tcW w:w="1985" w:type="dxa"/>
          </w:tcPr>
          <w:p w14:paraId="7F396CE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0.240</w:t>
            </w:r>
          </w:p>
        </w:tc>
      </w:tr>
      <w:tr w:rsidR="00E23C0C" w:rsidRPr="000F34DB" w14:paraId="00093977" w14:textId="77777777" w:rsidTr="00162986">
        <w:trPr>
          <w:jc w:val="center"/>
        </w:trPr>
        <w:tc>
          <w:tcPr>
            <w:tcW w:w="2547" w:type="dxa"/>
          </w:tcPr>
          <w:p w14:paraId="4362418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 xml:space="preserve">NDRC  </w:t>
            </w:r>
          </w:p>
        </w:tc>
        <w:tc>
          <w:tcPr>
            <w:tcW w:w="1701" w:type="dxa"/>
          </w:tcPr>
          <w:p w14:paraId="2B7970B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61" w:type="dxa"/>
          </w:tcPr>
          <w:p w14:paraId="6CE6536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0.500</w:t>
            </w:r>
          </w:p>
        </w:tc>
        <w:tc>
          <w:tcPr>
            <w:tcW w:w="1985" w:type="dxa"/>
          </w:tcPr>
          <w:p w14:paraId="5B1998D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1.125</w:t>
            </w:r>
          </w:p>
        </w:tc>
      </w:tr>
      <w:tr w:rsidR="00E23C0C" w:rsidRPr="000F34DB" w14:paraId="0933549F" w14:textId="77777777" w:rsidTr="00162986">
        <w:trPr>
          <w:jc w:val="center"/>
        </w:trPr>
        <w:tc>
          <w:tcPr>
            <w:tcW w:w="2547" w:type="dxa"/>
          </w:tcPr>
          <w:p w14:paraId="7CEE370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DFS</w:t>
            </w:r>
          </w:p>
        </w:tc>
        <w:tc>
          <w:tcPr>
            <w:tcW w:w="1701" w:type="dxa"/>
          </w:tcPr>
          <w:p w14:paraId="59C245F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1.667</w:t>
            </w:r>
          </w:p>
        </w:tc>
        <w:tc>
          <w:tcPr>
            <w:tcW w:w="1961" w:type="dxa"/>
          </w:tcPr>
          <w:p w14:paraId="0D01DE6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0.556</w:t>
            </w:r>
          </w:p>
        </w:tc>
        <w:tc>
          <w:tcPr>
            <w:tcW w:w="1985" w:type="dxa"/>
          </w:tcPr>
          <w:p w14:paraId="1BBEFE6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0.840</w:t>
            </w:r>
          </w:p>
        </w:tc>
      </w:tr>
      <w:tr w:rsidR="00E23C0C" w:rsidRPr="000F34DB" w14:paraId="0F6774AD" w14:textId="77777777" w:rsidTr="00162986">
        <w:trPr>
          <w:jc w:val="center"/>
        </w:trPr>
        <w:tc>
          <w:tcPr>
            <w:tcW w:w="2547" w:type="dxa"/>
          </w:tcPr>
          <w:p w14:paraId="1142140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DFJ</w:t>
            </w:r>
          </w:p>
        </w:tc>
        <w:tc>
          <w:tcPr>
            <w:tcW w:w="1701" w:type="dxa"/>
          </w:tcPr>
          <w:p w14:paraId="2F0645B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61" w:type="dxa"/>
          </w:tcPr>
          <w:p w14:paraId="1EACCDF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0.500</w:t>
            </w:r>
          </w:p>
        </w:tc>
        <w:tc>
          <w:tcPr>
            <w:tcW w:w="1985" w:type="dxa"/>
          </w:tcPr>
          <w:p w14:paraId="6666C38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1.125</w:t>
            </w:r>
          </w:p>
        </w:tc>
      </w:tr>
      <w:tr w:rsidR="00E23C0C" w:rsidRPr="000F34DB" w14:paraId="33DD7D16" w14:textId="77777777" w:rsidTr="00162986">
        <w:trPr>
          <w:jc w:val="center"/>
        </w:trPr>
        <w:tc>
          <w:tcPr>
            <w:tcW w:w="2547" w:type="dxa"/>
          </w:tcPr>
          <w:p w14:paraId="0EF3BC8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WBA</w:t>
            </w:r>
          </w:p>
        </w:tc>
        <w:tc>
          <w:tcPr>
            <w:tcW w:w="1701" w:type="dxa"/>
          </w:tcPr>
          <w:p w14:paraId="3794834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61" w:type="dxa"/>
          </w:tcPr>
          <w:p w14:paraId="577CF46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0.500</w:t>
            </w:r>
          </w:p>
        </w:tc>
        <w:tc>
          <w:tcPr>
            <w:tcW w:w="1985" w:type="dxa"/>
          </w:tcPr>
          <w:p w14:paraId="6FB9542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1.235</w:t>
            </w:r>
          </w:p>
        </w:tc>
      </w:tr>
      <w:tr w:rsidR="00E23C0C" w:rsidRPr="000F34DB" w14:paraId="55DD3F21" w14:textId="77777777" w:rsidTr="00162986">
        <w:trPr>
          <w:jc w:val="center"/>
        </w:trPr>
        <w:tc>
          <w:tcPr>
            <w:tcW w:w="2547" w:type="dxa"/>
          </w:tcPr>
          <w:p w14:paraId="53147BA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LRBS</w:t>
            </w:r>
          </w:p>
        </w:tc>
        <w:tc>
          <w:tcPr>
            <w:tcW w:w="1701" w:type="dxa"/>
          </w:tcPr>
          <w:p w14:paraId="53D8742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61" w:type="dxa"/>
          </w:tcPr>
          <w:p w14:paraId="31ED0F1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85" w:type="dxa"/>
          </w:tcPr>
          <w:p w14:paraId="6E6939D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r>
      <w:tr w:rsidR="00E23C0C" w:rsidRPr="000F34DB" w14:paraId="4EB1E858" w14:textId="77777777" w:rsidTr="00162986">
        <w:trPr>
          <w:jc w:val="center"/>
        </w:trPr>
        <w:tc>
          <w:tcPr>
            <w:tcW w:w="2547" w:type="dxa"/>
            <w:tcBorders>
              <w:bottom w:val="single" w:sz="4" w:space="0" w:color="auto"/>
            </w:tcBorders>
          </w:tcPr>
          <w:p w14:paraId="23CBB43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TBA</w:t>
            </w:r>
          </w:p>
        </w:tc>
        <w:tc>
          <w:tcPr>
            <w:tcW w:w="1701" w:type="dxa"/>
            <w:tcBorders>
              <w:bottom w:val="single" w:sz="4" w:space="0" w:color="auto"/>
            </w:tcBorders>
          </w:tcPr>
          <w:p w14:paraId="58CDC36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61" w:type="dxa"/>
            <w:tcBorders>
              <w:bottom w:val="single" w:sz="4" w:space="0" w:color="auto"/>
            </w:tcBorders>
          </w:tcPr>
          <w:p w14:paraId="68CD1D7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85" w:type="dxa"/>
            <w:tcBorders>
              <w:bottom w:val="single" w:sz="4" w:space="0" w:color="auto"/>
            </w:tcBorders>
          </w:tcPr>
          <w:p w14:paraId="1FEFD45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r>
    </w:tbl>
    <w:p w14:paraId="1A2B5089" w14:textId="77777777" w:rsidR="00E23C0C" w:rsidRPr="000F34DB" w:rsidRDefault="00E23C0C" w:rsidP="00E23C0C">
      <w:pPr>
        <w:spacing w:beforeLines="50" w:before="163" w:afterLines="50" w:after="163" w:line="400" w:lineRule="exact"/>
        <w:rPr>
          <w:rFonts w:cs="Calibri"/>
          <w:sz w:val="20"/>
          <w:szCs w:val="20"/>
        </w:rPr>
      </w:pPr>
    </w:p>
    <w:p w14:paraId="0ABD6613" w14:textId="77777777" w:rsidR="00E23C0C" w:rsidRPr="000F34DB" w:rsidRDefault="00E23C0C" w:rsidP="00E23C0C">
      <w:pPr>
        <w:spacing w:beforeLines="50" w:before="163" w:afterLines="50" w:after="163" w:line="400" w:lineRule="exact"/>
        <w:jc w:val="both"/>
        <w:rPr>
          <w:rFonts w:cs="Calibri"/>
          <w:sz w:val="20"/>
          <w:szCs w:val="20"/>
        </w:rPr>
      </w:pPr>
      <w:r w:rsidRPr="000F34DB">
        <w:rPr>
          <w:rFonts w:cs="Calibri"/>
          <w:sz w:val="20"/>
          <w:szCs w:val="20"/>
        </w:rPr>
        <w:t>Table 10. Results for structural holes within the intergovernmental collaboration network at the intermediate stage</w:t>
      </w:r>
      <w:r w:rsidRPr="000F34DB" w:rsidDel="00310A2A">
        <w:rPr>
          <w:rFonts w:cs="Calibri"/>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984"/>
        <w:gridCol w:w="2127"/>
        <w:gridCol w:w="1975"/>
      </w:tblGrid>
      <w:tr w:rsidR="00E23C0C" w:rsidRPr="000F34DB" w14:paraId="34B072D6" w14:textId="77777777" w:rsidTr="00162986">
        <w:trPr>
          <w:jc w:val="center"/>
        </w:trPr>
        <w:tc>
          <w:tcPr>
            <w:tcW w:w="1980" w:type="dxa"/>
            <w:tcBorders>
              <w:top w:val="single" w:sz="4" w:space="0" w:color="auto"/>
              <w:bottom w:val="single" w:sz="4" w:space="0" w:color="auto"/>
            </w:tcBorders>
          </w:tcPr>
          <w:p w14:paraId="1F01934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Government sectors</w:t>
            </w:r>
          </w:p>
        </w:tc>
        <w:tc>
          <w:tcPr>
            <w:tcW w:w="1984" w:type="dxa"/>
            <w:tcBorders>
              <w:top w:val="single" w:sz="4" w:space="0" w:color="auto"/>
              <w:bottom w:val="single" w:sz="4" w:space="0" w:color="auto"/>
            </w:tcBorders>
          </w:tcPr>
          <w:p w14:paraId="1A7B3933" w14:textId="77777777" w:rsidR="00E23C0C" w:rsidRPr="000F34DB" w:rsidRDefault="00E23C0C" w:rsidP="00162986">
            <w:pPr>
              <w:spacing w:line="240" w:lineRule="exact"/>
              <w:jc w:val="center"/>
              <w:rPr>
                <w:rFonts w:eastAsia="DengXian" w:cs="Calibri"/>
                <w:sz w:val="20"/>
                <w:szCs w:val="20"/>
              </w:rPr>
            </w:pPr>
            <w:proofErr w:type="spellStart"/>
            <w:r w:rsidRPr="000F34DB">
              <w:rPr>
                <w:rFonts w:eastAsia="DengXian" w:cs="Calibri"/>
                <w:sz w:val="20"/>
                <w:szCs w:val="20"/>
              </w:rPr>
              <w:t>EffSize</w:t>
            </w:r>
            <w:proofErr w:type="spellEnd"/>
          </w:p>
        </w:tc>
        <w:tc>
          <w:tcPr>
            <w:tcW w:w="2127" w:type="dxa"/>
            <w:tcBorders>
              <w:top w:val="single" w:sz="4" w:space="0" w:color="auto"/>
              <w:bottom w:val="single" w:sz="4" w:space="0" w:color="auto"/>
            </w:tcBorders>
          </w:tcPr>
          <w:p w14:paraId="044E146D" w14:textId="77777777" w:rsidR="00E23C0C" w:rsidRPr="000F34DB" w:rsidRDefault="00E23C0C" w:rsidP="00162986">
            <w:pPr>
              <w:spacing w:line="240" w:lineRule="exact"/>
              <w:jc w:val="center"/>
              <w:rPr>
                <w:rFonts w:eastAsia="DengXian" w:cs="Calibri"/>
                <w:sz w:val="20"/>
                <w:szCs w:val="20"/>
              </w:rPr>
            </w:pPr>
            <w:proofErr w:type="spellStart"/>
            <w:r w:rsidRPr="000F34DB">
              <w:rPr>
                <w:rFonts w:eastAsia="DengXian" w:cs="Calibri"/>
                <w:sz w:val="20"/>
                <w:szCs w:val="20"/>
              </w:rPr>
              <w:t>Efficie</w:t>
            </w:r>
            <w:proofErr w:type="spellEnd"/>
          </w:p>
        </w:tc>
        <w:tc>
          <w:tcPr>
            <w:tcW w:w="1975" w:type="dxa"/>
            <w:tcBorders>
              <w:top w:val="single" w:sz="4" w:space="0" w:color="auto"/>
              <w:bottom w:val="single" w:sz="4" w:space="0" w:color="auto"/>
            </w:tcBorders>
          </w:tcPr>
          <w:p w14:paraId="4272443B" w14:textId="77777777" w:rsidR="00E23C0C" w:rsidRPr="000F34DB" w:rsidRDefault="00E23C0C" w:rsidP="00162986">
            <w:pPr>
              <w:spacing w:line="240" w:lineRule="exact"/>
              <w:jc w:val="center"/>
              <w:rPr>
                <w:rFonts w:eastAsia="DengXian" w:cs="Calibri"/>
                <w:sz w:val="20"/>
                <w:szCs w:val="20"/>
              </w:rPr>
            </w:pPr>
            <w:proofErr w:type="spellStart"/>
            <w:r w:rsidRPr="000F34DB">
              <w:rPr>
                <w:rFonts w:eastAsia="DengXian" w:cs="Calibri"/>
                <w:sz w:val="20"/>
                <w:szCs w:val="20"/>
              </w:rPr>
              <w:t>Constra</w:t>
            </w:r>
            <w:proofErr w:type="spellEnd"/>
          </w:p>
        </w:tc>
      </w:tr>
      <w:tr w:rsidR="00E23C0C" w:rsidRPr="000F34DB" w14:paraId="577740A8" w14:textId="77777777" w:rsidTr="00162986">
        <w:trPr>
          <w:jc w:val="center"/>
        </w:trPr>
        <w:tc>
          <w:tcPr>
            <w:tcW w:w="1980" w:type="dxa"/>
            <w:tcBorders>
              <w:top w:val="single" w:sz="4" w:space="0" w:color="auto"/>
            </w:tcBorders>
          </w:tcPr>
          <w:p w14:paraId="703248B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GJ</w:t>
            </w:r>
          </w:p>
        </w:tc>
        <w:tc>
          <w:tcPr>
            <w:tcW w:w="1984" w:type="dxa"/>
            <w:tcBorders>
              <w:top w:val="single" w:sz="4" w:space="0" w:color="auto"/>
            </w:tcBorders>
          </w:tcPr>
          <w:p w14:paraId="541B9D0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2.692</w:t>
            </w:r>
          </w:p>
        </w:tc>
        <w:tc>
          <w:tcPr>
            <w:tcW w:w="2127" w:type="dxa"/>
            <w:tcBorders>
              <w:top w:val="single" w:sz="4" w:space="0" w:color="auto"/>
            </w:tcBorders>
          </w:tcPr>
          <w:p w14:paraId="42649AD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0.207</w:t>
            </w:r>
          </w:p>
        </w:tc>
        <w:tc>
          <w:tcPr>
            <w:tcW w:w="1975" w:type="dxa"/>
            <w:tcBorders>
              <w:top w:val="single" w:sz="4" w:space="0" w:color="auto"/>
            </w:tcBorders>
          </w:tcPr>
          <w:p w14:paraId="28942C6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0.281</w:t>
            </w:r>
          </w:p>
        </w:tc>
      </w:tr>
      <w:tr w:rsidR="00E23C0C" w:rsidRPr="000F34DB" w14:paraId="621B8E81" w14:textId="77777777" w:rsidTr="00162986">
        <w:trPr>
          <w:jc w:val="center"/>
        </w:trPr>
        <w:tc>
          <w:tcPr>
            <w:tcW w:w="1980" w:type="dxa"/>
          </w:tcPr>
          <w:p w14:paraId="14F8487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GEBS</w:t>
            </w:r>
          </w:p>
        </w:tc>
        <w:tc>
          <w:tcPr>
            <w:tcW w:w="1984" w:type="dxa"/>
          </w:tcPr>
          <w:p w14:paraId="140007F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7" w:type="dxa"/>
          </w:tcPr>
          <w:p w14:paraId="603E84A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75" w:type="dxa"/>
          </w:tcPr>
          <w:p w14:paraId="59746A3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1.125</w:t>
            </w:r>
          </w:p>
        </w:tc>
      </w:tr>
      <w:tr w:rsidR="00E23C0C" w:rsidRPr="000F34DB" w14:paraId="204A1D8C" w14:textId="77777777" w:rsidTr="00162986">
        <w:trPr>
          <w:jc w:val="center"/>
        </w:trPr>
        <w:tc>
          <w:tcPr>
            <w:tcW w:w="1980" w:type="dxa"/>
          </w:tcPr>
          <w:p w14:paraId="5636D27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SMBS</w:t>
            </w:r>
          </w:p>
        </w:tc>
        <w:tc>
          <w:tcPr>
            <w:tcW w:w="1984" w:type="dxa"/>
          </w:tcPr>
          <w:p w14:paraId="1035E74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7" w:type="dxa"/>
          </w:tcPr>
          <w:p w14:paraId="7EF5FE1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75" w:type="dxa"/>
          </w:tcPr>
          <w:p w14:paraId="3E21586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1.125</w:t>
            </w:r>
          </w:p>
        </w:tc>
      </w:tr>
      <w:tr w:rsidR="00E23C0C" w:rsidRPr="000F34DB" w14:paraId="205E381F" w14:textId="77777777" w:rsidTr="00162986">
        <w:trPr>
          <w:jc w:val="center"/>
        </w:trPr>
        <w:tc>
          <w:tcPr>
            <w:tcW w:w="1980" w:type="dxa"/>
          </w:tcPr>
          <w:p w14:paraId="565C566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GS</w:t>
            </w:r>
          </w:p>
        </w:tc>
        <w:tc>
          <w:tcPr>
            <w:tcW w:w="1984" w:type="dxa"/>
          </w:tcPr>
          <w:p w14:paraId="2F6C9A3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2.692</w:t>
            </w:r>
          </w:p>
        </w:tc>
        <w:tc>
          <w:tcPr>
            <w:tcW w:w="2127" w:type="dxa"/>
          </w:tcPr>
          <w:p w14:paraId="7466260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0.207</w:t>
            </w:r>
          </w:p>
        </w:tc>
        <w:tc>
          <w:tcPr>
            <w:tcW w:w="1975" w:type="dxa"/>
          </w:tcPr>
          <w:p w14:paraId="0DCD846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0.281</w:t>
            </w:r>
          </w:p>
        </w:tc>
      </w:tr>
      <w:tr w:rsidR="00E23C0C" w:rsidRPr="000F34DB" w14:paraId="0AE925E0" w14:textId="77777777" w:rsidTr="00162986">
        <w:trPr>
          <w:jc w:val="center"/>
        </w:trPr>
        <w:tc>
          <w:tcPr>
            <w:tcW w:w="1980" w:type="dxa"/>
          </w:tcPr>
          <w:p w14:paraId="599BADA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GA</w:t>
            </w:r>
          </w:p>
        </w:tc>
        <w:tc>
          <w:tcPr>
            <w:tcW w:w="1984" w:type="dxa"/>
          </w:tcPr>
          <w:p w14:paraId="446239A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7" w:type="dxa"/>
          </w:tcPr>
          <w:p w14:paraId="0749E4C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0.091</w:t>
            </w:r>
          </w:p>
        </w:tc>
        <w:tc>
          <w:tcPr>
            <w:tcW w:w="1975" w:type="dxa"/>
          </w:tcPr>
          <w:p w14:paraId="38D97EF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0.331</w:t>
            </w:r>
          </w:p>
        </w:tc>
      </w:tr>
      <w:tr w:rsidR="00E23C0C" w:rsidRPr="000F34DB" w14:paraId="5CBF1978" w14:textId="77777777" w:rsidTr="00162986">
        <w:trPr>
          <w:jc w:val="center"/>
        </w:trPr>
        <w:tc>
          <w:tcPr>
            <w:tcW w:w="1980" w:type="dxa"/>
          </w:tcPr>
          <w:p w14:paraId="2D5EA8D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NDRC</w:t>
            </w:r>
          </w:p>
        </w:tc>
        <w:tc>
          <w:tcPr>
            <w:tcW w:w="1984" w:type="dxa"/>
          </w:tcPr>
          <w:p w14:paraId="237F145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1.167</w:t>
            </w:r>
          </w:p>
        </w:tc>
        <w:tc>
          <w:tcPr>
            <w:tcW w:w="2127" w:type="dxa"/>
          </w:tcPr>
          <w:p w14:paraId="5D3D4E1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0.097</w:t>
            </w:r>
          </w:p>
        </w:tc>
        <w:tc>
          <w:tcPr>
            <w:tcW w:w="1975" w:type="dxa"/>
          </w:tcPr>
          <w:p w14:paraId="13E8959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0.306</w:t>
            </w:r>
          </w:p>
        </w:tc>
      </w:tr>
      <w:tr w:rsidR="00E23C0C" w:rsidRPr="000F34DB" w14:paraId="6FCF9566" w14:textId="77777777" w:rsidTr="00162986">
        <w:trPr>
          <w:jc w:val="center"/>
        </w:trPr>
        <w:tc>
          <w:tcPr>
            <w:tcW w:w="1980" w:type="dxa"/>
          </w:tcPr>
          <w:p w14:paraId="2A40EE1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NCAD</w:t>
            </w:r>
          </w:p>
        </w:tc>
        <w:tc>
          <w:tcPr>
            <w:tcW w:w="1984" w:type="dxa"/>
          </w:tcPr>
          <w:p w14:paraId="17FB4FA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1.167</w:t>
            </w:r>
          </w:p>
        </w:tc>
        <w:tc>
          <w:tcPr>
            <w:tcW w:w="2127" w:type="dxa"/>
          </w:tcPr>
          <w:p w14:paraId="1F2BD5A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0.097</w:t>
            </w:r>
          </w:p>
        </w:tc>
        <w:tc>
          <w:tcPr>
            <w:tcW w:w="1975" w:type="dxa"/>
          </w:tcPr>
          <w:p w14:paraId="6FB0E1B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0.306</w:t>
            </w:r>
          </w:p>
        </w:tc>
      </w:tr>
      <w:tr w:rsidR="00E23C0C" w:rsidRPr="000F34DB" w14:paraId="5866285F" w14:textId="77777777" w:rsidTr="00162986">
        <w:trPr>
          <w:jc w:val="center"/>
        </w:trPr>
        <w:tc>
          <w:tcPr>
            <w:tcW w:w="1980" w:type="dxa"/>
          </w:tcPr>
          <w:p w14:paraId="09A3503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NFD</w:t>
            </w:r>
          </w:p>
        </w:tc>
        <w:tc>
          <w:tcPr>
            <w:tcW w:w="1984" w:type="dxa"/>
          </w:tcPr>
          <w:p w14:paraId="5947E4B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1.167</w:t>
            </w:r>
          </w:p>
        </w:tc>
        <w:tc>
          <w:tcPr>
            <w:tcW w:w="2127" w:type="dxa"/>
          </w:tcPr>
          <w:p w14:paraId="361EA29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0.097</w:t>
            </w:r>
          </w:p>
        </w:tc>
        <w:tc>
          <w:tcPr>
            <w:tcW w:w="1975" w:type="dxa"/>
          </w:tcPr>
          <w:p w14:paraId="5051423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0.306</w:t>
            </w:r>
          </w:p>
        </w:tc>
      </w:tr>
      <w:tr w:rsidR="00E23C0C" w:rsidRPr="000F34DB" w14:paraId="37E95742" w14:textId="77777777" w:rsidTr="00162986">
        <w:trPr>
          <w:jc w:val="center"/>
        </w:trPr>
        <w:tc>
          <w:tcPr>
            <w:tcW w:w="1980" w:type="dxa"/>
          </w:tcPr>
          <w:p w14:paraId="6227B00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NCD</w:t>
            </w:r>
          </w:p>
        </w:tc>
        <w:tc>
          <w:tcPr>
            <w:tcW w:w="1984" w:type="dxa"/>
          </w:tcPr>
          <w:p w14:paraId="279915D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1.167</w:t>
            </w:r>
          </w:p>
        </w:tc>
        <w:tc>
          <w:tcPr>
            <w:tcW w:w="2127" w:type="dxa"/>
          </w:tcPr>
          <w:p w14:paraId="36E7F1B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0.097</w:t>
            </w:r>
          </w:p>
        </w:tc>
        <w:tc>
          <w:tcPr>
            <w:tcW w:w="1975" w:type="dxa"/>
          </w:tcPr>
          <w:p w14:paraId="7B31933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0.306</w:t>
            </w:r>
          </w:p>
        </w:tc>
      </w:tr>
      <w:tr w:rsidR="00E23C0C" w:rsidRPr="000F34DB" w14:paraId="521B6E30" w14:textId="77777777" w:rsidTr="00162986">
        <w:trPr>
          <w:jc w:val="center"/>
        </w:trPr>
        <w:tc>
          <w:tcPr>
            <w:tcW w:w="1980" w:type="dxa"/>
          </w:tcPr>
          <w:p w14:paraId="0DC5545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NTD</w:t>
            </w:r>
          </w:p>
        </w:tc>
        <w:tc>
          <w:tcPr>
            <w:tcW w:w="1984" w:type="dxa"/>
          </w:tcPr>
          <w:p w14:paraId="6640A35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1.167</w:t>
            </w:r>
          </w:p>
        </w:tc>
        <w:tc>
          <w:tcPr>
            <w:tcW w:w="2127" w:type="dxa"/>
          </w:tcPr>
          <w:p w14:paraId="58C7C48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0.097</w:t>
            </w:r>
          </w:p>
        </w:tc>
        <w:tc>
          <w:tcPr>
            <w:tcW w:w="1975" w:type="dxa"/>
          </w:tcPr>
          <w:p w14:paraId="02CB738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0.306</w:t>
            </w:r>
          </w:p>
        </w:tc>
      </w:tr>
      <w:tr w:rsidR="00E23C0C" w:rsidRPr="000F34DB" w14:paraId="19AB489A" w14:textId="77777777" w:rsidTr="00162986">
        <w:trPr>
          <w:jc w:val="center"/>
        </w:trPr>
        <w:tc>
          <w:tcPr>
            <w:tcW w:w="1980" w:type="dxa"/>
          </w:tcPr>
          <w:p w14:paraId="015EFC1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NFB</w:t>
            </w:r>
          </w:p>
        </w:tc>
        <w:tc>
          <w:tcPr>
            <w:tcW w:w="1984" w:type="dxa"/>
          </w:tcPr>
          <w:p w14:paraId="33FA926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1.167</w:t>
            </w:r>
          </w:p>
        </w:tc>
        <w:tc>
          <w:tcPr>
            <w:tcW w:w="2127" w:type="dxa"/>
          </w:tcPr>
          <w:p w14:paraId="2ECEE67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0.097</w:t>
            </w:r>
          </w:p>
        </w:tc>
        <w:tc>
          <w:tcPr>
            <w:tcW w:w="1975" w:type="dxa"/>
          </w:tcPr>
          <w:p w14:paraId="526C23E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0.306</w:t>
            </w:r>
          </w:p>
        </w:tc>
      </w:tr>
      <w:tr w:rsidR="00E23C0C" w:rsidRPr="000F34DB" w14:paraId="71FC36DD" w14:textId="77777777" w:rsidTr="00162986">
        <w:trPr>
          <w:jc w:val="center"/>
        </w:trPr>
        <w:tc>
          <w:tcPr>
            <w:tcW w:w="1980" w:type="dxa"/>
          </w:tcPr>
          <w:p w14:paraId="5B0D03B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NTB</w:t>
            </w:r>
          </w:p>
        </w:tc>
        <w:tc>
          <w:tcPr>
            <w:tcW w:w="1984" w:type="dxa"/>
          </w:tcPr>
          <w:p w14:paraId="1D54D0D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1.167</w:t>
            </w:r>
          </w:p>
        </w:tc>
        <w:tc>
          <w:tcPr>
            <w:tcW w:w="2127" w:type="dxa"/>
          </w:tcPr>
          <w:p w14:paraId="59DD5D0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0.097</w:t>
            </w:r>
          </w:p>
        </w:tc>
        <w:tc>
          <w:tcPr>
            <w:tcW w:w="1975" w:type="dxa"/>
          </w:tcPr>
          <w:p w14:paraId="1C472FA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0.306</w:t>
            </w:r>
          </w:p>
        </w:tc>
      </w:tr>
      <w:tr w:rsidR="00E23C0C" w:rsidRPr="000F34DB" w14:paraId="1F7B8B58" w14:textId="77777777" w:rsidTr="00162986">
        <w:trPr>
          <w:jc w:val="center"/>
        </w:trPr>
        <w:tc>
          <w:tcPr>
            <w:tcW w:w="1980" w:type="dxa"/>
          </w:tcPr>
          <w:p w14:paraId="73D1BFA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NEB</w:t>
            </w:r>
          </w:p>
        </w:tc>
        <w:tc>
          <w:tcPr>
            <w:tcW w:w="1984" w:type="dxa"/>
          </w:tcPr>
          <w:p w14:paraId="50B193B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1.167</w:t>
            </w:r>
          </w:p>
        </w:tc>
        <w:tc>
          <w:tcPr>
            <w:tcW w:w="2127" w:type="dxa"/>
          </w:tcPr>
          <w:p w14:paraId="477D135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0.097</w:t>
            </w:r>
          </w:p>
        </w:tc>
        <w:tc>
          <w:tcPr>
            <w:tcW w:w="1975" w:type="dxa"/>
          </w:tcPr>
          <w:p w14:paraId="245D045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0.306</w:t>
            </w:r>
          </w:p>
        </w:tc>
      </w:tr>
      <w:tr w:rsidR="00E23C0C" w:rsidRPr="000F34DB" w14:paraId="550CB479" w14:textId="77777777" w:rsidTr="00162986">
        <w:trPr>
          <w:jc w:val="center"/>
        </w:trPr>
        <w:tc>
          <w:tcPr>
            <w:tcW w:w="1980" w:type="dxa"/>
          </w:tcPr>
          <w:p w14:paraId="619D625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DRCS</w:t>
            </w:r>
          </w:p>
        </w:tc>
        <w:tc>
          <w:tcPr>
            <w:tcW w:w="1984" w:type="dxa"/>
          </w:tcPr>
          <w:p w14:paraId="6DD3A13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4.571</w:t>
            </w:r>
          </w:p>
        </w:tc>
        <w:tc>
          <w:tcPr>
            <w:tcW w:w="2127" w:type="dxa"/>
          </w:tcPr>
          <w:p w14:paraId="6ADC987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0.327</w:t>
            </w:r>
          </w:p>
        </w:tc>
        <w:tc>
          <w:tcPr>
            <w:tcW w:w="1975" w:type="dxa"/>
          </w:tcPr>
          <w:p w14:paraId="2BD2E7A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0.248</w:t>
            </w:r>
          </w:p>
        </w:tc>
      </w:tr>
      <w:tr w:rsidR="00E23C0C" w:rsidRPr="000F34DB" w14:paraId="615B8CC5" w14:textId="77777777" w:rsidTr="00162986">
        <w:trPr>
          <w:jc w:val="center"/>
        </w:trPr>
        <w:tc>
          <w:tcPr>
            <w:tcW w:w="1980" w:type="dxa"/>
          </w:tcPr>
          <w:p w14:paraId="63746D8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DRS</w:t>
            </w:r>
          </w:p>
        </w:tc>
        <w:tc>
          <w:tcPr>
            <w:tcW w:w="1984" w:type="dxa"/>
          </w:tcPr>
          <w:p w14:paraId="0499EF1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7" w:type="dxa"/>
          </w:tcPr>
          <w:p w14:paraId="2077120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75" w:type="dxa"/>
          </w:tcPr>
          <w:p w14:paraId="12FBCFB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0.926</w:t>
            </w:r>
          </w:p>
        </w:tc>
      </w:tr>
      <w:tr w:rsidR="00E23C0C" w:rsidRPr="000F34DB" w14:paraId="5BB56649" w14:textId="77777777" w:rsidTr="00162986">
        <w:trPr>
          <w:jc w:val="center"/>
        </w:trPr>
        <w:tc>
          <w:tcPr>
            <w:tcW w:w="1980" w:type="dxa"/>
          </w:tcPr>
          <w:p w14:paraId="103448B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TBA</w:t>
            </w:r>
          </w:p>
        </w:tc>
        <w:tc>
          <w:tcPr>
            <w:tcW w:w="1984" w:type="dxa"/>
          </w:tcPr>
          <w:p w14:paraId="40D77F6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3.400</w:t>
            </w:r>
          </w:p>
        </w:tc>
        <w:tc>
          <w:tcPr>
            <w:tcW w:w="2127" w:type="dxa"/>
          </w:tcPr>
          <w:p w14:paraId="26409A1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0.680</w:t>
            </w:r>
          </w:p>
        </w:tc>
        <w:tc>
          <w:tcPr>
            <w:tcW w:w="1975" w:type="dxa"/>
          </w:tcPr>
          <w:p w14:paraId="176368B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0.513</w:t>
            </w:r>
          </w:p>
        </w:tc>
      </w:tr>
      <w:tr w:rsidR="00E23C0C" w:rsidRPr="000F34DB" w14:paraId="4D315A15" w14:textId="77777777" w:rsidTr="00162986">
        <w:trPr>
          <w:jc w:val="center"/>
        </w:trPr>
        <w:tc>
          <w:tcPr>
            <w:tcW w:w="1980" w:type="dxa"/>
          </w:tcPr>
          <w:p w14:paraId="5921D9A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TPBA</w:t>
            </w:r>
          </w:p>
        </w:tc>
        <w:tc>
          <w:tcPr>
            <w:tcW w:w="1984" w:type="dxa"/>
          </w:tcPr>
          <w:p w14:paraId="02A6F0E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7" w:type="dxa"/>
          </w:tcPr>
          <w:p w14:paraId="5974614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75" w:type="dxa"/>
          </w:tcPr>
          <w:p w14:paraId="60C3A8D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0.926</w:t>
            </w:r>
          </w:p>
        </w:tc>
      </w:tr>
      <w:tr w:rsidR="00E23C0C" w:rsidRPr="000F34DB" w14:paraId="7B90EAEC" w14:textId="77777777" w:rsidTr="00162986">
        <w:trPr>
          <w:jc w:val="center"/>
        </w:trPr>
        <w:tc>
          <w:tcPr>
            <w:tcW w:w="1980" w:type="dxa"/>
          </w:tcPr>
          <w:p w14:paraId="7959BBE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FBA</w:t>
            </w:r>
          </w:p>
        </w:tc>
        <w:tc>
          <w:tcPr>
            <w:tcW w:w="1984" w:type="dxa"/>
          </w:tcPr>
          <w:p w14:paraId="0289A84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7" w:type="dxa"/>
          </w:tcPr>
          <w:p w14:paraId="7609FAF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75" w:type="dxa"/>
          </w:tcPr>
          <w:p w14:paraId="77EDDF0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0.926</w:t>
            </w:r>
          </w:p>
        </w:tc>
      </w:tr>
      <w:tr w:rsidR="00E23C0C" w:rsidRPr="000F34DB" w14:paraId="0C86623F" w14:textId="77777777" w:rsidTr="00162986">
        <w:trPr>
          <w:jc w:val="center"/>
        </w:trPr>
        <w:tc>
          <w:tcPr>
            <w:tcW w:w="1980" w:type="dxa"/>
          </w:tcPr>
          <w:p w14:paraId="01915D8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ICBA</w:t>
            </w:r>
          </w:p>
        </w:tc>
        <w:tc>
          <w:tcPr>
            <w:tcW w:w="1984" w:type="dxa"/>
          </w:tcPr>
          <w:p w14:paraId="40BE501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7" w:type="dxa"/>
          </w:tcPr>
          <w:p w14:paraId="6012B3A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75" w:type="dxa"/>
          </w:tcPr>
          <w:p w14:paraId="48840A2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0.926</w:t>
            </w:r>
          </w:p>
        </w:tc>
      </w:tr>
      <w:tr w:rsidR="00E23C0C" w:rsidRPr="000F34DB" w14:paraId="72AADB14" w14:textId="77777777" w:rsidTr="00162986">
        <w:trPr>
          <w:jc w:val="center"/>
        </w:trPr>
        <w:tc>
          <w:tcPr>
            <w:tcW w:w="1980" w:type="dxa"/>
            <w:tcBorders>
              <w:bottom w:val="single" w:sz="4" w:space="0" w:color="auto"/>
            </w:tcBorders>
          </w:tcPr>
          <w:p w14:paraId="1A73C9D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TBS</w:t>
            </w:r>
          </w:p>
        </w:tc>
        <w:tc>
          <w:tcPr>
            <w:tcW w:w="1984" w:type="dxa"/>
            <w:tcBorders>
              <w:bottom w:val="single" w:sz="4" w:space="0" w:color="auto"/>
            </w:tcBorders>
          </w:tcPr>
          <w:p w14:paraId="671293A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7" w:type="dxa"/>
            <w:tcBorders>
              <w:bottom w:val="single" w:sz="4" w:space="0" w:color="auto"/>
            </w:tcBorders>
          </w:tcPr>
          <w:p w14:paraId="4EB7F62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0.500</w:t>
            </w:r>
          </w:p>
        </w:tc>
        <w:tc>
          <w:tcPr>
            <w:tcW w:w="1975" w:type="dxa"/>
            <w:tcBorders>
              <w:bottom w:val="single" w:sz="4" w:space="0" w:color="auto"/>
            </w:tcBorders>
          </w:tcPr>
          <w:p w14:paraId="026B8A7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1.125</w:t>
            </w:r>
          </w:p>
        </w:tc>
      </w:tr>
    </w:tbl>
    <w:p w14:paraId="1FA379CB" w14:textId="77777777" w:rsidR="00E23C0C" w:rsidRPr="000F34DB" w:rsidRDefault="00E23C0C" w:rsidP="00E23C0C">
      <w:pPr>
        <w:spacing w:beforeLines="50" w:before="163" w:afterLines="50" w:after="163" w:line="400" w:lineRule="exact"/>
        <w:rPr>
          <w:rFonts w:cs="Calibri"/>
          <w:sz w:val="20"/>
          <w:szCs w:val="20"/>
        </w:rPr>
      </w:pPr>
    </w:p>
    <w:p w14:paraId="5D841DF6" w14:textId="77777777" w:rsidR="00E23C0C" w:rsidRPr="000F34DB" w:rsidRDefault="00E23C0C" w:rsidP="00E23C0C">
      <w:pPr>
        <w:spacing w:beforeLines="50" w:before="163" w:afterLines="50" w:after="163" w:line="400" w:lineRule="exact"/>
        <w:jc w:val="both"/>
        <w:rPr>
          <w:rFonts w:cs="Calibri"/>
          <w:sz w:val="20"/>
          <w:szCs w:val="20"/>
        </w:rPr>
      </w:pPr>
      <w:r w:rsidRPr="000F34DB">
        <w:rPr>
          <w:rFonts w:cs="Calibri"/>
          <w:sz w:val="20"/>
          <w:szCs w:val="20"/>
        </w:rPr>
        <w:t>Table 11. Results for structural holes within the intergovernmental collaboration network at the long-term recovery stage</w:t>
      </w: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182"/>
        <w:gridCol w:w="2126"/>
        <w:gridCol w:w="1985"/>
      </w:tblGrid>
      <w:tr w:rsidR="00E23C0C" w:rsidRPr="000F34DB" w14:paraId="6B2E435A" w14:textId="77777777" w:rsidTr="00162986">
        <w:tc>
          <w:tcPr>
            <w:tcW w:w="2066" w:type="dxa"/>
            <w:tcBorders>
              <w:top w:val="single" w:sz="4" w:space="0" w:color="auto"/>
              <w:bottom w:val="single" w:sz="4" w:space="0" w:color="auto"/>
            </w:tcBorders>
          </w:tcPr>
          <w:p w14:paraId="307E4F9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Government sector</w:t>
            </w:r>
          </w:p>
        </w:tc>
        <w:tc>
          <w:tcPr>
            <w:tcW w:w="2182" w:type="dxa"/>
            <w:tcBorders>
              <w:top w:val="single" w:sz="4" w:space="0" w:color="auto"/>
              <w:bottom w:val="single" w:sz="4" w:space="0" w:color="auto"/>
            </w:tcBorders>
          </w:tcPr>
          <w:p w14:paraId="78BF4869" w14:textId="77777777" w:rsidR="00E23C0C" w:rsidRPr="000F34DB" w:rsidRDefault="00E23C0C" w:rsidP="00162986">
            <w:pPr>
              <w:spacing w:line="240" w:lineRule="exact"/>
              <w:jc w:val="center"/>
              <w:rPr>
                <w:rFonts w:eastAsia="DengXian" w:cs="Calibri"/>
                <w:sz w:val="20"/>
                <w:szCs w:val="20"/>
              </w:rPr>
            </w:pPr>
            <w:proofErr w:type="spellStart"/>
            <w:r w:rsidRPr="000F34DB">
              <w:rPr>
                <w:rFonts w:eastAsia="DengXian" w:cs="Calibri"/>
                <w:sz w:val="20"/>
                <w:szCs w:val="20"/>
              </w:rPr>
              <w:t>EffSize</w:t>
            </w:r>
            <w:proofErr w:type="spellEnd"/>
          </w:p>
        </w:tc>
        <w:tc>
          <w:tcPr>
            <w:tcW w:w="2126" w:type="dxa"/>
            <w:tcBorders>
              <w:top w:val="single" w:sz="4" w:space="0" w:color="auto"/>
              <w:bottom w:val="single" w:sz="4" w:space="0" w:color="auto"/>
            </w:tcBorders>
          </w:tcPr>
          <w:p w14:paraId="5D49E312" w14:textId="77777777" w:rsidR="00E23C0C" w:rsidRPr="000F34DB" w:rsidRDefault="00E23C0C" w:rsidP="00162986">
            <w:pPr>
              <w:spacing w:line="240" w:lineRule="exact"/>
              <w:jc w:val="center"/>
              <w:rPr>
                <w:rFonts w:eastAsia="DengXian" w:cs="Calibri"/>
                <w:sz w:val="20"/>
                <w:szCs w:val="20"/>
              </w:rPr>
            </w:pPr>
            <w:proofErr w:type="spellStart"/>
            <w:r w:rsidRPr="000F34DB">
              <w:rPr>
                <w:rFonts w:eastAsia="DengXian" w:cs="Calibri"/>
                <w:sz w:val="20"/>
                <w:szCs w:val="20"/>
              </w:rPr>
              <w:t>Efficie</w:t>
            </w:r>
            <w:proofErr w:type="spellEnd"/>
          </w:p>
        </w:tc>
        <w:tc>
          <w:tcPr>
            <w:tcW w:w="1985" w:type="dxa"/>
            <w:tcBorders>
              <w:top w:val="single" w:sz="4" w:space="0" w:color="auto"/>
              <w:bottom w:val="single" w:sz="4" w:space="0" w:color="auto"/>
            </w:tcBorders>
          </w:tcPr>
          <w:p w14:paraId="76991E59" w14:textId="77777777" w:rsidR="00E23C0C" w:rsidRPr="000F34DB" w:rsidRDefault="00E23C0C" w:rsidP="00162986">
            <w:pPr>
              <w:spacing w:line="240" w:lineRule="exact"/>
              <w:jc w:val="center"/>
              <w:rPr>
                <w:rFonts w:eastAsia="DengXian" w:cs="Calibri"/>
                <w:sz w:val="20"/>
                <w:szCs w:val="20"/>
              </w:rPr>
            </w:pPr>
            <w:proofErr w:type="spellStart"/>
            <w:r w:rsidRPr="000F34DB">
              <w:rPr>
                <w:rFonts w:eastAsia="DengXian" w:cs="Calibri"/>
                <w:sz w:val="20"/>
                <w:szCs w:val="20"/>
              </w:rPr>
              <w:t>Constra</w:t>
            </w:r>
            <w:proofErr w:type="spellEnd"/>
          </w:p>
        </w:tc>
      </w:tr>
      <w:tr w:rsidR="00E23C0C" w:rsidRPr="000F34DB" w14:paraId="46A46343" w14:textId="77777777" w:rsidTr="00162986">
        <w:tc>
          <w:tcPr>
            <w:tcW w:w="2066" w:type="dxa"/>
            <w:tcBorders>
              <w:top w:val="single" w:sz="4" w:space="0" w:color="auto"/>
            </w:tcBorders>
          </w:tcPr>
          <w:p w14:paraId="68DAB9D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ABJ</w:t>
            </w:r>
          </w:p>
        </w:tc>
        <w:tc>
          <w:tcPr>
            <w:tcW w:w="2182" w:type="dxa"/>
            <w:tcBorders>
              <w:top w:val="single" w:sz="4" w:space="0" w:color="auto"/>
            </w:tcBorders>
          </w:tcPr>
          <w:p w14:paraId="2A179D4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29.406</w:t>
            </w:r>
          </w:p>
        </w:tc>
        <w:tc>
          <w:tcPr>
            <w:tcW w:w="2126" w:type="dxa"/>
            <w:tcBorders>
              <w:top w:val="single" w:sz="4" w:space="0" w:color="auto"/>
            </w:tcBorders>
          </w:tcPr>
          <w:p w14:paraId="66FAA86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0.919</w:t>
            </w:r>
          </w:p>
        </w:tc>
        <w:tc>
          <w:tcPr>
            <w:tcW w:w="1985" w:type="dxa"/>
            <w:tcBorders>
              <w:top w:val="single" w:sz="4" w:space="0" w:color="auto"/>
            </w:tcBorders>
          </w:tcPr>
          <w:p w14:paraId="391A726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0.087</w:t>
            </w:r>
          </w:p>
        </w:tc>
      </w:tr>
      <w:tr w:rsidR="00E23C0C" w:rsidRPr="000F34DB" w14:paraId="65BD4C55" w14:textId="77777777" w:rsidTr="00162986">
        <w:tc>
          <w:tcPr>
            <w:tcW w:w="2066" w:type="dxa"/>
          </w:tcPr>
          <w:p w14:paraId="2B80ECD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DRCS</w:t>
            </w:r>
          </w:p>
        </w:tc>
        <w:tc>
          <w:tcPr>
            <w:tcW w:w="2182" w:type="dxa"/>
          </w:tcPr>
          <w:p w14:paraId="0C0BA6D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1.500</w:t>
            </w:r>
          </w:p>
        </w:tc>
        <w:tc>
          <w:tcPr>
            <w:tcW w:w="2126" w:type="dxa"/>
          </w:tcPr>
          <w:p w14:paraId="360D383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0.375</w:t>
            </w:r>
          </w:p>
        </w:tc>
        <w:tc>
          <w:tcPr>
            <w:tcW w:w="1985" w:type="dxa"/>
          </w:tcPr>
          <w:p w14:paraId="3431635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0.424</w:t>
            </w:r>
          </w:p>
        </w:tc>
      </w:tr>
      <w:tr w:rsidR="00E23C0C" w:rsidRPr="000F34DB" w14:paraId="08472A56" w14:textId="77777777" w:rsidTr="00162986">
        <w:tc>
          <w:tcPr>
            <w:tcW w:w="2066" w:type="dxa"/>
          </w:tcPr>
          <w:p w14:paraId="2A26548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GS</w:t>
            </w:r>
          </w:p>
        </w:tc>
        <w:tc>
          <w:tcPr>
            <w:tcW w:w="2182" w:type="dxa"/>
          </w:tcPr>
          <w:p w14:paraId="1B84F43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2.200</w:t>
            </w:r>
          </w:p>
        </w:tc>
        <w:tc>
          <w:tcPr>
            <w:tcW w:w="2126" w:type="dxa"/>
          </w:tcPr>
          <w:p w14:paraId="5698C40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0.440</w:t>
            </w:r>
          </w:p>
        </w:tc>
        <w:tc>
          <w:tcPr>
            <w:tcW w:w="1985" w:type="dxa"/>
          </w:tcPr>
          <w:p w14:paraId="3DA544A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0.483</w:t>
            </w:r>
          </w:p>
        </w:tc>
      </w:tr>
      <w:tr w:rsidR="00E23C0C" w:rsidRPr="000F34DB" w14:paraId="4D0392EE" w14:textId="77777777" w:rsidTr="00162986">
        <w:tc>
          <w:tcPr>
            <w:tcW w:w="2066" w:type="dxa"/>
          </w:tcPr>
          <w:p w14:paraId="2D2FE82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DCS</w:t>
            </w:r>
          </w:p>
        </w:tc>
        <w:tc>
          <w:tcPr>
            <w:tcW w:w="2182" w:type="dxa"/>
          </w:tcPr>
          <w:p w14:paraId="21EA01E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2956C2D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85" w:type="dxa"/>
          </w:tcPr>
          <w:p w14:paraId="007CC0F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0.637</w:t>
            </w:r>
          </w:p>
        </w:tc>
      </w:tr>
      <w:tr w:rsidR="00E23C0C" w:rsidRPr="000F34DB" w14:paraId="4C8ADF7A" w14:textId="77777777" w:rsidTr="00162986">
        <w:tc>
          <w:tcPr>
            <w:tcW w:w="2066" w:type="dxa"/>
          </w:tcPr>
          <w:p w14:paraId="1D288E1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NCD</w:t>
            </w:r>
          </w:p>
        </w:tc>
        <w:tc>
          <w:tcPr>
            <w:tcW w:w="2182" w:type="dxa"/>
          </w:tcPr>
          <w:p w14:paraId="37DF5D7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0F12AEE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85" w:type="dxa"/>
          </w:tcPr>
          <w:p w14:paraId="5ACB83C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r>
      <w:tr w:rsidR="00E23C0C" w:rsidRPr="000F34DB" w14:paraId="1F6A79FE" w14:textId="77777777" w:rsidTr="00162986">
        <w:tc>
          <w:tcPr>
            <w:tcW w:w="2066" w:type="dxa"/>
          </w:tcPr>
          <w:p w14:paraId="06AC2D0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DFS</w:t>
            </w:r>
          </w:p>
        </w:tc>
        <w:tc>
          <w:tcPr>
            <w:tcW w:w="2182" w:type="dxa"/>
          </w:tcPr>
          <w:p w14:paraId="164839F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6BE56D9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0.500</w:t>
            </w:r>
          </w:p>
        </w:tc>
        <w:tc>
          <w:tcPr>
            <w:tcW w:w="1985" w:type="dxa"/>
          </w:tcPr>
          <w:p w14:paraId="5BA9E2B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0.587</w:t>
            </w:r>
          </w:p>
        </w:tc>
      </w:tr>
      <w:tr w:rsidR="00E23C0C" w:rsidRPr="000F34DB" w14:paraId="3C4CF298" w14:textId="77777777" w:rsidTr="00162986">
        <w:tc>
          <w:tcPr>
            <w:tcW w:w="2066" w:type="dxa"/>
          </w:tcPr>
          <w:p w14:paraId="52D6C90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TBS</w:t>
            </w:r>
          </w:p>
        </w:tc>
        <w:tc>
          <w:tcPr>
            <w:tcW w:w="2182" w:type="dxa"/>
          </w:tcPr>
          <w:p w14:paraId="14EA335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1.800</w:t>
            </w:r>
          </w:p>
        </w:tc>
        <w:tc>
          <w:tcPr>
            <w:tcW w:w="2126" w:type="dxa"/>
          </w:tcPr>
          <w:p w14:paraId="77C11DE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0.360</w:t>
            </w:r>
          </w:p>
        </w:tc>
        <w:tc>
          <w:tcPr>
            <w:tcW w:w="1985" w:type="dxa"/>
          </w:tcPr>
          <w:p w14:paraId="46A4D35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0.487</w:t>
            </w:r>
          </w:p>
        </w:tc>
      </w:tr>
      <w:tr w:rsidR="00E23C0C" w:rsidRPr="000F34DB" w14:paraId="7AE86A41" w14:textId="77777777" w:rsidTr="00162986">
        <w:tc>
          <w:tcPr>
            <w:tcW w:w="2066" w:type="dxa"/>
          </w:tcPr>
          <w:p w14:paraId="6F03955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TBA</w:t>
            </w:r>
          </w:p>
        </w:tc>
        <w:tc>
          <w:tcPr>
            <w:tcW w:w="2182" w:type="dxa"/>
          </w:tcPr>
          <w:p w14:paraId="77845E6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1.800</w:t>
            </w:r>
          </w:p>
        </w:tc>
        <w:tc>
          <w:tcPr>
            <w:tcW w:w="2126" w:type="dxa"/>
          </w:tcPr>
          <w:p w14:paraId="2C2679C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0.360</w:t>
            </w:r>
          </w:p>
        </w:tc>
        <w:tc>
          <w:tcPr>
            <w:tcW w:w="1985" w:type="dxa"/>
          </w:tcPr>
          <w:p w14:paraId="5B19769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0.487</w:t>
            </w:r>
          </w:p>
        </w:tc>
      </w:tr>
      <w:tr w:rsidR="00E23C0C" w:rsidRPr="000F34DB" w14:paraId="13604D7D" w14:textId="77777777" w:rsidTr="00162986">
        <w:tc>
          <w:tcPr>
            <w:tcW w:w="2066" w:type="dxa"/>
          </w:tcPr>
          <w:p w14:paraId="41413E2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DCA</w:t>
            </w:r>
          </w:p>
        </w:tc>
        <w:tc>
          <w:tcPr>
            <w:tcW w:w="2182" w:type="dxa"/>
          </w:tcPr>
          <w:p w14:paraId="7EFAC98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2.600</w:t>
            </w:r>
          </w:p>
        </w:tc>
        <w:tc>
          <w:tcPr>
            <w:tcW w:w="2126" w:type="dxa"/>
          </w:tcPr>
          <w:p w14:paraId="7611BB3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0.520</w:t>
            </w:r>
          </w:p>
        </w:tc>
        <w:tc>
          <w:tcPr>
            <w:tcW w:w="1985" w:type="dxa"/>
          </w:tcPr>
          <w:p w14:paraId="2149481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0.462</w:t>
            </w:r>
          </w:p>
        </w:tc>
      </w:tr>
      <w:tr w:rsidR="00E23C0C" w:rsidRPr="000F34DB" w14:paraId="26BF95DD" w14:textId="77777777" w:rsidTr="00162986">
        <w:tc>
          <w:tcPr>
            <w:tcW w:w="2066" w:type="dxa"/>
          </w:tcPr>
          <w:p w14:paraId="70897CC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GJ</w:t>
            </w:r>
          </w:p>
        </w:tc>
        <w:tc>
          <w:tcPr>
            <w:tcW w:w="2182" w:type="dxa"/>
          </w:tcPr>
          <w:p w14:paraId="65853D0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4.615</w:t>
            </w:r>
          </w:p>
        </w:tc>
        <w:tc>
          <w:tcPr>
            <w:tcW w:w="2126" w:type="dxa"/>
          </w:tcPr>
          <w:p w14:paraId="43841CA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0.659</w:t>
            </w:r>
          </w:p>
        </w:tc>
        <w:tc>
          <w:tcPr>
            <w:tcW w:w="1985" w:type="dxa"/>
          </w:tcPr>
          <w:p w14:paraId="3E4CE37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0.356</w:t>
            </w:r>
          </w:p>
        </w:tc>
      </w:tr>
      <w:tr w:rsidR="00E23C0C" w:rsidRPr="000F34DB" w14:paraId="02815C15" w14:textId="77777777" w:rsidTr="00162986">
        <w:tc>
          <w:tcPr>
            <w:tcW w:w="2066" w:type="dxa"/>
          </w:tcPr>
          <w:p w14:paraId="1EE5114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GA</w:t>
            </w:r>
          </w:p>
        </w:tc>
        <w:tc>
          <w:tcPr>
            <w:tcW w:w="2182" w:type="dxa"/>
          </w:tcPr>
          <w:p w14:paraId="54D3DFE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5.133</w:t>
            </w:r>
          </w:p>
        </w:tc>
        <w:tc>
          <w:tcPr>
            <w:tcW w:w="2126" w:type="dxa"/>
          </w:tcPr>
          <w:p w14:paraId="5F40787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0.642</w:t>
            </w:r>
          </w:p>
        </w:tc>
        <w:tc>
          <w:tcPr>
            <w:tcW w:w="1985" w:type="dxa"/>
          </w:tcPr>
          <w:p w14:paraId="475AD3E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0.351</w:t>
            </w:r>
          </w:p>
        </w:tc>
      </w:tr>
      <w:tr w:rsidR="00E23C0C" w:rsidRPr="000F34DB" w14:paraId="6090B7E4" w14:textId="77777777" w:rsidTr="00162986">
        <w:tc>
          <w:tcPr>
            <w:tcW w:w="2066" w:type="dxa"/>
          </w:tcPr>
          <w:p w14:paraId="37B6467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DRCA</w:t>
            </w:r>
          </w:p>
        </w:tc>
        <w:tc>
          <w:tcPr>
            <w:tcW w:w="2182" w:type="dxa"/>
          </w:tcPr>
          <w:p w14:paraId="66B9AC2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4.429</w:t>
            </w:r>
          </w:p>
        </w:tc>
        <w:tc>
          <w:tcPr>
            <w:tcW w:w="2126" w:type="dxa"/>
          </w:tcPr>
          <w:p w14:paraId="7C0E471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0.633</w:t>
            </w:r>
          </w:p>
        </w:tc>
        <w:tc>
          <w:tcPr>
            <w:tcW w:w="1985" w:type="dxa"/>
          </w:tcPr>
          <w:p w14:paraId="4ACAC91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0.342</w:t>
            </w:r>
          </w:p>
        </w:tc>
      </w:tr>
      <w:tr w:rsidR="00E23C0C" w:rsidRPr="000F34DB" w14:paraId="3C361DB7" w14:textId="77777777" w:rsidTr="00162986">
        <w:tc>
          <w:tcPr>
            <w:tcW w:w="2066" w:type="dxa"/>
          </w:tcPr>
          <w:p w14:paraId="2AEB857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lastRenderedPageBreak/>
              <w:t>EMOA</w:t>
            </w:r>
          </w:p>
        </w:tc>
        <w:tc>
          <w:tcPr>
            <w:tcW w:w="2182" w:type="dxa"/>
          </w:tcPr>
          <w:p w14:paraId="286AEAD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28BFE2B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85" w:type="dxa"/>
          </w:tcPr>
          <w:p w14:paraId="6469718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r>
      <w:tr w:rsidR="00E23C0C" w:rsidRPr="000F34DB" w14:paraId="13112C14" w14:textId="77777777" w:rsidTr="00162986">
        <w:tc>
          <w:tcPr>
            <w:tcW w:w="2066" w:type="dxa"/>
          </w:tcPr>
          <w:p w14:paraId="031EDA1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DFA</w:t>
            </w:r>
          </w:p>
        </w:tc>
        <w:tc>
          <w:tcPr>
            <w:tcW w:w="2182" w:type="dxa"/>
          </w:tcPr>
          <w:p w14:paraId="51A23BD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57DE6E8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85" w:type="dxa"/>
          </w:tcPr>
          <w:p w14:paraId="0B428C6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r>
      <w:tr w:rsidR="00E23C0C" w:rsidRPr="000F34DB" w14:paraId="6CCDB397" w14:textId="77777777" w:rsidTr="00162986">
        <w:tc>
          <w:tcPr>
            <w:tcW w:w="2066" w:type="dxa"/>
          </w:tcPr>
          <w:p w14:paraId="14D4BAE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CSOA</w:t>
            </w:r>
          </w:p>
        </w:tc>
        <w:tc>
          <w:tcPr>
            <w:tcW w:w="2182" w:type="dxa"/>
          </w:tcPr>
          <w:p w14:paraId="40122BB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1425085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0.500</w:t>
            </w:r>
          </w:p>
        </w:tc>
        <w:tc>
          <w:tcPr>
            <w:tcW w:w="1985" w:type="dxa"/>
          </w:tcPr>
          <w:p w14:paraId="6BBDD62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0.599</w:t>
            </w:r>
          </w:p>
        </w:tc>
      </w:tr>
      <w:tr w:rsidR="00E23C0C" w:rsidRPr="000F34DB" w14:paraId="3B67041D" w14:textId="77777777" w:rsidTr="00162986">
        <w:tc>
          <w:tcPr>
            <w:tcW w:w="2066" w:type="dxa"/>
          </w:tcPr>
          <w:p w14:paraId="2A6F99D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NFD</w:t>
            </w:r>
          </w:p>
        </w:tc>
        <w:tc>
          <w:tcPr>
            <w:tcW w:w="2182" w:type="dxa"/>
          </w:tcPr>
          <w:p w14:paraId="166CF1C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6C83DC4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85" w:type="dxa"/>
          </w:tcPr>
          <w:p w14:paraId="19A71F4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0.609</w:t>
            </w:r>
          </w:p>
        </w:tc>
      </w:tr>
      <w:tr w:rsidR="00E23C0C" w:rsidRPr="000F34DB" w14:paraId="7F391C44" w14:textId="77777777" w:rsidTr="00162986">
        <w:tc>
          <w:tcPr>
            <w:tcW w:w="2066" w:type="dxa"/>
          </w:tcPr>
          <w:p w14:paraId="7A159DE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DCJ</w:t>
            </w:r>
          </w:p>
        </w:tc>
        <w:tc>
          <w:tcPr>
            <w:tcW w:w="2182" w:type="dxa"/>
          </w:tcPr>
          <w:p w14:paraId="2A57B12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013450A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85" w:type="dxa"/>
          </w:tcPr>
          <w:p w14:paraId="4F07F46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0.609</w:t>
            </w:r>
          </w:p>
        </w:tc>
      </w:tr>
      <w:tr w:rsidR="00E23C0C" w:rsidRPr="000F34DB" w14:paraId="64110469" w14:textId="77777777" w:rsidTr="00162986">
        <w:tc>
          <w:tcPr>
            <w:tcW w:w="2066" w:type="dxa"/>
          </w:tcPr>
          <w:p w14:paraId="4CFE4F1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CEITA</w:t>
            </w:r>
          </w:p>
        </w:tc>
        <w:tc>
          <w:tcPr>
            <w:tcW w:w="2182" w:type="dxa"/>
          </w:tcPr>
          <w:p w14:paraId="532E19D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2AA18B0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85" w:type="dxa"/>
          </w:tcPr>
          <w:p w14:paraId="125F10B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0.522</w:t>
            </w:r>
          </w:p>
        </w:tc>
      </w:tr>
      <w:tr w:rsidR="00E23C0C" w:rsidRPr="000F34DB" w14:paraId="5062340F" w14:textId="77777777" w:rsidTr="00162986">
        <w:tc>
          <w:tcPr>
            <w:tcW w:w="2066" w:type="dxa"/>
          </w:tcPr>
          <w:p w14:paraId="7BE3185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EPCURS</w:t>
            </w:r>
          </w:p>
        </w:tc>
        <w:tc>
          <w:tcPr>
            <w:tcW w:w="2182" w:type="dxa"/>
          </w:tcPr>
          <w:p w14:paraId="522AC16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4D49DAE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0.250</w:t>
            </w:r>
          </w:p>
        </w:tc>
        <w:tc>
          <w:tcPr>
            <w:tcW w:w="1985" w:type="dxa"/>
          </w:tcPr>
          <w:p w14:paraId="255F343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0.572</w:t>
            </w:r>
          </w:p>
        </w:tc>
      </w:tr>
      <w:tr w:rsidR="00E23C0C" w:rsidRPr="000F34DB" w14:paraId="7BB489D8" w14:textId="77777777" w:rsidTr="00162986">
        <w:tc>
          <w:tcPr>
            <w:tcW w:w="2066" w:type="dxa"/>
          </w:tcPr>
          <w:p w14:paraId="627411B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EPCURA</w:t>
            </w:r>
          </w:p>
        </w:tc>
        <w:tc>
          <w:tcPr>
            <w:tcW w:w="2182" w:type="dxa"/>
          </w:tcPr>
          <w:p w14:paraId="19D98E4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4A32FA2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0.250</w:t>
            </w:r>
          </w:p>
        </w:tc>
        <w:tc>
          <w:tcPr>
            <w:tcW w:w="1985" w:type="dxa"/>
          </w:tcPr>
          <w:p w14:paraId="20B2856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0.572</w:t>
            </w:r>
          </w:p>
        </w:tc>
      </w:tr>
      <w:tr w:rsidR="00E23C0C" w:rsidRPr="000F34DB" w14:paraId="33844FCD" w14:textId="77777777" w:rsidTr="00162986">
        <w:tc>
          <w:tcPr>
            <w:tcW w:w="2066" w:type="dxa"/>
          </w:tcPr>
          <w:p w14:paraId="581923F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OLRS</w:t>
            </w:r>
          </w:p>
        </w:tc>
        <w:tc>
          <w:tcPr>
            <w:tcW w:w="2182" w:type="dxa"/>
          </w:tcPr>
          <w:p w14:paraId="5785CEB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4358125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85" w:type="dxa"/>
          </w:tcPr>
          <w:p w14:paraId="24C4F8A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r>
      <w:tr w:rsidR="00E23C0C" w:rsidRPr="000F34DB" w14:paraId="394FD987" w14:textId="77777777" w:rsidTr="00162986">
        <w:tc>
          <w:tcPr>
            <w:tcW w:w="2066" w:type="dxa"/>
          </w:tcPr>
          <w:p w14:paraId="75F62E3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ROA</w:t>
            </w:r>
          </w:p>
        </w:tc>
        <w:tc>
          <w:tcPr>
            <w:tcW w:w="2182" w:type="dxa"/>
          </w:tcPr>
          <w:p w14:paraId="0058879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5F55A28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85" w:type="dxa"/>
          </w:tcPr>
          <w:p w14:paraId="7348577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0.517</w:t>
            </w:r>
          </w:p>
        </w:tc>
      </w:tr>
      <w:tr w:rsidR="00E23C0C" w:rsidRPr="000F34DB" w14:paraId="0BF60991" w14:textId="77777777" w:rsidTr="00162986">
        <w:tc>
          <w:tcPr>
            <w:tcW w:w="2066" w:type="dxa"/>
          </w:tcPr>
          <w:p w14:paraId="4758E88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GAQSS</w:t>
            </w:r>
          </w:p>
        </w:tc>
        <w:tc>
          <w:tcPr>
            <w:tcW w:w="2182" w:type="dxa"/>
          </w:tcPr>
          <w:p w14:paraId="38DD971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27FA974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85" w:type="dxa"/>
          </w:tcPr>
          <w:p w14:paraId="538AB95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0.637</w:t>
            </w:r>
          </w:p>
        </w:tc>
      </w:tr>
      <w:tr w:rsidR="00E23C0C" w:rsidRPr="000F34DB" w14:paraId="006EC15E" w14:textId="77777777" w:rsidTr="00162986">
        <w:tc>
          <w:tcPr>
            <w:tcW w:w="2066" w:type="dxa"/>
          </w:tcPr>
          <w:p w14:paraId="78D9BEE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BGMRS</w:t>
            </w:r>
          </w:p>
        </w:tc>
        <w:tc>
          <w:tcPr>
            <w:tcW w:w="2182" w:type="dxa"/>
          </w:tcPr>
          <w:p w14:paraId="547DFC8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004DF26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85" w:type="dxa"/>
          </w:tcPr>
          <w:p w14:paraId="4959431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r>
      <w:tr w:rsidR="00E23C0C" w:rsidRPr="000F34DB" w14:paraId="126D0F63" w14:textId="77777777" w:rsidTr="00162986">
        <w:tc>
          <w:tcPr>
            <w:tcW w:w="2066" w:type="dxa"/>
          </w:tcPr>
          <w:p w14:paraId="33FCDB0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MG</w:t>
            </w:r>
          </w:p>
        </w:tc>
        <w:tc>
          <w:tcPr>
            <w:tcW w:w="2182" w:type="dxa"/>
          </w:tcPr>
          <w:p w14:paraId="066ACDD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4A67AEF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85" w:type="dxa"/>
          </w:tcPr>
          <w:p w14:paraId="06AF697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0.517</w:t>
            </w:r>
          </w:p>
        </w:tc>
      </w:tr>
      <w:tr w:rsidR="00E23C0C" w:rsidRPr="000F34DB" w14:paraId="6A6E7442" w14:textId="77777777" w:rsidTr="00162986">
        <w:tc>
          <w:tcPr>
            <w:tcW w:w="2066" w:type="dxa"/>
          </w:tcPr>
          <w:p w14:paraId="7CF3FBB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DRCJ</w:t>
            </w:r>
          </w:p>
        </w:tc>
        <w:tc>
          <w:tcPr>
            <w:tcW w:w="2182" w:type="dxa"/>
          </w:tcPr>
          <w:p w14:paraId="370B8E04"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51540BB0"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85" w:type="dxa"/>
          </w:tcPr>
          <w:p w14:paraId="20514FC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0.602</w:t>
            </w:r>
          </w:p>
        </w:tc>
      </w:tr>
      <w:tr w:rsidR="00E23C0C" w:rsidRPr="000F34DB" w14:paraId="7F28BE8F" w14:textId="77777777" w:rsidTr="00162986">
        <w:tc>
          <w:tcPr>
            <w:tcW w:w="2066" w:type="dxa"/>
          </w:tcPr>
          <w:p w14:paraId="2A6F088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EBS</w:t>
            </w:r>
          </w:p>
        </w:tc>
        <w:tc>
          <w:tcPr>
            <w:tcW w:w="2182" w:type="dxa"/>
          </w:tcPr>
          <w:p w14:paraId="00A7FDB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47BE0072"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0.333</w:t>
            </w:r>
          </w:p>
        </w:tc>
        <w:tc>
          <w:tcPr>
            <w:tcW w:w="1985" w:type="dxa"/>
          </w:tcPr>
          <w:p w14:paraId="5F23E58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0.602</w:t>
            </w:r>
          </w:p>
        </w:tc>
      </w:tr>
      <w:tr w:rsidR="00E23C0C" w:rsidRPr="000F34DB" w14:paraId="06139E47" w14:textId="77777777" w:rsidTr="00162986">
        <w:tc>
          <w:tcPr>
            <w:tcW w:w="2066" w:type="dxa"/>
          </w:tcPr>
          <w:p w14:paraId="59236A5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ABS</w:t>
            </w:r>
          </w:p>
        </w:tc>
        <w:tc>
          <w:tcPr>
            <w:tcW w:w="2182" w:type="dxa"/>
          </w:tcPr>
          <w:p w14:paraId="3EB33EC8"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7D7C5AD1"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1985" w:type="dxa"/>
          </w:tcPr>
          <w:p w14:paraId="26B4EDC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r>
      <w:tr w:rsidR="00E23C0C" w:rsidRPr="000F34DB" w14:paraId="7A3ED458" w14:textId="77777777" w:rsidTr="00162986">
        <w:tc>
          <w:tcPr>
            <w:tcW w:w="2066" w:type="dxa"/>
          </w:tcPr>
          <w:p w14:paraId="39ABC43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FGBS</w:t>
            </w:r>
          </w:p>
        </w:tc>
        <w:tc>
          <w:tcPr>
            <w:tcW w:w="2182" w:type="dxa"/>
          </w:tcPr>
          <w:p w14:paraId="0D9425B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077790E3"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0.200</w:t>
            </w:r>
          </w:p>
        </w:tc>
        <w:tc>
          <w:tcPr>
            <w:tcW w:w="1985" w:type="dxa"/>
          </w:tcPr>
          <w:p w14:paraId="10FDF8C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0.555</w:t>
            </w:r>
          </w:p>
        </w:tc>
      </w:tr>
      <w:tr w:rsidR="00E23C0C" w:rsidRPr="000F34DB" w14:paraId="4C374FC8" w14:textId="77777777" w:rsidTr="00162986">
        <w:tc>
          <w:tcPr>
            <w:tcW w:w="2066" w:type="dxa"/>
          </w:tcPr>
          <w:p w14:paraId="5765282E"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PCSS</w:t>
            </w:r>
          </w:p>
        </w:tc>
        <w:tc>
          <w:tcPr>
            <w:tcW w:w="2182" w:type="dxa"/>
          </w:tcPr>
          <w:p w14:paraId="5EC3626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08A3B0CA"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0.200</w:t>
            </w:r>
          </w:p>
        </w:tc>
        <w:tc>
          <w:tcPr>
            <w:tcW w:w="1985" w:type="dxa"/>
          </w:tcPr>
          <w:p w14:paraId="0AC1E9E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0.555</w:t>
            </w:r>
          </w:p>
        </w:tc>
      </w:tr>
      <w:tr w:rsidR="00E23C0C" w:rsidRPr="000F34DB" w14:paraId="4D2193EC" w14:textId="77777777" w:rsidTr="00162986">
        <w:tc>
          <w:tcPr>
            <w:tcW w:w="2066" w:type="dxa"/>
          </w:tcPr>
          <w:p w14:paraId="00FC9815"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FGBA</w:t>
            </w:r>
          </w:p>
        </w:tc>
        <w:tc>
          <w:tcPr>
            <w:tcW w:w="2182" w:type="dxa"/>
          </w:tcPr>
          <w:p w14:paraId="75630ABC"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739FB579"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0.200</w:t>
            </w:r>
          </w:p>
        </w:tc>
        <w:tc>
          <w:tcPr>
            <w:tcW w:w="1985" w:type="dxa"/>
          </w:tcPr>
          <w:p w14:paraId="5101CCF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0.555</w:t>
            </w:r>
          </w:p>
        </w:tc>
      </w:tr>
      <w:tr w:rsidR="00E23C0C" w:rsidRPr="000F34DB" w14:paraId="46489C70" w14:textId="77777777" w:rsidTr="00162986">
        <w:tc>
          <w:tcPr>
            <w:tcW w:w="2066" w:type="dxa"/>
          </w:tcPr>
          <w:p w14:paraId="1C349D4D"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FGBJ</w:t>
            </w:r>
          </w:p>
        </w:tc>
        <w:tc>
          <w:tcPr>
            <w:tcW w:w="2182" w:type="dxa"/>
          </w:tcPr>
          <w:p w14:paraId="2983614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Pr>
          <w:p w14:paraId="30378D27"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0.200</w:t>
            </w:r>
          </w:p>
        </w:tc>
        <w:tc>
          <w:tcPr>
            <w:tcW w:w="1985" w:type="dxa"/>
          </w:tcPr>
          <w:p w14:paraId="5E2ED90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0.555</w:t>
            </w:r>
          </w:p>
        </w:tc>
      </w:tr>
      <w:tr w:rsidR="00E23C0C" w:rsidRPr="000F34DB" w14:paraId="49EF765F" w14:textId="77777777" w:rsidTr="00162986">
        <w:tc>
          <w:tcPr>
            <w:tcW w:w="2066" w:type="dxa"/>
            <w:tcBorders>
              <w:bottom w:val="single" w:sz="4" w:space="0" w:color="auto"/>
            </w:tcBorders>
          </w:tcPr>
          <w:p w14:paraId="6AA645A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SFJ</w:t>
            </w:r>
          </w:p>
        </w:tc>
        <w:tc>
          <w:tcPr>
            <w:tcW w:w="2182" w:type="dxa"/>
            <w:tcBorders>
              <w:bottom w:val="single" w:sz="4" w:space="0" w:color="auto"/>
            </w:tcBorders>
          </w:tcPr>
          <w:p w14:paraId="07CC31FB"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1.000</w:t>
            </w:r>
          </w:p>
        </w:tc>
        <w:tc>
          <w:tcPr>
            <w:tcW w:w="2126" w:type="dxa"/>
            <w:tcBorders>
              <w:bottom w:val="single" w:sz="4" w:space="0" w:color="auto"/>
            </w:tcBorders>
          </w:tcPr>
          <w:p w14:paraId="3FA610C6"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0.200</w:t>
            </w:r>
          </w:p>
        </w:tc>
        <w:tc>
          <w:tcPr>
            <w:tcW w:w="1985" w:type="dxa"/>
            <w:tcBorders>
              <w:bottom w:val="single" w:sz="4" w:space="0" w:color="auto"/>
            </w:tcBorders>
          </w:tcPr>
          <w:p w14:paraId="60DE444F" w14:textId="77777777" w:rsidR="00E23C0C" w:rsidRPr="000F34DB" w:rsidRDefault="00E23C0C" w:rsidP="00162986">
            <w:pPr>
              <w:spacing w:line="240" w:lineRule="exact"/>
              <w:jc w:val="center"/>
              <w:rPr>
                <w:rFonts w:eastAsia="DengXian" w:cs="Calibri"/>
                <w:sz w:val="20"/>
                <w:szCs w:val="20"/>
              </w:rPr>
            </w:pPr>
            <w:r w:rsidRPr="000F34DB">
              <w:rPr>
                <w:rFonts w:eastAsia="DengXian" w:cs="Calibri"/>
                <w:sz w:val="20"/>
                <w:szCs w:val="20"/>
              </w:rPr>
              <w:t>0.555</w:t>
            </w:r>
          </w:p>
        </w:tc>
      </w:tr>
    </w:tbl>
    <w:p w14:paraId="029CF507" w14:textId="77777777" w:rsidR="00E23C0C" w:rsidRPr="000F34DB" w:rsidRDefault="00E23C0C" w:rsidP="00E23C0C">
      <w:pPr>
        <w:rPr>
          <w:rFonts w:cs="Calibri"/>
          <w:sz w:val="20"/>
          <w:szCs w:val="20"/>
        </w:rPr>
      </w:pPr>
    </w:p>
    <w:p w14:paraId="5A70D134" w14:textId="77777777" w:rsidR="00E23C0C" w:rsidRPr="000F34DB" w:rsidRDefault="00E23C0C" w:rsidP="00E23C0C">
      <w:pPr>
        <w:rPr>
          <w:rFonts w:cs="Calibri"/>
          <w:sz w:val="20"/>
          <w:szCs w:val="20"/>
        </w:rPr>
      </w:pPr>
    </w:p>
    <w:p w14:paraId="3516928F" w14:textId="77777777" w:rsidR="00E23C0C" w:rsidRPr="000F34DB" w:rsidRDefault="00E23C0C" w:rsidP="00E23C0C">
      <w:pPr>
        <w:rPr>
          <w:rFonts w:cs="Calibri"/>
          <w:sz w:val="20"/>
          <w:szCs w:val="20"/>
        </w:rPr>
      </w:pPr>
    </w:p>
    <w:p w14:paraId="3E013A30" w14:textId="77777777" w:rsidR="00E23C0C" w:rsidRPr="000F34DB" w:rsidRDefault="00E23C0C" w:rsidP="00E23C0C">
      <w:pPr>
        <w:rPr>
          <w:rFonts w:cs="Calibri"/>
          <w:sz w:val="20"/>
          <w:szCs w:val="20"/>
        </w:rPr>
      </w:pPr>
    </w:p>
    <w:p w14:paraId="50220CCB" w14:textId="77777777" w:rsidR="00E23C0C" w:rsidRPr="000F34DB" w:rsidRDefault="00E23C0C" w:rsidP="00E23C0C">
      <w:pPr>
        <w:rPr>
          <w:rFonts w:cs="Calibri"/>
          <w:sz w:val="20"/>
          <w:szCs w:val="20"/>
        </w:rPr>
      </w:pPr>
    </w:p>
    <w:p w14:paraId="45519AEB" w14:textId="77777777" w:rsidR="00E23C0C" w:rsidRPr="000F34DB" w:rsidRDefault="00E23C0C" w:rsidP="00E23C0C">
      <w:pPr>
        <w:rPr>
          <w:rFonts w:cs="Calibri"/>
          <w:sz w:val="20"/>
          <w:szCs w:val="20"/>
        </w:rPr>
      </w:pPr>
    </w:p>
    <w:p w14:paraId="66B0F4AC" w14:textId="77777777" w:rsidR="00E23C0C" w:rsidRPr="000F34DB" w:rsidRDefault="00E23C0C" w:rsidP="00E23C0C">
      <w:pPr>
        <w:rPr>
          <w:rFonts w:cs="Calibri"/>
          <w:sz w:val="20"/>
          <w:szCs w:val="20"/>
        </w:rPr>
      </w:pPr>
    </w:p>
    <w:p w14:paraId="1CF0DC75" w14:textId="3E488C84" w:rsidR="00E23C0C" w:rsidRDefault="00E23C0C">
      <w:pPr>
        <w:rPr>
          <w:rFonts w:cs="Calibri"/>
          <w:sz w:val="22"/>
          <w:szCs w:val="22"/>
          <w:lang w:val="en-US"/>
        </w:rPr>
      </w:pPr>
      <w:r>
        <w:rPr>
          <w:rFonts w:cs="Calibri"/>
          <w:sz w:val="22"/>
          <w:szCs w:val="22"/>
          <w:lang w:val="en-US"/>
        </w:rPr>
        <w:br w:type="page"/>
      </w:r>
    </w:p>
    <w:p w14:paraId="7B8B8F62" w14:textId="77777777" w:rsidR="00E23C0C" w:rsidRDefault="00E23C0C" w:rsidP="00E23C0C">
      <w:pPr>
        <w:rPr>
          <w:rFonts w:cs="Calibri"/>
          <w:sz w:val="20"/>
          <w:szCs w:val="20"/>
        </w:rPr>
      </w:pPr>
      <w:r w:rsidRPr="003723EB">
        <w:rPr>
          <w:rFonts w:cs="Calibri"/>
          <w:noProof/>
          <w:sz w:val="20"/>
          <w:szCs w:val="20"/>
        </w:rPr>
        <w:lastRenderedPageBreak/>
        <w:drawing>
          <wp:anchor distT="0" distB="0" distL="114300" distR="114300" simplePos="0" relativeHeight="251659264" behindDoc="0" locked="0" layoutInCell="1" allowOverlap="1" wp14:anchorId="1D3AC6CF" wp14:editId="72E9BAE7">
            <wp:simplePos x="0" y="0"/>
            <wp:positionH relativeFrom="column">
              <wp:posOffset>17586</wp:posOffset>
            </wp:positionH>
            <wp:positionV relativeFrom="paragraph">
              <wp:posOffset>148590</wp:posOffset>
            </wp:positionV>
            <wp:extent cx="5269230" cy="2675890"/>
            <wp:effectExtent l="12700" t="12700" r="13970" b="1651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41578765597_.pic_h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9230" cy="267589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rFonts w:cs="Calibri"/>
          <w:sz w:val="20"/>
          <w:szCs w:val="20"/>
        </w:rPr>
        <w:t>F</w:t>
      </w:r>
      <w:r w:rsidRPr="003723EB">
        <w:rPr>
          <w:rFonts w:cs="Calibri"/>
          <w:sz w:val="20"/>
          <w:szCs w:val="20"/>
        </w:rPr>
        <w:t xml:space="preserve">igure 1. The location of </w:t>
      </w:r>
      <w:proofErr w:type="spellStart"/>
      <w:r w:rsidRPr="003723EB">
        <w:rPr>
          <w:rFonts w:cs="Calibri"/>
          <w:sz w:val="20"/>
          <w:szCs w:val="20"/>
        </w:rPr>
        <w:t>Jiuzhaigou</w:t>
      </w:r>
      <w:proofErr w:type="spellEnd"/>
      <w:r w:rsidRPr="003723EB">
        <w:rPr>
          <w:rFonts w:cs="Calibri"/>
          <w:sz w:val="20"/>
          <w:szCs w:val="20"/>
        </w:rPr>
        <w:t xml:space="preserve"> </w:t>
      </w:r>
      <w:r>
        <w:rPr>
          <w:rFonts w:cs="Calibri"/>
          <w:sz w:val="20"/>
          <w:szCs w:val="20"/>
        </w:rPr>
        <w:t>N</w:t>
      </w:r>
      <w:r w:rsidRPr="003723EB">
        <w:rPr>
          <w:rFonts w:cs="Calibri"/>
          <w:sz w:val="20"/>
          <w:szCs w:val="20"/>
        </w:rPr>
        <w:t xml:space="preserve">ational </w:t>
      </w:r>
      <w:r>
        <w:rPr>
          <w:rFonts w:cs="Calibri"/>
          <w:sz w:val="20"/>
          <w:szCs w:val="20"/>
        </w:rPr>
        <w:t>P</w:t>
      </w:r>
      <w:r w:rsidRPr="003723EB">
        <w:rPr>
          <w:rFonts w:cs="Calibri"/>
          <w:sz w:val="20"/>
          <w:szCs w:val="20"/>
        </w:rPr>
        <w:t>ark (Source: authors)</w:t>
      </w:r>
    </w:p>
    <w:p w14:paraId="3408929F" w14:textId="77777777" w:rsidR="00E23C0C" w:rsidRDefault="00E23C0C" w:rsidP="00E23C0C">
      <w:pPr>
        <w:rPr>
          <w:rFonts w:cs="Calibri"/>
          <w:sz w:val="20"/>
          <w:szCs w:val="20"/>
        </w:rPr>
      </w:pPr>
    </w:p>
    <w:p w14:paraId="47EDA684" w14:textId="77777777" w:rsidR="00E23C0C" w:rsidRDefault="00E23C0C" w:rsidP="00E23C0C">
      <w:pPr>
        <w:rPr>
          <w:rFonts w:cs="Calibri"/>
          <w:sz w:val="20"/>
          <w:szCs w:val="20"/>
        </w:rPr>
      </w:pPr>
    </w:p>
    <w:p w14:paraId="0319FE1C" w14:textId="77777777" w:rsidR="00E23C0C" w:rsidRDefault="00E23C0C" w:rsidP="00E23C0C">
      <w:pPr>
        <w:rPr>
          <w:rFonts w:cs="Calibri"/>
          <w:sz w:val="20"/>
          <w:szCs w:val="20"/>
        </w:rPr>
      </w:pPr>
    </w:p>
    <w:p w14:paraId="173617B8" w14:textId="77777777" w:rsidR="00E23C0C" w:rsidRDefault="00E23C0C" w:rsidP="00E23C0C">
      <w:pPr>
        <w:rPr>
          <w:rFonts w:cs="Calibri"/>
          <w:sz w:val="20"/>
          <w:szCs w:val="20"/>
        </w:rPr>
      </w:pPr>
    </w:p>
    <w:p w14:paraId="1138B362" w14:textId="77777777" w:rsidR="00E23C0C" w:rsidRDefault="00E23C0C" w:rsidP="00E23C0C">
      <w:pPr>
        <w:rPr>
          <w:rFonts w:cs="Calibri"/>
          <w:sz w:val="20"/>
          <w:szCs w:val="20"/>
        </w:rPr>
      </w:pPr>
    </w:p>
    <w:p w14:paraId="4746704C" w14:textId="77777777" w:rsidR="00E23C0C" w:rsidRDefault="00E23C0C" w:rsidP="00E23C0C">
      <w:pPr>
        <w:rPr>
          <w:rFonts w:cs="Calibri"/>
          <w:sz w:val="20"/>
          <w:szCs w:val="20"/>
        </w:rPr>
      </w:pPr>
    </w:p>
    <w:p w14:paraId="744EE833" w14:textId="77777777" w:rsidR="00E23C0C" w:rsidRDefault="00E23C0C" w:rsidP="00E23C0C">
      <w:pPr>
        <w:rPr>
          <w:rFonts w:cs="Calibri"/>
          <w:sz w:val="20"/>
          <w:szCs w:val="20"/>
        </w:rPr>
      </w:pPr>
    </w:p>
    <w:p w14:paraId="122EEF81" w14:textId="77777777" w:rsidR="00E23C0C" w:rsidRDefault="00E23C0C" w:rsidP="00E23C0C">
      <w:pPr>
        <w:rPr>
          <w:rFonts w:cs="Calibri"/>
          <w:sz w:val="20"/>
          <w:szCs w:val="20"/>
        </w:rPr>
      </w:pPr>
    </w:p>
    <w:p w14:paraId="2DA6EED2" w14:textId="77777777" w:rsidR="00E23C0C" w:rsidRDefault="00E23C0C" w:rsidP="00E23C0C">
      <w:pPr>
        <w:rPr>
          <w:rFonts w:cs="Calibri"/>
          <w:sz w:val="20"/>
          <w:szCs w:val="20"/>
        </w:rPr>
      </w:pPr>
    </w:p>
    <w:p w14:paraId="7824C8A6" w14:textId="77777777" w:rsidR="00E23C0C" w:rsidRDefault="00E23C0C" w:rsidP="00E23C0C">
      <w:pPr>
        <w:rPr>
          <w:rFonts w:cs="Calibri"/>
          <w:sz w:val="20"/>
          <w:szCs w:val="20"/>
        </w:rPr>
      </w:pPr>
    </w:p>
    <w:p w14:paraId="36328AC1" w14:textId="77777777" w:rsidR="00E23C0C" w:rsidRDefault="00E23C0C" w:rsidP="00E23C0C">
      <w:pPr>
        <w:rPr>
          <w:rFonts w:cs="Calibri"/>
          <w:sz w:val="20"/>
          <w:szCs w:val="20"/>
        </w:rPr>
      </w:pPr>
    </w:p>
    <w:p w14:paraId="4C01F118" w14:textId="77777777" w:rsidR="00E23C0C" w:rsidRDefault="00E23C0C" w:rsidP="00E23C0C">
      <w:pPr>
        <w:rPr>
          <w:rFonts w:cs="Calibri"/>
          <w:sz w:val="20"/>
          <w:szCs w:val="20"/>
        </w:rPr>
      </w:pPr>
    </w:p>
    <w:p w14:paraId="018AFD8A" w14:textId="77777777" w:rsidR="00E23C0C" w:rsidRDefault="00E23C0C" w:rsidP="00E23C0C">
      <w:pPr>
        <w:rPr>
          <w:rFonts w:cs="Calibri"/>
          <w:sz w:val="20"/>
          <w:szCs w:val="20"/>
        </w:rPr>
      </w:pPr>
    </w:p>
    <w:p w14:paraId="4C2D461D" w14:textId="77777777" w:rsidR="00E23C0C" w:rsidRDefault="00E23C0C" w:rsidP="00E23C0C">
      <w:pPr>
        <w:rPr>
          <w:rFonts w:cs="Calibri"/>
          <w:sz w:val="20"/>
          <w:szCs w:val="20"/>
        </w:rPr>
      </w:pPr>
    </w:p>
    <w:p w14:paraId="7FE79C1A" w14:textId="77777777" w:rsidR="00E23C0C" w:rsidRDefault="00E23C0C" w:rsidP="00E23C0C">
      <w:pPr>
        <w:rPr>
          <w:rFonts w:cs="Calibri"/>
          <w:sz w:val="20"/>
          <w:szCs w:val="20"/>
        </w:rPr>
      </w:pPr>
    </w:p>
    <w:p w14:paraId="735C8761" w14:textId="77777777" w:rsidR="00E23C0C" w:rsidRDefault="00E23C0C" w:rsidP="00E23C0C">
      <w:pPr>
        <w:rPr>
          <w:rFonts w:cs="Calibri"/>
          <w:sz w:val="20"/>
          <w:szCs w:val="20"/>
        </w:rPr>
      </w:pPr>
    </w:p>
    <w:p w14:paraId="3FC290D8" w14:textId="77777777" w:rsidR="00E23C0C" w:rsidRDefault="00E23C0C" w:rsidP="00E23C0C">
      <w:pPr>
        <w:rPr>
          <w:rFonts w:cs="Calibri"/>
          <w:sz w:val="20"/>
          <w:szCs w:val="20"/>
        </w:rPr>
      </w:pPr>
    </w:p>
    <w:p w14:paraId="263B8B02" w14:textId="77777777" w:rsidR="00E23C0C" w:rsidRDefault="00E23C0C" w:rsidP="00E23C0C">
      <w:pPr>
        <w:rPr>
          <w:rFonts w:cs="Calibri"/>
          <w:sz w:val="20"/>
          <w:szCs w:val="20"/>
        </w:rPr>
      </w:pPr>
    </w:p>
    <w:p w14:paraId="55508BB7" w14:textId="77777777" w:rsidR="00E23C0C" w:rsidRDefault="00E23C0C" w:rsidP="00E23C0C">
      <w:pPr>
        <w:rPr>
          <w:rFonts w:cs="Calibri"/>
          <w:sz w:val="20"/>
          <w:szCs w:val="20"/>
        </w:rPr>
      </w:pPr>
    </w:p>
    <w:p w14:paraId="0E0CC9F8" w14:textId="77777777" w:rsidR="00E23C0C" w:rsidRDefault="00E23C0C" w:rsidP="00E23C0C">
      <w:pPr>
        <w:rPr>
          <w:rFonts w:cs="Calibri"/>
          <w:sz w:val="20"/>
          <w:szCs w:val="20"/>
        </w:rPr>
      </w:pPr>
    </w:p>
    <w:p w14:paraId="1BACE472" w14:textId="77777777" w:rsidR="00E23C0C" w:rsidRDefault="00E23C0C" w:rsidP="00E23C0C">
      <w:pPr>
        <w:rPr>
          <w:rFonts w:cs="Calibri"/>
          <w:sz w:val="20"/>
          <w:szCs w:val="20"/>
        </w:rPr>
      </w:pPr>
    </w:p>
    <w:p w14:paraId="52C4A97A" w14:textId="77777777" w:rsidR="00E23C0C" w:rsidRDefault="00E23C0C" w:rsidP="00E23C0C">
      <w:pPr>
        <w:rPr>
          <w:rFonts w:cs="Calibri"/>
          <w:sz w:val="20"/>
          <w:szCs w:val="20"/>
        </w:rPr>
      </w:pPr>
    </w:p>
    <w:p w14:paraId="5DA692C6" w14:textId="77777777" w:rsidR="00E23C0C" w:rsidRDefault="00E23C0C" w:rsidP="00E23C0C">
      <w:pPr>
        <w:rPr>
          <w:rFonts w:cs="Calibri"/>
          <w:sz w:val="20"/>
          <w:szCs w:val="20"/>
        </w:rPr>
      </w:pPr>
    </w:p>
    <w:p w14:paraId="5A598D85" w14:textId="77777777" w:rsidR="00E23C0C" w:rsidRDefault="00E23C0C" w:rsidP="00E23C0C">
      <w:pPr>
        <w:rPr>
          <w:rFonts w:cs="Calibri"/>
          <w:sz w:val="20"/>
          <w:szCs w:val="20"/>
        </w:rPr>
      </w:pPr>
    </w:p>
    <w:p w14:paraId="38970E1E" w14:textId="77777777" w:rsidR="00E23C0C" w:rsidRDefault="00E23C0C" w:rsidP="00E23C0C">
      <w:pPr>
        <w:rPr>
          <w:rFonts w:cs="Calibri"/>
          <w:sz w:val="20"/>
          <w:szCs w:val="20"/>
        </w:rPr>
      </w:pPr>
    </w:p>
    <w:p w14:paraId="160576D5" w14:textId="77777777" w:rsidR="00E23C0C" w:rsidRDefault="00E23C0C" w:rsidP="00E23C0C">
      <w:pPr>
        <w:rPr>
          <w:rFonts w:cs="Calibri"/>
          <w:sz w:val="20"/>
          <w:szCs w:val="20"/>
        </w:rPr>
      </w:pPr>
    </w:p>
    <w:p w14:paraId="6AAC8C5D" w14:textId="77777777" w:rsidR="00E23C0C" w:rsidRDefault="00E23C0C" w:rsidP="00E23C0C">
      <w:pPr>
        <w:rPr>
          <w:rFonts w:cs="Calibri"/>
          <w:sz w:val="20"/>
          <w:szCs w:val="20"/>
        </w:rPr>
      </w:pPr>
    </w:p>
    <w:p w14:paraId="7891B475" w14:textId="77777777" w:rsidR="00E23C0C" w:rsidRDefault="00E23C0C" w:rsidP="00E23C0C">
      <w:pPr>
        <w:rPr>
          <w:rFonts w:cs="Calibri"/>
          <w:sz w:val="20"/>
          <w:szCs w:val="20"/>
        </w:rPr>
      </w:pPr>
      <w:r w:rsidRPr="003F54E6">
        <w:rPr>
          <w:rFonts w:cs="Calibri"/>
          <w:noProof/>
          <w:sz w:val="20"/>
          <w:szCs w:val="20"/>
        </w:rPr>
        <w:lastRenderedPageBreak/>
        <w:drawing>
          <wp:anchor distT="0" distB="0" distL="114300" distR="114300" simplePos="0" relativeHeight="251663360" behindDoc="0" locked="0" layoutInCell="1" allowOverlap="1" wp14:anchorId="0BB4299B" wp14:editId="19ACD230">
            <wp:simplePos x="0" y="0"/>
            <wp:positionH relativeFrom="column">
              <wp:posOffset>-395767</wp:posOffset>
            </wp:positionH>
            <wp:positionV relativeFrom="paragraph">
              <wp:posOffset>88900</wp:posOffset>
            </wp:positionV>
            <wp:extent cx="5862857" cy="4514400"/>
            <wp:effectExtent l="0" t="0" r="5080" b="0"/>
            <wp:wrapTopAndBottom/>
            <wp:docPr id="6" name="Picture 6" descr="Chart, rad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62857" cy="4514400"/>
                    </a:xfrm>
                    <a:prstGeom prst="rect">
                      <a:avLst/>
                    </a:prstGeom>
                  </pic:spPr>
                </pic:pic>
              </a:graphicData>
            </a:graphic>
            <wp14:sizeRelH relativeFrom="page">
              <wp14:pctWidth>0</wp14:pctWidth>
            </wp14:sizeRelH>
            <wp14:sizeRelV relativeFrom="page">
              <wp14:pctHeight>0</wp14:pctHeight>
            </wp14:sizeRelV>
          </wp:anchor>
        </w:drawing>
      </w:r>
      <w:r w:rsidRPr="003723EB">
        <w:rPr>
          <w:rFonts w:cs="Calibri"/>
          <w:sz w:val="20"/>
          <w:szCs w:val="20"/>
        </w:rPr>
        <w:t xml:space="preserve">Figure 2. The entire network of intergovernmental collaboration for the post-disaster destination management of </w:t>
      </w:r>
      <w:proofErr w:type="spellStart"/>
      <w:r w:rsidRPr="003723EB">
        <w:rPr>
          <w:rFonts w:cs="Calibri"/>
          <w:sz w:val="20"/>
          <w:szCs w:val="20"/>
        </w:rPr>
        <w:t>Jiuzhaigou</w:t>
      </w:r>
      <w:proofErr w:type="spellEnd"/>
      <w:r w:rsidRPr="003723EB">
        <w:rPr>
          <w:rFonts w:cs="Calibri"/>
          <w:sz w:val="20"/>
          <w:szCs w:val="20"/>
        </w:rPr>
        <w:t xml:space="preserve"> </w:t>
      </w:r>
      <w:r>
        <w:rPr>
          <w:rFonts w:cs="Calibri"/>
          <w:sz w:val="20"/>
          <w:szCs w:val="20"/>
        </w:rPr>
        <w:t>N</w:t>
      </w:r>
      <w:r w:rsidRPr="003723EB">
        <w:rPr>
          <w:rFonts w:cs="Calibri"/>
          <w:sz w:val="20"/>
          <w:szCs w:val="20"/>
        </w:rPr>
        <w:t xml:space="preserve">ational </w:t>
      </w:r>
      <w:r>
        <w:rPr>
          <w:rFonts w:cs="Calibri"/>
          <w:sz w:val="20"/>
          <w:szCs w:val="20"/>
        </w:rPr>
        <w:t>P</w:t>
      </w:r>
      <w:r w:rsidRPr="003723EB">
        <w:rPr>
          <w:rFonts w:cs="Calibri"/>
          <w:sz w:val="20"/>
          <w:szCs w:val="20"/>
        </w:rPr>
        <w:t>ark</w:t>
      </w:r>
    </w:p>
    <w:p w14:paraId="08C4E332" w14:textId="77777777" w:rsidR="00E23C0C" w:rsidRDefault="00E23C0C" w:rsidP="00E23C0C">
      <w:pPr>
        <w:rPr>
          <w:rFonts w:cs="Calibri"/>
          <w:sz w:val="20"/>
          <w:szCs w:val="20"/>
        </w:rPr>
      </w:pPr>
    </w:p>
    <w:p w14:paraId="044C9DDB" w14:textId="77777777" w:rsidR="00E23C0C" w:rsidRDefault="00E23C0C" w:rsidP="00E23C0C">
      <w:pPr>
        <w:rPr>
          <w:rFonts w:cs="Calibri"/>
          <w:sz w:val="20"/>
          <w:szCs w:val="20"/>
        </w:rPr>
      </w:pPr>
    </w:p>
    <w:p w14:paraId="0A507FE0" w14:textId="77777777" w:rsidR="00E23C0C" w:rsidRDefault="00E23C0C" w:rsidP="00E23C0C">
      <w:pPr>
        <w:rPr>
          <w:rFonts w:cs="Calibri"/>
          <w:sz w:val="20"/>
          <w:szCs w:val="20"/>
        </w:rPr>
      </w:pPr>
    </w:p>
    <w:p w14:paraId="4D467962" w14:textId="77777777" w:rsidR="00E23C0C" w:rsidRDefault="00E23C0C" w:rsidP="00E23C0C">
      <w:pPr>
        <w:rPr>
          <w:rFonts w:cs="Calibri"/>
          <w:sz w:val="20"/>
          <w:szCs w:val="20"/>
        </w:rPr>
      </w:pPr>
    </w:p>
    <w:p w14:paraId="23AB899B" w14:textId="77777777" w:rsidR="00E23C0C" w:rsidRDefault="00E23C0C" w:rsidP="00E23C0C">
      <w:pPr>
        <w:rPr>
          <w:rFonts w:cs="Calibri"/>
          <w:sz w:val="20"/>
          <w:szCs w:val="20"/>
        </w:rPr>
      </w:pPr>
    </w:p>
    <w:p w14:paraId="06CAD375" w14:textId="77777777" w:rsidR="00E23C0C" w:rsidRDefault="00E23C0C" w:rsidP="00E23C0C">
      <w:pPr>
        <w:rPr>
          <w:rFonts w:cs="Calibri"/>
          <w:sz w:val="20"/>
          <w:szCs w:val="20"/>
        </w:rPr>
      </w:pPr>
    </w:p>
    <w:p w14:paraId="2E1EE24F" w14:textId="77777777" w:rsidR="00E23C0C" w:rsidRDefault="00E23C0C" w:rsidP="00E23C0C">
      <w:pPr>
        <w:rPr>
          <w:rFonts w:cs="Calibri"/>
          <w:sz w:val="20"/>
          <w:szCs w:val="20"/>
        </w:rPr>
      </w:pPr>
    </w:p>
    <w:p w14:paraId="71DCAA04" w14:textId="77777777" w:rsidR="00E23C0C" w:rsidRDefault="00E23C0C" w:rsidP="00E23C0C">
      <w:pPr>
        <w:rPr>
          <w:rFonts w:cs="Calibri"/>
          <w:sz w:val="20"/>
          <w:szCs w:val="20"/>
        </w:rPr>
      </w:pPr>
    </w:p>
    <w:p w14:paraId="397359EF" w14:textId="77777777" w:rsidR="00E23C0C" w:rsidRDefault="00E23C0C" w:rsidP="00E23C0C">
      <w:pPr>
        <w:rPr>
          <w:rFonts w:cs="Calibri"/>
          <w:sz w:val="20"/>
          <w:szCs w:val="20"/>
        </w:rPr>
      </w:pPr>
    </w:p>
    <w:p w14:paraId="194DF0AE" w14:textId="77777777" w:rsidR="00E23C0C" w:rsidRDefault="00E23C0C" w:rsidP="00E23C0C">
      <w:pPr>
        <w:rPr>
          <w:rFonts w:cs="Calibri"/>
          <w:sz w:val="20"/>
          <w:szCs w:val="20"/>
        </w:rPr>
      </w:pPr>
    </w:p>
    <w:p w14:paraId="5E17084B" w14:textId="77777777" w:rsidR="00E23C0C" w:rsidRDefault="00E23C0C" w:rsidP="00E23C0C">
      <w:pPr>
        <w:rPr>
          <w:rFonts w:cs="Calibri"/>
          <w:sz w:val="20"/>
          <w:szCs w:val="20"/>
        </w:rPr>
      </w:pPr>
    </w:p>
    <w:p w14:paraId="34A61138" w14:textId="77777777" w:rsidR="00E23C0C" w:rsidRDefault="00E23C0C" w:rsidP="00E23C0C">
      <w:pPr>
        <w:rPr>
          <w:rFonts w:cs="Calibri"/>
          <w:sz w:val="20"/>
          <w:szCs w:val="20"/>
        </w:rPr>
      </w:pPr>
    </w:p>
    <w:p w14:paraId="61EF615E" w14:textId="77777777" w:rsidR="00E23C0C" w:rsidRDefault="00E23C0C" w:rsidP="00E23C0C">
      <w:pPr>
        <w:rPr>
          <w:rFonts w:cs="Calibri"/>
          <w:sz w:val="20"/>
          <w:szCs w:val="20"/>
        </w:rPr>
      </w:pPr>
    </w:p>
    <w:p w14:paraId="37772CB0" w14:textId="77777777" w:rsidR="00E23C0C" w:rsidRDefault="00E23C0C" w:rsidP="00E23C0C">
      <w:pPr>
        <w:rPr>
          <w:rFonts w:cs="Calibri"/>
          <w:sz w:val="20"/>
          <w:szCs w:val="20"/>
        </w:rPr>
      </w:pPr>
    </w:p>
    <w:p w14:paraId="71FA3819" w14:textId="77777777" w:rsidR="00E23C0C" w:rsidRDefault="00E23C0C" w:rsidP="00E23C0C">
      <w:pPr>
        <w:rPr>
          <w:rFonts w:cs="Calibri"/>
          <w:sz w:val="20"/>
          <w:szCs w:val="20"/>
        </w:rPr>
      </w:pPr>
    </w:p>
    <w:p w14:paraId="274700F5" w14:textId="77777777" w:rsidR="00E23C0C" w:rsidRDefault="00E23C0C" w:rsidP="00E23C0C">
      <w:pPr>
        <w:rPr>
          <w:rFonts w:cs="Calibri"/>
          <w:sz w:val="20"/>
          <w:szCs w:val="20"/>
        </w:rPr>
      </w:pPr>
    </w:p>
    <w:p w14:paraId="69FC83CE" w14:textId="77777777" w:rsidR="00E23C0C" w:rsidRDefault="00E23C0C" w:rsidP="00E23C0C">
      <w:pPr>
        <w:rPr>
          <w:rFonts w:cs="Calibri"/>
          <w:sz w:val="20"/>
          <w:szCs w:val="20"/>
        </w:rPr>
      </w:pPr>
    </w:p>
    <w:p w14:paraId="175956A5" w14:textId="77777777" w:rsidR="00E23C0C" w:rsidRDefault="00E23C0C" w:rsidP="00E23C0C">
      <w:pPr>
        <w:rPr>
          <w:rFonts w:cs="Calibri"/>
          <w:sz w:val="20"/>
          <w:szCs w:val="20"/>
        </w:rPr>
      </w:pPr>
    </w:p>
    <w:p w14:paraId="595DC57E" w14:textId="77777777" w:rsidR="00E23C0C" w:rsidRDefault="00E23C0C" w:rsidP="00E23C0C">
      <w:pPr>
        <w:rPr>
          <w:rFonts w:cs="Calibri"/>
          <w:sz w:val="20"/>
          <w:szCs w:val="20"/>
        </w:rPr>
      </w:pPr>
    </w:p>
    <w:p w14:paraId="7D6E4C89" w14:textId="77777777" w:rsidR="00E23C0C" w:rsidRPr="003723EB" w:rsidRDefault="00E23C0C" w:rsidP="00E23C0C">
      <w:pPr>
        <w:rPr>
          <w:rFonts w:cs="Calibri"/>
          <w:sz w:val="20"/>
          <w:szCs w:val="20"/>
        </w:rPr>
      </w:pPr>
      <w:r>
        <w:rPr>
          <w:rFonts w:cs="Calibri"/>
          <w:noProof/>
          <w:sz w:val="20"/>
          <w:szCs w:val="20"/>
        </w:rPr>
        <w:drawing>
          <wp:anchor distT="0" distB="0" distL="114300" distR="114300" simplePos="0" relativeHeight="251660288" behindDoc="0" locked="0" layoutInCell="1" allowOverlap="1" wp14:anchorId="16083BBB" wp14:editId="54E82290">
            <wp:simplePos x="0" y="0"/>
            <wp:positionH relativeFrom="column">
              <wp:posOffset>-496033</wp:posOffset>
            </wp:positionH>
            <wp:positionV relativeFrom="paragraph">
              <wp:posOffset>51435</wp:posOffset>
            </wp:positionV>
            <wp:extent cx="5860800" cy="4514215"/>
            <wp:effectExtent l="0" t="0" r="0" b="0"/>
            <wp:wrapTopAndBottom/>
            <wp:docPr id="7" name="Picture 7"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60800" cy="4514215"/>
                    </a:xfrm>
                    <a:prstGeom prst="rect">
                      <a:avLst/>
                    </a:prstGeom>
                  </pic:spPr>
                </pic:pic>
              </a:graphicData>
            </a:graphic>
            <wp14:sizeRelH relativeFrom="page">
              <wp14:pctWidth>0</wp14:pctWidth>
            </wp14:sizeRelH>
            <wp14:sizeRelV relativeFrom="page">
              <wp14:pctHeight>0</wp14:pctHeight>
            </wp14:sizeRelV>
          </wp:anchor>
        </w:drawing>
      </w:r>
      <w:r w:rsidRPr="003723EB">
        <w:rPr>
          <w:rFonts w:cs="Calibri"/>
          <w:sz w:val="20"/>
          <w:szCs w:val="20"/>
        </w:rPr>
        <w:t xml:space="preserve">Figure 3. The intergovernmental collaboration network </w:t>
      </w:r>
      <w:r>
        <w:rPr>
          <w:rFonts w:cs="Calibri"/>
          <w:sz w:val="20"/>
          <w:szCs w:val="20"/>
        </w:rPr>
        <w:t>at</w:t>
      </w:r>
      <w:r w:rsidRPr="003723EB">
        <w:rPr>
          <w:rFonts w:cs="Calibri"/>
          <w:sz w:val="20"/>
          <w:szCs w:val="20"/>
        </w:rPr>
        <w:t xml:space="preserve"> the emergency stage </w:t>
      </w:r>
    </w:p>
    <w:p w14:paraId="0B7B14D7" w14:textId="77777777" w:rsidR="00E23C0C" w:rsidRDefault="00E23C0C" w:rsidP="00E23C0C">
      <w:pPr>
        <w:rPr>
          <w:rFonts w:cs="Calibri"/>
          <w:sz w:val="20"/>
          <w:szCs w:val="20"/>
        </w:rPr>
      </w:pPr>
    </w:p>
    <w:p w14:paraId="0BDB3355" w14:textId="77777777" w:rsidR="00E23C0C" w:rsidRDefault="00E23C0C" w:rsidP="00E23C0C">
      <w:pPr>
        <w:rPr>
          <w:rFonts w:cs="Calibri"/>
          <w:sz w:val="20"/>
          <w:szCs w:val="20"/>
        </w:rPr>
      </w:pPr>
    </w:p>
    <w:p w14:paraId="734CF255" w14:textId="77777777" w:rsidR="00E23C0C" w:rsidRPr="005512C3" w:rsidRDefault="00E23C0C" w:rsidP="00E23C0C"/>
    <w:p w14:paraId="69F99865" w14:textId="77777777" w:rsidR="00E23C0C" w:rsidRDefault="00E23C0C" w:rsidP="00E23C0C"/>
    <w:p w14:paraId="27583BBA" w14:textId="77777777" w:rsidR="00E23C0C" w:rsidRDefault="00E23C0C" w:rsidP="00E23C0C"/>
    <w:p w14:paraId="7EF80AA9" w14:textId="77777777" w:rsidR="00E23C0C" w:rsidRDefault="00E23C0C" w:rsidP="00E23C0C"/>
    <w:p w14:paraId="0CBDE92A" w14:textId="77777777" w:rsidR="00E23C0C" w:rsidRDefault="00E23C0C" w:rsidP="00E23C0C"/>
    <w:p w14:paraId="6CA695CB" w14:textId="77777777" w:rsidR="00E23C0C" w:rsidRDefault="00E23C0C" w:rsidP="00E23C0C"/>
    <w:p w14:paraId="4DCD8D06" w14:textId="77777777" w:rsidR="00E23C0C" w:rsidRDefault="00E23C0C" w:rsidP="00E23C0C"/>
    <w:p w14:paraId="61A7F7D1" w14:textId="77777777" w:rsidR="00E23C0C" w:rsidRDefault="00E23C0C" w:rsidP="00E23C0C"/>
    <w:p w14:paraId="03DB0890" w14:textId="77777777" w:rsidR="00E23C0C" w:rsidRDefault="00E23C0C" w:rsidP="00E23C0C"/>
    <w:p w14:paraId="04E4248E" w14:textId="77777777" w:rsidR="00E23C0C" w:rsidRDefault="00E23C0C" w:rsidP="00E23C0C"/>
    <w:p w14:paraId="3F5AFD74" w14:textId="77777777" w:rsidR="00E23C0C" w:rsidRDefault="00E23C0C" w:rsidP="00E23C0C"/>
    <w:p w14:paraId="20BA28E1" w14:textId="77777777" w:rsidR="00E23C0C" w:rsidRDefault="00E23C0C" w:rsidP="00E23C0C"/>
    <w:p w14:paraId="20BEFC22" w14:textId="77777777" w:rsidR="00E23C0C" w:rsidRDefault="00E23C0C" w:rsidP="00E23C0C"/>
    <w:p w14:paraId="59DB6743" w14:textId="77777777" w:rsidR="00E23C0C" w:rsidRDefault="00E23C0C" w:rsidP="00E23C0C"/>
    <w:p w14:paraId="5115570C" w14:textId="77777777" w:rsidR="00E23C0C" w:rsidRDefault="00E23C0C" w:rsidP="00E23C0C"/>
    <w:p w14:paraId="3AB93BCE" w14:textId="77777777" w:rsidR="00E23C0C" w:rsidRDefault="00E23C0C" w:rsidP="00E23C0C"/>
    <w:p w14:paraId="6F381C82" w14:textId="77777777" w:rsidR="00E23C0C" w:rsidRDefault="00E23C0C" w:rsidP="00E23C0C"/>
    <w:p w14:paraId="56AA9CCA" w14:textId="77777777" w:rsidR="00E23C0C" w:rsidRDefault="00E23C0C" w:rsidP="00E23C0C"/>
    <w:p w14:paraId="6A4DCB12" w14:textId="77777777" w:rsidR="00E23C0C" w:rsidRPr="00460FF7" w:rsidRDefault="00E23C0C" w:rsidP="00E23C0C">
      <w:r w:rsidRPr="00460FF7">
        <w:rPr>
          <w:rFonts w:cs="Calibri"/>
          <w:noProof/>
          <w:sz w:val="20"/>
          <w:szCs w:val="20"/>
        </w:rPr>
        <w:drawing>
          <wp:anchor distT="0" distB="0" distL="114300" distR="114300" simplePos="0" relativeHeight="251661312" behindDoc="0" locked="0" layoutInCell="1" allowOverlap="1" wp14:anchorId="6882DFE7" wp14:editId="7FD488D7">
            <wp:simplePos x="0" y="0"/>
            <wp:positionH relativeFrom="column">
              <wp:posOffset>-534508</wp:posOffset>
            </wp:positionH>
            <wp:positionV relativeFrom="paragraph">
              <wp:posOffset>39370</wp:posOffset>
            </wp:positionV>
            <wp:extent cx="5860800" cy="4514400"/>
            <wp:effectExtent l="0" t="0" r="0" b="0"/>
            <wp:wrapTopAndBottom/>
            <wp:docPr id="29" name="Picture 29" descr="Chart, rad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Chart, rad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60800" cy="4514400"/>
                    </a:xfrm>
                    <a:prstGeom prst="rect">
                      <a:avLst/>
                    </a:prstGeom>
                  </pic:spPr>
                </pic:pic>
              </a:graphicData>
            </a:graphic>
            <wp14:sizeRelH relativeFrom="page">
              <wp14:pctWidth>0</wp14:pctWidth>
            </wp14:sizeRelH>
            <wp14:sizeRelV relativeFrom="page">
              <wp14:pctHeight>0</wp14:pctHeight>
            </wp14:sizeRelV>
          </wp:anchor>
        </w:drawing>
      </w:r>
      <w:r w:rsidRPr="003723EB">
        <w:rPr>
          <w:rFonts w:cs="Calibri"/>
          <w:sz w:val="20"/>
          <w:szCs w:val="20"/>
        </w:rPr>
        <w:t xml:space="preserve">Figure 4. The intergovernmental collaboration network </w:t>
      </w:r>
      <w:r>
        <w:rPr>
          <w:rFonts w:cs="Calibri"/>
          <w:sz w:val="20"/>
          <w:szCs w:val="20"/>
        </w:rPr>
        <w:t>at</w:t>
      </w:r>
      <w:r w:rsidRPr="003723EB">
        <w:rPr>
          <w:rFonts w:cs="Calibri"/>
          <w:sz w:val="20"/>
          <w:szCs w:val="20"/>
        </w:rPr>
        <w:t xml:space="preserve"> the intermediate stage</w:t>
      </w:r>
    </w:p>
    <w:p w14:paraId="45745BA3" w14:textId="77777777" w:rsidR="00E23C0C" w:rsidRDefault="00E23C0C" w:rsidP="00E23C0C"/>
    <w:p w14:paraId="1BEC5DD9" w14:textId="77777777" w:rsidR="00E23C0C" w:rsidRDefault="00E23C0C" w:rsidP="00E23C0C"/>
    <w:p w14:paraId="55D91B4F" w14:textId="77777777" w:rsidR="00E23C0C" w:rsidRDefault="00E23C0C" w:rsidP="00E23C0C"/>
    <w:p w14:paraId="04F97880" w14:textId="77777777" w:rsidR="00E23C0C" w:rsidRDefault="00E23C0C" w:rsidP="00E23C0C"/>
    <w:p w14:paraId="71906EF5" w14:textId="77777777" w:rsidR="00E23C0C" w:rsidRDefault="00E23C0C" w:rsidP="00E23C0C">
      <w:pPr>
        <w:rPr>
          <w:rFonts w:cs="Calibri"/>
          <w:sz w:val="20"/>
          <w:szCs w:val="20"/>
        </w:rPr>
      </w:pPr>
    </w:p>
    <w:p w14:paraId="4CFDB081" w14:textId="77777777" w:rsidR="00E23C0C" w:rsidRDefault="00E23C0C" w:rsidP="00E23C0C">
      <w:pPr>
        <w:rPr>
          <w:rFonts w:cs="Calibri"/>
          <w:sz w:val="20"/>
          <w:szCs w:val="20"/>
        </w:rPr>
      </w:pPr>
    </w:p>
    <w:p w14:paraId="3B691650" w14:textId="77777777" w:rsidR="00E23C0C" w:rsidRDefault="00E23C0C" w:rsidP="00E23C0C">
      <w:pPr>
        <w:rPr>
          <w:rFonts w:cs="Calibri"/>
          <w:sz w:val="20"/>
          <w:szCs w:val="20"/>
        </w:rPr>
      </w:pPr>
    </w:p>
    <w:p w14:paraId="4989BF8C" w14:textId="77777777" w:rsidR="00E23C0C" w:rsidRDefault="00E23C0C" w:rsidP="00E23C0C">
      <w:pPr>
        <w:rPr>
          <w:rFonts w:cs="Calibri"/>
          <w:sz w:val="20"/>
          <w:szCs w:val="20"/>
        </w:rPr>
      </w:pPr>
    </w:p>
    <w:p w14:paraId="44863873" w14:textId="77777777" w:rsidR="00E23C0C" w:rsidRDefault="00E23C0C" w:rsidP="00E23C0C">
      <w:pPr>
        <w:rPr>
          <w:rFonts w:cs="Calibri"/>
          <w:sz w:val="20"/>
          <w:szCs w:val="20"/>
        </w:rPr>
      </w:pPr>
    </w:p>
    <w:p w14:paraId="6C305E67" w14:textId="77777777" w:rsidR="00E23C0C" w:rsidRDefault="00E23C0C" w:rsidP="00E23C0C">
      <w:pPr>
        <w:rPr>
          <w:rFonts w:cs="Calibri"/>
          <w:sz w:val="20"/>
          <w:szCs w:val="20"/>
        </w:rPr>
      </w:pPr>
    </w:p>
    <w:p w14:paraId="16A29254" w14:textId="77777777" w:rsidR="00E23C0C" w:rsidRDefault="00E23C0C" w:rsidP="00E23C0C">
      <w:pPr>
        <w:rPr>
          <w:rFonts w:cs="Calibri"/>
          <w:sz w:val="20"/>
          <w:szCs w:val="20"/>
        </w:rPr>
      </w:pPr>
    </w:p>
    <w:p w14:paraId="75D44C32" w14:textId="77777777" w:rsidR="00E23C0C" w:rsidRDefault="00E23C0C" w:rsidP="00E23C0C">
      <w:pPr>
        <w:rPr>
          <w:rFonts w:cs="Calibri"/>
          <w:sz w:val="20"/>
          <w:szCs w:val="20"/>
        </w:rPr>
      </w:pPr>
    </w:p>
    <w:p w14:paraId="6C7C1665" w14:textId="77777777" w:rsidR="00E23C0C" w:rsidRDefault="00E23C0C" w:rsidP="00E23C0C">
      <w:pPr>
        <w:rPr>
          <w:rFonts w:cs="Calibri"/>
          <w:sz w:val="20"/>
          <w:szCs w:val="20"/>
        </w:rPr>
      </w:pPr>
    </w:p>
    <w:p w14:paraId="6F7400D2" w14:textId="77777777" w:rsidR="00E23C0C" w:rsidRDefault="00E23C0C" w:rsidP="00E23C0C">
      <w:pPr>
        <w:rPr>
          <w:rFonts w:cs="Calibri"/>
          <w:sz w:val="20"/>
          <w:szCs w:val="20"/>
        </w:rPr>
      </w:pPr>
    </w:p>
    <w:p w14:paraId="50507A4A" w14:textId="77777777" w:rsidR="00E23C0C" w:rsidRDefault="00E23C0C" w:rsidP="00E23C0C">
      <w:pPr>
        <w:rPr>
          <w:rFonts w:cs="Calibri"/>
          <w:sz w:val="20"/>
          <w:szCs w:val="20"/>
        </w:rPr>
      </w:pPr>
    </w:p>
    <w:p w14:paraId="3A70486B" w14:textId="77777777" w:rsidR="00E23C0C" w:rsidRDefault="00E23C0C" w:rsidP="00E23C0C">
      <w:pPr>
        <w:rPr>
          <w:rFonts w:cs="Calibri"/>
          <w:sz w:val="20"/>
          <w:szCs w:val="20"/>
        </w:rPr>
      </w:pPr>
    </w:p>
    <w:p w14:paraId="0096FB0E" w14:textId="77777777" w:rsidR="00E23C0C" w:rsidRDefault="00E23C0C" w:rsidP="00E23C0C">
      <w:pPr>
        <w:rPr>
          <w:rFonts w:cs="Calibri"/>
          <w:sz w:val="20"/>
          <w:szCs w:val="20"/>
        </w:rPr>
      </w:pPr>
    </w:p>
    <w:p w14:paraId="3B29F4D2" w14:textId="77777777" w:rsidR="00E23C0C" w:rsidRDefault="00E23C0C" w:rsidP="00E23C0C">
      <w:pPr>
        <w:rPr>
          <w:rFonts w:cs="Calibri"/>
          <w:sz w:val="20"/>
          <w:szCs w:val="20"/>
        </w:rPr>
      </w:pPr>
    </w:p>
    <w:p w14:paraId="53A1E0A0" w14:textId="77777777" w:rsidR="00E23C0C" w:rsidRDefault="00E23C0C" w:rsidP="00E23C0C">
      <w:pPr>
        <w:rPr>
          <w:rFonts w:cs="Calibri"/>
          <w:sz w:val="20"/>
          <w:szCs w:val="20"/>
        </w:rPr>
      </w:pPr>
    </w:p>
    <w:p w14:paraId="0433323F" w14:textId="77777777" w:rsidR="00E23C0C" w:rsidRDefault="00E23C0C" w:rsidP="00E23C0C">
      <w:pPr>
        <w:rPr>
          <w:rFonts w:cs="Calibri"/>
          <w:sz w:val="20"/>
          <w:szCs w:val="20"/>
        </w:rPr>
      </w:pPr>
    </w:p>
    <w:p w14:paraId="00436BD0" w14:textId="1A5FB74B" w:rsidR="00BB1CEA" w:rsidRPr="00E23C0C" w:rsidRDefault="00E23C0C" w:rsidP="00E23C0C">
      <w:pPr>
        <w:rPr>
          <w:rFonts w:cs="Calibri"/>
          <w:sz w:val="20"/>
          <w:szCs w:val="20"/>
        </w:rPr>
      </w:pPr>
      <w:r>
        <w:rPr>
          <w:noProof/>
        </w:rPr>
        <w:drawing>
          <wp:anchor distT="0" distB="0" distL="114300" distR="114300" simplePos="0" relativeHeight="251662336" behindDoc="0" locked="0" layoutInCell="1" allowOverlap="1" wp14:anchorId="17929DD7" wp14:editId="6EBDECC9">
            <wp:simplePos x="0" y="0"/>
            <wp:positionH relativeFrom="column">
              <wp:posOffset>-436390</wp:posOffset>
            </wp:positionH>
            <wp:positionV relativeFrom="paragraph">
              <wp:posOffset>151765</wp:posOffset>
            </wp:positionV>
            <wp:extent cx="6048000" cy="4752000"/>
            <wp:effectExtent l="0" t="0" r="0" b="0"/>
            <wp:wrapTopAndBottom/>
            <wp:docPr id="30" name="Picture 30"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48000" cy="4752000"/>
                    </a:xfrm>
                    <a:prstGeom prst="rect">
                      <a:avLst/>
                    </a:prstGeom>
                  </pic:spPr>
                </pic:pic>
              </a:graphicData>
            </a:graphic>
            <wp14:sizeRelH relativeFrom="page">
              <wp14:pctWidth>0</wp14:pctWidth>
            </wp14:sizeRelH>
            <wp14:sizeRelV relativeFrom="page">
              <wp14:pctHeight>0</wp14:pctHeight>
            </wp14:sizeRelV>
          </wp:anchor>
        </w:drawing>
      </w:r>
      <w:r w:rsidRPr="003723EB">
        <w:rPr>
          <w:rFonts w:cs="Calibri"/>
          <w:sz w:val="20"/>
          <w:szCs w:val="18"/>
        </w:rPr>
        <w:t xml:space="preserve">Figure 5. The intergovernmental collaboration network </w:t>
      </w:r>
      <w:r>
        <w:rPr>
          <w:rFonts w:cs="Calibri"/>
          <w:sz w:val="20"/>
          <w:szCs w:val="18"/>
        </w:rPr>
        <w:t>at</w:t>
      </w:r>
      <w:r w:rsidRPr="003723EB">
        <w:rPr>
          <w:rFonts w:cs="Calibri"/>
          <w:sz w:val="20"/>
          <w:szCs w:val="18"/>
        </w:rPr>
        <w:t xml:space="preserve"> the long-term recovery stage </w:t>
      </w:r>
      <w:bookmarkStart w:id="4" w:name="_GoBack"/>
      <w:bookmarkEnd w:id="4"/>
    </w:p>
    <w:sectPr w:rsidR="00BB1CEA" w:rsidRPr="00E23C0C" w:rsidSect="0066692F">
      <w:footerReference w:type="default" r:id="rId18"/>
      <w:pgSz w:w="11900" w:h="16840" w:code="9"/>
      <w:pgMar w:top="1440" w:right="1797" w:bottom="1440" w:left="1797" w:header="851" w:footer="992" w:gutter="0"/>
      <w:lnNumType w:countBy="1" w:restart="continuous"/>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CEC50" w14:textId="77777777" w:rsidR="00BF2C97" w:rsidRDefault="00BF2C97">
      <w:r>
        <w:separator/>
      </w:r>
    </w:p>
  </w:endnote>
  <w:endnote w:type="continuationSeparator" w:id="0">
    <w:p w14:paraId="4A136412" w14:textId="77777777" w:rsidR="00BF2C97" w:rsidRDefault="00BF2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9399769"/>
      <w:docPartObj>
        <w:docPartGallery w:val="Page Numbers (Bottom of Page)"/>
        <w:docPartUnique/>
      </w:docPartObj>
    </w:sdtPr>
    <w:sdtEndPr>
      <w:rPr>
        <w:rStyle w:val="PageNumber"/>
      </w:rPr>
    </w:sdtEndPr>
    <w:sdtContent>
      <w:p w14:paraId="03A2A29B" w14:textId="77777777" w:rsidR="0020689C" w:rsidRDefault="0031281E" w:rsidP="00C654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44D187" w14:textId="77777777" w:rsidR="0020689C" w:rsidRDefault="00BF2C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286817"/>
      <w:docPartObj>
        <w:docPartGallery w:val="Page Numbers (Bottom of Page)"/>
        <w:docPartUnique/>
      </w:docPartObj>
    </w:sdtPr>
    <w:sdtEndPr>
      <w:rPr>
        <w:rFonts w:cs="Calibri"/>
        <w:noProof/>
      </w:rPr>
    </w:sdtEndPr>
    <w:sdtContent>
      <w:p w14:paraId="280D947A" w14:textId="77777777" w:rsidR="0020689C" w:rsidRPr="0066692F" w:rsidRDefault="0031281E">
        <w:pPr>
          <w:pStyle w:val="Footer"/>
          <w:jc w:val="center"/>
          <w:rPr>
            <w:rFonts w:cs="Calibri"/>
          </w:rPr>
        </w:pPr>
        <w:r w:rsidRPr="0033533E">
          <w:rPr>
            <w:rFonts w:cs="Calibri"/>
            <w:sz w:val="20"/>
            <w:szCs w:val="20"/>
          </w:rPr>
          <w:fldChar w:fldCharType="begin"/>
        </w:r>
        <w:r w:rsidRPr="0033533E">
          <w:rPr>
            <w:rFonts w:cs="Calibri"/>
            <w:sz w:val="20"/>
            <w:szCs w:val="20"/>
          </w:rPr>
          <w:instrText xml:space="preserve"> PAGE   \* MERGEFORMAT </w:instrText>
        </w:r>
        <w:r w:rsidRPr="0033533E">
          <w:rPr>
            <w:rFonts w:cs="Calibri"/>
            <w:sz w:val="20"/>
            <w:szCs w:val="20"/>
          </w:rPr>
          <w:fldChar w:fldCharType="separate"/>
        </w:r>
        <w:r w:rsidRPr="0033533E">
          <w:rPr>
            <w:rFonts w:cs="Calibri"/>
            <w:noProof/>
            <w:sz w:val="20"/>
            <w:szCs w:val="20"/>
          </w:rPr>
          <w:t>31</w:t>
        </w:r>
        <w:r w:rsidRPr="0033533E">
          <w:rPr>
            <w:rFonts w:cs="Calibri"/>
            <w:noProof/>
            <w:sz w:val="20"/>
            <w:szCs w:val="20"/>
          </w:rPr>
          <w:fldChar w:fldCharType="end"/>
        </w:r>
      </w:p>
    </w:sdtContent>
  </w:sdt>
  <w:p w14:paraId="2C05E4E3" w14:textId="77777777" w:rsidR="0020689C" w:rsidRDefault="00BF2C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BBB32" w14:textId="77777777" w:rsidR="00BF2C97" w:rsidRDefault="00BF2C97">
      <w:r>
        <w:separator/>
      </w:r>
    </w:p>
  </w:footnote>
  <w:footnote w:type="continuationSeparator" w:id="0">
    <w:p w14:paraId="68B95532" w14:textId="77777777" w:rsidR="00BF2C97" w:rsidRDefault="00BF2C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16C35"/>
    <w:multiLevelType w:val="multilevel"/>
    <w:tmpl w:val="FDB80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941BE2"/>
    <w:multiLevelType w:val="hybridMultilevel"/>
    <w:tmpl w:val="843A2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494815"/>
    <w:multiLevelType w:val="multilevel"/>
    <w:tmpl w:val="127A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D170ED"/>
    <w:multiLevelType w:val="hybridMultilevel"/>
    <w:tmpl w:val="5418760C"/>
    <w:lvl w:ilvl="0" w:tplc="45925B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40771A"/>
    <w:multiLevelType w:val="hybridMultilevel"/>
    <w:tmpl w:val="C38EB0C6"/>
    <w:lvl w:ilvl="0" w:tplc="E4AC3D6C">
      <w:start w:val="5"/>
      <w:numFmt w:val="bullet"/>
      <w:lvlText w:val="-"/>
      <w:lvlJc w:val="left"/>
      <w:pPr>
        <w:ind w:left="720" w:hanging="360"/>
      </w:pPr>
      <w:rPr>
        <w:rFonts w:ascii="DengXian" w:eastAsia="DengXian" w:hAnsi="DengXian" w:cstheme="minorBid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465B62"/>
    <w:multiLevelType w:val="hybridMultilevel"/>
    <w:tmpl w:val="8A14BBD4"/>
    <w:lvl w:ilvl="0" w:tplc="3B92C3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C151164"/>
    <w:multiLevelType w:val="hybridMultilevel"/>
    <w:tmpl w:val="DDE05C9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F5C374F"/>
    <w:multiLevelType w:val="hybridMultilevel"/>
    <w:tmpl w:val="3B00F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610D41"/>
    <w:multiLevelType w:val="hybridMultilevel"/>
    <w:tmpl w:val="92AE96B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322349"/>
    <w:multiLevelType w:val="hybridMultilevel"/>
    <w:tmpl w:val="085E5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4841FF"/>
    <w:multiLevelType w:val="hybridMultilevel"/>
    <w:tmpl w:val="F4CE27AE"/>
    <w:lvl w:ilvl="0" w:tplc="70086A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B8A30D6"/>
    <w:multiLevelType w:val="multilevel"/>
    <w:tmpl w:val="96A2671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7"/>
  </w:num>
  <w:num w:numId="4">
    <w:abstractNumId w:val="2"/>
  </w:num>
  <w:num w:numId="5">
    <w:abstractNumId w:val="0"/>
  </w:num>
  <w:num w:numId="6">
    <w:abstractNumId w:val="4"/>
  </w:num>
  <w:num w:numId="7">
    <w:abstractNumId w:val="6"/>
  </w:num>
  <w:num w:numId="8">
    <w:abstractNumId w:val="10"/>
  </w:num>
  <w:num w:numId="9">
    <w:abstractNumId w:val="9"/>
  </w:num>
  <w:num w:numId="10">
    <w:abstractNumId w:val="11"/>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81E"/>
    <w:rsid w:val="00017978"/>
    <w:rsid w:val="000209A5"/>
    <w:rsid w:val="000539CE"/>
    <w:rsid w:val="0009739D"/>
    <w:rsid w:val="000A10A0"/>
    <w:rsid w:val="000A784A"/>
    <w:rsid w:val="000B1549"/>
    <w:rsid w:val="000E7022"/>
    <w:rsid w:val="00102A68"/>
    <w:rsid w:val="00104069"/>
    <w:rsid w:val="0010774D"/>
    <w:rsid w:val="00121FF3"/>
    <w:rsid w:val="00137144"/>
    <w:rsid w:val="00152D9E"/>
    <w:rsid w:val="00155519"/>
    <w:rsid w:val="00174904"/>
    <w:rsid w:val="00182916"/>
    <w:rsid w:val="00183704"/>
    <w:rsid w:val="00197B94"/>
    <w:rsid w:val="001A0797"/>
    <w:rsid w:val="001C38B1"/>
    <w:rsid w:val="001C4573"/>
    <w:rsid w:val="001D7898"/>
    <w:rsid w:val="001E0098"/>
    <w:rsid w:val="001E7F68"/>
    <w:rsid w:val="001F290C"/>
    <w:rsid w:val="00205530"/>
    <w:rsid w:val="00206EE1"/>
    <w:rsid w:val="00215370"/>
    <w:rsid w:val="00215ACD"/>
    <w:rsid w:val="002256E6"/>
    <w:rsid w:val="00230DF0"/>
    <w:rsid w:val="002336B5"/>
    <w:rsid w:val="00240FD3"/>
    <w:rsid w:val="002429C1"/>
    <w:rsid w:val="00244F20"/>
    <w:rsid w:val="00270084"/>
    <w:rsid w:val="00271834"/>
    <w:rsid w:val="00275C97"/>
    <w:rsid w:val="00276D12"/>
    <w:rsid w:val="00286842"/>
    <w:rsid w:val="002C4977"/>
    <w:rsid w:val="002F0207"/>
    <w:rsid w:val="002F05A0"/>
    <w:rsid w:val="00304702"/>
    <w:rsid w:val="0031281E"/>
    <w:rsid w:val="00321D1E"/>
    <w:rsid w:val="0033140C"/>
    <w:rsid w:val="003535DF"/>
    <w:rsid w:val="00396AB0"/>
    <w:rsid w:val="003B66E1"/>
    <w:rsid w:val="003C7902"/>
    <w:rsid w:val="003E2BF0"/>
    <w:rsid w:val="00405795"/>
    <w:rsid w:val="004140FD"/>
    <w:rsid w:val="004244FE"/>
    <w:rsid w:val="00443C67"/>
    <w:rsid w:val="00454FB1"/>
    <w:rsid w:val="00456AEF"/>
    <w:rsid w:val="004877F6"/>
    <w:rsid w:val="004901C9"/>
    <w:rsid w:val="00490A09"/>
    <w:rsid w:val="004C478B"/>
    <w:rsid w:val="004C6FB3"/>
    <w:rsid w:val="004D4EDC"/>
    <w:rsid w:val="004D6B9C"/>
    <w:rsid w:val="004E5DA4"/>
    <w:rsid w:val="004E6C6C"/>
    <w:rsid w:val="005207C6"/>
    <w:rsid w:val="00544973"/>
    <w:rsid w:val="005843D7"/>
    <w:rsid w:val="00595965"/>
    <w:rsid w:val="005A70D3"/>
    <w:rsid w:val="005B535D"/>
    <w:rsid w:val="005E147D"/>
    <w:rsid w:val="00617DF5"/>
    <w:rsid w:val="00621C72"/>
    <w:rsid w:val="00635659"/>
    <w:rsid w:val="00636AE9"/>
    <w:rsid w:val="00641DD9"/>
    <w:rsid w:val="00663158"/>
    <w:rsid w:val="00663852"/>
    <w:rsid w:val="006A6630"/>
    <w:rsid w:val="006B322B"/>
    <w:rsid w:val="006B3873"/>
    <w:rsid w:val="006D0963"/>
    <w:rsid w:val="006E1775"/>
    <w:rsid w:val="006E294B"/>
    <w:rsid w:val="006F1BBA"/>
    <w:rsid w:val="00722E6A"/>
    <w:rsid w:val="007278DC"/>
    <w:rsid w:val="00732A06"/>
    <w:rsid w:val="00734EB9"/>
    <w:rsid w:val="00754973"/>
    <w:rsid w:val="0075579D"/>
    <w:rsid w:val="00763C93"/>
    <w:rsid w:val="00765CDE"/>
    <w:rsid w:val="007666FB"/>
    <w:rsid w:val="007824FC"/>
    <w:rsid w:val="00785EC5"/>
    <w:rsid w:val="00794623"/>
    <w:rsid w:val="007959B2"/>
    <w:rsid w:val="007A7C57"/>
    <w:rsid w:val="007B4F5D"/>
    <w:rsid w:val="007B766B"/>
    <w:rsid w:val="007D11B2"/>
    <w:rsid w:val="007F4DAF"/>
    <w:rsid w:val="008116BD"/>
    <w:rsid w:val="00814367"/>
    <w:rsid w:val="008153D2"/>
    <w:rsid w:val="0083288D"/>
    <w:rsid w:val="008415C7"/>
    <w:rsid w:val="00847104"/>
    <w:rsid w:val="0085086F"/>
    <w:rsid w:val="00872152"/>
    <w:rsid w:val="00895125"/>
    <w:rsid w:val="00897A54"/>
    <w:rsid w:val="008C2C73"/>
    <w:rsid w:val="008C4F9C"/>
    <w:rsid w:val="008D53C8"/>
    <w:rsid w:val="008E417D"/>
    <w:rsid w:val="0093205F"/>
    <w:rsid w:val="0094061A"/>
    <w:rsid w:val="00942AEB"/>
    <w:rsid w:val="00957818"/>
    <w:rsid w:val="00970B32"/>
    <w:rsid w:val="00974CEE"/>
    <w:rsid w:val="009D38D4"/>
    <w:rsid w:val="009D4F9E"/>
    <w:rsid w:val="009F63FA"/>
    <w:rsid w:val="00A06802"/>
    <w:rsid w:val="00A1222A"/>
    <w:rsid w:val="00A16057"/>
    <w:rsid w:val="00A314C3"/>
    <w:rsid w:val="00A530C4"/>
    <w:rsid w:val="00A664A4"/>
    <w:rsid w:val="00A80EA3"/>
    <w:rsid w:val="00A9571E"/>
    <w:rsid w:val="00AB04C4"/>
    <w:rsid w:val="00AC718E"/>
    <w:rsid w:val="00AC727F"/>
    <w:rsid w:val="00AD1C6F"/>
    <w:rsid w:val="00AD7944"/>
    <w:rsid w:val="00AE13E8"/>
    <w:rsid w:val="00AF60AB"/>
    <w:rsid w:val="00B0493F"/>
    <w:rsid w:val="00B2552F"/>
    <w:rsid w:val="00B34207"/>
    <w:rsid w:val="00B52C14"/>
    <w:rsid w:val="00B560BC"/>
    <w:rsid w:val="00B64C2A"/>
    <w:rsid w:val="00B73DDF"/>
    <w:rsid w:val="00B770C1"/>
    <w:rsid w:val="00B8696E"/>
    <w:rsid w:val="00BA17B3"/>
    <w:rsid w:val="00BB1CEA"/>
    <w:rsid w:val="00BD06D6"/>
    <w:rsid w:val="00BE0CB2"/>
    <w:rsid w:val="00BE5D38"/>
    <w:rsid w:val="00BF2C97"/>
    <w:rsid w:val="00C01989"/>
    <w:rsid w:val="00C216ED"/>
    <w:rsid w:val="00C34169"/>
    <w:rsid w:val="00C35C30"/>
    <w:rsid w:val="00C36DEA"/>
    <w:rsid w:val="00C47253"/>
    <w:rsid w:val="00C57E2B"/>
    <w:rsid w:val="00C60EF5"/>
    <w:rsid w:val="00C74931"/>
    <w:rsid w:val="00C751D9"/>
    <w:rsid w:val="00C81CD6"/>
    <w:rsid w:val="00C93BD6"/>
    <w:rsid w:val="00CA1830"/>
    <w:rsid w:val="00CA4FE9"/>
    <w:rsid w:val="00CA5F79"/>
    <w:rsid w:val="00CA79D2"/>
    <w:rsid w:val="00CD59CC"/>
    <w:rsid w:val="00CE0D5E"/>
    <w:rsid w:val="00CE6F81"/>
    <w:rsid w:val="00CF1544"/>
    <w:rsid w:val="00CF1BF9"/>
    <w:rsid w:val="00D114C0"/>
    <w:rsid w:val="00D13BE8"/>
    <w:rsid w:val="00D3080F"/>
    <w:rsid w:val="00D35A3E"/>
    <w:rsid w:val="00D46927"/>
    <w:rsid w:val="00D52F7B"/>
    <w:rsid w:val="00D615F3"/>
    <w:rsid w:val="00DC085E"/>
    <w:rsid w:val="00DC1871"/>
    <w:rsid w:val="00DC7609"/>
    <w:rsid w:val="00DE4C00"/>
    <w:rsid w:val="00DE7D60"/>
    <w:rsid w:val="00DF0492"/>
    <w:rsid w:val="00DF7669"/>
    <w:rsid w:val="00E047AB"/>
    <w:rsid w:val="00E23C0C"/>
    <w:rsid w:val="00E25BC4"/>
    <w:rsid w:val="00E36E50"/>
    <w:rsid w:val="00E41C14"/>
    <w:rsid w:val="00E55392"/>
    <w:rsid w:val="00E67BE3"/>
    <w:rsid w:val="00E76D67"/>
    <w:rsid w:val="00E974EE"/>
    <w:rsid w:val="00EA2408"/>
    <w:rsid w:val="00EB7F22"/>
    <w:rsid w:val="00EC0747"/>
    <w:rsid w:val="00ED2242"/>
    <w:rsid w:val="00ED24BD"/>
    <w:rsid w:val="00ED2F75"/>
    <w:rsid w:val="00EE16F2"/>
    <w:rsid w:val="00EE1835"/>
    <w:rsid w:val="00EE71B0"/>
    <w:rsid w:val="00EE7A0D"/>
    <w:rsid w:val="00EF6245"/>
    <w:rsid w:val="00F00C23"/>
    <w:rsid w:val="00F15C49"/>
    <w:rsid w:val="00F16B43"/>
    <w:rsid w:val="00F40A35"/>
    <w:rsid w:val="00F43F20"/>
    <w:rsid w:val="00F47232"/>
    <w:rsid w:val="00F47B06"/>
    <w:rsid w:val="00F57610"/>
    <w:rsid w:val="00F62EB7"/>
    <w:rsid w:val="00F6588A"/>
    <w:rsid w:val="00F85713"/>
    <w:rsid w:val="00FA3645"/>
    <w:rsid w:val="00FB4D5A"/>
    <w:rsid w:val="00FC2569"/>
    <w:rsid w:val="00FC4332"/>
    <w:rsid w:val="00FC5D87"/>
    <w:rsid w:val="00FC655B"/>
    <w:rsid w:val="00FD0A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28DC4"/>
  <w15:chartTrackingRefBased/>
  <w15:docId w15:val="{B92AC06F-6130-EC45-B530-3809F4F69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81E"/>
    <w:rPr>
      <w:rFonts w:ascii="Calibri" w:eastAsia="SimSun" w:hAnsi="Calibri" w:cs="SimSun"/>
      <w:kern w:val="0"/>
      <w:sz w:val="18"/>
      <w:lang w:val="en-GB"/>
    </w:rPr>
  </w:style>
  <w:style w:type="paragraph" w:styleId="Heading1">
    <w:name w:val="heading 1"/>
    <w:basedOn w:val="Normal"/>
    <w:next w:val="Normal"/>
    <w:link w:val="Heading1Char"/>
    <w:uiPriority w:val="9"/>
    <w:qFormat/>
    <w:rsid w:val="0031281E"/>
    <w:pPr>
      <w:keepNext/>
      <w:keepLines/>
      <w:widowControl w:val="0"/>
      <w:spacing w:before="340" w:after="330" w:line="578" w:lineRule="auto"/>
      <w:jc w:val="both"/>
      <w:outlineLvl w:val="0"/>
    </w:pPr>
    <w:rPr>
      <w:b/>
      <w:bCs/>
      <w:kern w:val="44"/>
      <w:sz w:val="44"/>
      <w:szCs w:val="44"/>
      <w:lang w:val="en-US"/>
    </w:rPr>
  </w:style>
  <w:style w:type="paragraph" w:styleId="Heading2">
    <w:name w:val="heading 2"/>
    <w:basedOn w:val="Normal"/>
    <w:next w:val="Normal"/>
    <w:link w:val="Heading2Char"/>
    <w:uiPriority w:val="9"/>
    <w:unhideWhenUsed/>
    <w:qFormat/>
    <w:rsid w:val="0031281E"/>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81E"/>
    <w:rPr>
      <w:rFonts w:ascii="Calibri" w:eastAsia="SimSun" w:hAnsi="Calibri" w:cs="SimSun"/>
      <w:b/>
      <w:bCs/>
      <w:kern w:val="44"/>
      <w:sz w:val="44"/>
      <w:szCs w:val="44"/>
    </w:rPr>
  </w:style>
  <w:style w:type="character" w:customStyle="1" w:styleId="Heading2Char">
    <w:name w:val="Heading 2 Char"/>
    <w:basedOn w:val="DefaultParagraphFont"/>
    <w:link w:val="Heading2"/>
    <w:uiPriority w:val="9"/>
    <w:rsid w:val="0031281E"/>
    <w:rPr>
      <w:rFonts w:asciiTheme="majorHAnsi" w:eastAsiaTheme="majorEastAsia" w:hAnsiTheme="majorHAnsi" w:cstheme="majorBidi"/>
      <w:b/>
      <w:bCs/>
      <w:sz w:val="32"/>
      <w:szCs w:val="32"/>
    </w:rPr>
  </w:style>
  <w:style w:type="paragraph" w:styleId="NormalWeb">
    <w:name w:val="Normal (Web)"/>
    <w:basedOn w:val="Normal"/>
    <w:uiPriority w:val="99"/>
    <w:unhideWhenUsed/>
    <w:rsid w:val="0031281E"/>
    <w:pPr>
      <w:spacing w:before="100" w:beforeAutospacing="1" w:after="100" w:afterAutospacing="1"/>
    </w:pPr>
    <w:rPr>
      <w:lang w:val="en-US"/>
    </w:rPr>
  </w:style>
  <w:style w:type="character" w:styleId="FootnoteReference">
    <w:name w:val="footnote reference"/>
    <w:basedOn w:val="DefaultParagraphFont"/>
    <w:uiPriority w:val="99"/>
    <w:semiHidden/>
    <w:unhideWhenUsed/>
    <w:rsid w:val="0031281E"/>
    <w:rPr>
      <w:vertAlign w:val="superscript"/>
    </w:rPr>
  </w:style>
  <w:style w:type="paragraph" w:styleId="FootnoteText">
    <w:name w:val="footnote text"/>
    <w:basedOn w:val="Normal"/>
    <w:link w:val="FootnoteTextChar"/>
    <w:uiPriority w:val="99"/>
    <w:semiHidden/>
    <w:unhideWhenUsed/>
    <w:rsid w:val="0031281E"/>
    <w:rPr>
      <w:sz w:val="20"/>
      <w:szCs w:val="20"/>
      <w:lang w:val="en-US"/>
    </w:rPr>
  </w:style>
  <w:style w:type="character" w:customStyle="1" w:styleId="FootnoteTextChar">
    <w:name w:val="Footnote Text Char"/>
    <w:basedOn w:val="DefaultParagraphFont"/>
    <w:link w:val="FootnoteText"/>
    <w:uiPriority w:val="99"/>
    <w:semiHidden/>
    <w:rsid w:val="0031281E"/>
    <w:rPr>
      <w:rFonts w:ascii="Calibri" w:eastAsia="SimSun" w:hAnsi="Calibri" w:cs="SimSun"/>
      <w:kern w:val="0"/>
      <w:sz w:val="20"/>
      <w:szCs w:val="20"/>
    </w:rPr>
  </w:style>
  <w:style w:type="character" w:styleId="CommentReference">
    <w:name w:val="annotation reference"/>
    <w:basedOn w:val="DefaultParagraphFont"/>
    <w:uiPriority w:val="99"/>
    <w:semiHidden/>
    <w:unhideWhenUsed/>
    <w:rsid w:val="0031281E"/>
    <w:rPr>
      <w:sz w:val="21"/>
      <w:szCs w:val="21"/>
    </w:rPr>
  </w:style>
  <w:style w:type="paragraph" w:styleId="CommentText">
    <w:name w:val="annotation text"/>
    <w:basedOn w:val="Normal"/>
    <w:link w:val="CommentTextChar"/>
    <w:uiPriority w:val="99"/>
    <w:semiHidden/>
    <w:unhideWhenUsed/>
    <w:rsid w:val="0031281E"/>
    <w:pPr>
      <w:widowControl w:val="0"/>
    </w:pPr>
    <w:rPr>
      <w:rFonts w:asciiTheme="minorHAnsi" w:eastAsiaTheme="minorEastAsia" w:hAnsiTheme="minorHAnsi" w:cstheme="minorBidi"/>
      <w:kern w:val="2"/>
      <w:sz w:val="21"/>
      <w:lang w:val="en-US"/>
    </w:rPr>
  </w:style>
  <w:style w:type="character" w:customStyle="1" w:styleId="CommentTextChar">
    <w:name w:val="Comment Text Char"/>
    <w:basedOn w:val="DefaultParagraphFont"/>
    <w:link w:val="CommentText"/>
    <w:uiPriority w:val="99"/>
    <w:semiHidden/>
    <w:rsid w:val="0031281E"/>
  </w:style>
  <w:style w:type="paragraph" w:styleId="BalloonText">
    <w:name w:val="Balloon Text"/>
    <w:basedOn w:val="Normal"/>
    <w:link w:val="BalloonTextChar"/>
    <w:uiPriority w:val="99"/>
    <w:semiHidden/>
    <w:unhideWhenUsed/>
    <w:rsid w:val="0031281E"/>
    <w:pPr>
      <w:widowControl w:val="0"/>
      <w:jc w:val="both"/>
    </w:pPr>
    <w:rPr>
      <w:rFonts w:hAnsiTheme="minorHAnsi" w:cstheme="minorBidi"/>
      <w:kern w:val="2"/>
      <w:szCs w:val="18"/>
      <w:lang w:val="en-US"/>
    </w:rPr>
  </w:style>
  <w:style w:type="character" w:customStyle="1" w:styleId="BalloonTextChar">
    <w:name w:val="Balloon Text Char"/>
    <w:basedOn w:val="DefaultParagraphFont"/>
    <w:link w:val="BalloonText"/>
    <w:uiPriority w:val="99"/>
    <w:semiHidden/>
    <w:rsid w:val="0031281E"/>
    <w:rPr>
      <w:rFonts w:ascii="Calibri" w:eastAsia="SimSun"/>
      <w:sz w:val="18"/>
      <w:szCs w:val="18"/>
    </w:rPr>
  </w:style>
  <w:style w:type="paragraph" w:styleId="ListParagraph">
    <w:name w:val="List Paragraph"/>
    <w:basedOn w:val="Normal"/>
    <w:uiPriority w:val="34"/>
    <w:qFormat/>
    <w:rsid w:val="0031281E"/>
    <w:pPr>
      <w:ind w:firstLineChars="200" w:firstLine="420"/>
    </w:pPr>
    <w:rPr>
      <w:lang w:val="en-US"/>
    </w:rPr>
  </w:style>
  <w:style w:type="paragraph" w:styleId="CommentSubject">
    <w:name w:val="annotation subject"/>
    <w:basedOn w:val="CommentText"/>
    <w:next w:val="CommentText"/>
    <w:link w:val="CommentSubjectChar"/>
    <w:uiPriority w:val="99"/>
    <w:semiHidden/>
    <w:unhideWhenUsed/>
    <w:rsid w:val="0031281E"/>
    <w:rPr>
      <w:b/>
      <w:bCs/>
    </w:rPr>
  </w:style>
  <w:style w:type="character" w:customStyle="1" w:styleId="CommentSubjectChar">
    <w:name w:val="Comment Subject Char"/>
    <w:basedOn w:val="CommentTextChar"/>
    <w:link w:val="CommentSubject"/>
    <w:uiPriority w:val="99"/>
    <w:semiHidden/>
    <w:rsid w:val="0031281E"/>
    <w:rPr>
      <w:b/>
      <w:bCs/>
    </w:rPr>
  </w:style>
  <w:style w:type="table" w:styleId="TableGrid">
    <w:name w:val="Table Grid"/>
    <w:basedOn w:val="TableNormal"/>
    <w:uiPriority w:val="59"/>
    <w:rsid w:val="00312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281E"/>
    <w:pPr>
      <w:pBdr>
        <w:bottom w:val="single" w:sz="6" w:space="1" w:color="auto"/>
      </w:pBdr>
      <w:tabs>
        <w:tab w:val="center" w:pos="4153"/>
        <w:tab w:val="right" w:pos="8306"/>
      </w:tabs>
      <w:snapToGrid w:val="0"/>
      <w:jc w:val="center"/>
    </w:pPr>
    <w:rPr>
      <w:szCs w:val="18"/>
      <w:lang w:val="en-US"/>
    </w:rPr>
  </w:style>
  <w:style w:type="character" w:customStyle="1" w:styleId="HeaderChar">
    <w:name w:val="Header Char"/>
    <w:basedOn w:val="DefaultParagraphFont"/>
    <w:link w:val="Header"/>
    <w:uiPriority w:val="99"/>
    <w:rsid w:val="0031281E"/>
    <w:rPr>
      <w:rFonts w:ascii="Calibri" w:eastAsia="SimSun" w:hAnsi="Calibri" w:cs="SimSun"/>
      <w:kern w:val="0"/>
      <w:sz w:val="18"/>
      <w:szCs w:val="18"/>
    </w:rPr>
  </w:style>
  <w:style w:type="paragraph" w:styleId="Footer">
    <w:name w:val="footer"/>
    <w:basedOn w:val="Normal"/>
    <w:link w:val="FooterChar"/>
    <w:uiPriority w:val="99"/>
    <w:unhideWhenUsed/>
    <w:rsid w:val="0031281E"/>
    <w:pPr>
      <w:tabs>
        <w:tab w:val="center" w:pos="4153"/>
        <w:tab w:val="right" w:pos="8306"/>
      </w:tabs>
      <w:snapToGrid w:val="0"/>
    </w:pPr>
    <w:rPr>
      <w:szCs w:val="18"/>
      <w:lang w:val="en-US"/>
    </w:rPr>
  </w:style>
  <w:style w:type="character" w:customStyle="1" w:styleId="FooterChar">
    <w:name w:val="Footer Char"/>
    <w:basedOn w:val="DefaultParagraphFont"/>
    <w:link w:val="Footer"/>
    <w:uiPriority w:val="99"/>
    <w:rsid w:val="0031281E"/>
    <w:rPr>
      <w:rFonts w:ascii="Calibri" w:eastAsia="SimSun" w:hAnsi="Calibri" w:cs="SimSun"/>
      <w:kern w:val="0"/>
      <w:sz w:val="18"/>
      <w:szCs w:val="18"/>
    </w:rPr>
  </w:style>
  <w:style w:type="character" w:styleId="Hyperlink">
    <w:name w:val="Hyperlink"/>
    <w:basedOn w:val="DefaultParagraphFont"/>
    <w:unhideWhenUsed/>
    <w:rsid w:val="0031281E"/>
    <w:rPr>
      <w:color w:val="0563C1" w:themeColor="hyperlink"/>
      <w:u w:val="single"/>
    </w:rPr>
  </w:style>
  <w:style w:type="paragraph" w:styleId="Revision">
    <w:name w:val="Revision"/>
    <w:hidden/>
    <w:uiPriority w:val="99"/>
    <w:semiHidden/>
    <w:rsid w:val="0031281E"/>
    <w:rPr>
      <w:kern w:val="0"/>
      <w:sz w:val="22"/>
      <w:szCs w:val="22"/>
      <w:lang w:val="en-GB"/>
    </w:rPr>
  </w:style>
  <w:style w:type="character" w:styleId="Emphasis">
    <w:name w:val="Emphasis"/>
    <w:basedOn w:val="DefaultParagraphFont"/>
    <w:uiPriority w:val="20"/>
    <w:qFormat/>
    <w:rsid w:val="0031281E"/>
    <w:rPr>
      <w:i/>
      <w:iCs/>
    </w:rPr>
  </w:style>
  <w:style w:type="character" w:customStyle="1" w:styleId="1">
    <w:name w:val="未处理的提及1"/>
    <w:basedOn w:val="DefaultParagraphFont"/>
    <w:uiPriority w:val="99"/>
    <w:semiHidden/>
    <w:unhideWhenUsed/>
    <w:rsid w:val="0031281E"/>
    <w:rPr>
      <w:color w:val="605E5C"/>
      <w:shd w:val="clear" w:color="auto" w:fill="E1DFDD"/>
    </w:rPr>
  </w:style>
  <w:style w:type="character" w:customStyle="1" w:styleId="apple-converted-space">
    <w:name w:val="apple-converted-space"/>
    <w:basedOn w:val="DefaultParagraphFont"/>
    <w:rsid w:val="0031281E"/>
  </w:style>
  <w:style w:type="character" w:customStyle="1" w:styleId="opdict3font24">
    <w:name w:val="op_dict3_font24"/>
    <w:basedOn w:val="DefaultParagraphFont"/>
    <w:rsid w:val="0031281E"/>
  </w:style>
  <w:style w:type="character" w:styleId="FollowedHyperlink">
    <w:name w:val="FollowedHyperlink"/>
    <w:basedOn w:val="DefaultParagraphFont"/>
    <w:uiPriority w:val="99"/>
    <w:semiHidden/>
    <w:unhideWhenUsed/>
    <w:rsid w:val="0031281E"/>
    <w:rPr>
      <w:color w:val="954F72" w:themeColor="followedHyperlink"/>
      <w:u w:val="single"/>
    </w:rPr>
  </w:style>
  <w:style w:type="character" w:styleId="PageNumber">
    <w:name w:val="page number"/>
    <w:basedOn w:val="DefaultParagraphFont"/>
    <w:uiPriority w:val="99"/>
    <w:semiHidden/>
    <w:unhideWhenUsed/>
    <w:rsid w:val="0031281E"/>
  </w:style>
  <w:style w:type="paragraph" w:customStyle="1" w:styleId="Default">
    <w:name w:val="Default"/>
    <w:rsid w:val="0031281E"/>
    <w:pPr>
      <w:autoSpaceDE w:val="0"/>
      <w:autoSpaceDN w:val="0"/>
      <w:adjustRightInd w:val="0"/>
    </w:pPr>
    <w:rPr>
      <w:rFonts w:ascii="Arial" w:hAnsi="Arial" w:cs="Arial"/>
      <w:color w:val="000000"/>
      <w:kern w:val="0"/>
      <w:sz w:val="24"/>
      <w:lang w:val="en-GB"/>
    </w:rPr>
  </w:style>
  <w:style w:type="paragraph" w:styleId="HTMLPreformatted">
    <w:name w:val="HTML Preformatted"/>
    <w:basedOn w:val="Normal"/>
    <w:link w:val="HTMLPreformattedChar"/>
    <w:uiPriority w:val="99"/>
    <w:semiHidden/>
    <w:unhideWhenUsed/>
    <w:rsid w:val="0031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en-US"/>
    </w:rPr>
  </w:style>
  <w:style w:type="character" w:customStyle="1" w:styleId="HTMLPreformattedChar">
    <w:name w:val="HTML Preformatted Char"/>
    <w:basedOn w:val="DefaultParagraphFont"/>
    <w:link w:val="HTMLPreformatted"/>
    <w:uiPriority w:val="99"/>
    <w:semiHidden/>
    <w:rsid w:val="0031281E"/>
    <w:rPr>
      <w:rFonts w:ascii="Calibri" w:eastAsia="SimSun" w:hAnsi="Calibri" w:cs="SimSun"/>
      <w:kern w:val="0"/>
      <w:sz w:val="18"/>
    </w:rPr>
  </w:style>
  <w:style w:type="character" w:styleId="PlaceholderText">
    <w:name w:val="Placeholder Text"/>
    <w:basedOn w:val="DefaultParagraphFont"/>
    <w:uiPriority w:val="99"/>
    <w:semiHidden/>
    <w:rsid w:val="0031281E"/>
    <w:rPr>
      <w:color w:val="808080"/>
    </w:rPr>
  </w:style>
  <w:style w:type="character" w:styleId="LineNumber">
    <w:name w:val="line number"/>
    <w:basedOn w:val="DefaultParagraphFont"/>
    <w:uiPriority w:val="99"/>
    <w:semiHidden/>
    <w:unhideWhenUsed/>
    <w:rsid w:val="00312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iuzhai.com/" TargetMode="Externa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gov.cn/"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gov.cn/"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abazhou.gov.c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jzg.gov.cn/"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38</Pages>
  <Words>12535</Words>
  <Characters>71451</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Mengqiu Cao</dc:creator>
  <cp:keywords/>
  <dc:description/>
  <cp:lastModifiedBy>Mengqiu Cao</cp:lastModifiedBy>
  <cp:revision>5</cp:revision>
  <dcterms:created xsi:type="dcterms:W3CDTF">2021-05-03T21:21:00Z</dcterms:created>
  <dcterms:modified xsi:type="dcterms:W3CDTF">2021-06-02T12:28:00Z</dcterms:modified>
</cp:coreProperties>
</file>