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Supplementary material - Model diagnostics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Table 1 below shows the correlation coefficients of each explanatory variable used in the statistical models as part of the checks performed to see if there is multicollinearity present.</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1. Correlation coefficients of explanatory variables used in the statistical models</w:t>
      </w:r>
    </w:p>
    <w:tbl>
      <w:tblPr>
        <w:tblStyle w:val="Table1"/>
        <w:tblW w:w="9018.0" w:type="dxa"/>
        <w:jc w:val="left"/>
        <w:tblInd w:w="0.0" w:type="dxa"/>
        <w:tblLayout w:type="fixed"/>
        <w:tblLook w:val="0400"/>
      </w:tblPr>
      <w:tblGrid>
        <w:gridCol w:w="1271"/>
        <w:gridCol w:w="992"/>
        <w:gridCol w:w="567"/>
        <w:gridCol w:w="817"/>
        <w:gridCol w:w="745"/>
        <w:gridCol w:w="708"/>
        <w:gridCol w:w="709"/>
        <w:gridCol w:w="709"/>
        <w:gridCol w:w="992"/>
        <w:gridCol w:w="864"/>
        <w:gridCol w:w="644"/>
        <w:tblGridChange w:id="0">
          <w:tblGrid>
            <w:gridCol w:w="1271"/>
            <w:gridCol w:w="992"/>
            <w:gridCol w:w="567"/>
            <w:gridCol w:w="817"/>
            <w:gridCol w:w="745"/>
            <w:gridCol w:w="708"/>
            <w:gridCol w:w="709"/>
            <w:gridCol w:w="709"/>
            <w:gridCol w:w="992"/>
            <w:gridCol w:w="864"/>
            <w:gridCol w:w="644"/>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5">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6">
            <w:pPr>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School-level variables</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LSOA-level variables</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Local environment variables</w:t>
            </w:r>
          </w:p>
        </w:tc>
      </w:tr>
      <w:tr>
        <w:trPr>
          <w:cantSplit w:val="0"/>
          <w:trHeight w:val="636"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Variable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FSM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Mixed or multiple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Asian / Asian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Black / 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Black / 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IMD score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Population density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Ratio: main road to minor road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NOx level</w:t>
            </w:r>
          </w:p>
        </w:tc>
      </w:tr>
      <w:tr>
        <w:trPr>
          <w:cantSplit w:val="0"/>
          <w:trHeight w:val="288"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School-level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FSM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0.065</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Mixed or multiple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0.034</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Asian / Asian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-0.032</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Black / 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0.737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0.07</w:t>
            </w:r>
          </w:p>
        </w:tc>
      </w:tr>
      <w:tr>
        <w:trPr>
          <w:cantSplit w:val="0"/>
          <w:trHeight w:val="288"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LSOA-level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Black / 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0.737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0.694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0.008</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IMD score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0.694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0.342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0.013</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Population density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0.424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0.342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0.052</w:t>
            </w:r>
          </w:p>
        </w:tc>
      </w:tr>
      <w:tr>
        <w:trPr>
          <w:cantSplit w:val="0"/>
          <w:trHeight w:val="432"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Local environment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Ratio: main road to minor road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0.147</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NOx level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0.052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0.147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NA</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The table below presents the Variance Inflation Factor (VIF) scores for the explanatory variables used in Model 2 and Model 3. </w:t>
      </w:r>
    </w:p>
    <w:p w:rsidR="00000000" w:rsidDel="00000000" w:rsidP="00000000" w:rsidRDefault="00000000" w:rsidRPr="00000000" w14:paraId="0000008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2. VIF scores for the explanatory variables used in Model 2 and Model 3</w:t>
      </w:r>
    </w:p>
    <w:tbl>
      <w:tblPr>
        <w:tblStyle w:val="Table2"/>
        <w:tblW w:w="7360.0" w:type="dxa"/>
        <w:jc w:val="left"/>
        <w:tblInd w:w="0.0" w:type="dxa"/>
        <w:tblLayout w:type="fixed"/>
        <w:tblLook w:val="0400"/>
      </w:tblPr>
      <w:tblGrid>
        <w:gridCol w:w="2600"/>
        <w:gridCol w:w="3460"/>
        <w:gridCol w:w="1300"/>
        <w:tblGridChange w:id="0">
          <w:tblGrid>
            <w:gridCol w:w="2600"/>
            <w:gridCol w:w="3460"/>
            <w:gridCol w:w="13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Variable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VIF score</w:t>
            </w:r>
          </w:p>
        </w:tc>
      </w:tr>
      <w:tr>
        <w:trPr>
          <w:cantSplit w:val="0"/>
          <w:trHeight w:val="288"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School-level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FSM</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1.851</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Asian/Asian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1.387</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Black/Black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2.205</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Mixed or multiple ethnicity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1.322</w:t>
            </w:r>
          </w:p>
        </w:tc>
      </w:tr>
      <w:tr>
        <w:trPr>
          <w:cantSplit w:val="0"/>
          <w:trHeight w:val="288"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LSOA-level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Black/Black British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2.599</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IMD score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2.279</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Ratio: main road to minor road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1.028</w:t>
            </w:r>
          </w:p>
        </w:tc>
      </w:tr>
      <w:tr>
        <w:trPr>
          <w:cantSplit w:val="0"/>
          <w:trHeight w:val="288"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Local environment variables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NOx level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1.013</w:t>
            </w:r>
          </w:p>
        </w:tc>
      </w:tr>
      <w:tr>
        <w:trPr>
          <w:cantSplit w:val="0"/>
          <w:trHeight w:val="288"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Population density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1.098</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To test whether independent variables are linearly related to the logit of the dependent variable, we have initially performed a graphical check (see Figure 1) of linearity by plotting the values of each independent variable against the logit of the outcome. This is summarised with a best fit “loess” line that should be monotonic if the assumption of linearity is not broken. There is clear evidence of a non-linear relationship between NOx levels and the log odds and some suggestion of non-linearity in the graphs of the ratio of main road to minor roads and the Asian/Asian British LSOA ethnicity.  </w:t>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spacing w:after="200" w:line="240" w:lineRule="auto"/>
        <w:rPr/>
      </w:pPr>
      <w:r w:rsidDel="00000000" w:rsidR="00000000" w:rsidRPr="00000000">
        <w:rPr>
          <w:i w:val="1"/>
          <w:color w:val="44546a"/>
          <w:sz w:val="18"/>
          <w:szCs w:val="18"/>
          <w:rtl w:val="0"/>
        </w:rPr>
        <w:t xml:space="preserve">Figure 1. Values of the explanatory variables plotted against the logit of the outcome - School Streets for Model 2</w:t>
      </w:r>
      <w:r w:rsidDel="00000000" w:rsidR="00000000" w:rsidRPr="00000000">
        <w:rPr>
          <w:rtl w:val="0"/>
        </w:rPr>
      </w:r>
    </w:p>
    <w:p w:rsidR="00000000" w:rsidDel="00000000" w:rsidP="00000000" w:rsidRDefault="00000000" w:rsidRPr="00000000" w14:paraId="000000A3">
      <w:pPr>
        <w:keepNext w:val="1"/>
        <w:rPr/>
      </w:pPr>
      <w:r w:rsidDel="00000000" w:rsidR="00000000" w:rsidRPr="00000000">
        <w:rPr/>
        <w:drawing>
          <wp:inline distB="0" distT="0" distL="0" distR="0">
            <wp:extent cx="5731200" cy="3187700"/>
            <wp:effectExtent b="0" l="0" r="0" t="0"/>
            <wp:docPr descr="Graphical user interface, chart&#10;&#10;Description automatically generated" id="4" name="image1.png"/>
            <a:graphic>
              <a:graphicData uri="http://schemas.openxmlformats.org/drawingml/2006/picture">
                <pic:pic>
                  <pic:nvPicPr>
                    <pic:cNvPr descr="Graphical user interface, chart&#10;&#10;Description automatically generated" id="0" name="image1.png"/>
                    <pic:cNvPicPr preferRelativeResize="0"/>
                  </pic:nvPicPr>
                  <pic:blipFill>
                    <a:blip r:embed="rId7"/>
                    <a:srcRect b="0" l="0" r="0" t="0"/>
                    <a:stretch>
                      <a:fillRect/>
                    </a:stretch>
                  </pic:blipFill>
                  <pic:spPr>
                    <a:xfrm>
                      <a:off x="0" y="0"/>
                      <a:ext cx="573120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As a further test whether the assumption of linearity has been violated, we have executed a logistic regression model but, alongside the predictors that were already included in Model 2, we have included, for each variable, the interaction between each predictor and the log of itself (Hosmer &amp; Lemeshow, 1989). </w:t>
      </w:r>
    </w:p>
    <w:p w:rsidR="00000000" w:rsidDel="00000000" w:rsidP="00000000" w:rsidRDefault="00000000" w:rsidRPr="00000000" w14:paraId="000000A5">
      <w:pPr>
        <w:spacing w:after="0"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In the model output, if an interaction is significant it indicates that the relationship between the variable itself and the logit of the outcome has violated the assumption of linearity (Field.. x). It is clear from the outcome below that there are two variables that violate the assumptions: the ratio of main to minor roads and the population density. None of the other log variables were statistically significant.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w:t>
      </w:r>
      <w:r w:rsidDel="00000000" w:rsidR="00000000" w:rsidRPr="00000000">
        <w:rPr>
          <w:i w:val="1"/>
          <w:color w:val="44546a"/>
          <w:sz w:val="18"/>
          <w:szCs w:val="18"/>
          <w:rtl w:val="0"/>
        </w:rPr>
        <w:t xml:space="preserve">3</w:t>
      </w: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 Regression summary of model including interactions with log of each explanatory variable</w:t>
      </w:r>
      <w:r w:rsidDel="00000000" w:rsidR="00000000" w:rsidRPr="00000000">
        <w:rPr>
          <w:rtl w:val="0"/>
        </w:rPr>
      </w:r>
    </w:p>
    <w:tbl>
      <w:tblPr>
        <w:tblStyle w:val="Table3"/>
        <w:tblW w:w="7293.0" w:type="dxa"/>
        <w:jc w:val="left"/>
        <w:tblInd w:w="0.0" w:type="dxa"/>
        <w:tblLayout w:type="fixed"/>
        <w:tblLook w:val="0400"/>
      </w:tblPr>
      <w:tblGrid>
        <w:gridCol w:w="3793"/>
        <w:gridCol w:w="3500"/>
        <w:tblGridChange w:id="0">
          <w:tblGrid>
            <w:gridCol w:w="3793"/>
            <w:gridCol w:w="3500"/>
          </w:tblGrid>
        </w:tblGridChange>
      </w:tblGrid>
      <w:tr>
        <w:trPr>
          <w:cantSplit w:val="0"/>
          <w:tblHeader w:val="0"/>
        </w:trPr>
        <w:tc>
          <w:tcPr>
            <w:gridSpan w:val="2"/>
            <w:tcBorders>
              <w:bottom w:color="000000" w:space="0" w:sz="6" w:val="single"/>
            </w:tcBorders>
            <w:vAlign w:val="center"/>
          </w:tcPr>
          <w:p w:rsidR="00000000" w:rsidDel="00000000" w:rsidP="00000000" w:rsidRDefault="00000000" w:rsidRPr="00000000" w14:paraId="000000A9">
            <w:pPr>
              <w:spacing w:after="0" w:line="240" w:lineRule="auto"/>
              <w:rPr>
                <w:rFonts w:ascii="Arial" w:cs="Arial" w:eastAsia="Arial" w:hAnsi="Arial"/>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B">
            <w:pPr>
              <w:spacing w:after="0" w:line="240" w:lineRule="auto"/>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AC">
            <w:pPr>
              <w:spacing w:after="0" w:line="240" w:lineRule="auto"/>
              <w:jc w:val="center"/>
              <w:rPr>
                <w:rFonts w:ascii="Arial" w:cs="Arial" w:eastAsia="Arial" w:hAnsi="Arial"/>
                <w:sz w:val="16"/>
                <w:szCs w:val="16"/>
              </w:rPr>
            </w:pPr>
            <w:r w:rsidDel="00000000" w:rsidR="00000000" w:rsidRPr="00000000">
              <w:rPr>
                <w:rFonts w:ascii="Arial" w:cs="Arial" w:eastAsia="Arial" w:hAnsi="Arial"/>
                <w:i w:val="1"/>
                <w:sz w:val="16"/>
                <w:szCs w:val="16"/>
                <w:rtl w:val="0"/>
              </w:rPr>
              <w:t xml:space="preserve">Dependent variable: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D">
            <w:pPr>
              <w:spacing w:after="0" w:line="240" w:lineRule="auto"/>
              <w:jc w:val="center"/>
              <w:rPr>
                <w:rFonts w:ascii="Arial" w:cs="Arial" w:eastAsia="Arial" w:hAnsi="Arial"/>
                <w:sz w:val="16"/>
                <w:szCs w:val="16"/>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AE">
            <w:pPr>
              <w:spacing w:after="0" w:line="240" w:lineRule="auto"/>
              <w:jc w:val="center"/>
              <w:rPr>
                <w:rFonts w:ascii="Arial" w:cs="Arial" w:eastAsia="Arial" w:hAnsi="Arial"/>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spacing w:after="0" w:line="240" w:lineRule="auto"/>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B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School Street or not</w:t>
            </w:r>
          </w:p>
        </w:tc>
      </w:tr>
      <w:tr>
        <w:trPr>
          <w:cantSplit w:val="0"/>
          <w:tblHeader w:val="0"/>
        </w:trPr>
        <w:tc>
          <w:tcPr>
            <w:vAlign w:val="center"/>
          </w:tcPr>
          <w:p w:rsidR="00000000" w:rsidDel="00000000" w:rsidP="00000000" w:rsidRDefault="00000000" w:rsidRPr="00000000" w14:paraId="000000B1">
            <w:pPr>
              <w:spacing w:after="0" w:line="240" w:lineRule="auto"/>
              <w:jc w:val="center"/>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0B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Model including interactions with log of variables</w:t>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B3">
            <w:pPr>
              <w:spacing w:after="0" w:line="240" w:lineRule="auto"/>
              <w:jc w:val="center"/>
              <w:rPr>
                <w:rFonts w:ascii="Arial" w:cs="Arial" w:eastAsia="Arial" w:hAnsi="Arial"/>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Free school meals (% eligible)</w:t>
            </w:r>
          </w:p>
        </w:tc>
        <w:tc>
          <w:tcPr>
            <w:vAlign w:val="center"/>
          </w:tcPr>
          <w:p w:rsidR="00000000" w:rsidDel="00000000" w:rsidP="00000000" w:rsidRDefault="00000000" w:rsidRPr="00000000" w14:paraId="000000B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-0.072 (0.064)</w:t>
            </w:r>
          </w:p>
        </w:tc>
      </w:tr>
      <w:tr>
        <w:trPr>
          <w:cantSplit w:val="0"/>
          <w:tblHeader w:val="0"/>
        </w:trPr>
        <w:tc>
          <w:tcPr>
            <w:vAlign w:val="center"/>
          </w:tcPr>
          <w:p w:rsidR="00000000" w:rsidDel="00000000" w:rsidP="00000000" w:rsidRDefault="00000000" w:rsidRPr="00000000" w14:paraId="000000B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Ethnicity: Asian/Asian British (%)</w:t>
            </w:r>
          </w:p>
        </w:tc>
        <w:tc>
          <w:tcPr>
            <w:vAlign w:val="center"/>
          </w:tcPr>
          <w:p w:rsidR="00000000" w:rsidDel="00000000" w:rsidP="00000000" w:rsidRDefault="00000000" w:rsidRPr="00000000" w14:paraId="000000B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-0.040 (0.041)</w:t>
            </w:r>
          </w:p>
        </w:tc>
      </w:tr>
      <w:tr>
        <w:trPr>
          <w:cantSplit w:val="0"/>
          <w:tblHeader w:val="0"/>
        </w:trPr>
        <w:tc>
          <w:tcPr>
            <w:vAlign w:val="center"/>
          </w:tcPr>
          <w:p w:rsidR="00000000" w:rsidDel="00000000" w:rsidP="00000000" w:rsidRDefault="00000000" w:rsidRPr="00000000" w14:paraId="000000B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Ethnicity: Black/Black British (%)</w:t>
            </w:r>
          </w:p>
        </w:tc>
        <w:tc>
          <w:tcPr>
            <w:vAlign w:val="center"/>
          </w:tcPr>
          <w:p w:rsidR="00000000" w:rsidDel="00000000" w:rsidP="00000000" w:rsidRDefault="00000000" w:rsidRPr="00000000" w14:paraId="000000B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-0.013 (0.055)</w:t>
            </w:r>
          </w:p>
        </w:tc>
      </w:tr>
      <w:tr>
        <w:trPr>
          <w:cantSplit w:val="0"/>
          <w:tblHeader w:val="0"/>
        </w:trPr>
        <w:tc>
          <w:tcPr>
            <w:vAlign w:val="center"/>
          </w:tcPr>
          <w:p w:rsidR="00000000" w:rsidDel="00000000" w:rsidP="00000000" w:rsidRDefault="00000000" w:rsidRPr="00000000" w14:paraId="000000B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Ethnicity: Mixed/Multiple (%)</w:t>
            </w:r>
          </w:p>
        </w:tc>
        <w:tc>
          <w:tcPr>
            <w:vAlign w:val="center"/>
          </w:tcPr>
          <w:p w:rsidR="00000000" w:rsidDel="00000000" w:rsidP="00000000" w:rsidRDefault="00000000" w:rsidRPr="00000000" w14:paraId="000000B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0.235 (0.141)</w:t>
            </w:r>
          </w:p>
        </w:tc>
      </w:tr>
      <w:tr>
        <w:trPr>
          <w:cantSplit w:val="0"/>
          <w:tblHeader w:val="0"/>
        </w:trPr>
        <w:tc>
          <w:tcPr>
            <w:vAlign w:val="center"/>
          </w:tcPr>
          <w:p w:rsidR="00000000" w:rsidDel="00000000" w:rsidP="00000000" w:rsidRDefault="00000000" w:rsidRPr="00000000" w14:paraId="000000B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LSOA ethnicity: Asian/Asian British</w:t>
            </w:r>
          </w:p>
        </w:tc>
        <w:tc>
          <w:tcPr>
            <w:vAlign w:val="center"/>
          </w:tcPr>
          <w:p w:rsidR="00000000" w:rsidDel="00000000" w:rsidP="00000000" w:rsidRDefault="00000000" w:rsidRPr="00000000" w14:paraId="000000B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0.064 (0.053)</w:t>
            </w:r>
          </w:p>
        </w:tc>
      </w:tr>
      <w:tr>
        <w:trPr>
          <w:cantSplit w:val="0"/>
          <w:tblHeader w:val="0"/>
        </w:trPr>
        <w:tc>
          <w:tcPr>
            <w:vAlign w:val="center"/>
          </w:tcPr>
          <w:p w:rsidR="00000000" w:rsidDel="00000000" w:rsidP="00000000" w:rsidRDefault="00000000" w:rsidRPr="00000000" w14:paraId="000000B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LSOA ethnicity: Black/Black British</w:t>
            </w:r>
          </w:p>
        </w:tc>
        <w:tc>
          <w:tcPr>
            <w:vAlign w:val="center"/>
          </w:tcPr>
          <w:p w:rsidR="00000000" w:rsidDel="00000000" w:rsidP="00000000" w:rsidRDefault="00000000" w:rsidRPr="00000000" w14:paraId="000000C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0.051 (0.074)</w:t>
            </w:r>
          </w:p>
        </w:tc>
      </w:tr>
      <w:tr>
        <w:trPr>
          <w:cantSplit w:val="0"/>
          <w:tblHeader w:val="0"/>
        </w:trPr>
        <w:tc>
          <w:tcPr>
            <w:vAlign w:val="center"/>
          </w:tcPr>
          <w:p w:rsidR="00000000" w:rsidDel="00000000" w:rsidP="00000000" w:rsidRDefault="00000000" w:rsidRPr="00000000" w14:paraId="000000C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Index of Multiple Deprivation score</w:t>
            </w:r>
          </w:p>
        </w:tc>
        <w:tc>
          <w:tcPr>
            <w:vAlign w:val="center"/>
          </w:tcPr>
          <w:p w:rsidR="00000000" w:rsidDel="00000000" w:rsidP="00000000" w:rsidRDefault="00000000" w:rsidRPr="00000000" w14:paraId="000000C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-0.049 (0.097)</w:t>
            </w:r>
          </w:p>
        </w:tc>
      </w:tr>
      <w:tr>
        <w:trPr>
          <w:cantSplit w:val="0"/>
          <w:tblHeader w:val="0"/>
        </w:trPr>
        <w:tc>
          <w:tcPr>
            <w:vAlign w:val="center"/>
          </w:tcPr>
          <w:p w:rsidR="00000000" w:rsidDel="00000000" w:rsidP="00000000" w:rsidRDefault="00000000" w:rsidRPr="00000000" w14:paraId="000000C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Ratio of main to minor roads</w:t>
            </w:r>
          </w:p>
        </w:tc>
        <w:tc>
          <w:tcPr>
            <w:vAlign w:val="center"/>
          </w:tcPr>
          <w:p w:rsidR="00000000" w:rsidDel="00000000" w:rsidP="00000000" w:rsidRDefault="00000000" w:rsidRPr="00000000" w14:paraId="000000C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-0.845 (0.484)</w:t>
            </w:r>
          </w:p>
        </w:tc>
      </w:tr>
      <w:tr>
        <w:trPr>
          <w:cantSplit w:val="0"/>
          <w:tblHeader w:val="0"/>
        </w:trPr>
        <w:tc>
          <w:tcPr>
            <w:vAlign w:val="center"/>
          </w:tcPr>
          <w:p w:rsidR="00000000" w:rsidDel="00000000" w:rsidP="00000000" w:rsidRDefault="00000000" w:rsidRPr="00000000" w14:paraId="000000C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NOx level from motor vehicles</w:t>
            </w:r>
          </w:p>
        </w:tc>
        <w:tc>
          <w:tcPr>
            <w:vAlign w:val="center"/>
          </w:tcPr>
          <w:p w:rsidR="00000000" w:rsidDel="00000000" w:rsidP="00000000" w:rsidRDefault="00000000" w:rsidRPr="00000000" w14:paraId="000000C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-0.034 (0.067)</w:t>
            </w:r>
          </w:p>
        </w:tc>
      </w:tr>
      <w:tr>
        <w:trPr>
          <w:cantSplit w:val="0"/>
          <w:tblHeader w:val="0"/>
        </w:trPr>
        <w:tc>
          <w:tcPr>
            <w:vAlign w:val="center"/>
          </w:tcPr>
          <w:p w:rsidR="00000000" w:rsidDel="00000000" w:rsidP="00000000" w:rsidRDefault="00000000" w:rsidRPr="00000000" w14:paraId="000000C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Population density</w:t>
            </w:r>
          </w:p>
        </w:tc>
        <w:tc>
          <w:tcPr>
            <w:vAlign w:val="center"/>
          </w:tcPr>
          <w:p w:rsidR="00000000" w:rsidDel="00000000" w:rsidP="00000000" w:rsidRDefault="00000000" w:rsidRPr="00000000" w14:paraId="000000C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0.055</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(0.016)</w:t>
            </w:r>
          </w:p>
        </w:tc>
      </w:tr>
      <w:tr>
        <w:trPr>
          <w:cantSplit w:val="0"/>
          <w:tblHeader w:val="0"/>
        </w:trPr>
        <w:tc>
          <w:tcPr>
            <w:vAlign w:val="center"/>
          </w:tcPr>
          <w:p w:rsidR="00000000" w:rsidDel="00000000" w:rsidP="00000000" w:rsidRDefault="00000000" w:rsidRPr="00000000" w14:paraId="000000C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free school meals</w:t>
            </w:r>
          </w:p>
        </w:tc>
        <w:tc>
          <w:tcPr>
            <w:vAlign w:val="center"/>
          </w:tcPr>
          <w:p w:rsidR="00000000" w:rsidDel="00000000" w:rsidP="00000000" w:rsidRDefault="00000000" w:rsidRPr="00000000" w14:paraId="000000C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0.018 (0.015)</w:t>
            </w:r>
          </w:p>
        </w:tc>
      </w:tr>
      <w:tr>
        <w:trPr>
          <w:cantSplit w:val="0"/>
          <w:tblHeader w:val="0"/>
        </w:trPr>
        <w:tc>
          <w:tcPr>
            <w:vAlign w:val="center"/>
          </w:tcPr>
          <w:p w:rsidR="00000000" w:rsidDel="00000000" w:rsidP="00000000" w:rsidRDefault="00000000" w:rsidRPr="00000000" w14:paraId="000000C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ethnicity: Asian/Asian British (%)</w:t>
            </w:r>
          </w:p>
        </w:tc>
        <w:tc>
          <w:tcPr>
            <w:vAlign w:val="center"/>
          </w:tcPr>
          <w:p w:rsidR="00000000" w:rsidDel="00000000" w:rsidP="00000000" w:rsidRDefault="00000000" w:rsidRPr="00000000" w14:paraId="000000C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0.010 (0.009)</w:t>
            </w:r>
          </w:p>
        </w:tc>
      </w:tr>
      <w:tr>
        <w:trPr>
          <w:cantSplit w:val="0"/>
          <w:tblHeader w:val="0"/>
        </w:trPr>
        <w:tc>
          <w:tcPr>
            <w:vAlign w:val="center"/>
          </w:tcPr>
          <w:p w:rsidR="00000000" w:rsidDel="00000000" w:rsidP="00000000" w:rsidRDefault="00000000" w:rsidRPr="00000000" w14:paraId="000000C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ethnicity: Black/Black British (%)</w:t>
            </w:r>
          </w:p>
        </w:tc>
        <w:tc>
          <w:tcPr>
            <w:vAlign w:val="center"/>
          </w:tcPr>
          <w:p w:rsidR="00000000" w:rsidDel="00000000" w:rsidP="00000000" w:rsidRDefault="00000000" w:rsidRPr="00000000" w14:paraId="000000C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-0.0004 (0.012)</w:t>
            </w:r>
          </w:p>
        </w:tc>
      </w:tr>
      <w:tr>
        <w:trPr>
          <w:cantSplit w:val="0"/>
          <w:tblHeader w:val="0"/>
        </w:trPr>
        <w:tc>
          <w:tcPr>
            <w:vAlign w:val="center"/>
          </w:tcPr>
          <w:p w:rsidR="00000000" w:rsidDel="00000000" w:rsidP="00000000" w:rsidRDefault="00000000" w:rsidRPr="00000000" w14:paraId="000000C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ethnicity: Mixed/Multiple (%)</w:t>
            </w:r>
          </w:p>
        </w:tc>
        <w:tc>
          <w:tcPr>
            <w:vAlign w:val="center"/>
          </w:tcPr>
          <w:p w:rsidR="00000000" w:rsidDel="00000000" w:rsidP="00000000" w:rsidRDefault="00000000" w:rsidRPr="00000000" w14:paraId="000000D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-0.061 (0.040)</w:t>
            </w:r>
          </w:p>
        </w:tc>
      </w:tr>
      <w:tr>
        <w:trPr>
          <w:cantSplit w:val="0"/>
          <w:tblHeader w:val="0"/>
        </w:trPr>
        <w:tc>
          <w:tcPr>
            <w:vAlign w:val="center"/>
          </w:tcPr>
          <w:p w:rsidR="00000000" w:rsidDel="00000000" w:rsidP="00000000" w:rsidRDefault="00000000" w:rsidRPr="00000000" w14:paraId="000000D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LSOA ethnicity: Asian/Asian British</w:t>
            </w:r>
          </w:p>
        </w:tc>
        <w:tc>
          <w:tcPr>
            <w:vAlign w:val="center"/>
          </w:tcPr>
          <w:p w:rsidR="00000000" w:rsidDel="00000000" w:rsidP="00000000" w:rsidRDefault="00000000" w:rsidRPr="00000000" w14:paraId="000000D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-0.017 (0.012)</w:t>
            </w:r>
          </w:p>
        </w:tc>
      </w:tr>
      <w:tr>
        <w:trPr>
          <w:cantSplit w:val="0"/>
          <w:tblHeader w:val="0"/>
        </w:trPr>
        <w:tc>
          <w:tcPr>
            <w:vAlign w:val="center"/>
          </w:tcPr>
          <w:p w:rsidR="00000000" w:rsidDel="00000000" w:rsidP="00000000" w:rsidRDefault="00000000" w:rsidRPr="00000000" w14:paraId="000000D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LSOA ethnicity: Black/Black British</w:t>
            </w:r>
          </w:p>
        </w:tc>
        <w:tc>
          <w:tcPr>
            <w:vAlign w:val="center"/>
          </w:tcPr>
          <w:p w:rsidR="00000000" w:rsidDel="00000000" w:rsidP="00000000" w:rsidRDefault="00000000" w:rsidRPr="00000000" w14:paraId="000000D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-0.005 (0.018)</w:t>
            </w:r>
          </w:p>
        </w:tc>
      </w:tr>
      <w:tr>
        <w:trPr>
          <w:cantSplit w:val="0"/>
          <w:tblHeader w:val="0"/>
        </w:trPr>
        <w:tc>
          <w:tcPr>
            <w:vAlign w:val="center"/>
          </w:tcPr>
          <w:p w:rsidR="00000000" w:rsidDel="00000000" w:rsidP="00000000" w:rsidRDefault="00000000" w:rsidRPr="00000000" w14:paraId="000000D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Index of Multiple Deprivation score</w:t>
            </w:r>
          </w:p>
        </w:tc>
        <w:tc>
          <w:tcPr>
            <w:vAlign w:val="center"/>
          </w:tcPr>
          <w:p w:rsidR="00000000" w:rsidDel="00000000" w:rsidP="00000000" w:rsidRDefault="00000000" w:rsidRPr="00000000" w14:paraId="000000D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0.007 (0.023)</w:t>
            </w:r>
          </w:p>
        </w:tc>
      </w:tr>
      <w:tr>
        <w:trPr>
          <w:cantSplit w:val="0"/>
          <w:tblHeader w:val="0"/>
        </w:trPr>
        <w:tc>
          <w:tcPr>
            <w:vAlign w:val="center"/>
          </w:tcPr>
          <w:p w:rsidR="00000000" w:rsidDel="00000000" w:rsidP="00000000" w:rsidRDefault="00000000" w:rsidRPr="00000000" w14:paraId="000000D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ratio of main to minor roads</w:t>
            </w:r>
          </w:p>
        </w:tc>
        <w:tc>
          <w:tcPr>
            <w:vAlign w:val="center"/>
          </w:tcPr>
          <w:p w:rsidR="00000000" w:rsidDel="00000000" w:rsidP="00000000" w:rsidRDefault="00000000" w:rsidRPr="00000000" w14:paraId="000000D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-1.687</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(0.621)</w:t>
            </w:r>
          </w:p>
        </w:tc>
      </w:tr>
      <w:tr>
        <w:trPr>
          <w:cantSplit w:val="0"/>
          <w:tblHeader w:val="0"/>
        </w:trPr>
        <w:tc>
          <w:tcPr>
            <w:vAlign w:val="center"/>
          </w:tcPr>
          <w:p w:rsidR="00000000" w:rsidDel="00000000" w:rsidP="00000000" w:rsidRDefault="00000000" w:rsidRPr="00000000" w14:paraId="000000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NOx level from motor vehicles</w:t>
            </w:r>
          </w:p>
        </w:tc>
        <w:tc>
          <w:tcPr>
            <w:vAlign w:val="center"/>
          </w:tcPr>
          <w:p w:rsidR="00000000" w:rsidDel="00000000" w:rsidP="00000000" w:rsidRDefault="00000000" w:rsidRPr="00000000" w14:paraId="000000D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0.003 (0.014)</w:t>
            </w:r>
          </w:p>
        </w:tc>
      </w:tr>
      <w:tr>
        <w:trPr>
          <w:cantSplit w:val="0"/>
          <w:tblHeader w:val="0"/>
        </w:trPr>
        <w:tc>
          <w:tcPr>
            <w:vAlign w:val="center"/>
          </w:tcPr>
          <w:p w:rsidR="00000000" w:rsidDel="00000000" w:rsidP="00000000" w:rsidRDefault="00000000" w:rsidRPr="00000000" w14:paraId="000000D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LogInteraction of population density</w:t>
            </w:r>
          </w:p>
        </w:tc>
        <w:tc>
          <w:tcPr>
            <w:vAlign w:val="center"/>
          </w:tcPr>
          <w:p w:rsidR="00000000" w:rsidDel="00000000" w:rsidP="00000000" w:rsidRDefault="00000000" w:rsidRPr="00000000" w14:paraId="000000D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-0.008</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(0.003)</w:t>
            </w:r>
          </w:p>
        </w:tc>
      </w:tr>
      <w:tr>
        <w:trPr>
          <w:cantSplit w:val="0"/>
          <w:tblHeader w:val="0"/>
        </w:trPr>
        <w:tc>
          <w:tcPr>
            <w:vAlign w:val="center"/>
          </w:tcPr>
          <w:p w:rsidR="00000000" w:rsidDel="00000000" w:rsidP="00000000" w:rsidRDefault="00000000" w:rsidRPr="00000000" w14:paraId="000000D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Intercept</w:t>
            </w:r>
          </w:p>
        </w:tc>
        <w:tc>
          <w:tcPr>
            <w:vAlign w:val="center"/>
          </w:tcPr>
          <w:p w:rsidR="00000000" w:rsidDel="00000000" w:rsidP="00000000" w:rsidRDefault="00000000" w:rsidRPr="00000000" w14:paraId="000000D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-2.917</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 (0.766)</w:t>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DF">
            <w:pPr>
              <w:spacing w:after="0" w:line="240" w:lineRule="auto"/>
              <w:jc w:val="center"/>
              <w:rPr>
                <w:rFonts w:ascii="Arial" w:cs="Arial" w:eastAsia="Arial" w:hAnsi="Arial"/>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Observations</w:t>
            </w:r>
          </w:p>
        </w:tc>
        <w:tc>
          <w:tcPr>
            <w:vAlign w:val="center"/>
          </w:tcPr>
          <w:p w:rsidR="00000000" w:rsidDel="00000000" w:rsidP="00000000" w:rsidRDefault="00000000" w:rsidRPr="00000000" w14:paraId="000000E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1,728</w:t>
            </w:r>
          </w:p>
        </w:tc>
      </w:tr>
      <w:tr>
        <w:trPr>
          <w:cantSplit w:val="0"/>
          <w:tblHeader w:val="0"/>
        </w:trPr>
        <w:tc>
          <w:tcPr>
            <w:vAlign w:val="center"/>
          </w:tcPr>
          <w:p w:rsidR="00000000" w:rsidDel="00000000" w:rsidP="00000000" w:rsidRDefault="00000000" w:rsidRPr="00000000" w14:paraId="000000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Log Likelihood</w:t>
            </w:r>
          </w:p>
        </w:tc>
        <w:tc>
          <w:tcPr>
            <w:vAlign w:val="center"/>
          </w:tcPr>
          <w:p w:rsidR="00000000" w:rsidDel="00000000" w:rsidP="00000000" w:rsidRDefault="00000000" w:rsidRPr="00000000" w14:paraId="000000E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-890.465</w:t>
            </w:r>
          </w:p>
        </w:tc>
      </w:tr>
      <w:tr>
        <w:trPr>
          <w:cantSplit w:val="0"/>
          <w:tblHeader w:val="0"/>
        </w:trPr>
        <w:tc>
          <w:tcPr>
            <w:vAlign w:val="center"/>
          </w:tcPr>
          <w:p w:rsidR="00000000" w:rsidDel="00000000" w:rsidP="00000000" w:rsidRDefault="00000000" w:rsidRPr="00000000" w14:paraId="000000E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Akaike Inf. Crit.</w:t>
            </w:r>
          </w:p>
        </w:tc>
        <w:tc>
          <w:tcPr>
            <w:vAlign w:val="center"/>
          </w:tcPr>
          <w:p w:rsidR="00000000" w:rsidDel="00000000" w:rsidP="00000000" w:rsidRDefault="00000000" w:rsidRPr="00000000" w14:paraId="000000E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1,822.929</w:t>
            </w:r>
          </w:p>
        </w:tc>
      </w:tr>
      <w:tr>
        <w:trPr>
          <w:cantSplit w:val="0"/>
          <w:tblHeader w:val="0"/>
        </w:trPr>
        <w:tc>
          <w:tcPr>
            <w:gridSpan w:val="2"/>
            <w:tcBorders>
              <w:bottom w:color="000000" w:space="0" w:sz="6" w:val="single"/>
            </w:tcBorders>
            <w:vAlign w:val="center"/>
          </w:tcPr>
          <w:p w:rsidR="00000000" w:rsidDel="00000000" w:rsidP="00000000" w:rsidRDefault="00000000" w:rsidRPr="00000000" w14:paraId="000000E7">
            <w:pPr>
              <w:spacing w:after="0" w:line="240" w:lineRule="auto"/>
              <w:jc w:val="center"/>
              <w:rPr>
                <w:rFonts w:ascii="Arial" w:cs="Arial" w:eastAsia="Arial" w:hAnsi="Arial"/>
                <w:sz w:val="16"/>
                <w:szCs w:val="1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9">
            <w:pPr>
              <w:spacing w:after="0" w:line="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Note:</w:t>
            </w:r>
            <w:r w:rsidDel="00000000" w:rsidR="00000000" w:rsidRPr="00000000">
              <w:rPr>
                <w:rtl w:val="0"/>
              </w:rPr>
            </w:r>
          </w:p>
        </w:tc>
        <w:tc>
          <w:tcPr>
            <w:vAlign w:val="center"/>
          </w:tcPr>
          <w:p w:rsidR="00000000" w:rsidDel="00000000" w:rsidP="00000000" w:rsidRDefault="00000000" w:rsidRPr="00000000" w14:paraId="000000E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p&lt;0.05</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p&lt;0.01</w:t>
            </w:r>
            <w:r w:rsidDel="00000000" w:rsidR="00000000" w:rsidRPr="00000000">
              <w:rPr>
                <w:rFonts w:ascii="Arial" w:cs="Arial" w:eastAsia="Arial" w:hAnsi="Arial"/>
                <w:sz w:val="16"/>
                <w:szCs w:val="16"/>
                <w:vertAlign w:val="superscript"/>
                <w:rtl w:val="0"/>
              </w:rPr>
              <w:t xml:space="preserve">***</w:t>
            </w:r>
            <w:r w:rsidDel="00000000" w:rsidR="00000000" w:rsidRPr="00000000">
              <w:rPr>
                <w:rFonts w:ascii="Arial" w:cs="Arial" w:eastAsia="Arial" w:hAnsi="Arial"/>
                <w:sz w:val="16"/>
                <w:szCs w:val="16"/>
                <w:rtl w:val="0"/>
              </w:rPr>
              <w:t xml:space="preserve">p&lt;0.001</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EE">
      <w:pPr>
        <w:keepNext w:val="0"/>
        <w:keepLines w:val="0"/>
        <w:shd w:fill="ffffff" w:val="clear"/>
        <w:rPr>
          <w:rFonts w:ascii="Arial" w:cs="Arial" w:eastAsia="Arial" w:hAnsi="Arial"/>
        </w:rPr>
      </w:pPr>
      <w:r w:rsidDel="00000000" w:rsidR="00000000" w:rsidRPr="00000000">
        <w:rPr>
          <w:rFonts w:ascii="Arial" w:cs="Arial" w:eastAsia="Arial" w:hAnsi="Arial"/>
          <w:rtl w:val="0"/>
        </w:rPr>
        <w:t xml:space="preserve">Hosmer, D.W. &amp; Lemeshow, S. (1989) Applied logistic regression. Wiley: New York</w:t>
      </w:r>
    </w:p>
    <w:p w:rsidR="00000000" w:rsidDel="00000000" w:rsidP="00000000" w:rsidRDefault="00000000" w:rsidRPr="00000000" w14:paraId="000000EF">
      <w:pPr>
        <w:rPr>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735B2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735B26"/>
    <w:rPr>
      <w:rFonts w:asciiTheme="majorHAnsi" w:cstheme="majorBidi" w:eastAsiaTheme="majorEastAsia" w:hAnsiTheme="majorHAnsi"/>
      <w:color w:val="2f5496" w:themeColor="accent1" w:themeShade="0000BF"/>
      <w:sz w:val="26"/>
      <w:szCs w:val="26"/>
    </w:rPr>
  </w:style>
  <w:style w:type="paragraph" w:styleId="Caption">
    <w:name w:val="caption"/>
    <w:basedOn w:val="Normal"/>
    <w:next w:val="Normal"/>
    <w:uiPriority w:val="35"/>
    <w:unhideWhenUsed w:val="1"/>
    <w:qFormat w:val="1"/>
    <w:rsid w:val="00735B26"/>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0hIFbjI20QuNiCcVXUhZgJ+lA==">AMUW2mXF+n+Qv25Ry6kziI5ntYNwp8RFdxZomAcIZFPZQ/FoYPJ3S8Bm6DU1UO9NUXJWyetbF0rvkZGasCXcVdmrFOs50D12YTsJQ6odi6oywPWCWHIjG2Y=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2022-07-10T19:36:00Z</dcterms:created>
  <dc:creator>Jamie Furlong</dc:creator>
</cp:coreProperties>
</file>