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A3181" w14:textId="0C0A47E0" w:rsidR="001E79AC" w:rsidRPr="008C10B7" w:rsidRDefault="008C645A" w:rsidP="00E7001C">
      <w:pPr>
        <w:spacing w:line="360" w:lineRule="auto"/>
        <w:rPr>
          <w:rFonts w:cs="Times New Roman"/>
          <w:b/>
        </w:rPr>
      </w:pPr>
      <w:bookmarkStart w:id="0" w:name="_Hlk100824802"/>
      <w:bookmarkStart w:id="1" w:name="_Toc523635474"/>
      <w:bookmarkStart w:id="2" w:name="_Toc78625134"/>
      <w:r w:rsidRPr="008C10B7">
        <w:rPr>
          <w:rFonts w:cs="Times New Roman"/>
          <w:b/>
        </w:rPr>
        <w:t xml:space="preserve">How street greenery facilitates active travel for </w:t>
      </w:r>
      <w:r w:rsidR="00E2625F" w:rsidRPr="008C10B7">
        <w:rPr>
          <w:rFonts w:cs="Times New Roman"/>
          <w:b/>
        </w:rPr>
        <w:t xml:space="preserve">university </w:t>
      </w:r>
      <w:r w:rsidRPr="008C10B7">
        <w:rPr>
          <w:rFonts w:cs="Times New Roman"/>
          <w:b/>
        </w:rPr>
        <w:t>students</w:t>
      </w:r>
    </w:p>
    <w:p w14:paraId="0F9CFC89" w14:textId="77777777" w:rsidR="00E2625F" w:rsidRPr="008C10B7" w:rsidRDefault="00E2625F" w:rsidP="00E7001C">
      <w:pPr>
        <w:spacing w:line="360" w:lineRule="auto"/>
        <w:rPr>
          <w:rFonts w:cs="Times New Roman"/>
          <w:b/>
        </w:rPr>
      </w:pPr>
    </w:p>
    <w:bookmarkEnd w:id="0"/>
    <w:p w14:paraId="05B99EEA" w14:textId="2DC888E4" w:rsidR="004C120A" w:rsidRPr="008C10B7" w:rsidRDefault="00D9292E" w:rsidP="00E7001C">
      <w:pPr>
        <w:spacing w:line="360" w:lineRule="auto"/>
        <w:rPr>
          <w:rFonts w:cstheme="majorHAnsi"/>
          <w:b/>
          <w:sz w:val="22"/>
          <w:szCs w:val="22"/>
        </w:rPr>
      </w:pPr>
      <w:r w:rsidRPr="008C10B7">
        <w:rPr>
          <w:rFonts w:cstheme="majorHAnsi"/>
          <w:b/>
          <w:sz w:val="22"/>
          <w:szCs w:val="22"/>
        </w:rPr>
        <w:t>Abstr</w:t>
      </w:r>
      <w:r w:rsidR="00203C3C" w:rsidRPr="008C10B7">
        <w:rPr>
          <w:rFonts w:cstheme="majorHAnsi"/>
          <w:b/>
          <w:sz w:val="22"/>
          <w:szCs w:val="22"/>
        </w:rPr>
        <w:t>act</w:t>
      </w:r>
      <w:bookmarkStart w:id="3" w:name="OLE_LINK1"/>
      <w:bookmarkStart w:id="4" w:name="OLE_LINK2"/>
      <w:bookmarkEnd w:id="1"/>
      <w:bookmarkEnd w:id="2"/>
    </w:p>
    <w:p w14:paraId="407250B9" w14:textId="5D0D7111" w:rsidR="00231778" w:rsidRPr="008C10B7" w:rsidRDefault="00231778" w:rsidP="00E7001C">
      <w:pPr>
        <w:spacing w:line="360" w:lineRule="auto"/>
        <w:jc w:val="both"/>
        <w:rPr>
          <w:sz w:val="22"/>
          <w:szCs w:val="22"/>
        </w:rPr>
      </w:pPr>
      <w:r w:rsidRPr="008C10B7">
        <w:rPr>
          <w:i/>
          <w:iCs/>
          <w:sz w:val="22"/>
          <w:szCs w:val="22"/>
        </w:rPr>
        <w:t>Introduction:</w:t>
      </w:r>
      <w:r w:rsidRPr="008C10B7">
        <w:rPr>
          <w:sz w:val="22"/>
          <w:szCs w:val="22"/>
        </w:rPr>
        <w:t xml:space="preserve"> </w:t>
      </w:r>
      <w:r w:rsidR="00DD3D65" w:rsidRPr="008C10B7">
        <w:rPr>
          <w:sz w:val="22"/>
          <w:szCs w:val="22"/>
        </w:rPr>
        <w:t xml:space="preserve">Active travel is </w:t>
      </w:r>
      <w:r w:rsidR="00D27B6E" w:rsidRPr="008C10B7">
        <w:rPr>
          <w:sz w:val="22"/>
          <w:szCs w:val="22"/>
        </w:rPr>
        <w:t>currently</w:t>
      </w:r>
      <w:r w:rsidR="00DD3D65" w:rsidRPr="008C10B7">
        <w:rPr>
          <w:sz w:val="22"/>
          <w:szCs w:val="22"/>
        </w:rPr>
        <w:t xml:space="preserve"> gaining popularity worldwide as a sustainable form of travel. However, very few studies have examined how the built environment affects active travel behaviour on university campuses, particularly in China. It is a key feature of Chinese university campuses that they are generally gated communities, which are spatially organised in a very different way from campuses in other countries, and they often also provide for students’ daily needs</w:t>
      </w:r>
      <w:r w:rsidR="00D27B6E" w:rsidRPr="008C10B7">
        <w:rPr>
          <w:sz w:val="22"/>
          <w:szCs w:val="22"/>
        </w:rPr>
        <w:t>, meaning that students tend to travel off-campus less frequently</w:t>
      </w:r>
      <w:r w:rsidR="00DD3D65" w:rsidRPr="008C10B7">
        <w:rPr>
          <w:sz w:val="22"/>
          <w:szCs w:val="22"/>
        </w:rPr>
        <w:t>.</w:t>
      </w:r>
    </w:p>
    <w:p w14:paraId="2B46EDDD" w14:textId="612429B9" w:rsidR="00231778" w:rsidRPr="008C10B7" w:rsidRDefault="00231778" w:rsidP="00E7001C">
      <w:pPr>
        <w:spacing w:line="360" w:lineRule="auto"/>
        <w:jc w:val="both"/>
        <w:rPr>
          <w:sz w:val="22"/>
          <w:szCs w:val="22"/>
        </w:rPr>
      </w:pPr>
      <w:r w:rsidRPr="008C10B7">
        <w:rPr>
          <w:i/>
          <w:iCs/>
          <w:sz w:val="22"/>
          <w:szCs w:val="22"/>
        </w:rPr>
        <w:t>Aims:</w:t>
      </w:r>
      <w:r w:rsidR="00DD3D65" w:rsidRPr="008C10B7">
        <w:rPr>
          <w:sz w:val="22"/>
          <w:szCs w:val="22"/>
        </w:rPr>
        <w:t xml:space="preserve"> This research aims to explore the link between street greenery and the active travel behaviour of students on closed university campuses in China.</w:t>
      </w:r>
    </w:p>
    <w:p w14:paraId="4CE7E64D" w14:textId="2AE32AA6" w:rsidR="00231778" w:rsidRPr="008C10B7" w:rsidRDefault="00231778" w:rsidP="00E7001C">
      <w:pPr>
        <w:spacing w:line="360" w:lineRule="auto"/>
        <w:jc w:val="both"/>
        <w:rPr>
          <w:sz w:val="22"/>
          <w:szCs w:val="22"/>
        </w:rPr>
      </w:pPr>
      <w:r w:rsidRPr="008C10B7">
        <w:rPr>
          <w:i/>
          <w:iCs/>
          <w:sz w:val="22"/>
          <w:szCs w:val="22"/>
        </w:rPr>
        <w:t>Methods:</w:t>
      </w:r>
      <w:r w:rsidR="00DD3D65" w:rsidRPr="008C10B7">
        <w:rPr>
          <w:sz w:val="22"/>
          <w:szCs w:val="22"/>
        </w:rPr>
        <w:t xml:space="preserve"> The study combined sensor data from Guangzhou Higher Education Mega Centre (HEMC), China, with individual cross-sectional survey data from university students and applied a multilevel logistic regression model to conduct the analysis. Street-view images were analysed using a deep learning approach, which represents an emerging method for assessing urban green space.</w:t>
      </w:r>
    </w:p>
    <w:p w14:paraId="579B0AD0" w14:textId="48048D18" w:rsidR="00231778" w:rsidRPr="008C10B7" w:rsidRDefault="00231778" w:rsidP="00E7001C">
      <w:pPr>
        <w:spacing w:line="360" w:lineRule="auto"/>
        <w:jc w:val="both"/>
        <w:rPr>
          <w:sz w:val="22"/>
          <w:szCs w:val="22"/>
        </w:rPr>
      </w:pPr>
      <w:r w:rsidRPr="008C10B7">
        <w:rPr>
          <w:i/>
          <w:iCs/>
          <w:sz w:val="22"/>
          <w:szCs w:val="22"/>
        </w:rPr>
        <w:t>Results:</w:t>
      </w:r>
      <w:r w:rsidR="00DD3D65" w:rsidRPr="008C10B7">
        <w:rPr>
          <w:sz w:val="22"/>
          <w:szCs w:val="22"/>
        </w:rPr>
        <w:t xml:space="preserve"> The results demonstrated that street greenery on campuses is positively associated with active travel among university students. Modes of travel also influenced active travel, with university students who owned bicycles tending to participate in active travel more; however, those who travelled by electric bikes were less likely to participate in active travel.</w:t>
      </w:r>
    </w:p>
    <w:p w14:paraId="5D825668" w14:textId="71F09693" w:rsidR="00DD3D65" w:rsidRPr="008C10B7" w:rsidRDefault="00231778" w:rsidP="00E7001C">
      <w:pPr>
        <w:spacing w:line="360" w:lineRule="auto"/>
        <w:jc w:val="both"/>
        <w:rPr>
          <w:sz w:val="22"/>
          <w:szCs w:val="22"/>
        </w:rPr>
      </w:pPr>
      <w:r w:rsidRPr="008C10B7">
        <w:rPr>
          <w:i/>
          <w:iCs/>
          <w:sz w:val="22"/>
          <w:szCs w:val="22"/>
        </w:rPr>
        <w:t>Conclusions:</w:t>
      </w:r>
      <w:r w:rsidR="00DD3D65" w:rsidRPr="008C10B7">
        <w:rPr>
          <w:sz w:val="22"/>
          <w:szCs w:val="22"/>
        </w:rPr>
        <w:t xml:space="preserve"> This study suggests that policymakers and transport planners should focus more on greening urban areas and improving walking and cycling environments to achieve green transport goals through urban planning. </w:t>
      </w:r>
    </w:p>
    <w:bookmarkEnd w:id="3"/>
    <w:bookmarkEnd w:id="4"/>
    <w:p w14:paraId="1EE3565F" w14:textId="77777777" w:rsidR="001E79AC" w:rsidRPr="008C10B7" w:rsidRDefault="001E79AC" w:rsidP="00E7001C">
      <w:pPr>
        <w:spacing w:line="360" w:lineRule="auto"/>
        <w:jc w:val="both"/>
        <w:rPr>
          <w:sz w:val="22"/>
          <w:szCs w:val="22"/>
        </w:rPr>
      </w:pPr>
    </w:p>
    <w:p w14:paraId="0899B47F" w14:textId="7F540F2D" w:rsidR="00986BB0" w:rsidRPr="008C10B7" w:rsidRDefault="004E2B85" w:rsidP="00E7001C">
      <w:pPr>
        <w:spacing w:line="360" w:lineRule="auto"/>
        <w:jc w:val="both"/>
        <w:rPr>
          <w:rFonts w:ascii="SimSun" w:hAnsi="SimSun"/>
          <w:b/>
          <w:bCs/>
          <w:sz w:val="22"/>
          <w:szCs w:val="22"/>
        </w:rPr>
      </w:pPr>
      <w:r w:rsidRPr="008C10B7">
        <w:rPr>
          <w:b/>
          <w:bCs/>
          <w:sz w:val="22"/>
          <w:szCs w:val="22"/>
        </w:rPr>
        <w:t>Keywords</w:t>
      </w:r>
    </w:p>
    <w:p w14:paraId="1D428B0B" w14:textId="06BA7FE9" w:rsidR="004E2B85" w:rsidRPr="008C10B7" w:rsidRDefault="00231778" w:rsidP="00E7001C">
      <w:pPr>
        <w:spacing w:line="360" w:lineRule="auto"/>
        <w:jc w:val="both"/>
        <w:rPr>
          <w:rFonts w:ascii="SimSun" w:hAnsi="SimSun"/>
          <w:sz w:val="22"/>
          <w:szCs w:val="22"/>
        </w:rPr>
      </w:pPr>
      <w:r w:rsidRPr="008C10B7">
        <w:rPr>
          <w:sz w:val="22"/>
          <w:szCs w:val="22"/>
        </w:rPr>
        <w:t xml:space="preserve">Active travel; </w:t>
      </w:r>
      <w:r w:rsidR="0096391E" w:rsidRPr="008C10B7">
        <w:rPr>
          <w:sz w:val="22"/>
          <w:szCs w:val="22"/>
        </w:rPr>
        <w:t xml:space="preserve">Health; Equity; </w:t>
      </w:r>
      <w:r w:rsidRPr="008C10B7">
        <w:rPr>
          <w:sz w:val="22"/>
          <w:szCs w:val="22"/>
        </w:rPr>
        <w:t xml:space="preserve">Behavioural change; </w:t>
      </w:r>
      <w:r w:rsidR="004E2B85" w:rsidRPr="008C10B7">
        <w:rPr>
          <w:sz w:val="22"/>
          <w:szCs w:val="22"/>
        </w:rPr>
        <w:t xml:space="preserve">Street </w:t>
      </w:r>
      <w:r w:rsidR="00425404" w:rsidRPr="008C10B7">
        <w:rPr>
          <w:sz w:val="22"/>
          <w:szCs w:val="22"/>
        </w:rPr>
        <w:t>g</w:t>
      </w:r>
      <w:r w:rsidR="004E2B85" w:rsidRPr="008C10B7">
        <w:rPr>
          <w:sz w:val="22"/>
          <w:szCs w:val="22"/>
        </w:rPr>
        <w:t>reenery</w:t>
      </w:r>
      <w:r w:rsidR="003B7F58" w:rsidRPr="008C10B7">
        <w:rPr>
          <w:sz w:val="22"/>
          <w:szCs w:val="22"/>
        </w:rPr>
        <w:t xml:space="preserve">; </w:t>
      </w:r>
      <w:r w:rsidR="00322D72" w:rsidRPr="008C10B7">
        <w:rPr>
          <w:sz w:val="22"/>
          <w:szCs w:val="22"/>
        </w:rPr>
        <w:t>Urban planning</w:t>
      </w:r>
    </w:p>
    <w:p w14:paraId="1CB83A15" w14:textId="3BC9BA87" w:rsidR="00986BB0" w:rsidRPr="008C10B7" w:rsidRDefault="00986BB0" w:rsidP="00E7001C">
      <w:pPr>
        <w:spacing w:line="360" w:lineRule="auto"/>
        <w:jc w:val="both"/>
        <w:rPr>
          <w:sz w:val="22"/>
          <w:szCs w:val="22"/>
        </w:rPr>
      </w:pPr>
    </w:p>
    <w:p w14:paraId="45059F50" w14:textId="77777777" w:rsidR="009C227C" w:rsidRPr="008C10B7" w:rsidRDefault="009C227C" w:rsidP="00E7001C">
      <w:pPr>
        <w:spacing w:line="360" w:lineRule="auto"/>
        <w:jc w:val="both"/>
        <w:rPr>
          <w:sz w:val="22"/>
          <w:szCs w:val="22"/>
        </w:rPr>
      </w:pPr>
    </w:p>
    <w:p w14:paraId="23BECB99" w14:textId="77777777" w:rsidR="00582C6F" w:rsidRPr="008C10B7" w:rsidRDefault="00582C6F" w:rsidP="00E7001C">
      <w:pPr>
        <w:spacing w:line="360" w:lineRule="auto"/>
        <w:jc w:val="both"/>
        <w:rPr>
          <w:b/>
          <w:bCs/>
          <w:sz w:val="22"/>
          <w:szCs w:val="22"/>
        </w:rPr>
      </w:pPr>
      <w:r w:rsidRPr="008C10B7">
        <w:rPr>
          <w:b/>
          <w:sz w:val="22"/>
          <w:szCs w:val="22"/>
        </w:rPr>
        <w:lastRenderedPageBreak/>
        <w:t>Highlights</w:t>
      </w:r>
      <w:r w:rsidRPr="008C10B7">
        <w:rPr>
          <w:b/>
          <w:bCs/>
          <w:sz w:val="22"/>
          <w:szCs w:val="22"/>
        </w:rPr>
        <w:t xml:space="preserve"> </w:t>
      </w:r>
    </w:p>
    <w:p w14:paraId="69956EBE" w14:textId="26D25926" w:rsidR="00582C6F" w:rsidRPr="008C10B7" w:rsidRDefault="00582C6F" w:rsidP="00E7001C">
      <w:pPr>
        <w:numPr>
          <w:ilvl w:val="0"/>
          <w:numId w:val="21"/>
        </w:numPr>
        <w:spacing w:line="360" w:lineRule="auto"/>
        <w:ind w:left="0"/>
        <w:jc w:val="both"/>
        <w:rPr>
          <w:sz w:val="22"/>
          <w:szCs w:val="22"/>
        </w:rPr>
      </w:pPr>
      <w:r w:rsidRPr="008C10B7">
        <w:rPr>
          <w:sz w:val="22"/>
          <w:szCs w:val="22"/>
        </w:rPr>
        <w:t xml:space="preserve">Street-view images and deep learning </w:t>
      </w:r>
      <w:r w:rsidR="00293834" w:rsidRPr="008C10B7">
        <w:rPr>
          <w:sz w:val="22"/>
          <w:szCs w:val="22"/>
        </w:rPr>
        <w:t>are</w:t>
      </w:r>
      <w:r w:rsidRPr="008C10B7">
        <w:rPr>
          <w:sz w:val="22"/>
          <w:szCs w:val="22"/>
        </w:rPr>
        <w:t xml:space="preserve"> combined to assess urban green space.</w:t>
      </w:r>
    </w:p>
    <w:p w14:paraId="24C657C6" w14:textId="77777777" w:rsidR="00582C6F" w:rsidRPr="008C10B7" w:rsidRDefault="00582C6F" w:rsidP="00E7001C">
      <w:pPr>
        <w:numPr>
          <w:ilvl w:val="0"/>
          <w:numId w:val="21"/>
        </w:numPr>
        <w:spacing w:line="360" w:lineRule="auto"/>
        <w:ind w:left="0"/>
        <w:jc w:val="both"/>
        <w:rPr>
          <w:sz w:val="22"/>
          <w:szCs w:val="22"/>
        </w:rPr>
      </w:pPr>
      <w:r w:rsidRPr="008C10B7">
        <w:rPr>
          <w:sz w:val="22"/>
          <w:szCs w:val="22"/>
        </w:rPr>
        <w:t>Street greenery has a positive impact on active travel on gated university campuses.</w:t>
      </w:r>
    </w:p>
    <w:p w14:paraId="68221E38" w14:textId="6067DBEC" w:rsidR="00582C6F" w:rsidRPr="008C10B7" w:rsidRDefault="00582C6F" w:rsidP="00E7001C">
      <w:pPr>
        <w:numPr>
          <w:ilvl w:val="0"/>
          <w:numId w:val="21"/>
        </w:numPr>
        <w:spacing w:line="360" w:lineRule="auto"/>
        <w:ind w:left="0"/>
        <w:jc w:val="both"/>
        <w:rPr>
          <w:sz w:val="22"/>
          <w:szCs w:val="22"/>
        </w:rPr>
      </w:pPr>
      <w:r w:rsidRPr="008C10B7">
        <w:rPr>
          <w:sz w:val="22"/>
          <w:szCs w:val="22"/>
        </w:rPr>
        <w:t xml:space="preserve">Ownership of transport tools influences the tendency </w:t>
      </w:r>
      <w:r w:rsidR="00293834" w:rsidRPr="008C10B7">
        <w:rPr>
          <w:sz w:val="22"/>
          <w:szCs w:val="22"/>
        </w:rPr>
        <w:t>to use</w:t>
      </w:r>
      <w:r w:rsidRPr="008C10B7">
        <w:rPr>
          <w:sz w:val="22"/>
          <w:szCs w:val="22"/>
        </w:rPr>
        <w:t xml:space="preserve"> active travel.</w:t>
      </w:r>
    </w:p>
    <w:p w14:paraId="7FEE3BA2" w14:textId="77777777" w:rsidR="00582C6F" w:rsidRPr="008C10B7" w:rsidRDefault="00582C6F" w:rsidP="00E7001C">
      <w:pPr>
        <w:numPr>
          <w:ilvl w:val="0"/>
          <w:numId w:val="21"/>
        </w:numPr>
        <w:spacing w:line="360" w:lineRule="auto"/>
        <w:ind w:left="0"/>
        <w:jc w:val="both"/>
        <w:rPr>
          <w:sz w:val="22"/>
          <w:szCs w:val="22"/>
        </w:rPr>
      </w:pPr>
      <w:r w:rsidRPr="008C10B7">
        <w:rPr>
          <w:sz w:val="22"/>
          <w:szCs w:val="22"/>
        </w:rPr>
        <w:t>Green space assessed by remote sensing is not associated with active travel.</w:t>
      </w:r>
    </w:p>
    <w:p w14:paraId="7172A844" w14:textId="41C3D278" w:rsidR="00582C6F" w:rsidRPr="008C10B7" w:rsidRDefault="00582C6F" w:rsidP="00E7001C">
      <w:pPr>
        <w:numPr>
          <w:ilvl w:val="0"/>
          <w:numId w:val="21"/>
        </w:numPr>
        <w:spacing w:line="360" w:lineRule="auto"/>
        <w:ind w:left="0"/>
        <w:jc w:val="both"/>
        <w:rPr>
          <w:sz w:val="22"/>
          <w:szCs w:val="22"/>
        </w:rPr>
      </w:pPr>
      <w:r w:rsidRPr="008C10B7">
        <w:rPr>
          <w:sz w:val="22"/>
          <w:szCs w:val="22"/>
        </w:rPr>
        <w:t>Using street-view images has great potential for transport studies.</w:t>
      </w:r>
    </w:p>
    <w:p w14:paraId="63C27BFB" w14:textId="4C7E19FF" w:rsidR="00582C6F" w:rsidRPr="008C10B7" w:rsidRDefault="00582C6F">
      <w:pPr>
        <w:spacing w:line="480" w:lineRule="auto"/>
        <w:jc w:val="both"/>
        <w:sectPr w:rsidR="00582C6F" w:rsidRPr="008C10B7" w:rsidSect="00206AA5">
          <w:footerReference w:type="even" r:id="rId12"/>
          <w:footerReference w:type="default" r:id="rId13"/>
          <w:pgSz w:w="11906" w:h="16838" w:code="9"/>
          <w:pgMar w:top="1440" w:right="1797" w:bottom="1440" w:left="1797" w:header="851" w:footer="992" w:gutter="0"/>
          <w:pgNumType w:start="1"/>
          <w:cols w:space="425"/>
          <w:docGrid w:type="lines" w:linePitch="326"/>
        </w:sectPr>
      </w:pPr>
    </w:p>
    <w:p w14:paraId="14AB5608" w14:textId="376BFF88" w:rsidR="004D3D6C" w:rsidRPr="008C10B7" w:rsidRDefault="00711121" w:rsidP="00E7001C">
      <w:pPr>
        <w:spacing w:line="360" w:lineRule="auto"/>
        <w:jc w:val="both"/>
        <w:rPr>
          <w:rFonts w:cs="Times New Roman"/>
          <w:b/>
          <w:sz w:val="22"/>
          <w:szCs w:val="28"/>
        </w:rPr>
      </w:pPr>
      <w:bookmarkStart w:id="5" w:name="_Toc78625135"/>
      <w:r w:rsidRPr="008C10B7">
        <w:rPr>
          <w:rFonts w:cs="Times New Roman"/>
          <w:b/>
          <w:sz w:val="22"/>
          <w:szCs w:val="28"/>
        </w:rPr>
        <w:lastRenderedPageBreak/>
        <w:t>1</w:t>
      </w:r>
      <w:r w:rsidR="00986BB0" w:rsidRPr="008C10B7">
        <w:rPr>
          <w:rFonts w:cs="Times New Roman"/>
          <w:b/>
          <w:sz w:val="22"/>
          <w:szCs w:val="28"/>
        </w:rPr>
        <w:t>.</w:t>
      </w:r>
      <w:r w:rsidRPr="008C10B7">
        <w:rPr>
          <w:rFonts w:cs="Times New Roman"/>
          <w:b/>
          <w:sz w:val="22"/>
          <w:szCs w:val="28"/>
        </w:rPr>
        <w:t xml:space="preserve"> Introduction</w:t>
      </w:r>
      <w:bookmarkEnd w:id="5"/>
    </w:p>
    <w:p w14:paraId="4C29C9A5" w14:textId="4CDC0A68" w:rsidR="004D3D6C" w:rsidRPr="008C10B7" w:rsidRDefault="00711121" w:rsidP="00E7001C">
      <w:pPr>
        <w:spacing w:line="360" w:lineRule="auto"/>
        <w:jc w:val="both"/>
        <w:rPr>
          <w:rFonts w:cs="Times New Roman"/>
          <w:sz w:val="22"/>
          <w:szCs w:val="22"/>
        </w:rPr>
      </w:pPr>
      <w:r w:rsidRPr="008C10B7">
        <w:rPr>
          <w:rFonts w:cs="Times New Roman"/>
          <w:sz w:val="22"/>
          <w:szCs w:val="22"/>
        </w:rPr>
        <w:t>Active travel (AT) can prevent health risks by increasing physical activit</w:t>
      </w:r>
      <w:r w:rsidR="00293834" w:rsidRPr="008C10B7">
        <w:rPr>
          <w:rFonts w:cs="Times New Roman"/>
          <w:sz w:val="22"/>
          <w:szCs w:val="22"/>
        </w:rPr>
        <w:t>y</w:t>
      </w:r>
      <w:r w:rsidRPr="008C10B7">
        <w:rPr>
          <w:rFonts w:cs="Times New Roman"/>
          <w:sz w:val="22"/>
          <w:szCs w:val="22"/>
        </w:rPr>
        <w:t xml:space="preserve"> </w:t>
      </w:r>
      <w:r w:rsidRPr="008C10B7">
        <w:rPr>
          <w:rFonts w:cs="Times New Roman"/>
          <w:sz w:val="22"/>
          <w:szCs w:val="22"/>
        </w:rPr>
        <w:fldChar w:fldCharType="begin" w:fldLock="1"/>
      </w:r>
      <w:r w:rsidR="00B74AD7" w:rsidRPr="008C10B7">
        <w:rPr>
          <w:rFonts w:cs="Times New Roman"/>
          <w:sz w:val="22"/>
          <w:szCs w:val="22"/>
        </w:rPr>
        <w:instrText>ADDIN CSL_CITATION {"citationItems":[{"id":"ITEM-1","itemData":{"DOI":"10.1016/j.jth.2019.100819","ISSN":"22141405","abstract":"Background: Physical inactivity is one of the main risk factors for death worldwide. There is a paucity of studies about the association between transport and objective health measures using nationally representative samples worldwide, especially from Latin American countries. The aim of this research is to explore the relationship between active transportation and objective health measures in Chile. Methods: We analysed the Chilean National Health Survey (ENS) 2016–2017, based on a nationally representative sample of non-institutionalised adults aged ≥15 years (n = 6,113). ENS included anthropometric measures (weight, height, waist circumference), a specific question about the main mode of transportation and several metabolic markers. Results: 41%, 38% and 21% of participants used public transport, motor vehicles and active (cycling and walking) transport respectively. Higher levels of active transport were observed in males, younger groups, less educated and rural populations. Both active and public transport were associated with multiple nutritional and metabolic benefits such as lower BMI, lower waist circumference, less obesity, higher vitamin D, lower cholesterol and lower hepatic inflammation. Associations persisted after adjusting for other healthy lifestyles. Stronger benefits were observed in males than in females. Conclusions: Promoting active transportation in urban planning policies may help Chile tackle the growing burden of chronic diseases.","author":[{"dropping-particle":"","family":"Passi-Solar","given":"Álvaro","non-dropping-particle":"","parse-names":false,"suffix":""},{"dropping-particle":"","family":"Margozzini","given":"Paula","non-dropping-particle":"","parse-names":false,"suffix":""},{"dropping-particle":"","family":"Cortinez-O'Ryan","given":"Andrea","non-dropping-particle":"","parse-names":false,"suffix":""},{"dropping-particle":"","family":"Muñoz","given":"Juan C.","non-dropping-particle":"","parse-names":false,"suffix":""},{"dropping-particle":"","family":"Mindell","given":"Jennifer S.","non-dropping-particle":"","parse-names":false,"suffix":""}],"container-title":"Journal of Transport and Health","id":"ITEM-1","issued":{"date-parts":[["2020","6","1"]]},"page":"100819","publisher":"Elsevier Ltd","title":"Nutritional and metabolic benefits associated with active and public transport: Results from the Chilean National Health Survey, ENS 2016–2017","type":"article-journal","volume":"17"},"uris":["http://www.mendeley.com/documents/?uuid=520a7a95-e728-3ba7-a494-f8da9970bd5a"]}],"mendeley":{"formattedCitation":"(Passi-Solar et al., 2020)","plainTextFormattedCitation":"(Passi-Solar et al., 2020)","previouslyFormattedCitation":"(Passi-Solar et al., 2020)"},"properties":{"noteIndex":0},"schema":"https://github.com/citation-style-language/schema/raw/master/csl-citation.json"}</w:instrText>
      </w:r>
      <w:r w:rsidRPr="008C10B7">
        <w:rPr>
          <w:rFonts w:cs="Times New Roman"/>
          <w:sz w:val="22"/>
          <w:szCs w:val="22"/>
        </w:rPr>
        <w:fldChar w:fldCharType="separate"/>
      </w:r>
      <w:r w:rsidR="008C7EFD" w:rsidRPr="008C10B7">
        <w:rPr>
          <w:rFonts w:cs="Times New Roman"/>
          <w:sz w:val="22"/>
          <w:szCs w:val="22"/>
        </w:rPr>
        <w:t>(Passi-Solar et al., 2020</w:t>
      </w:r>
      <w:r w:rsidR="005F349F">
        <w:rPr>
          <w:rFonts w:cs="Times New Roman"/>
          <w:sz w:val="22"/>
          <w:szCs w:val="22"/>
        </w:rPr>
        <w:t>; Wang et al., 2022a</w:t>
      </w:r>
      <w:r w:rsidR="008C7EFD" w:rsidRPr="008C10B7">
        <w:rPr>
          <w:rFonts w:cs="Times New Roman"/>
          <w:sz w:val="22"/>
          <w:szCs w:val="22"/>
        </w:rPr>
        <w:t>)</w:t>
      </w:r>
      <w:r w:rsidRPr="008C10B7">
        <w:rPr>
          <w:rFonts w:cs="Times New Roman"/>
          <w:sz w:val="22"/>
          <w:szCs w:val="22"/>
        </w:rPr>
        <w:fldChar w:fldCharType="end"/>
      </w:r>
      <w:r w:rsidR="00322B90" w:rsidRPr="008C10B7">
        <w:rPr>
          <w:rFonts w:cs="Times New Roman"/>
          <w:sz w:val="22"/>
          <w:szCs w:val="22"/>
        </w:rPr>
        <w:t>, and th</w:t>
      </w:r>
      <w:r w:rsidRPr="008C10B7">
        <w:rPr>
          <w:rFonts w:cs="Times New Roman"/>
          <w:sz w:val="22"/>
          <w:szCs w:val="22"/>
        </w:rPr>
        <w:t xml:space="preserve">e relationship between the built environment and </w:t>
      </w:r>
      <w:r w:rsidR="0030654E" w:rsidRPr="008C10B7">
        <w:rPr>
          <w:rFonts w:cs="Times New Roman"/>
          <w:sz w:val="22"/>
          <w:szCs w:val="22"/>
        </w:rPr>
        <w:t>AT</w:t>
      </w:r>
      <w:r w:rsidRPr="008C10B7">
        <w:rPr>
          <w:rFonts w:cs="Times New Roman"/>
          <w:sz w:val="22"/>
          <w:szCs w:val="22"/>
        </w:rPr>
        <w:t xml:space="preserve"> has received growing attention in recent years </w:t>
      </w:r>
      <w:r w:rsidRPr="008C10B7">
        <w:rPr>
          <w:rFonts w:cs="Times New Roman"/>
          <w:sz w:val="22"/>
          <w:szCs w:val="22"/>
        </w:rPr>
        <w:fldChar w:fldCharType="begin" w:fldLock="1"/>
      </w:r>
      <w:r w:rsidR="00B74AD7" w:rsidRPr="008C10B7">
        <w:rPr>
          <w:rFonts w:cs="Times New Roman"/>
          <w:sz w:val="22"/>
          <w:szCs w:val="22"/>
        </w:rPr>
        <w:instrText>ADDIN CSL_CITATION {"citationItems":[{"id":"ITEM-1","itemData":{"DOI":"10.1016/j.healthplace.2011.08.021","ISSN":"18732054","abstract":"To evaluate the growing literature on the built environment and physical activity/obesity, we conducted a review of review papers. Through a systematic search, we identified 36 reviews that met the inclusion criteria and evaluated these reviews based on key information provided, review methodology, and specificity regarding measurement. We also analyzed research gaps and areas of improvement identified by previous reviews and propose a research agenda. Future studies should develop complex conceptual and statistical models that include moderators and mediators, improve objective and perceived measures of the built environment, and strengthen evidence of causality through better research designs. © 2011 Elsevier Ltd.","author":[{"dropping-particle":"","family":"Ding","given":"Ding","non-dropping-particle":"","parse-names":false,"suffix":""},{"dropping-particle":"","family":"Gebel","given":"Klaus","non-dropping-particle":"","parse-names":false,"suffix":""}],"container-title":"Health and Place","id":"ITEM-1","issue":"1","issued":{"date-parts":[["2012","1","1"]]},"page":"100-105","publisher":"Elsevier Ltd","title":"Built environment, physical activity, and obesity: What have we learned from reviewing the literature?","type":"article-journal","volume":"18"},"uris":["http://www.mendeley.com/documents/?uuid=71cced1c-3cb0-3463-99f0-a69c0db36908"]},{"id":"ITEM-2","itemData":{"DOI":"10.1016/j.jshs.2018.11.003","ISSN":"22132961","abstract":"Background: Neighborhood built environment may profoundly influence children's physical activity (PA) and body weight. This study systematically reviewed scientific evidence regarding the impact of built environment on PA and obesity among children and adolescents in China. Methods: A keyword and reference search was conducted in Active Living Research, Cochrane Library, PubMed, and Web of Science. Studies that met all of the following criteria were included in the review: (1) study designs—experimental studies, observational studies, and qualitative studies; (2) study subjects—Chinese children and/or adolescents aged ≤17 years; (3) exposures—neighborhood built environment; (4) outcomes—PA and/or body weight status; (5) article type—peer-reviewed publications; (6) time window of search—from the inception of an electronicbibliographic database to May 31, 2018; (7) country—China; and (8) language—articles written in English. Results: A total of 20 studies, including 16 cross-sectional studies, 3 longitudinal studies, and 1 descriptive study, met the predetermined selection criteria and were included in the review. A total of 13 studies adopted subjective built environment measures reported by parents and/or children,2 adopted objective measures (e.g., geographical information system, field observations), and 5 adopted both objective and subjective measures. PA behaviors included PA, physical inactivity, sedentary behavior, active/passive commuting from/to school, and park visits. Among the 16 studies that provided some quantitative estimates of the influence of built environment on PA and body weight status, all reported a statistically significant relationship in the expected direction. Availability and accessibility in proximity to greenspaces, parks, recreational facilities, and sidewalks were found to be associated with increased PA levels, reduced sedentary behaviors, and/or active commuting among Chinese childrenand adolescents. In contrast, the absence of bike lanes and living in higher density residential areas were associated with increased likelihood of childhood overweight and obesity. Conclusion: Neighborhood built environment plays an important role in Chinese children's PA engagement and weight outcomes. Building new exercise facilities and enhancing the accessibility of existing facilities hold the potential to enhance PA engagement among Chinese children and adolescents. In addition, urban designs that incorporate sidewalks, bike lanes, wa…","author":[{"dropping-particle":"","family":"An","given":"Ruopeng","non-dropping-particle":"","parse-names":false,"suffix":""},{"dropping-particle":"","family":"Shen","given":"Jing","non-dropping-particle":"","parse-names":false,"suffix":""},{"dropping-particle":"","family":"Yang","given":"Qiuying","non-dropping-particle":"","parse-names":false,"suffix":""},{"dropping-particle":"","family":"Yang","given":"Yan","non-dropping-particle":"","parse-names":false,"suffix":""}],"container-title":"Journal of Sport and Health Science","id":"ITEM-2","issue":"2","issued":{"date-parts":[["2019","3","1"]]},"page":"153-169","publisher":"Elsevier B.V.","title":"Impact of built environment on physical activity and obesity among children and adolescents in China: A narrative systematic review","type":"article","volume":"8"},"uris":["http://www.mendeley.com/documents/?uuid=0e6b2b0e-280b-3150-9a40-4f93ffe5beb2"]}],"mendeley":{"formattedCitation":"(An et al., 2019; Ding &amp; Gebel, 2012)","plainTextFormattedCitation":"(An et al., 2019; Ding &amp; Gebel, 2012)","previouslyFormattedCitation":"(An et al., 2019; Ding &amp; Gebel, 2012)"},"properties":{"noteIndex":0},"schema":"https://github.com/citation-style-language/schema/raw/master/csl-citation.json"}</w:instrText>
      </w:r>
      <w:r w:rsidRPr="008C10B7">
        <w:rPr>
          <w:rFonts w:cs="Times New Roman"/>
          <w:sz w:val="22"/>
          <w:szCs w:val="22"/>
        </w:rPr>
        <w:fldChar w:fldCharType="separate"/>
      </w:r>
      <w:r w:rsidR="008C7EFD" w:rsidRPr="008C10B7">
        <w:rPr>
          <w:rFonts w:cs="Times New Roman"/>
          <w:sz w:val="22"/>
          <w:szCs w:val="22"/>
        </w:rPr>
        <w:t xml:space="preserve">(An et al., 2019; Ding </w:t>
      </w:r>
      <w:r w:rsidR="005F349F">
        <w:rPr>
          <w:rFonts w:cs="Times New Roman"/>
          <w:sz w:val="22"/>
          <w:szCs w:val="22"/>
        </w:rPr>
        <w:t>and</w:t>
      </w:r>
      <w:r w:rsidR="008C7EFD" w:rsidRPr="008C10B7">
        <w:rPr>
          <w:rFonts w:cs="Times New Roman"/>
          <w:sz w:val="22"/>
          <w:szCs w:val="22"/>
        </w:rPr>
        <w:t xml:space="preserve"> Gebel, 2012</w:t>
      </w:r>
      <w:r w:rsidR="005F349F">
        <w:rPr>
          <w:rFonts w:cs="Times New Roman"/>
          <w:sz w:val="22"/>
          <w:szCs w:val="22"/>
        </w:rPr>
        <w:t>; Yang et al., 2021a</w:t>
      </w:r>
      <w:r w:rsidR="008C7EFD" w:rsidRPr="008C10B7">
        <w:rPr>
          <w:rFonts w:cs="Times New Roman"/>
          <w:sz w:val="22"/>
          <w:szCs w:val="22"/>
        </w:rPr>
        <w:t>)</w:t>
      </w:r>
      <w:r w:rsidRPr="008C10B7">
        <w:rPr>
          <w:rFonts w:cs="Times New Roman"/>
          <w:sz w:val="22"/>
          <w:szCs w:val="22"/>
        </w:rPr>
        <w:fldChar w:fldCharType="end"/>
      </w:r>
      <w:r w:rsidRPr="008C10B7">
        <w:rPr>
          <w:rFonts w:cs="Times New Roman"/>
          <w:sz w:val="22"/>
          <w:szCs w:val="22"/>
        </w:rPr>
        <w:t xml:space="preserve">. </w:t>
      </w:r>
      <w:r w:rsidR="00403810" w:rsidRPr="008C10B7">
        <w:rPr>
          <w:rFonts w:cs="Times New Roman"/>
          <w:sz w:val="22"/>
          <w:szCs w:val="22"/>
        </w:rPr>
        <w:t>Improving the built</w:t>
      </w:r>
      <w:r w:rsidR="00B43175" w:rsidRPr="008C10B7">
        <w:rPr>
          <w:rFonts w:cs="Times New Roman"/>
          <w:sz w:val="22"/>
          <w:szCs w:val="22"/>
        </w:rPr>
        <w:t xml:space="preserve"> environment </w:t>
      </w:r>
      <w:r w:rsidR="00403810" w:rsidRPr="008C10B7">
        <w:rPr>
          <w:rFonts w:cs="Times New Roman"/>
          <w:sz w:val="22"/>
          <w:szCs w:val="22"/>
        </w:rPr>
        <w:t xml:space="preserve">is an effective way to </w:t>
      </w:r>
      <w:r w:rsidR="00B43175" w:rsidRPr="008C10B7">
        <w:rPr>
          <w:rFonts w:cs="Times New Roman"/>
          <w:sz w:val="22"/>
          <w:szCs w:val="22"/>
        </w:rPr>
        <w:t xml:space="preserve">promote </w:t>
      </w:r>
      <w:r w:rsidR="0030654E" w:rsidRPr="008C10B7">
        <w:rPr>
          <w:rFonts w:cs="Times New Roman"/>
          <w:sz w:val="22"/>
          <w:szCs w:val="22"/>
        </w:rPr>
        <w:t>AT</w:t>
      </w:r>
      <w:r w:rsidR="00322B90" w:rsidRPr="008C10B7">
        <w:rPr>
          <w:rFonts w:cs="Times New Roman"/>
          <w:sz w:val="22"/>
          <w:szCs w:val="22"/>
        </w:rPr>
        <w:t xml:space="preserve"> and</w:t>
      </w:r>
      <w:r w:rsidR="00C27AE3" w:rsidRPr="008C10B7">
        <w:rPr>
          <w:rFonts w:cs="Times New Roman"/>
          <w:sz w:val="22"/>
          <w:szCs w:val="22"/>
        </w:rPr>
        <w:t>,</w:t>
      </w:r>
      <w:r w:rsidR="00322B90" w:rsidRPr="008C10B7">
        <w:rPr>
          <w:rFonts w:cs="Times New Roman"/>
          <w:sz w:val="22"/>
          <w:szCs w:val="22"/>
        </w:rPr>
        <w:t xml:space="preserve"> </w:t>
      </w:r>
      <w:r w:rsidR="00293834" w:rsidRPr="008C10B7">
        <w:rPr>
          <w:rFonts w:cs="Times New Roman"/>
          <w:sz w:val="22"/>
          <w:szCs w:val="22"/>
        </w:rPr>
        <w:t>consequently</w:t>
      </w:r>
      <w:r w:rsidR="00322B90" w:rsidRPr="008C10B7">
        <w:rPr>
          <w:rFonts w:cs="Times New Roman"/>
          <w:sz w:val="22"/>
          <w:szCs w:val="22"/>
        </w:rPr>
        <w:t>, good health, as</w:t>
      </w:r>
      <w:r w:rsidRPr="008C10B7">
        <w:rPr>
          <w:rFonts w:cs="Times New Roman"/>
          <w:sz w:val="22"/>
          <w:szCs w:val="22"/>
        </w:rPr>
        <w:t xml:space="preserve"> built environments that promote AT</w:t>
      </w:r>
      <w:r w:rsidR="00322B90" w:rsidRPr="008C10B7">
        <w:rPr>
          <w:rFonts w:cs="Times New Roman"/>
          <w:sz w:val="22"/>
          <w:szCs w:val="22"/>
        </w:rPr>
        <w:t xml:space="preserve"> c</w:t>
      </w:r>
      <w:r w:rsidRPr="008C10B7">
        <w:rPr>
          <w:rFonts w:cs="Times New Roman"/>
          <w:sz w:val="22"/>
          <w:szCs w:val="22"/>
        </w:rPr>
        <w:t xml:space="preserve">an </w:t>
      </w:r>
      <w:r w:rsidR="00322B90" w:rsidRPr="008C10B7">
        <w:rPr>
          <w:rFonts w:cs="Times New Roman"/>
          <w:sz w:val="22"/>
          <w:szCs w:val="22"/>
        </w:rPr>
        <w:t>effectively improve</w:t>
      </w:r>
      <w:r w:rsidRPr="008C10B7">
        <w:rPr>
          <w:rFonts w:cs="Times New Roman"/>
          <w:sz w:val="22"/>
          <w:szCs w:val="22"/>
        </w:rPr>
        <w:t xml:space="preserve"> physical activity </w:t>
      </w:r>
      <w:r w:rsidRPr="008C10B7">
        <w:rPr>
          <w:rFonts w:cs="Times New Roman"/>
          <w:sz w:val="22"/>
          <w:szCs w:val="22"/>
        </w:rPr>
        <w:fldChar w:fldCharType="begin" w:fldLock="1"/>
      </w:r>
      <w:r w:rsidR="00B74AD7" w:rsidRPr="008C10B7">
        <w:rPr>
          <w:rFonts w:cs="Times New Roman"/>
          <w:sz w:val="22"/>
          <w:szCs w:val="22"/>
        </w:rPr>
        <w:instrText>ADDIN CSL_CITATION {"citationItems":[{"id":"ITEM-1","itemData":{"DOI":"10.1016/j.socscimed.2014.05.003","ISSN":"18735347","PMID":"24836843","abstract":"A physically active lifestyle is an important contributor to individual health and well-being. The evidence linking higher physical activity levels with better levels of morbidity and mortality is well understood. Despite this, physical inactivity remains a major global risk factor for mortality and, consequently, encouraging individuals to pursue physically active lifestyles has been an integral part of public health policy in many countries. Physical activity promotion and interventions are now firmly on national health policy agendas, including policies that promote active travel such as walking and cycling. This study evaluates one such active travel initiative, the Smarter Choices, Smarter Places programme in Scotland, intended to encourage uptake of walking, cycling and the use of public transport as more active forms of travel. House to house surveys were conducted before and after the programme intervention, in May/June 2009 and 2012 (12,411 surveys in 2009 and 9542 in 2012), for the evaluation of the programme. This paper analyses the physical activity data collected, focussing on what can be inferred from the initiative with regards to adult uptake of physical activity participation and whether, for those who participated in physical activity, the initiative impacted on meeting recommended physical activity guidelines. The results suggest that the initiative impacted positively on the likelihood of physical activity participation and meeting the recommended physical activity guidelines. Individuals in the intervention areas were on average 6% more likely to meet the physical activity guidelines compared to individuals in the non intervention areas. However, the absolute prevalence of physical activity participation declined in both intervention and control areas over time.Our evaluation of this active transport initiative indicates that similar programmes may aid in contributing to achieving physical activity targets and adds to the international evidence base on the benefits of active travel interventions. © 2014 The Authors.","author":[{"dropping-particle":"","family":"Norwood","given":"Patricia","non-dropping-particle":"","parse-names":false,"suffix":""},{"dropping-particle":"","family":"Eberth","given":"Barbara","non-dropping-particle":"","parse-names":false,"suffix":""},{"dropping-particle":"","family":"Farrar","given":"Shelley","non-dropping-particle":"","parse-names":false,"suffix":""},{"dropping-particle":"","family":"Anable","given":"Jillian","non-dropping-particle":"","parse-names":false,"suffix":""},{"dropping-particle":"","family":"Ludbrook","given":"Anne","non-dropping-particle":"","parse-names":false,"suffix":""}],"container-title":"Social Science and Medicine","id":"ITEM-1","issued":{"date-parts":[["2014","7","1"]]},"page":"50-58","publisher":"Elsevier Ltd","title":"Active travel intervention and physical activity behaviour: An evaluation","type":"article-journal","volume":"113"},"uris":["http://www.mendeley.com/documents/?uuid=4998e361-42f0-32e8-9b91-1b27bd66e3d9"]}],"mendeley":{"formattedCitation":"(Norwood et al., 2014)","plainTextFormattedCitation":"(Norwood et al., 2014)","previouslyFormattedCitation":"(Norwood et al., 2014)"},"properties":{"noteIndex":0},"schema":"https://github.com/citation-style-language/schema/raw/master/csl-citation.json"}</w:instrText>
      </w:r>
      <w:r w:rsidRPr="008C10B7">
        <w:rPr>
          <w:rFonts w:cs="Times New Roman"/>
          <w:sz w:val="22"/>
          <w:szCs w:val="22"/>
        </w:rPr>
        <w:fldChar w:fldCharType="separate"/>
      </w:r>
      <w:r w:rsidR="008C7EFD" w:rsidRPr="008C10B7">
        <w:rPr>
          <w:rFonts w:cs="Times New Roman"/>
          <w:sz w:val="22"/>
          <w:szCs w:val="22"/>
        </w:rPr>
        <w:t>(Norwood et al., 2014)</w:t>
      </w:r>
      <w:r w:rsidRPr="008C10B7">
        <w:rPr>
          <w:rFonts w:cs="Times New Roman"/>
          <w:sz w:val="22"/>
          <w:szCs w:val="22"/>
        </w:rPr>
        <w:fldChar w:fldCharType="end"/>
      </w:r>
      <w:r w:rsidRPr="008C10B7">
        <w:rPr>
          <w:rFonts w:cs="Times New Roman"/>
          <w:sz w:val="22"/>
          <w:szCs w:val="22"/>
        </w:rPr>
        <w:t xml:space="preserve">. Furthermore, built environments that promote AT can also improve the attractiveness of streets </w:t>
      </w:r>
      <w:r w:rsidR="00293834" w:rsidRPr="008C10B7">
        <w:rPr>
          <w:rFonts w:cs="Times New Roman"/>
          <w:sz w:val="22"/>
          <w:szCs w:val="22"/>
        </w:rPr>
        <w:t xml:space="preserve">for pedestrians </w:t>
      </w:r>
      <w:r w:rsidRPr="008C10B7">
        <w:rPr>
          <w:rFonts w:cs="Times New Roman"/>
          <w:sz w:val="22"/>
          <w:szCs w:val="22"/>
        </w:rPr>
        <w:fldChar w:fldCharType="begin" w:fldLock="1"/>
      </w:r>
      <w:r w:rsidR="00B74AD7" w:rsidRPr="008C10B7">
        <w:rPr>
          <w:rFonts w:cs="Times New Roman"/>
          <w:sz w:val="22"/>
          <w:szCs w:val="22"/>
        </w:rPr>
        <w:instrText>ADDIN CSL_CITATION {"citationItems":[{"id":"ITEM-1","itemData":{"DOI":"10.1016/j.jcjd.2013.03.294","ISSN":"14992671","abstract":"Objective: To explore relationships between neighbourhood design, travel behaviour, physical activity and obesity in the context of a mid-sized Canadian city. Methods: Residents of the Waterloo Region (n=4,613) completed a two day travel diary to obtain detailed data on travel patterns including destinations, mode choice and trip purpose. These data were linked to objectively measured walk ability, as captured by a composite walk ability index incorporating measures of density, land use mix and street connectivity. Body Mass Index (BMI) was self-reported for all participants, and physical activity was objectively measured using accelerometers for a subset of participants (n=691). Relationships between walking, driving, physical activity, BMI and walk ability, controlling for relevant socio-demographic variables, were assessed using logistic and linear regression models. Results: The odds of walking at least once over a two day period were 1.3 times greater for those living in a medium walk ability versus a low walk ability neighbourhood (p &lt; 0.01) and 2.8 times greater for those living in a high versus low walk ability neighbourhood (p &lt; 0.001). Walking at least once over a two day period was negatively associated with number of kilometers driven (p &lt; 0.001). Walk ability also significantly predicted objectively measured average daily moderate to vigorous physical activity (p &lt; 0.001) and Body Mass Index (negative association; p &lt; 0.005). Conclusions: High densities, mixed land uses and connected streets were found to be associated with an increased likelihood of walking, higher activity levels and lower levels of obesity. These results confirm findings of similar studies conducted primarily in the United States and Australia, suggesting that such findings also apply in the context of a mid-sized Canadian city.","author":[{"dropping-particle":"","family":"Loon","given":"Josh","non-dropping-particle":"van","parse-names":false,"suffix":""},{"dropping-particle":"","family":"Shah","given":"Timothy","non-dropping-particle":"","parse-names":false,"suffix":""},{"dropping-particle":"","family":"Fisher","given":"Pat","non-dropping-particle":"","parse-names":false,"suffix":""},{"dropping-particle":"","family":"Thompson","given":"Mary","non-dropping-particle":"","parse-names":false,"suffix":""},{"dropping-particle":"","family":"Minaker","given":"Leia","non-dropping-particle":"","parse-names":false,"suffix":""},{"dropping-particle":"","family":"Raine","given":"Kim","non-dropping-particle":"","parse-names":false,"suffix":""},{"dropping-particle":"","family":"Frank","given":"Lawrence D.","non-dropping-particle":"","parse-names":false,"suffix":""}],"container-title":"Canadian Journal of Diabetes","id":"ITEM-1","issued":{"date-parts":[["2013","4","1"]]},"page":"S275","publisher":"Elsevier BV","title":"From the Environment to Health: Built Environment Impacts on Active Transportation, Physical Activity and Obesity","type":"article-journal","volume":"37"},"uris":["http://www.mendeley.com/documents/?uuid=8483ef99-fd2e-3cc9-9187-96adfd72a5f2"]}],"mendeley":{"formattedCitation":"(van Loon et al., 2013)","plainTextFormattedCitation":"(van Loon et al., 2013)","previouslyFormattedCitation":"(van Loon et al., 2013)"},"properties":{"noteIndex":0},"schema":"https://github.com/citation-style-language/schema/raw/master/csl-citation.json"}</w:instrText>
      </w:r>
      <w:r w:rsidRPr="008C10B7">
        <w:rPr>
          <w:rFonts w:cs="Times New Roman"/>
          <w:sz w:val="22"/>
          <w:szCs w:val="22"/>
        </w:rPr>
        <w:fldChar w:fldCharType="separate"/>
      </w:r>
      <w:r w:rsidR="008C7EFD" w:rsidRPr="008C10B7">
        <w:rPr>
          <w:rFonts w:cs="Times New Roman"/>
          <w:sz w:val="22"/>
          <w:szCs w:val="22"/>
        </w:rPr>
        <w:t>(</w:t>
      </w:r>
      <w:r w:rsidR="005F349F">
        <w:rPr>
          <w:rFonts w:cs="Times New Roman"/>
          <w:sz w:val="22"/>
          <w:szCs w:val="22"/>
        </w:rPr>
        <w:t xml:space="preserve">Chen et al., 2022; </w:t>
      </w:r>
      <w:r w:rsidR="00152E62" w:rsidRPr="008C10B7">
        <w:rPr>
          <w:rFonts w:cs="Times New Roman"/>
          <w:sz w:val="22"/>
          <w:szCs w:val="22"/>
        </w:rPr>
        <w:t xml:space="preserve">Van </w:t>
      </w:r>
      <w:r w:rsidR="008C7EFD" w:rsidRPr="008C10B7">
        <w:rPr>
          <w:rFonts w:cs="Times New Roman"/>
          <w:sz w:val="22"/>
          <w:szCs w:val="22"/>
        </w:rPr>
        <w:t>Loon et al., 2013)</w:t>
      </w:r>
      <w:r w:rsidRPr="008C10B7">
        <w:rPr>
          <w:rFonts w:cs="Times New Roman"/>
          <w:sz w:val="22"/>
          <w:szCs w:val="22"/>
        </w:rPr>
        <w:fldChar w:fldCharType="end"/>
      </w:r>
      <w:r w:rsidRPr="008C10B7">
        <w:rPr>
          <w:rFonts w:cs="Times New Roman"/>
          <w:sz w:val="22"/>
          <w:szCs w:val="22"/>
        </w:rPr>
        <w:t xml:space="preserve"> </w:t>
      </w:r>
      <w:r w:rsidR="00322B90" w:rsidRPr="008C10B7">
        <w:rPr>
          <w:rFonts w:cs="Times New Roman"/>
          <w:sz w:val="22"/>
          <w:szCs w:val="22"/>
        </w:rPr>
        <w:t xml:space="preserve">and </w:t>
      </w:r>
      <w:r w:rsidR="00293834" w:rsidRPr="008C10B7">
        <w:rPr>
          <w:rFonts w:cs="Times New Roman"/>
          <w:sz w:val="22"/>
          <w:szCs w:val="22"/>
        </w:rPr>
        <w:t>encourage more frequent</w:t>
      </w:r>
      <w:r w:rsidRPr="008C10B7">
        <w:rPr>
          <w:rFonts w:cs="Times New Roman"/>
          <w:sz w:val="22"/>
          <w:szCs w:val="22"/>
        </w:rPr>
        <w:t xml:space="preserve"> physical activity </w:t>
      </w:r>
      <w:r w:rsidR="00293834" w:rsidRPr="008C10B7">
        <w:rPr>
          <w:rFonts w:cs="Times New Roman"/>
          <w:sz w:val="22"/>
          <w:szCs w:val="22"/>
        </w:rPr>
        <w:t>which helps to</w:t>
      </w:r>
      <w:r w:rsidRPr="008C10B7">
        <w:rPr>
          <w:rFonts w:cs="Times New Roman"/>
          <w:sz w:val="22"/>
          <w:szCs w:val="22"/>
        </w:rPr>
        <w:t xml:space="preserve"> maintain health</w:t>
      </w:r>
      <w:r w:rsidR="00E21A0D" w:rsidRPr="008C10B7">
        <w:rPr>
          <w:rFonts w:cs="Times New Roman"/>
          <w:sz w:val="22"/>
          <w:szCs w:val="22"/>
        </w:rPr>
        <w:t xml:space="preserve"> </w:t>
      </w:r>
      <w:r w:rsidR="00E21A0D" w:rsidRPr="008C10B7">
        <w:rPr>
          <w:rFonts w:cs="Times New Roman"/>
          <w:sz w:val="22"/>
          <w:szCs w:val="22"/>
        </w:rPr>
        <w:fldChar w:fldCharType="begin" w:fldLock="1"/>
      </w:r>
      <w:r w:rsidR="00B74AD7" w:rsidRPr="008C10B7">
        <w:rPr>
          <w:rFonts w:cs="Times New Roman"/>
          <w:sz w:val="22"/>
          <w:szCs w:val="22"/>
        </w:rPr>
        <w:instrText>ADDIN CSL_CITATION {"citationItems":[{"id":"ITEM-1","itemData":{"DOI":"10.1016/J.SCS.2021.103185","ISSN":"2210-6707","author":[{"dropping-particle":"","family":"Wang","given":"Lingling","non-dropping-particle":"","parse-names":false,"suffix":""},{"dropping-particle":"","family":"Zhou","given":"Ying","non-dropping-particle":"","parse-names":false,"suffix":""},{"dropping-particle":"","family":"Wang","given":"Furong","non-dropping-particle":"","parse-names":false,"suffix":""},{"dropping-particle":"","family":"Ding","given":"Lieyun","non-dropping-particle":"","parse-names":false,"suffix":""},{"dropping-particle":"","family":"Love","given":"Peter E.D.","non-dropping-particle":"","parse-names":false,"suffix":""},{"dropping-particle":"","family":"Li","given":"Shiqi","non-dropping-particle":"","parse-names":false,"suffix":""}],"container-title":"Sustainable Cities and Society","id":"ITEM-1","issued":{"date-parts":[["2021","11","1"]]},"page":"103185","publisher":"Elsevier","title":"The Influence of the Built Environment on People's Mental Health: An Empirical Classification of Causal Factors","type":"article-journal","volume":"74"},"uris":["http://www.mendeley.com/documents/?uuid=f3ed96f6-251c-38bb-8eb4-287fe3ac7fad"]},{"id":"ITEM-2","itemData":{"DOI":"10.1016/J.JTH.2020.100893","ISSN":"2214-1405","abstract":"Introduction: Type 2 diabetes is one of the non-communicable diseases with higher increasing incidence across the world. Portugal is one of the most affected countries with this increase. Most risk factors for diabetes are modifiable and can be changed by a supportive built environment. The walkability index has been wildly used as concept to describe a healthy built environment. However, the ecological view of health and diabetes identifies the necessity of a multilevel intervention to the creation of a supportive built environment.The goal of this paper is to evaluate the association between walkability indicators and hospital admissions due to diabetes, in the Lisbon Metropolitan Area, by different methods through a proposed ecological model. Methods: The built environment characteristics were evaluated using walkability measures including density, diversity and design, but also air quality and green areas availability. The socio-economic characteristic was controlled by the most common indicators, but it also included house size and house cost. The diabetes incidence was measured by hospital admissions due to diabetes. The statistical analysis was performed by a path analysis model that allows to consider the complexity of several effects on diabetes. Results: The results show that built environment influences diabetes through air pollution and active travel. The proposed conceptual model explains 27% of the variance of hospital admissions due to diabetes. Additionally, the mediating variables active travel and air pollution had the variance explained in 73% and 70% respectively. Conclusions: The results stress the non-direct influence of the built environment in health, showing that health can be improved through the promotion of active travel and the improvement of air quality. The improvement of these aspects is relevant at different levels of intervention, revealing the importance of the civil parishes level. The results reinforce the importance of policies at different levels to effectively change behaviour.","author":[{"dropping-particle":"","family":"Pereira","given":"Mauro F.","non-dropping-particle":"","parse-names":false,"suffix":""},{"dropping-particle":"","family":"Almendra","given":"Ricardo","non-dropping-particle":"","parse-names":false,"suffix":""},{"dropping-particle":"","family":"Vale","given":"David S.","non-dropping-particle":"","parse-names":false,"suffix":""},{"dropping-particle":"","family":"Santana","given":"Paula","non-dropping-particle":"","parse-names":false,"suffix":""}],"container-title":"Journal of Transport &amp; Health","id":"ITEM-2","issued":{"date-parts":[["2020","9","1"]]},"page":"100893","publisher":"Elsevier","title":"The relationship between built environment and health in the Lisbon Metropolitan area – can walkability explain diabetes’ hospital admissions?","type":"article-journal","volume":"18"},"uris":["http://www.mendeley.com/documents/?uuid=e007502d-21dd-3d82-a1a1-4756f53e23b0"]},{"id":"ITEM-3","itemData":{"DOI":"10.1016/J.HEALTHPLACE.2021.102602","ISSN":"1353-8292","abstract":"Studies often rely on home locations to access built environment (BE) influences on physical activity (PA). We use GPS and accelerometer data collected for 288 individuals over a two-week period to examine eight GPS-derived BE characteristics and moderate-to-vigorous PA (MVPA) and light-to-moderate-vigorous PA (LMVPA). NDVI, parks, blue space, pedestrian-orientated intersections, and population density were associated with increased odds of LMVPA and MVPA, while traffic air pollution and noise were associated with decreased odds of LMVPA and MVPA. Associations varied by population density and when accounting for multiple BE measures. These findings provide further information on where individuals choose to be physically active.","author":[{"dropping-particle":"","family":"Boakye","given":"Kwadwo A.","non-dropping-particle":"","parse-names":false,"suffix":""},{"dropping-particle":"","family":"Amram","given":"Ofer","non-dropping-particle":"","parse-names":false,"suffix":""},{"dropping-particle":"","family":"Schuna","given":"John M.","non-dropping-particle":"","parse-names":false,"suffix":""},{"dropping-particle":"","family":"Duncan","given":"Glen E.","non-dropping-particle":"","parse-names":false,"suffix":""},{"dropping-particle":"","family":"Hystad","given":"Perry","non-dropping-particle":"","parse-names":false,"suffix":""}],"container-title":"Health &amp; Place","id":"ITEM-3","issued":{"date-parts":[["2021","7","1"]]},"page":"102602","publisher":"Pergamon","title":"GPS-based built environment measures associated with adult physical activity","type":"article-journal","volume":"70"},"uris":["http://www.mendeley.com/documents/?uuid=8b0e1f87-5d41-304c-9048-4d741c862eec"]},{"id":"ITEM-4","itemData":{"DOI":"10.1016/J.PCAD.2020.12.009","ISSN":"0033-0620","abstract":"Engaging in regular physical activity (PA) and reducing time spent in sedentary behaviors is critically important to prevent and control non-communicable diseases (NCDs). However, global public health efforts to promote and encourage maintenance of PA behavior on a population level remains challenging. To address what is now described as a global physical inactivity pandemic, a breadth of research has focused on understanding the relation of built environment characteristics, including aspects of urban design, transportation and land-use planning, to PA behavior across multiple domains in life, and subsequently how changes in environmental attributes influence changes in PA patterns in diverse populations and subgroups. This review describes the role the built environment has on improving the promotion and the engagement of PA, particularly in the context of active transportation and leisure time domains of PA. An additional focus will be on the disparities in access to activity-promoting environments and the differential effects of environmental interventions in disadvantaged populations. This paper will further discuss opportunities for public health and policy to advocate for and prioritize the implementation of equitable and effective interventions that aim to expand/improve activity-supportive infrastructures within neighborhoods and communities with the ultimate goal of meaningful population-level increases in PA.","author":[{"dropping-particle":"","family":"Laddu","given":"Deepika","non-dropping-particle":"","parse-names":false,"suffix":""},{"dropping-particle":"","family":"Paluch","given":"Amanda E.","non-dropping-particle":"","parse-names":false,"suffix":""},{"dropping-particle":"","family":"LaMonte","given":"Michael J.","non-dropping-particle":"","parse-names":false,"suffix":""}],"container-title":"Progress in Cardiovascular Diseases","id":"ITEM-4","issued":{"date-parts":[["2021","1","1"]]},"page":"33-40","publisher":"W.B. Saunders","title":"The role of the built environment in promoting movement and physical activity across the lifespan: Implications for public health","type":"article-journal","volume":"64"},"uris":["http://www.mendeley.com/documents/?uuid=4cc2f59c-fce3-333d-b678-a3e21c2ed21b"]}],"mendeley":{"formattedCitation":"(Boakye et al., 2021; Laddu et al., 2021; Pereira et al., 2020; L. Wang et al., 2021)","plainTextFormattedCitation":"(Boakye et al., 2021; Laddu et al., 2021; Pereira et al., 2020; L. Wang et al., 2021)","previouslyFormattedCitation":"(Boakye et al., 2021; Laddu et al., 2021; Pereira et al., 2020; L. Wang et al., 2021)"},"properties":{"noteIndex":0},"schema":"https://github.com/citation-style-language/schema/raw/master/csl-citation.json"}</w:instrText>
      </w:r>
      <w:r w:rsidR="00E21A0D" w:rsidRPr="008C10B7">
        <w:rPr>
          <w:rFonts w:cs="Times New Roman"/>
          <w:sz w:val="22"/>
          <w:szCs w:val="22"/>
        </w:rPr>
        <w:fldChar w:fldCharType="separate"/>
      </w:r>
      <w:r w:rsidR="008C7EFD" w:rsidRPr="008C10B7">
        <w:rPr>
          <w:rFonts w:cs="Times New Roman"/>
          <w:sz w:val="22"/>
          <w:szCs w:val="22"/>
        </w:rPr>
        <w:t>(Boakye et al., 2021; Laddu et al., 2021; Pereira et al., 2020; Wang et al., 2021</w:t>
      </w:r>
      <w:r w:rsidR="00AD051A" w:rsidRPr="008C10B7">
        <w:rPr>
          <w:rFonts w:cs="Times New Roman"/>
          <w:sz w:val="22"/>
          <w:szCs w:val="22"/>
        </w:rPr>
        <w:t>b</w:t>
      </w:r>
      <w:r w:rsidR="008C7EFD" w:rsidRPr="008C10B7">
        <w:rPr>
          <w:rFonts w:cs="Times New Roman"/>
          <w:sz w:val="22"/>
          <w:szCs w:val="22"/>
        </w:rPr>
        <w:t>)</w:t>
      </w:r>
      <w:r w:rsidR="00E21A0D" w:rsidRPr="008C10B7">
        <w:rPr>
          <w:rFonts w:cs="Times New Roman"/>
          <w:sz w:val="22"/>
          <w:szCs w:val="22"/>
        </w:rPr>
        <w:fldChar w:fldCharType="end"/>
      </w:r>
      <w:r w:rsidR="00403810" w:rsidRPr="008C10B7">
        <w:rPr>
          <w:rFonts w:cs="Times New Roman"/>
          <w:sz w:val="22"/>
          <w:szCs w:val="22"/>
        </w:rPr>
        <w:t>.</w:t>
      </w:r>
      <w:r w:rsidR="00403810" w:rsidRPr="008C10B7">
        <w:rPr>
          <w:rFonts w:cs="Times New Roman"/>
          <w:sz w:val="22"/>
          <w:szCs w:val="22"/>
        </w:rPr>
        <w:tab/>
      </w:r>
    </w:p>
    <w:p w14:paraId="19C9A92B" w14:textId="4C3BD29C" w:rsidR="004D3D6C" w:rsidRPr="008C10B7" w:rsidRDefault="00711121" w:rsidP="00E7001C">
      <w:pPr>
        <w:spacing w:line="360" w:lineRule="auto"/>
        <w:ind w:firstLine="420"/>
        <w:jc w:val="both"/>
        <w:rPr>
          <w:rFonts w:cs="Times New Roman"/>
          <w:sz w:val="22"/>
          <w:szCs w:val="22"/>
        </w:rPr>
      </w:pPr>
      <w:r w:rsidRPr="008C10B7">
        <w:rPr>
          <w:rFonts w:cs="Times New Roman"/>
          <w:sz w:val="22"/>
          <w:szCs w:val="22"/>
        </w:rPr>
        <w:t>Among the environmental factors influencing AT, urban green spaces</w:t>
      </w:r>
      <w:r w:rsidR="00293834" w:rsidRPr="008C10B7">
        <w:rPr>
          <w:rFonts w:cs="Times New Roman"/>
          <w:sz w:val="22"/>
          <w:szCs w:val="22"/>
        </w:rPr>
        <w:t xml:space="preserve"> </w:t>
      </w:r>
      <w:r w:rsidRPr="008C10B7">
        <w:rPr>
          <w:rFonts w:cs="Times New Roman"/>
          <w:sz w:val="22"/>
          <w:szCs w:val="22"/>
        </w:rPr>
        <w:t xml:space="preserve">play a significant role, </w:t>
      </w:r>
      <w:r w:rsidR="00293834" w:rsidRPr="008C10B7">
        <w:rPr>
          <w:rFonts w:cs="Times New Roman"/>
          <w:sz w:val="22"/>
          <w:szCs w:val="22"/>
        </w:rPr>
        <w:t xml:space="preserve">via features </w:t>
      </w:r>
      <w:r w:rsidRPr="008C10B7">
        <w:rPr>
          <w:rFonts w:cs="Times New Roman"/>
          <w:sz w:val="22"/>
          <w:szCs w:val="22"/>
        </w:rPr>
        <w:t xml:space="preserve">such as shading and good landscaping, and are important components of </w:t>
      </w:r>
      <w:r w:rsidR="00E21A0D" w:rsidRPr="008C10B7">
        <w:rPr>
          <w:rFonts w:cs="Times New Roman"/>
          <w:sz w:val="22"/>
          <w:szCs w:val="22"/>
        </w:rPr>
        <w:t>providing</w:t>
      </w:r>
      <w:r w:rsidRPr="008C10B7">
        <w:rPr>
          <w:rFonts w:cs="Times New Roman"/>
          <w:sz w:val="22"/>
          <w:szCs w:val="22"/>
        </w:rPr>
        <w:t xml:space="preserve"> a good cycling environment and landscape for walking </w:t>
      </w:r>
      <w:r w:rsidRPr="008C10B7">
        <w:rPr>
          <w:rFonts w:cs="Times New Roman"/>
          <w:sz w:val="22"/>
          <w:szCs w:val="22"/>
        </w:rPr>
        <w:fldChar w:fldCharType="begin" w:fldLock="1"/>
      </w:r>
      <w:r w:rsidR="00B74AD7" w:rsidRPr="008C10B7">
        <w:rPr>
          <w:rFonts w:cs="Times New Roman"/>
          <w:sz w:val="22"/>
          <w:szCs w:val="22"/>
        </w:rPr>
        <w:instrText>ADDIN CSL_CITATION {"citationItems":[{"id":"ITEM-1","itemData":{"DOI":"10.4236/ojce.2015.54045","ISSN":"2164-3164","abstract":"Background: Cycling as a means of transport contributes to public health in terms of increasing the physical activity behaviour and reducing air pollution. In comparison to walking, cycling-spe- cific environmental characteristics have been less investigated. The aim of this study was to develop, based on geographic information systems (GIS) data, a bikeability index for a mid-sized European city, to examine the predictive validity of the index and to visualize the bicycle-friend- liness of the city by creating a bikeability map. Methods: Using GIS data, we assessed the environmental characteristics of 278 bicycle trips in the city of Graz, Austria. Characteristics which differed significantly between the actually taken and shortest possible routes were used to form an additive bikeability index and the bikeability map for 100 m × 100 m cells. The relationship between the cycling behaviour and the bikeability index around the home environment was examined to assess the predictive validity of the index. Results: Three environmental components (cycling infrastructure, bicycle pathways and green areas) were positively related, and two components (main roads, and topography) were negatively related to the actually used route. These components formed the bikeability index, which was positively correlated with cycling behaviour (OR: 1.08, 95% CI 1.01 - 1.17). The final outcome is a high-resolution coloured map indicating the degree of bicycle-friendliness in the city of Graz. Conclusion: Mapping based on the bikeability index helps to visualize the bicycle-friendliness of an urban area. Therefore, it should be a useful tool for the planning as well as for the evaluation of the transport environments in cities.","author":[{"dropping-particle":"","family":"Krenn","given":"Patricia Jasmin","non-dropping-particle":"","parse-names":false,"suffix":""},{"dropping-particle":"","family":"Oja","given":"Pekka","non-dropping-particle":"","parse-names":false,"suffix":""},{"dropping-particle":"","family":"Titze","given":"Sylvia","non-dropping-particle":"","parse-names":false,"suffix":""}],"container-title":"Open Journal of Civil Engineering","id":"ITEM-1","issue":"04","issued":{"date-parts":[["2015"]]},"page":"451-459","publisher":"Scientific Research Publishing, Inc,","title":"Development of a Bikeability Index to Assess the Bicycle-Friendliness of Urban Environments","type":"article-journal","volume":"05"},"uris":["http://www.mendeley.com/documents/?uuid=1d06db0a-6bb8-3b1b-94e5-93a72a319547"]},{"id":"ITEM-2","itemData":{"DOI":"10.1016/j.cities.2019.01.003","ISSN":"02642751","abstract":"Cycling is one type of physical activities with documented health and environmental benefits. Little consensus has been reached about the impacts of urban greenness on cycling behavior because of the widely varying estimation techniques, especially at street scale. We objectively measured the urban greenness in two ways: overhead-view greenness by Normalized Difference Vegetation Index (NDVI) and eye-level street greenness by Google Street View (GSV) images. Multilevel logistic regression models were used to examine the association between urban greenness and the odds of cycling (versus not cycling) for 5701 Hong Kong participants after controlling activity-influencing built environment and individual-level covariates. We found the odds of cycling were positively associated with eye-level street greenness but not with overhead-view greenness across three buffer zones: 400 m, 800 m and 1600 m. In addition, the odds of cycling were negatively associated with population density, number of bus stops, and terrain slope, while positively associated with bike lane density. To build a cycling-friendly city, planners and designers might need to pay more attention to improve citizens’ daily exposure to urban greenness, instead of traditional greenspace indices such as greenspace area or number of parks. The GSV technique is a novel and reliable method for measuring eye-level urban greenness with potential usage in further healthy city studies.","author":[{"dropping-particle":"","family":"Lu","given":"Yi","non-dropping-particle":"","parse-names":false,"suffix":""},{"dropping-particle":"","family":"Yang","given":"Yiyang","non-dropping-particle":"","parse-names":false,"suffix":""},{"dropping-particle":"","family":"Sun","given":"Guibo","non-dropping-particle":"","parse-names":false,"suffix":""},{"dropping-particle":"","family":"Gou","given":"Zhonghua","non-dropping-particle":"","parse-names":false,"suffix":""}],"container-title":"Cities","id":"ITEM-2","issued":{"date-parts":[["2019","5","1"]]},"page":"10-18","publisher":"Elsevier Ltd","title":"Associations between overhead-view and eye-level urban greenness and cycling behaviors","type":"article-journal","volume":"88"},"uris":["http://www.mendeley.com/documents/?uuid=cc7f8048-112d-3a41-8013-69e57e493902"]}],"mendeley":{"formattedCitation":"(Patricia Jasmin Krenn et al., 2015; Lu et al., 2019)","manualFormatting":"(Patricia et al., 2015; Lu et al., 2019)","plainTextFormattedCitation":"(Patricia Jasmin Krenn et al., 2015; Lu et al., 2019)","previouslyFormattedCitation":"(Patricia Jasmin Krenn et al., 2015; Lu et al., 2019)"},"properties":{"noteIndex":0},"schema":"https://github.com/citation-style-language/schema/raw/master/csl-citation.json"}</w:instrText>
      </w:r>
      <w:r w:rsidRPr="008C10B7">
        <w:rPr>
          <w:rFonts w:cs="Times New Roman"/>
          <w:sz w:val="22"/>
          <w:szCs w:val="22"/>
        </w:rPr>
        <w:fldChar w:fldCharType="separate"/>
      </w:r>
      <w:r w:rsidRPr="008C10B7">
        <w:rPr>
          <w:rFonts w:cs="Times New Roman"/>
          <w:sz w:val="22"/>
          <w:szCs w:val="22"/>
        </w:rPr>
        <w:t>(</w:t>
      </w:r>
      <w:r w:rsidR="0015729A" w:rsidRPr="008C10B7">
        <w:rPr>
          <w:rFonts w:cs="Times New Roman"/>
          <w:sz w:val="22"/>
          <w:szCs w:val="22"/>
        </w:rPr>
        <w:t>Lu et al., 2019</w:t>
      </w:r>
      <w:r w:rsidR="008D0E59" w:rsidRPr="008C10B7">
        <w:rPr>
          <w:rFonts w:cs="Times New Roman"/>
          <w:sz w:val="22"/>
          <w:szCs w:val="22"/>
        </w:rPr>
        <w:t>b</w:t>
      </w:r>
      <w:r w:rsidR="0015729A" w:rsidRPr="008C10B7">
        <w:rPr>
          <w:rFonts w:cs="Times New Roman"/>
          <w:sz w:val="22"/>
          <w:szCs w:val="22"/>
        </w:rPr>
        <w:t xml:space="preserve">; </w:t>
      </w:r>
      <w:r w:rsidR="00FF2407" w:rsidRPr="008C10B7">
        <w:rPr>
          <w:rFonts w:cs="Times New Roman"/>
          <w:sz w:val="22"/>
          <w:szCs w:val="22"/>
        </w:rPr>
        <w:t>Krenn</w:t>
      </w:r>
      <w:r w:rsidR="00E21A0D" w:rsidRPr="008C10B7">
        <w:rPr>
          <w:rFonts w:cs="Times New Roman"/>
          <w:sz w:val="22"/>
          <w:szCs w:val="22"/>
        </w:rPr>
        <w:t xml:space="preserve"> </w:t>
      </w:r>
      <w:r w:rsidRPr="008C10B7">
        <w:rPr>
          <w:rFonts w:cs="Times New Roman"/>
          <w:sz w:val="22"/>
          <w:szCs w:val="22"/>
        </w:rPr>
        <w:t>et al., 2015)</w:t>
      </w:r>
      <w:r w:rsidRPr="008C10B7">
        <w:rPr>
          <w:rFonts w:cs="Times New Roman"/>
          <w:sz w:val="22"/>
          <w:szCs w:val="22"/>
        </w:rPr>
        <w:fldChar w:fldCharType="end"/>
      </w:r>
      <w:r w:rsidRPr="008C10B7">
        <w:rPr>
          <w:rFonts w:cs="Times New Roman"/>
          <w:sz w:val="22"/>
          <w:szCs w:val="22"/>
        </w:rPr>
        <w:t xml:space="preserve">. Many cities in different countries </w:t>
      </w:r>
      <w:r w:rsidR="00322B90" w:rsidRPr="008C10B7">
        <w:rPr>
          <w:rFonts w:cs="Times New Roman"/>
          <w:sz w:val="22"/>
          <w:szCs w:val="22"/>
        </w:rPr>
        <w:t xml:space="preserve">have attracted </w:t>
      </w:r>
      <w:r w:rsidRPr="008C10B7">
        <w:rPr>
          <w:rFonts w:cs="Times New Roman"/>
          <w:sz w:val="22"/>
          <w:szCs w:val="22"/>
        </w:rPr>
        <w:t xml:space="preserve">investment to maintain and develop urban green space </w:t>
      </w:r>
      <w:r w:rsidR="00293834" w:rsidRPr="008C10B7">
        <w:rPr>
          <w:rFonts w:cs="Times New Roman"/>
          <w:sz w:val="22"/>
          <w:szCs w:val="22"/>
        </w:rPr>
        <w:t xml:space="preserve">in order </w:t>
      </w:r>
      <w:r w:rsidR="00322B90" w:rsidRPr="008C10B7">
        <w:rPr>
          <w:rFonts w:cs="Times New Roman"/>
          <w:sz w:val="22"/>
          <w:szCs w:val="22"/>
        </w:rPr>
        <w:t>to</w:t>
      </w:r>
      <w:r w:rsidRPr="008C10B7">
        <w:rPr>
          <w:rFonts w:cs="Times New Roman"/>
          <w:sz w:val="22"/>
          <w:szCs w:val="22"/>
        </w:rPr>
        <w:t xml:space="preserve"> improve</w:t>
      </w:r>
      <w:r w:rsidR="00E21A0D" w:rsidRPr="008C10B7">
        <w:rPr>
          <w:rFonts w:cs="Times New Roman"/>
          <w:sz w:val="22"/>
          <w:szCs w:val="22"/>
        </w:rPr>
        <w:t xml:space="preserve"> the </w:t>
      </w:r>
      <w:r w:rsidR="00BB0349" w:rsidRPr="008C10B7">
        <w:rPr>
          <w:rFonts w:cs="Times New Roman"/>
          <w:sz w:val="22"/>
          <w:szCs w:val="22"/>
        </w:rPr>
        <w:t>quality of life</w:t>
      </w:r>
      <w:r w:rsidR="00B43175" w:rsidRPr="008C10B7">
        <w:rPr>
          <w:rFonts w:cs="Times New Roman"/>
          <w:sz w:val="22"/>
          <w:szCs w:val="22"/>
        </w:rPr>
        <w:t xml:space="preserve">, such as Barcelona </w:t>
      </w:r>
      <w:r w:rsidR="00B43175" w:rsidRPr="008C10B7">
        <w:rPr>
          <w:rFonts w:cs="Times New Roman"/>
          <w:sz w:val="22"/>
          <w:szCs w:val="22"/>
        </w:rPr>
        <w:fldChar w:fldCharType="begin" w:fldLock="1"/>
      </w:r>
      <w:r w:rsidR="00B43175" w:rsidRPr="008C10B7">
        <w:rPr>
          <w:rFonts w:cs="Times New Roman"/>
          <w:sz w:val="22"/>
          <w:szCs w:val="22"/>
        </w:rPr>
        <w:instrText>ADDIN CSL_CITATION {"citationItems":[{"id":"ITEM-1","itemData":{"DOI":"10.1016/j.cities.2019.102438","ISSN":"02642751","abstract":"This paper examines recent urban green amenities directed toward children and families and develops a novel understanding of the ways in which children's socio-natures are made/unmade through such interventions. We employ ethnographic and archival analysis in two new parks – Poble Nou and Nou Barris – in Barcelona to examine how a particular type of children's wellbeing, what we call “relational wellbeing” is shaped through the production of green-playful-child-friendly amenities. We find that planning processes and visions, urban development goals, and neighbourhood socio-material structure moderate the effect of green-playful-child-friendly amenities on relational wellbeing by directing how these spaces are used. This finding points toward the importance – for equity concerns – of accounting for the social and political processes that generate relational wellbeing. These processes are often reflective of broader economic agendas of urban transformation designed to extract value, control space, and/or legitimize speculative urban development – while sometimes eroding local socio-material conditions – to the point of producing green spaces of privilege, exclusion and control. The connection between relational wellbeing and green-playful-child-friendly interventions highlights the importance, within the urban environmental equity literature, of reconceptualising pathways of wellbeing and health beyond questions of spatial distribution of natural areas and offers a new perspective for the development of future guidelines on green-playful-child-friendly space policies.","author":[{"dropping-particle":"","family":"Pérez del Pulgar","given":"Carmen","non-dropping-particle":"","parse-names":false,"suffix":""},{"dropping-particle":"","family":"Anguelovski","given":"Isabelle","non-dropping-particle":"","parse-names":false,"suffix":""},{"dropping-particle":"","family":"Connolly","given":"James","non-dropping-particle":"","parse-names":false,"suffix":""}],"container-title":"Cities","id":"ITEM-1","issued":{"date-parts":[["2020","1","1"]]},"page":"102438","publisher":"Elsevier Ltd","title":"Toward a green and playful city: Understanding the social and political production of children's relational wellbeing in Barcelona","type":"article-journal","volume":"96"},"uris":["http://www.mendeley.com/documents/?uuid=cadc7268-17e4-3f1d-9114-741911224626"]}],"mendeley":{"formattedCitation":"(Pérez del Pulgar et al., 2020)","plainTextFormattedCitation":"(Pérez del Pulgar et al., 2020)","previouslyFormattedCitation":"(Pérez del Pulgar et al., 2020)"},"properties":{"noteIndex":0},"schema":"https://github.com/citation-style-language/schema/raw/master/csl-citation.json"}</w:instrText>
      </w:r>
      <w:r w:rsidR="00B43175" w:rsidRPr="008C10B7">
        <w:rPr>
          <w:rFonts w:cs="Times New Roman"/>
          <w:sz w:val="22"/>
          <w:szCs w:val="22"/>
        </w:rPr>
        <w:fldChar w:fldCharType="separate"/>
      </w:r>
      <w:r w:rsidR="00B43175" w:rsidRPr="008C10B7">
        <w:rPr>
          <w:rFonts w:cs="Times New Roman"/>
          <w:sz w:val="22"/>
          <w:szCs w:val="22"/>
        </w:rPr>
        <w:t>(Pérez del Pulgar et al., 2020)</w:t>
      </w:r>
      <w:r w:rsidR="00B43175" w:rsidRPr="008C10B7">
        <w:rPr>
          <w:rFonts w:cs="Times New Roman"/>
          <w:sz w:val="22"/>
          <w:szCs w:val="22"/>
        </w:rPr>
        <w:fldChar w:fldCharType="end"/>
      </w:r>
      <w:r w:rsidR="00B43175" w:rsidRPr="008C10B7">
        <w:rPr>
          <w:rFonts w:cs="Times New Roman"/>
          <w:sz w:val="22"/>
          <w:szCs w:val="22"/>
        </w:rPr>
        <w:t xml:space="preserve"> and Shanghai</w:t>
      </w:r>
      <w:r w:rsidRPr="008C10B7">
        <w:rPr>
          <w:rFonts w:cs="Times New Roman"/>
          <w:sz w:val="22"/>
          <w:szCs w:val="22"/>
        </w:rPr>
        <w:t xml:space="preserve"> </w:t>
      </w:r>
      <w:r w:rsidRPr="008C10B7">
        <w:rPr>
          <w:rFonts w:cs="Times New Roman"/>
          <w:sz w:val="22"/>
          <w:szCs w:val="22"/>
        </w:rPr>
        <w:fldChar w:fldCharType="begin" w:fldLock="1"/>
      </w:r>
      <w:r w:rsidR="009048B3" w:rsidRPr="008C10B7">
        <w:rPr>
          <w:rFonts w:cs="Times New Roman"/>
          <w:sz w:val="22"/>
          <w:szCs w:val="22"/>
        </w:rPr>
        <w:instrText>ADDIN CSL_CITATION {"citationItems":[{"id":"ITEM-1","itemData":{"DOI":"10.1016/j.landurbplan.2016.08.007","ISSN":"01692046","abstract":"The question whether urban green resources are equitably distributed across different social groups is a major concern of social equity and environmental justice for both governments and scholars. This topic is particularly relevant for rapidly developing countries such as China where inequality is growing. This paper examines whether and to what extent the distribution of urban park services is equitable for marginalised population in China. We choose Shanghai as the case study and took into account three dimensions of group delineation, namely demographic characteristics, social economic status and social spatial structure. We employ the spatial clustering method to assess the similarities and differences of the association between the spatial patterns of accessibility to urban parks among different social groups. Interestingly, we found that vulnerable groups are favoured over more affluent citizens. Local municipal endeavours have ensured that the access to Shanghai's parks remains socially equitable. Additionally, we attributed it to the path dependence of China's socialism legacy before the market-oriented reforms.","author":[{"dropping-particle":"","family":"Xiao","given":"Yang","non-dropping-particle":"","parse-names":false,"suffix":""},{"dropping-particle":"","family":"Wang","given":"Zheng","non-dropping-particle":"","parse-names":false,"suffix":""},{"dropping-particle":"","family":"Li","given":"Zhigang","non-dropping-particle":"","parse-names":false,"suffix":""},{"dropping-particle":"","family":"Tang","given":"Zilai","non-dropping-particle":"","parse-names":false,"suffix":""}],"container-title":"Landscape and Urban Planning","id":"ITEM-1","issued":{"date-parts":[["2017","1","1"]]},"page":"383-393","publisher":"Elsevier B.V.","title":"An assessment of urban park access in Shanghai – Implications for the social equity in urban China","type":"article-journal","volume":"157"},"uris":["http://www.mendeley.com/documents/?uuid=a7574444-c78d-3f79-aba0-de80b78180ee"]}],"mendeley":{"formattedCitation":"(Xiao et al., 2017)","plainTextFormattedCitation":"(Xiao et al., 2017)","previouslyFormattedCitation":"(Xiao et al., 2017)"},"properties":{"noteIndex":0},"schema":"https://github.com/citation-style-language/schema/raw/master/csl-citation.json"}</w:instrText>
      </w:r>
      <w:r w:rsidRPr="008C10B7">
        <w:rPr>
          <w:rFonts w:cs="Times New Roman"/>
          <w:sz w:val="22"/>
          <w:szCs w:val="22"/>
        </w:rPr>
        <w:fldChar w:fldCharType="separate"/>
      </w:r>
      <w:r w:rsidR="00B43175" w:rsidRPr="008C10B7">
        <w:rPr>
          <w:rFonts w:cs="Times New Roman"/>
          <w:sz w:val="22"/>
          <w:szCs w:val="22"/>
        </w:rPr>
        <w:t>(Xiao et al., 2017)</w:t>
      </w:r>
      <w:r w:rsidRPr="008C10B7">
        <w:rPr>
          <w:rFonts w:cs="Times New Roman"/>
          <w:sz w:val="22"/>
          <w:szCs w:val="22"/>
        </w:rPr>
        <w:fldChar w:fldCharType="end"/>
      </w:r>
      <w:r w:rsidRPr="008C10B7">
        <w:rPr>
          <w:rFonts w:cs="Times New Roman"/>
          <w:sz w:val="22"/>
          <w:szCs w:val="22"/>
        </w:rPr>
        <w:t xml:space="preserve">. </w:t>
      </w:r>
      <w:r w:rsidR="00B43175" w:rsidRPr="008C10B7">
        <w:rPr>
          <w:rFonts w:cs="Times New Roman"/>
          <w:sz w:val="22"/>
          <w:szCs w:val="22"/>
        </w:rPr>
        <w:t>Street-view greenery</w:t>
      </w:r>
      <w:r w:rsidRPr="008C10B7">
        <w:rPr>
          <w:rFonts w:cs="Times New Roman"/>
          <w:sz w:val="22"/>
          <w:szCs w:val="22"/>
        </w:rPr>
        <w:t xml:space="preserve"> is a crucial part of urban green system</w:t>
      </w:r>
      <w:r w:rsidR="00322B90" w:rsidRPr="008C10B7">
        <w:rPr>
          <w:rFonts w:cs="Times New Roman"/>
          <w:sz w:val="22"/>
          <w:szCs w:val="22"/>
        </w:rPr>
        <w:t>s</w:t>
      </w:r>
      <w:r w:rsidRPr="008C10B7">
        <w:rPr>
          <w:rFonts w:cs="Times New Roman"/>
          <w:sz w:val="22"/>
          <w:szCs w:val="22"/>
        </w:rPr>
        <w:t xml:space="preserve"> and plays an important role in the </w:t>
      </w:r>
      <w:r w:rsidR="00293834" w:rsidRPr="008C10B7">
        <w:rPr>
          <w:rFonts w:cs="Times New Roman"/>
          <w:sz w:val="22"/>
          <w:szCs w:val="22"/>
        </w:rPr>
        <w:t>aesthetic quality</w:t>
      </w:r>
      <w:r w:rsidRPr="008C10B7">
        <w:rPr>
          <w:rFonts w:cs="Times New Roman"/>
          <w:sz w:val="22"/>
          <w:szCs w:val="22"/>
        </w:rPr>
        <w:t xml:space="preserve"> of the urban landscape </w:t>
      </w:r>
      <w:r w:rsidRPr="008C10B7">
        <w:rPr>
          <w:rFonts w:cs="Times New Roman"/>
          <w:sz w:val="22"/>
          <w:szCs w:val="22"/>
        </w:rPr>
        <w:fldChar w:fldCharType="begin" w:fldLock="1"/>
      </w:r>
      <w:r w:rsidR="00B74AD7" w:rsidRPr="008C10B7">
        <w:rPr>
          <w:rFonts w:cs="Times New Roman"/>
          <w:sz w:val="22"/>
          <w:szCs w:val="22"/>
        </w:rPr>
        <w:instrText>ADDIN CSL_CITATION {"citationItems":[{"id":"ITEM-1","itemData":{"DOI":"10.1061/(asce)up.1943-5444.0000329","ISSN":"0733-9488","abstract":"Vegetation landscape is an important visual element of urban green space. This paper presents the results of an attempt to evaluate the visual aesthetic quality (VAQ) of urban vegetation landscape from the perspective of visitors. The research is conducted around the West Lake Scenic Area, Hangzhou, China. By quantitative survey, visual photo stimuli, and statistical analysis, the preference of visitors for different types of urban vegetation landscape in relation to their characteristics is presented, and the interactions between VAQ of urban vegetation landscape and landscape visual attributes are explored. The results demonstrate that education, place of residence, and professional background are especially significant characteristics that influence the preference of visitors for different types of urban vegetation landscape, and both strong color contrast and mixed use of evergreen and deciduous plants can increase the VAQ of urban vegetation landscape. To maintain good VAQ, it is recommended that vegetation structure, plant density, and height ratio should be carefully selected according to the type and function of vegetation landscape. The findings provide good advice for urban political determination and concepts of future vegetation landscape design.","author":[{"dropping-particle":"","family":"Du","given":"Hongyu","non-dropping-particle":"","parse-names":false,"suffix":""},{"dropping-particle":"","family":"Jiang","given":"Hong","non-dropping-particle":"","parse-names":false,"suffix":""},{"dropping-particle":"","family":"Song","given":"Xuejun","non-dropping-particle":"","parse-names":false,"suffix":""},{"dropping-particle":"","family":"Zhan","given":"Difu","non-dropping-particle":"","parse-names":false,"suffix":""},{"dropping-particle":"","family":"Bao","given":"Zhiyi","non-dropping-particle":"","parse-names":false,"suffix":""}],"container-title":"Journal of Urban Planning and Development","id":"ITEM-1","issue":"3","issued":{"date-parts":[["2016","9","16"]]},"page":"04016007","publisher":"American Society of Civil Engineers (ASCE)","title":"Assessing the Visual Aesthetic Quality of Vegetation Landscape in Urban Green Space from a Visitor’s Perspective","type":"article-journal","volume":"142"},"uris":["http://www.mendeley.com/documents/?uuid=27973020-2d0e-367f-96a6-c6e9ae12613d"]}],"mendeley":{"formattedCitation":"(Du et al., 2016)","plainTextFormattedCitation":"(Du et al., 2016)","previouslyFormattedCitation":"(Du et al., 2016)"},"properties":{"noteIndex":0},"schema":"https://github.com/citation-style-language/schema/raw/master/csl-citation.json"}</w:instrText>
      </w:r>
      <w:r w:rsidRPr="008C10B7">
        <w:rPr>
          <w:rFonts w:cs="Times New Roman"/>
          <w:sz w:val="22"/>
          <w:szCs w:val="22"/>
        </w:rPr>
        <w:fldChar w:fldCharType="separate"/>
      </w:r>
      <w:r w:rsidR="008C7EFD" w:rsidRPr="008C10B7">
        <w:rPr>
          <w:rFonts w:cs="Times New Roman"/>
          <w:sz w:val="22"/>
          <w:szCs w:val="22"/>
        </w:rPr>
        <w:t>(Du et al., 2016)</w:t>
      </w:r>
      <w:r w:rsidRPr="008C10B7">
        <w:rPr>
          <w:rFonts w:cs="Times New Roman"/>
          <w:sz w:val="22"/>
          <w:szCs w:val="22"/>
        </w:rPr>
        <w:fldChar w:fldCharType="end"/>
      </w:r>
      <w:r w:rsidRPr="008C10B7">
        <w:rPr>
          <w:rFonts w:cs="Times New Roman"/>
          <w:sz w:val="22"/>
          <w:szCs w:val="22"/>
        </w:rPr>
        <w:t xml:space="preserve">. </w:t>
      </w:r>
    </w:p>
    <w:p w14:paraId="1A3A0DE0" w14:textId="3D729079" w:rsidR="00407BC5" w:rsidRPr="008C10B7" w:rsidRDefault="00785576" w:rsidP="00807435">
      <w:pPr>
        <w:spacing w:line="360" w:lineRule="auto"/>
        <w:ind w:firstLine="420"/>
        <w:jc w:val="both"/>
        <w:rPr>
          <w:rFonts w:cs="Times New Roman"/>
          <w:sz w:val="22"/>
          <w:szCs w:val="22"/>
        </w:rPr>
      </w:pPr>
      <w:r w:rsidRPr="008C10B7">
        <w:rPr>
          <w:rFonts w:cs="Times New Roman"/>
          <w:sz w:val="22"/>
          <w:szCs w:val="22"/>
        </w:rPr>
        <w:t xml:space="preserve">In China, university campuses are </w:t>
      </w:r>
      <w:r w:rsidR="00D27B6E" w:rsidRPr="008C10B7">
        <w:rPr>
          <w:rFonts w:cs="Times New Roman"/>
          <w:sz w:val="22"/>
          <w:szCs w:val="22"/>
        </w:rPr>
        <w:t xml:space="preserve">constructed as </w:t>
      </w:r>
      <w:r w:rsidRPr="008C10B7">
        <w:rPr>
          <w:rFonts w:cs="Times New Roman"/>
          <w:sz w:val="22"/>
          <w:szCs w:val="22"/>
        </w:rPr>
        <w:t xml:space="preserve">separate communities that have specific transport patterns </w:t>
      </w:r>
      <w:r w:rsidR="00D27B6E" w:rsidRPr="008C10B7">
        <w:rPr>
          <w:rFonts w:cs="Times New Roman"/>
          <w:sz w:val="22"/>
          <w:szCs w:val="22"/>
        </w:rPr>
        <w:t>with</w:t>
      </w:r>
      <w:r w:rsidRPr="008C10B7">
        <w:rPr>
          <w:rFonts w:cs="Times New Roman"/>
          <w:sz w:val="22"/>
          <w:szCs w:val="22"/>
        </w:rPr>
        <w:t xml:space="preserve">in </w:t>
      </w:r>
      <w:r w:rsidR="00D27B6E" w:rsidRPr="008C10B7">
        <w:rPr>
          <w:rFonts w:cs="Times New Roman"/>
          <w:sz w:val="22"/>
          <w:szCs w:val="22"/>
        </w:rPr>
        <w:t>them</w:t>
      </w:r>
      <w:r w:rsidRPr="008C10B7">
        <w:rPr>
          <w:rFonts w:cs="Times New Roman"/>
          <w:sz w:val="22"/>
          <w:szCs w:val="22"/>
        </w:rPr>
        <w:t xml:space="preserve">, which </w:t>
      </w:r>
      <w:r w:rsidR="00D27B6E" w:rsidRPr="008C10B7">
        <w:rPr>
          <w:rFonts w:cs="Times New Roman"/>
          <w:sz w:val="22"/>
          <w:szCs w:val="22"/>
        </w:rPr>
        <w:t xml:space="preserve">generally </w:t>
      </w:r>
      <w:r w:rsidRPr="008C10B7">
        <w:rPr>
          <w:rFonts w:cs="Times New Roman"/>
          <w:sz w:val="22"/>
          <w:szCs w:val="22"/>
        </w:rPr>
        <w:t>differ from university campuses in western countries</w:t>
      </w:r>
      <w:r w:rsidR="00D27B6E" w:rsidRPr="008C10B7">
        <w:rPr>
          <w:rFonts w:cs="Times New Roman"/>
          <w:sz w:val="22"/>
          <w:szCs w:val="22"/>
        </w:rPr>
        <w:t>.</w:t>
      </w:r>
      <w:r w:rsidRPr="008C10B7">
        <w:rPr>
          <w:rFonts w:cs="Times New Roman"/>
          <w:sz w:val="22"/>
          <w:szCs w:val="22"/>
        </w:rPr>
        <w:t xml:space="preserve"> </w:t>
      </w:r>
      <w:r w:rsidR="00D27B6E" w:rsidRPr="008C10B7">
        <w:rPr>
          <w:rFonts w:cs="Times New Roman"/>
          <w:sz w:val="22"/>
          <w:szCs w:val="22"/>
        </w:rPr>
        <w:t>T</w:t>
      </w:r>
      <w:r w:rsidRPr="008C10B7">
        <w:rPr>
          <w:rFonts w:cs="Times New Roman"/>
          <w:sz w:val="22"/>
          <w:szCs w:val="22"/>
        </w:rPr>
        <w:t xml:space="preserve">his is because most university campuses in China are gated and are usually planned on the </w:t>
      </w:r>
      <w:r w:rsidR="00D27B6E" w:rsidRPr="008C10B7">
        <w:rPr>
          <w:rFonts w:cs="Times New Roman"/>
          <w:sz w:val="22"/>
          <w:szCs w:val="22"/>
        </w:rPr>
        <w:t xml:space="preserve">basis of the </w:t>
      </w:r>
      <w:r w:rsidRPr="008C10B7">
        <w:rPr>
          <w:rFonts w:cs="Times New Roman"/>
          <w:sz w:val="22"/>
          <w:szCs w:val="22"/>
        </w:rPr>
        <w:t xml:space="preserve">closed development model </w:t>
      </w:r>
      <w:r w:rsidRPr="008C10B7">
        <w:rPr>
          <w:rFonts w:cs="Times New Roman"/>
          <w:sz w:val="22"/>
          <w:szCs w:val="22"/>
        </w:rPr>
        <w:fldChar w:fldCharType="begin" w:fldLock="1"/>
      </w:r>
      <w:r w:rsidRPr="008C10B7">
        <w:rPr>
          <w:rFonts w:cs="Times New Roman"/>
          <w:sz w:val="22"/>
          <w:szCs w:val="22"/>
        </w:rPr>
        <w:instrText>ADDIN CSL_CITATION {"citationItems":[{"id":"ITEM-1","itemData":{"DOI":"10.1016/J.HABITATINT.2018.08.008","ISSN":"0197-3975","author":[{"dropping-particle":"","family":"Sun","given":"Cheng","non-dropping-particle":"","parse-names":false,"suffix":""},{"dropping-particle":"","family":"Cheng","given":"Jianquan","non-dropping-particle":"","parse-names":false,"suffix":""},{"dropping-particle":"","family":"Lin","given":"Aiwen","non-dropping-particle":"","parse-names":false,"suffix":""},{"dropping-particle":"","family":"Peng","given":"Mingjun","non-dropping-particle":"","parse-names":false,"suffix":""}],"container-title":"Habitat International","id":"ITEM-1","issued":{"date-parts":[["2018","10","1"]]},"page":"11-27","publisher":"Pergamon","title":"Gated university campus and its implications for socio-spatial inequality: Evidence from students' accessibility to local public transport","type":"article-journal","volume":"80"},"uris":["http://www.mendeley.com/documents/?uuid=5dd3361a-9385-3170-bd43-125f37300175"]}],"mendeley":{"formattedCitation":"(C. Sun et al., 2018)","manualFormatting":"(Sun et al., 2018)","plainTextFormattedCitation":"(C. Sun et al., 2018)","previouslyFormattedCitation":"(C. Sun et al., 2018)"},"properties":{"noteIndex":0},"schema":"https://github.com/citation-style-language/schema/raw/master/csl-citation.json"}</w:instrText>
      </w:r>
      <w:r w:rsidRPr="008C10B7">
        <w:rPr>
          <w:rFonts w:cs="Times New Roman"/>
          <w:sz w:val="22"/>
          <w:szCs w:val="22"/>
        </w:rPr>
        <w:fldChar w:fldCharType="separate"/>
      </w:r>
      <w:r w:rsidRPr="008C10B7">
        <w:rPr>
          <w:rFonts w:cs="Times New Roman"/>
          <w:sz w:val="22"/>
          <w:szCs w:val="22"/>
        </w:rPr>
        <w:t>(Sun et al., 2018)</w:t>
      </w:r>
      <w:r w:rsidRPr="008C10B7">
        <w:rPr>
          <w:rFonts w:cs="Times New Roman"/>
          <w:sz w:val="22"/>
          <w:szCs w:val="22"/>
        </w:rPr>
        <w:fldChar w:fldCharType="end"/>
      </w:r>
      <w:r w:rsidRPr="008C10B7">
        <w:rPr>
          <w:rFonts w:cs="Times New Roman"/>
          <w:sz w:val="22"/>
          <w:szCs w:val="22"/>
        </w:rPr>
        <w:t>. Within these gated campuses, dormitories are provided to reduce the cost of living for students (typically containing 2 to 4 beds</w:t>
      </w:r>
      <w:r w:rsidR="00F768AD" w:rsidRPr="008C10B7">
        <w:rPr>
          <w:rFonts w:cs="Times New Roman"/>
          <w:sz w:val="22"/>
          <w:szCs w:val="22"/>
        </w:rPr>
        <w:t xml:space="preserve"> in a room</w:t>
      </w:r>
      <w:r w:rsidRPr="008C10B7">
        <w:rPr>
          <w:rFonts w:cs="Times New Roman"/>
          <w:sz w:val="22"/>
          <w:szCs w:val="22"/>
        </w:rPr>
        <w:t xml:space="preserve">), and most </w:t>
      </w:r>
      <w:r w:rsidR="00014B1A" w:rsidRPr="008C10B7">
        <w:rPr>
          <w:rFonts w:cs="Times New Roman"/>
          <w:sz w:val="22"/>
          <w:szCs w:val="22"/>
        </w:rPr>
        <w:t xml:space="preserve">costs </w:t>
      </w:r>
      <w:r w:rsidRPr="008C10B7">
        <w:rPr>
          <w:rFonts w:cs="Times New Roman"/>
          <w:sz w:val="22"/>
          <w:szCs w:val="22"/>
        </w:rPr>
        <w:t xml:space="preserve">are subsidised by the government </w:t>
      </w:r>
      <w:r w:rsidRPr="008C10B7">
        <w:rPr>
          <w:rFonts w:cs="Times New Roman"/>
          <w:sz w:val="22"/>
          <w:szCs w:val="22"/>
        </w:rPr>
        <w:fldChar w:fldCharType="begin" w:fldLock="1"/>
      </w:r>
      <w:r w:rsidRPr="008C10B7">
        <w:rPr>
          <w:rFonts w:cs="Times New Roman"/>
          <w:sz w:val="22"/>
          <w:szCs w:val="22"/>
        </w:rPr>
        <w:instrText>ADDIN CSL_CITATION {"citationItems":[{"id":"ITEM-1","itemData":{"DOI":"10.1016/J.HABITATINT.2018.08.008","ISSN":"0197-3975","author":[{"dropping-particle":"","family":"Sun","given":"Cheng","non-dropping-particle":"","parse-names":false,"suffix":""},{"dropping-particle":"","family":"Cheng","given":"Jianquan","non-dropping-particle":"","parse-names":false,"suffix":""},{"dropping-particle":"","family":"Lin","given":"Aiwen","non-dropping-particle":"","parse-names":false,"suffix":""},{"dropping-particle":"","family":"Peng","given":"Mingjun","non-dropping-particle":"","parse-names":false,"suffix":""}],"container-title":"Habitat International","id":"ITEM-1","issued":{"date-parts":[["2018","10","1"]]},"page":"11-27","publisher":"Pergamon","title":"Gated university campus and its implications for socio-spatial inequality: Evidence from students' accessibility to local public transport","type":"article-journal","volume":"80"},"uris":["http://www.mendeley.com/documents/?uuid=5dd3361a-9385-3170-bd43-125f37300175"]}],"mendeley":{"formattedCitation":"(C. Sun et al., 2018)","manualFormatting":"(Sun et al., 2018)","plainTextFormattedCitation":"(C. Sun et al., 2018)","previouslyFormattedCitation":"(C. Sun et al., 2018)"},"properties":{"noteIndex":0},"schema":"https://github.com/citation-style-language/schema/raw/master/csl-citation.json"}</w:instrText>
      </w:r>
      <w:r w:rsidRPr="008C10B7">
        <w:rPr>
          <w:rFonts w:cs="Times New Roman"/>
          <w:sz w:val="22"/>
          <w:szCs w:val="22"/>
        </w:rPr>
        <w:fldChar w:fldCharType="separate"/>
      </w:r>
      <w:r w:rsidRPr="008C10B7">
        <w:rPr>
          <w:rFonts w:cs="Times New Roman"/>
          <w:sz w:val="22"/>
          <w:szCs w:val="22"/>
        </w:rPr>
        <w:t>(Sun et al., 2018)</w:t>
      </w:r>
      <w:r w:rsidRPr="008C10B7">
        <w:rPr>
          <w:rFonts w:cs="Times New Roman"/>
          <w:sz w:val="22"/>
          <w:szCs w:val="22"/>
        </w:rPr>
        <w:fldChar w:fldCharType="end"/>
      </w:r>
      <w:r w:rsidRPr="008C10B7">
        <w:rPr>
          <w:rFonts w:cs="Times New Roman"/>
          <w:sz w:val="22"/>
          <w:szCs w:val="22"/>
        </w:rPr>
        <w:t xml:space="preserve">. Public transport, such as </w:t>
      </w:r>
      <w:r w:rsidR="00D27B6E" w:rsidRPr="008C10B7">
        <w:rPr>
          <w:rFonts w:cs="Times New Roman"/>
          <w:sz w:val="22"/>
          <w:szCs w:val="22"/>
        </w:rPr>
        <w:t xml:space="preserve">the </w:t>
      </w:r>
      <w:r w:rsidRPr="008C10B7">
        <w:rPr>
          <w:rFonts w:cs="Times New Roman"/>
          <w:sz w:val="22"/>
          <w:szCs w:val="22"/>
        </w:rPr>
        <w:t xml:space="preserve">underground and buses are </w:t>
      </w:r>
      <w:r w:rsidR="00E1613A" w:rsidRPr="008C10B7">
        <w:rPr>
          <w:rFonts w:cs="Times New Roman"/>
          <w:sz w:val="22"/>
          <w:szCs w:val="22"/>
        </w:rPr>
        <w:t xml:space="preserve">generally </w:t>
      </w:r>
      <w:r w:rsidRPr="008C10B7">
        <w:rPr>
          <w:rFonts w:cs="Times New Roman"/>
          <w:sz w:val="22"/>
          <w:szCs w:val="22"/>
        </w:rPr>
        <w:t>not allowed to</w:t>
      </w:r>
      <w:r w:rsidR="00D27B6E" w:rsidRPr="008C10B7">
        <w:rPr>
          <w:rFonts w:cs="Times New Roman"/>
          <w:sz w:val="22"/>
          <w:szCs w:val="22"/>
        </w:rPr>
        <w:t xml:space="preserve"> operate their</w:t>
      </w:r>
      <w:r w:rsidRPr="008C10B7">
        <w:rPr>
          <w:rFonts w:cs="Times New Roman"/>
          <w:sz w:val="22"/>
          <w:szCs w:val="22"/>
        </w:rPr>
        <w:t xml:space="preserve"> service</w:t>
      </w:r>
      <w:r w:rsidR="00D27B6E" w:rsidRPr="008C10B7">
        <w:rPr>
          <w:rFonts w:cs="Times New Roman"/>
          <w:sz w:val="22"/>
          <w:szCs w:val="22"/>
        </w:rPr>
        <w:t>s</w:t>
      </w:r>
      <w:r w:rsidRPr="008C10B7">
        <w:rPr>
          <w:rFonts w:cs="Times New Roman"/>
          <w:sz w:val="22"/>
          <w:szCs w:val="22"/>
        </w:rPr>
        <w:t xml:space="preserve"> inside campuses, </w:t>
      </w:r>
      <w:r w:rsidR="00D27B6E" w:rsidRPr="008C10B7">
        <w:rPr>
          <w:rFonts w:cs="Times New Roman"/>
          <w:sz w:val="22"/>
          <w:szCs w:val="22"/>
        </w:rPr>
        <w:t xml:space="preserve">meaning that </w:t>
      </w:r>
      <w:r w:rsidRPr="008C10B7">
        <w:rPr>
          <w:rFonts w:cs="Times New Roman"/>
          <w:sz w:val="22"/>
          <w:szCs w:val="22"/>
        </w:rPr>
        <w:t xml:space="preserve">most university students in China </w:t>
      </w:r>
      <w:proofErr w:type="gramStart"/>
      <w:r w:rsidR="00D27B6E" w:rsidRPr="008C10B7">
        <w:rPr>
          <w:rFonts w:cs="Times New Roman"/>
          <w:sz w:val="22"/>
          <w:szCs w:val="22"/>
        </w:rPr>
        <w:t>have to</w:t>
      </w:r>
      <w:proofErr w:type="gramEnd"/>
      <w:r w:rsidR="00D27B6E" w:rsidRPr="008C10B7">
        <w:rPr>
          <w:rFonts w:cs="Times New Roman"/>
          <w:sz w:val="22"/>
          <w:szCs w:val="22"/>
        </w:rPr>
        <w:t xml:space="preserve"> </w:t>
      </w:r>
      <w:r w:rsidR="000A062A" w:rsidRPr="008C10B7">
        <w:rPr>
          <w:rFonts w:cs="Times New Roman"/>
          <w:sz w:val="22"/>
          <w:szCs w:val="22"/>
        </w:rPr>
        <w:t xml:space="preserve">either </w:t>
      </w:r>
      <w:r w:rsidRPr="008C10B7">
        <w:rPr>
          <w:rFonts w:cs="Times New Roman"/>
          <w:sz w:val="22"/>
          <w:szCs w:val="22"/>
        </w:rPr>
        <w:t>walk or cycl</w:t>
      </w:r>
      <w:r w:rsidR="00D27B6E" w:rsidRPr="008C10B7">
        <w:rPr>
          <w:rFonts w:cs="Times New Roman"/>
          <w:sz w:val="22"/>
          <w:szCs w:val="22"/>
        </w:rPr>
        <w:t>e</w:t>
      </w:r>
      <w:r w:rsidRPr="008C10B7">
        <w:rPr>
          <w:rFonts w:cs="Times New Roman"/>
          <w:sz w:val="22"/>
          <w:szCs w:val="22"/>
        </w:rPr>
        <w:t xml:space="preserve">. Consequently, most daily activities associated with student life take place on campus, and the on-campus accommodation may also decrease the </w:t>
      </w:r>
      <w:r w:rsidR="00D27B6E" w:rsidRPr="008C10B7">
        <w:rPr>
          <w:rFonts w:cs="Times New Roman"/>
          <w:sz w:val="22"/>
          <w:szCs w:val="22"/>
        </w:rPr>
        <w:t xml:space="preserve">amount of </w:t>
      </w:r>
      <w:r w:rsidRPr="008C10B7">
        <w:rPr>
          <w:rFonts w:cs="Times New Roman"/>
          <w:sz w:val="22"/>
          <w:szCs w:val="22"/>
        </w:rPr>
        <w:t xml:space="preserve">off-campus travel, which means </w:t>
      </w:r>
      <w:r w:rsidRPr="008C10B7">
        <w:rPr>
          <w:rFonts w:cs="Times New Roman"/>
          <w:sz w:val="22"/>
          <w:szCs w:val="22"/>
        </w:rPr>
        <w:lastRenderedPageBreak/>
        <w:t xml:space="preserve">that </w:t>
      </w:r>
      <w:r w:rsidR="00D27B6E" w:rsidRPr="008C10B7">
        <w:rPr>
          <w:rFonts w:cs="Times New Roman"/>
          <w:sz w:val="22"/>
          <w:szCs w:val="22"/>
        </w:rPr>
        <w:t>the</w:t>
      </w:r>
      <w:r w:rsidRPr="008C10B7">
        <w:rPr>
          <w:rFonts w:cs="Times New Roman"/>
          <w:sz w:val="22"/>
          <w:szCs w:val="22"/>
        </w:rPr>
        <w:t xml:space="preserve"> frequency of travel within university campuses</w:t>
      </w:r>
      <w:r w:rsidR="00D27B6E" w:rsidRPr="008C10B7">
        <w:rPr>
          <w:rFonts w:cs="Times New Roman"/>
          <w:sz w:val="22"/>
          <w:szCs w:val="22"/>
        </w:rPr>
        <w:t xml:space="preserve"> is high</w:t>
      </w:r>
      <w:r w:rsidRPr="008C10B7">
        <w:rPr>
          <w:rFonts w:cs="Times New Roman"/>
          <w:sz w:val="22"/>
          <w:szCs w:val="22"/>
        </w:rPr>
        <w:t>, but</w:t>
      </w:r>
      <w:r w:rsidR="00D27B6E" w:rsidRPr="008C10B7">
        <w:rPr>
          <w:rFonts w:cs="Times New Roman"/>
          <w:sz w:val="22"/>
          <w:szCs w:val="22"/>
        </w:rPr>
        <w:t xml:space="preserve">, correspondingly, it tends to be </w:t>
      </w:r>
      <w:r w:rsidRPr="008C10B7">
        <w:rPr>
          <w:rFonts w:cs="Times New Roman"/>
          <w:sz w:val="22"/>
          <w:szCs w:val="22"/>
        </w:rPr>
        <w:t xml:space="preserve">low outside </w:t>
      </w:r>
      <w:r w:rsidR="00D27B6E" w:rsidRPr="008C10B7">
        <w:rPr>
          <w:rFonts w:cs="Times New Roman"/>
          <w:sz w:val="22"/>
          <w:szCs w:val="22"/>
        </w:rPr>
        <w:t xml:space="preserve">of </w:t>
      </w:r>
      <w:r w:rsidRPr="008C10B7">
        <w:rPr>
          <w:rFonts w:cs="Times New Roman"/>
          <w:sz w:val="22"/>
          <w:szCs w:val="22"/>
        </w:rPr>
        <w:t xml:space="preserve">campuses. Therefore, the travel patterns of university students in China are quite different from </w:t>
      </w:r>
      <w:r w:rsidR="00D27B6E" w:rsidRPr="008C10B7">
        <w:rPr>
          <w:rFonts w:cs="Times New Roman"/>
          <w:sz w:val="22"/>
          <w:szCs w:val="22"/>
        </w:rPr>
        <w:t xml:space="preserve">those of </w:t>
      </w:r>
      <w:r w:rsidRPr="008C10B7">
        <w:rPr>
          <w:rFonts w:cs="Times New Roman"/>
          <w:sz w:val="22"/>
          <w:szCs w:val="22"/>
        </w:rPr>
        <w:t xml:space="preserve">their counterparts in other countries, </w:t>
      </w:r>
      <w:r w:rsidR="000A062A" w:rsidRPr="008C10B7">
        <w:rPr>
          <w:rFonts w:cs="Times New Roman"/>
          <w:sz w:val="22"/>
          <w:szCs w:val="22"/>
        </w:rPr>
        <w:t xml:space="preserve">such as </w:t>
      </w:r>
      <w:r w:rsidRPr="008C10B7">
        <w:rPr>
          <w:rFonts w:cs="Times New Roman"/>
          <w:sz w:val="22"/>
          <w:szCs w:val="22"/>
        </w:rPr>
        <w:t>in Europe and the USA.</w:t>
      </w:r>
      <w:r w:rsidR="002F51AE" w:rsidRPr="008C10B7">
        <w:rPr>
          <w:rFonts w:cs="Times New Roman"/>
          <w:sz w:val="22"/>
          <w:szCs w:val="22"/>
        </w:rPr>
        <w:t xml:space="preserve"> </w:t>
      </w:r>
      <w:r w:rsidR="00231F38" w:rsidRPr="008C10B7">
        <w:rPr>
          <w:rFonts w:cs="Times New Roman"/>
          <w:sz w:val="22"/>
          <w:szCs w:val="22"/>
        </w:rPr>
        <w:t>For example</w:t>
      </w:r>
      <w:r w:rsidR="0053276B" w:rsidRPr="008C10B7">
        <w:rPr>
          <w:rFonts w:cs="Times New Roman"/>
          <w:sz w:val="22"/>
          <w:szCs w:val="22"/>
        </w:rPr>
        <w:t>,</w:t>
      </w:r>
      <w:r w:rsidR="00465D37" w:rsidRPr="008C10B7">
        <w:rPr>
          <w:rFonts w:cs="Times New Roman"/>
          <w:sz w:val="22"/>
          <w:szCs w:val="22"/>
        </w:rPr>
        <w:t xml:space="preserve"> </w:t>
      </w:r>
      <w:r w:rsidR="0053276B" w:rsidRPr="008C10B7">
        <w:rPr>
          <w:rFonts w:cs="Times New Roman"/>
          <w:sz w:val="22"/>
          <w:szCs w:val="22"/>
        </w:rPr>
        <w:t>t</w:t>
      </w:r>
      <w:r w:rsidR="00F12513" w:rsidRPr="008C10B7">
        <w:rPr>
          <w:rFonts w:cs="Times New Roman"/>
          <w:sz w:val="22"/>
          <w:szCs w:val="22"/>
        </w:rPr>
        <w:t>he average frequency of</w:t>
      </w:r>
      <w:r w:rsidR="0009364D" w:rsidRPr="008C10B7">
        <w:rPr>
          <w:rFonts w:cs="Times New Roman"/>
          <w:sz w:val="22"/>
          <w:szCs w:val="22"/>
        </w:rPr>
        <w:t xml:space="preserve"> off-campus</w:t>
      </w:r>
      <w:r w:rsidR="00F12513" w:rsidRPr="008C10B7">
        <w:rPr>
          <w:rFonts w:cs="Times New Roman"/>
          <w:sz w:val="22"/>
          <w:szCs w:val="22"/>
        </w:rPr>
        <w:t xml:space="preserve"> trips </w:t>
      </w:r>
      <w:r w:rsidR="00001257" w:rsidRPr="008C10B7">
        <w:rPr>
          <w:rFonts w:cs="Times New Roman"/>
          <w:sz w:val="22"/>
          <w:szCs w:val="22"/>
        </w:rPr>
        <w:t xml:space="preserve">per week </w:t>
      </w:r>
      <w:r w:rsidR="00F12513" w:rsidRPr="008C10B7">
        <w:rPr>
          <w:rFonts w:cs="Times New Roman"/>
          <w:sz w:val="22"/>
          <w:szCs w:val="22"/>
        </w:rPr>
        <w:t xml:space="preserve">for Chinese university students was </w:t>
      </w:r>
      <w:r w:rsidR="0009364D" w:rsidRPr="008C10B7">
        <w:rPr>
          <w:rFonts w:cs="Times New Roman"/>
          <w:sz w:val="22"/>
          <w:szCs w:val="22"/>
        </w:rPr>
        <w:t xml:space="preserve">found to be </w:t>
      </w:r>
      <w:r w:rsidR="00F12513" w:rsidRPr="008C10B7">
        <w:rPr>
          <w:rFonts w:cs="Times New Roman"/>
          <w:sz w:val="22"/>
          <w:szCs w:val="22"/>
        </w:rPr>
        <w:t xml:space="preserve">about </w:t>
      </w:r>
      <w:r w:rsidR="00001257" w:rsidRPr="008C10B7">
        <w:rPr>
          <w:rFonts w:cs="Times New Roman"/>
          <w:sz w:val="22"/>
          <w:szCs w:val="22"/>
        </w:rPr>
        <w:t xml:space="preserve">two trips per week </w:t>
      </w:r>
      <w:r w:rsidR="00F12513" w:rsidRPr="008C10B7">
        <w:rPr>
          <w:rFonts w:cs="Times New Roman"/>
          <w:sz w:val="22"/>
          <w:szCs w:val="22"/>
        </w:rPr>
        <w:fldChar w:fldCharType="begin" w:fldLock="1"/>
      </w:r>
      <w:r w:rsidR="00B74AD7" w:rsidRPr="008C10B7">
        <w:rPr>
          <w:rFonts w:cs="Times New Roman"/>
          <w:sz w:val="22"/>
          <w:szCs w:val="22"/>
        </w:rPr>
        <w:instrText>ADDIN CSL_CITATION {"citationItems":[{"id":"ITEM-1","itemData":{"DOI":"10.1016/j.tranpol.2015.09.006","ISSN":"1879310X","abstract":"This paper applies a nonparametric statistical method, hierarchical tree-based regression (HTBR) model, to explore university student travel frequency and mode choice patterns in China, using the data collected by a web-based travel survey. In this study, HTBR models were constructed to predict student travel frequency and classify student mode choice. It was found that student grade, school location city, public transit station coverage ratio (PTSCR) and family income have impacts on student travel frequency, and travel distance, bicycle ownership, school location city, PTSCR and student gender are significantly correlated to student mode choice. The study results reveal travel characteristics of university students in China at a disaggregate level and provide information to better understand their travel behaviors.","author":[{"dropping-particle":"","family":"Zhan","given":"Guangjun","non-dropping-particle":"","parse-names":false,"suffix":""},{"dropping-particle":"","family":"Yan","given":"Xuedong","non-dropping-particle":"","parse-names":false,"suffix":""},{"dropping-particle":"","family":"Zhu","given":"Shanjiang","non-dropping-particle":"","parse-names":false,"suffix":""},{"dropping-particle":"","family":"Wang","given":"Yun","non-dropping-particle":"","parse-names":false,"suffix":""}],"container-title":"Transport Policy","id":"ITEM-1","issued":{"date-parts":[["2016","1","1"]]},"page":"55-65","publisher":"Elsevier Ltd","title":"Using hierarchical tree-based regression model to examine university student travel frequency and mode choice patterns in China","type":"article-journal","volume":"45"},"uris":["http://www.mendeley.com/documents/?uuid=37905115-9dd6-33a4-86be-a6d6012d5b69"]}],"mendeley":{"formattedCitation":"(Zhan et al., 2016)","plainTextFormattedCitation":"(Zhan et al., 2016)","previouslyFormattedCitation":"(Zhan et al., 2016)"},"properties":{"noteIndex":0},"schema":"https://github.com/citation-style-language/schema/raw/master/csl-citation.json"}</w:instrText>
      </w:r>
      <w:r w:rsidR="00F12513" w:rsidRPr="008C10B7">
        <w:rPr>
          <w:rFonts w:cs="Times New Roman"/>
          <w:sz w:val="22"/>
          <w:szCs w:val="22"/>
        </w:rPr>
        <w:fldChar w:fldCharType="separate"/>
      </w:r>
      <w:r w:rsidR="008C7EFD" w:rsidRPr="008C10B7">
        <w:rPr>
          <w:rFonts w:cs="Times New Roman"/>
          <w:sz w:val="22"/>
          <w:szCs w:val="22"/>
        </w:rPr>
        <w:t>(Zhan et al., 2016)</w:t>
      </w:r>
      <w:r w:rsidR="00F12513" w:rsidRPr="008C10B7">
        <w:rPr>
          <w:rFonts w:cs="Times New Roman"/>
          <w:sz w:val="22"/>
          <w:szCs w:val="22"/>
        </w:rPr>
        <w:fldChar w:fldCharType="end"/>
      </w:r>
      <w:r w:rsidR="00F12513" w:rsidRPr="008C10B7">
        <w:rPr>
          <w:rFonts w:cs="Times New Roman"/>
          <w:sz w:val="22"/>
          <w:szCs w:val="22"/>
        </w:rPr>
        <w:t xml:space="preserve">, </w:t>
      </w:r>
      <w:r w:rsidR="0015729A" w:rsidRPr="008C10B7">
        <w:rPr>
          <w:rFonts w:cs="Times New Roman"/>
          <w:sz w:val="22"/>
          <w:szCs w:val="22"/>
        </w:rPr>
        <w:t>whereas</w:t>
      </w:r>
      <w:r w:rsidR="00F12513" w:rsidRPr="008C10B7">
        <w:rPr>
          <w:rFonts w:cs="Times New Roman"/>
          <w:sz w:val="22"/>
          <w:szCs w:val="22"/>
        </w:rPr>
        <w:t xml:space="preserve"> the </w:t>
      </w:r>
      <w:r w:rsidR="0009364D" w:rsidRPr="008C10B7">
        <w:rPr>
          <w:rFonts w:cs="Times New Roman"/>
          <w:sz w:val="22"/>
          <w:szCs w:val="22"/>
        </w:rPr>
        <w:t>corresponding figure</w:t>
      </w:r>
      <w:r w:rsidR="00F12513" w:rsidRPr="008C10B7">
        <w:rPr>
          <w:rFonts w:cs="Times New Roman"/>
          <w:sz w:val="22"/>
          <w:szCs w:val="22"/>
        </w:rPr>
        <w:t xml:space="preserve"> for both Thai and American students was more than </w:t>
      </w:r>
      <w:r w:rsidR="00231F38" w:rsidRPr="008C10B7">
        <w:rPr>
          <w:rFonts w:cs="Times New Roman"/>
          <w:sz w:val="22"/>
          <w:szCs w:val="22"/>
        </w:rPr>
        <w:t>four</w:t>
      </w:r>
      <w:r w:rsidR="00F12513" w:rsidRPr="008C10B7">
        <w:rPr>
          <w:rFonts w:cs="Times New Roman"/>
          <w:sz w:val="22"/>
          <w:szCs w:val="22"/>
        </w:rPr>
        <w:t xml:space="preserve"> trips</w:t>
      </w:r>
      <w:r w:rsidR="00407BC5" w:rsidRPr="008C10B7">
        <w:rPr>
          <w:rFonts w:cs="Times New Roman"/>
          <w:sz w:val="22"/>
          <w:szCs w:val="22"/>
        </w:rPr>
        <w:t xml:space="preserve"> per </w:t>
      </w:r>
      <w:r w:rsidR="00F12513" w:rsidRPr="008C10B7">
        <w:rPr>
          <w:rFonts w:cs="Times New Roman"/>
          <w:sz w:val="22"/>
          <w:szCs w:val="22"/>
        </w:rPr>
        <w:t xml:space="preserve">week </w:t>
      </w:r>
      <w:r w:rsidR="00F12513" w:rsidRPr="008C10B7">
        <w:rPr>
          <w:rFonts w:cs="Times New Roman"/>
          <w:sz w:val="22"/>
          <w:szCs w:val="22"/>
        </w:rPr>
        <w:fldChar w:fldCharType="begin" w:fldLock="1"/>
      </w:r>
      <w:r w:rsidR="00B74AD7" w:rsidRPr="008C10B7">
        <w:rPr>
          <w:rFonts w:cs="Times New Roman"/>
          <w:sz w:val="22"/>
          <w:szCs w:val="22"/>
        </w:rPr>
        <w:instrText>ADDIN CSL_CITATION {"citationItems":[{"id":"ITEM-1","itemData":{"DOI":"10.1016/j.tranpol.2010.07.006","ISSN":"0967070X","abstract":"With their irregular class schedules and considerable freedom in the campus environment, university students are an example of a social group that tends to have complex and unique travel behavior. This study examined travel patterns of 130 students who study and live on campus in a rural university of Thailand. All survey participants completed a travel diary for seven consecutive days in a typical school week. Other than overall travel patterns, such as trip generation, mode split, distance traveled, and travel time, this study also investigated the differences in traffic patterns of four student groups, categorized by their gender and whether they own a private vehicle or not. It was found that students of both genders appeared to have similar travel patterns in all aspects. Whether they own a private vehicle does not appear to impact daily trip generation nor the total distance traveled of the students, but it does have an effect on the travel modes used by students. Those students who own a private vehicle mostly rely on driving the vehicle, while those who do not own a vehicle rely on three modes of travel: primarily being a passenger on or in a friend's private vehicle, and to a lesser extent, driving a friend's vehicle, and taking a bus (the only form of public transport on the campus). The results indicate a high social interdependency among university students, which makes the development of a model to simulate travel behavior of university students a complicated task. © 2010 Elsevier Ltd.","author":[{"dropping-particle":"","family":"Limanond","given":"Thirayoot","non-dropping-particle":"","parse-names":false,"suffix":""},{"dropping-particle":"","family":"Butsingkorn","given":"Tanissara","non-dropping-particle":"","parse-names":false,"suffix":""},{"dropping-particle":"","family":"Chermkhunthod","given":"Chutima","non-dropping-particle":"","parse-names":false,"suffix":""}],"container-title":"Transport Policy","id":"ITEM-1","issue":"1","issued":{"date-parts":[["2011","1","1"]]},"page":"163-171","publisher":"Pergamon","title":"Travel behavior of university students who live on campus: A case study of a rural university in Asia","type":"article-journal","volume":"18"},"uris":["http://www.mendeley.com/documents/?uuid=b32abac8-cacf-3c2c-b824-5850c3885795"]},{"id":"ITEM-2","itemData":{"DOI":"10.1080/03081060.2012.701818","ISSN":"03081060","abstract":"This paper conducts a statistical analysis of student travel behavior at Virginia Commonwealth University (VCU). The data source is the 'University NHTS' project launched by the Virginia Department of Transportation (VDOT) in 2009. Through this empirical study, it has been found that university student travel behavior is different from that of the general population; urban universities have lower percentages of nonmotorized trips than college-town universities; undergraduate students are likely to make more daily trips than graduate students - similarly, on-campus students make more frequent trips than off-campus students; the most frequent student activities are home and academic activities; and student group categories have virtually no impact on daily activity profiles, though activity types do have a dramatic impact on daily activity profiles. Based on these research findings, the paper makes a series of recommendations regarding trip generation, trip distribution, mode choice, and activity-based modeling. © 2012 Copyright Taylor and Francis Group, LLC.","author":[{"dropping-particle":"","family":"Chen","given":"Xueming","non-dropping-particle":"","parse-names":false,"suffix":""}],"container-title":"Transportation Planning and Technology","id":"ITEM-2","issue":"5","issued":{"date-parts":[["2012","7"]]},"page":"591-610","publisher":" Taylor &amp; Francis Group ","title":"Statistical and activity-based modeling of university student travel behavior","type":"article-journal","volume":"35"},"uris":["http://www.mendeley.com/documents/?uuid=8c3d784d-d467-3474-a0b7-145e2297d407"]}],"mendeley":{"formattedCitation":"(Xueming Chen, 2012; Limanond et al., 2011)","manualFormatting":"(Chen, 2012; Limanond et al., 2011)","plainTextFormattedCitation":"(Xueming Chen, 2012; Limanond et al., 2011)","previouslyFormattedCitation":"(Xueming Chen, 2012; Limanond et al., 2011)"},"properties":{"noteIndex":0},"schema":"https://github.com/citation-style-language/schema/raw/master/csl-citation.json"}</w:instrText>
      </w:r>
      <w:r w:rsidR="00F12513" w:rsidRPr="008C10B7">
        <w:rPr>
          <w:rFonts w:cs="Times New Roman"/>
          <w:sz w:val="22"/>
          <w:szCs w:val="22"/>
        </w:rPr>
        <w:fldChar w:fldCharType="separate"/>
      </w:r>
      <w:r w:rsidR="00F12513" w:rsidRPr="008C10B7">
        <w:rPr>
          <w:rFonts w:cs="Times New Roman"/>
          <w:sz w:val="22"/>
          <w:szCs w:val="22"/>
        </w:rPr>
        <w:t>(Chen, 2012; Limanond et al., 2011)</w:t>
      </w:r>
      <w:r w:rsidR="00F12513" w:rsidRPr="008C10B7">
        <w:rPr>
          <w:rFonts w:cs="Times New Roman"/>
          <w:sz w:val="22"/>
          <w:szCs w:val="22"/>
        </w:rPr>
        <w:fldChar w:fldCharType="end"/>
      </w:r>
      <w:r w:rsidR="00F12513" w:rsidRPr="008C10B7">
        <w:rPr>
          <w:rFonts w:cs="Times New Roman"/>
          <w:sz w:val="22"/>
          <w:szCs w:val="22"/>
        </w:rPr>
        <w:t xml:space="preserve">. </w:t>
      </w:r>
      <w:r w:rsidR="0035272B" w:rsidRPr="008C10B7">
        <w:rPr>
          <w:rFonts w:cs="Times New Roman"/>
          <w:sz w:val="22"/>
          <w:szCs w:val="22"/>
        </w:rPr>
        <w:t>Th</w:t>
      </w:r>
      <w:r w:rsidR="00D27B6E" w:rsidRPr="008C10B7">
        <w:rPr>
          <w:rFonts w:cs="Times New Roman"/>
          <w:sz w:val="22"/>
          <w:szCs w:val="22"/>
        </w:rPr>
        <w:t>ese</w:t>
      </w:r>
      <w:r w:rsidR="0035272B" w:rsidRPr="008C10B7">
        <w:rPr>
          <w:rFonts w:cs="Times New Roman"/>
          <w:sz w:val="22"/>
          <w:szCs w:val="22"/>
        </w:rPr>
        <w:t xml:space="preserve"> significant differences in off-campus travel patterns may be due to the </w:t>
      </w:r>
      <w:proofErr w:type="gramStart"/>
      <w:r w:rsidR="0035272B" w:rsidRPr="008C10B7">
        <w:rPr>
          <w:rFonts w:cs="Times New Roman"/>
          <w:sz w:val="22"/>
          <w:szCs w:val="22"/>
        </w:rPr>
        <w:t>particular built</w:t>
      </w:r>
      <w:proofErr w:type="gramEnd"/>
      <w:r w:rsidR="0035272B" w:rsidRPr="008C10B7">
        <w:rPr>
          <w:rFonts w:cs="Times New Roman"/>
          <w:sz w:val="22"/>
          <w:szCs w:val="22"/>
        </w:rPr>
        <w:t xml:space="preserve"> environment of Chinese university campuses, </w:t>
      </w:r>
      <w:r w:rsidR="005A38AB" w:rsidRPr="008C10B7">
        <w:rPr>
          <w:rFonts w:cs="Times New Roman"/>
          <w:sz w:val="22"/>
          <w:szCs w:val="22"/>
        </w:rPr>
        <w:t xml:space="preserve">as facilities needed for daily life such as shops, canteens, banks and dormitories are located </w:t>
      </w:r>
      <w:r w:rsidR="000A062A" w:rsidRPr="008C10B7">
        <w:rPr>
          <w:rFonts w:cs="Times New Roman"/>
          <w:sz w:val="22"/>
          <w:szCs w:val="22"/>
        </w:rPr>
        <w:t>within</w:t>
      </w:r>
      <w:r w:rsidR="005A38AB" w:rsidRPr="008C10B7">
        <w:rPr>
          <w:rFonts w:cs="Times New Roman"/>
          <w:sz w:val="22"/>
          <w:szCs w:val="22"/>
        </w:rPr>
        <w:t xml:space="preserve"> </w:t>
      </w:r>
      <w:r w:rsidR="00D27B6E" w:rsidRPr="008C10B7">
        <w:rPr>
          <w:rFonts w:cs="Times New Roman"/>
          <w:sz w:val="22"/>
          <w:szCs w:val="22"/>
        </w:rPr>
        <w:t xml:space="preserve">the </w:t>
      </w:r>
      <w:r w:rsidR="005A38AB" w:rsidRPr="008C10B7">
        <w:rPr>
          <w:rFonts w:cs="Times New Roman"/>
          <w:sz w:val="22"/>
          <w:szCs w:val="22"/>
        </w:rPr>
        <w:t>campus, meaning that students do not need to travel much off-campus</w:t>
      </w:r>
      <w:r w:rsidR="00645F4B" w:rsidRPr="008C10B7">
        <w:rPr>
          <w:rFonts w:cs="Times New Roman"/>
          <w:sz w:val="22"/>
          <w:szCs w:val="22"/>
        </w:rPr>
        <w:t xml:space="preserve"> (Liu, 2017)</w:t>
      </w:r>
      <w:r w:rsidR="005A38AB" w:rsidRPr="008C10B7">
        <w:rPr>
          <w:rFonts w:cs="Times New Roman"/>
          <w:sz w:val="22"/>
          <w:szCs w:val="22"/>
        </w:rPr>
        <w:t>.</w:t>
      </w:r>
      <w:r w:rsidR="0035272B" w:rsidRPr="008C10B7">
        <w:rPr>
          <w:rFonts w:cs="Times New Roman" w:hint="eastAsia"/>
          <w:sz w:val="22"/>
          <w:szCs w:val="22"/>
        </w:rPr>
        <w:t xml:space="preserve"> </w:t>
      </w:r>
      <w:bookmarkStart w:id="6" w:name="_Hlk100738099"/>
      <w:r w:rsidR="0009364D" w:rsidRPr="008C10B7">
        <w:rPr>
          <w:rFonts w:cs="Times New Roman"/>
          <w:sz w:val="22"/>
          <w:szCs w:val="22"/>
        </w:rPr>
        <w:t>Consequently</w:t>
      </w:r>
      <w:r w:rsidR="00711121" w:rsidRPr="008C10B7">
        <w:rPr>
          <w:rFonts w:cs="Times New Roman"/>
          <w:sz w:val="22"/>
          <w:szCs w:val="22"/>
        </w:rPr>
        <w:t xml:space="preserve">, </w:t>
      </w:r>
      <w:r w:rsidR="00407BC5" w:rsidRPr="008C10B7">
        <w:rPr>
          <w:rFonts w:cs="Times New Roman"/>
          <w:sz w:val="22"/>
          <w:szCs w:val="22"/>
        </w:rPr>
        <w:t>studying</w:t>
      </w:r>
      <w:r w:rsidR="00711121" w:rsidRPr="008C10B7">
        <w:rPr>
          <w:rFonts w:cs="Times New Roman"/>
          <w:sz w:val="22"/>
          <w:szCs w:val="22"/>
        </w:rPr>
        <w:t xml:space="preserve"> the factors </w:t>
      </w:r>
      <w:r w:rsidR="00407BC5" w:rsidRPr="008C10B7">
        <w:rPr>
          <w:rFonts w:cs="Times New Roman"/>
          <w:sz w:val="22"/>
          <w:szCs w:val="22"/>
        </w:rPr>
        <w:t>that influence</w:t>
      </w:r>
      <w:r w:rsidR="00711121" w:rsidRPr="008C10B7">
        <w:rPr>
          <w:rFonts w:cs="Times New Roman"/>
          <w:sz w:val="22"/>
          <w:szCs w:val="22"/>
        </w:rPr>
        <w:t xml:space="preserve"> the </w:t>
      </w:r>
      <w:r w:rsidR="0030654E" w:rsidRPr="008C10B7">
        <w:rPr>
          <w:rFonts w:cs="Times New Roman"/>
          <w:sz w:val="22"/>
          <w:szCs w:val="22"/>
        </w:rPr>
        <w:t>AT</w:t>
      </w:r>
      <w:r w:rsidR="00711121" w:rsidRPr="008C10B7">
        <w:rPr>
          <w:rFonts w:cs="Times New Roman"/>
          <w:sz w:val="22"/>
          <w:szCs w:val="22"/>
        </w:rPr>
        <w:t xml:space="preserve"> behaviour</w:t>
      </w:r>
      <w:r w:rsidR="00407BC5" w:rsidRPr="008C10B7">
        <w:rPr>
          <w:rFonts w:cs="Times New Roman"/>
          <w:sz w:val="22"/>
          <w:szCs w:val="22"/>
        </w:rPr>
        <w:t>s</w:t>
      </w:r>
      <w:r w:rsidR="00711121" w:rsidRPr="008C10B7">
        <w:rPr>
          <w:rFonts w:cs="Times New Roman"/>
          <w:sz w:val="22"/>
          <w:szCs w:val="22"/>
        </w:rPr>
        <w:t xml:space="preserve"> of Chinese university students </w:t>
      </w:r>
      <w:r w:rsidR="00807435" w:rsidRPr="008C10B7">
        <w:rPr>
          <w:rFonts w:cs="Times New Roman"/>
          <w:sz w:val="22"/>
          <w:szCs w:val="22"/>
        </w:rPr>
        <w:t>can</w:t>
      </w:r>
      <w:r w:rsidR="00711121" w:rsidRPr="008C10B7">
        <w:rPr>
          <w:rFonts w:cs="Times New Roman"/>
          <w:sz w:val="22"/>
          <w:szCs w:val="22"/>
        </w:rPr>
        <w:t xml:space="preserve"> provide a theoretical basis for green travel-related planning and design</w:t>
      </w:r>
      <w:r w:rsidR="009537B6" w:rsidRPr="008C10B7">
        <w:rPr>
          <w:rFonts w:cs="Times New Roman"/>
          <w:sz w:val="22"/>
          <w:szCs w:val="22"/>
        </w:rPr>
        <w:t xml:space="preserve"> in </w:t>
      </w:r>
      <w:r w:rsidR="00F768AD" w:rsidRPr="008C10B7">
        <w:rPr>
          <w:rFonts w:cs="Times New Roman"/>
          <w:sz w:val="22"/>
          <w:szCs w:val="22"/>
        </w:rPr>
        <w:t xml:space="preserve">a </w:t>
      </w:r>
      <w:r w:rsidR="009537B6" w:rsidRPr="008C10B7">
        <w:rPr>
          <w:rFonts w:cs="Times New Roman"/>
          <w:sz w:val="22"/>
          <w:szCs w:val="22"/>
        </w:rPr>
        <w:t>special local context</w:t>
      </w:r>
      <w:r w:rsidR="00711121" w:rsidRPr="008C10B7">
        <w:rPr>
          <w:rFonts w:cs="Times New Roman"/>
          <w:sz w:val="22"/>
          <w:szCs w:val="22"/>
        </w:rPr>
        <w:t>.</w:t>
      </w:r>
      <w:r w:rsidR="0082224A" w:rsidRPr="008C10B7">
        <w:rPr>
          <w:rFonts w:cs="Times New Roman"/>
          <w:sz w:val="22"/>
          <w:szCs w:val="22"/>
        </w:rPr>
        <w:t xml:space="preserve"> </w:t>
      </w:r>
      <w:r w:rsidR="00807435" w:rsidRPr="008C10B7">
        <w:rPr>
          <w:rFonts w:cs="Times New Roman"/>
          <w:sz w:val="22"/>
          <w:szCs w:val="22"/>
        </w:rPr>
        <w:t>However, few</w:t>
      </w:r>
      <w:r w:rsidR="00D27B6E" w:rsidRPr="008C10B7">
        <w:rPr>
          <w:rFonts w:cs="Times New Roman"/>
          <w:sz w:val="22"/>
          <w:szCs w:val="22"/>
        </w:rPr>
        <w:t xml:space="preserve"> previous</w:t>
      </w:r>
      <w:r w:rsidR="00807435" w:rsidRPr="008C10B7">
        <w:rPr>
          <w:rFonts w:cs="Times New Roman"/>
          <w:sz w:val="22"/>
          <w:szCs w:val="22"/>
        </w:rPr>
        <w:t xml:space="preserve"> studies </w:t>
      </w:r>
      <w:r w:rsidR="00D27B6E" w:rsidRPr="008C10B7">
        <w:rPr>
          <w:rFonts w:cs="Times New Roman"/>
          <w:sz w:val="22"/>
          <w:szCs w:val="22"/>
        </w:rPr>
        <w:t xml:space="preserve">have </w:t>
      </w:r>
      <w:r w:rsidR="00807435" w:rsidRPr="008C10B7">
        <w:rPr>
          <w:rFonts w:cs="Times New Roman"/>
          <w:sz w:val="22"/>
          <w:szCs w:val="22"/>
        </w:rPr>
        <w:t>focus</w:t>
      </w:r>
      <w:r w:rsidR="00D27B6E" w:rsidRPr="008C10B7">
        <w:rPr>
          <w:rFonts w:cs="Times New Roman"/>
          <w:sz w:val="22"/>
          <w:szCs w:val="22"/>
        </w:rPr>
        <w:t>ed</w:t>
      </w:r>
      <w:r w:rsidR="00807435" w:rsidRPr="008C10B7">
        <w:rPr>
          <w:rFonts w:cs="Times New Roman"/>
          <w:sz w:val="22"/>
          <w:szCs w:val="22"/>
        </w:rPr>
        <w:t xml:space="preserve"> on the AT behaviours of Chinese students who live in gated university campuses. </w:t>
      </w:r>
      <w:bookmarkEnd w:id="6"/>
      <w:r w:rsidR="00322B90" w:rsidRPr="008C10B7">
        <w:rPr>
          <w:rFonts w:cs="Times New Roman"/>
          <w:sz w:val="22"/>
          <w:szCs w:val="22"/>
        </w:rPr>
        <w:t>T</w:t>
      </w:r>
      <w:r w:rsidR="00876D43" w:rsidRPr="008C10B7">
        <w:rPr>
          <w:rFonts w:cs="Times New Roman"/>
          <w:sz w:val="22"/>
          <w:szCs w:val="22"/>
        </w:rPr>
        <w:t xml:space="preserve">herefore, </w:t>
      </w:r>
      <w:r w:rsidR="00F31499" w:rsidRPr="008C10B7">
        <w:rPr>
          <w:rFonts w:cs="Times New Roman"/>
          <w:sz w:val="22"/>
          <w:szCs w:val="22"/>
        </w:rPr>
        <w:t xml:space="preserve">this study </w:t>
      </w:r>
      <w:r w:rsidR="00597AB1" w:rsidRPr="008C10B7">
        <w:rPr>
          <w:rFonts w:cs="Times New Roman"/>
          <w:sz w:val="22"/>
          <w:szCs w:val="22"/>
        </w:rPr>
        <w:t xml:space="preserve">explores the association between urban greenery and </w:t>
      </w:r>
      <w:r w:rsidR="0009364D" w:rsidRPr="008C10B7">
        <w:rPr>
          <w:rFonts w:cs="Times New Roman"/>
          <w:sz w:val="22"/>
          <w:szCs w:val="22"/>
        </w:rPr>
        <w:t xml:space="preserve">the </w:t>
      </w:r>
      <w:r w:rsidR="00597AB1" w:rsidRPr="008C10B7">
        <w:rPr>
          <w:rFonts w:cs="Times New Roman"/>
          <w:sz w:val="22"/>
          <w:szCs w:val="22"/>
        </w:rPr>
        <w:t xml:space="preserve">AT </w:t>
      </w:r>
      <w:r w:rsidR="0009364D" w:rsidRPr="008C10B7">
        <w:rPr>
          <w:rFonts w:cs="Times New Roman"/>
          <w:sz w:val="22"/>
          <w:szCs w:val="22"/>
        </w:rPr>
        <w:t xml:space="preserve">behaviour </w:t>
      </w:r>
      <w:r w:rsidR="00597AB1" w:rsidRPr="008C10B7">
        <w:rPr>
          <w:rFonts w:cs="Times New Roman"/>
          <w:sz w:val="22"/>
          <w:szCs w:val="22"/>
        </w:rPr>
        <w:t>of students on gated university campuses in China using data from street-view images and questionnaires</w:t>
      </w:r>
      <w:r w:rsidR="0009364D" w:rsidRPr="008C10B7">
        <w:rPr>
          <w:rFonts w:cs="Times New Roman"/>
          <w:sz w:val="22"/>
          <w:szCs w:val="22"/>
        </w:rPr>
        <w:t>,</w:t>
      </w:r>
      <w:r w:rsidR="00597AB1" w:rsidRPr="008C10B7">
        <w:rPr>
          <w:rFonts w:cs="Times New Roman"/>
          <w:sz w:val="22"/>
          <w:szCs w:val="22"/>
        </w:rPr>
        <w:t xml:space="preserve"> </w:t>
      </w:r>
      <w:r w:rsidR="0009364D" w:rsidRPr="008C10B7">
        <w:rPr>
          <w:rFonts w:cs="Times New Roman"/>
          <w:sz w:val="22"/>
          <w:szCs w:val="22"/>
        </w:rPr>
        <w:t>which is</w:t>
      </w:r>
      <w:r w:rsidR="00943ABB" w:rsidRPr="008C10B7">
        <w:rPr>
          <w:rFonts w:cs="Times New Roman"/>
          <w:sz w:val="22"/>
          <w:szCs w:val="22"/>
        </w:rPr>
        <w:t xml:space="preserve"> analyse</w:t>
      </w:r>
      <w:r w:rsidR="0009364D" w:rsidRPr="008C10B7">
        <w:rPr>
          <w:rFonts w:cs="Times New Roman"/>
          <w:sz w:val="22"/>
          <w:szCs w:val="22"/>
        </w:rPr>
        <w:t>d</w:t>
      </w:r>
      <w:r w:rsidR="00407BC5" w:rsidRPr="008C10B7">
        <w:rPr>
          <w:rFonts w:cs="Times New Roman"/>
          <w:sz w:val="22"/>
          <w:szCs w:val="22"/>
        </w:rPr>
        <w:t xml:space="preserve"> using a</w:t>
      </w:r>
      <w:r w:rsidR="0015729A" w:rsidRPr="008C10B7">
        <w:rPr>
          <w:rFonts w:cs="Times New Roman"/>
          <w:sz w:val="22"/>
          <w:szCs w:val="22"/>
        </w:rPr>
        <w:t xml:space="preserve"> </w:t>
      </w:r>
      <w:r w:rsidR="009D38C9" w:rsidRPr="008C10B7">
        <w:rPr>
          <w:rFonts w:cs="Times New Roman"/>
          <w:sz w:val="22"/>
          <w:szCs w:val="22"/>
        </w:rPr>
        <w:t>multilevel logistic regression</w:t>
      </w:r>
      <w:r w:rsidR="0085019C" w:rsidRPr="008C10B7">
        <w:rPr>
          <w:rFonts w:cs="Times New Roman"/>
          <w:sz w:val="22"/>
          <w:szCs w:val="22"/>
        </w:rPr>
        <w:t xml:space="preserve"> model</w:t>
      </w:r>
      <w:r w:rsidR="00F31499" w:rsidRPr="008C10B7">
        <w:rPr>
          <w:rFonts w:cs="Times New Roman"/>
          <w:sz w:val="22"/>
          <w:szCs w:val="22"/>
        </w:rPr>
        <w:t>.</w:t>
      </w:r>
      <w:r w:rsidR="00711121" w:rsidRPr="008C10B7">
        <w:rPr>
          <w:rFonts w:cs="Times New Roman"/>
          <w:sz w:val="22"/>
          <w:szCs w:val="22"/>
        </w:rPr>
        <w:t xml:space="preserve"> </w:t>
      </w:r>
    </w:p>
    <w:p w14:paraId="4AD484A4" w14:textId="5989F403" w:rsidR="002D0B2D" w:rsidRPr="008C10B7" w:rsidRDefault="002D0B2D" w:rsidP="00E7001C">
      <w:pPr>
        <w:spacing w:line="360" w:lineRule="auto"/>
        <w:ind w:firstLine="420"/>
        <w:jc w:val="both"/>
        <w:rPr>
          <w:rFonts w:cs="Times New Roman"/>
          <w:sz w:val="22"/>
          <w:szCs w:val="22"/>
        </w:rPr>
      </w:pPr>
      <w:r w:rsidRPr="008C10B7">
        <w:rPr>
          <w:rFonts w:cs="Times New Roman"/>
          <w:sz w:val="22"/>
          <w:szCs w:val="22"/>
        </w:rPr>
        <w:t xml:space="preserve">The </w:t>
      </w:r>
      <w:r w:rsidR="0041282F" w:rsidRPr="008C10B7">
        <w:rPr>
          <w:rFonts w:cs="Times New Roman"/>
          <w:sz w:val="22"/>
          <w:szCs w:val="22"/>
        </w:rPr>
        <w:t xml:space="preserve">rest </w:t>
      </w:r>
      <w:r w:rsidRPr="008C10B7">
        <w:rPr>
          <w:rFonts w:cs="Times New Roman"/>
          <w:sz w:val="22"/>
          <w:szCs w:val="22"/>
        </w:rPr>
        <w:t xml:space="preserve">of the </w:t>
      </w:r>
      <w:r w:rsidR="00E30B4A" w:rsidRPr="008C10B7">
        <w:rPr>
          <w:rFonts w:cs="Times New Roman"/>
          <w:sz w:val="22"/>
          <w:szCs w:val="22"/>
        </w:rPr>
        <w:t>paper</w:t>
      </w:r>
      <w:r w:rsidR="00407BC5" w:rsidRPr="008C10B7">
        <w:rPr>
          <w:rFonts w:cs="Times New Roman"/>
          <w:sz w:val="22"/>
          <w:szCs w:val="22"/>
        </w:rPr>
        <w:t xml:space="preserve"> </w:t>
      </w:r>
      <w:r w:rsidRPr="008C10B7">
        <w:rPr>
          <w:rFonts w:cs="Times New Roman"/>
          <w:sz w:val="22"/>
          <w:szCs w:val="22"/>
        </w:rPr>
        <w:t xml:space="preserve">is organised </w:t>
      </w:r>
      <w:r w:rsidR="00407BC5" w:rsidRPr="008C10B7">
        <w:rPr>
          <w:rFonts w:cs="Times New Roman"/>
          <w:sz w:val="22"/>
          <w:szCs w:val="22"/>
        </w:rPr>
        <w:t>as follows.</w:t>
      </w:r>
      <w:r w:rsidRPr="008C10B7">
        <w:rPr>
          <w:rFonts w:cs="Times New Roman"/>
          <w:sz w:val="22"/>
          <w:szCs w:val="22"/>
        </w:rPr>
        <w:t xml:space="preserve"> </w:t>
      </w:r>
      <w:r w:rsidR="00407BC5" w:rsidRPr="008C10B7">
        <w:rPr>
          <w:rFonts w:cs="Times New Roman"/>
          <w:sz w:val="22"/>
          <w:szCs w:val="22"/>
        </w:rPr>
        <w:t>T</w:t>
      </w:r>
      <w:r w:rsidRPr="008C10B7">
        <w:rPr>
          <w:rFonts w:cs="Times New Roman"/>
          <w:sz w:val="22"/>
          <w:szCs w:val="22"/>
        </w:rPr>
        <w:t xml:space="preserve">he literature related to this study </w:t>
      </w:r>
      <w:r w:rsidR="0041282F" w:rsidRPr="008C10B7">
        <w:rPr>
          <w:rFonts w:cs="Times New Roman"/>
          <w:sz w:val="22"/>
          <w:szCs w:val="22"/>
        </w:rPr>
        <w:t>is</w:t>
      </w:r>
      <w:r w:rsidRPr="008C10B7">
        <w:rPr>
          <w:rFonts w:cs="Times New Roman"/>
          <w:sz w:val="22"/>
          <w:szCs w:val="22"/>
        </w:rPr>
        <w:t xml:space="preserve"> reviewed in the next section. Section 3 describes the </w:t>
      </w:r>
      <w:r w:rsidR="00C90B56" w:rsidRPr="008C10B7">
        <w:rPr>
          <w:rFonts w:cs="Times New Roman"/>
          <w:sz w:val="22"/>
          <w:szCs w:val="22"/>
        </w:rPr>
        <w:t>case study</w:t>
      </w:r>
      <w:r w:rsidRPr="008C10B7">
        <w:rPr>
          <w:rFonts w:cs="Times New Roman"/>
          <w:sz w:val="22"/>
          <w:szCs w:val="22"/>
        </w:rPr>
        <w:t xml:space="preserve">, research data sources, variable </w:t>
      </w:r>
      <w:r w:rsidR="00C90B56" w:rsidRPr="008C10B7">
        <w:rPr>
          <w:rFonts w:cs="Times New Roman"/>
          <w:sz w:val="22"/>
          <w:szCs w:val="22"/>
        </w:rPr>
        <w:t>settings</w:t>
      </w:r>
      <w:r w:rsidR="00FC08B1" w:rsidRPr="008C10B7">
        <w:rPr>
          <w:rFonts w:cs="Times New Roman"/>
          <w:sz w:val="22"/>
          <w:szCs w:val="22"/>
        </w:rPr>
        <w:t>,</w:t>
      </w:r>
      <w:r w:rsidR="00C90B56" w:rsidRPr="008C10B7">
        <w:rPr>
          <w:rFonts w:cs="Times New Roman"/>
          <w:sz w:val="22"/>
          <w:szCs w:val="22"/>
        </w:rPr>
        <w:t xml:space="preserve"> </w:t>
      </w:r>
      <w:r w:rsidRPr="008C10B7">
        <w:rPr>
          <w:rFonts w:cs="Times New Roman"/>
          <w:sz w:val="22"/>
          <w:szCs w:val="22"/>
        </w:rPr>
        <w:t xml:space="preserve">and </w:t>
      </w:r>
      <w:r w:rsidR="0041282F" w:rsidRPr="008C10B7">
        <w:rPr>
          <w:rFonts w:cs="Times New Roman"/>
          <w:sz w:val="22"/>
          <w:szCs w:val="22"/>
        </w:rPr>
        <w:t xml:space="preserve">methods of </w:t>
      </w:r>
      <w:r w:rsidRPr="008C10B7">
        <w:rPr>
          <w:rFonts w:cs="Times New Roman"/>
          <w:sz w:val="22"/>
          <w:szCs w:val="22"/>
        </w:rPr>
        <w:t xml:space="preserve">analysis </w:t>
      </w:r>
      <w:r w:rsidR="0041282F" w:rsidRPr="008C10B7">
        <w:rPr>
          <w:rFonts w:cs="Times New Roman"/>
          <w:sz w:val="22"/>
          <w:szCs w:val="22"/>
        </w:rPr>
        <w:t>used</w:t>
      </w:r>
      <w:r w:rsidRPr="008C10B7">
        <w:rPr>
          <w:rFonts w:cs="Times New Roman"/>
          <w:sz w:val="22"/>
          <w:szCs w:val="22"/>
        </w:rPr>
        <w:t xml:space="preserve">. Section </w:t>
      </w:r>
      <w:r w:rsidR="0041282F" w:rsidRPr="008C10B7">
        <w:rPr>
          <w:rFonts w:cs="Times New Roman"/>
          <w:sz w:val="22"/>
          <w:szCs w:val="22"/>
        </w:rPr>
        <w:t>4 explains</w:t>
      </w:r>
      <w:r w:rsidRPr="008C10B7">
        <w:rPr>
          <w:rFonts w:cs="Times New Roman"/>
          <w:sz w:val="22"/>
          <w:szCs w:val="22"/>
        </w:rPr>
        <w:t xml:space="preserve"> the results </w:t>
      </w:r>
      <w:r w:rsidR="00FD78EF" w:rsidRPr="008C10B7">
        <w:rPr>
          <w:rFonts w:cs="Times New Roman"/>
          <w:sz w:val="22"/>
          <w:szCs w:val="22"/>
        </w:rPr>
        <w:t>in terms of the relationship between street greenery and AT</w:t>
      </w:r>
      <w:r w:rsidRPr="008C10B7">
        <w:rPr>
          <w:rFonts w:cs="Times New Roman"/>
          <w:sz w:val="22"/>
          <w:szCs w:val="22"/>
        </w:rPr>
        <w:t xml:space="preserve">. </w:t>
      </w:r>
      <w:r w:rsidR="00C90B56" w:rsidRPr="008C10B7">
        <w:rPr>
          <w:rFonts w:cs="Times New Roman"/>
          <w:sz w:val="22"/>
          <w:szCs w:val="22"/>
        </w:rPr>
        <w:t>Section 5 discusses the findings</w:t>
      </w:r>
      <w:r w:rsidR="00FC08B1" w:rsidRPr="008C10B7">
        <w:rPr>
          <w:rFonts w:cs="Times New Roman"/>
          <w:sz w:val="22"/>
          <w:szCs w:val="22"/>
        </w:rPr>
        <w:t>,</w:t>
      </w:r>
      <w:r w:rsidR="00C90B56" w:rsidRPr="008C10B7">
        <w:rPr>
          <w:rFonts w:cs="Times New Roman"/>
          <w:sz w:val="22"/>
          <w:szCs w:val="22"/>
        </w:rPr>
        <w:t xml:space="preserve"> the policy implications, </w:t>
      </w:r>
      <w:r w:rsidR="00FC08B1" w:rsidRPr="008C10B7">
        <w:rPr>
          <w:rFonts w:cs="Times New Roman"/>
          <w:sz w:val="22"/>
          <w:szCs w:val="22"/>
        </w:rPr>
        <w:t>and</w:t>
      </w:r>
      <w:r w:rsidR="00C90B56" w:rsidRPr="008C10B7">
        <w:rPr>
          <w:rFonts w:cs="Times New Roman"/>
          <w:sz w:val="22"/>
          <w:szCs w:val="22"/>
        </w:rPr>
        <w:t xml:space="preserve"> the </w:t>
      </w:r>
      <w:r w:rsidR="00B54064">
        <w:rPr>
          <w:rFonts w:cs="Times New Roman"/>
          <w:sz w:val="22"/>
          <w:szCs w:val="22"/>
        </w:rPr>
        <w:t xml:space="preserve">strengths and </w:t>
      </w:r>
      <w:r w:rsidR="00C90B56" w:rsidRPr="008C10B7">
        <w:rPr>
          <w:rFonts w:cs="Times New Roman"/>
          <w:sz w:val="22"/>
          <w:szCs w:val="22"/>
        </w:rPr>
        <w:t>limitations of this study. T</w:t>
      </w:r>
      <w:r w:rsidRPr="008C10B7">
        <w:rPr>
          <w:rFonts w:cs="Times New Roman"/>
          <w:sz w:val="22"/>
          <w:szCs w:val="22"/>
        </w:rPr>
        <w:t xml:space="preserve">he </w:t>
      </w:r>
      <w:r w:rsidR="0041282F" w:rsidRPr="008C10B7">
        <w:rPr>
          <w:rFonts w:cs="Times New Roman"/>
          <w:sz w:val="22"/>
          <w:szCs w:val="22"/>
        </w:rPr>
        <w:t>final section summarises the key findings and provides conclusions</w:t>
      </w:r>
      <w:r w:rsidRPr="008C10B7">
        <w:rPr>
          <w:rFonts w:cs="Times New Roman"/>
          <w:sz w:val="22"/>
          <w:szCs w:val="22"/>
        </w:rPr>
        <w:t>.</w:t>
      </w:r>
    </w:p>
    <w:p w14:paraId="73A6F75A" w14:textId="77777777" w:rsidR="004D3D6C" w:rsidRPr="008C10B7" w:rsidRDefault="004D3D6C" w:rsidP="00206AA5">
      <w:pPr>
        <w:spacing w:line="480" w:lineRule="auto"/>
        <w:jc w:val="both"/>
        <w:rPr>
          <w:rFonts w:cs="Times New Roman"/>
          <w:b/>
          <w:bCs/>
          <w:szCs w:val="28"/>
        </w:rPr>
      </w:pPr>
    </w:p>
    <w:p w14:paraId="3E419D5F" w14:textId="592774DD" w:rsidR="004D3D6C" w:rsidRPr="008C10B7" w:rsidRDefault="00711121" w:rsidP="00E7001C">
      <w:pPr>
        <w:pStyle w:val="ListParagraph"/>
        <w:autoSpaceDE w:val="0"/>
        <w:autoSpaceDN w:val="0"/>
        <w:adjustRightInd w:val="0"/>
        <w:spacing w:line="360" w:lineRule="auto"/>
        <w:ind w:left="0"/>
        <w:contextualSpacing w:val="0"/>
        <w:jc w:val="both"/>
        <w:outlineLvl w:val="0"/>
        <w:rPr>
          <w:sz w:val="22"/>
          <w:szCs w:val="22"/>
        </w:rPr>
      </w:pPr>
      <w:bookmarkStart w:id="7" w:name="_Toc78625136"/>
      <w:r w:rsidRPr="008C10B7">
        <w:rPr>
          <w:b/>
          <w:sz w:val="22"/>
          <w:szCs w:val="28"/>
        </w:rPr>
        <w:t>2</w:t>
      </w:r>
      <w:r w:rsidR="00366284" w:rsidRPr="008C10B7">
        <w:rPr>
          <w:b/>
          <w:sz w:val="22"/>
          <w:szCs w:val="28"/>
        </w:rPr>
        <w:t>.</w:t>
      </w:r>
      <w:r w:rsidRPr="008C10B7">
        <w:rPr>
          <w:b/>
          <w:sz w:val="22"/>
          <w:szCs w:val="28"/>
        </w:rPr>
        <w:t xml:space="preserve"> Literature </w:t>
      </w:r>
      <w:r w:rsidR="00986BB0" w:rsidRPr="008C10B7">
        <w:rPr>
          <w:b/>
          <w:sz w:val="22"/>
          <w:szCs w:val="28"/>
        </w:rPr>
        <w:t>r</w:t>
      </w:r>
      <w:r w:rsidRPr="008C10B7">
        <w:rPr>
          <w:b/>
          <w:sz w:val="22"/>
          <w:szCs w:val="28"/>
        </w:rPr>
        <w:t>eview</w:t>
      </w:r>
      <w:bookmarkEnd w:id="7"/>
    </w:p>
    <w:p w14:paraId="763F2AA9" w14:textId="5175698A" w:rsidR="004D3D6C" w:rsidRPr="008C10B7" w:rsidRDefault="00711121" w:rsidP="00E7001C">
      <w:pPr>
        <w:pStyle w:val="Heading2"/>
        <w:keepNext/>
        <w:keepLines/>
        <w:spacing w:before="0" w:beforeAutospacing="0" w:after="0" w:afterAutospacing="0" w:line="360" w:lineRule="auto"/>
        <w:jc w:val="both"/>
        <w:rPr>
          <w:rFonts w:eastAsiaTheme="majorEastAsia" w:cs="Times New Roman"/>
          <w:b w:val="0"/>
          <w:i/>
          <w:iCs/>
          <w:sz w:val="22"/>
          <w:szCs w:val="22"/>
          <w:lang w:val="en-GB" w:eastAsia="en-US"/>
        </w:rPr>
      </w:pPr>
      <w:bookmarkStart w:id="8" w:name="_Toc78625137"/>
      <w:r w:rsidRPr="008C10B7">
        <w:rPr>
          <w:rFonts w:eastAsiaTheme="majorEastAsia" w:cs="Times New Roman"/>
          <w:b w:val="0"/>
          <w:i/>
          <w:iCs/>
          <w:sz w:val="22"/>
          <w:szCs w:val="22"/>
          <w:lang w:val="en-GB" w:eastAsia="en-US"/>
        </w:rPr>
        <w:t>2.1</w:t>
      </w:r>
      <w:r w:rsidR="00986BB0" w:rsidRPr="008C10B7">
        <w:rPr>
          <w:rFonts w:eastAsiaTheme="majorEastAsia" w:cs="Times New Roman"/>
          <w:b w:val="0"/>
          <w:i/>
          <w:iCs/>
          <w:sz w:val="22"/>
          <w:szCs w:val="22"/>
          <w:lang w:val="en-GB" w:eastAsia="en-US"/>
        </w:rPr>
        <w:t>.</w:t>
      </w:r>
      <w:r w:rsidR="00262E9E" w:rsidRPr="008C10B7">
        <w:rPr>
          <w:rFonts w:eastAsiaTheme="majorEastAsia" w:cs="Times New Roman"/>
          <w:b w:val="0"/>
          <w:i/>
          <w:iCs/>
          <w:sz w:val="22"/>
          <w:szCs w:val="22"/>
          <w:lang w:val="en-GB" w:eastAsia="en-US"/>
        </w:rPr>
        <w:tab/>
      </w:r>
      <w:bookmarkEnd w:id="8"/>
      <w:r w:rsidR="0085019C" w:rsidRPr="008C10B7">
        <w:rPr>
          <w:rFonts w:eastAsiaTheme="majorEastAsia" w:cs="Times New Roman"/>
          <w:b w:val="0"/>
          <w:i/>
          <w:iCs/>
          <w:sz w:val="22"/>
          <w:szCs w:val="22"/>
          <w:lang w:val="en-GB" w:eastAsia="en-US"/>
        </w:rPr>
        <w:t>Urban greenery and active travel</w:t>
      </w:r>
    </w:p>
    <w:p w14:paraId="3D84E5FD" w14:textId="6F852366" w:rsidR="001A1DA0" w:rsidRPr="008C10B7" w:rsidRDefault="00711121" w:rsidP="00E7001C">
      <w:pPr>
        <w:spacing w:line="360" w:lineRule="auto"/>
        <w:jc w:val="both"/>
        <w:rPr>
          <w:rFonts w:cs="Times New Roman"/>
          <w:sz w:val="22"/>
          <w:szCs w:val="20"/>
        </w:rPr>
      </w:pPr>
      <w:r w:rsidRPr="008C10B7">
        <w:rPr>
          <w:rFonts w:cs="Times New Roman"/>
          <w:sz w:val="22"/>
          <w:szCs w:val="20"/>
        </w:rPr>
        <w:t xml:space="preserve">Urban greenery is generally </w:t>
      </w:r>
      <w:r w:rsidR="0041282F" w:rsidRPr="008C10B7">
        <w:rPr>
          <w:rFonts w:cs="Times New Roman"/>
          <w:sz w:val="22"/>
          <w:szCs w:val="20"/>
        </w:rPr>
        <w:t>regarded</w:t>
      </w:r>
      <w:r w:rsidRPr="008C10B7">
        <w:rPr>
          <w:rFonts w:cs="Times New Roman"/>
          <w:sz w:val="22"/>
          <w:szCs w:val="20"/>
        </w:rPr>
        <w:t xml:space="preserve"> </w:t>
      </w:r>
      <w:r w:rsidR="00FA1A0E" w:rsidRPr="008C10B7">
        <w:rPr>
          <w:rFonts w:cs="Times New Roman"/>
          <w:sz w:val="22"/>
          <w:szCs w:val="20"/>
        </w:rPr>
        <w:t xml:space="preserve">as </w:t>
      </w:r>
      <w:r w:rsidRPr="008C10B7">
        <w:rPr>
          <w:rFonts w:cs="Times New Roman"/>
          <w:sz w:val="22"/>
          <w:szCs w:val="20"/>
        </w:rPr>
        <w:t xml:space="preserve">one of the most important factors in building liveable and pleasant city streets for walking and cycling </w:t>
      </w:r>
      <w:r w:rsidRPr="008C10B7">
        <w:rPr>
          <w:rFonts w:cs="Times New Roman"/>
          <w:sz w:val="22"/>
          <w:szCs w:val="20"/>
        </w:rPr>
        <w:fldChar w:fldCharType="begin" w:fldLock="1"/>
      </w:r>
      <w:r w:rsidR="005347C2" w:rsidRPr="008C10B7">
        <w:rPr>
          <w:rFonts w:cs="Times New Roman"/>
          <w:sz w:val="22"/>
          <w:szCs w:val="20"/>
        </w:rPr>
        <w:instrText>ADDIN CSL_CITATION {"citationItems":[{"id":"ITEM-1","itemData":{"DOI":"10.1016/j.cities.2019.01.003","ISSN":"02642751","abstract":"Cycling is one type of physical activities with documented health and environmental benefits. Little consensus has been reached about the impacts of urban greenness on cycling behavior because of the widely varying estimation techniques, especially at street scale. We objectively measured the urban greenness in two ways: overhead-view greenness by Normalized Difference Vegetation Index (NDVI) and eye-level street greenness by Google Street View (GSV) images. Multilevel logistic regression models were used to examine the association between urban greenness and the odds of cycling (versus not cycling) for 5701 Hong Kong participants after controlling activity-influencing built environment and individual-level covariates. We found the odds of cycling were positively associated with eye-level street greenness but not with overhead-view greenness across three buffer zones: 400 m, 800 m and 1600 m. In addition, the odds of cycling were negatively associated with population density, number of bus stops, and terrain slope, while positively associated with bike lane density. To build a cycling-friendly city, planners and designers might need to pay more attention to improve citizens’ daily exposure to urban greenness, instead of traditional greenspace indices such as greenspace area or number of parks. The GSV technique is a novel and reliable method for measuring eye-level urban greenness with potential usage in further healthy city studies.","author":[{"dropping-particle":"","family":"Lu","given":"Yi","non-dropping-particle":"","parse-names":false,"suffix":""},{"dropping-particle":"","family":"Yang","given":"Yiyang","non-dropping-particle":"","parse-names":false,"suffix":""},{"dropping-particle":"","family":"Sun","given":"Guibo","non-dropping-particle":"","parse-names":false,"suffix":""},{"dropping-particle":"","family":"Gou","given":"Zhonghua","non-dropping-particle":"","parse-names":false,"suffix":""}],"container-title":"Cities","id":"ITEM-1","issued":{"date-parts":[["2019","5","1"]]},"page":"10-18","publisher":"Elsevier Ltd","title":"Associations between overhead-view and eye-level urban greenness and cycling behaviors","type":"article-journal","volume":"88"},"uris":["http://www.mendeley.com/documents/?uuid=cc7f8048-112d-3a41-8013-69e57e493902"]},{"id":"ITEM-2","itemData":{"DOI":"10.4236/ojce.2015.54045","ISSN":"2164-3164","abstract":"Background: Cycling as a means of transport contributes to public health in terms of increasing the physical activity behaviour and reducing air pollution. In comparison to walking, cycling-spe- cific environmental characteristics have been less investigated. The aim of this study was to develop, based on geographic information systems (GIS) data, a bikeability index for a mid-sized European city, to examine the predictive validity of the index and to visualize the bicycle-friend- liness of the city by creating a bikeability map. Methods: Using GIS data, we assessed the environmental characteristics of 278 bicycle trips in the city of Graz, Austria. Characteristics which differed significantly between the actually taken and shortest possible routes were used to form an additive bikeability index and the bikeability map for 100 m × 100 m cells. The relationship between the cycling behaviour and the bikeability index around the home environment was examined to assess the predictive validity of the index. Results: Three environmental components (cycling infrastructure, bicycle pathways and green areas) were positively related, and two components (main roads, and topography) were negatively related to the actually used route. These components formed the bikeability index, which was positively correlated with cycling behaviour (OR: 1.08, 95% CI 1.01 - 1.17). The final outcome is a high-resolution coloured map indicating the degree of bicycle-friendliness in the city of Graz. Conclusion: Mapping based on the bikeability index helps to visualize the bicycle-friendliness of an urban area. Therefore, it should be a useful tool for the planning as well as for the evaluation of the transport environments in cities.","author":[{"dropping-particle":"","family":"Krenn","given":"Patricia Jasmin","non-dropping-particle":"","parse-names":false,"suffix":""},{"dropping-particle":"","family":"Oja","given":"Pekka","non-dropping-particle":"","parse-names":false,"suffix":""},{"dropping-particle":"","family":"Titze","given":"Sylvia","non-dropping-particle":"","parse-names":false,"suffix":""}],"container-title":"Open Journal of Civil Engineering","id":"ITEM-2","issue":"04","issued":{"date-parts":[["2015"]]},"page":"451-459","publisher":"Scientific Research Publishing, Inc,","title":"Development of a Bikeability Index to Assess the Bicycle-Friendliness of Urban Environments","type":"article-journal","volume":"05"},"uris":["http://www.mendeley.com/documents/?uuid=1d06db0a-6bb8-3b1b-94e5-93a72a319547"]},{"id":"ITEM-3","itemData":{"DOI":"10.1016/j.amepre.2010.07.005","ISSN":"07493797","PMID":"20965383","abstract":"Background With increased research on the influence of the built environment on physical activity, methods of assessing environmental attributes have to be developed according to different research requirements. Purpose The purpose of this paper is to describe the approach to develop and test a simple and efficient audit tool to get a quick overview of environmental characteristics along a route or in a neighborhood. Methods Based on a selection of existing audit instruments, the Bikeability and Walkability Evaluation Table (BiWET) was developed in 2007 at the University of Graz, Austria. The BiWET is designed for fast assessment of 15 predetermined characteristics of 10-m street segments. Inter-rater and Intra-rater reliability was calculated in 2008 based on the auditing data of 152 km of commuting routes of city dwellers in 2007. Observer agreement was used as statistical parameter for reliability. Results The mean auditing pace was 16.4 minutes/km. The mean testretest accordance was 95%, and the inter-rater agreement was 89%. Conclusions The BiWET is a reliable and time-efficient audit instrument to determine accurately and relatively quickly the physical characteristics of an area or route, which is potentially useful for the study of the relationship between the built environment and physical activity behavior. © 2010 American Journal of Preventive Medicine.","author":[{"dropping-particle":"","family":"Hoedl","given":"Simon","non-dropping-particle":"","parse-names":false,"suffix":""},{"dropping-particle":"","family":"Titze","given":"Sylvia","non-dropping-particle":"","parse-names":false,"suffix":""},{"dropping-particle":"","family":"Oja","given":"Pekka","non-dropping-particle":"","parse-names":false,"suffix":""}],"container-title":"American Journal of Preventive Medicine","id":"ITEM-3","issue":"5","issued":{"date-parts":[["2010","11","1"]]},"page":"457-459","publisher":"Elsevier","title":"The Bikeability and Walkability evaluation table: Reliability and application","type":"article-journal","volume":"39"},"uris":["http://www.mendeley.com/documents/?uuid=8c3fc022-bd42-34ce-9c99-5d845f6b1b54"]}],"mendeley":{"formattedCitation":"(Hoedl et al., 2010; Patricia Jasmin Krenn et al., 2015; Lu et al., 2019)","manualFormatting":"(Hoedl et al., 2010; Patricia et al., 2015; Lu et al., 2019)","plainTextFormattedCitation":"(Hoedl et al., 2010; Patricia Jasmin Krenn et al., 2015; Lu et al., 2019)","previouslyFormattedCitation":"(Hoedl et al., 2010; Patricia Jasmin Krenn et al., 2015; Lu et al., 2019)"},"properties":{"noteIndex":0},"schema":"https://github.com/citation-style-language/schema/raw/master/csl-citation.json"}</w:instrText>
      </w:r>
      <w:r w:rsidRPr="008C10B7">
        <w:rPr>
          <w:rFonts w:cs="Times New Roman"/>
          <w:sz w:val="22"/>
          <w:szCs w:val="20"/>
        </w:rPr>
        <w:fldChar w:fldCharType="separate"/>
      </w:r>
      <w:r w:rsidRPr="008C10B7">
        <w:rPr>
          <w:rFonts w:cs="Times New Roman"/>
          <w:sz w:val="22"/>
          <w:szCs w:val="20"/>
        </w:rPr>
        <w:t xml:space="preserve">(Hoedl et al., 2010; </w:t>
      </w:r>
      <w:r w:rsidR="00A707C5" w:rsidRPr="008C10B7">
        <w:rPr>
          <w:rFonts w:cs="Times New Roman"/>
          <w:sz w:val="22"/>
          <w:szCs w:val="20"/>
        </w:rPr>
        <w:t>Lu et al., 2019</w:t>
      </w:r>
      <w:r w:rsidR="008D0E59" w:rsidRPr="008C10B7">
        <w:rPr>
          <w:rFonts w:cs="Times New Roman"/>
          <w:sz w:val="22"/>
          <w:szCs w:val="20"/>
        </w:rPr>
        <w:t>b</w:t>
      </w:r>
      <w:r w:rsidR="00A707C5" w:rsidRPr="008C10B7">
        <w:rPr>
          <w:rFonts w:cs="Times New Roman"/>
          <w:sz w:val="22"/>
          <w:szCs w:val="20"/>
        </w:rPr>
        <w:t xml:space="preserve">; </w:t>
      </w:r>
      <w:r w:rsidR="00FF2407" w:rsidRPr="008C10B7">
        <w:rPr>
          <w:rFonts w:cs="Times New Roman"/>
          <w:sz w:val="22"/>
          <w:szCs w:val="20"/>
        </w:rPr>
        <w:t>Krenn</w:t>
      </w:r>
      <w:r w:rsidRPr="008C10B7">
        <w:rPr>
          <w:rFonts w:cs="Times New Roman"/>
          <w:sz w:val="22"/>
          <w:szCs w:val="20"/>
        </w:rPr>
        <w:t xml:space="preserve"> et </w:t>
      </w:r>
      <w:r w:rsidRPr="008C10B7">
        <w:rPr>
          <w:rFonts w:cs="Times New Roman"/>
          <w:sz w:val="22"/>
          <w:szCs w:val="20"/>
        </w:rPr>
        <w:lastRenderedPageBreak/>
        <w:t>al., 2015)</w:t>
      </w:r>
      <w:r w:rsidRPr="008C10B7">
        <w:rPr>
          <w:rFonts w:cs="Times New Roman"/>
          <w:sz w:val="22"/>
          <w:szCs w:val="20"/>
        </w:rPr>
        <w:fldChar w:fldCharType="end"/>
      </w:r>
      <w:r w:rsidRPr="008C10B7">
        <w:rPr>
          <w:rFonts w:cs="Times New Roman"/>
          <w:sz w:val="22"/>
          <w:szCs w:val="20"/>
        </w:rPr>
        <w:t xml:space="preserve">. There is a growing recognition that </w:t>
      </w:r>
      <w:r w:rsidR="00A8568D" w:rsidRPr="008C10B7">
        <w:rPr>
          <w:rFonts w:cs="Times New Roman"/>
          <w:sz w:val="22"/>
          <w:szCs w:val="20"/>
        </w:rPr>
        <w:t xml:space="preserve">urban greenery </w:t>
      </w:r>
      <w:r w:rsidRPr="008C10B7">
        <w:rPr>
          <w:rFonts w:cs="Times New Roman"/>
          <w:sz w:val="22"/>
          <w:szCs w:val="20"/>
        </w:rPr>
        <w:t xml:space="preserve">is vital to well-being </w:t>
      </w:r>
      <w:r w:rsidRPr="008C10B7">
        <w:rPr>
          <w:rFonts w:cs="Times New Roman"/>
          <w:sz w:val="22"/>
          <w:szCs w:val="20"/>
        </w:rPr>
        <w:fldChar w:fldCharType="begin" w:fldLock="1"/>
      </w:r>
      <w:r w:rsidR="00B74AD7" w:rsidRPr="008C10B7">
        <w:rPr>
          <w:rFonts w:cs="Times New Roman"/>
          <w:sz w:val="22"/>
          <w:szCs w:val="20"/>
        </w:rPr>
        <w:instrText>ADDIN CSL_CITATION {"citationItems":[{"id":"ITEM-1","itemData":{"DOI":"10.1097/EDE.0000000000000549","ISSN":"15315487","PMID":"27525811","abstract":"Currently half the world population lives in cities, and this proportion is expected to increase rapidly to 70% over the next years. Over the years, we have created large, mostly grey cities with many high-rise buildings and little green space. Disease rates tend to be higher in urban areas than in rural areas. More green space in cities could reduce these rates. Here, we describe the importance of green space for health, and make recommendations for further research. Green space has been associated with many beneficial health effects, including reduced all-cause and cardiovascular mortality and improved mental health, possibly through mediators, such as reduced air pollution, temperature and stress, and increased physical activity, social contacts, and restoration. Additional studies are needed to strengthen the evidence base and provide further guidelines to transport planners, urban planners, and landscape architects. We need more longitudinal studies and intervention studies, further understanding of the contribution of various mechanisms toward health, and more information on susceptible populations and on where, when, how much, and what type of green space is needed. Also needed are standardized methods for green space quality assessments and evaluations of effectiveness of green prescriptions in clinical practice. Many questions are ideally suited for environmental epidemiologists, who should work with other stakeholders to address the right questions and translate knowledge into action. In conclusion, a growing evidence base supports the hypothesis that greener cities are healthier cities.","author":[{"dropping-particle":"","family":"Nieuwenhuijsen","given":"Mark J.","non-dropping-particle":"","parse-names":false,"suffix":""},{"dropping-particle":"","family":"Khreis","given":"Haneen","non-dropping-particle":"","parse-names":false,"suffix":""},{"dropping-particle":"","family":"Triguero-Mas","given":"Margarita","non-dropping-particle":"","parse-names":false,"suffix":""},{"dropping-particle":"","family":"Gascon","given":"Mireia","non-dropping-particle":"","parse-names":false,"suffix":""},{"dropping-particle":"","family":"Dadvand","given":"Payam","non-dropping-particle":"","parse-names":false,"suffix":""}],"container-title":"Epidemiology","id":"ITEM-1","issue":"1","issued":{"date-parts":[["2017","1","1"]]},"page":"63-71","publisher":"Lippincott Williams and Wilkins","title":"Fifty shades of green","type":"article","volume":"28"},"uris":["http://www.mendeley.com/documents/?uuid=ac98b937-454d-3c8f-8577-3841df46b40e"]},{"id":"ITEM-2","itemData":{"DOI":"10.1016/j.envres.2017.11.006","ISSN":"10960953","PMID":"29136521","abstract":"It is increasingly recognized that mental disorders are affected by both personal characteristics and environmental exposures. The built, natural, and social environments can either contribute to or buffer against metal disorders. Environmental exposure assessments related to mental health typically rely on neighborhoods within which people currently live. In this article, I call into question such neighborhood-based exposure assessments at one point in time, because human life unfolds over space and across time. To circumvent inappropriate exposure assessments and to better grasp the etiologies of mental disease, I argue that people are exposed to multiple health-supporting and harmful exposures not only during their daily lives, but also over the course of their lives. This article aims to lay a theoretical foundation elucidating the impact of dynamic environmental exposures on mental health outcomes. I examine, first, the possibilities and challenges for mental health research to integrate people's environmental exposures along their daily paths and, second, how exposures over people's residential history might affect mental health later in life. To push the borders of scientific inquiries, I stress that only such mobility-based approaches facilitate an exploration of exposure duration, exposure sequences, and exposure accumulation.","author":[{"dropping-particle":"","family":"Helbich","given":"Marco","non-dropping-particle":"","parse-names":false,"suffix":""}],"container-title":"Environmental Research","id":"ITEM-2","issued":{"date-parts":[["2018","2","1"]]},"page":"129-135","publisher":"Academic Press Inc.","title":"Toward dynamic urban environmental exposure assessments in mental health research","type":"article-journal","volume":"161"},"uris":["http://www.mendeley.com/documents/?uuid=95d09a9c-c788-3101-a7c5-c675d92aca08"]}],"mendeley":{"formattedCitation":"(Helbich, 2018; Nieuwenhuijsen et al., 2017)","plainTextFormattedCitation":"(Helbich, 2018; Nieuwenhuijsen et al., 2017)","previouslyFormattedCitation":"(Helbich, 2018; Nieuwenhuijsen et al., 2017)"},"properties":{"noteIndex":0},"schema":"https://github.com/citation-style-language/schema/raw/master/csl-citation.json"}</w:instrText>
      </w:r>
      <w:r w:rsidRPr="008C10B7">
        <w:rPr>
          <w:rFonts w:cs="Times New Roman"/>
          <w:sz w:val="22"/>
          <w:szCs w:val="20"/>
        </w:rPr>
        <w:fldChar w:fldCharType="separate"/>
      </w:r>
      <w:r w:rsidR="008C7EFD" w:rsidRPr="008C10B7">
        <w:rPr>
          <w:rFonts w:cs="Times New Roman"/>
          <w:sz w:val="22"/>
          <w:szCs w:val="20"/>
        </w:rPr>
        <w:t>(Helbich, 2018; Nieuwenhuijsen et al., 2017)</w:t>
      </w:r>
      <w:r w:rsidRPr="008C10B7">
        <w:rPr>
          <w:rFonts w:cs="Times New Roman"/>
          <w:sz w:val="22"/>
          <w:szCs w:val="20"/>
        </w:rPr>
        <w:fldChar w:fldCharType="end"/>
      </w:r>
      <w:r w:rsidR="001A1DA0" w:rsidRPr="008C10B7">
        <w:rPr>
          <w:rFonts w:cs="Times New Roman"/>
          <w:sz w:val="22"/>
          <w:szCs w:val="20"/>
        </w:rPr>
        <w:t>, and e</w:t>
      </w:r>
      <w:r w:rsidRPr="008C10B7">
        <w:rPr>
          <w:rFonts w:cs="Times New Roman"/>
          <w:sz w:val="22"/>
          <w:szCs w:val="20"/>
        </w:rPr>
        <w:t xml:space="preserve">xposure to the natural environment appears to have a range of benefits for mental health </w:t>
      </w:r>
      <w:r w:rsidRPr="008C10B7">
        <w:rPr>
          <w:rFonts w:cs="Times New Roman"/>
          <w:sz w:val="22"/>
          <w:szCs w:val="20"/>
        </w:rPr>
        <w:fldChar w:fldCharType="begin" w:fldLock="1"/>
      </w:r>
      <w:r w:rsidR="00B74AD7" w:rsidRPr="008C10B7">
        <w:rPr>
          <w:rFonts w:cs="Times New Roman"/>
          <w:sz w:val="22"/>
          <w:szCs w:val="20"/>
        </w:rPr>
        <w:instrText>ADDIN CSL_CITATION {"citationItems":[{"id":"ITEM-1","itemData":{"DOI":"10.1021/acs.est.8b01781","ISSN":"15205851","PMID":"30064205","abstract":"Environmental health research can be oriented across a continuum of effects ranging from adverse to cobenefits to salutogenic. We argue that the salutogenic end of the continuum is insufficiently represented in research and as a basis for environmental protection, even though there is growing evidence that the natural environment plays a critical role in blunting adverse effects and promoting human health and well-being. Thus, we advocate for advancing environmental health research through environmental epidemiology that more fully and directly accounts for the salutogenic effects of the natural environment on individual well-being by (1) defining \"natural environments\" broadly, from pristine natural areas to urban green infrastructure; (2) considering exposure comprehensively to encompass residential, occupational, and recreational settings, local and distant, day-to-day and occasional; (3) doing individual-level assessments that include both health and well-being outcomes and one's experience of nature, including potential mediation by connectedness to nature and individual perceptions and preferences, as well as sociocultural and demographic effect modifiers; and (4) collecting longitudinal and nationally representative data.","author":[{"dropping-particle":"","family":"Silva","given":"Raquel A.","non-dropping-particle":"","parse-names":false,"suffix":""},{"dropping-particle":"","family":"Rogers","given":"Kim","non-dropping-particle":"","parse-names":false,"suffix":""},{"dropping-particle":"","family":"Buckley","given":"Timothy J.","non-dropping-particle":"","parse-names":false,"suffix":""}],"container-title":"Environmental Science and Technology","id":"ITEM-1","issue":"17","issued":{"date-parts":[["2018","9","4"]]},"page":"9545-9555","publisher":"American Chemical Society","title":"Advancing Environmental Epidemiology to Assess the Beneficial Influence of the Natural Environment on Human Health and Well-Being","type":"article-journal","volume":"52"},"uris":["http://www.mendeley.com/documents/?uuid=1217b09e-04da-32da-a7b0-e24c1896db41"]},{"id":"ITEM-2","itemData":{"DOI":"10.1146/annurev-publhealth-032013-182443","ISSN":"0163-7525","abstract":"Urbanization, resource exploitation, and lifestyle changes have diminished possibilities for human contact with nature in urbanized societies. Concern about the loss has helped motivate research on the health benefits of contact with nature. Reviewing that research here, we focus on nature as represented by aspects of the physical environment relevant to planning, design, and policy measures that serve broad segments of urbanized societies. We discuss difficulties in defining \"nature\" and reasons for the current expansion of the research field, and we assess available reviews. We then consider research on pathways between nature and health involving air quality, physical activity, social cohesion, and stress reduction. Finally, we discuss methodological issues and priorities for future research. The extant research does describe an array of benefits of contact with nature, and evidence regarding some benefits is strong; however, some findings indicate caution is needed in applying beliefs about those benefits, and substantial gaps in knowledge remain. ©2014 by Annual Reviews. All rights reserved.","author":[{"dropping-particle":"","family":"Hartig","given":"Terry","non-dropping-particle":"","parse-names":false,"suffix":""},{"dropping-particle":"","family":"Mitchell","given":"Richard","non-dropping-particle":"","parse-names":false,"suffix":""},{"dropping-particle":"","family":"Vries","given":"Sjerp","non-dropping-particle":"de","parse-names":false,"suffix":""},{"dropping-particle":"","family":"Frumkin","given":"Howard","non-dropping-particle":"","parse-names":false,"suffix":""}],"container-title":"Annual Review of Public Health","id":"ITEM-2","issue":"1","issued":{"date-parts":[["2014","3","18"]]},"page":"207-228","publisher":"Annual Reviews Inc.","title":"Nature and Health","type":"article-journal","volume":"35"},"uris":["http://www.mendeley.com/documents/?uuid=5a08ce15-e6b4-3e32-b1fa-776d3b53f43a"]}],"mendeley":{"formattedCitation":"(Hartig et al., 2014; Silva et al., 2018)","plainTextFormattedCitation":"(Hartig et al., 2014; Silva et al., 2018)","previouslyFormattedCitation":"(Hartig et al., 2014; Silva et al., 2018)"},"properties":{"noteIndex":0},"schema":"https://github.com/citation-style-language/schema/raw/master/csl-citation.json"}</w:instrText>
      </w:r>
      <w:r w:rsidRPr="008C10B7">
        <w:rPr>
          <w:rFonts w:cs="Times New Roman"/>
          <w:sz w:val="22"/>
          <w:szCs w:val="20"/>
        </w:rPr>
        <w:fldChar w:fldCharType="separate"/>
      </w:r>
      <w:r w:rsidR="008C7EFD" w:rsidRPr="008C10B7">
        <w:rPr>
          <w:rFonts w:cs="Times New Roman"/>
          <w:sz w:val="22"/>
          <w:szCs w:val="20"/>
        </w:rPr>
        <w:t>(Hartig et al., 2014; Silva et al., 2018)</w:t>
      </w:r>
      <w:r w:rsidRPr="008C10B7">
        <w:rPr>
          <w:rFonts w:cs="Times New Roman"/>
          <w:sz w:val="22"/>
          <w:szCs w:val="20"/>
        </w:rPr>
        <w:fldChar w:fldCharType="end"/>
      </w:r>
      <w:r w:rsidRPr="008C10B7">
        <w:rPr>
          <w:rFonts w:cs="Times New Roman"/>
          <w:sz w:val="22"/>
          <w:szCs w:val="20"/>
        </w:rPr>
        <w:t xml:space="preserve">. </w:t>
      </w:r>
    </w:p>
    <w:p w14:paraId="6EE26FBA" w14:textId="27B2D66B" w:rsidR="004D3D6C" w:rsidRPr="008C10B7" w:rsidRDefault="00711121" w:rsidP="00E7001C">
      <w:pPr>
        <w:spacing w:line="360" w:lineRule="auto"/>
        <w:ind w:firstLine="420"/>
        <w:jc w:val="both"/>
        <w:rPr>
          <w:rFonts w:cs="Times New Roman"/>
          <w:sz w:val="22"/>
          <w:szCs w:val="20"/>
        </w:rPr>
      </w:pPr>
      <w:r w:rsidRPr="008C10B7">
        <w:rPr>
          <w:rFonts w:cs="Times New Roman"/>
          <w:sz w:val="22"/>
          <w:szCs w:val="20"/>
        </w:rPr>
        <w:t xml:space="preserve">However, </w:t>
      </w:r>
      <w:r w:rsidR="001A1DA0" w:rsidRPr="008C10B7">
        <w:rPr>
          <w:rFonts w:cs="Times New Roman"/>
          <w:sz w:val="22"/>
          <w:szCs w:val="20"/>
        </w:rPr>
        <w:t>the</w:t>
      </w:r>
      <w:r w:rsidRPr="008C10B7">
        <w:rPr>
          <w:rFonts w:cs="Times New Roman"/>
          <w:sz w:val="22"/>
          <w:szCs w:val="20"/>
        </w:rPr>
        <w:t xml:space="preserve"> </w:t>
      </w:r>
      <w:r w:rsidR="003A773C" w:rsidRPr="008C10B7">
        <w:rPr>
          <w:rFonts w:cs="Times New Roman" w:hint="eastAsia"/>
          <w:sz w:val="22"/>
          <w:szCs w:val="20"/>
        </w:rPr>
        <w:t>association</w:t>
      </w:r>
      <w:r w:rsidRPr="008C10B7">
        <w:rPr>
          <w:rFonts w:cs="Times New Roman"/>
          <w:sz w:val="22"/>
          <w:szCs w:val="20"/>
        </w:rPr>
        <w:t xml:space="preserve"> between urban green spaces and </w:t>
      </w:r>
      <w:r w:rsidR="0085019C" w:rsidRPr="008C10B7">
        <w:rPr>
          <w:rFonts w:cs="Times New Roman"/>
          <w:sz w:val="22"/>
          <w:szCs w:val="20"/>
        </w:rPr>
        <w:t>active travel (</w:t>
      </w:r>
      <w:r w:rsidR="0030654E" w:rsidRPr="008C10B7">
        <w:rPr>
          <w:rFonts w:cs="Times New Roman"/>
          <w:sz w:val="22"/>
          <w:szCs w:val="20"/>
        </w:rPr>
        <w:t>AT</w:t>
      </w:r>
      <w:r w:rsidR="0085019C" w:rsidRPr="008C10B7">
        <w:rPr>
          <w:rFonts w:cs="Times New Roman"/>
          <w:sz w:val="22"/>
          <w:szCs w:val="20"/>
        </w:rPr>
        <w:t>)</w:t>
      </w:r>
      <w:r w:rsidR="001A1DA0" w:rsidRPr="008C10B7">
        <w:rPr>
          <w:rFonts w:cs="Times New Roman"/>
          <w:sz w:val="22"/>
          <w:szCs w:val="20"/>
        </w:rPr>
        <w:t xml:space="preserve"> remains unclear</w:t>
      </w:r>
      <w:r w:rsidRPr="008C10B7">
        <w:rPr>
          <w:rFonts w:cs="Times New Roman"/>
          <w:sz w:val="22"/>
          <w:szCs w:val="20"/>
        </w:rPr>
        <w:t xml:space="preserve">. </w:t>
      </w:r>
      <w:r w:rsidR="001A1DA0" w:rsidRPr="008C10B7">
        <w:rPr>
          <w:rFonts w:cs="Times New Roman"/>
          <w:sz w:val="22"/>
          <w:szCs w:val="20"/>
        </w:rPr>
        <w:t xml:space="preserve">While </w:t>
      </w:r>
      <w:r w:rsidR="0041282F" w:rsidRPr="008C10B7">
        <w:rPr>
          <w:rFonts w:cs="Times New Roman"/>
          <w:sz w:val="22"/>
          <w:szCs w:val="20"/>
        </w:rPr>
        <w:t>it has been generally proven by scholars that urban greenery has a</w:t>
      </w:r>
      <w:r w:rsidR="00F632EE" w:rsidRPr="008C10B7">
        <w:rPr>
          <w:rFonts w:cs="Times New Roman"/>
          <w:sz w:val="22"/>
          <w:szCs w:val="20"/>
        </w:rPr>
        <w:t xml:space="preserve"> positive impact </w:t>
      </w:r>
      <w:r w:rsidR="00E40AE8" w:rsidRPr="008C10B7">
        <w:rPr>
          <w:rFonts w:cs="Times New Roman"/>
          <w:sz w:val="22"/>
          <w:szCs w:val="20"/>
        </w:rPr>
        <w:t xml:space="preserve">on </w:t>
      </w:r>
      <w:r w:rsidR="0030654E" w:rsidRPr="008C10B7">
        <w:rPr>
          <w:rFonts w:cs="Times New Roman"/>
          <w:sz w:val="22"/>
          <w:szCs w:val="20"/>
        </w:rPr>
        <w:t>AT</w:t>
      </w:r>
      <w:r w:rsidR="00F632EE" w:rsidRPr="008C10B7">
        <w:rPr>
          <w:rFonts w:cs="Times New Roman"/>
          <w:sz w:val="22"/>
          <w:szCs w:val="20"/>
        </w:rPr>
        <w:t xml:space="preserve"> </w:t>
      </w:r>
      <w:r w:rsidRPr="008C10B7">
        <w:rPr>
          <w:rFonts w:cs="Times New Roman"/>
          <w:sz w:val="22"/>
          <w:szCs w:val="20"/>
        </w:rPr>
        <w:fldChar w:fldCharType="begin" w:fldLock="1"/>
      </w:r>
      <w:r w:rsidR="00B74AD7" w:rsidRPr="008C10B7">
        <w:rPr>
          <w:rFonts w:cs="Times New Roman"/>
          <w:sz w:val="22"/>
          <w:szCs w:val="20"/>
        </w:rPr>
        <w:instrText>ADDIN CSL_CITATION {"citationItems":[{"id":"ITEM-1","itemData":{"DOI":"10.1016/j.landurbplan.2019.103598","ISSN":"01692046","abstract":"Cycling is an environment-friendly and healthy urban transport mode. Making cycling convenient, attractive and safe is thus an essential contribution to livable cities. While previous studies largely focused on the built cycling infrastructure, relationships between greening in streetscapes and cycling behavior are unclear. We conducted an online survey to test how different greening levels in urban streetscapes (i) relate to the attractiveness of streets for cycling, (ii) influence the choice of cycling routes, and (iii) whether respondents’ (n = 1404) attitudes relate to their sociocultural background. We used standardized photo collages showing street scenes with three levels of greening: none, moderate (street trees), high (street trees, vegetated tree pits, green façades). Each green level was combined with different types of cycling infrastructure to untangle greening effects from the latter. Respondents consistently preferred high level of greening over moderate, and the latter over no greening—independent of the type of cycling infrastructure. Most respondents indicated a preference for green streets for cycling and favored detours to avoid grey streets. Whereas respondents’ sociocultural background, affiliation to urban greening and mobility patterns had little influence on the valuation of the street scenes, these variables related to route choice (e.g., gender, employment status, use of greenspaces). Results indicate broad support for greening streetscapes as a promising pathway to enhance cycling in cities. This demonstrates links between urban green planning and environment-friendly mobility policies, and encourages approaches towards green streets as multifunctional components of the urban green infrastructure.","author":[{"dropping-particle":"","family":"Nawrath","given":"Maximilian","non-dropping-particle":"","parse-names":false,"suffix":""},{"dropping-particle":"","family":"Kowarik","given":"Ingo","non-dropping-particle":"","parse-names":false,"suffix":""},{"dropping-particle":"","family":"Fischer","given":"Leonie K.","non-dropping-particle":"","parse-names":false,"suffix":""}],"container-title":"Landscape and Urban Planning","id":"ITEM-1","issued":{"date-parts":[["2019","10","1"]]},"page":"103598","publisher":"Elsevier B.V.","title":"The influence of green streets on cycling behavior in European cities","type":"article-journal","volume":"190"},"uris":["http://www.mendeley.com/documents/?uuid=30a0b2d2-a6d4-3f29-84a5-d906aedd3a94"]},{"id":"ITEM-2","itemData":{"DOI":"10.1016/j.jth.2018.11.003","ISSN":"22141405","abstract":"Being physically active in natural environments has been linked with multiple mental and physical health benefits. However, not all urban contexts can provide their residents the same access to green areas for walking and sport activities. Mediterranean cities provide open spaces for physical activity that differ from those of Northern European cities. This study explores both conventional spaces in the form of public parks and urban green spaces, i.e. beaches, tree-lined streets, boulevards and public squares, in relation to the daily walking levels of residents in a Mediterranean city, such as Barcelona by presenting findings based on examining and assessing spatio-temporal exposure levels measured with the help of smartphones and publicly available GIS layers. To achieve this, both exposure and daily walking time were measured from GIS and GPS-based smartphone tracking data for 127 adult individuals from Barcelona, Spain. Based on these measurements, it was determined that the presence of large-scale open spaces for physical activity, such as beaches or large parks in the participants’ daily walking routes, proved to have the highest association with daily walking time. Also, underexplored forms of nature, such as street trees were also positively correlated with individual walking levels. Additionally, small-scale public spaces, such as public squares and boulevards, indicated a considerably negative association with walking time. The findings from this study confirm existing evidence on the health benefits of urban greenness and broaden the analytical focus on the role and impact of green space provision on physical health. Altogether, street trees and the presence of both blue and traditional green spaces proved to be significant factors of increased walking levels.","author":[{"dropping-particle":"","family":"Vich","given":"Guillem","non-dropping-particle":"","parse-names":false,"suffix":""},{"dropping-particle":"","family":"Marquet","given":"Oriol","non-dropping-particle":"","parse-names":false,"suffix":""},{"dropping-particle":"","family":"Miralles-Guasch","given":"Carme","non-dropping-particle":"","parse-names":false,"suffix":""}],"container-title":"Journal of Transport and Health","id":"ITEM-2","issued":{"date-parts":[["2019","3","1"]]},"page":"50-59","publisher":"Elsevier Ltd","title":"Green streetscape and walking: Exploring active mobility patterns in dense and compact cities","type":"article-journal","volume":"12"},"uris":["http://www.mendeley.com/documents/?uuid=c865d7b0-9aec-3b58-801e-26718c3d0ae7"]}],"mendeley":{"formattedCitation":"(Nawrath et al., 2019; Vich et al., 2019)","plainTextFormattedCitation":"(Nawrath et al., 2019; Vich et al., 2019)","previouslyFormattedCitation":"(Nawrath et al., 2019; Vich et al., 2019)"},"properties":{"noteIndex":0},"schema":"https://github.com/citation-style-language/schema/raw/master/csl-citation.json"}</w:instrText>
      </w:r>
      <w:r w:rsidRPr="008C10B7">
        <w:rPr>
          <w:rFonts w:cs="Times New Roman"/>
          <w:sz w:val="22"/>
          <w:szCs w:val="20"/>
        </w:rPr>
        <w:fldChar w:fldCharType="separate"/>
      </w:r>
      <w:r w:rsidR="008C7EFD" w:rsidRPr="008C10B7">
        <w:rPr>
          <w:rFonts w:cs="Times New Roman"/>
          <w:sz w:val="22"/>
          <w:szCs w:val="20"/>
        </w:rPr>
        <w:t>(Nawrath et al., 2019; Vich et al., 2019)</w:t>
      </w:r>
      <w:r w:rsidRPr="008C10B7">
        <w:rPr>
          <w:rFonts w:cs="Times New Roman"/>
          <w:sz w:val="22"/>
          <w:szCs w:val="20"/>
        </w:rPr>
        <w:fldChar w:fldCharType="end"/>
      </w:r>
      <w:r w:rsidRPr="008C10B7">
        <w:rPr>
          <w:rFonts w:cs="Times New Roman"/>
          <w:sz w:val="22"/>
          <w:szCs w:val="20"/>
        </w:rPr>
        <w:t xml:space="preserve">, </w:t>
      </w:r>
      <w:r w:rsidR="00F632EE" w:rsidRPr="008C10B7">
        <w:rPr>
          <w:rFonts w:cs="Times New Roman"/>
          <w:sz w:val="22"/>
          <w:szCs w:val="20"/>
        </w:rPr>
        <w:t xml:space="preserve">some studies have </w:t>
      </w:r>
      <w:r w:rsidR="001A1DA0" w:rsidRPr="008C10B7">
        <w:rPr>
          <w:rFonts w:cs="Times New Roman"/>
          <w:sz w:val="22"/>
          <w:szCs w:val="20"/>
        </w:rPr>
        <w:t xml:space="preserve">demonstrated </w:t>
      </w:r>
      <w:r w:rsidR="00E40AE8" w:rsidRPr="008C10B7">
        <w:rPr>
          <w:rFonts w:cs="Times New Roman"/>
          <w:sz w:val="22"/>
          <w:szCs w:val="20"/>
        </w:rPr>
        <w:t xml:space="preserve">either </w:t>
      </w:r>
      <w:r w:rsidR="00F632EE" w:rsidRPr="008C10B7">
        <w:rPr>
          <w:rFonts w:cs="Times New Roman"/>
          <w:sz w:val="22"/>
          <w:szCs w:val="20"/>
        </w:rPr>
        <w:t>that these effects are weak</w:t>
      </w:r>
      <w:r w:rsidRPr="008C10B7">
        <w:rPr>
          <w:rFonts w:cs="Times New Roman"/>
          <w:sz w:val="22"/>
          <w:szCs w:val="20"/>
        </w:rPr>
        <w:t xml:space="preserve"> </w:t>
      </w:r>
      <w:r w:rsidRPr="008C10B7">
        <w:rPr>
          <w:rFonts w:cs="Times New Roman"/>
          <w:sz w:val="22"/>
          <w:szCs w:val="20"/>
        </w:rPr>
        <w:fldChar w:fldCharType="begin" w:fldLock="1"/>
      </w:r>
      <w:r w:rsidR="00B74AD7" w:rsidRPr="008C10B7">
        <w:rPr>
          <w:rFonts w:cs="Times New Roman"/>
          <w:sz w:val="22"/>
          <w:szCs w:val="20"/>
        </w:rPr>
        <w:instrText>ADDIN CSL_CITATION {"citationItems":[{"id":"ITEM-1","itemData":{"DOI":"10.1016/j.healthplace.2019.102264","ISSN":"18732054","PMID":"32329730","abstract":"This study examined whether changes in green space within the living environment were associated with changes in walking and cycling frequencies in a cohort of 3,220 Dutch adults between 2004, 2011 and 2014. Data on self-reported weekly time spent walking and cycling for active commute and leisure were linked to geographic information system (GIS) measures of total green areas within 1000 m buffer zones around each participant's home address, and distance to the nearest green space. First, cross-sectional linear regression models showed no statistically significant associations between green space measures and walking and cycling. Second, fixed effects (FE) models were used to analyze whether changes in green space were associated with changes in walking and cycling, using longitudinal data from respondents who did not relocate over time. As distance to the nearest green area increased by 100 m, individuals spent 22.76 fewer (95% CI: −39.92, −5.60) minutes walking for leisure per week and 3.21 more (95% CI: 0.46, 5.96) minutes walking for active commute. Changes in distance to green space were not significantly related to changes in cycling measures. No clear associations between changes in green areas within 1000 m buffers and changes in walking and cycling were observed. Overall, there was weak evidence of an effect of changes in green space area on changes in walking, and no evidence for cycling.","author":[{"dropping-particle":"","family":"Hogendorf","given":"Martyna","non-dropping-particle":"","parse-names":false,"suffix":""},{"dropping-particle":"","family":"Oude Groeniger","given":"Joost","non-dropping-particle":"","parse-names":false,"suffix":""},{"dropping-particle":"","family":"Noordzij","given":"J. Mark","non-dropping-particle":"","parse-names":false,"suffix":""},{"dropping-particle":"","family":"Beenackers","given":"Mariëlle A.","non-dropping-particle":"","parse-names":false,"suffix":""},{"dropping-particle":"","family":"Lenthe","given":"Frank J.","non-dropping-particle":"van","parse-names":false,"suffix":""}],"container-title":"Health and Place","id":"ITEM-1","issued":{"date-parts":[["2020","1","1"]]},"page":"102264","publisher":"Elsevier Ltd","title":"Longitudinal effects of urban green space on walking and cycling: A fixed effects analysis","type":"article-journal","volume":"61"},"uris":["http://www.mendeley.com/documents/?uuid=12273d2c-09d6-3501-9c07-03b534c3e061"]}],"mendeley":{"formattedCitation":"(Hogendorf et al., 2020)","plainTextFormattedCitation":"(Hogendorf et al., 2020)","previouslyFormattedCitation":"(Hogendorf et al., 2020)"},"properties":{"noteIndex":0},"schema":"https://github.com/citation-style-language/schema/raw/master/csl-citation.json"}</w:instrText>
      </w:r>
      <w:r w:rsidRPr="008C10B7">
        <w:rPr>
          <w:rFonts w:cs="Times New Roman"/>
          <w:sz w:val="22"/>
          <w:szCs w:val="20"/>
        </w:rPr>
        <w:fldChar w:fldCharType="separate"/>
      </w:r>
      <w:r w:rsidR="008C7EFD" w:rsidRPr="008C10B7">
        <w:rPr>
          <w:rFonts w:cs="Times New Roman"/>
          <w:sz w:val="22"/>
          <w:szCs w:val="20"/>
        </w:rPr>
        <w:t>(Hogendorf et al., 2020)</w:t>
      </w:r>
      <w:r w:rsidRPr="008C10B7">
        <w:rPr>
          <w:rFonts w:cs="Times New Roman"/>
          <w:sz w:val="22"/>
          <w:szCs w:val="20"/>
        </w:rPr>
        <w:fldChar w:fldCharType="end"/>
      </w:r>
      <w:r w:rsidRPr="008C10B7">
        <w:rPr>
          <w:rFonts w:cs="Times New Roman"/>
          <w:sz w:val="22"/>
          <w:szCs w:val="20"/>
        </w:rPr>
        <w:t xml:space="preserve">, </w:t>
      </w:r>
      <w:r w:rsidR="0085019C" w:rsidRPr="008C10B7">
        <w:rPr>
          <w:rFonts w:cs="Times New Roman"/>
          <w:sz w:val="22"/>
          <w:szCs w:val="20"/>
        </w:rPr>
        <w:t>insignificant</w:t>
      </w:r>
      <w:r w:rsidRPr="008C10B7">
        <w:rPr>
          <w:rFonts w:cs="Times New Roman"/>
          <w:sz w:val="22"/>
          <w:szCs w:val="20"/>
        </w:rPr>
        <w:t xml:space="preserve"> </w:t>
      </w:r>
      <w:r w:rsidRPr="008C10B7">
        <w:rPr>
          <w:rFonts w:cs="Times New Roman"/>
          <w:sz w:val="22"/>
          <w:szCs w:val="20"/>
        </w:rPr>
        <w:fldChar w:fldCharType="begin" w:fldLock="1"/>
      </w:r>
      <w:r w:rsidR="00A8568D" w:rsidRPr="008C10B7">
        <w:rPr>
          <w:rFonts w:cs="Times New Roman"/>
          <w:sz w:val="22"/>
          <w:szCs w:val="20"/>
        </w:rPr>
        <w:instrText>ADDIN CSL_CITATION {"citationItems":[{"id":"ITEM-1","itemData":{"DOI":"10.1146/annurev-publhealth-040218-043657","ISSN":"0163-7525","abstract":"&lt;p&gt;Creating more physical activity–supportive built environments is recommended by the World Health Organization for controlling noncommunicable diseases. The IPEN (International Physical Activity and Environment Network) Adult Study was undertaken to provide international evidence on associations of built environments with physical activity and weight status in 12 countries on 5 continents ( n &amp;gt; 14,000). This article presents reanalyzed data from eight primary papers to identify patterns of findings across studies. Neighborhood environment attributes, whether measured objectively or by self-report, were strongly related to all physical activity outcomes (accelerometer-assessed total physical activity, reported walking for transport and leisure) and meaningfully related to overweight/obesity. Multivariable indexes of built environment variables were more strongly related to most outcomes than were single-environment variables. Designing activity-supportive built environments should be a higher international health priority. Results provide evidence in support of global initiatives to increase physical activity and control noncommunicable diseases while achieving sustainable development goals.&lt;/p&gt;","author":[{"dropping-particle":"","family":"Sallis","given":"James F.","non-dropping-particle":"","parse-names":false,"suffix":""},{"dropping-particle":"","family":"Cerin","given":"Ester","non-dropping-particle":"","parse-names":false,"suffix":""},{"dropping-particle":"","family":"Kerr","given":"Jacqueline","non-dropping-particle":"","parse-names":false,"suffix":""},{"dropping-particle":"","family":"Adams","given":"Marc A.","non-dropping-particle":"","parse-names":false,"suffix":""},{"dropping-particle":"","family":"Sugiyama","given":"Takemi","non-dropping-particle":"","parse-names":false,"suffix":""},{"dropping-particle":"","family":"Christiansen","given":"Lars B.","non-dropping-particle":"","parse-names":false,"suffix":""},{"dropping-particle":"","family":"Schipperijn","given":"Jasper","non-dropping-particle":"","parse-names":false,"suffix":""},{"dropping-particle":"","family":"Davey","given":"Rachel","non-dropping-particle":"","parse-names":false,"suffix":""},{"dropping-particle":"","family":"Salvo","given":"Deborah","non-dropping-particle":"","parse-names":false,"suffix":""},{"dropping-particle":"","family":"Frank","given":"Lawrence D.","non-dropping-particle":"","parse-names":false,"suffix":""},{"dropping-particle":"","family":"Bourdeaudhuij","given":"Ilse","non-dropping-particle":"De","parse-names":false,"suffix":""},{"dropping-particle":"","family":"Owen","given":"Neville","non-dropping-particle":"","parse-names":false,"suffix":""}],"container-title":"Annual Review of Public Health","id":"ITEM-1","issue":"1","issued":{"date-parts":[["2020","4","2"]]},"page":"119-139","publisher":"Annual Reviews Inc.","title":"Built Environment, Physical Activity, and Obesity: Findings from the International Physical Activity and Environment Network (IPEN) Adult Study","type":"article-journal","volume":"41"},"uris":["http://www.mendeley.com/documents/?uuid=e099b59a-201e-3710-b4bb-5ea5b531f99a"]}],"mendeley":{"formattedCitation":"(Sallis et al., 2020)","plainTextFormattedCitation":"(Sallis et al., 2020)","previouslyFormattedCitation":"(Sallis et al., 2020)"},"properties":{"noteIndex":0},"schema":"https://github.com/citation-style-language/schema/raw/master/csl-citation.json"}</w:instrText>
      </w:r>
      <w:r w:rsidRPr="008C10B7">
        <w:rPr>
          <w:rFonts w:cs="Times New Roman"/>
          <w:sz w:val="22"/>
          <w:szCs w:val="20"/>
        </w:rPr>
        <w:fldChar w:fldCharType="separate"/>
      </w:r>
      <w:r w:rsidR="00F632EE" w:rsidRPr="008C10B7">
        <w:rPr>
          <w:rFonts w:cs="Times New Roman"/>
          <w:sz w:val="22"/>
          <w:szCs w:val="20"/>
        </w:rPr>
        <w:t>(Sallis et al., 2020)</w:t>
      </w:r>
      <w:r w:rsidRPr="008C10B7">
        <w:rPr>
          <w:rFonts w:cs="Times New Roman"/>
          <w:sz w:val="22"/>
          <w:szCs w:val="20"/>
        </w:rPr>
        <w:fldChar w:fldCharType="end"/>
      </w:r>
      <w:r w:rsidRPr="008C10B7">
        <w:rPr>
          <w:rFonts w:cs="Times New Roman"/>
          <w:sz w:val="22"/>
          <w:szCs w:val="20"/>
        </w:rPr>
        <w:t xml:space="preserve">, or </w:t>
      </w:r>
      <w:r w:rsidR="00FA1A0E" w:rsidRPr="008C10B7">
        <w:rPr>
          <w:rFonts w:cs="Times New Roman"/>
          <w:sz w:val="22"/>
          <w:szCs w:val="20"/>
        </w:rPr>
        <w:t xml:space="preserve">even </w:t>
      </w:r>
      <w:r w:rsidR="0085019C" w:rsidRPr="008C10B7">
        <w:rPr>
          <w:rFonts w:cs="Times New Roman"/>
          <w:sz w:val="22"/>
          <w:szCs w:val="20"/>
        </w:rPr>
        <w:t>negative</w:t>
      </w:r>
      <w:r w:rsidRPr="008C10B7">
        <w:rPr>
          <w:rFonts w:cs="Times New Roman"/>
          <w:sz w:val="22"/>
          <w:szCs w:val="20"/>
        </w:rPr>
        <w:t xml:space="preserve"> </w:t>
      </w:r>
      <w:r w:rsidRPr="008C10B7">
        <w:rPr>
          <w:rFonts w:cs="Times New Roman"/>
          <w:sz w:val="22"/>
          <w:szCs w:val="20"/>
        </w:rPr>
        <w:fldChar w:fldCharType="begin" w:fldLock="1"/>
      </w:r>
      <w:r w:rsidR="00B74AD7" w:rsidRPr="008C10B7">
        <w:rPr>
          <w:rFonts w:cs="Times New Roman"/>
          <w:sz w:val="22"/>
          <w:szCs w:val="20"/>
        </w:rPr>
        <w:instrText>ADDIN CSL_CITATION {"citationItems":[{"id":"ITEM-1","itemData":{"DOI":"10.1016/j.healthplace.2017.01.007","ISSN":"18732054","PMID":"28157622","abstract":"This cross-sectional study aimed to determine which objective built environmental factors, identified using a virtual neighbourhood audit, were associated with cycling for transport in adults living in five urban regions across Europe. The moderating role of age, gender, socio-economic status and country on these associations was also investigated. Overall, results showed that people living in neighbourhoods with a preponderance of speed limits below 30 km/h, many bicycle lanes, with less traffic calming devices, more trees, more litter and many parked cars forming an obstacle on the road were more likely to cycle for transport than people living in areas with lower prevalence of these factors. Evidence was only found for seven out of 56 possible moderators of these associations. These results suggest that reducing speed limits for motorized vehicles and the provision of more bicycle lanes may be effective interventions to promote cycling in Europe.","author":[{"dropping-particle":"","family":"Mertens","given":"Lieze","non-dropping-particle":"","parse-names":false,"suffix":""},{"dropping-particle":"","family":"Compernolle","given":"Sofie","non-dropping-particle":"","parse-names":false,"suffix":""},{"dropping-particle":"","family":"Deforche","given":"Benedicte","non-dropping-particle":"","parse-names":false,"suffix":""},{"dropping-particle":"","family":"Mackenbach","given":"Joreintje D.","non-dropping-particle":"","parse-names":false,"suffix":""},{"dropping-particle":"","family":"Lakerveld","given":"Jeroen","non-dropping-particle":"","parse-names":false,"suffix":""},{"dropping-particle":"","family":"Brug","given":"Johannes","non-dropping-particle":"","parse-names":false,"suffix":""},{"dropping-particle":"","family":"Roda","given":"Célina","non-dropping-particle":"","parse-names":false,"suffix":""},{"dropping-particle":"","family":"Feuillet","given":"Thierry","non-dropping-particle":"","parse-names":false,"suffix":""},{"dropping-particle":"","family":"Oppert","given":"Jean Michel","non-dropping-particle":"","parse-names":false,"suffix":""},{"dropping-particle":"","family":"Glonti","given":"Ketevan","non-dropping-particle":"","parse-names":false,"suffix":""},{"dropping-particle":"","family":"Rutter","given":"Harry","non-dropping-particle":"","parse-names":false,"suffix":""},{"dropping-particle":"","family":"Bardos","given":"Helga","non-dropping-particle":"","parse-names":false,"suffix":""},{"dropping-particle":"","family":"Bourdeaudhuij","given":"Ilse","non-dropping-particle":"De","parse-names":false,"suffix":""},{"dropping-particle":"","family":"Dyck","given":"Delfien","non-dropping-particle":"Van","parse-names":false,"suffix":""}],"container-title":"Health and Place","id":"ITEM-1","issued":{"date-parts":[["2017","3","1"]]},"page":"35-42","publisher":"Elsevier Ltd","title":"Built environmental correlates of cycling for transport across Europe","type":"article-journal","volume":"44"},"uris":["http://www.mendeley.com/documents/?uuid=bb53b4f2-61f0-3289-9b51-e85858fa61c1"]},{"id":"ITEM-2","itemData":{"DOI":"10.1186/s12889-016-3264-x","ISSN":"14712458","PMID":"27516181","abstract":"Background: The current political agenda aims to promote active environments and physical activity while commuting to work, but research on it has provided mixed results. This study examines whether the proximity of green space and people's residence in different travel-related urban zones contributes to commuting physical activity. Methods: Population-based cross-sectional health examination survey, Health 2011 study, and geographical information system (GIS) data were utilized. The GIS data on green space and travel-related urban zones were linked to the individuals of the Health 2011 study, based on their home geocoordinates. Commuting physical activity was self-reported. Logistic regression models were applied, and age, gender, education, leisure-time and occupational physical activity were adjusted. Analyses were limited to those of working age, living in the core-urban areas of Finland and having completed information on commuting physical activity (n = 2 098). Results: Home location in a pedestrian zone of a main centre (odds ratio = 1.63; 95 % confidence interval = 1.06-2.51) or a pedestrian zone of a sub-centre (2.03; 1.09-3.80) and higher proportion of cycling and pedestrian networks (3.28; 1.71-6.31) contributed to higher levels of commuting physical activity. The contribution remained after adjusting for all the environmental attributes and individuals. Based on interaction analyses, women living in a public transport zone were almost two times more likely to be physically active while commuting compared to men. A high proportion of recreational green space contributed negatively to the levels of commuting physical activity (0.73; 0.57-0.94) after adjusting for several background factors. Based on interaction analyses, individuals aged from 44 to 54 years and living in sub-centres, men living in pedestrian zones of sub-centres, and those individuals who are physically inactive during leisure-time were less likely to be physically active while commuting. Conclusions: Good pedestrian and cycling infrastructure may play an important role in promoting commuting physical activity among the employed population, regardless of educational background, leisure-time and occupational physical activity. Close proximity to green space and a high proportion of green space near the home may not be sufficient to initiate commuting physical activity in Finland, where homes surrounded by green areas are often situated in car-oriented zones far from work places.","author":[{"dropping-particle":"","family":"Mäki-Opas","given":"Tomi E.","non-dropping-particle":"","parse-names":false,"suffix":""},{"dropping-particle":"","family":"Borodulin","given":"Katja","non-dropping-particle":"","parse-names":false,"suffix":""},{"dropping-particle":"","family":"Valkeinen","given":"Heli","non-dropping-particle":"","parse-names":false,"suffix":""},{"dropping-particle":"","family":"Stenholm","given":"Sari","non-dropping-particle":"","parse-names":false,"suffix":""},{"dropping-particle":"","family":"Kunst","given":"Anton E.","non-dropping-particle":"","parse-names":false,"suffix":""},{"dropping-particle":"","family":"Abel","given":"Thomas","non-dropping-particle":"","parse-names":false,"suffix":""},{"dropping-particle":"","family":"Härkänen","given":"Tommi","non-dropping-particle":"","parse-names":false,"suffix":""},{"dropping-particle":"","family":"Kopperoinen","given":"Leena","non-dropping-particle":"","parse-names":false,"suffix":""},{"dropping-particle":"","family":"Itkonen","given":"Pekka","non-dropping-particle":"","parse-names":false,"suffix":""},{"dropping-particle":"","family":"Prättälä","given":"Ritva","non-dropping-particle":"","parse-names":false,"suffix":""},{"dropping-particle":"","family":"Karvonen","given":"Sakari","non-dropping-particle":"","parse-names":false,"suffix":""},{"dropping-particle":"","family":"Koskinen","given":"Seppo","non-dropping-particle":"","parse-names":false,"suffix":""}],"container-title":"BMC Public Health","id":"ITEM-2","issue":"1","issued":{"date-parts":[["2016","8","11"]]},"page":"760","publisher":"BioMed Central Ltd.","title":"The contribution of travel-related urban zones, cycling and pedestrian networks and green space to commuting physical activity among adults - A cross-sectional population-based study using geographical information systems","type":"article-journal","volume":"16"},"uris":["http://www.mendeley.com/documents/?uuid=e9567e8f-cf5b-3e10-af94-a3a91804e1ce"]}],"mendeley":{"formattedCitation":"(Mäki-Opas et al., 2016; Mertens et al., 2017)","plainTextFormattedCitation":"(Mäki-Opas et al., 2016; Mertens et al., 2017)","previouslyFormattedCitation":"(Mäki-Opas et al., 2016; Mertens et al., 2017)"},"properties":{"noteIndex":0},"schema":"https://github.com/citation-style-language/schema/raw/master/csl-citation.json"}</w:instrText>
      </w:r>
      <w:r w:rsidRPr="008C10B7">
        <w:rPr>
          <w:rFonts w:cs="Times New Roman"/>
          <w:sz w:val="22"/>
          <w:szCs w:val="20"/>
        </w:rPr>
        <w:fldChar w:fldCharType="separate"/>
      </w:r>
      <w:r w:rsidR="008C7EFD" w:rsidRPr="008C10B7">
        <w:rPr>
          <w:rFonts w:cs="Times New Roman"/>
          <w:sz w:val="22"/>
          <w:szCs w:val="20"/>
        </w:rPr>
        <w:t>(Mäki-Opas et al., 2016; Mertens et al., 2017)</w:t>
      </w:r>
      <w:r w:rsidRPr="008C10B7">
        <w:rPr>
          <w:rFonts w:cs="Times New Roman"/>
          <w:sz w:val="22"/>
          <w:szCs w:val="20"/>
        </w:rPr>
        <w:fldChar w:fldCharType="end"/>
      </w:r>
      <w:r w:rsidRPr="008C10B7">
        <w:rPr>
          <w:rFonts w:cs="Times New Roman"/>
          <w:sz w:val="22"/>
          <w:szCs w:val="20"/>
        </w:rPr>
        <w:t xml:space="preserve">. For example, a study conducted in the Netherlands found a negative </w:t>
      </w:r>
      <w:r w:rsidR="003A773C" w:rsidRPr="008C10B7">
        <w:rPr>
          <w:rFonts w:cs="Times New Roman" w:hint="eastAsia"/>
          <w:sz w:val="22"/>
          <w:szCs w:val="20"/>
        </w:rPr>
        <w:t>association</w:t>
      </w:r>
      <w:r w:rsidRPr="008C10B7">
        <w:rPr>
          <w:rFonts w:cs="Times New Roman"/>
          <w:sz w:val="22"/>
          <w:szCs w:val="20"/>
        </w:rPr>
        <w:t xml:space="preserve"> between residential green space and </w:t>
      </w:r>
      <w:r w:rsidR="0030654E" w:rsidRPr="008C10B7">
        <w:rPr>
          <w:rFonts w:cs="Times New Roman"/>
          <w:sz w:val="22"/>
          <w:szCs w:val="20"/>
        </w:rPr>
        <w:t>AT</w:t>
      </w:r>
      <w:r w:rsidRPr="008C10B7">
        <w:rPr>
          <w:rFonts w:cs="Times New Roman"/>
          <w:sz w:val="22"/>
          <w:szCs w:val="20"/>
        </w:rPr>
        <w:t xml:space="preserve"> in leisure time </w:t>
      </w:r>
      <w:r w:rsidRPr="008C10B7">
        <w:rPr>
          <w:rFonts w:cs="Times New Roman"/>
          <w:sz w:val="22"/>
          <w:szCs w:val="20"/>
        </w:rPr>
        <w:fldChar w:fldCharType="begin" w:fldLock="1"/>
      </w:r>
      <w:r w:rsidR="00B74AD7" w:rsidRPr="008C10B7">
        <w:rPr>
          <w:rFonts w:cs="Times New Roman"/>
          <w:sz w:val="22"/>
          <w:szCs w:val="20"/>
        </w:rPr>
        <w:instrText>ADDIN CSL_CITATION {"citationItems":[{"id":"ITEM-1","itemData":{"DOI":"10.1186/1471-2458-8-206","ISSN":"14712458","PMID":"18544169","abstract":"Background. The aim of this study was to investigate whether physical activity (in general, and more specifically, walking and cycling during leisure time and for commuting purposes, sports and gardening) is an underlying mechanism in the relationship between the amount of green space in people's direct living environment and self-perceived health. To study this, we first investigated whether the amount of green space in the living environment is related to the level of physical activity. When an association between green space and physical activity was found, we analysed whether this could explain the relationship between green space and health. Methods. The study includes 4.899 Dutch people who were interviewed about physical activity, self-perceived health and demographic and socioeconomic background. The amount of green space within a one-kilometre and a three-kilometre radius around the postal code coordinates was calculated for each individual. Multivariate multilevel analyses and multilevel logistic regression analyses were performed at two levels and with controls for socio-demographic characteristics and urbanicity. Results. No relationship was found between the amount of green space in the living environment and whether or not people meet the Dutch public health recommendations for physical activity, sports and walking for commuting purposes. People with more green space in their living environment walked and cycled less often and fewer minutes during leisure time; people with more green space garden more often and spend more time on gardening. Furthermore, if people cycle for commuting purposes they spend more time on this if they live in a greener living environment. Whether or not people garden, the time spent on gardening and time spent on cycling for commuting purposes did not explain the relationship between green space and health. Conclusion. Our study indicates that the amount of green space in the living environment is scarcely related to the level of physical activity. Furthermore, the amount of physical activity undertaken in greener living environments does not explain the relationship between green space and health. © 2008 Maas et al; licensee BioMed Central Ltd.","author":[{"dropping-particle":"","family":"Maas","given":"Jolanda","non-dropping-particle":"","parse-names":false,"suffix":""},{"dropping-particle":"","family":"Verheij","given":"Robert A.","non-dropping-particle":"","parse-names":false,"suffix":""},{"dropping-particle":"","family":"Spreeuwenberg","given":"Peter","non-dropping-particle":"","parse-names":false,"suffix":""},{"dropping-particle":"","family":"Groenewegen","given":"Peter P.","non-dropping-particle":"","parse-names":false,"suffix":""}],"container-title":"BMC Public Health","id":"ITEM-1","issue":"1","issued":{"date-parts":[["2008","6","10"]]},"page":"1-13","publisher":"BioMed Central","title":"Physical activity as a possible mechanism behind the relationship between green space and health: A multilevel analysis","type":"article-journal","volume":"8"},"uris":["http://www.mendeley.com/documents/?uuid=9ee447aa-3ab9-3783-833f-66e41027362a"]}],"mendeley":{"formattedCitation":"(Maas et al., 2008)","plainTextFormattedCitation":"(Maas et al., 2008)","previouslyFormattedCitation":"(Maas et al., 2008)"},"properties":{"noteIndex":0},"schema":"https://github.com/citation-style-language/schema/raw/master/csl-citation.json"}</w:instrText>
      </w:r>
      <w:r w:rsidRPr="008C10B7">
        <w:rPr>
          <w:rFonts w:cs="Times New Roman"/>
          <w:sz w:val="22"/>
          <w:szCs w:val="20"/>
        </w:rPr>
        <w:fldChar w:fldCharType="separate"/>
      </w:r>
      <w:r w:rsidR="008C7EFD" w:rsidRPr="008C10B7">
        <w:rPr>
          <w:rFonts w:cs="Times New Roman"/>
          <w:sz w:val="22"/>
          <w:szCs w:val="20"/>
        </w:rPr>
        <w:t>(Maas et al., 2008)</w:t>
      </w:r>
      <w:r w:rsidRPr="008C10B7">
        <w:rPr>
          <w:rFonts w:cs="Times New Roman"/>
          <w:sz w:val="22"/>
          <w:szCs w:val="20"/>
        </w:rPr>
        <w:fldChar w:fldCharType="end"/>
      </w:r>
      <w:r w:rsidRPr="008C10B7">
        <w:rPr>
          <w:rFonts w:cs="Times New Roman"/>
          <w:sz w:val="22"/>
          <w:szCs w:val="20"/>
        </w:rPr>
        <w:t xml:space="preserve">. </w:t>
      </w:r>
      <w:r w:rsidR="00A8568D" w:rsidRPr="008C10B7">
        <w:rPr>
          <w:rFonts w:cs="Times New Roman"/>
          <w:sz w:val="22"/>
          <w:szCs w:val="20"/>
        </w:rPr>
        <w:fldChar w:fldCharType="begin" w:fldLock="1"/>
      </w:r>
      <w:r w:rsidR="00A8568D" w:rsidRPr="008C10B7">
        <w:rPr>
          <w:rFonts w:cs="Times New Roman"/>
          <w:sz w:val="22"/>
          <w:szCs w:val="20"/>
        </w:rPr>
        <w:instrText>ADDIN CSL_CITATION {"citationItems":[{"id":"ITEM-1","itemData":{"DOI":"10.1016/j.ypmed.2013.05.015","ISSN":"00917435","PMID":"23732245","abstract":"Objective: This study examined prospective relationships of green space attributes with adults initiating or maintaining recreational walking. Methods: Postal surveys were completed by 1036 adults living in Adelaide, Australia, at baseline (two time points in 2003-04) and follow-up (2007-08). Initiating or maintaining recreational walking was determined using self-reported walking frequency. Green space attributes examined were perceived presence, quality, proximity, and the objectively measured area (total and largest) and number of green spaces within a 1.6. km buffer drawn from the center of each study neighborhood. Multilevel regression analyses examined the odds of initiating or maintaining walking separately for each green space attribute. Results: At baseline, participants were categorized into non-regular (n. = 395), regular (n. = 286), and irregular walkers (n. = 313). Among non-regular walkers, 30% had initiated walking, while 70% of regular walkers had maintained walking at follow-up. No green space attributes were associated with initiating walking. However, positive perceptions of the presence of and proximity to green spaces and the total and largest areas of green space were significantly associated with a higher likelihood of walking maintenance over four years. Conclusion: Neighborhood green spaces may not assist adults to initiate walking, but their presence and proximity may facilitate them to maintain recreational walking over time. © 2013 Elsevier Inc.","author":[{"dropping-particle":"","family":"Sugiyama","given":"Takemi","non-dropping-particle":"","parse-names":false,"suffix":""},{"dropping-particle":"","family":"Giles-Corti","given":"Billie","non-dropping-particle":"","parse-names":false,"suffix":""},{"dropping-particle":"","family":"Summers","given":"Jacqui","non-dropping-particle":"","parse-names":false,"suffix":""},{"dropping-particle":"","family":"Toit","given":"Lorinne","non-dropping-particle":"du","parse-names":false,"suffix":""},{"dropping-particle":"","family":"Leslie","given":"Eva","non-dropping-particle":"","parse-names":false,"suffix":""},{"dropping-particle":"","family":"Owen","given":"Neville","non-dropping-particle":"","parse-names":false,"suffix":""}],"container-title":"Preventive Medicine","id":"ITEM-1","issue":"3","issued":{"date-parts":[["2013","9","1"]]},"page":"178-182","publisher":"Academic Press","title":"Initiating and maintaining recreational walking: A longitudinal study on the influence of neighborhood green space","type":"article-journal","volume":"57"},"uris":["http://www.mendeley.com/documents/?uuid=50f1e0c7-7c48-34a6-9437-b98db92f1448"]}],"mendeley":{"formattedCitation":"(Sugiyama et al., 2013)","manualFormatting":"Sugiyama et al. (2013)","plainTextFormattedCitation":"(Sugiyama et al., 2013)","previouslyFormattedCitation":"(Sugiyama et al., 2013)"},"properties":{"noteIndex":0},"schema":"https://github.com/citation-style-language/schema/raw/master/csl-citation.json"}</w:instrText>
      </w:r>
      <w:r w:rsidR="00A8568D" w:rsidRPr="008C10B7">
        <w:rPr>
          <w:rFonts w:cs="Times New Roman"/>
          <w:sz w:val="22"/>
          <w:szCs w:val="20"/>
        </w:rPr>
        <w:fldChar w:fldCharType="separate"/>
      </w:r>
      <w:r w:rsidR="00A8568D" w:rsidRPr="008C10B7">
        <w:rPr>
          <w:rFonts w:cs="Times New Roman"/>
          <w:sz w:val="22"/>
          <w:szCs w:val="20"/>
        </w:rPr>
        <w:t>Sugiyama et al. (2013)</w:t>
      </w:r>
      <w:r w:rsidR="00A8568D" w:rsidRPr="008C10B7">
        <w:rPr>
          <w:rFonts w:cs="Times New Roman"/>
          <w:sz w:val="22"/>
          <w:szCs w:val="20"/>
        </w:rPr>
        <w:fldChar w:fldCharType="end"/>
      </w:r>
      <w:r w:rsidR="00A8568D" w:rsidRPr="008C10B7">
        <w:rPr>
          <w:rFonts w:cs="Times New Roman"/>
          <w:sz w:val="22"/>
          <w:szCs w:val="20"/>
        </w:rPr>
        <w:t xml:space="preserve"> conducted a ten-year longitudinal study in Adelaide, Australia, </w:t>
      </w:r>
      <w:r w:rsidR="00A6046B" w:rsidRPr="008C10B7">
        <w:rPr>
          <w:rFonts w:cs="Times New Roman"/>
          <w:sz w:val="22"/>
          <w:szCs w:val="20"/>
        </w:rPr>
        <w:t xml:space="preserve">and </w:t>
      </w:r>
      <w:r w:rsidR="00A8568D" w:rsidRPr="008C10B7">
        <w:rPr>
          <w:rFonts w:cs="Times New Roman"/>
          <w:sz w:val="22"/>
          <w:szCs w:val="20"/>
        </w:rPr>
        <w:t xml:space="preserve">found no clear </w:t>
      </w:r>
      <w:r w:rsidR="003A773C" w:rsidRPr="008C10B7">
        <w:rPr>
          <w:rFonts w:cs="Times New Roman" w:hint="eastAsia"/>
          <w:sz w:val="22"/>
          <w:szCs w:val="20"/>
        </w:rPr>
        <w:t>association</w:t>
      </w:r>
      <w:r w:rsidR="00A8568D" w:rsidRPr="008C10B7">
        <w:rPr>
          <w:rFonts w:cs="Times New Roman"/>
          <w:sz w:val="22"/>
          <w:szCs w:val="20"/>
        </w:rPr>
        <w:t xml:space="preserve"> between urban greenery and AT.</w:t>
      </w:r>
      <w:r w:rsidRPr="008C10B7">
        <w:rPr>
          <w:rFonts w:cs="Times New Roman"/>
          <w:sz w:val="22"/>
          <w:szCs w:val="20"/>
        </w:rPr>
        <w:t xml:space="preserve"> Some studies have </w:t>
      </w:r>
      <w:r w:rsidR="00A6046B" w:rsidRPr="008C10B7">
        <w:rPr>
          <w:rFonts w:cs="Times New Roman"/>
          <w:sz w:val="22"/>
          <w:szCs w:val="20"/>
        </w:rPr>
        <w:t>also demonstrated</w:t>
      </w:r>
      <w:r w:rsidRPr="008C10B7">
        <w:rPr>
          <w:rFonts w:cs="Times New Roman"/>
          <w:sz w:val="22"/>
          <w:szCs w:val="20"/>
        </w:rPr>
        <w:t xml:space="preserve"> a</w:t>
      </w:r>
      <w:r w:rsidR="00F4450C" w:rsidRPr="008C10B7">
        <w:rPr>
          <w:rFonts w:cs="Times New Roman" w:hint="eastAsia"/>
          <w:sz w:val="22"/>
          <w:szCs w:val="20"/>
        </w:rPr>
        <w:t>n</w:t>
      </w:r>
      <w:r w:rsidRPr="008C10B7">
        <w:rPr>
          <w:rFonts w:cs="Times New Roman"/>
          <w:sz w:val="22"/>
          <w:szCs w:val="20"/>
        </w:rPr>
        <w:t xml:space="preserve"> </w:t>
      </w:r>
      <w:r w:rsidR="003A773C" w:rsidRPr="008C10B7">
        <w:rPr>
          <w:rFonts w:cs="Times New Roman" w:hint="eastAsia"/>
          <w:sz w:val="22"/>
          <w:szCs w:val="20"/>
        </w:rPr>
        <w:t>association</w:t>
      </w:r>
      <w:r w:rsidRPr="008C10B7">
        <w:rPr>
          <w:rFonts w:cs="Times New Roman"/>
          <w:sz w:val="22"/>
          <w:szCs w:val="20"/>
        </w:rPr>
        <w:t xml:space="preserve"> between the two, although </w:t>
      </w:r>
      <w:r w:rsidR="00E40AE8" w:rsidRPr="008C10B7">
        <w:rPr>
          <w:rFonts w:cs="Times New Roman"/>
          <w:sz w:val="22"/>
          <w:szCs w:val="20"/>
        </w:rPr>
        <w:t xml:space="preserve">this </w:t>
      </w:r>
      <w:r w:rsidR="003A773C" w:rsidRPr="008C10B7">
        <w:rPr>
          <w:rFonts w:cs="Times New Roman" w:hint="eastAsia"/>
          <w:sz w:val="22"/>
          <w:szCs w:val="20"/>
        </w:rPr>
        <w:t>association</w:t>
      </w:r>
      <w:r w:rsidR="00E40AE8" w:rsidRPr="008C10B7">
        <w:rPr>
          <w:rFonts w:cs="Times New Roman"/>
          <w:sz w:val="22"/>
          <w:szCs w:val="20"/>
        </w:rPr>
        <w:t xml:space="preserve"> </w:t>
      </w:r>
      <w:r w:rsidRPr="008C10B7">
        <w:rPr>
          <w:rFonts w:cs="Times New Roman"/>
          <w:sz w:val="22"/>
          <w:szCs w:val="20"/>
        </w:rPr>
        <w:t xml:space="preserve">is influenced by how it is measured. </w:t>
      </w:r>
      <w:r w:rsidR="00A6046B" w:rsidRPr="008C10B7">
        <w:rPr>
          <w:rFonts w:cs="Times New Roman"/>
          <w:sz w:val="22"/>
          <w:szCs w:val="20"/>
        </w:rPr>
        <w:t>Using case stud</w:t>
      </w:r>
      <w:r w:rsidR="005C7341" w:rsidRPr="008C10B7">
        <w:rPr>
          <w:rFonts w:cs="Times New Roman"/>
          <w:sz w:val="22"/>
          <w:szCs w:val="20"/>
        </w:rPr>
        <w:t>ies</w:t>
      </w:r>
      <w:r w:rsidR="00A6046B" w:rsidRPr="008C10B7">
        <w:rPr>
          <w:rFonts w:cs="Times New Roman"/>
          <w:sz w:val="22"/>
          <w:szCs w:val="20"/>
        </w:rPr>
        <w:t xml:space="preserve"> </w:t>
      </w:r>
      <w:r w:rsidR="00D27B6E" w:rsidRPr="008C10B7">
        <w:rPr>
          <w:rFonts w:cs="Times New Roman"/>
          <w:sz w:val="22"/>
          <w:szCs w:val="20"/>
        </w:rPr>
        <w:t xml:space="preserve">conducted </w:t>
      </w:r>
      <w:r w:rsidR="005C7341" w:rsidRPr="008C10B7">
        <w:rPr>
          <w:rFonts w:cs="Times New Roman"/>
          <w:sz w:val="22"/>
          <w:szCs w:val="20"/>
        </w:rPr>
        <w:t xml:space="preserve">in Milwaukee and Green Bay </w:t>
      </w:r>
      <w:r w:rsidR="00E40AE8" w:rsidRPr="008C10B7">
        <w:rPr>
          <w:rFonts w:cs="Times New Roman"/>
          <w:sz w:val="22"/>
          <w:szCs w:val="20"/>
        </w:rPr>
        <w:t>from</w:t>
      </w:r>
      <w:r w:rsidR="00A6046B" w:rsidRPr="008C10B7">
        <w:rPr>
          <w:rFonts w:cs="Times New Roman"/>
          <w:sz w:val="22"/>
          <w:szCs w:val="20"/>
        </w:rPr>
        <w:t xml:space="preserve"> the US, </w:t>
      </w:r>
      <w:r w:rsidRPr="008C10B7">
        <w:rPr>
          <w:rFonts w:cs="Times New Roman"/>
          <w:sz w:val="22"/>
          <w:szCs w:val="20"/>
        </w:rPr>
        <w:fldChar w:fldCharType="begin" w:fldLock="1"/>
      </w:r>
      <w:r w:rsidR="00B74AD7" w:rsidRPr="008C10B7">
        <w:rPr>
          <w:rFonts w:cs="Times New Roman"/>
          <w:sz w:val="22"/>
          <w:szCs w:val="20"/>
        </w:rPr>
        <w:instrText>ADDIN CSL_CITATION {"citationItems":[{"id":"ITEM-1","itemData":{"DOI":"10.1016/j.landurbplan.2019.103619","ISSN":"01692046","abstract":"Sedentary lifestyles contribute to many adverse health outcomes and pose concerns for public health worldwide. Studies show that road network design and greenery are critical, independent factors in supporting active lifestyles. Yet greenery along the road network has been insufficiently assessed. This study modelled individual weekly participation in active transportation (AT) using spatially refined measures of street versus overall neighborhood greenery in greater Milwaukee and Green Bay, Wisconsin, USA. Measures of AT (walking or biking for commutes or errands) were collected by the Survey of the Health of Wisconsin. Meter-scale landcover was used to estimate percent tree cover and aggregate greenery (tree and herbaceus cover combined) at increasing distances from each residence (n = 423) along neighborhood streets and in circular buffers. Street greenery metrics were designed to indicate the provision of ecosystem services, including shade and aesthetics, which promote physical activity by enhancing the safety and beauty of the publicly-accessible outdoor environment. Positive associations were consistently observed for street tree cover (e.g., adjusted odds ratio for a 10% increase in sidewalk tree cover within 500 m = 1.19; 95% CI: 1.02–1.40; and in street tree cover within 1250 m = 1.39; 95% CI: 1.09–1.79). Aggregate greenery was significant only in circular buffers, where it was negatively associated with AT. Sensitivity analysis revealed that herbaceous cover alone was consistently negatively associated with AT. Findings inform urban design to promote healthy lifestyles by distinguishing street tree cover as a positive factor in AT. Studies in additional geographic areas and causal designs are recommended.","author":[{"dropping-particle":"","family":"Tsai","given":"Wei Lun","non-dropping-particle":"","parse-names":false,"suffix":""},{"dropping-particle":"","family":"Yngve","given":"Leah","non-dropping-particle":"","parse-names":false,"suffix":""},{"dropping-particle":"","family":"Zhou","given":"Yuhong","non-dropping-particle":"","parse-names":false,"suffix":""},{"dropping-particle":"","family":"Beyer","given":"Kirsten M.M.","non-dropping-particle":"","parse-names":false,"suffix":""},{"dropping-particle":"","family":"Bersch","given":"Andrew","non-dropping-particle":"","parse-names":false,"suffix":""},{"dropping-particle":"","family":"Malecki","given":"Kristen M.","non-dropping-particle":"","parse-names":false,"suffix":""},{"dropping-particle":"","family":"Jackson","given":"Laura E.","non-dropping-particle":"","parse-names":false,"suffix":""}],"container-title":"Landscape and Urban Planning","id":"ITEM-1","issued":{"date-parts":[["2019","11","1"]]},"page":"103619","publisher":"Elsevier B.V.","title":"Street-level neighborhood greenery linked to active transportation: A case study in Milwaukee and Green Bay, WI, USA","type":"article-journal","volume":"191"},"uris":["http://www.mendeley.com/documents/?uuid=d88a4199-f59d-3a2f-9196-d1dfb5e90739"]}],"mendeley":{"formattedCitation":"(Tsai et al., 2019)","manualFormatting":"Tsai et al. (2019)","plainTextFormattedCitation":"(Tsai et al., 2019)","previouslyFormattedCitation":"(Tsai et al., 2019)"},"properties":{"noteIndex":0},"schema":"https://github.com/citation-style-language/schema/raw/master/csl-citation.json"}</w:instrText>
      </w:r>
      <w:r w:rsidRPr="008C10B7">
        <w:rPr>
          <w:rFonts w:cs="Times New Roman"/>
          <w:sz w:val="22"/>
          <w:szCs w:val="20"/>
        </w:rPr>
        <w:fldChar w:fldCharType="separate"/>
      </w:r>
      <w:r w:rsidRPr="008C10B7">
        <w:rPr>
          <w:rFonts w:cs="Times New Roman"/>
          <w:sz w:val="22"/>
          <w:szCs w:val="20"/>
        </w:rPr>
        <w:t>Tsai et al. (2019)</w:t>
      </w:r>
      <w:r w:rsidRPr="008C10B7">
        <w:rPr>
          <w:rFonts w:cs="Times New Roman"/>
          <w:sz w:val="22"/>
          <w:szCs w:val="20"/>
        </w:rPr>
        <w:fldChar w:fldCharType="end"/>
      </w:r>
      <w:r w:rsidRPr="008C10B7">
        <w:rPr>
          <w:rFonts w:cs="Times New Roman"/>
          <w:sz w:val="22"/>
          <w:szCs w:val="20"/>
        </w:rPr>
        <w:t xml:space="preserve"> concluded that </w:t>
      </w:r>
      <w:r w:rsidR="00A6046B" w:rsidRPr="008C10B7">
        <w:rPr>
          <w:rFonts w:cs="Times New Roman"/>
          <w:sz w:val="22"/>
          <w:szCs w:val="20"/>
        </w:rPr>
        <w:t xml:space="preserve">the </w:t>
      </w:r>
      <w:r w:rsidRPr="008C10B7">
        <w:rPr>
          <w:rFonts w:cs="Times New Roman"/>
          <w:sz w:val="22"/>
          <w:szCs w:val="20"/>
        </w:rPr>
        <w:t>herbaceous cover</w:t>
      </w:r>
      <w:r w:rsidR="00E40AE8" w:rsidRPr="008C10B7">
        <w:rPr>
          <w:rFonts w:cs="Times New Roman"/>
          <w:sz w:val="22"/>
          <w:szCs w:val="20"/>
        </w:rPr>
        <w:t>age</w:t>
      </w:r>
      <w:r w:rsidRPr="008C10B7">
        <w:rPr>
          <w:rFonts w:cs="Times New Roman"/>
          <w:sz w:val="22"/>
          <w:szCs w:val="20"/>
        </w:rPr>
        <w:t xml:space="preserve"> of the living environment </w:t>
      </w:r>
      <w:r w:rsidR="00D27B6E" w:rsidRPr="008C10B7">
        <w:rPr>
          <w:rFonts w:cs="Times New Roman"/>
          <w:sz w:val="22"/>
          <w:szCs w:val="20"/>
        </w:rPr>
        <w:t xml:space="preserve">is </w:t>
      </w:r>
      <w:r w:rsidRPr="008C10B7">
        <w:rPr>
          <w:rFonts w:cs="Times New Roman"/>
          <w:sz w:val="22"/>
          <w:szCs w:val="20"/>
        </w:rPr>
        <w:t xml:space="preserve">negatively </w:t>
      </w:r>
      <w:r w:rsidR="003A773C" w:rsidRPr="008C10B7">
        <w:rPr>
          <w:rFonts w:cs="Times New Roman"/>
          <w:sz w:val="22"/>
          <w:szCs w:val="20"/>
        </w:rPr>
        <w:t>associat</w:t>
      </w:r>
      <w:r w:rsidR="003A773C" w:rsidRPr="008C10B7">
        <w:rPr>
          <w:rFonts w:cs="Times New Roman" w:hint="eastAsia"/>
          <w:sz w:val="22"/>
          <w:szCs w:val="20"/>
        </w:rPr>
        <w:t>ed</w:t>
      </w:r>
      <w:r w:rsidRPr="008C10B7">
        <w:rPr>
          <w:rFonts w:cs="Times New Roman"/>
          <w:sz w:val="22"/>
          <w:szCs w:val="20"/>
        </w:rPr>
        <w:t xml:space="preserve"> with AT. </w:t>
      </w:r>
      <w:r w:rsidR="009D1148" w:rsidRPr="008C10B7">
        <w:rPr>
          <w:rFonts w:cs="Times New Roman"/>
          <w:sz w:val="22"/>
          <w:szCs w:val="20"/>
        </w:rPr>
        <w:t xml:space="preserve">Other researchers have also suggested that </w:t>
      </w:r>
      <w:r w:rsidR="00A6046B" w:rsidRPr="008C10B7">
        <w:rPr>
          <w:rFonts w:cs="Times New Roman"/>
          <w:sz w:val="22"/>
          <w:szCs w:val="20"/>
        </w:rPr>
        <w:t xml:space="preserve">the </w:t>
      </w:r>
      <w:r w:rsidR="009D1148" w:rsidRPr="008C10B7">
        <w:rPr>
          <w:rFonts w:cs="Times New Roman"/>
          <w:sz w:val="22"/>
          <w:szCs w:val="20"/>
        </w:rPr>
        <w:t>built environment may not be the only factor influencing travel behaviour</w:t>
      </w:r>
      <w:r w:rsidR="00A6046B" w:rsidRPr="008C10B7">
        <w:rPr>
          <w:rFonts w:cs="Times New Roman"/>
          <w:sz w:val="22"/>
          <w:szCs w:val="20"/>
        </w:rPr>
        <w:t>s</w:t>
      </w:r>
      <w:r w:rsidR="009D1148" w:rsidRPr="008C10B7">
        <w:rPr>
          <w:rFonts w:cs="Times New Roman"/>
          <w:sz w:val="22"/>
          <w:szCs w:val="20"/>
        </w:rPr>
        <w:t>. Factors s</w:t>
      </w:r>
      <w:r w:rsidRPr="008C10B7">
        <w:rPr>
          <w:rFonts w:cs="Times New Roman"/>
          <w:sz w:val="22"/>
          <w:szCs w:val="20"/>
        </w:rPr>
        <w:t xml:space="preserve">uch as </w:t>
      </w:r>
      <w:r w:rsidR="009D1148" w:rsidRPr="008C10B7">
        <w:rPr>
          <w:rFonts w:cs="Times New Roman"/>
          <w:sz w:val="22"/>
          <w:szCs w:val="20"/>
        </w:rPr>
        <w:t xml:space="preserve">socio-economic characteristics </w:t>
      </w:r>
      <w:r w:rsidR="009D1148" w:rsidRPr="008C10B7">
        <w:rPr>
          <w:rFonts w:cs="Times New Roman"/>
          <w:sz w:val="22"/>
          <w:szCs w:val="20"/>
        </w:rPr>
        <w:fldChar w:fldCharType="begin" w:fldLock="1"/>
      </w:r>
      <w:r w:rsidR="005E5119" w:rsidRPr="008C10B7">
        <w:rPr>
          <w:rFonts w:cs="Times New Roman"/>
          <w:sz w:val="22"/>
          <w:szCs w:val="20"/>
        </w:rPr>
        <w:instrText>ADDIN CSL_CITATION {"citationItems":[{"id":"ITEM-1","itemData":{"DOI":"10.1016/j.jtrangeo.2018.06.003","ISSN":"09666923","abstract":"The paper presents an investigation on the mode choice behaviour of post-secondary students commuting to school in the city of Toronto. It uses a large-scale dataset collected through a web-based travel diary survey among all students of four universities (seven campuses) in Toronto. Multinomial logit (MNL), nested logit (NL) and cross-nested logit (CNL) models are used for investigating home to school trips mode choices. In terms of goodness-of-fit, the CNL outperforms the MNL and NL model. Furthermore, the proposed CNL model shows fundamental improvements over the MNL and NL models by capturing non-proportional substitution patterns. Empirical models reveal that the mode choice behaviour of female students who travel to downtown campuses differ significantly from female students who travel to suburban campuses. Female students who travel towards downtown are more transit and active mode oriented than those who travel towards outside of downtown. This study also shows mobility tool ownerships (i.e., transit pass, car and bike ownership) and age groups have distinctive influences on student's mode choice behaviour. Using the CNL model as a tool for policy scenario analysis, it is found that public transit users are highly sensitive to changes in travel time. In the context of policy implementation, if bike and ride mode is encouraged during peak hour commuting, there is likely a large amount of latent demand for this mode.","author":[{"dropping-particle":"","family":"Hasnine","given":"Md Sami","non-dropping-particle":"","parse-names":false,"suffix":""},{"dropping-particle":"","family":"Lin","given":"Tian Yang","non-dropping-particle":"","parse-names":false,"suffix":""},{"dropping-particle":"","family":"Weiss","given":"Adam","non-dropping-particle":"","parse-names":false,"suffix":""},{"dropping-particle":"","family":"Habib","given":"Khandker Nurul","non-dropping-particle":"","parse-names":false,"suffix":""}],"container-title":"Journal of Transport Geography","id":"ITEM-1","issued":{"date-parts":[["2018","6","1"]]},"page":"161-171","publisher":"Elsevier Ltd","title":"Determinants of travel mode choices of post-secondary students in a large metropolitan area: The case of the city of Toronto","type":"article-journal","volume":"70"},"uris":["http://www.mendeley.com/documents/?uuid=1a66d8f3-0f98-3bb2-9028-1c2589d964fd"]}],"mendeley":{"formattedCitation":"(Hasnine et al., 2018)","plainTextFormattedCitation":"(Hasnine et al., 2018)","previouslyFormattedCitation":"(Hasnine et al., 2018)"},"properties":{"noteIndex":0},"schema":"https://github.com/citation-style-language/schema/raw/master/csl-citation.json"}</w:instrText>
      </w:r>
      <w:r w:rsidR="009D1148" w:rsidRPr="008C10B7">
        <w:rPr>
          <w:rFonts w:cs="Times New Roman"/>
          <w:sz w:val="22"/>
          <w:szCs w:val="20"/>
        </w:rPr>
        <w:fldChar w:fldCharType="separate"/>
      </w:r>
      <w:r w:rsidR="009D1148" w:rsidRPr="008C10B7">
        <w:rPr>
          <w:rFonts w:cs="Times New Roman"/>
          <w:sz w:val="22"/>
          <w:szCs w:val="20"/>
        </w:rPr>
        <w:t>(Hasnine et al., 2018)</w:t>
      </w:r>
      <w:r w:rsidR="009D1148" w:rsidRPr="008C10B7">
        <w:rPr>
          <w:rFonts w:cs="Times New Roman"/>
          <w:sz w:val="22"/>
          <w:szCs w:val="20"/>
        </w:rPr>
        <w:fldChar w:fldCharType="end"/>
      </w:r>
      <w:r w:rsidRPr="008C10B7">
        <w:rPr>
          <w:rFonts w:cs="Times New Roman"/>
          <w:sz w:val="22"/>
          <w:szCs w:val="20"/>
        </w:rPr>
        <w:t>, the purpose of travel (essential or leisure</w:t>
      </w:r>
      <w:r w:rsidR="00FA1A0E" w:rsidRPr="008C10B7">
        <w:rPr>
          <w:rFonts w:cs="Times New Roman"/>
          <w:sz w:val="22"/>
          <w:szCs w:val="20"/>
        </w:rPr>
        <w:t>)</w:t>
      </w:r>
      <w:r w:rsidR="009D1148" w:rsidRPr="008C10B7">
        <w:rPr>
          <w:rFonts w:cs="Times New Roman"/>
          <w:sz w:val="22"/>
          <w:szCs w:val="20"/>
        </w:rPr>
        <w:t xml:space="preserve"> </w:t>
      </w:r>
      <w:r w:rsidR="00FA1A0E" w:rsidRPr="008C10B7">
        <w:rPr>
          <w:rFonts w:cs="Times New Roman"/>
          <w:sz w:val="22"/>
          <w:szCs w:val="20"/>
        </w:rPr>
        <w:t>(</w:t>
      </w:r>
      <w:r w:rsidR="009D1148" w:rsidRPr="008C10B7">
        <w:rPr>
          <w:rFonts w:cs="Times New Roman"/>
          <w:sz w:val="22"/>
          <w:szCs w:val="20"/>
        </w:rPr>
        <w:fldChar w:fldCharType="begin" w:fldLock="1"/>
      </w:r>
      <w:r w:rsidR="009D1148" w:rsidRPr="008C10B7">
        <w:rPr>
          <w:rFonts w:cs="Times New Roman"/>
          <w:sz w:val="22"/>
          <w:szCs w:val="20"/>
        </w:rPr>
        <w:instrText>ADDIN CSL_CITATION {"citationItems":[{"id":"ITEM-1","itemData":{"DOI":"10.1016/j.landurbplan.2016.07.002","ISSN":"01692046","abstract":"Walkability has been defined as the extent to which the urban environment is pedestrian friendly. By measuring it, planning professionals may be able to address the quality of the pedestrian environment, supporting more objective, effective and comprehensive walking-related strategies and interventions. This work presents a participatory framework for the assessment of walkability based on local circumstances and expertise, replicable on distinct urban contexts. The framework takes into account distinct pedestrian groups (adults, children, seniors and impaired mobility pedestrians) and trip purposes (utilitarian, leisure), expressing walkability in terms of seven key dimensions (7C's layout). From this conceptual framework, a methodology to evaluate walkability through GIS-based and street auditing indicators is presented. It was applied to an area in central Lisbon, Portugal, in order to evaluate the ease or difficulty that different types of pedestrians can face in their walking activities and, potentially, providing an insight for intervention and improvements. The results show clear differences in walkability scores for different pedestrian groups, namely between adults and seniors or impaired pedestrians. Besides, a validation of the results is presented by comparing street performance, as measured by our process, with home-based surveys conducted within the study area. Validation results confirm that the evaluation framework proposed is reliable in the representation of the pedestrian environment qualities as perceived by the public.","author":[{"dropping-particle":"","family":"Moura","given":"Filipe","non-dropping-particle":"","parse-names":false,"suffix":""},{"dropping-particle":"","family":"Cambra","given":"Paulo","non-dropping-particle":"","parse-names":false,"suffix":""},{"dropping-particle":"","family":"Gonçalves","given":"Alexandre B.","non-dropping-particle":"","parse-names":false,"suffix":""}],"container-title":"Landscape and Urban Planning","id":"ITEM-1","issued":{"date-parts":[["2017","1","1"]]},"page":"282-296","publisher":"Elsevier B.V.","title":"Measuring walkability for distinct pedestrian groups with a participatory assessment method: A case study in Lisbon","type":"article-journal","volume":"157"},"uris":["http://www.mendeley.com/documents/?uuid=ae83dec6-66f8-325e-8d78-29eabc870269"]}],"mendeley":{"formattedCitation":"(Moura et al., 2017)","plainTextFormattedCitation":"(Moura et al., 2017)","previouslyFormattedCitation":"(Moura et al., 2017)"},"properties":{"noteIndex":0},"schema":"https://github.com/citation-style-language/schema/raw/master/csl-citation.json"}</w:instrText>
      </w:r>
      <w:r w:rsidR="009D1148" w:rsidRPr="008C10B7">
        <w:rPr>
          <w:rFonts w:cs="Times New Roman"/>
          <w:sz w:val="22"/>
          <w:szCs w:val="20"/>
        </w:rPr>
        <w:fldChar w:fldCharType="separate"/>
      </w:r>
      <w:r w:rsidR="009D1148" w:rsidRPr="008C10B7">
        <w:rPr>
          <w:rFonts w:cs="Times New Roman"/>
          <w:sz w:val="22"/>
          <w:szCs w:val="20"/>
        </w:rPr>
        <w:t>Moura et al., 2017)</w:t>
      </w:r>
      <w:r w:rsidR="009D1148" w:rsidRPr="008C10B7">
        <w:rPr>
          <w:rFonts w:cs="Times New Roman"/>
          <w:sz w:val="22"/>
          <w:szCs w:val="20"/>
        </w:rPr>
        <w:fldChar w:fldCharType="end"/>
      </w:r>
      <w:r w:rsidR="00597AB1" w:rsidRPr="008C10B7">
        <w:rPr>
          <w:rFonts w:cs="Times New Roman"/>
          <w:sz w:val="22"/>
          <w:szCs w:val="20"/>
        </w:rPr>
        <w:t>,</w:t>
      </w:r>
      <w:r w:rsidRPr="008C10B7">
        <w:rPr>
          <w:rFonts w:cs="Times New Roman"/>
          <w:sz w:val="22"/>
          <w:szCs w:val="20"/>
        </w:rPr>
        <w:t xml:space="preserve"> and </w:t>
      </w:r>
      <w:r w:rsidR="00E40AE8" w:rsidRPr="008C10B7">
        <w:rPr>
          <w:rFonts w:cs="Times New Roman"/>
          <w:sz w:val="22"/>
          <w:szCs w:val="20"/>
        </w:rPr>
        <w:t xml:space="preserve">culturally </w:t>
      </w:r>
      <w:r w:rsidRPr="008C10B7">
        <w:rPr>
          <w:rFonts w:cs="Times New Roman"/>
          <w:sz w:val="22"/>
          <w:szCs w:val="20"/>
        </w:rPr>
        <w:t xml:space="preserve">specific </w:t>
      </w:r>
      <w:r w:rsidR="00E40AE8" w:rsidRPr="008C10B7">
        <w:rPr>
          <w:rFonts w:cs="Times New Roman"/>
          <w:sz w:val="22"/>
          <w:szCs w:val="20"/>
        </w:rPr>
        <w:t>practices</w:t>
      </w:r>
      <w:r w:rsidRPr="008C10B7">
        <w:rPr>
          <w:rFonts w:cs="Times New Roman"/>
          <w:sz w:val="22"/>
          <w:szCs w:val="20"/>
        </w:rPr>
        <w:t xml:space="preserve"> </w:t>
      </w:r>
      <w:r w:rsidRPr="008C10B7">
        <w:rPr>
          <w:rFonts w:cs="Times New Roman"/>
          <w:sz w:val="22"/>
          <w:szCs w:val="20"/>
        </w:rPr>
        <w:fldChar w:fldCharType="begin" w:fldLock="1"/>
      </w:r>
      <w:r w:rsidR="009D1148" w:rsidRPr="008C10B7">
        <w:rPr>
          <w:rFonts w:cs="Times New Roman"/>
          <w:sz w:val="22"/>
          <w:szCs w:val="20"/>
        </w:rPr>
        <w:instrText>ADDIN CSL_CITATION {"citationItems":[{"id":"ITEM-1","itemData":{"DOI":"10.1123/jpah.3.s1.s99","ISSN":"1543-3080","abstract":"Background: The concept of walkable neighborhoods is increasingly important in physical activity research and intervention. However, limited theoretical understanding and measurable definitions remain a challenge. Methods: This paper reviews theories defining neighborhoods and offers an empirical approach to identify measurable attributes and thresholds of walkable neighborhoods. Bivariate and multivariate analyses are used for self-reported socio-demographic background, neighborhood walking behavior and perception, and objective measures of environments. Results: Environmental attributes positively associated with walking sufficiently to meet health recommendations included higher residential density and smaller street-blocks around home, and shorter distances to food and daily retail facilities from home. Threshold distances for eating/drinking establishments and grocery stores were 860 and 1445 feet. Conclusions: Results questioned theoretical constructs of neighborhoods centered on recreation and educational uses. They pointed to finer mixes of uses than those characterizing suburban neighborhoods, and small spatial units of analysis and intervention to capture and promote neighborhood walkability.","author":[{"dropping-particle":"","family":"Moudon","given":"Anne Vernez","non-dropping-particle":"","parse-names":false,"suffix":""},{"dropping-particle":"","family":"Lee","given":"Chanam","non-dropping-particle":"","parse-names":false,"suffix":""},{"dropping-particle":"","family":"Cheadle","given":"Allen D.","non-dropping-particle":"","parse-names":false,"suffix":""},{"dropping-particle":"","family":"Garvin","given":"Cheza","non-dropping-particle":"","parse-names":false,"suffix":""},{"dropping-particle":"","family":"Johnson","given":"Donna","non-dropping-particle":"","parse-names":false,"suffix":""},{"dropping-particle":"","family":"Schmid","given":"Thomas L.","non-dropping-particle":"","parse-names":false,"suffix":""},{"dropping-particle":"","family":"Weathers","given":"Robert D.","non-dropping-particle":"","parse-names":false,"suffix":""},{"dropping-particle":"","family":"Lin","given":"Lin","non-dropping-particle":"","parse-names":false,"suffix":""}],"container-title":"Journal of Physical Activity and Health","id":"ITEM-1","issue":"s1","issued":{"date-parts":[["2016","8","10"]]},"page":"S99-S117","publisher":"Human Kinetics","title":"Operational Definitions of Walkable Neighborhood: Theoretical and Empirical Insights","type":"article-journal","volume":"3"},"uris":["http://www.mendeley.com/documents/?uuid=b5a3e0d8-08db-3f09-a6a2-93a567b0af3e"]}],"mendeley":{"formattedCitation":"(Moudon et al., 2016)","plainTextFormattedCitation":"(Moudon et al., 2016)","previouslyFormattedCitation":"(Moudon et al., 2016)"},"properties":{"noteIndex":0},"schema":"https://github.com/citation-style-language/schema/raw/master/csl-citation.json"}</w:instrText>
      </w:r>
      <w:r w:rsidRPr="008C10B7">
        <w:rPr>
          <w:rFonts w:cs="Times New Roman"/>
          <w:sz w:val="22"/>
          <w:szCs w:val="20"/>
        </w:rPr>
        <w:fldChar w:fldCharType="separate"/>
      </w:r>
      <w:r w:rsidR="009D1148" w:rsidRPr="008C10B7">
        <w:rPr>
          <w:rFonts w:cs="Times New Roman"/>
          <w:sz w:val="22"/>
          <w:szCs w:val="20"/>
        </w:rPr>
        <w:t>(Moudon et al., 2016)</w:t>
      </w:r>
      <w:r w:rsidRPr="008C10B7">
        <w:rPr>
          <w:rFonts w:cs="Times New Roman"/>
          <w:sz w:val="22"/>
          <w:szCs w:val="20"/>
        </w:rPr>
        <w:fldChar w:fldCharType="end"/>
      </w:r>
      <w:r w:rsidR="009D1148" w:rsidRPr="008C10B7">
        <w:rPr>
          <w:rFonts w:cs="Times New Roman"/>
          <w:sz w:val="22"/>
          <w:szCs w:val="20"/>
        </w:rPr>
        <w:t xml:space="preserve"> may also </w:t>
      </w:r>
      <w:r w:rsidR="00A6046B" w:rsidRPr="008C10B7">
        <w:rPr>
          <w:rFonts w:cs="Times New Roman"/>
          <w:sz w:val="22"/>
          <w:szCs w:val="20"/>
        </w:rPr>
        <w:t>affect</w:t>
      </w:r>
      <w:r w:rsidR="009D1148" w:rsidRPr="008C10B7">
        <w:rPr>
          <w:rFonts w:cs="Times New Roman"/>
          <w:sz w:val="22"/>
          <w:szCs w:val="20"/>
        </w:rPr>
        <w:t xml:space="preserve"> AT.</w:t>
      </w:r>
    </w:p>
    <w:p w14:paraId="7B4BB363" w14:textId="77777777" w:rsidR="004D3D6C" w:rsidRPr="008C10B7" w:rsidRDefault="004D3D6C" w:rsidP="00E7001C">
      <w:pPr>
        <w:spacing w:line="360" w:lineRule="auto"/>
        <w:jc w:val="both"/>
        <w:rPr>
          <w:rFonts w:cs="Times New Roman"/>
          <w:sz w:val="22"/>
          <w:szCs w:val="20"/>
        </w:rPr>
      </w:pPr>
    </w:p>
    <w:p w14:paraId="21988F92" w14:textId="0C94E782" w:rsidR="008B4B61" w:rsidRPr="008C10B7" w:rsidRDefault="00711121" w:rsidP="00336C6D">
      <w:pPr>
        <w:pStyle w:val="Heading2"/>
        <w:keepNext/>
        <w:keepLines/>
        <w:spacing w:before="0" w:beforeAutospacing="0" w:after="0" w:afterAutospacing="0" w:line="360" w:lineRule="auto"/>
        <w:jc w:val="both"/>
        <w:rPr>
          <w:rFonts w:eastAsiaTheme="majorEastAsia" w:cs="Times New Roman"/>
          <w:b w:val="0"/>
          <w:i/>
          <w:iCs/>
          <w:sz w:val="22"/>
          <w:szCs w:val="22"/>
          <w:lang w:val="en-GB" w:eastAsia="en-US"/>
        </w:rPr>
      </w:pPr>
      <w:bookmarkStart w:id="9" w:name="_Toc78625138"/>
      <w:r w:rsidRPr="008C10B7">
        <w:rPr>
          <w:rFonts w:eastAsiaTheme="majorEastAsia" w:cs="Times New Roman"/>
          <w:b w:val="0"/>
          <w:i/>
          <w:iCs/>
          <w:sz w:val="22"/>
          <w:szCs w:val="22"/>
          <w:lang w:val="en-GB" w:eastAsia="en-US"/>
        </w:rPr>
        <w:t>2.2</w:t>
      </w:r>
      <w:r w:rsidR="00986BB0" w:rsidRPr="008C10B7">
        <w:rPr>
          <w:rFonts w:eastAsiaTheme="majorEastAsia" w:cs="Times New Roman"/>
          <w:b w:val="0"/>
          <w:i/>
          <w:iCs/>
          <w:sz w:val="22"/>
          <w:szCs w:val="22"/>
          <w:lang w:val="en-GB" w:eastAsia="en-US"/>
        </w:rPr>
        <w:t>.</w:t>
      </w:r>
      <w:r w:rsidRPr="008C10B7">
        <w:rPr>
          <w:rFonts w:eastAsiaTheme="majorEastAsia" w:cs="Times New Roman"/>
          <w:b w:val="0"/>
          <w:i/>
          <w:iCs/>
          <w:sz w:val="22"/>
          <w:szCs w:val="22"/>
          <w:lang w:val="en-GB" w:eastAsia="en-US"/>
        </w:rPr>
        <w:tab/>
      </w:r>
      <w:r w:rsidR="00C63B94" w:rsidRPr="008C10B7">
        <w:rPr>
          <w:rFonts w:eastAsiaTheme="majorEastAsia" w:cs="Times New Roman"/>
          <w:b w:val="0"/>
          <w:i/>
          <w:iCs/>
          <w:sz w:val="22"/>
          <w:szCs w:val="22"/>
          <w:lang w:val="en-GB" w:eastAsia="en-US"/>
        </w:rPr>
        <w:t xml:space="preserve">Travel </w:t>
      </w:r>
      <w:r w:rsidR="00A6046B" w:rsidRPr="008C10B7">
        <w:rPr>
          <w:rFonts w:eastAsiaTheme="majorEastAsia" w:cs="Times New Roman"/>
          <w:b w:val="0"/>
          <w:i/>
          <w:iCs/>
          <w:sz w:val="22"/>
          <w:szCs w:val="22"/>
          <w:lang w:val="en-GB" w:eastAsia="en-US"/>
        </w:rPr>
        <w:t>behaviour of university students</w:t>
      </w:r>
      <w:bookmarkEnd w:id="9"/>
    </w:p>
    <w:p w14:paraId="06110516" w14:textId="09867AC3" w:rsidR="004D3D6C" w:rsidRPr="008C10B7" w:rsidRDefault="00336C6D" w:rsidP="00336C6D">
      <w:pPr>
        <w:spacing w:line="360" w:lineRule="auto"/>
        <w:jc w:val="both"/>
        <w:rPr>
          <w:rFonts w:cs="Times New Roman"/>
          <w:sz w:val="22"/>
          <w:szCs w:val="20"/>
        </w:rPr>
      </w:pPr>
      <w:r w:rsidRPr="008C10B7">
        <w:rPr>
          <w:rFonts w:cs="Times New Roman"/>
          <w:sz w:val="22"/>
          <w:szCs w:val="20"/>
        </w:rPr>
        <w:t>I</w:t>
      </w:r>
      <w:r w:rsidR="00935929" w:rsidRPr="008C10B7">
        <w:rPr>
          <w:rFonts w:cs="Times New Roman"/>
          <w:sz w:val="22"/>
          <w:szCs w:val="20"/>
        </w:rPr>
        <w:t xml:space="preserve">ncreasing transport demand has led scholars to pay more attention to sustainable transport patterns within the university environment </w:t>
      </w:r>
      <w:r w:rsidR="00E40AE8" w:rsidRPr="008C10B7">
        <w:rPr>
          <w:rFonts w:cs="Times New Roman"/>
          <w:sz w:val="22"/>
          <w:szCs w:val="20"/>
        </w:rPr>
        <w:t xml:space="preserve">in order </w:t>
      </w:r>
      <w:r w:rsidR="00935929" w:rsidRPr="008C10B7">
        <w:rPr>
          <w:rFonts w:cs="Times New Roman"/>
          <w:sz w:val="22"/>
          <w:szCs w:val="20"/>
        </w:rPr>
        <w:t>to tackle traffic congestion problem</w:t>
      </w:r>
      <w:r w:rsidR="003A0575" w:rsidRPr="008C10B7">
        <w:rPr>
          <w:rFonts w:cs="Times New Roman"/>
          <w:sz w:val="22"/>
          <w:szCs w:val="20"/>
        </w:rPr>
        <w:t>s</w:t>
      </w:r>
      <w:r w:rsidR="00935929" w:rsidRPr="008C10B7">
        <w:rPr>
          <w:rFonts w:cs="Times New Roman"/>
          <w:sz w:val="22"/>
          <w:szCs w:val="20"/>
        </w:rPr>
        <w:t xml:space="preserve"> </w:t>
      </w:r>
      <w:r w:rsidR="00935929" w:rsidRPr="008C10B7">
        <w:rPr>
          <w:rFonts w:cs="Times New Roman"/>
          <w:sz w:val="22"/>
          <w:szCs w:val="20"/>
        </w:rPr>
        <w:fldChar w:fldCharType="begin" w:fldLock="1"/>
      </w:r>
      <w:r w:rsidR="00935929" w:rsidRPr="008C10B7">
        <w:rPr>
          <w:rFonts w:cs="Times New Roman"/>
          <w:sz w:val="22"/>
          <w:szCs w:val="20"/>
        </w:rPr>
        <w:instrText>ADDIN CSL_CITATION {"citationItems":[{"id":"ITEM-1","itemData":{"DOI":"10.1016/j.tranpol.2005.11.002","ISSN":"0967070X","abstract":"This paper describes the results of an online survey that examined commuting patterns, potential for change and barriers and motivators affecting transport decisions in a University population (n=1040 students, n=1170 staff). Overall, 21.5% of staff and 46.8% of students at The University of Western Australia regularly used active modes, and potentially an additional 30% of staff and students would switch to active modes. The results suggested that reducing barriers to using active modes, in particular reducing actual and perceived travel time by bus and bicycle would have the greatest impact on commuting patterns. Some policy applications appeared to hold particular promise, including an implementation of a subsidised public transport pass (U-Pass), increased student housing on or near campus, increased cost of parking, and improved bus services and cycle networks. © 2005 Elsevier Ltd. All rights reserved.","author":[{"dropping-particle":"","family":"Shannon","given":"Tya","non-dropping-particle":"","parse-names":false,"suffix":""},{"dropping-particle":"","family":"Giles-Corti","given":"Billie","non-dropping-particle":"","parse-names":false,"suffix":""},{"dropping-particle":"","family":"Pikora","given":"Terri","non-dropping-particle":"","parse-names":false,"suffix":""},{"dropping-particle":"","family":"Bulsara","given":"Max","non-dropping-particle":"","parse-names":false,"suffix":""},{"dropping-particle":"","family":"Shilton","given":"Trevor","non-dropping-particle":"","parse-names":false,"suffix":""},{"dropping-particle":"","family":"Bull","given":"Fiona","non-dropping-particle":"","parse-names":false,"suffix":""}],"container-title":"Transport Policy","id":"ITEM-1","issue":"3","issued":{"date-parts":[["2006","5","1"]]},"page":"240-253","publisher":"Pergamon","title":"Active commuting in a university setting: Assessing commuting habits and potential for modal change","type":"article-journal","volume":"13"},"uris":["http://www.mendeley.com/documents/?uuid=a73755c3-68e4-30c2-be06-0c55bc0aacbd"]}],"mendeley":{"formattedCitation":"(Shannon et al., 2006)","plainTextFormattedCitation":"(Shannon et al., 2006)","previouslyFormattedCitation":"(Shannon et al., 2006)"},"properties":{"noteIndex":0},"schema":"https://github.com/citation-style-language/schema/raw/master/csl-citation.json"}</w:instrText>
      </w:r>
      <w:r w:rsidR="00935929" w:rsidRPr="008C10B7">
        <w:rPr>
          <w:rFonts w:cs="Times New Roman"/>
          <w:sz w:val="22"/>
          <w:szCs w:val="20"/>
        </w:rPr>
        <w:fldChar w:fldCharType="separate"/>
      </w:r>
      <w:r w:rsidR="00935929" w:rsidRPr="008C10B7">
        <w:rPr>
          <w:rFonts w:cs="Times New Roman"/>
          <w:sz w:val="22"/>
          <w:szCs w:val="20"/>
        </w:rPr>
        <w:t>(Shannon et al., 2006)</w:t>
      </w:r>
      <w:r w:rsidR="00935929" w:rsidRPr="008C10B7">
        <w:rPr>
          <w:rFonts w:cs="Times New Roman"/>
          <w:sz w:val="22"/>
          <w:szCs w:val="20"/>
        </w:rPr>
        <w:fldChar w:fldCharType="end"/>
      </w:r>
      <w:r w:rsidR="00935929" w:rsidRPr="008C10B7">
        <w:rPr>
          <w:rFonts w:cs="Times New Roman"/>
          <w:sz w:val="22"/>
          <w:szCs w:val="20"/>
        </w:rPr>
        <w:t xml:space="preserve">. </w:t>
      </w:r>
      <w:r w:rsidR="00711121" w:rsidRPr="008C10B7">
        <w:rPr>
          <w:rFonts w:cs="Times New Roman"/>
          <w:sz w:val="22"/>
          <w:szCs w:val="20"/>
        </w:rPr>
        <w:t xml:space="preserve">Regarding the influence of </w:t>
      </w:r>
      <w:r w:rsidR="003A0575" w:rsidRPr="008C10B7">
        <w:rPr>
          <w:rFonts w:cs="Times New Roman"/>
          <w:sz w:val="22"/>
          <w:szCs w:val="20"/>
        </w:rPr>
        <w:t xml:space="preserve">the </w:t>
      </w:r>
      <w:r w:rsidR="00711121" w:rsidRPr="008C10B7">
        <w:rPr>
          <w:rFonts w:cs="Times New Roman"/>
          <w:sz w:val="22"/>
          <w:szCs w:val="20"/>
        </w:rPr>
        <w:t>campus environment on college students</w:t>
      </w:r>
      <w:r w:rsidR="003A0575" w:rsidRPr="008C10B7">
        <w:rPr>
          <w:rFonts w:cs="Times New Roman"/>
          <w:sz w:val="22"/>
          <w:szCs w:val="20"/>
        </w:rPr>
        <w:t>’</w:t>
      </w:r>
      <w:r w:rsidR="00711121" w:rsidRPr="008C10B7">
        <w:rPr>
          <w:rFonts w:cs="Times New Roman"/>
          <w:sz w:val="22"/>
          <w:szCs w:val="20"/>
        </w:rPr>
        <w:t xml:space="preserve"> travel behaviour</w:t>
      </w:r>
      <w:r w:rsidR="003A0575" w:rsidRPr="008C10B7">
        <w:rPr>
          <w:rFonts w:cs="Times New Roman"/>
          <w:sz w:val="22"/>
          <w:szCs w:val="20"/>
        </w:rPr>
        <w:t>s</w:t>
      </w:r>
      <w:r w:rsidR="00711121" w:rsidRPr="008C10B7">
        <w:rPr>
          <w:rFonts w:cs="Times New Roman"/>
          <w:sz w:val="22"/>
          <w:szCs w:val="20"/>
        </w:rPr>
        <w:t xml:space="preserve">, </w:t>
      </w:r>
      <w:r w:rsidR="00E40AE8" w:rsidRPr="008C10B7">
        <w:rPr>
          <w:rFonts w:cs="Times New Roman"/>
          <w:sz w:val="22"/>
          <w:szCs w:val="20"/>
        </w:rPr>
        <w:t>via a study</w:t>
      </w:r>
      <w:r w:rsidR="003A0575" w:rsidRPr="008C10B7">
        <w:rPr>
          <w:rFonts w:cs="Times New Roman"/>
          <w:sz w:val="22"/>
          <w:szCs w:val="20"/>
        </w:rPr>
        <w:t xml:space="preserve"> of students</w:t>
      </w:r>
      <w:r w:rsidR="00EE202D" w:rsidRPr="008C10B7">
        <w:rPr>
          <w:rFonts w:cs="Times New Roman"/>
          <w:sz w:val="22"/>
          <w:szCs w:val="20"/>
        </w:rPr>
        <w:t xml:space="preserve"> and faculty staff</w:t>
      </w:r>
      <w:r w:rsidR="003A0575" w:rsidRPr="008C10B7">
        <w:rPr>
          <w:rFonts w:cs="Times New Roman"/>
          <w:sz w:val="22"/>
          <w:szCs w:val="20"/>
        </w:rPr>
        <w:t xml:space="preserve"> of the University of North Carolina, USA, </w:t>
      </w:r>
      <w:r w:rsidR="005E5119" w:rsidRPr="008C10B7">
        <w:rPr>
          <w:rFonts w:cs="Times New Roman"/>
          <w:sz w:val="22"/>
          <w:szCs w:val="20"/>
        </w:rPr>
        <w:fldChar w:fldCharType="begin" w:fldLock="1"/>
      </w:r>
      <w:r w:rsidR="005E5119" w:rsidRPr="008C10B7">
        <w:rPr>
          <w:rFonts w:cs="Times New Roman"/>
          <w:sz w:val="22"/>
          <w:szCs w:val="20"/>
        </w:rPr>
        <w:instrText>ADDIN CSL_CITATION {"citationItems":[{"id":"ITEM-1","itemData":{"DOI":"10.1016/j.trd.2003.11.001","ISSN":"13619209","abstract":"By estimating multinomial choice models, this paper examines the relationship between travel mode choice and attributes of the local physical environment such as topography, sidewalk availability, residential density, and the presence of walking and cycling paths. Data for student and staff commuters to the University of North Carolina in Chapel Hill are used to illustrate the relationship between mode choice and the objectively measured environmental attributes, while accounting for typical modal characteristics such as travel time, access time, and out-of-pocket cost. Results suggest that jointly the four attributes of the local physical environment make significant marginal contributions to explaining travel mode choice. In particular, the estimates reveal that local topography and sidewalk availability are significantly associated with the attractiveness of non-motorized modes. Point elasticities are provided and recommendations given regarding the importance of incorporating non-motorized modes into local transportation planning and in the study of how the built environment influences travel behavior. © 2003 Elsevier Ltd. All rights reserved.","author":[{"dropping-particle":"","family":"Rodríguez","given":"Daniel A.","non-dropping-particle":"","parse-names":false,"suffix":""},{"dropping-particle":"","family":"Joo","given":"Joonwon","non-dropping-particle":"","parse-names":false,"suffix":""}],"container-title":"Transportation Research Part D: Transport and Environment","id":"ITEM-1","issue":"2","issued":{"date-parts":[["2004","3","1"]]},"page":"151-173","publisher":"Elsevier Ltd","title":"The relationship between non-motorized mode choice and the local physical environment","type":"article-journal","volume":"9"},"uris":["http://www.mendeley.com/documents/?uuid=882c671c-0387-3e12-8dfe-4c3577dd5955"]}],"mendeley":{"formattedCitation":"(Rodríguez &amp; Joo, 2004)","manualFormatting":"Rodríguez &amp; Joo (2004)","plainTextFormattedCitation":"(Rodríguez &amp; Joo, 2004)","previouslyFormattedCitation":"(Rodríguez &amp; Joo, 2004)"},"properties":{"noteIndex":0},"schema":"https://github.com/citation-style-language/schema/raw/master/csl-citation.json"}</w:instrText>
      </w:r>
      <w:r w:rsidR="005E5119" w:rsidRPr="008C10B7">
        <w:rPr>
          <w:rFonts w:cs="Times New Roman"/>
          <w:sz w:val="22"/>
          <w:szCs w:val="20"/>
        </w:rPr>
        <w:fldChar w:fldCharType="separate"/>
      </w:r>
      <w:r w:rsidR="005E5119" w:rsidRPr="008C10B7">
        <w:rPr>
          <w:rFonts w:cs="Times New Roman"/>
          <w:sz w:val="22"/>
          <w:szCs w:val="20"/>
        </w:rPr>
        <w:t>Rodríguez &amp; Joo (2004)</w:t>
      </w:r>
      <w:r w:rsidR="005E5119" w:rsidRPr="008C10B7">
        <w:rPr>
          <w:rFonts w:cs="Times New Roman"/>
          <w:sz w:val="22"/>
          <w:szCs w:val="20"/>
        </w:rPr>
        <w:fldChar w:fldCharType="end"/>
      </w:r>
      <w:r w:rsidR="005E5119" w:rsidRPr="008C10B7">
        <w:rPr>
          <w:rFonts w:cs="Times New Roman"/>
          <w:sz w:val="22"/>
          <w:szCs w:val="20"/>
        </w:rPr>
        <w:t xml:space="preserve"> found that built environments, such as pavement </w:t>
      </w:r>
      <w:r w:rsidR="00E40AE8" w:rsidRPr="008C10B7">
        <w:rPr>
          <w:rFonts w:cs="Times New Roman"/>
          <w:sz w:val="22"/>
          <w:szCs w:val="20"/>
        </w:rPr>
        <w:t xml:space="preserve">layouts </w:t>
      </w:r>
      <w:r w:rsidR="005E5119" w:rsidRPr="008C10B7">
        <w:rPr>
          <w:rFonts w:cs="Times New Roman"/>
          <w:sz w:val="22"/>
          <w:szCs w:val="20"/>
        </w:rPr>
        <w:t xml:space="preserve">and topography, were strongly associated with </w:t>
      </w:r>
      <w:r w:rsidR="00E40AE8" w:rsidRPr="008C10B7">
        <w:rPr>
          <w:rFonts w:cs="Times New Roman"/>
          <w:sz w:val="22"/>
          <w:szCs w:val="20"/>
        </w:rPr>
        <w:t xml:space="preserve">the tendency to use </w:t>
      </w:r>
      <w:r w:rsidR="0030654E" w:rsidRPr="008C10B7">
        <w:rPr>
          <w:rFonts w:cs="Times New Roman"/>
          <w:sz w:val="22"/>
          <w:szCs w:val="20"/>
        </w:rPr>
        <w:t>AT</w:t>
      </w:r>
      <w:r w:rsidR="005E5119" w:rsidRPr="008C10B7">
        <w:rPr>
          <w:rFonts w:cs="Times New Roman"/>
          <w:sz w:val="22"/>
          <w:szCs w:val="20"/>
        </w:rPr>
        <w:t xml:space="preserve">. </w:t>
      </w:r>
      <w:bookmarkStart w:id="10" w:name="_Hlk100649916"/>
      <w:r w:rsidR="00711121" w:rsidRPr="008C10B7">
        <w:rPr>
          <w:rFonts w:cs="Times New Roman"/>
          <w:sz w:val="22"/>
          <w:szCs w:val="20"/>
        </w:rPr>
        <w:fldChar w:fldCharType="begin" w:fldLock="1"/>
      </w:r>
      <w:r w:rsidR="00B74AD7" w:rsidRPr="008C10B7">
        <w:rPr>
          <w:rFonts w:cs="Times New Roman"/>
          <w:sz w:val="22"/>
          <w:szCs w:val="20"/>
        </w:rPr>
        <w:instrText>ADDIN CSL_CITATION {"citationItems":[{"id":"ITEM-1","itemData":{"DOI":"10.3141/2322-14","ISSN":"0361-1981","abstract":"To improve regional travel demand models, transportation engineers and planners desire appropriate representation of subpopulations. University students are a relatively neglected group of the population, often missed in regional behavioral surveys and not well represented in travel demand models. Many students attending a university reside, take classes, work, and perform other activities in the university environment, which is often mixed use, alternative mode friendly, higher density, and livable. The purpose of this paper is to understand the travel behavior of university students and to model associations with their attributes that include personal characteristics, residential location (residing on campus or off campus), and academic status. The data used in this study are from a unique Internet-based survey (N = 1,468) of students at Old Dominion University in Virginia. This effort was conducted in 2010 and was part of the Virginia University Student Travel Survey (USTS) supplement. With USTS data combined with spatial data, rigorous statistical models of automobile and walk–bicycle trip rates are estimated to explore associated factors. Results showed that students living on campus or near campus were significantly more likely to walk and bicycle and less likely to drive automobiles and indicated the value of living in a campus environment with greater accessibility to activities and a walk- and bicycle-friendly network. The behavioral models provide helpful information that can be used to represent better the behavior of university students in regional travel demand models and to improve strategic transportation planning.","author":[{"dropping-particle":"","family":"Wang","given":"Xin","non-dropping-particle":"","parse-names":false,"suffix":""},{"dropping-particle":"","family":"Khattak","given":"Asad J.","non-dropping-particle":"","parse-names":false,"suffix":""},{"dropping-particle":"","family":"Son","given":"Sanghoon","non-dropping-particle":"","parse-names":false,"suffix":""}],"container-title":"Transportation Research Record: Journal of the Transportation Research Board","id":"ITEM-1","issue":"1","issued":{"date-parts":[["2012","1","1"]]},"page":"129-137","publisher":"National Research Council","title":"What can be Learned from Analyzing University Student Travel Demand?","type":"article-journal","volume":"2322"},"uris":["http://www.mendeley.com/documents/?uuid=8e06cae6-6e75-3685-9d11-73e4bd0a252b"]}],"mendeley":{"formattedCitation":"(X. Wang et al., 2012)","manualFormatting":"Wang et al. (2012)","plainTextFormattedCitation":"(X. Wang et al., 2012)","previouslyFormattedCitation":"(X. Wang et al., 2012)"},"properties":{"noteIndex":0},"schema":"https://github.com/citation-style-language/schema/raw/master/csl-citation.json"}</w:instrText>
      </w:r>
      <w:r w:rsidR="00711121" w:rsidRPr="008C10B7">
        <w:rPr>
          <w:rFonts w:cs="Times New Roman"/>
          <w:sz w:val="22"/>
          <w:szCs w:val="20"/>
        </w:rPr>
        <w:fldChar w:fldCharType="separate"/>
      </w:r>
      <w:r w:rsidR="00711121" w:rsidRPr="008C10B7">
        <w:rPr>
          <w:rFonts w:cs="Times New Roman"/>
          <w:sz w:val="22"/>
          <w:szCs w:val="20"/>
        </w:rPr>
        <w:t>Wang et al. (2012)</w:t>
      </w:r>
      <w:r w:rsidR="00711121" w:rsidRPr="008C10B7">
        <w:rPr>
          <w:rFonts w:cs="Times New Roman"/>
          <w:sz w:val="22"/>
          <w:szCs w:val="20"/>
        </w:rPr>
        <w:fldChar w:fldCharType="end"/>
      </w:r>
      <w:bookmarkEnd w:id="10"/>
      <w:r w:rsidR="00711121" w:rsidRPr="008C10B7">
        <w:rPr>
          <w:rFonts w:cs="Times New Roman"/>
          <w:sz w:val="22"/>
          <w:szCs w:val="20"/>
        </w:rPr>
        <w:t xml:space="preserve"> </w:t>
      </w:r>
      <w:r w:rsidR="003A0575" w:rsidRPr="008C10B7">
        <w:rPr>
          <w:rFonts w:cs="Times New Roman"/>
          <w:sz w:val="22"/>
          <w:szCs w:val="20"/>
        </w:rPr>
        <w:t xml:space="preserve">used </w:t>
      </w:r>
      <w:r w:rsidR="00711121" w:rsidRPr="008C10B7">
        <w:rPr>
          <w:rFonts w:cs="Times New Roman"/>
          <w:sz w:val="22"/>
          <w:szCs w:val="20"/>
        </w:rPr>
        <w:t xml:space="preserve">a web-based survey </w:t>
      </w:r>
      <w:r w:rsidR="003A0575" w:rsidRPr="008C10B7">
        <w:rPr>
          <w:rFonts w:cs="Times New Roman"/>
          <w:sz w:val="22"/>
          <w:szCs w:val="20"/>
        </w:rPr>
        <w:t xml:space="preserve">to demonstrate </w:t>
      </w:r>
      <w:r w:rsidR="00711121" w:rsidRPr="008C10B7">
        <w:rPr>
          <w:rFonts w:cs="Times New Roman"/>
          <w:sz w:val="22"/>
          <w:szCs w:val="20"/>
        </w:rPr>
        <w:t xml:space="preserve">that students who live on or near campus </w:t>
      </w:r>
      <w:r w:rsidR="00E40AE8" w:rsidRPr="008C10B7">
        <w:rPr>
          <w:rFonts w:cs="Times New Roman"/>
          <w:sz w:val="22"/>
          <w:szCs w:val="20"/>
        </w:rPr>
        <w:t>were</w:t>
      </w:r>
      <w:r w:rsidR="00711121" w:rsidRPr="008C10B7">
        <w:rPr>
          <w:rFonts w:cs="Times New Roman"/>
          <w:sz w:val="22"/>
          <w:szCs w:val="20"/>
        </w:rPr>
        <w:t xml:space="preserve"> more </w:t>
      </w:r>
      <w:r w:rsidR="00E40AE8" w:rsidRPr="008C10B7">
        <w:rPr>
          <w:rFonts w:cs="Times New Roman"/>
          <w:sz w:val="22"/>
          <w:szCs w:val="20"/>
        </w:rPr>
        <w:t>likely</w:t>
      </w:r>
      <w:r w:rsidR="00711121" w:rsidRPr="008C10B7">
        <w:rPr>
          <w:rFonts w:cs="Times New Roman"/>
          <w:sz w:val="22"/>
          <w:szCs w:val="20"/>
        </w:rPr>
        <w:t xml:space="preserve"> to choose </w:t>
      </w:r>
      <w:r w:rsidR="0030654E" w:rsidRPr="008C10B7">
        <w:rPr>
          <w:rFonts w:cs="Times New Roman"/>
          <w:sz w:val="22"/>
          <w:szCs w:val="20"/>
        </w:rPr>
        <w:t>AT</w:t>
      </w:r>
      <w:r w:rsidR="00711121" w:rsidRPr="008C10B7">
        <w:rPr>
          <w:rFonts w:cs="Times New Roman"/>
          <w:sz w:val="22"/>
          <w:szCs w:val="20"/>
        </w:rPr>
        <w:t xml:space="preserve"> </w:t>
      </w:r>
      <w:r w:rsidR="00E40AE8" w:rsidRPr="008C10B7">
        <w:rPr>
          <w:rFonts w:cs="Times New Roman"/>
          <w:sz w:val="22"/>
          <w:szCs w:val="20"/>
        </w:rPr>
        <w:t>in preference to</w:t>
      </w:r>
      <w:r w:rsidR="00711121" w:rsidRPr="008C10B7">
        <w:rPr>
          <w:rFonts w:cs="Times New Roman"/>
          <w:sz w:val="22"/>
          <w:szCs w:val="20"/>
        </w:rPr>
        <w:t xml:space="preserve"> motorised travel. Similarly, scholars have pointed out differences </w:t>
      </w:r>
      <w:r w:rsidR="00711121" w:rsidRPr="008C10B7">
        <w:rPr>
          <w:rFonts w:cs="Times New Roman"/>
          <w:sz w:val="22"/>
          <w:szCs w:val="20"/>
        </w:rPr>
        <w:lastRenderedPageBreak/>
        <w:t xml:space="preserve">in travel characteristics between students who attend urban campuses and </w:t>
      </w:r>
      <w:r w:rsidR="00E40AE8" w:rsidRPr="008C10B7">
        <w:rPr>
          <w:rFonts w:cs="Times New Roman"/>
          <w:sz w:val="22"/>
          <w:szCs w:val="20"/>
        </w:rPr>
        <w:t xml:space="preserve">those </w:t>
      </w:r>
      <w:r w:rsidR="00711121" w:rsidRPr="008C10B7">
        <w:rPr>
          <w:rFonts w:cs="Times New Roman"/>
          <w:sz w:val="22"/>
          <w:szCs w:val="20"/>
        </w:rPr>
        <w:t xml:space="preserve">who study </w:t>
      </w:r>
      <w:r w:rsidR="00E40AE8" w:rsidRPr="008C10B7">
        <w:rPr>
          <w:rFonts w:cs="Times New Roman"/>
          <w:sz w:val="22"/>
          <w:szCs w:val="20"/>
        </w:rPr>
        <w:t>at</w:t>
      </w:r>
      <w:r w:rsidR="00711121" w:rsidRPr="008C10B7">
        <w:rPr>
          <w:rFonts w:cs="Times New Roman"/>
          <w:sz w:val="22"/>
          <w:szCs w:val="20"/>
        </w:rPr>
        <w:t xml:space="preserve"> suburban campuses</w:t>
      </w:r>
      <w:r w:rsidR="005E5119" w:rsidRPr="008C10B7">
        <w:rPr>
          <w:rFonts w:cs="Times New Roman"/>
          <w:sz w:val="22"/>
          <w:szCs w:val="20"/>
        </w:rPr>
        <w:t xml:space="preserve"> </w:t>
      </w:r>
      <w:r w:rsidR="005E5119" w:rsidRPr="008C10B7">
        <w:rPr>
          <w:rFonts w:cs="Times New Roman"/>
          <w:sz w:val="22"/>
          <w:szCs w:val="20"/>
        </w:rPr>
        <w:fldChar w:fldCharType="begin" w:fldLock="1"/>
      </w:r>
      <w:r w:rsidR="005E5119" w:rsidRPr="008C10B7">
        <w:rPr>
          <w:rFonts w:cs="Times New Roman"/>
          <w:sz w:val="22"/>
          <w:szCs w:val="20"/>
        </w:rPr>
        <w:instrText>ADDIN CSL_CITATION {"citationItems":[{"id":"ITEM-1","itemData":{"DOI":"10.3141/2255-15","ISSN":"0361-1981","abstract":"To improve regional travel demand models, transportation engineers and planners want to represent subpopulations appropriately. A key segment of the population is university students, and their behavior is neither well understood nor well represented in travel demand models. Furthermore, universities provide a unique context for behavioral research because they are livable, are friendly to alternative travel modes, have a higher density than other contexts, and offer mixed travel modes. This study collected and analyzed data on the travel behavior of university students. With the use of an Internet-based survey instrument, the study collected data on travel behavior, sociodemographics, and context variables at four major universities in Virginia. This paper provides information about the design and implementation of the survey, the instrument structure, and a descriptive analysis of students' personal and travel characteristics. The results indicated that the sociodemographics and travel behavior of university students were different from those of the general population. Moreover, differences in travel behavior were found between students living on campus and students living off campus and between students attending urban campuses and those attending suburban campuses. The insights gained from this study serve as a basis for further such surveys and help provide an understanding of travel behavior in and around university campuses.","author":[{"dropping-particle":"","family":"Khattak","given":"Asad","non-dropping-particle":"","parse-names":false,"suffix":""},{"dropping-particle":"","family":"Wang","given":"Xin","non-dropping-particle":"","parse-names":false,"suffix":""},{"dropping-particle":"","family":"Son","given":"Sanghoon","non-dropping-particle":"","parse-names":false,"suffix":""},{"dropping-particle":"","family":"Agnello","given":"Paul","non-dropping-particle":"","parse-names":false,"suffix":""}],"container-title":"Transportation Research Record: Journal of the Transportation Research Board","id":"ITEM-1","issue":"1","issued":{"date-parts":[["2011","1","1"]]},"page":"137-145","publisher":"SAGE PublicationsSage CA: Los Angeles, CA","title":"Travel by University Students in Virginia","type":"article-journal","volume":"2255"},"uris":["http://www.mendeley.com/documents/?uuid=f4e897ab-d5a8-3112-a5b0-b120020eac0c"]}],"mendeley":{"formattedCitation":"(Khattak et al., 2011)","plainTextFormattedCitation":"(Khattak et al., 2011)","previouslyFormattedCitation":"(Khattak et al., 2011)"},"properties":{"noteIndex":0},"schema":"https://github.com/citation-style-language/schema/raw/master/csl-citation.json"}</w:instrText>
      </w:r>
      <w:r w:rsidR="005E5119" w:rsidRPr="008C10B7">
        <w:rPr>
          <w:rFonts w:cs="Times New Roman"/>
          <w:sz w:val="22"/>
          <w:szCs w:val="20"/>
        </w:rPr>
        <w:fldChar w:fldCharType="separate"/>
      </w:r>
      <w:r w:rsidR="005E5119" w:rsidRPr="008C10B7">
        <w:rPr>
          <w:rFonts w:cs="Times New Roman"/>
          <w:sz w:val="22"/>
          <w:szCs w:val="20"/>
        </w:rPr>
        <w:t>(</w:t>
      </w:r>
      <w:bookmarkStart w:id="11" w:name="_Hlk100649926"/>
      <w:r w:rsidR="005E5119" w:rsidRPr="008C10B7">
        <w:rPr>
          <w:rFonts w:cs="Times New Roman"/>
          <w:sz w:val="22"/>
          <w:szCs w:val="20"/>
        </w:rPr>
        <w:t>Khattak et al., 2011</w:t>
      </w:r>
      <w:bookmarkEnd w:id="11"/>
      <w:r w:rsidR="005E5119" w:rsidRPr="008C10B7">
        <w:rPr>
          <w:rFonts w:cs="Times New Roman"/>
          <w:sz w:val="22"/>
          <w:szCs w:val="20"/>
        </w:rPr>
        <w:t>)</w:t>
      </w:r>
      <w:r w:rsidR="005E5119" w:rsidRPr="008C10B7">
        <w:rPr>
          <w:rFonts w:cs="Times New Roman"/>
          <w:sz w:val="22"/>
          <w:szCs w:val="20"/>
        </w:rPr>
        <w:fldChar w:fldCharType="end"/>
      </w:r>
      <w:r w:rsidR="00711121" w:rsidRPr="008C10B7">
        <w:rPr>
          <w:rFonts w:cs="Times New Roman"/>
          <w:sz w:val="22"/>
          <w:szCs w:val="20"/>
        </w:rPr>
        <w:t xml:space="preserve">. By taking Canadian university students as an example, </w:t>
      </w:r>
      <w:bookmarkStart w:id="12" w:name="_Hlk100649936"/>
      <w:r w:rsidR="002923BE" w:rsidRPr="008C10B7">
        <w:rPr>
          <w:rFonts w:cs="Times New Roman"/>
          <w:sz w:val="22"/>
          <w:szCs w:val="20"/>
        </w:rPr>
        <w:t>Cole</w:t>
      </w:r>
      <w:r w:rsidR="005E5119" w:rsidRPr="008C10B7">
        <w:rPr>
          <w:rFonts w:cs="Times New Roman"/>
          <w:sz w:val="22"/>
          <w:szCs w:val="20"/>
        </w:rPr>
        <w:t xml:space="preserve"> (2003)</w:t>
      </w:r>
      <w:bookmarkEnd w:id="12"/>
      <w:r w:rsidR="00CE19F9" w:rsidRPr="008C10B7">
        <w:rPr>
          <w:rFonts w:cs="Times New Roman"/>
          <w:sz w:val="22"/>
          <w:szCs w:val="20"/>
        </w:rPr>
        <w:t xml:space="preserve"> </w:t>
      </w:r>
      <w:r w:rsidR="00711121" w:rsidRPr="008C10B7">
        <w:rPr>
          <w:rFonts w:cs="Times New Roman"/>
          <w:sz w:val="22"/>
          <w:szCs w:val="20"/>
        </w:rPr>
        <w:t xml:space="preserve">found that travel costs </w:t>
      </w:r>
      <w:r w:rsidR="003A0575" w:rsidRPr="008C10B7">
        <w:rPr>
          <w:rFonts w:cs="Times New Roman"/>
          <w:sz w:val="22"/>
          <w:szCs w:val="20"/>
        </w:rPr>
        <w:t>and</w:t>
      </w:r>
      <w:r w:rsidR="00711121" w:rsidRPr="008C10B7">
        <w:rPr>
          <w:rFonts w:cs="Times New Roman"/>
          <w:sz w:val="22"/>
          <w:szCs w:val="20"/>
        </w:rPr>
        <w:t xml:space="preserve"> street environment factors </w:t>
      </w:r>
      <w:r w:rsidR="00597AB1" w:rsidRPr="008C10B7">
        <w:rPr>
          <w:rFonts w:cs="Times New Roman"/>
          <w:sz w:val="22"/>
          <w:szCs w:val="20"/>
        </w:rPr>
        <w:t>impacted</w:t>
      </w:r>
      <w:r w:rsidR="00711121" w:rsidRPr="008C10B7">
        <w:rPr>
          <w:rFonts w:cs="Times New Roman"/>
          <w:sz w:val="22"/>
          <w:szCs w:val="20"/>
        </w:rPr>
        <w:t xml:space="preserve"> </w:t>
      </w:r>
      <w:r w:rsidR="00E40AE8" w:rsidRPr="008C10B7">
        <w:rPr>
          <w:rFonts w:cs="Times New Roman"/>
          <w:sz w:val="22"/>
          <w:szCs w:val="20"/>
        </w:rPr>
        <w:t xml:space="preserve">on </w:t>
      </w:r>
      <w:r w:rsidR="00711121" w:rsidRPr="008C10B7">
        <w:rPr>
          <w:rFonts w:cs="Times New Roman"/>
          <w:sz w:val="22"/>
          <w:szCs w:val="20"/>
        </w:rPr>
        <w:t>students</w:t>
      </w:r>
      <w:r w:rsidR="003A0575" w:rsidRPr="008C10B7">
        <w:rPr>
          <w:rFonts w:cs="Times New Roman"/>
          <w:sz w:val="22"/>
          <w:szCs w:val="20"/>
        </w:rPr>
        <w:t>’</w:t>
      </w:r>
      <w:r w:rsidR="00711121" w:rsidRPr="008C10B7">
        <w:rPr>
          <w:rFonts w:cs="Times New Roman"/>
          <w:sz w:val="22"/>
          <w:szCs w:val="20"/>
        </w:rPr>
        <w:t xml:space="preserve"> travel mode choices.</w:t>
      </w:r>
    </w:p>
    <w:p w14:paraId="34E00AF5" w14:textId="3C72DBFC" w:rsidR="0022786F" w:rsidRPr="008C10B7" w:rsidRDefault="003A0575" w:rsidP="00E7001C">
      <w:pPr>
        <w:spacing w:line="360" w:lineRule="auto"/>
        <w:ind w:firstLine="420"/>
        <w:jc w:val="both"/>
        <w:rPr>
          <w:rFonts w:cs="Times New Roman"/>
          <w:sz w:val="22"/>
          <w:szCs w:val="20"/>
        </w:rPr>
      </w:pPr>
      <w:r w:rsidRPr="008C10B7">
        <w:rPr>
          <w:rFonts w:cs="Times New Roman"/>
          <w:sz w:val="22"/>
          <w:szCs w:val="20"/>
        </w:rPr>
        <w:t>In</w:t>
      </w:r>
      <w:r w:rsidR="0022786F" w:rsidRPr="008C10B7">
        <w:rPr>
          <w:rFonts w:cs="Times New Roman"/>
          <w:sz w:val="22"/>
          <w:szCs w:val="20"/>
        </w:rPr>
        <w:t xml:space="preserve"> China, university campuses are relatively </w:t>
      </w:r>
      <w:r w:rsidR="00FB355B" w:rsidRPr="008C10B7">
        <w:rPr>
          <w:rFonts w:cs="Times New Roman"/>
          <w:sz w:val="22"/>
          <w:szCs w:val="20"/>
        </w:rPr>
        <w:t>'</w:t>
      </w:r>
      <w:r w:rsidR="00FB355B" w:rsidRPr="008C10B7">
        <w:rPr>
          <w:rFonts w:cs="Times New Roman" w:hint="eastAsia"/>
          <w:sz w:val="22"/>
          <w:szCs w:val="20"/>
        </w:rPr>
        <w:t>inde</w:t>
      </w:r>
      <w:r w:rsidR="00FB355B" w:rsidRPr="008C10B7">
        <w:rPr>
          <w:rFonts w:cs="Times New Roman"/>
          <w:sz w:val="22"/>
          <w:szCs w:val="20"/>
        </w:rPr>
        <w:t>pendent'</w:t>
      </w:r>
      <w:r w:rsidR="0022786F" w:rsidRPr="008C10B7">
        <w:rPr>
          <w:rFonts w:cs="Times New Roman"/>
          <w:sz w:val="22"/>
          <w:szCs w:val="20"/>
        </w:rPr>
        <w:t xml:space="preserve"> </w:t>
      </w:r>
      <w:r w:rsidR="00FB355B" w:rsidRPr="008C10B7">
        <w:rPr>
          <w:rFonts w:cs="Times New Roman"/>
          <w:sz w:val="22"/>
          <w:szCs w:val="20"/>
        </w:rPr>
        <w:t>communities</w:t>
      </w:r>
      <w:r w:rsidR="0022786F" w:rsidRPr="008C10B7">
        <w:rPr>
          <w:rFonts w:cs="Times New Roman"/>
          <w:sz w:val="22"/>
          <w:szCs w:val="20"/>
        </w:rPr>
        <w:t xml:space="preserve">, </w:t>
      </w:r>
      <w:r w:rsidR="00E40AE8" w:rsidRPr="008C10B7">
        <w:rPr>
          <w:rFonts w:cs="Times New Roman"/>
          <w:sz w:val="22"/>
          <w:szCs w:val="20"/>
        </w:rPr>
        <w:t>and are</w:t>
      </w:r>
      <w:r w:rsidR="0022786F" w:rsidRPr="008C10B7">
        <w:rPr>
          <w:rFonts w:cs="Times New Roman"/>
          <w:sz w:val="22"/>
          <w:szCs w:val="20"/>
        </w:rPr>
        <w:t xml:space="preserve"> often cut off from the external transport network </w:t>
      </w:r>
      <w:r w:rsidR="00E40AE8" w:rsidRPr="008C10B7">
        <w:rPr>
          <w:rFonts w:cs="Times New Roman"/>
          <w:sz w:val="22"/>
          <w:szCs w:val="20"/>
        </w:rPr>
        <w:t xml:space="preserve">by boundary walls </w:t>
      </w:r>
      <w:r w:rsidR="0022786F" w:rsidRPr="008C10B7">
        <w:rPr>
          <w:rFonts w:cs="Times New Roman"/>
          <w:sz w:val="22"/>
          <w:szCs w:val="20"/>
        </w:rPr>
        <w:fldChar w:fldCharType="begin" w:fldLock="1"/>
      </w:r>
      <w:r w:rsidR="0022786F" w:rsidRPr="008C10B7">
        <w:rPr>
          <w:rFonts w:cs="Times New Roman"/>
          <w:sz w:val="22"/>
          <w:szCs w:val="20"/>
        </w:rPr>
        <w:instrText>ADDIN CSL_CITATION {"citationItems":[{"id":"ITEM-1","itemData":{"DOI":"10.1371/journal.pone.0027140","ISSN":"1932-6203","abstract":"Objective: To test whether the incidence of common colds among college students in China is associated with ventilation rates and crowdedness in dormitories. Methods: In Phase I of the study, a cross-sectional study, 3712 students living in 1569 dorm rooms in 13 buildings responded to a questionnaire about incidence and duration of common colds in the previous 12 months. In Phase II, air temperature, relative humidity and CO 2 concentration were measured for 24 hours in 238 dorm rooms in 13 buildings, during both summer and winter. Out-to indoor air flow rates at night were calculated based on measured CO 2 concentrations. Results: In Phase I, 10% of college students reported an incidence of more than 6 common colds in the previous 12 months, and 15% reported that each infection usually lasted for more than 2 weeks. Students in 6-person dorm rooms were about 2 times as likely to have an incidence of common colds ≥6 times per year and a duration ≥2 weeks, compared to students in 3-person rooms. In Phase II, 90% of the measured dorm rooms had an out-to indoor air flow rate less than the Chinese standard of 8.3 L/s per person during the heating season. There was a dose-response relationship between out-to indoor air flow rate per person in dorm rooms and the proportion of occupants with annual common cold infections ≥6 times. A mean ventilation rate of 5 L/(s•person) in dorm buildings was associated with 5% of self reported common cold ≥6 times, compared to 35% at 1 L/(s•person). Conclusion: Crowded dormitories with low out-to indoor airflow rates are associated with more respiratory infections among college students. © 2011 Sun et al.","author":[{"dropping-particle":"","family":"Sun","given":"Yuexia","non-dropping-particle":"","parse-names":false,"suffix":""},{"dropping-particle":"","family":"Wang","given":"Zhigang","non-dropping-particle":"","parse-names":false,"suffix":""},{"dropping-particle":"","family":"Zhang","given":"Yufeng","non-dropping-particle":"","parse-names":false,"suffix":""},{"dropping-particle":"","family":"Sundell","given":"Jan","non-dropping-particle":"","parse-names":false,"suffix":""}],"container-title":"PLoS ONE","editor":[{"dropping-particle":"","family":"Semple","given":"Malcolm Gracie","non-dropping-particle":"","parse-names":false,"suffix":""}],"id":"ITEM-1","issue":"11","issued":{"date-parts":[["2011","11","16"]]},"page":"e27140","publisher":"Public Library of Science","title":"In China, Students in Crowded Dormitories with a Low Ventilation Rate Have More Common Colds: Evidence for Airborne Transmission","type":"article-journal","volume":"6"},"uris":["http://www.mendeley.com/documents/?uuid=7a0e20d2-d050-3839-86db-657159905edd"]}],"mendeley":{"formattedCitation":"(Yuexia Sun et al., 2011)","manualFormatting":"(Sun et al., 2011)","plainTextFormattedCitation":"(Yuexia Sun et al., 2011)","previouslyFormattedCitation":"(Yuexia Sun et al., 2011)"},"properties":{"noteIndex":0},"schema":"https://github.com/citation-style-language/schema/raw/master/csl-citation.json"}</w:instrText>
      </w:r>
      <w:r w:rsidR="0022786F" w:rsidRPr="008C10B7">
        <w:rPr>
          <w:rFonts w:cs="Times New Roman"/>
          <w:sz w:val="22"/>
          <w:szCs w:val="20"/>
        </w:rPr>
        <w:fldChar w:fldCharType="separate"/>
      </w:r>
      <w:r w:rsidR="0022786F" w:rsidRPr="008C10B7">
        <w:rPr>
          <w:rFonts w:cs="Times New Roman"/>
          <w:sz w:val="22"/>
          <w:szCs w:val="20"/>
        </w:rPr>
        <w:t>(Sun et al., 2011)</w:t>
      </w:r>
      <w:r w:rsidR="0022786F" w:rsidRPr="008C10B7">
        <w:rPr>
          <w:rFonts w:cs="Times New Roman"/>
          <w:sz w:val="22"/>
          <w:szCs w:val="20"/>
        </w:rPr>
        <w:fldChar w:fldCharType="end"/>
      </w:r>
      <w:r w:rsidR="00FB355B" w:rsidRPr="008C10B7">
        <w:rPr>
          <w:rFonts w:cs="Times New Roman"/>
          <w:sz w:val="22"/>
          <w:szCs w:val="20"/>
        </w:rPr>
        <w:t xml:space="preserve">, </w:t>
      </w:r>
      <w:r w:rsidR="00D27B6E" w:rsidRPr="008C10B7">
        <w:rPr>
          <w:rFonts w:cs="Times New Roman"/>
          <w:sz w:val="22"/>
          <w:szCs w:val="20"/>
        </w:rPr>
        <w:t xml:space="preserve">regardless of </w:t>
      </w:r>
      <w:r w:rsidR="0004079E" w:rsidRPr="008C10B7">
        <w:rPr>
          <w:rFonts w:cs="Times New Roman"/>
          <w:sz w:val="22"/>
          <w:szCs w:val="20"/>
        </w:rPr>
        <w:t>whether the university is built in an urban or rural area</w:t>
      </w:r>
      <w:r w:rsidR="0022786F" w:rsidRPr="008C10B7">
        <w:rPr>
          <w:rFonts w:cs="Times New Roman"/>
          <w:sz w:val="22"/>
          <w:szCs w:val="20"/>
        </w:rPr>
        <w:t xml:space="preserve">. </w:t>
      </w:r>
      <w:bookmarkStart w:id="13" w:name="_Hlk100564018"/>
      <w:r w:rsidR="007D6676" w:rsidRPr="008C10B7">
        <w:rPr>
          <w:rFonts w:cs="Times New Roman"/>
          <w:sz w:val="22"/>
          <w:szCs w:val="20"/>
        </w:rPr>
        <w:t xml:space="preserve">Historically, </w:t>
      </w:r>
      <w:r w:rsidR="00E40AE8" w:rsidRPr="008C10B7">
        <w:rPr>
          <w:rFonts w:cs="Times New Roman"/>
          <w:sz w:val="22"/>
          <w:szCs w:val="20"/>
        </w:rPr>
        <w:t xml:space="preserve">Chinese universities were constructed </w:t>
      </w:r>
      <w:r w:rsidR="00437E05" w:rsidRPr="008C10B7">
        <w:rPr>
          <w:rFonts w:cs="Times New Roman"/>
          <w:sz w:val="22"/>
          <w:szCs w:val="20"/>
        </w:rPr>
        <w:t xml:space="preserve">and governed </w:t>
      </w:r>
      <w:r w:rsidR="00D27B6E" w:rsidRPr="008C10B7">
        <w:rPr>
          <w:rFonts w:cs="Times New Roman"/>
          <w:sz w:val="22"/>
          <w:szCs w:val="20"/>
        </w:rPr>
        <w:t>by</w:t>
      </w:r>
      <w:r w:rsidR="00437E05" w:rsidRPr="008C10B7">
        <w:rPr>
          <w:rFonts w:cs="Times New Roman"/>
          <w:sz w:val="22"/>
          <w:szCs w:val="20"/>
        </w:rPr>
        <w:t xml:space="preserve"> a centralised government-run system, </w:t>
      </w:r>
      <w:r w:rsidR="00E40AE8" w:rsidRPr="008C10B7">
        <w:rPr>
          <w:rFonts w:cs="Times New Roman"/>
          <w:sz w:val="22"/>
          <w:szCs w:val="20"/>
        </w:rPr>
        <w:t>which</w:t>
      </w:r>
      <w:r w:rsidR="0022786F" w:rsidRPr="008C10B7">
        <w:rPr>
          <w:rFonts w:cs="Times New Roman"/>
          <w:sz w:val="22"/>
          <w:szCs w:val="20"/>
        </w:rPr>
        <w:t xml:space="preserve"> originated in the mid-1950s, </w:t>
      </w:r>
      <w:r w:rsidR="00E40AE8" w:rsidRPr="008C10B7">
        <w:rPr>
          <w:rFonts w:cs="Times New Roman"/>
          <w:sz w:val="22"/>
          <w:szCs w:val="20"/>
        </w:rPr>
        <w:t xml:space="preserve">and typically were </w:t>
      </w:r>
      <w:r w:rsidR="0022786F" w:rsidRPr="008C10B7">
        <w:rPr>
          <w:rFonts w:cs="Times New Roman"/>
          <w:sz w:val="22"/>
          <w:szCs w:val="20"/>
        </w:rPr>
        <w:t>spatially separated from the</w:t>
      </w:r>
      <w:r w:rsidR="00E40AE8" w:rsidRPr="008C10B7">
        <w:rPr>
          <w:rFonts w:cs="Times New Roman"/>
          <w:sz w:val="22"/>
          <w:szCs w:val="20"/>
        </w:rPr>
        <w:t xml:space="preserve"> surrounding</w:t>
      </w:r>
      <w:r w:rsidR="0022786F" w:rsidRPr="008C10B7">
        <w:rPr>
          <w:rFonts w:cs="Times New Roman"/>
          <w:sz w:val="22"/>
          <w:szCs w:val="20"/>
        </w:rPr>
        <w:t xml:space="preserve"> urban living space</w:t>
      </w:r>
      <w:r w:rsidR="00E40AE8" w:rsidRPr="008C10B7">
        <w:rPr>
          <w:rFonts w:cs="Times New Roman"/>
          <w:sz w:val="22"/>
          <w:szCs w:val="20"/>
        </w:rPr>
        <w:t xml:space="preserve"> by walls and gates</w:t>
      </w:r>
      <w:r w:rsidR="0022786F" w:rsidRPr="008C10B7">
        <w:rPr>
          <w:rFonts w:cs="Times New Roman"/>
          <w:sz w:val="22"/>
          <w:szCs w:val="20"/>
        </w:rPr>
        <w:t xml:space="preserve"> </w:t>
      </w:r>
      <w:r w:rsidR="0022786F" w:rsidRPr="008C10B7">
        <w:rPr>
          <w:rFonts w:cs="Times New Roman"/>
          <w:sz w:val="22"/>
          <w:szCs w:val="20"/>
        </w:rPr>
        <w:fldChar w:fldCharType="begin" w:fldLock="1"/>
      </w:r>
      <w:r w:rsidR="0022786F" w:rsidRPr="008C10B7">
        <w:rPr>
          <w:rFonts w:cs="Times New Roman"/>
          <w:sz w:val="22"/>
          <w:szCs w:val="20"/>
        </w:rPr>
        <w:instrText>ADDIN CSL_CITATION {"citationItems":[{"id":"ITEM-1","itemData":{"DOI":"10.1080/1360080X.2017.1300122","ISSN":"14699508","abstract":"This paper examines institutional governance of the public university in China, investigating the extent to which government has sponsored the autonomy of universities since the inception of the opening up reforms of 1978. The paper sets out to explain how the party governance system of China is interconnected with aspects of the university’s governance, little commented upon in academic literature outside of China. In particular, it explores how the Presidential Accountability System under the leadership of the University Committee of Communist Party (UCCP) operates.","author":[{"dropping-particle":"","family":"Liu","given":"Xu","non-dropping-particle":"","parse-names":false,"suffix":""}],"container-title":"Journal of Higher Education Policy and Management","id":"ITEM-1","issue":"3","issued":{"date-parts":[["2017","5","4"]]},"page":"266-281","publisher":"Routledge","title":"The governance in the development of public universities in China","type":"article-journal","volume":"39"},"uris":["http://www.mendeley.com/documents/?uuid=53b1c825-5f39-3569-b772-cd2f12900973"]}],"mendeley":{"formattedCitation":"(X. Liu, 2017)","manualFormatting":"(Liu, 2017)","plainTextFormattedCitation":"(X. Liu, 2017)","previouslyFormattedCitation":"(X. Liu, 2017)"},"properties":{"noteIndex":0},"schema":"https://github.com/citation-style-language/schema/raw/master/csl-citation.json"}</w:instrText>
      </w:r>
      <w:r w:rsidR="0022786F" w:rsidRPr="008C10B7">
        <w:rPr>
          <w:rFonts w:cs="Times New Roman"/>
          <w:sz w:val="22"/>
          <w:szCs w:val="20"/>
        </w:rPr>
        <w:fldChar w:fldCharType="separate"/>
      </w:r>
      <w:r w:rsidR="0022786F" w:rsidRPr="008C10B7">
        <w:rPr>
          <w:rFonts w:cs="Times New Roman"/>
          <w:sz w:val="22"/>
          <w:szCs w:val="20"/>
        </w:rPr>
        <w:t>(Liu, 2017)</w:t>
      </w:r>
      <w:r w:rsidR="0022786F" w:rsidRPr="008C10B7">
        <w:rPr>
          <w:rFonts w:cs="Times New Roman"/>
          <w:sz w:val="22"/>
          <w:szCs w:val="20"/>
        </w:rPr>
        <w:fldChar w:fldCharType="end"/>
      </w:r>
      <w:r w:rsidR="0022786F" w:rsidRPr="008C10B7">
        <w:rPr>
          <w:rFonts w:cs="Times New Roman"/>
          <w:sz w:val="22"/>
          <w:szCs w:val="20"/>
        </w:rPr>
        <w:t>.</w:t>
      </w:r>
      <w:bookmarkEnd w:id="13"/>
      <w:r w:rsidR="0022786F" w:rsidRPr="008C10B7">
        <w:rPr>
          <w:rFonts w:cs="Times New Roman"/>
          <w:sz w:val="22"/>
          <w:szCs w:val="20"/>
        </w:rPr>
        <w:t xml:space="preserve"> The Chinese central or provincial governments that fund these universities play a crucial role in their operations and governance, with accommodation and other resources on campus mostly provided to university students </w:t>
      </w:r>
      <w:r w:rsidR="00442963" w:rsidRPr="008C10B7">
        <w:rPr>
          <w:rFonts w:cs="Times New Roman"/>
          <w:sz w:val="22"/>
          <w:szCs w:val="20"/>
        </w:rPr>
        <w:t xml:space="preserve">in the form of </w:t>
      </w:r>
      <w:r w:rsidR="0022786F" w:rsidRPr="008C10B7">
        <w:rPr>
          <w:rFonts w:cs="Times New Roman"/>
          <w:sz w:val="22"/>
          <w:szCs w:val="20"/>
        </w:rPr>
        <w:t xml:space="preserve">welfare </w:t>
      </w:r>
      <w:r w:rsidR="0022786F" w:rsidRPr="008C10B7">
        <w:rPr>
          <w:rFonts w:cs="Times New Roman"/>
          <w:sz w:val="22"/>
          <w:szCs w:val="20"/>
        </w:rPr>
        <w:fldChar w:fldCharType="begin" w:fldLock="1"/>
      </w:r>
      <w:r w:rsidR="0022786F" w:rsidRPr="008C10B7">
        <w:rPr>
          <w:rFonts w:cs="Times New Roman"/>
          <w:sz w:val="22"/>
          <w:szCs w:val="20"/>
        </w:rPr>
        <w:instrText>ADDIN CSL_CITATION {"citationItems":[{"id":"ITEM-1","itemData":{"DOI":"10.1080/1360080X.2017.1300122","ISSN":"14699508","abstract":"This paper examines institutional governance of the public university in China, investigating the extent to which government has sponsored the autonomy of universities since the inception of the opening up reforms of 1978. The paper sets out to explain how the party governance system of China is interconnected with aspects of the university’s governance, little commented upon in academic literature outside of China. In particular, it explores how the Presidential Accountability System under the leadership of the University Committee of Communist Party (UCCP) operates.","author":[{"dropping-particle":"","family":"Liu","given":"Xu","non-dropping-particle":"","parse-names":false,"suffix":""}],"container-title":"Journal of Higher Education Policy and Management","id":"ITEM-1","issue":"3","issued":{"date-parts":[["2017","5","4"]]},"page":"266-281","publisher":"Routledge","title":"The governance in the development of public universities in China","type":"article-journal","volume":"39"},"uris":["http://www.mendeley.com/documents/?uuid=53b1c825-5f39-3569-b772-cd2f12900973"]}],"mendeley":{"formattedCitation":"(X. Liu, 2017)","manualFormatting":"(Liu, 2017)","plainTextFormattedCitation":"(X. Liu, 2017)","previouslyFormattedCitation":"(X. Liu, 2017)"},"properties":{"noteIndex":0},"schema":"https://github.com/citation-style-language/schema/raw/master/csl-citation.json"}</w:instrText>
      </w:r>
      <w:r w:rsidR="0022786F" w:rsidRPr="008C10B7">
        <w:rPr>
          <w:rFonts w:cs="Times New Roman"/>
          <w:sz w:val="22"/>
          <w:szCs w:val="20"/>
        </w:rPr>
        <w:fldChar w:fldCharType="separate"/>
      </w:r>
      <w:r w:rsidR="0022786F" w:rsidRPr="008C10B7">
        <w:rPr>
          <w:rFonts w:cs="Times New Roman"/>
          <w:sz w:val="22"/>
          <w:szCs w:val="20"/>
        </w:rPr>
        <w:t>(Liu, 2017)</w:t>
      </w:r>
      <w:r w:rsidR="0022786F" w:rsidRPr="008C10B7">
        <w:rPr>
          <w:rFonts w:cs="Times New Roman"/>
          <w:sz w:val="22"/>
          <w:szCs w:val="20"/>
        </w:rPr>
        <w:fldChar w:fldCharType="end"/>
      </w:r>
      <w:r w:rsidR="0022786F" w:rsidRPr="008C10B7">
        <w:rPr>
          <w:rFonts w:cs="Times New Roman"/>
          <w:sz w:val="22"/>
          <w:szCs w:val="20"/>
        </w:rPr>
        <w:t xml:space="preserve">. </w:t>
      </w:r>
      <w:r w:rsidR="00442963" w:rsidRPr="008C10B7">
        <w:rPr>
          <w:rFonts w:cs="Times New Roman"/>
          <w:sz w:val="22"/>
          <w:szCs w:val="20"/>
        </w:rPr>
        <w:t xml:space="preserve">This </w:t>
      </w:r>
      <w:r w:rsidR="0022786F" w:rsidRPr="008C10B7">
        <w:rPr>
          <w:rFonts w:cs="Times New Roman"/>
          <w:sz w:val="22"/>
          <w:szCs w:val="20"/>
        </w:rPr>
        <w:t xml:space="preserve">model of governance implies that Chinese universities are spatially independent </w:t>
      </w:r>
      <w:r w:rsidR="00442963" w:rsidRPr="008C10B7">
        <w:rPr>
          <w:rFonts w:cs="Times New Roman"/>
          <w:sz w:val="22"/>
          <w:szCs w:val="20"/>
        </w:rPr>
        <w:t>from</w:t>
      </w:r>
      <w:r w:rsidR="0022786F" w:rsidRPr="008C10B7">
        <w:rPr>
          <w:rFonts w:cs="Times New Roman"/>
          <w:sz w:val="22"/>
          <w:szCs w:val="20"/>
        </w:rPr>
        <w:t xml:space="preserve"> other organisations. Therefore, the travel patterns inside gated university campuses </w:t>
      </w:r>
      <w:r w:rsidR="007D6676" w:rsidRPr="008C10B7">
        <w:rPr>
          <w:rFonts w:cs="Times New Roman"/>
          <w:sz w:val="22"/>
          <w:szCs w:val="20"/>
        </w:rPr>
        <w:t>are</w:t>
      </w:r>
      <w:r w:rsidR="0022786F" w:rsidRPr="008C10B7">
        <w:rPr>
          <w:rFonts w:cs="Times New Roman"/>
          <w:sz w:val="22"/>
          <w:szCs w:val="20"/>
        </w:rPr>
        <w:t xml:space="preserve"> dramatically different from </w:t>
      </w:r>
      <w:r w:rsidR="00442963" w:rsidRPr="008C10B7">
        <w:rPr>
          <w:rFonts w:cs="Times New Roman"/>
          <w:sz w:val="22"/>
          <w:szCs w:val="20"/>
        </w:rPr>
        <w:t xml:space="preserve">those of </w:t>
      </w:r>
      <w:r w:rsidR="0022786F" w:rsidRPr="008C10B7">
        <w:rPr>
          <w:rFonts w:cs="Times New Roman"/>
          <w:sz w:val="22"/>
          <w:szCs w:val="20"/>
        </w:rPr>
        <w:t>open campuses,</w:t>
      </w:r>
      <w:r w:rsidR="0022786F" w:rsidRPr="008C10B7">
        <w:rPr>
          <w:rFonts w:cs="Times New Roman"/>
          <w:sz w:val="22"/>
          <w:szCs w:val="22"/>
        </w:rPr>
        <w:t xml:space="preserve"> </w:t>
      </w:r>
      <w:r w:rsidR="0022786F" w:rsidRPr="008C10B7">
        <w:rPr>
          <w:rFonts w:cs="Times New Roman"/>
          <w:sz w:val="22"/>
          <w:szCs w:val="20"/>
        </w:rPr>
        <w:t xml:space="preserve">making local transport planning and management difficult. </w:t>
      </w:r>
    </w:p>
    <w:p w14:paraId="6DE6412E" w14:textId="0A8FBB6E" w:rsidR="00336C6D" w:rsidRPr="008C10B7" w:rsidRDefault="00711121" w:rsidP="00336C6D">
      <w:pPr>
        <w:spacing w:line="360" w:lineRule="auto"/>
        <w:ind w:firstLine="420"/>
        <w:jc w:val="both"/>
        <w:rPr>
          <w:rFonts w:cs="Times New Roman"/>
          <w:sz w:val="22"/>
          <w:szCs w:val="20"/>
        </w:rPr>
      </w:pPr>
      <w:r w:rsidRPr="008C10B7">
        <w:rPr>
          <w:rFonts w:cs="Times New Roman"/>
          <w:sz w:val="22"/>
          <w:szCs w:val="20"/>
        </w:rPr>
        <w:t>Cycling</w:t>
      </w:r>
      <w:r w:rsidR="00442963" w:rsidRPr="008C10B7">
        <w:rPr>
          <w:rFonts w:cs="Times New Roman"/>
          <w:sz w:val="22"/>
          <w:szCs w:val="20"/>
        </w:rPr>
        <w:t>,</w:t>
      </w:r>
      <w:r w:rsidRPr="008C10B7">
        <w:rPr>
          <w:rFonts w:cs="Times New Roman"/>
          <w:sz w:val="22"/>
          <w:szCs w:val="20"/>
        </w:rPr>
        <w:t xml:space="preserve"> as </w:t>
      </w:r>
      <w:r w:rsidR="00442963" w:rsidRPr="008C10B7">
        <w:rPr>
          <w:rFonts w:cs="Times New Roman"/>
          <w:sz w:val="22"/>
          <w:szCs w:val="20"/>
        </w:rPr>
        <w:t xml:space="preserve">a form of </w:t>
      </w:r>
      <w:r w:rsidR="0030654E" w:rsidRPr="008C10B7">
        <w:rPr>
          <w:rFonts w:cs="Times New Roman"/>
          <w:sz w:val="22"/>
          <w:szCs w:val="20"/>
        </w:rPr>
        <w:t>AT</w:t>
      </w:r>
      <w:r w:rsidRPr="008C10B7">
        <w:rPr>
          <w:rFonts w:cs="Times New Roman"/>
          <w:sz w:val="22"/>
          <w:szCs w:val="20"/>
        </w:rPr>
        <w:t xml:space="preserve"> </w:t>
      </w:r>
      <w:r w:rsidR="00442963" w:rsidRPr="008C10B7">
        <w:rPr>
          <w:rFonts w:cs="Times New Roman"/>
          <w:sz w:val="22"/>
          <w:szCs w:val="20"/>
        </w:rPr>
        <w:t>and</w:t>
      </w:r>
      <w:r w:rsidRPr="008C10B7">
        <w:rPr>
          <w:rFonts w:cs="Times New Roman"/>
          <w:sz w:val="22"/>
          <w:szCs w:val="20"/>
        </w:rPr>
        <w:t xml:space="preserve"> </w:t>
      </w:r>
      <w:r w:rsidR="004A39C3" w:rsidRPr="008C10B7">
        <w:rPr>
          <w:rFonts w:cs="Times New Roman"/>
          <w:sz w:val="22"/>
          <w:szCs w:val="20"/>
        </w:rPr>
        <w:t xml:space="preserve">an </w:t>
      </w:r>
      <w:r w:rsidRPr="008C10B7">
        <w:rPr>
          <w:rFonts w:cs="Times New Roman"/>
          <w:sz w:val="22"/>
          <w:szCs w:val="20"/>
        </w:rPr>
        <w:t xml:space="preserve">alternative </w:t>
      </w:r>
      <w:r w:rsidR="004A39C3" w:rsidRPr="008C10B7">
        <w:rPr>
          <w:rFonts w:cs="Times New Roman"/>
          <w:sz w:val="22"/>
          <w:szCs w:val="20"/>
        </w:rPr>
        <w:t>to</w:t>
      </w:r>
      <w:r w:rsidRPr="008C10B7">
        <w:rPr>
          <w:rFonts w:cs="Times New Roman"/>
          <w:sz w:val="22"/>
          <w:szCs w:val="20"/>
        </w:rPr>
        <w:t xml:space="preserve"> </w:t>
      </w:r>
      <w:r w:rsidR="00442963" w:rsidRPr="008C10B7">
        <w:rPr>
          <w:rFonts w:cs="Times New Roman"/>
          <w:sz w:val="22"/>
          <w:szCs w:val="20"/>
        </w:rPr>
        <w:t xml:space="preserve">using </w:t>
      </w:r>
      <w:r w:rsidRPr="008C10B7">
        <w:rPr>
          <w:rFonts w:cs="Times New Roman"/>
          <w:sz w:val="22"/>
          <w:szCs w:val="20"/>
        </w:rPr>
        <w:t>motor vehicles</w:t>
      </w:r>
      <w:r w:rsidR="00442963" w:rsidRPr="008C10B7">
        <w:rPr>
          <w:rFonts w:cs="Times New Roman"/>
          <w:sz w:val="22"/>
          <w:szCs w:val="20"/>
        </w:rPr>
        <w:t>, is</w:t>
      </w:r>
      <w:r w:rsidRPr="008C10B7">
        <w:rPr>
          <w:rFonts w:cs="Times New Roman"/>
          <w:sz w:val="22"/>
          <w:szCs w:val="20"/>
        </w:rPr>
        <w:t xml:space="preserve"> one of the most sustainable modes of transportation. It is considered the most </w:t>
      </w:r>
      <w:r w:rsidR="00442963" w:rsidRPr="008C10B7">
        <w:rPr>
          <w:rFonts w:cs="Times New Roman"/>
          <w:sz w:val="22"/>
          <w:szCs w:val="20"/>
        </w:rPr>
        <w:t xml:space="preserve">favourable </w:t>
      </w:r>
      <w:r w:rsidRPr="008C10B7">
        <w:rPr>
          <w:rFonts w:cs="Times New Roman"/>
          <w:sz w:val="22"/>
          <w:szCs w:val="20"/>
        </w:rPr>
        <w:t>alternative mode of travel in university</w:t>
      </w:r>
      <w:r w:rsidR="00972446" w:rsidRPr="008C10B7">
        <w:rPr>
          <w:rFonts w:cs="Times New Roman"/>
          <w:sz w:val="22"/>
          <w:szCs w:val="20"/>
        </w:rPr>
        <w:t xml:space="preserve"> campus</w:t>
      </w:r>
      <w:r w:rsidRPr="008C10B7">
        <w:rPr>
          <w:rFonts w:cs="Times New Roman"/>
          <w:sz w:val="22"/>
          <w:szCs w:val="20"/>
        </w:rPr>
        <w:t xml:space="preserve"> contexts due to the small range of travel </w:t>
      </w:r>
      <w:r w:rsidR="00442963" w:rsidRPr="008C10B7">
        <w:rPr>
          <w:rFonts w:cs="Times New Roman"/>
          <w:sz w:val="22"/>
          <w:szCs w:val="20"/>
        </w:rPr>
        <w:t>distances involved</w:t>
      </w:r>
      <w:r w:rsidRPr="008C10B7">
        <w:rPr>
          <w:rFonts w:cs="Times New Roman"/>
          <w:sz w:val="22"/>
          <w:szCs w:val="20"/>
        </w:rPr>
        <w:t xml:space="preserve"> </w:t>
      </w:r>
      <w:r w:rsidRPr="008C10B7">
        <w:rPr>
          <w:rFonts w:cs="Times New Roman"/>
          <w:sz w:val="22"/>
          <w:szCs w:val="20"/>
        </w:rPr>
        <w:fldChar w:fldCharType="begin" w:fldLock="1"/>
      </w:r>
      <w:r w:rsidR="008C7EFD" w:rsidRPr="008C10B7">
        <w:rPr>
          <w:rFonts w:cs="Times New Roman"/>
          <w:sz w:val="22"/>
          <w:szCs w:val="20"/>
        </w:rPr>
        <w:instrText>ADDIN CSL_CITATION {"citationItems":[{"id":"ITEM-1","itemData":{"DOI":"10.1016/0966-6923(96)00022-1","ISSN":"09666923","abstract":"This paper outlines the impacts of transport on the environment and stresses how, for higher education institutions (referred to as 'universities' here), these are dominated by commuting by private car. Car commuting needs to be drastically reduced, yet universities effectively subsidize continued car usage through free-or below-cost car park provision. Strategies for reducing environmental damage caused by commuting are outlined and the development of bicycle-friendly policies is used as a case study. The importance of simultaneous promotion of 'green' modes and the restraint of 'red' modes is emphasized, as is the growing political acceptability of such approaches. The arguments are relevant to other campus environments such as hospitals, science parks and, in a non-spatial sense, to companies and institutions in general. Copyright © 1996 Elsevier Science Ltd.","author":[{"dropping-particle":"","family":"Tolley","given":"Rodney","non-dropping-particle":"","parse-names":false,"suffix":""}],"container-title":"Journal of Transport Geography","id":"ITEM-1","issue":"3","issued":{"date-parts":[["1996","9","1"]]},"page":"213-217","publisher":"Elsevier BV","title":"Green campuses: Cutting the environmental cost of commuting","type":"article","volume":"4"},"uris":["http://www.mendeley.com/documents/?uuid=d77d52fa-0acd-3bda-9a81-6431c84d13a7"]}],"mendeley":{"formattedCitation":"(Tolley, 1996)","plainTextFormattedCitation":"(Tolley, 1996)","previouslyFormattedCitation":"(Tolley, 1996)"},"properties":{"noteIndex":0},"schema":"https://github.com/citation-style-language/schema/raw/master/csl-citation.json"}</w:instrText>
      </w:r>
      <w:r w:rsidRPr="008C10B7">
        <w:rPr>
          <w:rFonts w:cs="Times New Roman"/>
          <w:sz w:val="22"/>
          <w:szCs w:val="20"/>
        </w:rPr>
        <w:fldChar w:fldCharType="separate"/>
      </w:r>
      <w:r w:rsidR="008C7EFD" w:rsidRPr="008C10B7">
        <w:rPr>
          <w:rFonts w:cs="Times New Roman"/>
          <w:sz w:val="22"/>
          <w:szCs w:val="20"/>
        </w:rPr>
        <w:t>(Tolley, 1996)</w:t>
      </w:r>
      <w:r w:rsidRPr="008C10B7">
        <w:rPr>
          <w:rFonts w:cs="Times New Roman"/>
          <w:sz w:val="22"/>
          <w:szCs w:val="20"/>
        </w:rPr>
        <w:fldChar w:fldCharType="end"/>
      </w:r>
      <w:r w:rsidRPr="008C10B7">
        <w:rPr>
          <w:rFonts w:cs="Times New Roman"/>
          <w:sz w:val="22"/>
          <w:szCs w:val="20"/>
        </w:rPr>
        <w:t xml:space="preserve">. </w:t>
      </w:r>
      <w:bookmarkStart w:id="14" w:name="_Hlk100670786"/>
      <w:r w:rsidR="00270930" w:rsidRPr="008C10B7">
        <w:rPr>
          <w:rFonts w:cs="Times New Roman"/>
          <w:sz w:val="22"/>
          <w:szCs w:val="20"/>
        </w:rPr>
        <w:t>Yang et al. (2019) found that cycling facilities are positively associated with cycling behavio</w:t>
      </w:r>
      <w:r w:rsidR="00E77AB0" w:rsidRPr="008C10B7">
        <w:rPr>
          <w:rFonts w:cs="Times New Roman"/>
          <w:sz w:val="22"/>
          <w:szCs w:val="20"/>
        </w:rPr>
        <w:t>u</w:t>
      </w:r>
      <w:r w:rsidR="00270930" w:rsidRPr="008C10B7">
        <w:rPr>
          <w:rFonts w:cs="Times New Roman"/>
          <w:sz w:val="22"/>
          <w:szCs w:val="20"/>
        </w:rPr>
        <w:t>rs.</w:t>
      </w:r>
      <w:bookmarkEnd w:id="14"/>
      <w:r w:rsidR="00270930" w:rsidRPr="008C10B7">
        <w:rPr>
          <w:rFonts w:cs="Times New Roman"/>
          <w:sz w:val="22"/>
          <w:szCs w:val="20"/>
        </w:rPr>
        <w:t xml:space="preserve"> </w:t>
      </w:r>
      <w:r w:rsidRPr="008C10B7">
        <w:rPr>
          <w:rFonts w:cs="Times New Roman"/>
          <w:sz w:val="22"/>
          <w:szCs w:val="20"/>
        </w:rPr>
        <w:t xml:space="preserve">Factors that encourage </w:t>
      </w:r>
      <w:r w:rsidR="00442963" w:rsidRPr="008C10B7">
        <w:rPr>
          <w:rFonts w:cs="Times New Roman"/>
          <w:sz w:val="22"/>
          <w:szCs w:val="20"/>
        </w:rPr>
        <w:t xml:space="preserve">people to </w:t>
      </w:r>
      <w:r w:rsidRPr="008C10B7">
        <w:rPr>
          <w:rFonts w:cs="Times New Roman"/>
          <w:sz w:val="22"/>
          <w:szCs w:val="20"/>
        </w:rPr>
        <w:t>cycl</w:t>
      </w:r>
      <w:r w:rsidR="00442963" w:rsidRPr="008C10B7">
        <w:rPr>
          <w:rFonts w:cs="Times New Roman"/>
          <w:sz w:val="22"/>
          <w:szCs w:val="20"/>
        </w:rPr>
        <w:t>e</w:t>
      </w:r>
      <w:r w:rsidRPr="008C10B7">
        <w:rPr>
          <w:rFonts w:cs="Times New Roman"/>
          <w:sz w:val="22"/>
          <w:szCs w:val="20"/>
        </w:rPr>
        <w:t xml:space="preserve"> include physical condition, sustainability</w:t>
      </w:r>
      <w:r w:rsidR="005A07DE" w:rsidRPr="008C10B7">
        <w:rPr>
          <w:rFonts w:cs="Times New Roman"/>
          <w:sz w:val="22"/>
          <w:szCs w:val="20"/>
        </w:rPr>
        <w:t>,</w:t>
      </w:r>
      <w:r w:rsidRPr="008C10B7">
        <w:rPr>
          <w:rFonts w:cs="Times New Roman"/>
          <w:sz w:val="22"/>
          <w:szCs w:val="20"/>
        </w:rPr>
        <w:t xml:space="preserve"> and </w:t>
      </w:r>
      <w:r w:rsidR="005A07DE" w:rsidRPr="008C10B7">
        <w:rPr>
          <w:rFonts w:cs="Times New Roman"/>
          <w:sz w:val="22"/>
          <w:szCs w:val="20"/>
        </w:rPr>
        <w:t xml:space="preserve">the </w:t>
      </w:r>
      <w:r w:rsidRPr="008C10B7">
        <w:rPr>
          <w:rFonts w:cs="Times New Roman"/>
          <w:sz w:val="22"/>
          <w:szCs w:val="20"/>
        </w:rPr>
        <w:t xml:space="preserve">cost of travel </w:t>
      </w:r>
      <w:r w:rsidRPr="008C10B7">
        <w:rPr>
          <w:rFonts w:cs="Times New Roman"/>
          <w:sz w:val="22"/>
          <w:szCs w:val="20"/>
        </w:rPr>
        <w:fldChar w:fldCharType="begin" w:fldLock="1"/>
      </w:r>
      <w:r w:rsidR="00B74AD7" w:rsidRPr="008C10B7">
        <w:rPr>
          <w:rFonts w:cs="Times New Roman"/>
          <w:sz w:val="22"/>
          <w:szCs w:val="20"/>
        </w:rPr>
        <w:instrText>ADDIN CSL_CITATION {"citationItems":[{"id":"ITEM-1","itemData":{"DOI":"10.1108/09654280710778556","ISSN":"09654283","abstract":"Purpose – The purpose of this paper is to explore views about cycling among members of identified community groups living near the Loop Line, a cycling and walking path in a deprived part of North Liverpool, UK. Design/methodology/approach – Following a literature review, qualitative focus group research was conducted among six groups of children, single mothers and older people living near the Loop Line. Findings – The paper finds that one of the strongest reported barriers to cycling for young boys was fear of bicycles being stolen – especially by a peer or someone known to the bike owner who asks to borrow the bike. The existence of high levels of crime and anti-social behaviour near the Loop Line is creating an unhealthy environment by deterring local people from exercising in their local area. For young girls in North Liverpool cycling has significant image problems, with many saying that they simply would not consider cycling as a regular mode of transport. Organising led rides along the Loop Line may be a potential solution, as this might both help to encourage cycling and increase visibility of cyclists. Research limitations/implications – Because the research in this paper was conducted among a small self-selected sample, it should be regarded as a pilot study. Results need to be verified with a larger sample drawn from a wider variety of community groups. Originality/value – The study has important implications for agencies aiming to improve public health through cycling, and shows the need to consider the broader environmental and social determinants affecting health alongside more traditional health promotion approaches. © 2007, Emerald Group Publishing Limited","author":[{"dropping-particle":"","family":"Cavill","given":"Nick","non-dropping-particle":"","parse-names":false,"suffix":""},{"dropping-particle":"","family":"Watkins","given":"Francine","non-dropping-particle":"","parse-names":false,"suffix":""}],"container-title":"Health Education","id":"ITEM-1","issue":"5","issued":{"date-parts":[["2007","9","4"]]},"page":"404-420","publisher":"Emerald Group Publishing Limited","title":"Cycling and health: An exploratory study of views about cycling in an area of North Liverpool, UK","type":"article-journal","volume":"107"},"uris":["http://www.mendeley.com/documents/?uuid=b590bf78-d1f2-39e3-b853-177049885810"]}],"mendeley":{"formattedCitation":"(Cavill &amp; Watkins, 2007)","plainTextFormattedCitation":"(Cavill &amp; Watkins, 2007)","previouslyFormattedCitation":"(Cavill &amp; Watkins, 2007)"},"properties":{"noteIndex":0},"schema":"https://github.com/citation-style-language/schema/raw/master/csl-citation.json"}</w:instrText>
      </w:r>
      <w:r w:rsidRPr="008C10B7">
        <w:rPr>
          <w:rFonts w:cs="Times New Roman"/>
          <w:sz w:val="22"/>
          <w:szCs w:val="20"/>
        </w:rPr>
        <w:fldChar w:fldCharType="separate"/>
      </w:r>
      <w:r w:rsidR="008C7EFD" w:rsidRPr="008C10B7">
        <w:rPr>
          <w:rFonts w:cs="Times New Roman"/>
          <w:sz w:val="22"/>
          <w:szCs w:val="20"/>
        </w:rPr>
        <w:t>(Cavill &amp; Watkins, 2007)</w:t>
      </w:r>
      <w:r w:rsidRPr="008C10B7">
        <w:rPr>
          <w:rFonts w:cs="Times New Roman"/>
          <w:sz w:val="22"/>
          <w:szCs w:val="20"/>
        </w:rPr>
        <w:fldChar w:fldCharType="end"/>
      </w:r>
      <w:r w:rsidRPr="008C10B7">
        <w:rPr>
          <w:rFonts w:cs="Times New Roman"/>
          <w:sz w:val="22"/>
          <w:szCs w:val="20"/>
        </w:rPr>
        <w:t xml:space="preserve">. However, studies that have researched the association between urban greenery and cycling travel behaviour have </w:t>
      </w:r>
      <w:r w:rsidR="005A07DE" w:rsidRPr="008C10B7">
        <w:rPr>
          <w:rFonts w:cs="Times New Roman"/>
          <w:sz w:val="22"/>
          <w:szCs w:val="20"/>
        </w:rPr>
        <w:t>demonstrated varying</w:t>
      </w:r>
      <w:r w:rsidRPr="008C10B7">
        <w:rPr>
          <w:rFonts w:cs="Times New Roman"/>
          <w:sz w:val="22"/>
          <w:szCs w:val="20"/>
        </w:rPr>
        <w:t xml:space="preserve"> results. Some studies have found a positive </w:t>
      </w:r>
      <w:r w:rsidR="003A773C" w:rsidRPr="008C10B7">
        <w:rPr>
          <w:rFonts w:cs="Times New Roman" w:hint="eastAsia"/>
          <w:sz w:val="22"/>
          <w:szCs w:val="20"/>
        </w:rPr>
        <w:t>association</w:t>
      </w:r>
      <w:r w:rsidRPr="008C10B7">
        <w:rPr>
          <w:rFonts w:cs="Times New Roman"/>
          <w:sz w:val="22"/>
          <w:szCs w:val="20"/>
        </w:rPr>
        <w:t xml:space="preserve"> between urban greenery and cycling </w:t>
      </w:r>
      <w:r w:rsidR="00597AB1" w:rsidRPr="008C10B7">
        <w:rPr>
          <w:rFonts w:cs="Times New Roman"/>
          <w:sz w:val="22"/>
          <w:szCs w:val="20"/>
        </w:rPr>
        <w:fldChar w:fldCharType="begin" w:fldLock="1"/>
      </w:r>
      <w:r w:rsidR="00597AB1" w:rsidRPr="008C10B7">
        <w:rPr>
          <w:rFonts w:cs="Times New Roman"/>
          <w:sz w:val="22"/>
          <w:szCs w:val="20"/>
        </w:rPr>
        <w:instrText>ADDIN CSL_CITATION {"citationItems":[{"id":"ITEM-1","itemData":{"DOI":"10.1093/eurpub/ckq145","ISSN":"11011262","PMID":"20929903","abstract":"Background: Active transport policies are being developed across Europe designed to have health and environmental benefits. There is little evidence of impact on physical activity of active transport strategies which modify the built environment. Cycling represents one virtually carbon-neutral form of transport that can help to address declining levels of exercise. Methods: A systematic literature review of experimental or observational studies that objectively evaluated the effect of the built environment on cycling. Results: A total of 21 studies met the inclusion criteria, all of which were observational studies. Eleven studies identified objectively measured environmental factors with a significant positive association with cycling. The environmental factors identified as being positively associated with cycling included presence of dedicated cycle routes or paths, separation of cycling from other traffic, high population density, short trip distance, proximity of a cycle path or green space and for children projects promoting 'safe routes to school'. Negative environmental factors were perceived and objective traffic danger, long trip distance, steep inclines and distance from cycle paths. Of the seven studies which focused primarily on the impact of cycle routes, four demonstrated a statistically significant positive association. Conclusion: Although the study identified environmental factors with positive and negative associations with cycling behaviour, many other types of environmental policies and interventions have yet to be rigorously evaluated. Policies promoting cycle lane construction appear promising but the socio-demographic distribution of their effects on physical activity is unclear. The wider impact of active transport policies on health and inequalities across Europe must be explored. The Author 2010. Published by Oxford University Press on behalf of the European Public Health Association.","author":[{"dropping-particle":"","family":"Fraser","given":"Simon D.S.","non-dropping-particle":"","parse-names":false,"suffix":""},{"dropping-particle":"","family":"Lock","given":"Karen","non-dropping-particle":"","parse-names":false,"suffix":""}],"container-title":"European Journal of Public Health","id":"ITEM-1","issue":"6","issued":{"date-parts":[["2011","12","1"]]},"page":"738-743","publisher":"Oxford Academic","title":"Cycling for transport and public health: A systematic review of the effect of the environment on cycling","type":"article","volume":"21"},"uris":["http://www.mendeley.com/documents/?uuid=536f44a5-dffa-3b81-be6a-cc150c8ff5e9"]},{"id":"ITEM-2","itemData":{"DOI":"10.1186/1479-5868-11-31","ISSN":"14795868","PMID":"24597725","abstract":"Background: Despite evidence that environmental features are related to physical activity, the association between the built environment and bicycling for transportation remains a poorly investigated subject. The aim of the study was to improve our understanding of the environmental determinants of bicycling as a means of transportation in urban European settings by comparing the spatial differences between the routes actually used by bicyclists and the shortest possible routes.Methods: In the present study we examined differences in the currently used and the shortest possible bicycling routes, with respect to distance, type of street, and environmental characteristics, in the city of Graz, Austria. The objective measurement methods of a Global Positioning System (GPS) and a Geographic Information System (GIS) were used.Results: Bicycling routes actually used were significantly longer than the shortest possible routes. Furthermore, the following attributes were also significantly different between the used route compared to the shortest possible route: Bicyclists often used bicycle lanes and pathways, flat and green areas, and they rarely used main roads and crossings.Conclusion: The results of the study support our hypothesis that bicyclists prefer bicycle pathways and lanes instead of the shortest possible routes. This underlines the importance of a well-developed bicycling infrastructure in urban communities. © 2014 Krenn et al.; licensee BioMed Central Ltd.","author":[{"dropping-particle":"","family":"Krenn","given":"Patricia J.","non-dropping-particle":"","parse-names":false,"suffix":""},{"dropping-particle":"","family":"Oja","given":"Pekka","non-dropping-particle":"","parse-names":false,"suffix":""},{"dropping-particle":"","family":"Titze","given":"Sylvia","non-dropping-particle":"","parse-names":false,"suffix":""}],"container-title":"International Journal of Behavioral Nutrition and Physical Activity","id":"ITEM-2","issue":"1","issued":{"date-parts":[["2014","3","6"]]},"page":"1-7","publisher":"BioMed Central Ltd.","title":"Route choices of transport bicyclists: A comparison of actually used and shortest routes","type":"article-journal","volume":"11"},"uris":["http://www.mendeley.com/documents/?uuid=a5ca953d-e655-3b42-835e-bb8bf0602f88"]},{"id":"ITEM-3","itemData":{"DOI":"10.1177/0013916518825289","ISSN":"1552390X","abstract":"The objectives of this study were to examine the association between objectively measured environmental variables and transportation and recreation bicycling frequency, and to develop transportation and recreation bikeability indices. Exploratory factor analysis was used to identify the underlying essential structure of the environmental variables under consideration. Many environmental variables were found to be correlated with transportation bicycling frequency, but not recreation bicycling frequency. The final transportation bikeability index included the combined effect of bicycle lanes, residential density, population density, ozone level, distance to transit, parks, and tree canopy coverage, and was found to have a significant direct association with any past-year transportation bicycling (odds ratio [OR] = 1.42, 95% confidence interval [CI] = [1.35, 1.52]) and transportation bicycling frequency (incident rate ratio [IRR] = 1.14, 95% CI = [1.09, 1.19]). This work will help advance research on bicycling and public health by providing a tool that can be utilized to examine transportation bicycling and the objective environment in the context of the United States.","author":[{"dropping-particle":"","family":"Porter","given":"Anna K.","non-dropping-particle":"","parse-names":false,"suffix":""},{"dropping-particle":"","family":"Kohl","given":"Harold W.","non-dropping-particle":"","parse-names":false,"suffix":""},{"dropping-particle":"","family":"Pérez","given":"Adriana","non-dropping-particle":"","parse-names":false,"suffix":""},{"dropping-particle":"","family":"Reininger","given":"Belinda","non-dropping-particle":"","parse-names":false,"suffix":""},{"dropping-particle":"","family":"Pettee Gabriel","given":"Kelley","non-dropping-particle":"","parse-names":false,"suffix":""},{"dropping-particle":"","family":"Salvo","given":"Deborah","non-dropping-particle":"","parse-names":false,"suffix":""}],"container-title":"Environment and Behavior","id":"ITEM-3","issue":"8","issued":{"date-parts":[["2020","10","1"]]},"page":"861-894","publisher":"SAGE Publications Ltd","title":"Bikeability: Assessing the Objectively Measured Environment in Relation to Recreation and Transportation Bicycling","type":"article-journal","volume":"52"},"uris":["http://www.mendeley.com/documents/?uuid=5b6ae74e-85b3-3f42-8d2c-be7df465c03a"]}],"mendeley":{"formattedCitation":"(Fraser &amp; Lock, 2011; Patricia J. Krenn et al., 2014; Porter et al., 2020)","manualFormatting":"(Fraser &amp; Lock, 2011; Patricia et al., 2014; Porter et al., 2020)","plainTextFormattedCitation":"(Fraser &amp; Lock, 2011; Patricia J. Krenn et al., 2014; Porter et al., 2020)","previouslyFormattedCitation":"(Fraser &amp; Lock, 2011; Patricia J. Krenn et al., 2014; Porter et al., 2020)"},"properties":{"noteIndex":0},"schema":"https://github.com/citation-style-language/schema/raw/master/csl-citation.json"}</w:instrText>
      </w:r>
      <w:r w:rsidR="00597AB1" w:rsidRPr="008C10B7">
        <w:rPr>
          <w:rFonts w:cs="Times New Roman"/>
          <w:sz w:val="22"/>
          <w:szCs w:val="20"/>
        </w:rPr>
        <w:fldChar w:fldCharType="separate"/>
      </w:r>
      <w:r w:rsidR="00597AB1" w:rsidRPr="008C10B7">
        <w:rPr>
          <w:rFonts w:cs="Times New Roman"/>
          <w:sz w:val="22"/>
          <w:szCs w:val="20"/>
        </w:rPr>
        <w:t xml:space="preserve">(Fraser &amp; Lock, 2011; </w:t>
      </w:r>
      <w:r w:rsidR="00FF2407" w:rsidRPr="008C10B7">
        <w:rPr>
          <w:rFonts w:cs="Times New Roman"/>
          <w:sz w:val="22"/>
          <w:szCs w:val="20"/>
        </w:rPr>
        <w:t>Krenn</w:t>
      </w:r>
      <w:r w:rsidR="00597AB1" w:rsidRPr="008C10B7">
        <w:rPr>
          <w:rFonts w:cs="Times New Roman"/>
          <w:sz w:val="22"/>
          <w:szCs w:val="20"/>
        </w:rPr>
        <w:t xml:space="preserve"> et al., 2014; Porter et al., 2020)</w:t>
      </w:r>
      <w:r w:rsidR="00597AB1" w:rsidRPr="008C10B7">
        <w:rPr>
          <w:rFonts w:cs="Times New Roman"/>
          <w:sz w:val="22"/>
          <w:szCs w:val="20"/>
        </w:rPr>
        <w:fldChar w:fldCharType="end"/>
      </w:r>
      <w:r w:rsidR="00597AB1" w:rsidRPr="008C10B7">
        <w:rPr>
          <w:rFonts w:cs="Times New Roman"/>
          <w:sz w:val="22"/>
          <w:szCs w:val="20"/>
        </w:rPr>
        <w:t xml:space="preserve">, </w:t>
      </w:r>
      <w:r w:rsidR="005A07DE" w:rsidRPr="008C10B7">
        <w:rPr>
          <w:rFonts w:cs="Times New Roman"/>
          <w:sz w:val="22"/>
          <w:szCs w:val="20"/>
        </w:rPr>
        <w:t>while others</w:t>
      </w:r>
      <w:r w:rsidRPr="008C10B7">
        <w:rPr>
          <w:rFonts w:cs="Times New Roman"/>
          <w:sz w:val="22"/>
          <w:szCs w:val="20"/>
        </w:rPr>
        <w:t xml:space="preserve"> have found no clear association</w:t>
      </w:r>
      <w:r w:rsidR="00442963" w:rsidRPr="008C10B7">
        <w:rPr>
          <w:rFonts w:cs="Times New Roman"/>
          <w:sz w:val="22"/>
          <w:szCs w:val="20"/>
        </w:rPr>
        <w:t xml:space="preserve"> between them</w:t>
      </w:r>
      <w:r w:rsidRPr="008C10B7">
        <w:rPr>
          <w:rFonts w:cs="Times New Roman"/>
          <w:sz w:val="22"/>
          <w:szCs w:val="20"/>
        </w:rPr>
        <w:t xml:space="preserve"> </w:t>
      </w:r>
      <w:r w:rsidRPr="008C10B7">
        <w:rPr>
          <w:rFonts w:cs="Times New Roman"/>
          <w:sz w:val="22"/>
          <w:szCs w:val="20"/>
        </w:rPr>
        <w:fldChar w:fldCharType="begin" w:fldLock="1"/>
      </w:r>
      <w:r w:rsidR="00B74AD7" w:rsidRPr="008C10B7">
        <w:rPr>
          <w:rFonts w:cs="Times New Roman"/>
          <w:sz w:val="22"/>
          <w:szCs w:val="20"/>
        </w:rPr>
        <w:instrText>ADDIN CSL_CITATION {"citationItems":[{"id":"ITEM-1","itemData":{"DOI":"10.3390/ijerph14060644","ISSN":"16604601","PMID":"28617345","abstract":"Policymakers pay much attention to effectively increasing frequency of people’s cycling in the context of developing sustainable and green cities. Investigating associations of environmental characteristics and cycling behaviour could offer implications for changing urban infrastructure aiming at encouraging active travel. However, earlier examinations of associations between environmental characteristics and active travel behaviour are limited by low spatial granularity and coverage of traditional data. Crowdsourced geographic information offers an opportunity to determine the fine-grained travel patterns of people. Particularly, Strava Metro data offer a good opportunity for studies of recreational cycling behaviour as they can offer hourly, daily or annual cycling volumes with different purposes (commuting or recreational) in each street across a city. Therefore, in this study, we utilised Strava Metro data for investigating associations between environmental characteristics and recreational cycling behaviour at a large spatial scale (street level). In this study, we took account of population density, employment density, road length, road connectivity, proximity to public transit services, land use mix, proximity to green space, volume of motor vehicles and traffic accidents in an empirical investigation over Glasgow. Empirical results reveal that Strava cyclists are more likely to cycle for recreation on streets with short length, large connectivity or low volume of motor vehicles or on streets surrounded by residential land.","author":[{"dropping-particle":"","family":"Sun","given":"Yeran","non-dropping-particle":"","parse-names":false,"suffix":""},{"dropping-particle":"","family":"Du","given":"Yunyan","non-dropping-particle":"","parse-names":false,"suffix":""},{"dropping-particle":"","family":"Wang","given":"Yu","non-dropping-particle":"","parse-names":false,"suffix":""},{"dropping-particle":"","family":"Zhuang","given":"Liyuan","non-dropping-particle":"","parse-names":false,"suffix":""}],"container-title":"International Journal of Environmental Research and Public Health","id":"ITEM-1","issue":"6","issued":{"date-parts":[["2017","6","15"]]},"page":"644","publisher":"MDPI AG","title":"Examining associations of environmental characteristics with recreational cycling behaviour by street-level strava data","type":"article-journal","volume":"14"},"uris":["http://www.mendeley.com/documents/?uuid=a4030fa6-7cfe-3915-a05d-ff3384eda4f8"]},{"id":"ITEM-2","itemData":{"DOI":"10.1016/j.jth.2016.02.010","ISSN":"22141405","abstract":"Introduction Mounting evidence documents the importance of urban form for active travel, but international studies could strengthen the evidence. The aim of the study was to document the strength, shape, and generalizability of relations of objectively measured built environment variables with transport-related walking and cycling. Methods This cross-sectional study maximized variation of environments and demographics by including multiple countries and by selecting adult participants living in neighborhoods based on higher and lower classifications of objectively measured walkability and socioeconomic status. Analyses were conducted on 12,181 adults aged 18–66 years, drawn from 14 cities across 10 countries worldwide. Frequency of transport-related walking and cycling over the last seven days was assessed by questionnaire and four objectively measured built environment variables were calculated. Associations of built environment variables with transport-related walking and cycling variables were estimated using generalized additive mixed models, and were tested for curvilinearity and study site moderation. Results We found positive associations of walking for transport with all the environmental attributes, but also found that the relationships was only linear for land use mix, but not for residential density, intersection density, and the number of parks. Our findings suggest that there may be optimum values in these attributes, beyond which higher densities or number of parks could have minor or even negative impact. Cycling for transport was associated linearly with residential density, intersection density (only for any cycling), and land use mix, but not with the number of parks. Conclusion Across 14 diverse cities and countries, living in more densely populated areas, having a well-connected street network, more diverse land uses, and having more parks were positively associated with transport-related walking and/or cycling. Except for land-use-mix, all built environment variables had curvilinear relationships with walking, with a plateau in the relationship at higher levels of the scales.","author":[{"dropping-particle":"","family":"Christiansen","given":"Lars B.","non-dropping-particle":"","parse-names":false,"suffix":""},{"dropping-particle":"","family":"Cerin","given":"Ester","non-dropping-particle":"","parse-names":false,"suffix":""},{"dropping-particle":"","family":"Badland","given":"Hannah","non-dropping-particle":"","parse-names":false,"suffix":""},{"dropping-particle":"","family":"Kerr","given":"Jacqueline","non-dropping-particle":"","parse-names":false,"suffix":""},{"dropping-particle":"","family":"Davey","given":"Rachel","non-dropping-particle":"","parse-names":false,"suffix":""},{"dropping-particle":"","family":"Troelsen","given":"Jens","non-dropping-particle":"","parse-names":false,"suffix":""},{"dropping-particle":"","family":"Dyck","given":"Delfien","non-dropping-particle":"van","parse-names":false,"suffix":""},{"dropping-particle":"","family":"Mitáš","given":"Josef","non-dropping-particle":"","parse-names":false,"suffix":""},{"dropping-particle":"","family":"Schofield","given":"Grant","non-dropping-particle":"","parse-names":false,"suffix":""},{"dropping-particle":"","family":"Sugiyama","given":"Takemi","non-dropping-particle":"","parse-names":false,"suffix":""},{"dropping-particle":"","family":"Salvo","given":"Deborah","non-dropping-particle":"","parse-names":false,"suffix":""},{"dropping-particle":"","family":"Sarmiento","given":"Olga L.","non-dropping-particle":"","parse-names":false,"suffix":""},{"dropping-particle":"","family":"Reis","given":"Rodrigo","non-dropping-particle":"","parse-names":false,"suffix":""},{"dropping-particle":"","family":"Adams","given":"Marc","non-dropping-particle":"","parse-names":false,"suffix":""},{"dropping-particle":"","family":"Frank","given":"Larry","non-dropping-particle":"","parse-names":false,"suffix":""},{"dropping-particle":"","family":"Sallis","given":"James F.","non-dropping-particle":"","parse-names":false,"suffix":""}],"container-title":"Journal of Transport and Health","id":"ITEM-2","issue":"4","issued":{"date-parts":[["2016","12","1"]]},"page":"467-478","publisher":"Elsevier Ltd","title":"International comparisons of the associations between objective measures of the built environment and transport-related walking and cycling: IPEN adult study","type":"article-journal","volume":"3"},"uris":["http://www.mendeley.com/documents/?uuid=22a60966-bd22-342f-8218-6d66a8596a4d"]}],"mendeley":{"formattedCitation":"(Christiansen et al., 2016; Yeran Sun et al., 2017)","manualFormatting":"(Christiansen et al., 2016; Sun et al., 2017)","plainTextFormattedCitation":"(Christiansen et al., 2016; Yeran Sun et al., 2017)","previouslyFormattedCitation":"(Christiansen et al., 2016; Yeran Sun et al., 2017)"},"properties":{"noteIndex":0},"schema":"https://github.com/citation-style-language/schema/raw/master/csl-citation.json"}</w:instrText>
      </w:r>
      <w:r w:rsidRPr="008C10B7">
        <w:rPr>
          <w:rFonts w:cs="Times New Roman"/>
          <w:sz w:val="22"/>
          <w:szCs w:val="20"/>
        </w:rPr>
        <w:fldChar w:fldCharType="separate"/>
      </w:r>
      <w:r w:rsidRPr="008C10B7">
        <w:rPr>
          <w:rFonts w:cs="Times New Roman"/>
          <w:sz w:val="22"/>
          <w:szCs w:val="20"/>
        </w:rPr>
        <w:t>(Christiansen et al., 2016; Sun et al., 2017)</w:t>
      </w:r>
      <w:r w:rsidRPr="008C10B7">
        <w:rPr>
          <w:rFonts w:cs="Times New Roman"/>
          <w:sz w:val="22"/>
          <w:szCs w:val="20"/>
        </w:rPr>
        <w:fldChar w:fldCharType="end"/>
      </w:r>
      <w:r w:rsidRPr="008C10B7">
        <w:rPr>
          <w:rFonts w:cs="Times New Roman"/>
          <w:sz w:val="22"/>
          <w:szCs w:val="20"/>
        </w:rPr>
        <w:t xml:space="preserve">. </w:t>
      </w:r>
    </w:p>
    <w:p w14:paraId="42738E95" w14:textId="0746E5E3" w:rsidR="009C6A53" w:rsidRPr="008C10B7" w:rsidRDefault="002923BE" w:rsidP="002923BE">
      <w:pPr>
        <w:spacing w:line="360" w:lineRule="auto"/>
        <w:ind w:firstLine="420"/>
        <w:jc w:val="both"/>
        <w:rPr>
          <w:rFonts w:cs="Times New Roman"/>
          <w:sz w:val="22"/>
          <w:szCs w:val="20"/>
        </w:rPr>
      </w:pPr>
      <w:bookmarkStart w:id="15" w:name="_Hlk100651420"/>
      <w:bookmarkStart w:id="16" w:name="_Hlk100738397"/>
      <w:r w:rsidRPr="008C10B7">
        <w:rPr>
          <w:rFonts w:cs="Times New Roman"/>
          <w:sz w:val="22"/>
          <w:szCs w:val="20"/>
        </w:rPr>
        <w:t xml:space="preserve">The travel behaviour of university student populations differs significantly from </w:t>
      </w:r>
      <w:r w:rsidR="00D27B6E" w:rsidRPr="008C10B7">
        <w:rPr>
          <w:rFonts w:cs="Times New Roman"/>
          <w:sz w:val="22"/>
          <w:szCs w:val="20"/>
        </w:rPr>
        <w:t xml:space="preserve">that of </w:t>
      </w:r>
      <w:r w:rsidRPr="008C10B7">
        <w:rPr>
          <w:rFonts w:cs="Times New Roman"/>
          <w:sz w:val="22"/>
          <w:szCs w:val="20"/>
        </w:rPr>
        <w:t xml:space="preserve">other social groups </w:t>
      </w:r>
      <w:r w:rsidRPr="008C10B7">
        <w:rPr>
          <w:rFonts w:cs="Times New Roman"/>
          <w:sz w:val="22"/>
          <w:szCs w:val="20"/>
        </w:rPr>
        <w:fldChar w:fldCharType="begin" w:fldLock="1"/>
      </w:r>
      <w:r w:rsidRPr="008C10B7">
        <w:rPr>
          <w:rFonts w:cs="Times New Roman"/>
          <w:sz w:val="22"/>
          <w:szCs w:val="20"/>
        </w:rPr>
        <w:instrText>ADDIN CSL_CITATION {"citationItems":[{"id":"ITEM-1","itemData":{"DOI":"10.3141/2255-15","ISSN":"0361-1981","abstract":"To improve regional travel demand models, transportation engineers and planners want to represent subpopulations appropriately. A key segment of the population is university students, and their behavior is neither well understood nor well represented in travel demand models. Furthermore, universities provide a unique context for behavioral research because they are livable, are friendly to alternative travel modes, have a higher density than other contexts, and offer mixed travel modes. This study collected and analyzed data on the travel behavior of university students. With the use of an Internet-based survey instrument, the study collected data on travel behavior, sociodemographics, and context variables at four major universities in Virginia. This paper provides information about the design and implementation of the survey, the instrument structure, and a descriptive analysis of students' personal and travel characteristics. The results indicated that the sociodemographics and travel behavior of university students were different from those of the general population. Moreover, differences in travel behavior were found between students living on campus and students living off campus and between students attending urban campuses and those attending suburban campuses. The insights gained from this study serve as a basis for further such surveys and help provide an understanding of travel behavior in and around university campuses.","author":[{"dropping-particle":"","family":"Khattak","given":"Asad","non-dropping-particle":"","parse-names":false,"suffix":""},{"dropping-particle":"","family":"Wang","given":"Xin","non-dropping-particle":"","parse-names":false,"suffix":""},{"dropping-particle":"","family":"Son","given":"Sanghoon","non-dropping-particle":"","parse-names":false,"suffix":""},{"dropping-particle":"","family":"Agnello","given":"Paul","non-dropping-particle":"","parse-names":false,"suffix":""}],"container-title":"Transportation Research Record: Journal of the Transportation Research Board","id":"ITEM-1","issue":"1","issued":{"date-parts":[["2011","1","1"]]},"page":"137-145","publisher":"SAGE PublicationsSage CA: Los Angeles, CA","title":"Travel by University Students in Virginia","type":"article-journal","volume":"2255"},"uris":["http://www.mendeley.com/documents/?uuid=f4e897ab-d5a8-3112-a5b0-b120020eac0c"]}],"mendeley":{"formattedCitation":"(Khattak et al., 2011)","plainTextFormattedCitation":"(Khattak et al., 2011)","previouslyFormattedCitation":"(Khattak et al., 2011)"},"properties":{"noteIndex":0},"schema":"https://github.com/citation-style-language/schema/raw/master/csl-citation.json"}</w:instrText>
      </w:r>
      <w:r w:rsidRPr="008C10B7">
        <w:rPr>
          <w:rFonts w:cs="Times New Roman"/>
          <w:sz w:val="22"/>
          <w:szCs w:val="20"/>
        </w:rPr>
        <w:fldChar w:fldCharType="separate"/>
      </w:r>
      <w:r w:rsidRPr="008C10B7">
        <w:rPr>
          <w:rFonts w:cs="Times New Roman"/>
          <w:sz w:val="22"/>
          <w:szCs w:val="20"/>
        </w:rPr>
        <w:t>(Khattak et al., 2011)</w:t>
      </w:r>
      <w:r w:rsidRPr="008C10B7">
        <w:rPr>
          <w:rFonts w:cs="Times New Roman"/>
          <w:sz w:val="22"/>
          <w:szCs w:val="20"/>
        </w:rPr>
        <w:fldChar w:fldCharType="end"/>
      </w:r>
      <w:r w:rsidRPr="008C10B7">
        <w:rPr>
          <w:rFonts w:cs="Times New Roman"/>
          <w:sz w:val="22"/>
          <w:szCs w:val="20"/>
        </w:rPr>
        <w:t xml:space="preserve">. For </w:t>
      </w:r>
      <w:r w:rsidR="00D27B6E" w:rsidRPr="008C10B7">
        <w:rPr>
          <w:rFonts w:cs="Times New Roman"/>
          <w:sz w:val="22"/>
          <w:szCs w:val="20"/>
        </w:rPr>
        <w:t>example</w:t>
      </w:r>
      <w:r w:rsidRPr="008C10B7">
        <w:rPr>
          <w:rFonts w:cs="Times New Roman"/>
          <w:sz w:val="22"/>
          <w:szCs w:val="20"/>
        </w:rPr>
        <w:t xml:space="preserve">, there is an association between </w:t>
      </w:r>
      <w:r w:rsidR="00D27B6E" w:rsidRPr="008C10B7">
        <w:rPr>
          <w:rFonts w:cs="Times New Roman"/>
          <w:sz w:val="22"/>
          <w:szCs w:val="20"/>
        </w:rPr>
        <w:t xml:space="preserve">the </w:t>
      </w:r>
      <w:r w:rsidRPr="008C10B7">
        <w:rPr>
          <w:rFonts w:cs="Times New Roman"/>
          <w:sz w:val="22"/>
          <w:szCs w:val="20"/>
        </w:rPr>
        <w:t xml:space="preserve">built </w:t>
      </w:r>
      <w:r w:rsidRPr="008C10B7">
        <w:rPr>
          <w:rFonts w:cs="Times New Roman"/>
          <w:sz w:val="22"/>
          <w:szCs w:val="20"/>
        </w:rPr>
        <w:lastRenderedPageBreak/>
        <w:t xml:space="preserve">environment and </w:t>
      </w:r>
      <w:r w:rsidR="00D27B6E" w:rsidRPr="008C10B7">
        <w:rPr>
          <w:rFonts w:cs="Times New Roman"/>
          <w:sz w:val="22"/>
          <w:szCs w:val="20"/>
        </w:rPr>
        <w:t xml:space="preserve">children’s </w:t>
      </w:r>
      <w:r w:rsidRPr="008C10B7">
        <w:rPr>
          <w:rFonts w:cs="Times New Roman"/>
          <w:sz w:val="22"/>
          <w:szCs w:val="20"/>
        </w:rPr>
        <w:t>active travel behaviour (Lu et al., 2019</w:t>
      </w:r>
      <w:r w:rsidR="008D0E59" w:rsidRPr="008C10B7">
        <w:rPr>
          <w:rFonts w:cs="Times New Roman"/>
          <w:sz w:val="22"/>
          <w:szCs w:val="20"/>
        </w:rPr>
        <w:t>b</w:t>
      </w:r>
      <w:r w:rsidRPr="008C10B7">
        <w:rPr>
          <w:rFonts w:cs="Times New Roman"/>
          <w:sz w:val="22"/>
          <w:szCs w:val="20"/>
        </w:rPr>
        <w:t>; Moran et al., 2016</w:t>
      </w:r>
      <w:r w:rsidR="005F349F">
        <w:rPr>
          <w:rFonts w:cs="Times New Roman"/>
          <w:sz w:val="22"/>
          <w:szCs w:val="20"/>
        </w:rPr>
        <w:t>; Wang et al., 2022b</w:t>
      </w:r>
      <w:r w:rsidRPr="008C10B7">
        <w:rPr>
          <w:rFonts w:cs="Times New Roman"/>
          <w:sz w:val="22"/>
          <w:szCs w:val="20"/>
        </w:rPr>
        <w:t xml:space="preserve">), and </w:t>
      </w:r>
      <w:r w:rsidR="00D27B6E" w:rsidRPr="008C10B7">
        <w:rPr>
          <w:rFonts w:cs="Times New Roman"/>
          <w:sz w:val="22"/>
          <w:szCs w:val="20"/>
        </w:rPr>
        <w:t xml:space="preserve">an association has been found between </w:t>
      </w:r>
      <w:r w:rsidRPr="008C10B7">
        <w:rPr>
          <w:rFonts w:cs="Times New Roman"/>
          <w:sz w:val="22"/>
          <w:szCs w:val="20"/>
        </w:rPr>
        <w:t xml:space="preserve">built environment factors such as cycling infrastructure </w:t>
      </w:r>
      <w:r w:rsidR="00D27B6E" w:rsidRPr="008C10B7">
        <w:rPr>
          <w:rFonts w:cs="Times New Roman"/>
          <w:sz w:val="22"/>
          <w:szCs w:val="20"/>
        </w:rPr>
        <w:t>and</w:t>
      </w:r>
      <w:r w:rsidRPr="008C10B7">
        <w:rPr>
          <w:rFonts w:cs="Times New Roman"/>
          <w:sz w:val="22"/>
          <w:szCs w:val="20"/>
        </w:rPr>
        <w:t xml:space="preserve"> adolescents’ cycling activities (</w:t>
      </w:r>
      <w:proofErr w:type="spellStart"/>
      <w:r w:rsidRPr="008C10B7">
        <w:rPr>
          <w:rFonts w:cs="Times New Roman"/>
          <w:sz w:val="22"/>
          <w:szCs w:val="20"/>
        </w:rPr>
        <w:t>Mäki-Opas</w:t>
      </w:r>
      <w:proofErr w:type="spellEnd"/>
      <w:r w:rsidRPr="008C10B7">
        <w:rPr>
          <w:rFonts w:cs="Times New Roman"/>
          <w:sz w:val="22"/>
          <w:szCs w:val="20"/>
        </w:rPr>
        <w:t xml:space="preserve"> et al., 2014</w:t>
      </w:r>
      <w:r w:rsidR="00F768AD" w:rsidRPr="008C10B7">
        <w:rPr>
          <w:rFonts w:cs="Times New Roman"/>
          <w:sz w:val="22"/>
          <w:szCs w:val="20"/>
        </w:rPr>
        <w:t>; Verhoeven et al., 2017</w:t>
      </w:r>
      <w:r w:rsidRPr="008C10B7">
        <w:rPr>
          <w:rFonts w:cs="Times New Roman"/>
          <w:sz w:val="22"/>
          <w:szCs w:val="20"/>
        </w:rPr>
        <w:t>).</w:t>
      </w:r>
      <w:r w:rsidRPr="008C10B7">
        <w:rPr>
          <w:rFonts w:cs="Times New Roman" w:hint="eastAsia"/>
          <w:sz w:val="22"/>
          <w:szCs w:val="20"/>
        </w:rPr>
        <w:t xml:space="preserve"> </w:t>
      </w:r>
      <w:r w:rsidR="00D27B6E" w:rsidRPr="008C10B7">
        <w:rPr>
          <w:rFonts w:cs="Times New Roman"/>
          <w:sz w:val="22"/>
          <w:szCs w:val="20"/>
        </w:rPr>
        <w:t>Similarly, some studies have provided evidence of</w:t>
      </w:r>
      <w:r w:rsidRPr="008C10B7">
        <w:rPr>
          <w:rFonts w:cs="Times New Roman"/>
          <w:sz w:val="22"/>
          <w:szCs w:val="20"/>
        </w:rPr>
        <w:t xml:space="preserve"> an association </w:t>
      </w:r>
      <w:r w:rsidR="00D27B6E" w:rsidRPr="008C10B7">
        <w:rPr>
          <w:rFonts w:cs="Times New Roman"/>
          <w:sz w:val="22"/>
          <w:szCs w:val="20"/>
        </w:rPr>
        <w:t>between the built environment and the</w:t>
      </w:r>
      <w:r w:rsidRPr="008C10B7">
        <w:rPr>
          <w:rFonts w:cs="Times New Roman"/>
          <w:sz w:val="22"/>
          <w:szCs w:val="20"/>
        </w:rPr>
        <w:t xml:space="preserve"> active travel behaviours</w:t>
      </w:r>
      <w:r w:rsidR="00D27B6E" w:rsidRPr="008C10B7">
        <w:rPr>
          <w:rFonts w:cs="Times New Roman"/>
          <w:sz w:val="22"/>
          <w:szCs w:val="20"/>
        </w:rPr>
        <w:t xml:space="preserve"> of older adults</w:t>
      </w:r>
      <w:r w:rsidRPr="008C10B7">
        <w:rPr>
          <w:rFonts w:cs="Times New Roman"/>
          <w:sz w:val="22"/>
          <w:szCs w:val="20"/>
        </w:rPr>
        <w:t xml:space="preserve">. </w:t>
      </w:r>
      <w:r w:rsidR="00D27B6E" w:rsidRPr="008C10B7">
        <w:rPr>
          <w:rFonts w:cs="Times New Roman"/>
          <w:sz w:val="22"/>
          <w:szCs w:val="20"/>
        </w:rPr>
        <w:t>For instance, it has been found that the</w:t>
      </w:r>
      <w:r w:rsidRPr="008C10B7">
        <w:rPr>
          <w:rFonts w:cs="Times New Roman"/>
          <w:sz w:val="22"/>
          <w:szCs w:val="20"/>
        </w:rPr>
        <w:t xml:space="preserve"> built environment </w:t>
      </w:r>
      <w:r w:rsidR="00D27B6E" w:rsidRPr="008C10B7">
        <w:rPr>
          <w:rFonts w:cs="Times New Roman"/>
          <w:sz w:val="22"/>
          <w:szCs w:val="20"/>
        </w:rPr>
        <w:t xml:space="preserve">has an influence on their mental health which may, in turn, affect older adults’ </w:t>
      </w:r>
      <w:r w:rsidRPr="008C10B7">
        <w:rPr>
          <w:rFonts w:cs="Times New Roman"/>
          <w:sz w:val="22"/>
          <w:szCs w:val="20"/>
        </w:rPr>
        <w:t xml:space="preserve">active travel </w:t>
      </w:r>
      <w:r w:rsidR="00D27B6E" w:rsidRPr="008C10B7">
        <w:rPr>
          <w:rFonts w:cs="Times New Roman"/>
          <w:sz w:val="22"/>
          <w:szCs w:val="20"/>
        </w:rPr>
        <w:t>behaviour</w:t>
      </w:r>
      <w:r w:rsidRPr="008C10B7">
        <w:rPr>
          <w:rFonts w:cs="Times New Roman"/>
          <w:sz w:val="22"/>
          <w:szCs w:val="20"/>
        </w:rPr>
        <w:t xml:space="preserve"> (Van </w:t>
      </w:r>
      <w:proofErr w:type="spellStart"/>
      <w:r w:rsidRPr="008C10B7">
        <w:rPr>
          <w:rFonts w:cs="Times New Roman"/>
          <w:sz w:val="22"/>
          <w:szCs w:val="20"/>
        </w:rPr>
        <w:t>Cauwenberg</w:t>
      </w:r>
      <w:proofErr w:type="spellEnd"/>
      <w:r w:rsidRPr="008C10B7">
        <w:rPr>
          <w:rFonts w:cs="Times New Roman"/>
          <w:sz w:val="22"/>
          <w:szCs w:val="20"/>
        </w:rPr>
        <w:t xml:space="preserve"> et al., 2012</w:t>
      </w:r>
      <w:r w:rsidR="00E77AB0" w:rsidRPr="008C10B7">
        <w:rPr>
          <w:rFonts w:cs="Times New Roman"/>
          <w:sz w:val="22"/>
          <w:szCs w:val="20"/>
        </w:rPr>
        <w:t>; Wang et al., 2019b</w:t>
      </w:r>
      <w:r w:rsidRPr="008C10B7">
        <w:rPr>
          <w:rFonts w:cs="Times New Roman"/>
          <w:sz w:val="22"/>
          <w:szCs w:val="20"/>
        </w:rPr>
        <w:t xml:space="preserve">). </w:t>
      </w:r>
      <w:r w:rsidR="005D52B9" w:rsidRPr="008C10B7">
        <w:rPr>
          <w:rFonts w:cs="Times New Roman"/>
          <w:sz w:val="22"/>
          <w:szCs w:val="20"/>
        </w:rPr>
        <w:t>M</w:t>
      </w:r>
      <w:r w:rsidRPr="008C10B7">
        <w:rPr>
          <w:rFonts w:cs="Times New Roman"/>
          <w:sz w:val="22"/>
          <w:szCs w:val="20"/>
        </w:rPr>
        <w:t xml:space="preserve">any studies </w:t>
      </w:r>
      <w:r w:rsidR="005D52B9" w:rsidRPr="008C10B7">
        <w:rPr>
          <w:rFonts w:cs="Times New Roman"/>
          <w:sz w:val="22"/>
          <w:szCs w:val="20"/>
        </w:rPr>
        <w:t xml:space="preserve">have </w:t>
      </w:r>
      <w:r w:rsidRPr="008C10B7">
        <w:rPr>
          <w:rFonts w:cs="Times New Roman"/>
          <w:sz w:val="22"/>
          <w:szCs w:val="20"/>
        </w:rPr>
        <w:t>focus</w:t>
      </w:r>
      <w:r w:rsidR="005D52B9" w:rsidRPr="008C10B7">
        <w:rPr>
          <w:rFonts w:cs="Times New Roman"/>
          <w:sz w:val="22"/>
          <w:szCs w:val="20"/>
        </w:rPr>
        <w:t>ed</w:t>
      </w:r>
      <w:r w:rsidRPr="008C10B7">
        <w:rPr>
          <w:rFonts w:cs="Times New Roman"/>
          <w:sz w:val="22"/>
          <w:szCs w:val="20"/>
        </w:rPr>
        <w:t xml:space="preserve"> on the association between the built environment and active travel </w:t>
      </w:r>
      <w:r w:rsidR="005D52B9" w:rsidRPr="008C10B7">
        <w:rPr>
          <w:rFonts w:cs="Times New Roman"/>
          <w:sz w:val="22"/>
          <w:szCs w:val="20"/>
        </w:rPr>
        <w:t>among</w:t>
      </w:r>
      <w:r w:rsidRPr="008C10B7">
        <w:rPr>
          <w:rFonts w:cs="Times New Roman"/>
          <w:sz w:val="22"/>
          <w:szCs w:val="20"/>
        </w:rPr>
        <w:t xml:space="preserve"> university students (</w:t>
      </w:r>
      <w:bookmarkStart w:id="17" w:name="_Hlk100841756"/>
      <w:r w:rsidR="00E77AB0" w:rsidRPr="008C10B7">
        <w:rPr>
          <w:rFonts w:cs="Times New Roman"/>
          <w:sz w:val="22"/>
          <w:szCs w:val="20"/>
        </w:rPr>
        <w:t xml:space="preserve">Cole, 2003; Khattak et al., 2011; </w:t>
      </w:r>
      <w:r w:rsidRPr="008C10B7">
        <w:rPr>
          <w:rFonts w:cs="Times New Roman"/>
          <w:sz w:val="22"/>
          <w:szCs w:val="20"/>
        </w:rPr>
        <w:fldChar w:fldCharType="begin" w:fldLock="1"/>
      </w:r>
      <w:r w:rsidRPr="008C10B7">
        <w:rPr>
          <w:rFonts w:cs="Times New Roman"/>
          <w:sz w:val="22"/>
          <w:szCs w:val="20"/>
        </w:rPr>
        <w:instrText>ADDIN CSL_CITATION {"citationItems":[{"id":"ITEM-1","itemData":{"DOI":"10.3141/2322-14","ISSN":"0361-1981","abstract":"To improve regional travel demand models, transportation engineers and planners desire appropriate representation of subpopulations. University students are a relatively neglected group of the population, often missed in regional behavioral surveys and not well represented in travel demand models. Many students attending a university reside, take classes, work, and perform other activities in the university environment, which is often mixed use, alternative mode friendly, higher density, and livable. The purpose of this paper is to understand the travel behavior of university students and to model associations with their attributes that include personal characteristics, residential location (residing on campus or off campus), and academic status. The data used in this study are from a unique Internet-based survey (N = 1,468) of students at Old Dominion University in Virginia. This effort was conducted in 2010 and was part of the Virginia University Student Travel Survey (USTS) supplement. With USTS data combined with spatial data, rigorous statistical models of automobile and walk–bicycle trip rates are estimated to explore associated factors. Results showed that students living on campus or near campus were significantly more likely to walk and bicycle and less likely to drive automobiles and indicated the value of living in a campus environment with greater accessibility to activities and a walk- and bicycle-friendly network. The behavioral models provide helpful information that can be used to represent better the behavior of university students in regional travel demand models and to improve strategic transportation planning.","author":[{"dropping-particle":"","family":"Wang","given":"Xin","non-dropping-particle":"","parse-names":false,"suffix":""},{"dropping-particle":"","family":"Khattak","given":"Asad J.","non-dropping-particle":"","parse-names":false,"suffix":""},{"dropping-particle":"","family":"Son","given":"Sanghoon","non-dropping-particle":"","parse-names":false,"suffix":""}],"container-title":"Transportation Research Record: Journal of the Transportation Research Board","id":"ITEM-1","issue":"1","issued":{"date-parts":[["2012","1","1"]]},"page":"129-137","publisher":"National Research Council","title":"What can be Learned from Analyzing University Student Travel Demand?","type":"article-journal","volume":"2322"},"uris":["http://www.mendeley.com/documents/?uuid=8e06cae6-6e75-3685-9d11-73e4bd0a252b"]}],"mendeley":{"formattedCitation":"(X. Wang et al., 2012)","manualFormatting":"Wang et al. (2012)","plainTextFormattedCitation":"(X. Wang et al., 2012)","previouslyFormattedCitation":"(X. Wang et al., 2012)"},"properties":{"noteIndex":0},"schema":"https://github.com/citation-style-language/schema/raw/master/csl-citation.json"}</w:instrText>
      </w:r>
      <w:r w:rsidRPr="008C10B7">
        <w:rPr>
          <w:rFonts w:cs="Times New Roman"/>
          <w:sz w:val="22"/>
          <w:szCs w:val="20"/>
        </w:rPr>
        <w:fldChar w:fldCharType="separate"/>
      </w:r>
      <w:r w:rsidRPr="008C10B7">
        <w:rPr>
          <w:rFonts w:cs="Times New Roman"/>
          <w:sz w:val="22"/>
          <w:szCs w:val="20"/>
        </w:rPr>
        <w:t>Wang et al., 2012</w:t>
      </w:r>
      <w:r w:rsidRPr="008C10B7">
        <w:rPr>
          <w:rFonts w:cs="Times New Roman"/>
          <w:sz w:val="22"/>
          <w:szCs w:val="20"/>
        </w:rPr>
        <w:fldChar w:fldCharType="end"/>
      </w:r>
      <w:bookmarkEnd w:id="17"/>
      <w:r w:rsidRPr="008C10B7">
        <w:rPr>
          <w:rFonts w:cs="Times New Roman"/>
          <w:sz w:val="22"/>
          <w:szCs w:val="20"/>
        </w:rPr>
        <w:t xml:space="preserve">). Previous studies have found that university students are more likely to participate in AT than other population groups </w:t>
      </w:r>
      <w:r w:rsidRPr="008C10B7">
        <w:rPr>
          <w:rFonts w:cs="Times New Roman"/>
          <w:sz w:val="22"/>
          <w:szCs w:val="20"/>
        </w:rPr>
        <w:fldChar w:fldCharType="begin" w:fldLock="1"/>
      </w:r>
      <w:r w:rsidRPr="008C10B7">
        <w:rPr>
          <w:rFonts w:cs="Times New Roman"/>
          <w:sz w:val="22"/>
          <w:szCs w:val="20"/>
        </w:rPr>
        <w:instrText>ADDIN CSL_CITATION {"citationItems":[{"id":"ITEM-1","itemData":{"DOI":"10.1016/j.trd.2009.09.006","ISSN":"13619209","abstract":"Environmental analysis consistently shows transport as being amongst the top three contributors to a university's ecological footprint. This paper reports on a study undertaken at the Mawson Lakes Campus of the University of South Australia into cycling as a sustainable transport option. First, the paper analyzes the campus as a text: an artifact which addresses a particular audience and is actively read and interpreted by those who travel through it. In reading the campus, we go beyond examining levels of cycling infrastructure provision to consider the way infrastructure provision constitutes and positions different travelers as (ab)normal. Second, the paper looks at different groups of cyclists on campus, why some commuted to university and others did not and the experiences of each of these groups. It is found that cyclists are largely written out of the Mawson Lakes text which challenges their legitimacy as travelers and as users of campus space. The research also found substantial differences between groups of commuter and non-commuter cyclists and this division fell along staff and student lines. We conclude by suggesting ways that this and other universities might legitimize cyclists and facilitate cycling as a mode of travel. © 2009 Elsevier Ltd. All rights reserved.","author":[{"dropping-particle":"","family":"Bonham","given":"Jennifer","non-dropping-particle":"","parse-names":false,"suffix":""},{"dropping-particle":"","family":"Koth","given":"Barbara","non-dropping-particle":"","parse-names":false,"suffix":""}],"container-title":"Transportation Research Part D: Transport and Environment","id":"ITEM-1","issue":"2","issued":{"date-parts":[["2010","3","1"]]},"page":"94-102","publisher":"Elsevier Ltd","title":"Universities and the cycling culture","type":"article-journal","volume":"15"},"uris":["http://www.mendeley.com/documents/?uuid=b2152777-e36b-34b5-a3ef-083a6d58a4cb"]},{"id":"ITEM-2","itemData":{"DOI":"10.1016/j.tranpol.2005.11.002","ISSN":"0967070X","abstract":"This paper describes the results of an online survey that examined commuting patterns, potential for change and barriers and motivators affecting transport decisions in a University population (n=1040 students, n=1170 staff). Overall, 21.5% of staff and 46.8% of students at The University of Western Australia regularly used active modes, and potentially an additional 30% of staff and students would switch to active modes. The results suggested that reducing barriers to using active modes, in particular reducing actual and perceived travel time by bus and bicycle would have the greatest impact on commuting patterns. Some policy applications appeared to hold particular promise, including an implementation of a subsidised public transport pass (U-Pass), increased student housing on or near campus, increased cost of parking, and improved bus services and cycle networks. © 2005 Elsevier Ltd. All rights reserved.","author":[{"dropping-particle":"","family":"Shannon","given":"Tya","non-dropping-particle":"","parse-names":false,"suffix":""},{"dropping-particle":"","family":"Giles-Corti","given":"Billie","non-dropping-particle":"","parse-names":false,"suffix":""},{"dropping-particle":"","family":"Pikora","given":"Terri","non-dropping-particle":"","parse-names":false,"suffix":""},{"dropping-particle":"","family":"Bulsara","given":"Max","non-dropping-particle":"","parse-names":false,"suffix":""},{"dropping-particle":"","family":"Shilton","given":"Trevor","non-dropping-particle":"","parse-names":false,"suffix":""},{"dropping-particle":"","family":"Bull","given":"Fiona","non-dropping-particle":"","parse-names":false,"suffix":""}],"container-title":"Transport Policy","id":"ITEM-2","issue":"3","issued":{"date-parts":[["2006","5","1"]]},"page":"240-253","publisher":"Pergamon","title":"Active commuting in a university setting: Assessing commuting habits and potential for modal change","type":"article-journal","volume":"13"},"uris":["http://www.mendeley.com/documents/?uuid=a73755c3-68e4-30c2-be06-0c55bc0aacbd"]}],"mendeley":{"formattedCitation":"(Bonham &amp; Koth, 2010; Shannon et al., 2006)","plainTextFormattedCitation":"(Bonham &amp; Koth, 2010; Shannon et al., 2006)","previouslyFormattedCitation":"(Bonham &amp; Koth, 2010; Shannon et al., 2006)"},"properties":{"noteIndex":0},"schema":"https://github.com/citation-style-language/schema/raw/master/csl-citation.json"}</w:instrText>
      </w:r>
      <w:r w:rsidRPr="008C10B7">
        <w:rPr>
          <w:rFonts w:cs="Times New Roman"/>
          <w:sz w:val="22"/>
          <w:szCs w:val="20"/>
        </w:rPr>
        <w:fldChar w:fldCharType="separate"/>
      </w:r>
      <w:r w:rsidRPr="008C10B7">
        <w:rPr>
          <w:rFonts w:cs="Times New Roman"/>
          <w:sz w:val="22"/>
          <w:szCs w:val="20"/>
        </w:rPr>
        <w:t>(Bonham &amp; Koth, 2010; Shannon et al., 2006)</w:t>
      </w:r>
      <w:r w:rsidRPr="008C10B7">
        <w:rPr>
          <w:rFonts w:cs="Times New Roman"/>
          <w:sz w:val="22"/>
          <w:szCs w:val="20"/>
        </w:rPr>
        <w:fldChar w:fldCharType="end"/>
      </w:r>
      <w:r w:rsidRPr="008C10B7">
        <w:rPr>
          <w:rFonts w:cs="Times New Roman"/>
          <w:sz w:val="22"/>
          <w:szCs w:val="20"/>
        </w:rPr>
        <w:t xml:space="preserve">. </w:t>
      </w:r>
      <w:bookmarkStart w:id="18" w:name="_Hlk100652134"/>
      <w:r w:rsidRPr="008C10B7">
        <w:rPr>
          <w:rFonts w:cs="Times New Roman"/>
          <w:sz w:val="22"/>
          <w:szCs w:val="20"/>
        </w:rPr>
        <w:t xml:space="preserve">However, to date, very few studies have examined the travel characteristics of Chinese university students </w:t>
      </w:r>
      <w:r w:rsidRPr="008C10B7">
        <w:rPr>
          <w:rFonts w:cs="Times New Roman"/>
          <w:sz w:val="22"/>
          <w:szCs w:val="20"/>
        </w:rPr>
        <w:fldChar w:fldCharType="begin" w:fldLock="1"/>
      </w:r>
      <w:r w:rsidRPr="008C10B7">
        <w:rPr>
          <w:rFonts w:cs="Times New Roman"/>
          <w:sz w:val="22"/>
          <w:szCs w:val="20"/>
        </w:rPr>
        <w:instrText>ADDIN CSL_CITATION {"citationItems":[{"id":"ITEM-1","itemData":{"DOI":"10.1016/j.tranpol.2015.09.006","ISSN":"1879310X","abstract":"This paper applies a nonparametric statistical method, hierarchical tree-based regression (HTBR) model, to explore university student travel frequency and mode choice patterns in China, using the data collected by a web-based travel survey. In this study, HTBR models were constructed to predict student travel frequency and classify student mode choice. It was found that student grade, school location city, public transit station coverage ratio (PTSCR) and family income have impacts on student travel frequency, and travel distance, bicycle ownership, school location city, PTSCR and student gender are significantly correlated to student mode choice. The study results reveal travel characteristics of university students in China at a disaggregate level and provide information to better understand their travel behaviors.","author":[{"dropping-particle":"","family":"Zhan","given":"Guangjun","non-dropping-particle":"","parse-names":false,"suffix":""},{"dropping-particle":"","family":"Yan","given":"Xuedong","non-dropping-particle":"","parse-names":false,"suffix":""},{"dropping-particle":"","family":"Zhu","given":"Shanjiang","non-dropping-particle":"","parse-names":false,"suffix":""},{"dropping-particle":"","family":"Wang","given":"Yun","non-dropping-particle":"","parse-names":false,"suffix":""}],"container-title":"Transport Policy","id":"ITEM-1","issued":{"date-parts":[["2016","1","1"]]},"page":"55-65","publisher":"Elsevier Ltd","title":"Using hierarchical tree-based regression model to examine university student travel frequency and mode choice patterns in China","type":"article-journal","volume":"45"},"uris":["http://www.mendeley.com/documents/?uuid=37905115-9dd6-33a4-86be-a6d6012d5b69"]},{"id":"ITEM-2","itemData":{"DOI":"10.1016/J.HABITATINT.2018.08.008","ISSN":"0197-3975","author":[{"dropping-particle":"","family":"Sun","given":"Cheng","non-dropping-particle":"","parse-names":false,"suffix":""},{"dropping-particle":"","family":"Cheng","given":"Jianquan","non-dropping-particle":"","parse-names":false,"suffix":""},{"dropping-particle":"","family":"Lin","given":"Aiwen","non-dropping-particle":"","parse-names":false,"suffix":""},{"dropping-particle":"","family":"Peng","given":"Mingjun","non-dropping-particle":"","parse-names":false,"suffix":""}],"container-title":"Habitat International","id":"ITEM-2","issued":{"date-parts":[["2018","10","1"]]},"page":"11-27","publisher":"Pergamon","title":"Gated university campus and its implications for socio-spatial inequality: Evidence from students' accessibility to local public transport","type":"article-journal","volume":"80"},"uris":["http://www.mendeley.com/documents/?uuid=5dd3361a-9385-3170-bd43-125f37300175"]}],"mendeley":{"formattedCitation":"(C. Sun et al., 2018; Zhan et al., 2016)","manualFormatting":"(Sun et al., 2018; Zhan et al., 2016)","plainTextFormattedCitation":"(C. Sun et al., 2018; Zhan et al., 2016)","previouslyFormattedCitation":"(C. Sun et al., 2018; Zhan et al., 2016)"},"properties":{"noteIndex":0},"schema":"https://github.com/citation-style-language/schema/raw/master/csl-citation.json"}</w:instrText>
      </w:r>
      <w:r w:rsidRPr="008C10B7">
        <w:rPr>
          <w:rFonts w:cs="Times New Roman"/>
          <w:sz w:val="22"/>
          <w:szCs w:val="20"/>
        </w:rPr>
        <w:fldChar w:fldCharType="separate"/>
      </w:r>
      <w:r w:rsidRPr="008C10B7">
        <w:rPr>
          <w:rFonts w:cs="Times New Roman"/>
          <w:sz w:val="22"/>
          <w:szCs w:val="20"/>
        </w:rPr>
        <w:t>(Sun et al., 2018; Zhan et al., 2016)</w:t>
      </w:r>
      <w:r w:rsidRPr="008C10B7">
        <w:rPr>
          <w:rFonts w:cs="Times New Roman"/>
          <w:sz w:val="22"/>
          <w:szCs w:val="20"/>
        </w:rPr>
        <w:fldChar w:fldCharType="end"/>
      </w:r>
      <w:r w:rsidRPr="008C10B7">
        <w:rPr>
          <w:rFonts w:cs="Times New Roman"/>
          <w:sz w:val="22"/>
          <w:szCs w:val="20"/>
        </w:rPr>
        <w:t xml:space="preserve">, </w:t>
      </w:r>
      <w:bookmarkStart w:id="19" w:name="_Hlk100651626"/>
      <w:r w:rsidRPr="008C10B7">
        <w:rPr>
          <w:rFonts w:cs="Times New Roman"/>
          <w:sz w:val="22"/>
          <w:szCs w:val="20"/>
        </w:rPr>
        <w:t xml:space="preserve">and most </w:t>
      </w:r>
      <w:r w:rsidR="005D52B9" w:rsidRPr="008C10B7">
        <w:rPr>
          <w:rFonts w:cs="Times New Roman"/>
          <w:sz w:val="22"/>
          <w:szCs w:val="20"/>
        </w:rPr>
        <w:t xml:space="preserve">of those </w:t>
      </w:r>
      <w:r w:rsidRPr="008C10B7">
        <w:rPr>
          <w:rFonts w:cs="Times New Roman"/>
          <w:sz w:val="22"/>
          <w:szCs w:val="20"/>
        </w:rPr>
        <w:t>have only explored travel characteristics in general,</w:t>
      </w:r>
      <w:bookmarkEnd w:id="15"/>
      <w:r w:rsidR="00F16E42" w:rsidRPr="008C10B7">
        <w:t xml:space="preserve"> </w:t>
      </w:r>
      <w:r w:rsidR="005D52B9" w:rsidRPr="008C10B7">
        <w:rPr>
          <w:rFonts w:cs="Times New Roman"/>
          <w:sz w:val="22"/>
          <w:szCs w:val="20"/>
        </w:rPr>
        <w:t>rather than</w:t>
      </w:r>
      <w:r w:rsidR="00F16E42" w:rsidRPr="008C10B7">
        <w:rPr>
          <w:rFonts w:cs="Times New Roman"/>
          <w:sz w:val="22"/>
          <w:szCs w:val="20"/>
        </w:rPr>
        <w:t xml:space="preserve"> examining the relationship between the built environment and </w:t>
      </w:r>
      <w:r w:rsidR="005D52B9" w:rsidRPr="008C10B7">
        <w:rPr>
          <w:rFonts w:cs="Times New Roman"/>
          <w:sz w:val="22"/>
          <w:szCs w:val="20"/>
        </w:rPr>
        <w:t xml:space="preserve">the </w:t>
      </w:r>
      <w:r w:rsidR="00F16E42" w:rsidRPr="008C10B7">
        <w:rPr>
          <w:rFonts w:cs="Times New Roman"/>
          <w:sz w:val="22"/>
          <w:szCs w:val="20"/>
        </w:rPr>
        <w:t>specific travel modes of Chinese university students.</w:t>
      </w:r>
      <w:bookmarkEnd w:id="18"/>
      <w:bookmarkEnd w:id="19"/>
      <w:r w:rsidR="00F16E42" w:rsidRPr="008C10B7">
        <w:rPr>
          <w:rFonts w:cs="Times New Roman"/>
          <w:sz w:val="22"/>
          <w:szCs w:val="20"/>
        </w:rPr>
        <w:t xml:space="preserve"> </w:t>
      </w:r>
      <w:r w:rsidR="00FE1CAD" w:rsidRPr="008C10B7">
        <w:rPr>
          <w:rFonts w:cs="Times New Roman"/>
          <w:sz w:val="22"/>
          <w:szCs w:val="20"/>
        </w:rPr>
        <w:t xml:space="preserve">In addition, it is also worth mentioning that </w:t>
      </w:r>
      <w:r w:rsidR="005D52B9" w:rsidRPr="008C10B7">
        <w:rPr>
          <w:rFonts w:cs="Times New Roman"/>
          <w:sz w:val="22"/>
          <w:szCs w:val="20"/>
        </w:rPr>
        <w:t xml:space="preserve">our study enables </w:t>
      </w:r>
      <w:r w:rsidR="00FE1CAD" w:rsidRPr="008C10B7">
        <w:rPr>
          <w:rFonts w:cs="Times New Roman"/>
          <w:sz w:val="22"/>
          <w:szCs w:val="20"/>
        </w:rPr>
        <w:t xml:space="preserve">the residential self-selection bias </w:t>
      </w:r>
      <w:r w:rsidR="005D52B9" w:rsidRPr="008C10B7">
        <w:rPr>
          <w:rFonts w:cs="Times New Roman"/>
          <w:sz w:val="22"/>
          <w:szCs w:val="20"/>
        </w:rPr>
        <w:t>to</w:t>
      </w:r>
      <w:r w:rsidR="00FE1CAD" w:rsidRPr="008C10B7">
        <w:rPr>
          <w:rFonts w:cs="Times New Roman"/>
          <w:sz w:val="22"/>
          <w:szCs w:val="20"/>
        </w:rPr>
        <w:t xml:space="preserve"> be mitigated</w:t>
      </w:r>
      <w:r w:rsidR="005D52B9" w:rsidRPr="008C10B7">
        <w:rPr>
          <w:rFonts w:cs="Times New Roman"/>
          <w:sz w:val="22"/>
          <w:szCs w:val="20"/>
        </w:rPr>
        <w:t>,</w:t>
      </w:r>
      <w:r w:rsidR="00FE1CAD" w:rsidRPr="008C10B7">
        <w:rPr>
          <w:rFonts w:cs="Times New Roman"/>
          <w:sz w:val="22"/>
          <w:szCs w:val="20"/>
        </w:rPr>
        <w:t xml:space="preserve"> because students are randomly assigned </w:t>
      </w:r>
      <w:r w:rsidR="005D52B9" w:rsidRPr="008C10B7">
        <w:rPr>
          <w:rFonts w:cs="Times New Roman"/>
          <w:sz w:val="22"/>
          <w:szCs w:val="20"/>
        </w:rPr>
        <w:t>to a university in China.</w:t>
      </w:r>
      <w:r w:rsidR="00FE1CAD" w:rsidRPr="008C10B7">
        <w:rPr>
          <w:rFonts w:cs="Times New Roman"/>
          <w:sz w:val="22"/>
          <w:szCs w:val="20"/>
        </w:rPr>
        <w:t xml:space="preserve"> </w:t>
      </w:r>
      <w:r w:rsidR="005D52B9" w:rsidRPr="008C10B7">
        <w:rPr>
          <w:rFonts w:cs="Times New Roman"/>
          <w:sz w:val="22"/>
          <w:szCs w:val="20"/>
        </w:rPr>
        <w:t>Hence, the</w:t>
      </w:r>
      <w:r w:rsidR="00FE1CAD" w:rsidRPr="008C10B7">
        <w:rPr>
          <w:rFonts w:cs="Times New Roman"/>
          <w:sz w:val="22"/>
          <w:szCs w:val="20"/>
        </w:rPr>
        <w:t xml:space="preserve"> self-selection bias </w:t>
      </w:r>
      <w:r w:rsidR="005D52B9" w:rsidRPr="008C10B7">
        <w:rPr>
          <w:rFonts w:cs="Times New Roman"/>
          <w:sz w:val="22"/>
          <w:szCs w:val="20"/>
        </w:rPr>
        <w:t xml:space="preserve">is likely to be less of an issue </w:t>
      </w:r>
      <w:r w:rsidR="00FE1CAD" w:rsidRPr="008C10B7">
        <w:rPr>
          <w:rFonts w:cs="Times New Roman"/>
          <w:sz w:val="22"/>
          <w:szCs w:val="20"/>
        </w:rPr>
        <w:t>for Chinese students</w:t>
      </w:r>
      <w:r w:rsidR="005D52B9" w:rsidRPr="008C10B7">
        <w:rPr>
          <w:rFonts w:cs="Times New Roman"/>
          <w:sz w:val="22"/>
          <w:szCs w:val="20"/>
        </w:rPr>
        <w:t>,</w:t>
      </w:r>
      <w:r w:rsidR="00FE1CAD" w:rsidRPr="008C10B7">
        <w:rPr>
          <w:rFonts w:cs="Times New Roman"/>
          <w:sz w:val="22"/>
          <w:szCs w:val="20"/>
        </w:rPr>
        <w:t xml:space="preserve"> compared to students in </w:t>
      </w:r>
      <w:r w:rsidR="005D52B9" w:rsidRPr="008C10B7">
        <w:rPr>
          <w:rFonts w:cs="Times New Roman"/>
          <w:sz w:val="22"/>
          <w:szCs w:val="20"/>
        </w:rPr>
        <w:t>some</w:t>
      </w:r>
      <w:r w:rsidR="00FE1CAD" w:rsidRPr="008C10B7">
        <w:rPr>
          <w:rFonts w:cs="Times New Roman"/>
          <w:sz w:val="22"/>
          <w:szCs w:val="20"/>
        </w:rPr>
        <w:t xml:space="preserve"> western countries</w:t>
      </w:r>
      <w:r w:rsidR="005D52B9" w:rsidRPr="008C10B7">
        <w:rPr>
          <w:rFonts w:cs="Times New Roman"/>
          <w:sz w:val="22"/>
          <w:szCs w:val="20"/>
        </w:rPr>
        <w:t>, for instance</w:t>
      </w:r>
      <w:r w:rsidR="00FE1CAD" w:rsidRPr="008C10B7">
        <w:rPr>
          <w:rFonts w:cs="Times New Roman"/>
          <w:sz w:val="22"/>
          <w:szCs w:val="20"/>
        </w:rPr>
        <w:t xml:space="preserve"> (Yang et al., 2021). </w:t>
      </w:r>
      <w:r w:rsidR="00EB5D10" w:rsidRPr="008C10B7">
        <w:rPr>
          <w:rFonts w:cs="Times New Roman"/>
          <w:sz w:val="22"/>
          <w:szCs w:val="20"/>
        </w:rPr>
        <w:t>Therefore, t</w:t>
      </w:r>
      <w:r w:rsidR="00D0189E" w:rsidRPr="008C10B7">
        <w:rPr>
          <w:rFonts w:cs="Times New Roman"/>
          <w:sz w:val="22"/>
          <w:szCs w:val="20"/>
        </w:rPr>
        <w:t xml:space="preserve">his study </w:t>
      </w:r>
      <w:r w:rsidR="00597AB1" w:rsidRPr="008C10B7">
        <w:rPr>
          <w:rFonts w:cs="Times New Roman"/>
          <w:sz w:val="22"/>
          <w:szCs w:val="20"/>
        </w:rPr>
        <w:t>investigates</w:t>
      </w:r>
      <w:r w:rsidR="007D634F" w:rsidRPr="008C10B7">
        <w:rPr>
          <w:rFonts w:cs="Times New Roman"/>
          <w:sz w:val="22"/>
          <w:szCs w:val="20"/>
        </w:rPr>
        <w:t xml:space="preserve"> the relationship between </w:t>
      </w:r>
      <w:r w:rsidR="00693664" w:rsidRPr="008C10B7">
        <w:rPr>
          <w:rFonts w:cs="Times New Roman"/>
          <w:sz w:val="22"/>
          <w:szCs w:val="20"/>
        </w:rPr>
        <w:t xml:space="preserve">the </w:t>
      </w:r>
      <w:r w:rsidR="0030654E" w:rsidRPr="008C10B7">
        <w:rPr>
          <w:rFonts w:cs="Times New Roman"/>
          <w:sz w:val="22"/>
          <w:szCs w:val="20"/>
        </w:rPr>
        <w:t>AT</w:t>
      </w:r>
      <w:r w:rsidR="007D634F" w:rsidRPr="008C10B7">
        <w:rPr>
          <w:rFonts w:cs="Times New Roman"/>
          <w:sz w:val="22"/>
          <w:szCs w:val="20"/>
        </w:rPr>
        <w:t xml:space="preserve"> </w:t>
      </w:r>
      <w:r w:rsidR="000A5B84" w:rsidRPr="008C10B7">
        <w:rPr>
          <w:rFonts w:cs="Times New Roman"/>
          <w:sz w:val="22"/>
          <w:szCs w:val="20"/>
        </w:rPr>
        <w:t xml:space="preserve">behaviour </w:t>
      </w:r>
      <w:r w:rsidR="007D634F" w:rsidRPr="008C10B7">
        <w:rPr>
          <w:rFonts w:cs="Times New Roman"/>
          <w:sz w:val="22"/>
          <w:szCs w:val="20"/>
        </w:rPr>
        <w:t>of university students and street greenery within</w:t>
      </w:r>
      <w:r w:rsidR="009A7CAC" w:rsidRPr="008C10B7">
        <w:rPr>
          <w:rFonts w:cs="Times New Roman"/>
          <w:sz w:val="22"/>
          <w:szCs w:val="20"/>
        </w:rPr>
        <w:t xml:space="preserve"> Chinese</w:t>
      </w:r>
      <w:r w:rsidR="007D634F" w:rsidRPr="008C10B7">
        <w:rPr>
          <w:rFonts w:cs="Times New Roman"/>
          <w:sz w:val="22"/>
          <w:szCs w:val="20"/>
        </w:rPr>
        <w:t xml:space="preserve"> closed </w:t>
      </w:r>
      <w:r w:rsidR="009A7CAC" w:rsidRPr="008C10B7">
        <w:rPr>
          <w:rFonts w:cs="Times New Roman"/>
          <w:sz w:val="22"/>
          <w:szCs w:val="20"/>
        </w:rPr>
        <w:t xml:space="preserve">university </w:t>
      </w:r>
      <w:r w:rsidR="007D634F" w:rsidRPr="008C10B7">
        <w:rPr>
          <w:rFonts w:cs="Times New Roman"/>
          <w:sz w:val="22"/>
          <w:szCs w:val="20"/>
        </w:rPr>
        <w:t xml:space="preserve">campuses. </w:t>
      </w:r>
    </w:p>
    <w:p w14:paraId="51F8CF8C" w14:textId="77777777" w:rsidR="005D52B9" w:rsidRPr="008C10B7" w:rsidRDefault="005D52B9" w:rsidP="002923BE">
      <w:pPr>
        <w:spacing w:line="360" w:lineRule="auto"/>
        <w:ind w:firstLine="420"/>
        <w:jc w:val="both"/>
        <w:rPr>
          <w:rFonts w:cs="Times New Roman"/>
          <w:sz w:val="22"/>
          <w:szCs w:val="20"/>
        </w:rPr>
      </w:pPr>
    </w:p>
    <w:p w14:paraId="667B0B61" w14:textId="39FC5A0E" w:rsidR="004D3D6C" w:rsidRPr="008C10B7" w:rsidRDefault="00711121" w:rsidP="00E7001C">
      <w:pPr>
        <w:pStyle w:val="ListParagraph"/>
        <w:autoSpaceDE w:val="0"/>
        <w:autoSpaceDN w:val="0"/>
        <w:adjustRightInd w:val="0"/>
        <w:spacing w:line="360" w:lineRule="auto"/>
        <w:ind w:left="0"/>
        <w:contextualSpacing w:val="0"/>
        <w:jc w:val="both"/>
        <w:outlineLvl w:val="0"/>
        <w:rPr>
          <w:rFonts w:cstheme="majorHAnsi"/>
          <w:b/>
          <w:sz w:val="22"/>
          <w:szCs w:val="28"/>
        </w:rPr>
      </w:pPr>
      <w:bookmarkStart w:id="20" w:name="_Toc78625141"/>
      <w:bookmarkEnd w:id="16"/>
      <w:r w:rsidRPr="008C10B7">
        <w:rPr>
          <w:rFonts w:cstheme="majorHAnsi"/>
          <w:b/>
          <w:sz w:val="22"/>
          <w:szCs w:val="28"/>
        </w:rPr>
        <w:t>3</w:t>
      </w:r>
      <w:r w:rsidR="00986BB0" w:rsidRPr="008C10B7">
        <w:rPr>
          <w:rFonts w:cstheme="majorHAnsi"/>
          <w:b/>
          <w:sz w:val="22"/>
          <w:szCs w:val="28"/>
        </w:rPr>
        <w:t>.</w:t>
      </w:r>
      <w:r w:rsidRPr="008C10B7">
        <w:rPr>
          <w:rFonts w:cstheme="majorHAnsi"/>
          <w:b/>
          <w:sz w:val="22"/>
          <w:szCs w:val="28"/>
        </w:rPr>
        <w:t xml:space="preserve"> Case </w:t>
      </w:r>
      <w:r w:rsidR="00986BB0" w:rsidRPr="008C10B7">
        <w:rPr>
          <w:rFonts w:cstheme="majorHAnsi"/>
          <w:b/>
          <w:sz w:val="22"/>
          <w:szCs w:val="28"/>
        </w:rPr>
        <w:t>s</w:t>
      </w:r>
      <w:r w:rsidR="001E3ACF" w:rsidRPr="008C10B7">
        <w:rPr>
          <w:rFonts w:cstheme="majorHAnsi"/>
          <w:b/>
          <w:sz w:val="22"/>
          <w:szCs w:val="28"/>
        </w:rPr>
        <w:t>tudy</w:t>
      </w:r>
      <w:r w:rsidR="00A97B6B" w:rsidRPr="008C10B7">
        <w:rPr>
          <w:rFonts w:cstheme="majorHAnsi"/>
          <w:b/>
          <w:sz w:val="22"/>
          <w:szCs w:val="28"/>
        </w:rPr>
        <w:t xml:space="preserve">, </w:t>
      </w:r>
      <w:proofErr w:type="gramStart"/>
      <w:r w:rsidR="00A97B6B" w:rsidRPr="008C10B7">
        <w:rPr>
          <w:rFonts w:cstheme="majorHAnsi"/>
          <w:b/>
          <w:sz w:val="22"/>
          <w:szCs w:val="28"/>
        </w:rPr>
        <w:t>data</w:t>
      </w:r>
      <w:proofErr w:type="gramEnd"/>
      <w:r w:rsidR="001E3ACF" w:rsidRPr="008C10B7">
        <w:rPr>
          <w:rFonts w:cstheme="majorHAnsi"/>
          <w:b/>
          <w:sz w:val="22"/>
          <w:szCs w:val="28"/>
        </w:rPr>
        <w:t xml:space="preserve"> </w:t>
      </w:r>
      <w:r w:rsidRPr="008C10B7">
        <w:rPr>
          <w:rFonts w:cstheme="majorHAnsi"/>
          <w:b/>
          <w:sz w:val="22"/>
          <w:szCs w:val="28"/>
        </w:rPr>
        <w:t xml:space="preserve">and </w:t>
      </w:r>
      <w:r w:rsidR="00986BB0" w:rsidRPr="008C10B7">
        <w:rPr>
          <w:rFonts w:cstheme="majorHAnsi"/>
          <w:b/>
          <w:sz w:val="22"/>
          <w:szCs w:val="28"/>
        </w:rPr>
        <w:t>m</w:t>
      </w:r>
      <w:r w:rsidRPr="008C10B7">
        <w:rPr>
          <w:rFonts w:cstheme="majorHAnsi"/>
          <w:b/>
          <w:sz w:val="22"/>
          <w:szCs w:val="28"/>
        </w:rPr>
        <w:t>ethod</w:t>
      </w:r>
      <w:bookmarkEnd w:id="20"/>
    </w:p>
    <w:p w14:paraId="19706560" w14:textId="21179724" w:rsidR="004D3D6C" w:rsidRPr="008C10B7" w:rsidRDefault="00711121" w:rsidP="00E7001C">
      <w:pPr>
        <w:pStyle w:val="Heading2"/>
        <w:keepNext/>
        <w:keepLines/>
        <w:spacing w:before="0" w:beforeAutospacing="0" w:after="0" w:afterAutospacing="0" w:line="360" w:lineRule="auto"/>
        <w:jc w:val="both"/>
        <w:rPr>
          <w:rFonts w:eastAsiaTheme="majorEastAsia" w:cstheme="majorHAnsi"/>
          <w:b w:val="0"/>
          <w:i/>
          <w:iCs/>
          <w:sz w:val="22"/>
          <w:szCs w:val="32"/>
          <w:lang w:val="en-GB" w:eastAsia="en-US"/>
        </w:rPr>
      </w:pPr>
      <w:bookmarkStart w:id="21" w:name="_Toc78625142"/>
      <w:r w:rsidRPr="008C10B7">
        <w:rPr>
          <w:rFonts w:eastAsiaTheme="majorEastAsia" w:cstheme="majorHAnsi"/>
          <w:b w:val="0"/>
          <w:i/>
          <w:iCs/>
          <w:sz w:val="22"/>
          <w:szCs w:val="22"/>
          <w:lang w:val="en-GB" w:eastAsia="en-US"/>
        </w:rPr>
        <w:t>3.</w:t>
      </w:r>
      <w:r w:rsidR="00262E9E" w:rsidRPr="008C10B7">
        <w:rPr>
          <w:rFonts w:eastAsiaTheme="majorEastAsia" w:cstheme="majorHAnsi"/>
          <w:b w:val="0"/>
          <w:i/>
          <w:iCs/>
          <w:sz w:val="22"/>
          <w:szCs w:val="22"/>
          <w:lang w:val="en-GB" w:eastAsia="en-US"/>
        </w:rPr>
        <w:t>1</w:t>
      </w:r>
      <w:r w:rsidR="00986BB0" w:rsidRPr="008C10B7">
        <w:rPr>
          <w:rFonts w:eastAsiaTheme="majorEastAsia" w:cstheme="majorHAnsi"/>
          <w:b w:val="0"/>
          <w:i/>
          <w:iCs/>
          <w:sz w:val="22"/>
          <w:szCs w:val="22"/>
          <w:lang w:val="en-GB" w:eastAsia="en-US"/>
        </w:rPr>
        <w:t>.</w:t>
      </w:r>
      <w:r w:rsidR="00262E9E" w:rsidRPr="008C10B7">
        <w:rPr>
          <w:rFonts w:eastAsiaTheme="majorEastAsia" w:cstheme="majorHAnsi"/>
          <w:b w:val="0"/>
          <w:i/>
          <w:iCs/>
          <w:sz w:val="22"/>
          <w:szCs w:val="22"/>
          <w:lang w:val="en-GB" w:eastAsia="en-US"/>
        </w:rPr>
        <w:tab/>
      </w:r>
      <w:r w:rsidRPr="008C10B7">
        <w:rPr>
          <w:rFonts w:eastAsiaTheme="majorEastAsia" w:cstheme="majorHAnsi"/>
          <w:b w:val="0"/>
          <w:i/>
          <w:iCs/>
          <w:sz w:val="22"/>
          <w:szCs w:val="22"/>
          <w:lang w:val="en-GB" w:eastAsia="en-US"/>
        </w:rPr>
        <w:t xml:space="preserve">Study </w:t>
      </w:r>
      <w:r w:rsidR="00597AB1" w:rsidRPr="008C10B7">
        <w:rPr>
          <w:rFonts w:eastAsiaTheme="majorEastAsia" w:cstheme="majorHAnsi"/>
          <w:b w:val="0"/>
          <w:i/>
          <w:iCs/>
          <w:sz w:val="22"/>
          <w:szCs w:val="22"/>
          <w:lang w:val="en-GB" w:eastAsia="en-US"/>
        </w:rPr>
        <w:t>a</w:t>
      </w:r>
      <w:r w:rsidRPr="008C10B7">
        <w:rPr>
          <w:rFonts w:eastAsiaTheme="majorEastAsia" w:cstheme="majorHAnsi"/>
          <w:b w:val="0"/>
          <w:i/>
          <w:iCs/>
          <w:sz w:val="22"/>
          <w:szCs w:val="22"/>
          <w:lang w:val="en-GB" w:eastAsia="en-US"/>
        </w:rPr>
        <w:t>rea</w:t>
      </w:r>
      <w:bookmarkEnd w:id="21"/>
    </w:p>
    <w:p w14:paraId="2198F17B" w14:textId="6956B11E" w:rsidR="004D3D6C" w:rsidRPr="008C10B7" w:rsidRDefault="003E76FA" w:rsidP="00E7001C">
      <w:pPr>
        <w:spacing w:line="360" w:lineRule="auto"/>
        <w:jc w:val="both"/>
        <w:rPr>
          <w:rFonts w:cs="Times New Roman"/>
          <w:sz w:val="22"/>
          <w:szCs w:val="22"/>
        </w:rPr>
      </w:pPr>
      <w:r w:rsidRPr="008C10B7">
        <w:rPr>
          <w:rFonts w:cs="Times New Roman"/>
          <w:sz w:val="22"/>
          <w:szCs w:val="22"/>
        </w:rPr>
        <w:t xml:space="preserve">Guangzhou Higher Education Mega </w:t>
      </w:r>
      <w:r w:rsidR="00C87492" w:rsidRPr="008C10B7">
        <w:rPr>
          <w:rFonts w:cs="Times New Roman"/>
          <w:sz w:val="22"/>
          <w:szCs w:val="22"/>
        </w:rPr>
        <w:t>Centre</w:t>
      </w:r>
      <w:r w:rsidRPr="008C10B7">
        <w:rPr>
          <w:rFonts w:cs="Times New Roman"/>
          <w:sz w:val="22"/>
          <w:szCs w:val="22"/>
        </w:rPr>
        <w:t xml:space="preserve"> (HEMC)</w:t>
      </w:r>
      <w:r w:rsidR="00A01BAF" w:rsidRPr="008C10B7">
        <w:rPr>
          <w:rFonts w:cs="Times New Roman"/>
          <w:sz w:val="22"/>
          <w:szCs w:val="22"/>
        </w:rPr>
        <w:t xml:space="preserve"> is situated</w:t>
      </w:r>
      <w:r w:rsidRPr="008C10B7">
        <w:rPr>
          <w:rFonts w:cs="Times New Roman"/>
          <w:sz w:val="22"/>
          <w:szCs w:val="22"/>
        </w:rPr>
        <w:t xml:space="preserve"> in Guangzhou city, the capital city of Guangdong province, China. </w:t>
      </w:r>
      <w:r w:rsidR="005C7341" w:rsidRPr="008C10B7">
        <w:rPr>
          <w:rFonts w:cs="Times New Roman"/>
          <w:sz w:val="22"/>
          <w:szCs w:val="22"/>
        </w:rPr>
        <w:t>Guangzhou HEMC is a national advanced university settlement that offers integrated learning, research, strong links with industry, senior talent training, scientific research, and good communications</w:t>
      </w:r>
      <w:r w:rsidRPr="008C10B7">
        <w:rPr>
          <w:rFonts w:cs="Times New Roman"/>
          <w:sz w:val="22"/>
          <w:szCs w:val="22"/>
        </w:rPr>
        <w:t>. Guangzhou HEMC has a large population</w:t>
      </w:r>
      <w:r w:rsidR="00597AB1" w:rsidRPr="008C10B7">
        <w:rPr>
          <w:rFonts w:cs="Times New Roman"/>
          <w:sz w:val="22"/>
          <w:szCs w:val="22"/>
        </w:rPr>
        <w:t>,</w:t>
      </w:r>
      <w:r w:rsidRPr="008C10B7">
        <w:rPr>
          <w:rFonts w:cs="Times New Roman"/>
          <w:sz w:val="22"/>
          <w:szCs w:val="22"/>
        </w:rPr>
        <w:t xml:space="preserve"> with over 250,000 students and </w:t>
      </w:r>
      <w:r w:rsidR="00DD1F0E" w:rsidRPr="008C10B7">
        <w:rPr>
          <w:rFonts w:cs="Times New Roman"/>
          <w:sz w:val="22"/>
          <w:szCs w:val="22"/>
        </w:rPr>
        <w:t xml:space="preserve">lecturers </w:t>
      </w:r>
      <w:r w:rsidRPr="008C10B7">
        <w:rPr>
          <w:rFonts w:cs="Times New Roman"/>
          <w:sz w:val="22"/>
          <w:szCs w:val="22"/>
        </w:rPr>
        <w:t xml:space="preserve">studying and living there </w:t>
      </w:r>
      <w:r w:rsidR="00711121" w:rsidRPr="008C10B7">
        <w:rPr>
          <w:rFonts w:cs="Times New Roman"/>
          <w:sz w:val="22"/>
          <w:szCs w:val="22"/>
        </w:rPr>
        <w:fldChar w:fldCharType="begin" w:fldLock="1"/>
      </w:r>
      <w:r w:rsidR="00B74AD7" w:rsidRPr="008C10B7">
        <w:rPr>
          <w:rFonts w:cs="Times New Roman"/>
          <w:sz w:val="22"/>
          <w:szCs w:val="22"/>
        </w:rPr>
        <w:instrText>ADDIN CSL_CITATION {"citationItems":[{"id":"ITEM-1","itemData":{"DOI":"10.1109/ITSC.2012.6338868","ISBN":"9781467330640","abstract":"In China, many cities construct Higher Education Mega Centers (HEMC) in large-scale, but HEMC's construction is finished in a short period, many problems have no time to discuss and be left unsolved, especially in road traffic. For example, in these years, there are many road accidental injuries to the students in HEMC; most of them are cyclists, for bicycle is the main traffic vehicle of campus students. This paper summarizes four main factors that influence the cyclist safety in campus: slope gradient, road curvature, the distance approaches to the intersections and other special factors (like rainy day) that contribute to the road risk. By using of S-type function in Fuzzy Mathematics, the forward three main risk factors are quantified and normalized, and a comprehensive safety evaluation model for cyclist is established. The east campus of Sun Yat-sen University in GZ HEMC has been used as an application of the road risk distribution model. With the help of GIS software, all risk values of points in road are interpolated through sample points by DTM function, and the risk DTM is overlaid on the remote sensing image of the same area. Finally a risk distribution map along road for cyclists of campus in sunny days is created, so does in rainy days. Through field based interviews, we can prove that risk distribution map is in accord with realistic bicycle crash locations, it can serve as a basis reference for improving cyclist safety in campus of HEMC, as well as a safety information and guidance for students. © 2012 IEEE.","author":[{"dropping-particle":"","family":"Hu","given":"Jihua","non-dropping-particle":"","parse-names":false,"suffix":""},{"dropping-particle":"","family":"Zhong","given":"Guangpeng","non-dropping-particle":"","parse-names":false,"suffix":""},{"dropping-particle":"","family":"Cheng","given":"Zhifeng","non-dropping-particle":"","parse-names":false,"suffix":""},{"dropping-particle":"","family":"Wang","given":"Dalei","non-dropping-particle":"","parse-names":false,"suffix":""}],"container-title":"IEEE Conference on Intelligent Transportation Systems, Proceedings, ITSC","id":"ITEM-1","issued":{"date-parts":[["2012"]]},"page":"1127-1131","title":"GIS-based road safety evaluation model for cyclist in campus of Higher Education Mega Center","type":"paper-conference"},"uris":["http://www.mendeley.com/documents/?uuid=09d490a6-5801-36ea-820a-566d3d1a9b76"]}],"mendeley":{"formattedCitation":"(Hu et al., 2012)","plainTextFormattedCitation":"(Hu et al., 2012)","previouslyFormattedCitation":"(Hu et al., 2012)"},"properties":{"noteIndex":0},"schema":"https://github.com/citation-style-language/schema/raw/master/csl-citation.json"}</w:instrText>
      </w:r>
      <w:r w:rsidR="00711121" w:rsidRPr="008C10B7">
        <w:rPr>
          <w:rFonts w:cs="Times New Roman"/>
          <w:sz w:val="22"/>
          <w:szCs w:val="22"/>
        </w:rPr>
        <w:fldChar w:fldCharType="separate"/>
      </w:r>
      <w:r w:rsidR="008C7EFD" w:rsidRPr="008C10B7">
        <w:rPr>
          <w:rFonts w:cs="Times New Roman"/>
          <w:sz w:val="22"/>
          <w:szCs w:val="22"/>
        </w:rPr>
        <w:t>(Hu et al., 2012)</w:t>
      </w:r>
      <w:r w:rsidR="00711121" w:rsidRPr="008C10B7">
        <w:rPr>
          <w:rFonts w:cs="Times New Roman"/>
          <w:sz w:val="22"/>
          <w:szCs w:val="22"/>
        </w:rPr>
        <w:fldChar w:fldCharType="end"/>
      </w:r>
      <w:r w:rsidR="00711121" w:rsidRPr="008C10B7">
        <w:rPr>
          <w:rFonts w:cs="Times New Roman"/>
          <w:sz w:val="22"/>
          <w:szCs w:val="22"/>
        </w:rPr>
        <w:t xml:space="preserve">. </w:t>
      </w:r>
      <w:r w:rsidR="00EF6B2F" w:rsidRPr="008C10B7">
        <w:rPr>
          <w:rFonts w:cs="Times New Roman"/>
          <w:sz w:val="22"/>
          <w:szCs w:val="22"/>
        </w:rPr>
        <w:lastRenderedPageBreak/>
        <w:t>It consists of a conglomeration of</w:t>
      </w:r>
      <w:r w:rsidRPr="008C10B7">
        <w:rPr>
          <w:rFonts w:cs="Times New Roman"/>
          <w:sz w:val="22"/>
          <w:szCs w:val="22"/>
        </w:rPr>
        <w:t xml:space="preserve"> </w:t>
      </w:r>
      <w:r w:rsidR="00EC5DF4" w:rsidRPr="008C10B7">
        <w:rPr>
          <w:rFonts w:cs="Times New Roman"/>
          <w:sz w:val="22"/>
          <w:szCs w:val="22"/>
        </w:rPr>
        <w:t>ten</w:t>
      </w:r>
      <w:r w:rsidRPr="008C10B7">
        <w:rPr>
          <w:rFonts w:cs="Times New Roman"/>
          <w:sz w:val="22"/>
          <w:szCs w:val="22"/>
        </w:rPr>
        <w:t xml:space="preserve"> universities: Sun </w:t>
      </w:r>
      <w:proofErr w:type="spellStart"/>
      <w:r w:rsidRPr="008C10B7">
        <w:rPr>
          <w:rFonts w:cs="Times New Roman"/>
          <w:sz w:val="22"/>
          <w:szCs w:val="22"/>
        </w:rPr>
        <w:t>Yat-sen</w:t>
      </w:r>
      <w:proofErr w:type="spellEnd"/>
      <w:r w:rsidRPr="008C10B7">
        <w:rPr>
          <w:rFonts w:cs="Times New Roman"/>
          <w:sz w:val="22"/>
          <w:szCs w:val="22"/>
        </w:rPr>
        <w:t xml:space="preserve"> University (A), South China Normal University (B), South China University of Technology (C), Guangzhou University (D), Guangdong University of Technology (E), Guangdong University of Foreign Studies (F), Guangzhou University of Chinese Medicine (G), Guangzhou Academy of Fine Arts (H), </w:t>
      </w:r>
      <w:proofErr w:type="spellStart"/>
      <w:r w:rsidRPr="008C10B7">
        <w:rPr>
          <w:rFonts w:cs="Times New Roman"/>
          <w:sz w:val="22"/>
          <w:szCs w:val="22"/>
        </w:rPr>
        <w:t>Xinghai</w:t>
      </w:r>
      <w:proofErr w:type="spellEnd"/>
      <w:r w:rsidRPr="008C10B7">
        <w:rPr>
          <w:rFonts w:cs="Times New Roman"/>
          <w:sz w:val="22"/>
          <w:szCs w:val="22"/>
        </w:rPr>
        <w:t xml:space="preserve"> Conservatory of Music (I)</w:t>
      </w:r>
      <w:r w:rsidR="00EC5DF4" w:rsidRPr="008C10B7">
        <w:rPr>
          <w:rFonts w:cs="Times New Roman"/>
          <w:sz w:val="22"/>
          <w:szCs w:val="22"/>
        </w:rPr>
        <w:t>,</w:t>
      </w:r>
      <w:r w:rsidRPr="008C10B7">
        <w:rPr>
          <w:rFonts w:cs="Times New Roman"/>
          <w:sz w:val="22"/>
          <w:szCs w:val="22"/>
        </w:rPr>
        <w:t xml:space="preserve"> and Guangdong Pharmaceutical University (J). Guangzhou HEMC covers </w:t>
      </w:r>
      <w:r w:rsidR="00EF6B2F" w:rsidRPr="008C10B7">
        <w:rPr>
          <w:rFonts w:cs="Times New Roman"/>
          <w:sz w:val="22"/>
          <w:szCs w:val="22"/>
        </w:rPr>
        <w:t xml:space="preserve">an area of </w:t>
      </w:r>
      <w:r w:rsidRPr="008C10B7">
        <w:rPr>
          <w:rFonts w:cs="Times New Roman"/>
          <w:sz w:val="22"/>
          <w:szCs w:val="22"/>
        </w:rPr>
        <w:t>43.3 km</w:t>
      </w:r>
      <w:r w:rsidRPr="008C10B7">
        <w:rPr>
          <w:rFonts w:cs="Times New Roman"/>
          <w:sz w:val="22"/>
          <w:szCs w:val="22"/>
          <w:vertAlign w:val="superscript"/>
        </w:rPr>
        <w:t>2</w:t>
      </w:r>
      <w:r w:rsidRPr="008C10B7">
        <w:rPr>
          <w:rFonts w:cs="Times New Roman"/>
          <w:sz w:val="22"/>
          <w:szCs w:val="22"/>
        </w:rPr>
        <w:t>,</w:t>
      </w:r>
      <w:r w:rsidR="00EC5DF4" w:rsidRPr="008C10B7">
        <w:rPr>
          <w:rFonts w:cs="Times New Roman"/>
          <w:sz w:val="22"/>
          <w:szCs w:val="22"/>
        </w:rPr>
        <w:t xml:space="preserve"> and it is</w:t>
      </w:r>
      <w:r w:rsidRPr="008C10B7">
        <w:rPr>
          <w:rFonts w:cs="Times New Roman"/>
          <w:sz w:val="22"/>
          <w:szCs w:val="22"/>
        </w:rPr>
        <w:t xml:space="preserve"> located on an island surrounded by the Pearl River (Fig</w:t>
      </w:r>
      <w:r w:rsidR="00AB2CF4" w:rsidRPr="008C10B7">
        <w:rPr>
          <w:rFonts w:cs="Times New Roman"/>
          <w:sz w:val="22"/>
          <w:szCs w:val="22"/>
        </w:rPr>
        <w:t>ure</w:t>
      </w:r>
      <w:r w:rsidRPr="008C10B7">
        <w:rPr>
          <w:rFonts w:cs="Times New Roman"/>
          <w:sz w:val="22"/>
          <w:szCs w:val="22"/>
        </w:rPr>
        <w:t xml:space="preserve"> </w:t>
      </w:r>
      <w:r w:rsidR="00FD78EF" w:rsidRPr="008C10B7">
        <w:rPr>
          <w:rFonts w:cs="Times New Roman"/>
          <w:sz w:val="22"/>
          <w:szCs w:val="22"/>
        </w:rPr>
        <w:t>1</w:t>
      </w:r>
      <w:r w:rsidRPr="008C10B7">
        <w:rPr>
          <w:rFonts w:cs="Times New Roman"/>
          <w:sz w:val="22"/>
          <w:szCs w:val="22"/>
        </w:rPr>
        <w:t xml:space="preserve">). </w:t>
      </w:r>
      <w:bookmarkStart w:id="22" w:name="_Hlk100675320"/>
      <w:r w:rsidR="001A79EC" w:rsidRPr="008C10B7">
        <w:rPr>
          <w:rFonts w:cs="Times New Roman"/>
          <w:sz w:val="22"/>
          <w:szCs w:val="22"/>
        </w:rPr>
        <w:t xml:space="preserve">Guangzhou HEMC </w:t>
      </w:r>
      <w:proofErr w:type="gramStart"/>
      <w:r w:rsidR="001A79EC" w:rsidRPr="008C10B7">
        <w:rPr>
          <w:rFonts w:cs="Times New Roman"/>
          <w:sz w:val="22"/>
          <w:szCs w:val="22"/>
        </w:rPr>
        <w:t>is located in</w:t>
      </w:r>
      <w:proofErr w:type="gramEnd"/>
      <w:r w:rsidR="005F349F">
        <w:rPr>
          <w:rFonts w:cs="Times New Roman"/>
          <w:sz w:val="22"/>
          <w:szCs w:val="22"/>
        </w:rPr>
        <w:t xml:space="preserve"> the</w:t>
      </w:r>
      <w:r w:rsidR="001A79EC" w:rsidRPr="008C10B7">
        <w:rPr>
          <w:rFonts w:cs="Times New Roman"/>
          <w:sz w:val="22"/>
          <w:szCs w:val="22"/>
        </w:rPr>
        <w:t xml:space="preserve"> </w:t>
      </w:r>
      <w:proofErr w:type="spellStart"/>
      <w:r w:rsidR="001A79EC" w:rsidRPr="008C10B7">
        <w:rPr>
          <w:rFonts w:cs="Times New Roman"/>
          <w:sz w:val="22"/>
          <w:szCs w:val="22"/>
        </w:rPr>
        <w:t>Panyu</w:t>
      </w:r>
      <w:proofErr w:type="spellEnd"/>
      <w:r w:rsidR="001A79EC" w:rsidRPr="008C10B7">
        <w:rPr>
          <w:rFonts w:cs="Times New Roman"/>
          <w:sz w:val="22"/>
          <w:szCs w:val="22"/>
        </w:rPr>
        <w:t xml:space="preserve"> district, the urban area of Guangzhou City, which </w:t>
      </w:r>
      <w:r w:rsidR="00FC6BB3" w:rsidRPr="008C10B7">
        <w:rPr>
          <w:rFonts w:cs="Times New Roman"/>
          <w:sz w:val="22"/>
          <w:szCs w:val="22"/>
        </w:rPr>
        <w:t>has good</w:t>
      </w:r>
      <w:r w:rsidR="001A79EC" w:rsidRPr="008C10B7">
        <w:rPr>
          <w:rFonts w:cs="Times New Roman"/>
          <w:sz w:val="22"/>
          <w:szCs w:val="22"/>
        </w:rPr>
        <w:t xml:space="preserve"> public transport</w:t>
      </w:r>
      <w:r w:rsidR="00FC6BB3" w:rsidRPr="008C10B7">
        <w:rPr>
          <w:rFonts w:cs="Times New Roman"/>
          <w:sz w:val="22"/>
          <w:szCs w:val="22"/>
        </w:rPr>
        <w:t xml:space="preserve"> coverage,</w:t>
      </w:r>
      <w:r w:rsidR="001A79EC" w:rsidRPr="008C10B7">
        <w:rPr>
          <w:rFonts w:cs="Times New Roman"/>
          <w:sz w:val="22"/>
          <w:szCs w:val="22"/>
        </w:rPr>
        <w:t xml:space="preserve"> including </w:t>
      </w:r>
      <w:r w:rsidR="00FC6BB3" w:rsidRPr="008C10B7">
        <w:rPr>
          <w:rFonts w:cs="Times New Roman"/>
          <w:sz w:val="22"/>
          <w:szCs w:val="22"/>
        </w:rPr>
        <w:t xml:space="preserve">the </w:t>
      </w:r>
      <w:r w:rsidR="001A79EC" w:rsidRPr="008C10B7">
        <w:rPr>
          <w:rFonts w:cs="Times New Roman"/>
          <w:sz w:val="22"/>
          <w:szCs w:val="22"/>
        </w:rPr>
        <w:t>metro and bus</w:t>
      </w:r>
      <w:r w:rsidR="00FC6BB3" w:rsidRPr="008C10B7">
        <w:rPr>
          <w:rFonts w:cs="Times New Roman"/>
          <w:sz w:val="22"/>
          <w:szCs w:val="22"/>
        </w:rPr>
        <w:t>es</w:t>
      </w:r>
      <w:r w:rsidR="001A79EC" w:rsidRPr="008C10B7">
        <w:rPr>
          <w:rFonts w:cs="Times New Roman"/>
          <w:sz w:val="22"/>
          <w:szCs w:val="22"/>
        </w:rPr>
        <w:t xml:space="preserve">, </w:t>
      </w:r>
      <w:r w:rsidR="00FC6BB3" w:rsidRPr="008C10B7">
        <w:rPr>
          <w:rFonts w:cs="Times New Roman"/>
          <w:sz w:val="22"/>
          <w:szCs w:val="22"/>
        </w:rPr>
        <w:t>making it possible to get to</w:t>
      </w:r>
      <w:r w:rsidR="001A79EC" w:rsidRPr="008C10B7">
        <w:rPr>
          <w:rFonts w:cs="Times New Roman"/>
          <w:sz w:val="22"/>
          <w:szCs w:val="22"/>
        </w:rPr>
        <w:t xml:space="preserve"> the cent</w:t>
      </w:r>
      <w:r w:rsidR="004716E5" w:rsidRPr="008C10B7">
        <w:rPr>
          <w:rFonts w:cs="Times New Roman"/>
          <w:sz w:val="22"/>
          <w:szCs w:val="22"/>
        </w:rPr>
        <w:t>re</w:t>
      </w:r>
      <w:r w:rsidR="001A79EC" w:rsidRPr="008C10B7">
        <w:rPr>
          <w:rFonts w:cs="Times New Roman"/>
          <w:sz w:val="22"/>
          <w:szCs w:val="22"/>
        </w:rPr>
        <w:t xml:space="preserve"> of Guangzhou within half an hour.</w:t>
      </w:r>
      <w:bookmarkEnd w:id="22"/>
      <w:r w:rsidR="001A79EC" w:rsidRPr="008C10B7">
        <w:rPr>
          <w:rFonts w:cs="Times New Roman"/>
          <w:sz w:val="22"/>
          <w:szCs w:val="22"/>
        </w:rPr>
        <w:t xml:space="preserve"> </w:t>
      </w:r>
      <w:r w:rsidRPr="008C10B7">
        <w:rPr>
          <w:rFonts w:cs="Times New Roman"/>
          <w:sz w:val="22"/>
          <w:szCs w:val="22"/>
        </w:rPr>
        <w:t xml:space="preserve">Instead of the scattered </w:t>
      </w:r>
      <w:r w:rsidR="00EF6B2F" w:rsidRPr="008C10B7">
        <w:rPr>
          <w:rFonts w:cs="Times New Roman"/>
          <w:sz w:val="22"/>
          <w:szCs w:val="22"/>
        </w:rPr>
        <w:t xml:space="preserve">pattern of </w:t>
      </w:r>
      <w:r w:rsidRPr="008C10B7">
        <w:rPr>
          <w:rFonts w:cs="Times New Roman"/>
          <w:sz w:val="22"/>
          <w:szCs w:val="22"/>
        </w:rPr>
        <w:t xml:space="preserve">distribution of universities in other cities such as Shanghai and Beijing, Guangzhou HEMC </w:t>
      </w:r>
      <w:r w:rsidR="00EF6B2F" w:rsidRPr="008C10B7">
        <w:rPr>
          <w:rFonts w:cs="Times New Roman"/>
          <w:sz w:val="22"/>
          <w:szCs w:val="22"/>
        </w:rPr>
        <w:t>is comprised of a</w:t>
      </w:r>
      <w:r w:rsidRPr="008C10B7">
        <w:rPr>
          <w:rFonts w:cs="Times New Roman"/>
          <w:sz w:val="22"/>
          <w:szCs w:val="22"/>
        </w:rPr>
        <w:t xml:space="preserve"> dense distribution of university </w:t>
      </w:r>
      <w:proofErr w:type="gramStart"/>
      <w:r w:rsidRPr="008C10B7">
        <w:rPr>
          <w:rFonts w:cs="Times New Roman"/>
          <w:sz w:val="22"/>
          <w:szCs w:val="22"/>
        </w:rPr>
        <w:t>campuses</w:t>
      </w:r>
      <w:proofErr w:type="gramEnd"/>
      <w:r w:rsidRPr="008C10B7">
        <w:rPr>
          <w:rFonts w:cs="Times New Roman"/>
          <w:sz w:val="22"/>
          <w:szCs w:val="22"/>
        </w:rPr>
        <w:t xml:space="preserve"> and </w:t>
      </w:r>
      <w:r w:rsidR="00EF6B2F" w:rsidRPr="008C10B7">
        <w:rPr>
          <w:rFonts w:cs="Times New Roman"/>
          <w:sz w:val="22"/>
          <w:szCs w:val="22"/>
        </w:rPr>
        <w:t xml:space="preserve">it </w:t>
      </w:r>
      <w:r w:rsidR="00EC5DF4" w:rsidRPr="008C10B7">
        <w:rPr>
          <w:rFonts w:cs="Times New Roman"/>
          <w:sz w:val="22"/>
          <w:szCs w:val="22"/>
        </w:rPr>
        <w:t xml:space="preserve">has </w:t>
      </w:r>
      <w:r w:rsidRPr="008C10B7">
        <w:rPr>
          <w:rFonts w:cs="Times New Roman"/>
          <w:sz w:val="22"/>
          <w:szCs w:val="22"/>
        </w:rPr>
        <w:t xml:space="preserve">developed </w:t>
      </w:r>
      <w:r w:rsidR="00043649" w:rsidRPr="008C10B7">
        <w:rPr>
          <w:rFonts w:cs="Times New Roman"/>
          <w:sz w:val="22"/>
          <w:szCs w:val="22"/>
        </w:rPr>
        <w:t xml:space="preserve">almost exclusively as a hub </w:t>
      </w:r>
      <w:r w:rsidRPr="008C10B7">
        <w:rPr>
          <w:rFonts w:cs="Times New Roman"/>
          <w:sz w:val="22"/>
          <w:szCs w:val="22"/>
        </w:rPr>
        <w:t xml:space="preserve">for higher education. Due to this unique demographic background and development </w:t>
      </w:r>
      <w:r w:rsidR="00043649" w:rsidRPr="008C10B7">
        <w:rPr>
          <w:rFonts w:cs="Times New Roman"/>
          <w:sz w:val="22"/>
          <w:szCs w:val="22"/>
        </w:rPr>
        <w:t>trajectory</w:t>
      </w:r>
      <w:r w:rsidRPr="008C10B7">
        <w:rPr>
          <w:rFonts w:cs="Times New Roman"/>
          <w:sz w:val="22"/>
          <w:szCs w:val="22"/>
        </w:rPr>
        <w:t xml:space="preserve">, it </w:t>
      </w:r>
      <w:r w:rsidR="00043649" w:rsidRPr="008C10B7">
        <w:rPr>
          <w:rFonts w:cs="Times New Roman"/>
          <w:sz w:val="22"/>
          <w:szCs w:val="22"/>
        </w:rPr>
        <w:t xml:space="preserve">can be regarded as </w:t>
      </w:r>
      <w:r w:rsidRPr="008C10B7">
        <w:rPr>
          <w:rFonts w:cs="Times New Roman"/>
          <w:sz w:val="22"/>
          <w:szCs w:val="22"/>
        </w:rPr>
        <w:t xml:space="preserve">a representative study area </w:t>
      </w:r>
      <w:r w:rsidR="00EC5DF4" w:rsidRPr="008C10B7">
        <w:rPr>
          <w:rFonts w:cs="Times New Roman"/>
          <w:sz w:val="22"/>
          <w:szCs w:val="22"/>
        </w:rPr>
        <w:t>for</w:t>
      </w:r>
      <w:r w:rsidRPr="008C10B7">
        <w:rPr>
          <w:rFonts w:cs="Times New Roman"/>
          <w:sz w:val="22"/>
          <w:szCs w:val="22"/>
        </w:rPr>
        <w:t xml:space="preserve"> investigat</w:t>
      </w:r>
      <w:r w:rsidR="00EC5DF4" w:rsidRPr="008C10B7">
        <w:rPr>
          <w:rFonts w:cs="Times New Roman"/>
          <w:sz w:val="22"/>
          <w:szCs w:val="22"/>
        </w:rPr>
        <w:t>ing</w:t>
      </w:r>
      <w:r w:rsidRPr="008C10B7">
        <w:rPr>
          <w:rFonts w:cs="Times New Roman"/>
          <w:sz w:val="22"/>
          <w:szCs w:val="22"/>
        </w:rPr>
        <w:t xml:space="preserve"> </w:t>
      </w:r>
      <w:r w:rsidR="00043649" w:rsidRPr="008C10B7">
        <w:rPr>
          <w:rFonts w:cs="Times New Roman"/>
          <w:sz w:val="22"/>
          <w:szCs w:val="22"/>
        </w:rPr>
        <w:t xml:space="preserve">the AT behaviour of </w:t>
      </w:r>
      <w:r w:rsidRPr="008C10B7">
        <w:rPr>
          <w:rFonts w:cs="Times New Roman"/>
          <w:sz w:val="22"/>
          <w:szCs w:val="22"/>
        </w:rPr>
        <w:t>Chinese university students</w:t>
      </w:r>
      <w:r w:rsidR="005C7341" w:rsidRPr="008C10B7">
        <w:rPr>
          <w:rFonts w:cs="Times New Roman"/>
          <w:sz w:val="22"/>
          <w:szCs w:val="22"/>
        </w:rPr>
        <w:t xml:space="preserve"> living on closed campuses</w:t>
      </w:r>
      <w:r w:rsidRPr="008C10B7">
        <w:rPr>
          <w:rFonts w:cs="Times New Roman"/>
          <w:sz w:val="22"/>
          <w:szCs w:val="22"/>
        </w:rPr>
        <w:t xml:space="preserve">. </w:t>
      </w:r>
      <w:r w:rsidR="00EC5DF4" w:rsidRPr="008C10B7">
        <w:rPr>
          <w:rFonts w:cs="Times New Roman"/>
          <w:sz w:val="22"/>
          <w:szCs w:val="22"/>
        </w:rPr>
        <w:t>Additionally,</w:t>
      </w:r>
      <w:r w:rsidRPr="008C10B7">
        <w:rPr>
          <w:rFonts w:cs="Times New Roman"/>
          <w:sz w:val="22"/>
          <w:szCs w:val="22"/>
        </w:rPr>
        <w:t xml:space="preserve"> one of the benefits of collecting data </w:t>
      </w:r>
      <w:r w:rsidR="00597AB1" w:rsidRPr="008C10B7">
        <w:rPr>
          <w:rFonts w:cs="Times New Roman"/>
          <w:sz w:val="22"/>
          <w:szCs w:val="22"/>
        </w:rPr>
        <w:t xml:space="preserve">on </w:t>
      </w:r>
      <w:r w:rsidRPr="008C10B7">
        <w:rPr>
          <w:rFonts w:cs="Times New Roman"/>
          <w:sz w:val="22"/>
          <w:szCs w:val="22"/>
        </w:rPr>
        <w:t>gated university campuses is that self-selection bias</w:t>
      </w:r>
      <w:r w:rsidR="00EC5DF4" w:rsidRPr="008C10B7">
        <w:rPr>
          <w:rFonts w:cs="Times New Roman"/>
          <w:sz w:val="22"/>
          <w:szCs w:val="22"/>
        </w:rPr>
        <w:t xml:space="preserve"> is </w:t>
      </w:r>
      <w:r w:rsidR="00043649" w:rsidRPr="008C10B7">
        <w:rPr>
          <w:rFonts w:cs="Times New Roman"/>
          <w:sz w:val="22"/>
          <w:szCs w:val="22"/>
        </w:rPr>
        <w:t>eliminated</w:t>
      </w:r>
      <w:r w:rsidRPr="008C10B7">
        <w:rPr>
          <w:rFonts w:cs="Times New Roman"/>
          <w:sz w:val="22"/>
          <w:szCs w:val="22"/>
        </w:rPr>
        <w:t xml:space="preserve"> </w:t>
      </w:r>
      <w:r w:rsidRPr="008C10B7">
        <w:rPr>
          <w:rFonts w:cs="Times New Roman"/>
          <w:sz w:val="22"/>
          <w:szCs w:val="22"/>
        </w:rPr>
        <w:fldChar w:fldCharType="begin" w:fldLock="1"/>
      </w:r>
      <w:r w:rsidR="00E76C49" w:rsidRPr="008C10B7">
        <w:rPr>
          <w:rFonts w:cs="Times New Roman"/>
          <w:sz w:val="22"/>
          <w:szCs w:val="22"/>
        </w:rPr>
        <w:instrText>ADDIN CSL_CITATION {"citationItems":[{"id":"ITEM-1","itemData":{"DOI":"10.1016/J.CITIES.2021.103165","ISSN":"0264-2751","abstract":"Although many studies have confirmed the effects of the built environment on adiposity outcomes in the general population, evidence for young adults is scarce. Furthermore, most prior studies are prone to residential self-selection bias due to the nature of cross-sectional research design, which makes the built environment–adiposity relationship spurious. In this study, we explored the associations between the built environment and three objectively measured adiposity outcomes for a large representative sample of 20,227 undergraduate students from 89 university campuses in China. The adiposity outcomes were measured by body mass index (BMI), waist circumstance (WC), and waist-to-height ratio (WHtR). The residential self-selection bias was largely mitigated because these students are required to live in campus dormitories. As shown by multilevel models, street connectivity, population density, and Normalized Difference Vegetation Index (NDVI) within and around the campus environment were negatively associated with the odds of adiposity to different extents. Furthermore, the adiposity outcomes of male and low cost-of-living undergraduates were more likely to be affected by built environment characteristics compared to female and high cost-of-living undergraduates. Hence, to deliver effective environment interventions to curb the prevalence of adiposity among undergraduate students, policymakers and university managers are advised to create a more carefully conceived campus environment.","author":[{"dropping-particle":"","family":"Yang","given":"Haoran","non-dropping-particle":"","parse-names":false,"suffix":""},{"dropping-particle":"","family":"He","given":"Dongsheng","non-dropping-particle":"","parse-names":false,"suffix":""},{"dropping-particle":"","family":"Lu","given":"Yi","non-dropping-particle":"","parse-names":false,"suffix":""},{"dropping-particle":"","family":"Ren","given":"Chao","non-dropping-particle":"","parse-names":false,"suffix":""},{"dropping-particle":"","family":"Huang","given":"Xu","non-dropping-particle":"","parse-names":false,"suffix":""}],"container-title":"Cities","id":"ITEM-1","issued":{"date-parts":[["2021","6","1"]]},"page":"103165","publisher":"Pergamon","title":"Disentangling residential self-selection from the influence of built environment characteristics on adiposity outcomes among undergraduate students in China","type":"article-journal","volume":"113"},"uris":["http://www.mendeley.com/documents/?uuid=44497c61-2ef5-3e82-a400-4b50049c7439"]}],"mendeley":{"formattedCitation":"(H. Yang et al., 2021)","manualFormatting":"(Yang et al., 2021)","plainTextFormattedCitation":"(H. Yang et al., 2021)","previouslyFormattedCitation":"(H. Yang et al., 2021)"},"properties":{"noteIndex":0},"schema":"https://github.com/citation-style-language/schema/raw/master/csl-citation.json"}</w:instrText>
      </w:r>
      <w:r w:rsidRPr="008C10B7">
        <w:rPr>
          <w:rFonts w:cs="Times New Roman"/>
          <w:sz w:val="22"/>
          <w:szCs w:val="22"/>
        </w:rPr>
        <w:fldChar w:fldCharType="separate"/>
      </w:r>
      <w:r w:rsidRPr="008C10B7">
        <w:rPr>
          <w:rFonts w:cs="Times New Roman"/>
          <w:sz w:val="22"/>
          <w:szCs w:val="22"/>
        </w:rPr>
        <w:t>(Yang et al., 2021</w:t>
      </w:r>
      <w:r w:rsidR="005F349F">
        <w:rPr>
          <w:rFonts w:cs="Times New Roman"/>
          <w:sz w:val="22"/>
          <w:szCs w:val="22"/>
        </w:rPr>
        <w:t>b</w:t>
      </w:r>
      <w:r w:rsidRPr="008C10B7">
        <w:rPr>
          <w:rFonts w:cs="Times New Roman"/>
          <w:sz w:val="22"/>
          <w:szCs w:val="22"/>
        </w:rPr>
        <w:t>)</w:t>
      </w:r>
      <w:r w:rsidRPr="008C10B7">
        <w:rPr>
          <w:rFonts w:cs="Times New Roman"/>
          <w:sz w:val="22"/>
          <w:szCs w:val="22"/>
        </w:rPr>
        <w:fldChar w:fldCharType="end"/>
      </w:r>
      <w:r w:rsidRPr="008C10B7">
        <w:rPr>
          <w:rFonts w:cs="Times New Roman"/>
          <w:sz w:val="22"/>
          <w:szCs w:val="22"/>
        </w:rPr>
        <w:t>.</w:t>
      </w:r>
    </w:p>
    <w:p w14:paraId="251CD414" w14:textId="77777777" w:rsidR="009C6A53" w:rsidRPr="008C10B7" w:rsidRDefault="009C6A53" w:rsidP="00E7001C">
      <w:pPr>
        <w:spacing w:line="360" w:lineRule="auto"/>
        <w:jc w:val="both"/>
        <w:rPr>
          <w:rFonts w:cs="Times New Roman"/>
          <w:sz w:val="22"/>
          <w:szCs w:val="22"/>
        </w:rPr>
      </w:pPr>
    </w:p>
    <w:p w14:paraId="7A1E8B37" w14:textId="308D1272" w:rsidR="00A039A3" w:rsidRPr="008C10B7" w:rsidRDefault="00FC5995" w:rsidP="00206AA5">
      <w:pPr>
        <w:spacing w:line="480" w:lineRule="auto"/>
        <w:jc w:val="center"/>
      </w:pPr>
      <w:r w:rsidRPr="008C10B7">
        <w:rPr>
          <w:noProof/>
          <w:lang w:val="en-US" w:eastAsia="en-US"/>
        </w:rPr>
        <w:drawing>
          <wp:inline distT="0" distB="0" distL="0" distR="0" wp14:anchorId="50FEF719" wp14:editId="6D270336">
            <wp:extent cx="5274310" cy="2443480"/>
            <wp:effectExtent l="0" t="0" r="0" b="0"/>
            <wp:docPr id="25" name="图片 2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示&#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443480"/>
                    </a:xfrm>
                    <a:prstGeom prst="rect">
                      <a:avLst/>
                    </a:prstGeom>
                  </pic:spPr>
                </pic:pic>
              </a:graphicData>
            </a:graphic>
          </wp:inline>
        </w:drawing>
      </w:r>
    </w:p>
    <w:p w14:paraId="3CF8617B" w14:textId="2F58A7DB" w:rsidR="00A039A3" w:rsidRPr="008C10B7" w:rsidRDefault="00EE3D1D" w:rsidP="00E7001C">
      <w:pPr>
        <w:pStyle w:val="Caption"/>
        <w:spacing w:line="360" w:lineRule="auto"/>
        <w:jc w:val="center"/>
        <w:rPr>
          <w:rFonts w:ascii="Times New Roman" w:hAnsi="Times New Roman"/>
        </w:rPr>
      </w:pPr>
      <w:bookmarkStart w:id="23" w:name="_Toc78632947"/>
      <w:r w:rsidRPr="008C10B7">
        <w:rPr>
          <w:rFonts w:ascii="Times New Roman" w:hAnsi="Times New Roman"/>
          <w:b/>
          <w:bCs/>
        </w:rPr>
        <w:t>Fig</w:t>
      </w:r>
      <w:r w:rsidR="00986BB0" w:rsidRPr="008C10B7">
        <w:rPr>
          <w:rFonts w:ascii="Times New Roman" w:hAnsi="Times New Roman"/>
          <w:b/>
          <w:bCs/>
        </w:rPr>
        <w:t>.</w:t>
      </w:r>
      <w:r w:rsidRPr="008C10B7">
        <w:rPr>
          <w:rFonts w:ascii="Times New Roman" w:hAnsi="Times New Roman"/>
          <w:b/>
          <w:bCs/>
        </w:rPr>
        <w:t xml:space="preserve"> </w:t>
      </w:r>
      <w:r w:rsidRPr="008C10B7">
        <w:rPr>
          <w:rFonts w:ascii="Times New Roman" w:hAnsi="Times New Roman"/>
          <w:b/>
          <w:bCs/>
        </w:rPr>
        <w:fldChar w:fldCharType="begin"/>
      </w:r>
      <w:r w:rsidRPr="008C10B7">
        <w:rPr>
          <w:rFonts w:ascii="Times New Roman" w:hAnsi="Times New Roman"/>
          <w:b/>
          <w:bCs/>
        </w:rPr>
        <w:instrText xml:space="preserve"> SEQ Figure \* ARABIC </w:instrText>
      </w:r>
      <w:r w:rsidRPr="008C10B7">
        <w:rPr>
          <w:rFonts w:ascii="Times New Roman" w:hAnsi="Times New Roman"/>
          <w:b/>
          <w:bCs/>
        </w:rPr>
        <w:fldChar w:fldCharType="separate"/>
      </w:r>
      <w:r w:rsidR="00AE0FBF">
        <w:rPr>
          <w:rFonts w:ascii="Times New Roman" w:hAnsi="Times New Roman"/>
          <w:b/>
          <w:bCs/>
          <w:noProof/>
        </w:rPr>
        <w:t>1</w:t>
      </w:r>
      <w:r w:rsidRPr="008C10B7">
        <w:rPr>
          <w:rFonts w:ascii="Times New Roman" w:hAnsi="Times New Roman"/>
          <w:b/>
          <w:bCs/>
        </w:rPr>
        <w:fldChar w:fldCharType="end"/>
      </w:r>
      <w:r w:rsidRPr="008C10B7">
        <w:rPr>
          <w:rFonts w:ascii="Times New Roman" w:hAnsi="Times New Roman"/>
          <w:b/>
          <w:bCs/>
        </w:rPr>
        <w:t xml:space="preserve">. </w:t>
      </w:r>
      <w:r w:rsidR="00A039A3" w:rsidRPr="008C10B7">
        <w:rPr>
          <w:rFonts w:ascii="Times New Roman" w:hAnsi="Times New Roman"/>
        </w:rPr>
        <w:t>Location of HEMC in Guangzhou</w:t>
      </w:r>
      <w:bookmarkEnd w:id="23"/>
    </w:p>
    <w:p w14:paraId="4B1E8CA3" w14:textId="77777777" w:rsidR="00E90D70" w:rsidRPr="008C10B7" w:rsidRDefault="00E90D70" w:rsidP="00E7001C">
      <w:pPr>
        <w:spacing w:line="360" w:lineRule="auto"/>
        <w:rPr>
          <w:sz w:val="22"/>
          <w:szCs w:val="22"/>
        </w:rPr>
      </w:pPr>
    </w:p>
    <w:p w14:paraId="0C8EE797" w14:textId="69CABEE1" w:rsidR="004D3D6C" w:rsidRPr="008C10B7" w:rsidRDefault="00E90D70" w:rsidP="00E7001C">
      <w:pPr>
        <w:pStyle w:val="Heading2"/>
        <w:keepNext/>
        <w:keepLines/>
        <w:spacing w:before="0" w:beforeAutospacing="0" w:after="0" w:afterAutospacing="0" w:line="360" w:lineRule="auto"/>
        <w:jc w:val="both"/>
        <w:rPr>
          <w:rFonts w:eastAsiaTheme="majorEastAsia" w:cstheme="majorHAnsi"/>
          <w:b w:val="0"/>
          <w:bCs w:val="0"/>
          <w:i/>
          <w:iCs/>
          <w:sz w:val="22"/>
          <w:szCs w:val="32"/>
          <w:lang w:val="en-GB" w:eastAsia="en-US"/>
        </w:rPr>
      </w:pPr>
      <w:bookmarkStart w:id="24" w:name="_Toc78625143"/>
      <w:r w:rsidRPr="008C10B7">
        <w:rPr>
          <w:rFonts w:eastAsiaTheme="majorEastAsia" w:cstheme="majorHAnsi"/>
          <w:b w:val="0"/>
          <w:bCs w:val="0"/>
          <w:i/>
          <w:iCs/>
          <w:sz w:val="22"/>
          <w:szCs w:val="32"/>
          <w:lang w:val="en-GB" w:eastAsia="en-US"/>
        </w:rPr>
        <w:lastRenderedPageBreak/>
        <w:t>3.2</w:t>
      </w:r>
      <w:r w:rsidR="00C234EB" w:rsidRPr="008C10B7">
        <w:rPr>
          <w:rFonts w:eastAsiaTheme="majorEastAsia" w:cstheme="majorHAnsi"/>
          <w:b w:val="0"/>
          <w:bCs w:val="0"/>
          <w:i/>
          <w:iCs/>
          <w:sz w:val="22"/>
          <w:szCs w:val="32"/>
          <w:lang w:val="en-GB" w:eastAsia="en-US"/>
        </w:rPr>
        <w:t>.</w:t>
      </w:r>
      <w:r w:rsidRPr="008C10B7">
        <w:rPr>
          <w:rFonts w:eastAsiaTheme="majorEastAsia" w:cstheme="majorHAnsi"/>
          <w:b w:val="0"/>
          <w:bCs w:val="0"/>
          <w:i/>
          <w:iCs/>
          <w:sz w:val="22"/>
          <w:szCs w:val="32"/>
          <w:lang w:val="en-GB" w:eastAsia="en-US"/>
        </w:rPr>
        <w:tab/>
        <w:t>Data</w:t>
      </w:r>
      <w:bookmarkEnd w:id="24"/>
    </w:p>
    <w:p w14:paraId="61573943" w14:textId="5A1F44F3" w:rsidR="004D3D6C" w:rsidRPr="008C10B7" w:rsidRDefault="00711121" w:rsidP="00E7001C">
      <w:pPr>
        <w:pStyle w:val="Heading2"/>
        <w:keepNext/>
        <w:keepLines/>
        <w:spacing w:before="0" w:beforeAutospacing="0" w:after="0" w:afterAutospacing="0" w:line="360" w:lineRule="auto"/>
        <w:jc w:val="both"/>
        <w:rPr>
          <w:rFonts w:eastAsiaTheme="majorEastAsia" w:cstheme="majorHAnsi"/>
          <w:b w:val="0"/>
          <w:i/>
          <w:iCs/>
          <w:sz w:val="22"/>
          <w:szCs w:val="32"/>
          <w:lang w:val="en-GB" w:eastAsia="en-US"/>
        </w:rPr>
      </w:pPr>
      <w:bookmarkStart w:id="25" w:name="_Toc78625144"/>
      <w:r w:rsidRPr="008C10B7">
        <w:rPr>
          <w:rFonts w:eastAsiaTheme="majorEastAsia" w:cstheme="majorHAnsi"/>
          <w:b w:val="0"/>
          <w:i/>
          <w:iCs/>
          <w:sz w:val="22"/>
          <w:szCs w:val="22"/>
          <w:lang w:val="en-GB" w:eastAsia="en-US"/>
        </w:rPr>
        <w:t>3.</w:t>
      </w:r>
      <w:r w:rsidR="00262E9E" w:rsidRPr="008C10B7">
        <w:rPr>
          <w:rFonts w:eastAsiaTheme="majorEastAsia" w:cstheme="majorHAnsi"/>
          <w:b w:val="0"/>
          <w:i/>
          <w:iCs/>
          <w:sz w:val="22"/>
          <w:szCs w:val="22"/>
          <w:lang w:val="en-GB" w:eastAsia="en-US"/>
        </w:rPr>
        <w:t>2</w:t>
      </w:r>
      <w:r w:rsidR="00E90D70" w:rsidRPr="008C10B7">
        <w:rPr>
          <w:rFonts w:eastAsiaTheme="majorEastAsia" w:cstheme="majorHAnsi"/>
          <w:b w:val="0"/>
          <w:i/>
          <w:iCs/>
          <w:sz w:val="22"/>
          <w:szCs w:val="22"/>
          <w:lang w:val="en-GB"/>
        </w:rPr>
        <w:t>.1</w:t>
      </w:r>
      <w:r w:rsidR="00C234EB" w:rsidRPr="008C10B7">
        <w:rPr>
          <w:rFonts w:eastAsiaTheme="majorEastAsia" w:cstheme="majorHAnsi"/>
          <w:b w:val="0"/>
          <w:i/>
          <w:iCs/>
          <w:sz w:val="22"/>
          <w:szCs w:val="22"/>
          <w:lang w:val="en-GB"/>
        </w:rPr>
        <w:t>.</w:t>
      </w:r>
      <w:r w:rsidR="00262E9E" w:rsidRPr="008C10B7">
        <w:rPr>
          <w:rFonts w:eastAsiaTheme="majorEastAsia" w:cstheme="majorHAnsi"/>
          <w:b w:val="0"/>
          <w:i/>
          <w:iCs/>
          <w:sz w:val="22"/>
          <w:szCs w:val="22"/>
          <w:lang w:val="en-GB" w:eastAsia="en-US"/>
        </w:rPr>
        <w:tab/>
      </w:r>
      <w:r w:rsidRPr="008C10B7">
        <w:rPr>
          <w:rFonts w:eastAsiaTheme="majorEastAsia" w:cstheme="majorHAnsi"/>
          <w:b w:val="0"/>
          <w:i/>
          <w:iCs/>
          <w:sz w:val="22"/>
          <w:szCs w:val="22"/>
          <w:lang w:val="en-GB" w:eastAsia="en-US"/>
        </w:rPr>
        <w:t xml:space="preserve">Individual-level </w:t>
      </w:r>
      <w:r w:rsidR="00B454A9" w:rsidRPr="008C10B7">
        <w:rPr>
          <w:rFonts w:eastAsiaTheme="majorEastAsia" w:cstheme="majorHAnsi"/>
          <w:b w:val="0"/>
          <w:i/>
          <w:iCs/>
          <w:sz w:val="22"/>
          <w:szCs w:val="22"/>
          <w:lang w:val="en-GB" w:eastAsia="en-US"/>
        </w:rPr>
        <w:t>survey data</w:t>
      </w:r>
      <w:bookmarkEnd w:id="25"/>
    </w:p>
    <w:p w14:paraId="4143998B" w14:textId="474604DB" w:rsidR="00773067" w:rsidRPr="008C10B7" w:rsidRDefault="00773067" w:rsidP="00E7001C">
      <w:pPr>
        <w:spacing w:line="360" w:lineRule="auto"/>
        <w:jc w:val="both"/>
        <w:rPr>
          <w:rFonts w:cs="Times New Roman"/>
          <w:sz w:val="22"/>
          <w:szCs w:val="22"/>
        </w:rPr>
      </w:pPr>
      <w:bookmarkStart w:id="26" w:name="OLE_LINK8"/>
      <w:bookmarkStart w:id="27" w:name="OLE_LINK7"/>
      <w:r w:rsidRPr="008C10B7">
        <w:rPr>
          <w:rFonts w:cs="Times New Roman"/>
          <w:sz w:val="22"/>
          <w:szCs w:val="22"/>
        </w:rPr>
        <w:t>Due to the impact of the COVID-19 pandemic, we conduct</w:t>
      </w:r>
      <w:r w:rsidR="00B454A9" w:rsidRPr="008C10B7">
        <w:rPr>
          <w:rFonts w:cs="Times New Roman"/>
          <w:sz w:val="22"/>
          <w:szCs w:val="22"/>
        </w:rPr>
        <w:t>ed</w:t>
      </w:r>
      <w:r w:rsidRPr="008C10B7">
        <w:rPr>
          <w:rFonts w:cs="Times New Roman"/>
          <w:sz w:val="22"/>
          <w:szCs w:val="22"/>
        </w:rPr>
        <w:t xml:space="preserve"> an online </w:t>
      </w:r>
      <w:r w:rsidR="00711121" w:rsidRPr="008C10B7">
        <w:rPr>
          <w:rFonts w:cs="Times New Roman"/>
          <w:sz w:val="22"/>
          <w:szCs w:val="22"/>
        </w:rPr>
        <w:t>questionnaire</w:t>
      </w:r>
      <w:r w:rsidR="00711121" w:rsidRPr="008C10B7">
        <w:rPr>
          <w:rFonts w:cs="Times New Roman"/>
          <w:i/>
          <w:iCs/>
          <w:sz w:val="22"/>
          <w:szCs w:val="22"/>
        </w:rPr>
        <w:t xml:space="preserve"> </w:t>
      </w:r>
      <w:r w:rsidR="00711121" w:rsidRPr="008C10B7">
        <w:rPr>
          <w:rFonts w:cs="Times New Roman"/>
          <w:sz w:val="22"/>
          <w:szCs w:val="22"/>
        </w:rPr>
        <w:t xml:space="preserve">in May and June 2021 via </w:t>
      </w:r>
      <w:proofErr w:type="spellStart"/>
      <w:r w:rsidR="00711121" w:rsidRPr="008C10B7">
        <w:rPr>
          <w:rFonts w:cs="Times New Roman"/>
          <w:sz w:val="22"/>
          <w:szCs w:val="22"/>
        </w:rPr>
        <w:t>Wenjuanxing</w:t>
      </w:r>
      <w:proofErr w:type="spellEnd"/>
      <w:r w:rsidR="00711121" w:rsidRPr="008C10B7">
        <w:rPr>
          <w:rFonts w:cs="Times New Roman"/>
          <w:sz w:val="22"/>
          <w:szCs w:val="22"/>
        </w:rPr>
        <w:t xml:space="preserve"> (wjx.cn), the largest survey collection platform in China. This online platform has been adopted by more than 30,000 companies and over 90</w:t>
      </w:r>
      <w:r w:rsidR="00BD4906" w:rsidRPr="008C10B7">
        <w:rPr>
          <w:rFonts w:cs="Times New Roman"/>
          <w:sz w:val="22"/>
          <w:szCs w:val="22"/>
        </w:rPr>
        <w:t xml:space="preserve"> per cent</w:t>
      </w:r>
      <w:r w:rsidR="00711121" w:rsidRPr="008C10B7">
        <w:rPr>
          <w:rFonts w:cs="Times New Roman"/>
          <w:sz w:val="22"/>
          <w:szCs w:val="22"/>
        </w:rPr>
        <w:t xml:space="preserve"> of Chinese universities </w:t>
      </w:r>
      <w:r w:rsidR="00711121" w:rsidRPr="008C10B7">
        <w:rPr>
          <w:rFonts w:cs="Times New Roman"/>
          <w:sz w:val="22"/>
          <w:szCs w:val="22"/>
        </w:rPr>
        <w:fldChar w:fldCharType="begin" w:fldLock="1"/>
      </w:r>
      <w:r w:rsidR="00B74AD7" w:rsidRPr="008C10B7">
        <w:rPr>
          <w:rFonts w:cs="Times New Roman"/>
          <w:sz w:val="22"/>
          <w:szCs w:val="22"/>
        </w:rPr>
        <w:instrText>ADDIN CSL_CITATION {"citationItems":[{"id":"ITEM-1","itemData":{"DOI":"10.1016/j.compedu.2020.103963","ISSN":"03601315","abstract":"As an innovative educational paradigm, the massive open online course (MOOC) has received extensive attention from both academia and industry. Extant literature has made much effort to investigate the technological supports of MOOCs but how learners understand and master these technologies is still unclear. Moreover, given the collaborative features (e.g. discussion forum and peer assessment) of MOOCs, it is vital to ascertain the mechanism through which group learners reach a consensus on the technology usage and thereby engage in MOOCs. To advance this line of research, the study proposes a theoretical model leveraging adaptive structuration theory. Specifically, we identify three contextualized factors (i.e., collaborative spirit, task interdependence, and social interaction ties) as the antecedents of consensus of appropriation. Through an online survey recruiting 374 Chinese University MOOC learners, this study demonstrates that collaborative spirit, task interdependence and social interaction ties are positively related to consensus of appropriation, which will facilitate commitment and learner engagement. In addition, commitment is also confirmed to enhance learner engagement. Implications and limitations are further discussed.","author":[{"dropping-particle":"","family":"Sun","given":"Yongqiang","non-dropping-particle":"","parse-names":false,"suffix":""},{"dropping-particle":"","family":"Guo","given":"Yanping","non-dropping-particle":"","parse-names":false,"suffix":""},{"dropping-particle":"","family":"Zhao","given":"Yiming","non-dropping-particle":"","parse-names":false,"suffix":""}],"container-title":"Computers and Education","id":"ITEM-1","issued":{"date-parts":[["2020","11","1"]]},"page":"103963","publisher":"Elsevier Ltd","title":"Understanding the determinants of learner engagement in MOOCs: An adaptive structuration perspective","type":"article-journal","volume":"157"},"uris":["http://www.mendeley.com/documents/?uuid=b36a9cf0-8941-358f-a738-c6e2275b9d31"]}],"mendeley":{"formattedCitation":"(Yongqiang Sun et al., 2020)","manualFormatting":"(Sun et al., 2020)","plainTextFormattedCitation":"(Yongqiang Sun et al., 2020)","previouslyFormattedCitation":"(Yongqiang Sun et al., 2020)"},"properties":{"noteIndex":0},"schema":"https://github.com/citation-style-language/schema/raw/master/csl-citation.json"}</w:instrText>
      </w:r>
      <w:r w:rsidR="00711121" w:rsidRPr="008C10B7">
        <w:rPr>
          <w:rFonts w:cs="Times New Roman"/>
          <w:sz w:val="22"/>
          <w:szCs w:val="22"/>
        </w:rPr>
        <w:fldChar w:fldCharType="separate"/>
      </w:r>
      <w:r w:rsidR="00711121" w:rsidRPr="008C10B7">
        <w:rPr>
          <w:rFonts w:cs="Times New Roman"/>
          <w:sz w:val="22"/>
          <w:szCs w:val="22"/>
        </w:rPr>
        <w:t>(Sun et al., 2020)</w:t>
      </w:r>
      <w:r w:rsidR="00711121" w:rsidRPr="008C10B7">
        <w:rPr>
          <w:rFonts w:cs="Times New Roman"/>
          <w:sz w:val="22"/>
          <w:szCs w:val="22"/>
        </w:rPr>
        <w:fldChar w:fldCharType="end"/>
      </w:r>
      <w:r w:rsidR="00711121" w:rsidRPr="008C10B7">
        <w:rPr>
          <w:rFonts w:cs="Times New Roman"/>
          <w:sz w:val="22"/>
          <w:szCs w:val="22"/>
        </w:rPr>
        <w:t xml:space="preserve">. </w:t>
      </w:r>
      <w:r w:rsidR="00403A6B" w:rsidRPr="008C10B7">
        <w:rPr>
          <w:rFonts w:cs="Times New Roman"/>
          <w:sz w:val="22"/>
          <w:szCs w:val="22"/>
        </w:rPr>
        <w:t>It</w:t>
      </w:r>
      <w:r w:rsidR="00711121" w:rsidRPr="008C10B7">
        <w:rPr>
          <w:rFonts w:cs="Times New Roman"/>
          <w:sz w:val="22"/>
          <w:szCs w:val="22"/>
        </w:rPr>
        <w:t xml:space="preserve"> </w:t>
      </w:r>
      <w:r w:rsidR="00B454A9" w:rsidRPr="008C10B7">
        <w:rPr>
          <w:rFonts w:cs="Times New Roman"/>
          <w:sz w:val="22"/>
          <w:szCs w:val="22"/>
        </w:rPr>
        <w:t xml:space="preserve">provides </w:t>
      </w:r>
      <w:r w:rsidR="00711121" w:rsidRPr="008C10B7">
        <w:rPr>
          <w:rFonts w:cs="Times New Roman"/>
          <w:sz w:val="22"/>
          <w:szCs w:val="22"/>
        </w:rPr>
        <w:t xml:space="preserve">a rich source of respondents and supports various functions. </w:t>
      </w:r>
      <w:r w:rsidR="00403A6B" w:rsidRPr="008C10B7">
        <w:rPr>
          <w:rFonts w:cs="Times New Roman"/>
          <w:sz w:val="22"/>
          <w:szCs w:val="22"/>
        </w:rPr>
        <w:t>T</w:t>
      </w:r>
      <w:r w:rsidR="00711121" w:rsidRPr="008C10B7">
        <w:rPr>
          <w:rFonts w:cs="Times New Roman"/>
          <w:sz w:val="22"/>
          <w:szCs w:val="22"/>
        </w:rPr>
        <w:t>hese advantages</w:t>
      </w:r>
      <w:r w:rsidR="00403A6B" w:rsidRPr="008C10B7">
        <w:rPr>
          <w:rFonts w:cs="Times New Roman"/>
          <w:sz w:val="22"/>
          <w:szCs w:val="22"/>
        </w:rPr>
        <w:t xml:space="preserve"> made it an ideal choice</w:t>
      </w:r>
      <w:r w:rsidR="00711121" w:rsidRPr="008C10B7">
        <w:rPr>
          <w:rFonts w:cs="Times New Roman"/>
          <w:sz w:val="22"/>
          <w:szCs w:val="22"/>
        </w:rPr>
        <w:t xml:space="preserve"> </w:t>
      </w:r>
      <w:r w:rsidR="00403A6B" w:rsidRPr="008C10B7">
        <w:rPr>
          <w:rFonts w:cs="Times New Roman"/>
          <w:sz w:val="22"/>
          <w:szCs w:val="22"/>
        </w:rPr>
        <w:t>for collecting our data</w:t>
      </w:r>
      <w:r w:rsidR="00711121" w:rsidRPr="008C10B7">
        <w:rPr>
          <w:rFonts w:cs="Times New Roman"/>
          <w:sz w:val="22"/>
          <w:szCs w:val="22"/>
        </w:rPr>
        <w:t>.</w:t>
      </w:r>
      <w:r w:rsidR="001E4014" w:rsidRPr="008C10B7">
        <w:rPr>
          <w:rFonts w:cs="Times New Roman"/>
          <w:sz w:val="22"/>
          <w:szCs w:val="22"/>
        </w:rPr>
        <w:t xml:space="preserve"> </w:t>
      </w:r>
    </w:p>
    <w:p w14:paraId="460ED746" w14:textId="7954C24D" w:rsidR="004D3D6C" w:rsidRPr="008C10B7" w:rsidRDefault="00711121" w:rsidP="00E7001C">
      <w:pPr>
        <w:spacing w:line="360" w:lineRule="auto"/>
        <w:ind w:firstLine="420"/>
        <w:jc w:val="both"/>
        <w:rPr>
          <w:rFonts w:cs="Times New Roman"/>
          <w:sz w:val="22"/>
          <w:szCs w:val="22"/>
        </w:rPr>
      </w:pPr>
      <w:r w:rsidRPr="008C10B7">
        <w:rPr>
          <w:rFonts w:cs="Times New Roman"/>
          <w:sz w:val="22"/>
          <w:szCs w:val="22"/>
        </w:rPr>
        <w:t xml:space="preserve">The online questionnaire </w:t>
      </w:r>
      <w:r w:rsidR="004424AE" w:rsidRPr="008C10B7">
        <w:rPr>
          <w:rFonts w:cs="Times New Roman"/>
          <w:sz w:val="22"/>
          <w:szCs w:val="22"/>
        </w:rPr>
        <w:t xml:space="preserve">used </w:t>
      </w:r>
      <w:r w:rsidRPr="008C10B7">
        <w:rPr>
          <w:rFonts w:cs="Times New Roman"/>
          <w:sz w:val="22"/>
          <w:szCs w:val="22"/>
        </w:rPr>
        <w:t>for this study followed the guide</w:t>
      </w:r>
      <w:r w:rsidR="00B454A9" w:rsidRPr="008C10B7">
        <w:rPr>
          <w:rFonts w:cs="Times New Roman"/>
          <w:sz w:val="22"/>
          <w:szCs w:val="22"/>
        </w:rPr>
        <w:t>lines</w:t>
      </w:r>
      <w:r w:rsidRPr="008C10B7">
        <w:rPr>
          <w:rFonts w:cs="Times New Roman"/>
          <w:sz w:val="22"/>
          <w:szCs w:val="22"/>
        </w:rPr>
        <w:t xml:space="preserve"> </w:t>
      </w:r>
      <w:r w:rsidR="004424AE" w:rsidRPr="008C10B7">
        <w:rPr>
          <w:rFonts w:cs="Times New Roman"/>
          <w:sz w:val="22"/>
          <w:szCs w:val="22"/>
        </w:rPr>
        <w:t xml:space="preserve">set out </w:t>
      </w:r>
      <w:r w:rsidRPr="008C10B7">
        <w:rPr>
          <w:rFonts w:cs="Times New Roman"/>
          <w:sz w:val="22"/>
          <w:szCs w:val="22"/>
        </w:rPr>
        <w:t xml:space="preserve">by </w:t>
      </w:r>
      <w:r w:rsidRPr="008C10B7">
        <w:rPr>
          <w:rFonts w:cs="Times New Roman"/>
          <w:sz w:val="22"/>
          <w:szCs w:val="22"/>
        </w:rPr>
        <w:fldChar w:fldCharType="begin" w:fldLock="1"/>
      </w:r>
      <w:r w:rsidR="00B74AD7" w:rsidRPr="008C10B7">
        <w:rPr>
          <w:rFonts w:cs="Times New Roman"/>
          <w:sz w:val="22"/>
          <w:szCs w:val="22"/>
        </w:rPr>
        <w:instrText>ADDIN CSL_CITATION {"citationItems":[{"id":"ITEM-1","itemData":{"DOI":"10.3126/nje.v6i4.17258","ISSN":"2091-0800","abstract":"Collecting research data through traditional approaches (face-to-face, postal or telephone survey) can be costly and time consuming. The emerging data collection approach based on internet/e-based technologies (e.g. online platforms and email), is a relatively cost effective survey alternative. These novel data collection strategies can collect large amounts of data from participants in a short time frame. Similarly, they also seem to be feasible and effective in collecting data on sensitive issues or with samples they are generally hard to reach, for example, men who have sex with men (MSM) or migrants. As a significant proportion of the population currently in the world are digitally connected, the shift from postal (paper-pencil) or telephone towards online survey use in research is in the interests of researchers in academia as well as in the commercial world. However, compared to designing and executing paper version of the questionnaire, there is limited literature to help a starting researcher with the design and a use of online questionnaires. This short paper highlights issues around: a) methodological aspect of online questionnaire survey; b) online survey planning and management; and c) ethical concerns that may arise while using this option. We believe that this paper will be useful for researchers who want to gain knowledge or apply this approach in their research.","author":[{"dropping-particle":"","family":"Regmi","given":"Pramod R.","non-dropping-particle":"","parse-names":false,"suffix":""},{"dropping-particle":"","family":"Waithaka","given":"Elizabeth","non-dropping-particle":"","parse-names":false,"suffix":""},{"dropping-particle":"","family":"Paudyal","given":"Anjana","non-dropping-particle":"","parse-names":false,"suffix":""},{"dropping-particle":"","family":"Simkhada","given":"Padam","non-dropping-particle":"","parse-names":false,"suffix":""},{"dropping-particle":"","family":"Teijlingen","given":"Edwin","non-dropping-particle":"Van","parse-names":false,"suffix":""}],"container-title":"Nepal Journal of Epidemiology","id":"ITEM-1","issue":"4","issued":{"date-parts":[["2017","5","1"]]},"page":"640-644","publisher":"Nepal Journals Online (JOL)","title":"Guide to the design and application of online questionnaire surveys","type":"article-journal","volume":"6"},"uris":["http://www.mendeley.com/documents/?uuid=22b0beff-a487-3066-aea6-806a65a44aaf"]}],"mendeley":{"formattedCitation":"(Regmi et al., 2017)","manualFormatting":"Regmi et al. (2017)","plainTextFormattedCitation":"(Regmi et al., 2017)","previouslyFormattedCitation":"(Regmi et al., 2017)"},"properties":{"noteIndex":0},"schema":"https://github.com/citation-style-language/schema/raw/master/csl-citation.json"}</w:instrText>
      </w:r>
      <w:r w:rsidRPr="008C10B7">
        <w:rPr>
          <w:rFonts w:cs="Times New Roman"/>
          <w:sz w:val="22"/>
          <w:szCs w:val="22"/>
        </w:rPr>
        <w:fldChar w:fldCharType="separate"/>
      </w:r>
      <w:r w:rsidRPr="008C10B7">
        <w:rPr>
          <w:rFonts w:cs="Times New Roman"/>
          <w:sz w:val="22"/>
          <w:szCs w:val="22"/>
        </w:rPr>
        <w:t>Regmi et al. (2017)</w:t>
      </w:r>
      <w:r w:rsidRPr="008C10B7">
        <w:rPr>
          <w:rFonts w:cs="Times New Roman"/>
          <w:sz w:val="22"/>
          <w:szCs w:val="22"/>
        </w:rPr>
        <w:fldChar w:fldCharType="end"/>
      </w:r>
      <w:r w:rsidRPr="008C10B7">
        <w:rPr>
          <w:rFonts w:cs="Times New Roman"/>
          <w:sz w:val="22"/>
          <w:szCs w:val="22"/>
        </w:rPr>
        <w:t xml:space="preserve"> for conducting a valid and effective online </w:t>
      </w:r>
      <w:r w:rsidR="00B454A9" w:rsidRPr="008C10B7">
        <w:rPr>
          <w:rFonts w:cs="Times New Roman"/>
          <w:sz w:val="22"/>
          <w:szCs w:val="22"/>
        </w:rPr>
        <w:t>questionnaire</w:t>
      </w:r>
      <w:r w:rsidRPr="008C10B7">
        <w:rPr>
          <w:rFonts w:cs="Times New Roman"/>
          <w:sz w:val="22"/>
          <w:szCs w:val="22"/>
        </w:rPr>
        <w:t xml:space="preserve">. </w:t>
      </w:r>
      <w:r w:rsidR="008C7F65" w:rsidRPr="008C10B7">
        <w:rPr>
          <w:rFonts w:cs="Times New Roman"/>
          <w:sz w:val="22"/>
          <w:szCs w:val="22"/>
        </w:rPr>
        <w:t xml:space="preserve">To </w:t>
      </w:r>
      <w:r w:rsidR="00FC6BB3" w:rsidRPr="008C10B7">
        <w:rPr>
          <w:rFonts w:cs="Times New Roman"/>
          <w:sz w:val="22"/>
          <w:szCs w:val="22"/>
        </w:rPr>
        <w:t xml:space="preserve">assess </w:t>
      </w:r>
      <w:r w:rsidR="008C7F65" w:rsidRPr="008C10B7">
        <w:rPr>
          <w:rFonts w:cs="Times New Roman"/>
          <w:sz w:val="22"/>
          <w:szCs w:val="22"/>
        </w:rPr>
        <w:t xml:space="preserve">Chinese university students’ travel behaviour, we designed the questionnaire to encompass both demographic data, including gender, age, educational attainment, and income; and travel characteristics such as travel mode preference (both </w:t>
      </w:r>
      <w:r w:rsidR="00FC6BB3" w:rsidRPr="008C10B7">
        <w:rPr>
          <w:rFonts w:cs="Times New Roman"/>
          <w:sz w:val="22"/>
          <w:szCs w:val="22"/>
        </w:rPr>
        <w:t>on-</w:t>
      </w:r>
      <w:r w:rsidR="008C7F65" w:rsidRPr="008C10B7">
        <w:rPr>
          <w:rFonts w:cs="Times New Roman"/>
          <w:sz w:val="22"/>
          <w:szCs w:val="22"/>
        </w:rPr>
        <w:t>campus travel and off-campus travel), transport ownership and travel satisfaction</w:t>
      </w:r>
      <w:r w:rsidRPr="008C10B7">
        <w:rPr>
          <w:rFonts w:cs="Times New Roman"/>
          <w:sz w:val="22"/>
          <w:szCs w:val="22"/>
        </w:rPr>
        <w:t xml:space="preserve">. </w:t>
      </w:r>
      <w:r w:rsidR="001E4014" w:rsidRPr="008C10B7">
        <w:rPr>
          <w:rFonts w:cs="Times New Roman"/>
          <w:sz w:val="22"/>
          <w:szCs w:val="22"/>
        </w:rPr>
        <w:t>After eliminating 154 invalid samples using trap questions and manual screening, a total of 811 valid samples were</w:t>
      </w:r>
      <w:r w:rsidR="006A55D9" w:rsidRPr="008C10B7">
        <w:rPr>
          <w:rFonts w:cs="Times New Roman"/>
          <w:sz w:val="22"/>
          <w:szCs w:val="22"/>
        </w:rPr>
        <w:t xml:space="preserve"> eventually</w:t>
      </w:r>
      <w:r w:rsidR="001E4014" w:rsidRPr="008C10B7">
        <w:rPr>
          <w:rFonts w:cs="Times New Roman"/>
          <w:sz w:val="22"/>
          <w:szCs w:val="22"/>
        </w:rPr>
        <w:t xml:space="preserve"> collected from ten universities in Guangzhou HEMC, with a response rate of 83.5%, of which 44.5% were male, and only 3.33% of respondents were over 30 years old.</w:t>
      </w:r>
    </w:p>
    <w:p w14:paraId="5D819B41" w14:textId="37B3EECC" w:rsidR="004D3D6C" w:rsidRPr="008C10B7" w:rsidRDefault="004D3D6C" w:rsidP="00E7001C">
      <w:pPr>
        <w:spacing w:line="360" w:lineRule="auto"/>
        <w:jc w:val="both"/>
        <w:rPr>
          <w:rFonts w:cs="Times New Roman"/>
          <w:bCs/>
          <w:i/>
          <w:iCs/>
          <w:sz w:val="22"/>
          <w:szCs w:val="22"/>
        </w:rPr>
      </w:pPr>
    </w:p>
    <w:p w14:paraId="10C2CA35" w14:textId="0459FCBF" w:rsidR="004D3D6C" w:rsidRPr="008C10B7" w:rsidRDefault="00711121" w:rsidP="00E7001C">
      <w:pPr>
        <w:pStyle w:val="Heading2"/>
        <w:keepNext/>
        <w:keepLines/>
        <w:spacing w:before="0" w:beforeAutospacing="0" w:after="0" w:afterAutospacing="0" w:line="360" w:lineRule="auto"/>
        <w:jc w:val="both"/>
        <w:rPr>
          <w:rFonts w:eastAsiaTheme="majorEastAsia" w:cstheme="majorHAnsi"/>
          <w:b w:val="0"/>
          <w:i/>
          <w:iCs/>
          <w:sz w:val="22"/>
          <w:szCs w:val="32"/>
          <w:lang w:val="en-GB" w:eastAsia="en-US"/>
        </w:rPr>
      </w:pPr>
      <w:bookmarkStart w:id="28" w:name="_Toc78491376"/>
      <w:bookmarkStart w:id="29" w:name="_Toc78625145"/>
      <w:bookmarkEnd w:id="26"/>
      <w:bookmarkEnd w:id="27"/>
      <w:r w:rsidRPr="008C10B7">
        <w:rPr>
          <w:rFonts w:eastAsiaTheme="majorEastAsia" w:cstheme="majorHAnsi"/>
          <w:b w:val="0"/>
          <w:i/>
          <w:iCs/>
          <w:sz w:val="22"/>
          <w:szCs w:val="22"/>
          <w:lang w:val="en-GB" w:eastAsia="en-US"/>
        </w:rPr>
        <w:t>3.</w:t>
      </w:r>
      <w:r w:rsidR="00E90D70" w:rsidRPr="008C10B7">
        <w:rPr>
          <w:rFonts w:eastAsiaTheme="majorEastAsia" w:cstheme="majorHAnsi"/>
          <w:b w:val="0"/>
          <w:i/>
          <w:iCs/>
          <w:sz w:val="22"/>
          <w:szCs w:val="22"/>
          <w:lang w:val="en-GB" w:eastAsia="en-US"/>
        </w:rPr>
        <w:t>2.2</w:t>
      </w:r>
      <w:r w:rsidR="00C234EB" w:rsidRPr="008C10B7">
        <w:rPr>
          <w:rFonts w:eastAsiaTheme="majorEastAsia" w:cstheme="majorHAnsi"/>
          <w:b w:val="0"/>
          <w:i/>
          <w:iCs/>
          <w:sz w:val="22"/>
          <w:szCs w:val="22"/>
          <w:lang w:val="en-GB" w:eastAsia="en-US"/>
        </w:rPr>
        <w:t>.</w:t>
      </w:r>
      <w:r w:rsidR="00262E9E" w:rsidRPr="008C10B7">
        <w:rPr>
          <w:rFonts w:eastAsiaTheme="majorEastAsia" w:cstheme="majorHAnsi"/>
          <w:b w:val="0"/>
          <w:i/>
          <w:iCs/>
          <w:sz w:val="22"/>
          <w:szCs w:val="22"/>
          <w:lang w:val="en-GB" w:eastAsia="en-US"/>
        </w:rPr>
        <w:tab/>
      </w:r>
      <w:r w:rsidRPr="008C10B7">
        <w:rPr>
          <w:rFonts w:eastAsiaTheme="majorEastAsia" w:cstheme="majorHAnsi"/>
          <w:b w:val="0"/>
          <w:i/>
          <w:iCs/>
          <w:sz w:val="22"/>
          <w:szCs w:val="22"/>
          <w:lang w:val="en-GB" w:eastAsia="en-US"/>
        </w:rPr>
        <w:t>Street</w:t>
      </w:r>
      <w:r w:rsidR="003A09E1" w:rsidRPr="008C10B7">
        <w:rPr>
          <w:rFonts w:eastAsiaTheme="majorEastAsia" w:cstheme="majorHAnsi"/>
          <w:b w:val="0"/>
          <w:i/>
          <w:iCs/>
          <w:sz w:val="22"/>
          <w:szCs w:val="22"/>
          <w:lang w:val="en-GB" w:eastAsia="en-US"/>
        </w:rPr>
        <w:t>-v</w:t>
      </w:r>
      <w:r w:rsidRPr="008C10B7">
        <w:rPr>
          <w:rFonts w:eastAsiaTheme="majorEastAsia" w:cstheme="majorHAnsi"/>
          <w:b w:val="0"/>
          <w:i/>
          <w:iCs/>
          <w:sz w:val="22"/>
          <w:szCs w:val="22"/>
          <w:lang w:val="en-GB" w:eastAsia="en-US"/>
        </w:rPr>
        <w:t xml:space="preserve">iew </w:t>
      </w:r>
      <w:r w:rsidR="006F5062" w:rsidRPr="008C10B7">
        <w:rPr>
          <w:rFonts w:eastAsiaTheme="majorEastAsia" w:cstheme="majorHAnsi"/>
          <w:b w:val="0"/>
          <w:i/>
          <w:iCs/>
          <w:sz w:val="22"/>
          <w:szCs w:val="22"/>
          <w:lang w:val="en-GB" w:eastAsia="en-US"/>
        </w:rPr>
        <w:t>i</w:t>
      </w:r>
      <w:r w:rsidRPr="008C10B7">
        <w:rPr>
          <w:rFonts w:eastAsiaTheme="majorEastAsia" w:cstheme="majorHAnsi"/>
          <w:b w:val="0"/>
          <w:i/>
          <w:iCs/>
          <w:sz w:val="22"/>
          <w:szCs w:val="22"/>
          <w:lang w:val="en-GB" w:eastAsia="en-US"/>
        </w:rPr>
        <w:t>mages</w:t>
      </w:r>
      <w:bookmarkEnd w:id="28"/>
      <w:bookmarkEnd w:id="29"/>
    </w:p>
    <w:bookmarkStart w:id="30" w:name="OLE_LINK3"/>
    <w:bookmarkStart w:id="31" w:name="OLE_LINK4"/>
    <w:p w14:paraId="2653A56B" w14:textId="031E926A" w:rsidR="00013B29" w:rsidRPr="008C10B7" w:rsidRDefault="00711121" w:rsidP="00E7001C">
      <w:pPr>
        <w:spacing w:line="360" w:lineRule="auto"/>
        <w:jc w:val="both"/>
        <w:rPr>
          <w:rFonts w:cs="Times New Roman"/>
          <w:sz w:val="22"/>
          <w:szCs w:val="22"/>
        </w:rPr>
      </w:pPr>
      <w:r w:rsidRPr="008C10B7">
        <w:rPr>
          <w:rFonts w:cs="Times New Roman"/>
          <w:sz w:val="22"/>
          <w:szCs w:val="22"/>
        </w:rPr>
        <w:fldChar w:fldCharType="begin" w:fldLock="1"/>
      </w:r>
      <w:r w:rsidR="00B74AD7" w:rsidRPr="008C10B7">
        <w:rPr>
          <w:rFonts w:cs="Times New Roman"/>
          <w:sz w:val="22"/>
          <w:szCs w:val="22"/>
        </w:rPr>
        <w:instrText>ADDIN CSL_CITATION {"citationItems":[{"id":"ITEM-1","itemData":{"DOI":"10.1016/j.cities.2019.01.003","ISSN":"02642751","abstract":"Cycling is one type of physical activities with documented health and environmental benefits. Little consensus has been reached about the impacts of urban greenness on cycling behavior because of the widely varying estimation techniques, especially at street scale. We objectively measured the urban greenness in two ways: overhead-view greenness by Normalized Difference Vegetation Index (NDVI) and eye-level street greenness by Google Street View (GSV) images. Multilevel logistic regression models were used to examine the association between urban greenness and the odds of cycling (versus not cycling) for 5701 Hong Kong participants after controlling activity-influencing built environment and individual-level covariates. We found the odds of cycling were positively associated with eye-level street greenness but not with overhead-view greenness across three buffer zones: 400 m, 800 m and 1600 m. In addition, the odds of cycling were negatively associated with population density, number of bus stops, and terrain slope, while positively associated with bike lane density. To build a cycling-friendly city, planners and designers might need to pay more attention to improve citizens’ daily exposure to urban greenness, instead of traditional greenspace indices such as greenspace area or number of parks. The GSV technique is a novel and reliable method for measuring eye-level urban greenness with potential usage in further healthy city studies.","author":[{"dropping-particle":"","family":"Lu","given":"Yi","non-dropping-particle":"","parse-names":false,"suffix":""},{"dropping-particle":"","family":"Yang","given":"Yiyang","non-dropping-particle":"","parse-names":false,"suffix":""},{"dropping-particle":"","family":"Sun","given":"Guibo","non-dropping-particle":"","parse-names":false,"suffix":""},{"dropping-particle":"","family":"Gou","given":"Zhonghua","non-dropping-particle":"","parse-names":false,"suffix":""}],"container-title":"Cities","id":"ITEM-1","issued":{"date-parts":[["2019","5","1"]]},"page":"10-18","publisher":"Elsevier Ltd","title":"Associations between overhead-view and eye-level urban greenness and cycling behaviors","type":"article-journal","volume":"88"},"uris":["http://www.mendeley.com/documents/?uuid=cc7f8048-112d-3a41-8013-69e57e493902"]}],"mendeley":{"formattedCitation":"(Lu et al., 2019)","manualFormatting":"Lu et al. (2019)","plainTextFormattedCitation":"(Lu et al., 2019)","previouslyFormattedCitation":"(Lu et al., 2019)"},"properties":{"noteIndex":0},"schema":"https://github.com/citation-style-language/schema/raw/master/csl-citation.json"}</w:instrText>
      </w:r>
      <w:r w:rsidRPr="008C10B7">
        <w:rPr>
          <w:rFonts w:cs="Times New Roman"/>
          <w:sz w:val="22"/>
          <w:szCs w:val="22"/>
        </w:rPr>
        <w:fldChar w:fldCharType="separate"/>
      </w:r>
      <w:r w:rsidRPr="008C10B7">
        <w:rPr>
          <w:rFonts w:cs="Times New Roman"/>
          <w:sz w:val="22"/>
          <w:szCs w:val="22"/>
        </w:rPr>
        <w:t>Lu et al. (2019</w:t>
      </w:r>
      <w:r w:rsidR="008D0E59" w:rsidRPr="008C10B7">
        <w:rPr>
          <w:rFonts w:cs="Times New Roman"/>
          <w:sz w:val="22"/>
          <w:szCs w:val="22"/>
        </w:rPr>
        <w:t>b</w:t>
      </w:r>
      <w:r w:rsidRPr="008C10B7">
        <w:rPr>
          <w:rFonts w:cs="Times New Roman"/>
          <w:sz w:val="22"/>
          <w:szCs w:val="22"/>
        </w:rPr>
        <w:t>)</w:t>
      </w:r>
      <w:r w:rsidRPr="008C10B7">
        <w:rPr>
          <w:rFonts w:cs="Times New Roman"/>
          <w:sz w:val="22"/>
          <w:szCs w:val="22"/>
        </w:rPr>
        <w:fldChar w:fldCharType="end"/>
      </w:r>
      <w:r w:rsidRPr="008C10B7">
        <w:rPr>
          <w:rFonts w:cs="Times New Roman"/>
          <w:sz w:val="22"/>
          <w:szCs w:val="22"/>
        </w:rPr>
        <w:t xml:space="preserve"> suggested that </w:t>
      </w:r>
      <w:r w:rsidR="002A0C18" w:rsidRPr="008C10B7">
        <w:rPr>
          <w:rFonts w:cs="Times New Roman"/>
          <w:sz w:val="22"/>
          <w:szCs w:val="22"/>
        </w:rPr>
        <w:t xml:space="preserve">there is a stronger relationship between </w:t>
      </w:r>
      <w:r w:rsidRPr="008C10B7">
        <w:rPr>
          <w:rFonts w:cs="Times New Roman"/>
          <w:sz w:val="22"/>
          <w:szCs w:val="22"/>
        </w:rPr>
        <w:t xml:space="preserve">street greening </w:t>
      </w:r>
      <w:r w:rsidR="002A0C18" w:rsidRPr="008C10B7">
        <w:rPr>
          <w:rFonts w:cs="Times New Roman"/>
          <w:sz w:val="22"/>
          <w:szCs w:val="22"/>
        </w:rPr>
        <w:t>and</w:t>
      </w:r>
      <w:r w:rsidRPr="008C10B7">
        <w:rPr>
          <w:rFonts w:cs="Times New Roman"/>
          <w:sz w:val="22"/>
          <w:szCs w:val="22"/>
        </w:rPr>
        <w:t xml:space="preserve"> </w:t>
      </w:r>
      <w:r w:rsidR="0030654E" w:rsidRPr="008C10B7">
        <w:rPr>
          <w:rFonts w:cs="Times New Roman"/>
          <w:sz w:val="22"/>
          <w:szCs w:val="22"/>
        </w:rPr>
        <w:t>AT</w:t>
      </w:r>
      <w:r w:rsidRPr="008C10B7">
        <w:rPr>
          <w:rFonts w:cs="Times New Roman"/>
          <w:sz w:val="22"/>
          <w:szCs w:val="22"/>
        </w:rPr>
        <w:t xml:space="preserve"> (</w:t>
      </w:r>
      <w:r w:rsidR="00891D4D" w:rsidRPr="008C10B7">
        <w:rPr>
          <w:rFonts w:cs="Times New Roman"/>
          <w:sz w:val="22"/>
          <w:szCs w:val="22"/>
        </w:rPr>
        <w:t>i.e.,</w:t>
      </w:r>
      <w:r w:rsidRPr="008C10B7">
        <w:rPr>
          <w:rFonts w:cs="Times New Roman"/>
          <w:sz w:val="22"/>
          <w:szCs w:val="22"/>
        </w:rPr>
        <w:t xml:space="preserve"> walking and cycling) than other greening measures. Therefore, street-view images can be a good indicator </w:t>
      </w:r>
      <w:r w:rsidR="006505B2">
        <w:rPr>
          <w:rFonts w:cs="Times New Roman"/>
          <w:sz w:val="22"/>
          <w:szCs w:val="22"/>
        </w:rPr>
        <w:t xml:space="preserve">of </w:t>
      </w:r>
      <w:r w:rsidR="002A0C18" w:rsidRPr="008C10B7">
        <w:rPr>
          <w:rFonts w:cs="Times New Roman"/>
          <w:sz w:val="22"/>
          <w:szCs w:val="22"/>
        </w:rPr>
        <w:t xml:space="preserve">how </w:t>
      </w:r>
      <w:r w:rsidRPr="008C10B7">
        <w:rPr>
          <w:rFonts w:cs="Times New Roman"/>
          <w:sz w:val="22"/>
          <w:szCs w:val="22"/>
        </w:rPr>
        <w:t xml:space="preserve">the </w:t>
      </w:r>
      <w:r w:rsidR="002A0C18" w:rsidRPr="008C10B7">
        <w:rPr>
          <w:rFonts w:cs="Times New Roman"/>
          <w:sz w:val="22"/>
          <w:szCs w:val="22"/>
        </w:rPr>
        <w:t>environment is</w:t>
      </w:r>
      <w:r w:rsidRPr="008C10B7">
        <w:rPr>
          <w:rFonts w:cs="Times New Roman"/>
          <w:sz w:val="22"/>
          <w:szCs w:val="22"/>
        </w:rPr>
        <w:t xml:space="preserve"> perceived by pedestrians travelling </w:t>
      </w:r>
      <w:r w:rsidR="002A0C18" w:rsidRPr="008C10B7">
        <w:rPr>
          <w:rFonts w:cs="Times New Roman"/>
          <w:sz w:val="22"/>
          <w:szCs w:val="22"/>
        </w:rPr>
        <w:t xml:space="preserve">along </w:t>
      </w:r>
      <w:r w:rsidRPr="008C10B7">
        <w:rPr>
          <w:rFonts w:cs="Times New Roman"/>
          <w:sz w:val="22"/>
          <w:szCs w:val="22"/>
        </w:rPr>
        <w:t>the street. We use</w:t>
      </w:r>
      <w:r w:rsidR="00891D4D" w:rsidRPr="008C10B7">
        <w:rPr>
          <w:rFonts w:cs="Times New Roman"/>
          <w:sz w:val="22"/>
          <w:szCs w:val="22"/>
        </w:rPr>
        <w:t>d</w:t>
      </w:r>
      <w:r w:rsidRPr="008C10B7">
        <w:rPr>
          <w:rFonts w:cs="Times New Roman"/>
          <w:sz w:val="22"/>
          <w:szCs w:val="22"/>
        </w:rPr>
        <w:t xml:space="preserve"> Baidu </w:t>
      </w:r>
      <w:r w:rsidR="00891D4D" w:rsidRPr="008C10B7">
        <w:rPr>
          <w:rFonts w:cs="Times New Roman"/>
          <w:sz w:val="22"/>
          <w:szCs w:val="22"/>
        </w:rPr>
        <w:t>M</w:t>
      </w:r>
      <w:r w:rsidRPr="008C10B7">
        <w:rPr>
          <w:rFonts w:cs="Times New Roman"/>
          <w:sz w:val="22"/>
          <w:szCs w:val="22"/>
        </w:rPr>
        <w:t xml:space="preserve">aps to obtain street view images (BSV), which </w:t>
      </w:r>
      <w:r w:rsidR="00382CF2" w:rsidRPr="008C10B7">
        <w:rPr>
          <w:rFonts w:cs="Times New Roman"/>
          <w:sz w:val="22"/>
          <w:szCs w:val="22"/>
        </w:rPr>
        <w:t xml:space="preserve">is a viable data source that has recorded street-view images </w:t>
      </w:r>
      <w:r w:rsidR="002A0C18" w:rsidRPr="008C10B7">
        <w:rPr>
          <w:rFonts w:cs="Times New Roman"/>
          <w:sz w:val="22"/>
          <w:szCs w:val="22"/>
        </w:rPr>
        <w:t>of</w:t>
      </w:r>
      <w:r w:rsidR="00382CF2" w:rsidRPr="008C10B7">
        <w:rPr>
          <w:rFonts w:cs="Times New Roman"/>
          <w:sz w:val="22"/>
          <w:szCs w:val="22"/>
        </w:rPr>
        <w:t xml:space="preserve"> 372 cities in China</w:t>
      </w:r>
      <w:r w:rsidRPr="008C10B7">
        <w:rPr>
          <w:rFonts w:cs="Times New Roman"/>
          <w:sz w:val="22"/>
          <w:szCs w:val="22"/>
        </w:rPr>
        <w:t xml:space="preserve"> </w:t>
      </w:r>
      <w:r w:rsidRPr="008C10B7">
        <w:rPr>
          <w:rFonts w:cs="Times New Roman"/>
          <w:sz w:val="22"/>
          <w:szCs w:val="22"/>
        </w:rPr>
        <w:fldChar w:fldCharType="begin" w:fldLock="1"/>
      </w:r>
      <w:r w:rsidR="00B74AD7" w:rsidRPr="008C10B7">
        <w:rPr>
          <w:rFonts w:cs="Times New Roman"/>
          <w:sz w:val="22"/>
          <w:szCs w:val="22"/>
        </w:rPr>
        <w:instrText>ADDIN CSL_CITATION {"citationItems":[{"id":"ITEM-1","itemData":{"DOI":"10.1016/j.scs.2019.101605","ISSN":"22106707","abstract":"It is of great significance both in theory and in practice to propose an efficient approach to approximating visual walkability given urban residents' growing leisure needs. Recent advancements in sensing and computing technologies provide new opportunities in this regard. This paper first proposes a conceptual framework for understanding street visual walkability and then employs deep learning technologies to segment and extract physical features from Baidu Map Street View (BMSV) imagery using the case of Shenzhen City in China. Guided by this framework, four indicators are calculated based on the segmented imagery and further integrated into the visual walkability index (VWI), whose reliability is validated through manual interpretation and a subjective scoring experiment. Our results show that deep learning technologies achieve higher accuracy in segmenting street view imagery than the traditional K-means clustering algorithm and support vector machine algorithm. Moreover, the developed VWI is effective to measure visual walkability, and it presents great heterogeneity across streets within Shenzhen. Spatial regression further identifies that significant social inequalities are associated with neighborhood visual walkability. According to the findings, implications and suggestions on planning the healthy city are proposed. The methodological procedure is reduplicative and can be applied to other unfeasible or challenging cases.","author":[{"dropping-particle":"","family":"Zhou","given":"Hao","non-dropping-particle":"","parse-names":false,"suffix":""},{"dropping-particle":"","family":"He","given":"Shenjing","non-dropping-particle":"","parse-names":false,"suffix":""},{"dropping-particle":"","family":"Cai","given":"Yuyang","non-dropping-particle":"","parse-names":false,"suffix":""},{"dropping-particle":"","family":"Wang","given":"Miao","non-dropping-particle":"","parse-names":false,"suffix":""},{"dropping-particle":"","family":"Su","given":"Shiliang","non-dropping-particle":"","parse-names":false,"suffix":""}],"container-title":"Sustainable Cities and Society","id":"ITEM-1","issued":{"date-parts":[["2019","10","1"]]},"page":"101605","publisher":"Elsevier Ltd","title":"Social inequalities in neighborhood visual walkability: Using street view imagery and deep learning technologies to facilitate healthy city planning","type":"article-journal","volume":"50"},"uris":["http://www.mendeley.com/documents/?uuid=74a51472-2798-3206-acd8-8aa2bed3af1f"]}],"mendeley":{"formattedCitation":"(H. Zhou et al., 2019)","manualFormatting":"(Zhou et al., 2019)","plainTextFormattedCitation":"(H. Zhou et al., 2019)","previouslyFormattedCitation":"(H. Zhou et al., 2019)"},"properties":{"noteIndex":0},"schema":"https://github.com/citation-style-language/schema/raw/master/csl-citation.json"}</w:instrText>
      </w:r>
      <w:r w:rsidRPr="008C10B7">
        <w:rPr>
          <w:rFonts w:cs="Times New Roman"/>
          <w:sz w:val="22"/>
          <w:szCs w:val="22"/>
        </w:rPr>
        <w:fldChar w:fldCharType="separate"/>
      </w:r>
      <w:r w:rsidRPr="008C10B7">
        <w:rPr>
          <w:rFonts w:cs="Times New Roman"/>
          <w:sz w:val="22"/>
          <w:szCs w:val="22"/>
        </w:rPr>
        <w:t>(Zhou et al., 2019</w:t>
      </w:r>
      <w:r w:rsidR="00AD051A" w:rsidRPr="008C10B7">
        <w:rPr>
          <w:rFonts w:cs="Times New Roman"/>
          <w:sz w:val="22"/>
          <w:szCs w:val="22"/>
        </w:rPr>
        <w:t>b</w:t>
      </w:r>
      <w:r w:rsidRPr="008C10B7">
        <w:rPr>
          <w:rFonts w:cs="Times New Roman"/>
          <w:sz w:val="22"/>
          <w:szCs w:val="22"/>
        </w:rPr>
        <w:t>)</w:t>
      </w:r>
      <w:r w:rsidRPr="008C10B7">
        <w:rPr>
          <w:rFonts w:cs="Times New Roman"/>
          <w:sz w:val="22"/>
          <w:szCs w:val="22"/>
        </w:rPr>
        <w:fldChar w:fldCharType="end"/>
      </w:r>
      <w:r w:rsidRPr="008C10B7">
        <w:rPr>
          <w:rFonts w:cs="Times New Roman"/>
          <w:sz w:val="22"/>
          <w:szCs w:val="22"/>
        </w:rPr>
        <w:t>. Baidu Maps</w:t>
      </w:r>
      <w:r w:rsidR="002A0C18" w:rsidRPr="008C10B7">
        <w:rPr>
          <w:rFonts w:cs="Times New Roman"/>
          <w:sz w:val="22"/>
          <w:szCs w:val="22"/>
        </w:rPr>
        <w:t>’</w:t>
      </w:r>
      <w:r w:rsidRPr="008C10B7">
        <w:rPr>
          <w:rFonts w:cs="Times New Roman"/>
          <w:sz w:val="22"/>
          <w:szCs w:val="22"/>
        </w:rPr>
        <w:t xml:space="preserve"> panoramic images have 360° horizontal and 180° vertical coverage and can be accessed online. As Google Maps is not accessible in China, Baidu Maps </w:t>
      </w:r>
      <w:r w:rsidR="002A0C18" w:rsidRPr="008C10B7">
        <w:rPr>
          <w:rFonts w:cs="Times New Roman"/>
          <w:sz w:val="22"/>
          <w:szCs w:val="22"/>
        </w:rPr>
        <w:t>can be regarded as a relatively high-quality</w:t>
      </w:r>
      <w:r w:rsidRPr="008C10B7">
        <w:rPr>
          <w:rFonts w:cs="Times New Roman"/>
          <w:sz w:val="22"/>
          <w:szCs w:val="22"/>
        </w:rPr>
        <w:t xml:space="preserve"> alternative data source.</w:t>
      </w:r>
    </w:p>
    <w:bookmarkEnd w:id="30"/>
    <w:bookmarkEnd w:id="31"/>
    <w:p w14:paraId="7FB3E029" w14:textId="756D85B5" w:rsidR="004D3D6C" w:rsidRPr="008C10B7" w:rsidRDefault="00711121" w:rsidP="00E7001C">
      <w:pPr>
        <w:spacing w:line="360" w:lineRule="auto"/>
        <w:ind w:firstLine="420"/>
        <w:jc w:val="both"/>
        <w:rPr>
          <w:rFonts w:cs="Times New Roman"/>
          <w:sz w:val="22"/>
          <w:szCs w:val="22"/>
        </w:rPr>
      </w:pPr>
      <w:r w:rsidRPr="008C10B7">
        <w:rPr>
          <w:rFonts w:cs="Times New Roman"/>
          <w:sz w:val="22"/>
          <w:szCs w:val="22"/>
        </w:rPr>
        <w:t xml:space="preserve">The image extraction process </w:t>
      </w:r>
      <w:r w:rsidR="00FF6E8E" w:rsidRPr="008C10B7">
        <w:rPr>
          <w:rFonts w:cs="Times New Roman"/>
          <w:sz w:val="22"/>
          <w:szCs w:val="22"/>
        </w:rPr>
        <w:t>worked</w:t>
      </w:r>
      <w:r w:rsidRPr="008C10B7">
        <w:rPr>
          <w:rFonts w:cs="Times New Roman"/>
          <w:sz w:val="22"/>
          <w:szCs w:val="22"/>
        </w:rPr>
        <w:t xml:space="preserve"> as follows </w:t>
      </w:r>
      <w:r w:rsidRPr="008C10B7">
        <w:rPr>
          <w:rFonts w:cs="Times New Roman"/>
          <w:sz w:val="22"/>
          <w:szCs w:val="22"/>
        </w:rPr>
        <w:fldChar w:fldCharType="begin" w:fldLock="1"/>
      </w:r>
      <w:r w:rsidR="00B74AD7" w:rsidRPr="008C10B7">
        <w:rPr>
          <w:rFonts w:cs="Times New Roman"/>
          <w:sz w:val="22"/>
          <w:szCs w:val="22"/>
        </w:rPr>
        <w:instrText>ADDIN CSL_CITATION {"citationItems":[{"id":"ITEM-1","itemData":{"DOI":"10.1016/j.envint.2019.02.013","ISSN":"18736750","PMID":"30797100","abstract":"Background: Residential green and blue spaces may be therapeutic for the mental health. However, solid evidence on the linkage between exposure to green and blue spaces and mental health among the elderly in non-Western countries is scarce and limited to exposure metrics based on remote sensing images (i.e., land cover and vegetation indices). Such overhead-view measures may fail to capture how people perceive the environment on the site. Objective: This study aimed to compare streetscape metrics derived from street view images with satellite-derived ones for the assessment of green and blue space; and to examine associations between exposure to green and blue spaces as well as geriatric depression in Beijing, China. Methods: Questionnaire data on 1190 participants aged 60 or above were analyzed cross-sectionally. Depressive symptoms were assessed through the shortened Geriatric Depression Scale (GDS-15). Streetscape green and blue spaces were extracted from Tencent Street View data by a fully convolutional neural network. Indicators derived from street view images were compared with a satellite-based normalized difference vegetation index (NDVI), a normalized difference water index (NDWI), and those derived from GlobeLand30 land cover data on a neighborhood level. Multilevel regressions with neighborhood-level random effects were fitted to assess correlations between GDS-15 scores and these green and blue spaces exposure metrics. Results: The average cumulative GDS-15 score was 3.4 (i.e., no depressive symptoms). Metrics of green and blue space derived from street view images were not correlated with satellite-based ones. While NDVI was highly correlated with GlobeLand30 green space, NDWI was moderately correlated with GlobeLand30 blue space. Multilevel regressions showed that both street view green and blue spaces were inversely associated with GDS-15 scores and achieved the highest model goodness-of-fit. No significant associations were found with NDVI, NDWI, and GlobeLand30 green and blue space. Our results passed robustness tests. Conclusion: Our findings provide support that street view green and blue spaces are protective against depression for the elderly in China, yet longitudinal confirmation to infer causality is necessary. Street view and satellite-derived green and blue space measures represent different aspects of natural environments. Both street view data and deep learning are valuable tools for automated environmental exposure assessmen…","author":[{"dropping-particle":"","family":"Helbich","given":"Marco","non-dropping-particle":"","parse-names":false,"suffix":""},{"dropping-particle":"","family":"Yao","given":"Yao","non-dropping-particle":"","parse-names":false,"suffix":""},{"dropping-particle":"","family":"Liu","given":"Ye","non-dropping-particle":"","parse-names":false,"suffix":""},{"dropping-particle":"","family":"Zhang","given":"Jinbao","non-dropping-particle":"","parse-names":false,"suffix":""},{"dropping-particle":"","family":"Liu","given":"Penghua","non-dropping-particle":"","parse-names":false,"suffix":""},{"dropping-particle":"","family":"Wang","given":"Ruoyu","non-dropping-particle":"","parse-names":false,"suffix":""}],"container-title":"Environment International","id":"ITEM-1","issued":{"date-parts":[["2019","5","1"]]},"page":"107-117","publisher":"Elsevier Ltd","title":"Using deep learning to examine street view green and blue spaces and their associations with geriatric depression in Beijing, China","type":"article-journal","volume":"126"},"uris":["http://www.mendeley.com/documents/?uuid=445d58d5-946c-3a2c-a1ad-3b4bdb60e742"]}],"mendeley":{"formattedCitation":"(Helbich et al., 2019)","plainTextFormattedCitation":"(Helbich et al., 2019)","previouslyFormattedCitation":"(Helbich et al., 2019)"},"properties":{"noteIndex":0},"schema":"https://github.com/citation-style-language/schema/raw/master/csl-citation.json"}</w:instrText>
      </w:r>
      <w:r w:rsidRPr="008C10B7">
        <w:rPr>
          <w:rFonts w:cs="Times New Roman"/>
          <w:sz w:val="22"/>
          <w:szCs w:val="22"/>
        </w:rPr>
        <w:fldChar w:fldCharType="separate"/>
      </w:r>
      <w:r w:rsidR="008C7EFD" w:rsidRPr="008C10B7">
        <w:rPr>
          <w:rFonts w:cs="Times New Roman"/>
          <w:sz w:val="22"/>
          <w:szCs w:val="22"/>
        </w:rPr>
        <w:t>(Helbich et al., 2019)</w:t>
      </w:r>
      <w:r w:rsidRPr="008C10B7">
        <w:rPr>
          <w:rFonts w:cs="Times New Roman"/>
          <w:sz w:val="22"/>
          <w:szCs w:val="22"/>
        </w:rPr>
        <w:fldChar w:fldCharType="end"/>
      </w:r>
      <w:r w:rsidR="00891D4D" w:rsidRPr="008C10B7">
        <w:rPr>
          <w:rFonts w:cs="Times New Roman"/>
          <w:sz w:val="22"/>
          <w:szCs w:val="22"/>
        </w:rPr>
        <w:t>.</w:t>
      </w:r>
      <w:r w:rsidRPr="008C10B7">
        <w:rPr>
          <w:rFonts w:cs="Times New Roman"/>
          <w:sz w:val="22"/>
          <w:szCs w:val="22"/>
        </w:rPr>
        <w:t xml:space="preserve"> First, all the </w:t>
      </w:r>
      <w:r w:rsidR="00F575E1" w:rsidRPr="008C10B7">
        <w:rPr>
          <w:rFonts w:cs="Times New Roman"/>
          <w:sz w:val="22"/>
          <w:szCs w:val="22"/>
        </w:rPr>
        <w:t xml:space="preserve">street </w:t>
      </w:r>
      <w:r w:rsidR="00FF6E8E" w:rsidRPr="008C10B7">
        <w:rPr>
          <w:rFonts w:cs="Times New Roman"/>
          <w:sz w:val="22"/>
          <w:szCs w:val="22"/>
        </w:rPr>
        <w:t xml:space="preserve">vector elements of the </w:t>
      </w:r>
      <w:r w:rsidRPr="008C10B7">
        <w:rPr>
          <w:rFonts w:cs="Times New Roman"/>
          <w:sz w:val="22"/>
          <w:szCs w:val="22"/>
        </w:rPr>
        <w:t xml:space="preserve">study </w:t>
      </w:r>
      <w:r w:rsidR="00FF6E8E" w:rsidRPr="008C10B7">
        <w:rPr>
          <w:rFonts w:cs="Times New Roman"/>
          <w:sz w:val="22"/>
          <w:szCs w:val="22"/>
        </w:rPr>
        <w:t>area</w:t>
      </w:r>
      <w:r w:rsidRPr="008C10B7">
        <w:rPr>
          <w:rFonts w:cs="Times New Roman"/>
          <w:sz w:val="22"/>
          <w:szCs w:val="22"/>
        </w:rPr>
        <w:t xml:space="preserve"> were extracted and imported </w:t>
      </w:r>
      <w:r w:rsidR="00192EB2" w:rsidRPr="008C10B7">
        <w:rPr>
          <w:rFonts w:cs="Times New Roman"/>
          <w:sz w:val="22"/>
          <w:szCs w:val="22"/>
        </w:rPr>
        <w:t xml:space="preserve">using </w:t>
      </w:r>
      <w:r w:rsidRPr="008C10B7">
        <w:rPr>
          <w:rFonts w:cs="Times New Roman"/>
          <w:sz w:val="22"/>
          <w:szCs w:val="22"/>
        </w:rPr>
        <w:t xml:space="preserve">ArcGIS software. Second, </w:t>
      </w:r>
      <w:r w:rsidRPr="008C10B7">
        <w:rPr>
          <w:rFonts w:cs="Times New Roman"/>
          <w:sz w:val="22"/>
          <w:szCs w:val="22"/>
        </w:rPr>
        <w:lastRenderedPageBreak/>
        <w:t xml:space="preserve">sample points for which images needed to be collected </w:t>
      </w:r>
      <w:r w:rsidR="00891D4D" w:rsidRPr="008C10B7">
        <w:rPr>
          <w:rFonts w:cs="Times New Roman"/>
          <w:sz w:val="22"/>
          <w:szCs w:val="22"/>
        </w:rPr>
        <w:t xml:space="preserve">were </w:t>
      </w:r>
      <w:r w:rsidRPr="008C10B7">
        <w:rPr>
          <w:rFonts w:cs="Times New Roman"/>
          <w:sz w:val="22"/>
          <w:szCs w:val="22"/>
        </w:rPr>
        <w:t>created with</w:t>
      </w:r>
      <w:r w:rsidR="00192EB2" w:rsidRPr="008C10B7">
        <w:rPr>
          <w:rFonts w:cs="Times New Roman"/>
          <w:sz w:val="22"/>
          <w:szCs w:val="22"/>
        </w:rPr>
        <w:t>in</w:t>
      </w:r>
      <w:r w:rsidRPr="008C10B7">
        <w:rPr>
          <w:rFonts w:cs="Times New Roman"/>
          <w:sz w:val="22"/>
          <w:szCs w:val="22"/>
        </w:rPr>
        <w:t xml:space="preserve"> the street network</w:t>
      </w:r>
      <w:r w:rsidR="00597AB1" w:rsidRPr="008C10B7">
        <w:rPr>
          <w:rFonts w:cs="Times New Roman"/>
          <w:sz w:val="22"/>
          <w:szCs w:val="22"/>
        </w:rPr>
        <w:t>,</w:t>
      </w:r>
      <w:r w:rsidRPr="008C10B7">
        <w:rPr>
          <w:rFonts w:cs="Times New Roman"/>
          <w:sz w:val="22"/>
          <w:szCs w:val="22"/>
        </w:rPr>
        <w:t xml:space="preserve"> and their latitude and longitude coordinates were recorded automatically using ArcGIS. </w:t>
      </w:r>
      <w:r w:rsidR="00192EB2" w:rsidRPr="008C10B7">
        <w:rPr>
          <w:rFonts w:cs="Times New Roman"/>
          <w:sz w:val="22"/>
          <w:szCs w:val="22"/>
        </w:rPr>
        <w:t>T</w:t>
      </w:r>
      <w:r w:rsidRPr="008C10B7">
        <w:rPr>
          <w:rFonts w:cs="Times New Roman"/>
          <w:sz w:val="22"/>
          <w:szCs w:val="22"/>
        </w:rPr>
        <w:t xml:space="preserve">he sample points in this study </w:t>
      </w:r>
      <w:r w:rsidR="00192EB2" w:rsidRPr="008C10B7">
        <w:rPr>
          <w:rFonts w:cs="Times New Roman"/>
          <w:sz w:val="22"/>
          <w:szCs w:val="22"/>
        </w:rPr>
        <w:t>took</w:t>
      </w:r>
      <w:r w:rsidRPr="008C10B7">
        <w:rPr>
          <w:rFonts w:cs="Times New Roman"/>
          <w:sz w:val="22"/>
          <w:szCs w:val="22"/>
        </w:rPr>
        <w:t xml:space="preserve"> into account the scale of the study area, </w:t>
      </w:r>
      <w:r w:rsidR="00192EB2" w:rsidRPr="008C10B7">
        <w:rPr>
          <w:rFonts w:cs="Times New Roman"/>
          <w:sz w:val="22"/>
          <w:szCs w:val="22"/>
        </w:rPr>
        <w:t xml:space="preserve">and were </w:t>
      </w:r>
      <w:r w:rsidRPr="008C10B7">
        <w:rPr>
          <w:rFonts w:cs="Times New Roman"/>
          <w:sz w:val="22"/>
          <w:szCs w:val="22"/>
        </w:rPr>
        <w:t xml:space="preserve">obtained by dividing each street element equally, which </w:t>
      </w:r>
      <w:r w:rsidR="00192EB2" w:rsidRPr="008C10B7">
        <w:rPr>
          <w:rFonts w:cs="Times New Roman"/>
          <w:sz w:val="22"/>
          <w:szCs w:val="22"/>
        </w:rPr>
        <w:t xml:space="preserve">made them </w:t>
      </w:r>
      <w:r w:rsidRPr="008C10B7">
        <w:rPr>
          <w:rFonts w:cs="Times New Roman"/>
          <w:sz w:val="22"/>
          <w:szCs w:val="22"/>
        </w:rPr>
        <w:t xml:space="preserve">closer to the 50m sampling distance </w:t>
      </w:r>
      <w:r w:rsidR="00192EB2" w:rsidRPr="008C10B7">
        <w:rPr>
          <w:rFonts w:cs="Times New Roman"/>
          <w:sz w:val="22"/>
          <w:szCs w:val="22"/>
        </w:rPr>
        <w:t xml:space="preserve">used in </w:t>
      </w:r>
      <w:r w:rsidRPr="008C10B7">
        <w:rPr>
          <w:rFonts w:cs="Times New Roman"/>
          <w:sz w:val="22"/>
          <w:szCs w:val="22"/>
        </w:rPr>
        <w:t xml:space="preserve">previous studies </w:t>
      </w:r>
      <w:r w:rsidRPr="008C10B7">
        <w:rPr>
          <w:rFonts w:cs="Times New Roman"/>
          <w:sz w:val="22"/>
          <w:szCs w:val="22"/>
        </w:rPr>
        <w:fldChar w:fldCharType="begin" w:fldLock="1"/>
      </w:r>
      <w:r w:rsidR="00B74AD7" w:rsidRPr="008C10B7">
        <w:rPr>
          <w:rFonts w:cs="Times New Roman"/>
          <w:sz w:val="22"/>
          <w:szCs w:val="22"/>
        </w:rPr>
        <w:instrText>ADDIN CSL_CITATION {"citationItems":[{"id":"ITEM-1","itemData":{"DOI":"10.1016/j.ufug.2019.126576","ISSN":"16108167","abstract":"Although a growing body of research has explored the relationship between neighbourhood natural outdoor environments and mental health, most studies have measured neighbourhood natural outdoor environments from a bird's-eye perspective, rather than measuring the visual experience of green and blue space that individuals have at the ground level. In addition, few studies have investigated how different dimensions of neighbourhood social cohesion mediates the relationship between the natural outdoor environment and mental health. To bridge these gaps, we examined the relationship between neighbourhood natural outdoor environments and individuals’ mental health in Guangzhou, China, using a combination of questionnaire survey data, streetscape and remote-sensing metrics, and multilevel structural equation modelling. More particularly, this study explored the mediating effects of three dimensions of neighbourhood social cohesion (i.e. neighbourhood attachment, neighbourly interaction, and community participation). The results indicate that neighbourhood green space and blue space are both positively associated with individuals’ mental health. Neighbourhood street greenery exerts beneficial effects on mental health, directly by its visual effect, and indirectly by improving neighbourhood attachment and community participation. Neighbourhood street-view blue space and surrounding green (blue) space also has a positive influence on mental health, but it does so in a direct manner only. This study contributes to our knowledge by estimating the mediating impacts of three dimensions of neighbourhood social cohesion and applying both streetscape and remote-sensing metrics of visible green space and blue space within neighbourhoods.","author":[{"dropping-particle":"","family":"Liu","given":"Yuqi","non-dropping-particle":"","parse-names":false,"suffix":""},{"dropping-particle":"","family":"Wang","given":"Ruoyu","non-dropping-particle":"","parse-names":false,"suffix":""},{"dropping-particle":"","family":"Lu","given":"Yi","non-dropping-particle":"","parse-names":false,"suffix":""},{"dropping-particle":"","family":"Li","given":"Zhigang","non-dropping-particle":"","parse-names":false,"suffix":""},{"dropping-particle":"","family":"Chen","given":"Hongsheng","non-dropping-particle":"","parse-names":false,"suffix":""},{"dropping-particle":"","family":"Cao","given":"Mengqiu","non-dropping-particle":"","parse-names":false,"suffix":""},{"dropping-particle":"","family":"Zhang","given":"Yuerong","non-dropping-particle":"","parse-names":false,"suffix":""},{"dropping-particle":"","family":"Song","given":"Yimeng","non-dropping-particle":"","parse-names":false,"suffix":""}],"container-title":"Urban Forestry and Urban Greening","id":"ITEM-1","issued":{"date-parts":[["2020","2","1"]]},"page":"126576","publisher":"Elsevier GmbH","title":"Natural outdoor environment, neighbourhood social cohesion and mental health: Using multilevel structural equation modelling, streetscape and remote-sensing metrics","type":"article-journal","volume":"48"},"uris":["http://www.mendeley.com/documents/?uuid=01283266-6284-3312-b6ce-66bf99b60ad3"]},{"id":"ITEM-2","itemData":{"DOI":"10.1016/j.cities.2019.01.003","ISSN":"02642751","abstract":"Cycling is one type of physical activities with documented health and environmental benefits. Little consensus has been reached about the impacts of urban greenness on cycling behavior because of the widely varying estimation techniques, especially at street scale. We objectively measured the urban greenness in two ways: overhead-view greenness by Normalized Difference Vegetation Index (NDVI) and eye-level street greenness by Google Street View (GSV) images. Multilevel logistic regression models were used to examine the association between urban greenness and the odds of cycling (versus not cycling) for 5701 Hong Kong participants after controlling activity-influencing built environment and individual-level covariates. We found the odds of cycling were positively associated with eye-level street greenness but not with overhead-view greenness across three buffer zones: 400 m, 800 m and 1600 m. In addition, the odds of cycling were negatively associated with population density, number of bus stops, and terrain slope, while positively associated with bike lane density. To build a cycling-friendly city, planners and designers might need to pay more attention to improve citizens’ daily exposure to urban greenness, instead of traditional greenspace indices such as greenspace area or number of parks. The GSV technique is a novel and reliable method for measuring eye-level urban greenness with potential usage in further healthy city studies.","author":[{"dropping-particle":"","family":"Lu","given":"Yi","non-dropping-particle":"","parse-names":false,"suffix":""},{"dropping-particle":"","family":"Yang","given":"Yiyang","non-dropping-particle":"","parse-names":false,"suffix":""},{"dropping-particle":"","family":"Sun","given":"Guibo","non-dropping-particle":"","parse-names":false,"suffix":""},{"dropping-particle":"","family":"Gou","given":"Zhonghua","non-dropping-particle":"","parse-names":false,"suffix":""}],"container-title":"Cities","id":"ITEM-2","issued":{"date-parts":[["2019","5","1"]]},"page":"10-18","publisher":"Elsevier Ltd","title":"Associations between overhead-view and eye-level urban greenness and cycling behaviors","type":"article-journal","volume":"88"},"uris":["http://www.mendeley.com/documents/?uuid=cc7f8048-112d-3a41-8013-69e57e493902"]},{"id":"ITEM-3","itemData":{"DOI":"10.1016/j.envint.2019.02.013","ISSN":"18736750","PMID":"30797100","abstract":"Background: Residential green and blue spaces may be therapeutic for the mental health. However, solid evidence on the linkage between exposure to green and blue spaces and mental health among the elderly in non-Western countries is scarce and limited to exposure metrics based on remote sensing images (i.e., land cover and vegetation indices). Such overhead-view measures may fail to capture how people perceive the environment on the site. Objective: This study aimed to compare streetscape metrics derived from street view images with satellite-derived ones for the assessment of green and blue space; and to examine associations between exposure to green and blue spaces as well as geriatric depression in Beijing, China. Methods: Questionnaire data on 1190 participants aged 60 or above were analyzed cross-sectionally. Depressive symptoms were assessed through the shortened Geriatric Depression Scale (GDS-15). Streetscape green and blue spaces were extracted from Tencent Street View data by a fully convolutional neural network. Indicators derived from street view images were compared with a satellite-based normalized difference vegetation index (NDVI), a normalized difference water index (NDWI), and those derived from GlobeLand30 land cover data on a neighborhood level. Multilevel regressions with neighborhood-level random effects were fitted to assess correlations between GDS-15 scores and these green and blue spaces exposure metrics. Results: The average cumulative GDS-15 score was 3.4 (i.e., no depressive symptoms). Metrics of green and blue space derived from street view images were not correlated with satellite-based ones. While NDVI was highly correlated with GlobeLand30 green space, NDWI was moderately correlated with GlobeLand30 blue space. Multilevel regressions showed that both street view green and blue spaces were inversely associated with GDS-15 scores and achieved the highest model goodness-of-fit. No significant associations were found with NDVI, NDWI, and GlobeLand30 green and blue space. Our results passed robustness tests. Conclusion: Our findings provide support that street view green and blue spaces are protective against depression for the elderly in China, yet longitudinal confirmation to infer causality is necessary. Street view and satellite-derived green and blue space measures represent different aspects of natural environments. Both street view data and deep learning are valuable tools for automated environmental exposure assessmen…","author":[{"dropping-particle":"","family":"Helbich","given":"Marco","non-dropping-particle":"","parse-names":false,"suffix":""},{"dropping-particle":"","family":"Yao","given":"Yao","non-dropping-particle":"","parse-names":false,"suffix":""},{"dropping-particle":"","family":"Liu","given":"Ye","non-dropping-particle":"","parse-names":false,"suffix":""},{"dropping-particle":"","family":"Zhang","given":"Jinbao","non-dropping-particle":"","parse-names":false,"suffix":""},{"dropping-particle":"","family":"Liu","given":"Penghua","non-dropping-particle":"","parse-names":false,"suffix":""},{"dropping-particle":"","family":"Wang","given":"Ruoyu","non-dropping-particle":"","parse-names":false,"suffix":""}],"container-title":"Environment International","id":"ITEM-3","issued":{"date-parts":[["2019","5","1"]]},"page":"107-117","publisher":"Elsevier Ltd","title":"Using deep learning to examine street view green and blue spaces and their associations with geriatric depression in Beijing, China","type":"article-journal","volume":"126"},"uris":["http://www.mendeley.com/documents/?uuid=445d58d5-946c-3a2c-a1ad-3b4bdb60e742"]}],"mendeley":{"formattedCitation":"(Helbich et al., 2019; Y. Liu et al., 2020; Lu et al., 2019)","manualFormatting":"(Helbich et al., 2019; Liu et al., 2020; Lu et al., 2019)","plainTextFormattedCitation":"(Helbich et al., 2019; Y. Liu et al., 2020; Lu et al., 2019)","previouslyFormattedCitation":"(Helbich et al., 2019; Y. Liu et al., 2020; Lu et al., 2019)"},"properties":{"noteIndex":0},"schema":"https://github.com/citation-style-language/schema/raw/master/csl-citation.json"}</w:instrText>
      </w:r>
      <w:r w:rsidRPr="008C10B7">
        <w:rPr>
          <w:rFonts w:cs="Times New Roman"/>
          <w:sz w:val="22"/>
          <w:szCs w:val="22"/>
        </w:rPr>
        <w:fldChar w:fldCharType="separate"/>
      </w:r>
      <w:r w:rsidRPr="008C10B7">
        <w:rPr>
          <w:rFonts w:cs="Times New Roman"/>
          <w:sz w:val="22"/>
          <w:szCs w:val="22"/>
        </w:rPr>
        <w:t>(Helbich et al., 2019; Liu et al., 2020; Lu et al., 2019</w:t>
      </w:r>
      <w:r w:rsidR="008D0E59" w:rsidRPr="008C10B7">
        <w:rPr>
          <w:rFonts w:cs="Times New Roman"/>
          <w:sz w:val="22"/>
          <w:szCs w:val="22"/>
        </w:rPr>
        <w:t>b</w:t>
      </w:r>
      <w:r w:rsidRPr="008C10B7">
        <w:rPr>
          <w:rFonts w:cs="Times New Roman"/>
          <w:sz w:val="22"/>
          <w:szCs w:val="22"/>
        </w:rPr>
        <w:t>)</w:t>
      </w:r>
      <w:r w:rsidRPr="008C10B7">
        <w:rPr>
          <w:rFonts w:cs="Times New Roman"/>
          <w:sz w:val="22"/>
          <w:szCs w:val="22"/>
        </w:rPr>
        <w:fldChar w:fldCharType="end"/>
      </w:r>
      <w:r w:rsidRPr="008C10B7">
        <w:rPr>
          <w:rFonts w:cs="Times New Roman"/>
          <w:sz w:val="22"/>
          <w:szCs w:val="22"/>
        </w:rPr>
        <w:t xml:space="preserve"> (Fig</w:t>
      </w:r>
      <w:r w:rsidR="00AB2CF4" w:rsidRPr="008C10B7">
        <w:rPr>
          <w:rFonts w:cs="Times New Roman"/>
          <w:sz w:val="22"/>
          <w:szCs w:val="22"/>
        </w:rPr>
        <w:t>ure</w:t>
      </w:r>
      <w:r w:rsidRPr="008C10B7">
        <w:rPr>
          <w:rFonts w:cs="Times New Roman"/>
          <w:sz w:val="22"/>
          <w:szCs w:val="22"/>
        </w:rPr>
        <w:t xml:space="preserve"> </w:t>
      </w:r>
      <w:r w:rsidR="0087457E" w:rsidRPr="008C10B7">
        <w:rPr>
          <w:rFonts w:cs="Times New Roman"/>
          <w:sz w:val="22"/>
          <w:szCs w:val="22"/>
        </w:rPr>
        <w:t>2</w:t>
      </w:r>
      <w:r w:rsidRPr="008C10B7">
        <w:rPr>
          <w:rFonts w:cs="Times New Roman"/>
          <w:sz w:val="22"/>
          <w:szCs w:val="22"/>
        </w:rPr>
        <w:t>). We chose to create sample points along streets</w:t>
      </w:r>
      <w:r w:rsidR="00A63148" w:rsidRPr="008C10B7">
        <w:rPr>
          <w:rFonts w:cs="Times New Roman"/>
          <w:sz w:val="22"/>
          <w:szCs w:val="22"/>
        </w:rPr>
        <w:t>,</w:t>
      </w:r>
      <w:r w:rsidRPr="008C10B7">
        <w:rPr>
          <w:rFonts w:cs="Times New Roman"/>
          <w:sz w:val="22"/>
          <w:szCs w:val="22"/>
        </w:rPr>
        <w:t xml:space="preserve"> because these images are collected by cars</w:t>
      </w:r>
      <w:r w:rsidR="00891D4D" w:rsidRPr="008C10B7">
        <w:rPr>
          <w:rFonts w:cs="Times New Roman"/>
          <w:sz w:val="22"/>
          <w:szCs w:val="22"/>
        </w:rPr>
        <w:t>, and as</w:t>
      </w:r>
      <w:r w:rsidRPr="008C10B7">
        <w:rPr>
          <w:rFonts w:cs="Times New Roman"/>
          <w:sz w:val="22"/>
          <w:szCs w:val="22"/>
        </w:rPr>
        <w:t xml:space="preserve"> pedestrians are typically active on the street, </w:t>
      </w:r>
      <w:r w:rsidR="00192EB2" w:rsidRPr="008C10B7">
        <w:rPr>
          <w:rFonts w:cs="Times New Roman"/>
          <w:sz w:val="22"/>
          <w:szCs w:val="22"/>
        </w:rPr>
        <w:t>this</w:t>
      </w:r>
      <w:r w:rsidRPr="008C10B7">
        <w:rPr>
          <w:rFonts w:cs="Times New Roman"/>
          <w:sz w:val="22"/>
          <w:szCs w:val="22"/>
        </w:rPr>
        <w:t xml:space="preserve"> provides a better measure of </w:t>
      </w:r>
      <w:r w:rsidR="00192EB2" w:rsidRPr="008C10B7">
        <w:rPr>
          <w:rFonts w:cs="Times New Roman"/>
          <w:sz w:val="22"/>
          <w:szCs w:val="22"/>
        </w:rPr>
        <w:t xml:space="preserve">how </w:t>
      </w:r>
      <w:r w:rsidRPr="008C10B7">
        <w:rPr>
          <w:rFonts w:cs="Times New Roman"/>
          <w:sz w:val="22"/>
          <w:szCs w:val="22"/>
        </w:rPr>
        <w:t>pedestrians perceive</w:t>
      </w:r>
      <w:r w:rsidR="00192EB2" w:rsidRPr="008C10B7">
        <w:rPr>
          <w:rFonts w:cs="Times New Roman"/>
          <w:sz w:val="22"/>
          <w:szCs w:val="22"/>
        </w:rPr>
        <w:t xml:space="preserve"> their</w:t>
      </w:r>
      <w:r w:rsidRPr="008C10B7">
        <w:rPr>
          <w:rFonts w:cs="Times New Roman"/>
          <w:sz w:val="22"/>
          <w:szCs w:val="22"/>
        </w:rPr>
        <w:t xml:space="preserve"> travel environment. 1,316 sample points </w:t>
      </w:r>
      <w:r w:rsidR="00192EB2" w:rsidRPr="008C10B7">
        <w:rPr>
          <w:rFonts w:cs="Times New Roman"/>
          <w:sz w:val="22"/>
          <w:szCs w:val="22"/>
        </w:rPr>
        <w:t xml:space="preserve">obtained from </w:t>
      </w:r>
      <w:r w:rsidR="00891D4D" w:rsidRPr="008C10B7">
        <w:rPr>
          <w:rFonts w:cs="Times New Roman"/>
          <w:sz w:val="22"/>
          <w:szCs w:val="22"/>
        </w:rPr>
        <w:t xml:space="preserve">the </w:t>
      </w:r>
      <w:r w:rsidRPr="008C10B7">
        <w:rPr>
          <w:rFonts w:cs="Times New Roman"/>
          <w:sz w:val="22"/>
          <w:szCs w:val="22"/>
        </w:rPr>
        <w:t xml:space="preserve">street view images were retained after removing 127 images that did not meet the requirements of the study, </w:t>
      </w:r>
      <w:r w:rsidR="00192EB2" w:rsidRPr="008C10B7">
        <w:rPr>
          <w:rFonts w:cs="Times New Roman"/>
          <w:sz w:val="22"/>
          <w:szCs w:val="22"/>
        </w:rPr>
        <w:t xml:space="preserve">for example </w:t>
      </w:r>
      <w:r w:rsidRPr="008C10B7">
        <w:rPr>
          <w:rFonts w:cs="Times New Roman"/>
          <w:sz w:val="22"/>
          <w:szCs w:val="22"/>
        </w:rPr>
        <w:t>(1) images that did not match the location</w:t>
      </w:r>
      <w:r w:rsidR="00A63148" w:rsidRPr="008C10B7">
        <w:rPr>
          <w:rFonts w:cs="Times New Roman"/>
          <w:sz w:val="22"/>
          <w:szCs w:val="22"/>
        </w:rPr>
        <w:t>;</w:t>
      </w:r>
      <w:r w:rsidRPr="008C10B7">
        <w:rPr>
          <w:rFonts w:cs="Times New Roman"/>
          <w:sz w:val="22"/>
          <w:szCs w:val="22"/>
        </w:rPr>
        <w:t xml:space="preserve"> and (2) sample images where the main field of view was </w:t>
      </w:r>
      <w:r w:rsidR="00192EB2" w:rsidRPr="008C10B7">
        <w:rPr>
          <w:rFonts w:cs="Times New Roman"/>
          <w:sz w:val="22"/>
          <w:szCs w:val="22"/>
        </w:rPr>
        <w:t xml:space="preserve">obscured </w:t>
      </w:r>
      <w:r w:rsidRPr="008C10B7">
        <w:rPr>
          <w:rFonts w:cs="Times New Roman"/>
          <w:sz w:val="22"/>
          <w:szCs w:val="22"/>
        </w:rPr>
        <w:t>by other objects such as large vehicles.</w:t>
      </w:r>
    </w:p>
    <w:p w14:paraId="15BBAD2C" w14:textId="16187B89" w:rsidR="00A039A3" w:rsidRPr="008C10B7" w:rsidRDefault="00711121" w:rsidP="00206AA5">
      <w:pPr>
        <w:spacing w:line="480" w:lineRule="auto"/>
        <w:jc w:val="center"/>
        <w:rPr>
          <w:rFonts w:cs="Times New Roman"/>
        </w:rPr>
      </w:pPr>
      <w:r w:rsidRPr="008C10B7">
        <w:rPr>
          <w:rFonts w:cs="Times New Roman"/>
          <w:noProof/>
          <w:lang w:val="en-US" w:eastAsia="en-US"/>
        </w:rPr>
        <w:drawing>
          <wp:inline distT="0" distB="0" distL="0" distR="0" wp14:anchorId="49A22857" wp14:editId="50043028">
            <wp:extent cx="3400425" cy="2074808"/>
            <wp:effectExtent l="0" t="0" r="3175" b="0"/>
            <wp:docPr id="3" name="图片 3" descr="黄色的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黄色的地图&#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17436" cy="2085187"/>
                    </a:xfrm>
                    <a:prstGeom prst="rect">
                      <a:avLst/>
                    </a:prstGeom>
                  </pic:spPr>
                </pic:pic>
              </a:graphicData>
            </a:graphic>
          </wp:inline>
        </w:drawing>
      </w:r>
    </w:p>
    <w:p w14:paraId="0358F1E2" w14:textId="0A149ED2" w:rsidR="00A039A3" w:rsidRPr="008C10B7" w:rsidRDefault="00EE3D1D" w:rsidP="00E7001C">
      <w:pPr>
        <w:pStyle w:val="Caption"/>
        <w:spacing w:line="360" w:lineRule="auto"/>
        <w:jc w:val="center"/>
        <w:rPr>
          <w:rFonts w:ascii="Times New Roman" w:hAnsi="Times New Roman" w:cs="Times New Roman"/>
          <w:szCs w:val="16"/>
        </w:rPr>
      </w:pPr>
      <w:bookmarkStart w:id="32" w:name="_Toc78632948"/>
      <w:r w:rsidRPr="008C10B7">
        <w:rPr>
          <w:rFonts w:ascii="Times New Roman" w:hAnsi="Times New Roman"/>
          <w:b/>
          <w:bCs/>
          <w:szCs w:val="16"/>
        </w:rPr>
        <w:t>Fig</w:t>
      </w:r>
      <w:r w:rsidR="00C234EB" w:rsidRPr="008C10B7">
        <w:rPr>
          <w:rFonts w:ascii="Times New Roman" w:hAnsi="Times New Roman"/>
          <w:b/>
          <w:bCs/>
          <w:szCs w:val="16"/>
        </w:rPr>
        <w:t>.</w:t>
      </w:r>
      <w:r w:rsidRPr="008C10B7">
        <w:rPr>
          <w:rFonts w:ascii="Times New Roman" w:hAnsi="Times New Roman"/>
          <w:b/>
          <w:bCs/>
          <w:szCs w:val="16"/>
        </w:rPr>
        <w:t xml:space="preserve"> </w:t>
      </w:r>
      <w:r w:rsidRPr="008C10B7">
        <w:rPr>
          <w:rFonts w:ascii="Times New Roman" w:hAnsi="Times New Roman"/>
          <w:b/>
          <w:bCs/>
          <w:szCs w:val="16"/>
        </w:rPr>
        <w:fldChar w:fldCharType="begin"/>
      </w:r>
      <w:r w:rsidRPr="008C10B7">
        <w:rPr>
          <w:rFonts w:ascii="Times New Roman" w:hAnsi="Times New Roman"/>
          <w:b/>
          <w:bCs/>
          <w:szCs w:val="16"/>
        </w:rPr>
        <w:instrText xml:space="preserve"> SEQ Figure \* ARABIC </w:instrText>
      </w:r>
      <w:r w:rsidRPr="008C10B7">
        <w:rPr>
          <w:rFonts w:ascii="Times New Roman" w:hAnsi="Times New Roman"/>
          <w:b/>
          <w:bCs/>
          <w:szCs w:val="16"/>
        </w:rPr>
        <w:fldChar w:fldCharType="separate"/>
      </w:r>
      <w:r w:rsidR="00AE0FBF">
        <w:rPr>
          <w:rFonts w:ascii="Times New Roman" w:hAnsi="Times New Roman"/>
          <w:b/>
          <w:bCs/>
          <w:noProof/>
          <w:szCs w:val="16"/>
        </w:rPr>
        <w:t>2</w:t>
      </w:r>
      <w:r w:rsidRPr="008C10B7">
        <w:rPr>
          <w:rFonts w:ascii="Times New Roman" w:hAnsi="Times New Roman"/>
          <w:b/>
          <w:bCs/>
          <w:szCs w:val="16"/>
        </w:rPr>
        <w:fldChar w:fldCharType="end"/>
      </w:r>
      <w:r w:rsidRPr="008C10B7">
        <w:rPr>
          <w:rFonts w:ascii="Times New Roman" w:hAnsi="Times New Roman"/>
          <w:b/>
          <w:bCs/>
          <w:szCs w:val="16"/>
        </w:rPr>
        <w:t xml:space="preserve">. </w:t>
      </w:r>
      <w:r w:rsidR="00A039A3" w:rsidRPr="008C10B7">
        <w:rPr>
          <w:rFonts w:ascii="Times New Roman" w:hAnsi="Times New Roman"/>
          <w:szCs w:val="16"/>
        </w:rPr>
        <w:t>Sample points for street view images</w:t>
      </w:r>
      <w:bookmarkEnd w:id="32"/>
    </w:p>
    <w:p w14:paraId="7CDB7BA3" w14:textId="0B231288" w:rsidR="00E90D70" w:rsidRPr="008C10B7" w:rsidRDefault="00E90D70" w:rsidP="00206AA5">
      <w:pPr>
        <w:spacing w:line="480" w:lineRule="auto"/>
        <w:jc w:val="both"/>
        <w:rPr>
          <w:b/>
        </w:rPr>
      </w:pPr>
    </w:p>
    <w:p w14:paraId="6EEA2230" w14:textId="09322000" w:rsidR="00E90D70" w:rsidRPr="008C10B7" w:rsidRDefault="00E90D70" w:rsidP="00206AA5">
      <w:pPr>
        <w:pStyle w:val="Heading2"/>
        <w:keepNext/>
        <w:keepLines/>
        <w:spacing w:before="0" w:beforeAutospacing="0" w:after="0" w:afterAutospacing="0" w:line="480" w:lineRule="auto"/>
        <w:jc w:val="both"/>
        <w:rPr>
          <w:rFonts w:eastAsiaTheme="majorEastAsia" w:cstheme="majorHAnsi"/>
          <w:b w:val="0"/>
          <w:i/>
          <w:iCs/>
          <w:sz w:val="22"/>
          <w:szCs w:val="32"/>
          <w:lang w:val="en-GB" w:eastAsia="en-US"/>
        </w:rPr>
      </w:pPr>
      <w:bookmarkStart w:id="33" w:name="_Toc78625146"/>
      <w:r w:rsidRPr="008C10B7">
        <w:rPr>
          <w:rFonts w:eastAsiaTheme="majorEastAsia" w:cstheme="majorHAnsi"/>
          <w:b w:val="0"/>
          <w:i/>
          <w:iCs/>
          <w:sz w:val="22"/>
          <w:szCs w:val="22"/>
          <w:lang w:val="en-GB" w:eastAsia="en-US"/>
        </w:rPr>
        <w:t>3.2.3</w:t>
      </w:r>
      <w:r w:rsidR="00C234EB" w:rsidRPr="008C10B7">
        <w:rPr>
          <w:rFonts w:eastAsiaTheme="majorEastAsia" w:cstheme="majorHAnsi"/>
          <w:b w:val="0"/>
          <w:i/>
          <w:iCs/>
          <w:sz w:val="22"/>
          <w:szCs w:val="22"/>
          <w:lang w:val="en-GB" w:eastAsia="en-US"/>
        </w:rPr>
        <w:t>.</w:t>
      </w:r>
      <w:r w:rsidRPr="008C10B7">
        <w:rPr>
          <w:rFonts w:eastAsiaTheme="majorEastAsia" w:cstheme="majorHAnsi"/>
          <w:b w:val="0"/>
          <w:i/>
          <w:iCs/>
          <w:sz w:val="22"/>
          <w:szCs w:val="22"/>
          <w:lang w:val="en-GB" w:eastAsia="en-US"/>
        </w:rPr>
        <w:tab/>
        <w:t xml:space="preserve">Remote </w:t>
      </w:r>
      <w:r w:rsidR="00C234EB" w:rsidRPr="008C10B7">
        <w:rPr>
          <w:rFonts w:eastAsiaTheme="majorEastAsia" w:cstheme="majorHAnsi"/>
          <w:b w:val="0"/>
          <w:i/>
          <w:iCs/>
          <w:sz w:val="22"/>
          <w:szCs w:val="22"/>
          <w:lang w:val="en-GB" w:eastAsia="en-US"/>
        </w:rPr>
        <w:t>s</w:t>
      </w:r>
      <w:r w:rsidRPr="008C10B7">
        <w:rPr>
          <w:rFonts w:eastAsiaTheme="majorEastAsia" w:cstheme="majorHAnsi"/>
          <w:b w:val="0"/>
          <w:i/>
          <w:iCs/>
          <w:sz w:val="22"/>
          <w:szCs w:val="22"/>
          <w:lang w:val="en-GB" w:eastAsia="en-US"/>
        </w:rPr>
        <w:t xml:space="preserve">ensing </w:t>
      </w:r>
      <w:r w:rsidR="00C234EB" w:rsidRPr="008C10B7">
        <w:rPr>
          <w:rFonts w:eastAsiaTheme="majorEastAsia" w:cstheme="majorHAnsi"/>
          <w:b w:val="0"/>
          <w:i/>
          <w:iCs/>
          <w:sz w:val="22"/>
          <w:szCs w:val="22"/>
          <w:lang w:val="en-GB" w:eastAsia="en-US"/>
        </w:rPr>
        <w:t>d</w:t>
      </w:r>
      <w:r w:rsidRPr="008C10B7">
        <w:rPr>
          <w:rFonts w:eastAsiaTheme="majorEastAsia" w:cstheme="majorHAnsi"/>
          <w:b w:val="0"/>
          <w:i/>
          <w:iCs/>
          <w:sz w:val="22"/>
          <w:szCs w:val="22"/>
          <w:lang w:val="en-GB" w:eastAsia="en-US"/>
        </w:rPr>
        <w:t>ata</w:t>
      </w:r>
      <w:bookmarkEnd w:id="33"/>
    </w:p>
    <w:p w14:paraId="272E70D1" w14:textId="29823615" w:rsidR="00E90D70" w:rsidRPr="008C10B7" w:rsidRDefault="00E90D70" w:rsidP="00206AA5">
      <w:pPr>
        <w:spacing w:line="480" w:lineRule="auto"/>
        <w:jc w:val="both"/>
        <w:rPr>
          <w:rFonts w:cs="Times New Roman"/>
          <w:sz w:val="22"/>
          <w:szCs w:val="22"/>
        </w:rPr>
      </w:pPr>
      <w:r w:rsidRPr="008C10B7">
        <w:rPr>
          <w:rFonts w:cs="Times New Roman"/>
          <w:sz w:val="22"/>
          <w:szCs w:val="22"/>
        </w:rPr>
        <w:t xml:space="preserve">Derived from the analysis of remotely sensed images, the </w:t>
      </w:r>
      <w:r w:rsidR="00171824" w:rsidRPr="008C10B7">
        <w:rPr>
          <w:rFonts w:cs="Times New Roman"/>
          <w:sz w:val="22"/>
          <w:szCs w:val="22"/>
        </w:rPr>
        <w:t>normalised difference vegetation index</w:t>
      </w:r>
      <w:r w:rsidRPr="008C10B7">
        <w:rPr>
          <w:rFonts w:cs="Times New Roman"/>
          <w:sz w:val="22"/>
          <w:szCs w:val="22"/>
        </w:rPr>
        <w:t xml:space="preserve"> (NDVI</w:t>
      </w:r>
      <w:r w:rsidR="00C665C0" w:rsidRPr="008C10B7">
        <w:rPr>
          <w:rFonts w:cs="Times New Roman"/>
          <w:sz w:val="22"/>
          <w:szCs w:val="22"/>
        </w:rPr>
        <w:t>)</w:t>
      </w:r>
      <w:r w:rsidRPr="008C10B7">
        <w:rPr>
          <w:rFonts w:cs="Times New Roman"/>
          <w:sz w:val="22"/>
          <w:szCs w:val="22"/>
        </w:rPr>
        <w:t xml:space="preserve"> </w:t>
      </w:r>
      <w:r w:rsidR="00C665C0" w:rsidRPr="008C10B7">
        <w:rPr>
          <w:rFonts w:cs="Times New Roman"/>
          <w:sz w:val="22"/>
          <w:szCs w:val="22"/>
        </w:rPr>
        <w:t>(</w:t>
      </w:r>
      <w:r w:rsidRPr="008C10B7">
        <w:rPr>
          <w:rFonts w:cs="Times New Roman"/>
          <w:sz w:val="22"/>
          <w:szCs w:val="22"/>
        </w:rPr>
        <w:fldChar w:fldCharType="begin" w:fldLock="1"/>
      </w:r>
      <w:r w:rsidRPr="008C10B7">
        <w:rPr>
          <w:rFonts w:cs="Times New Roman"/>
          <w:sz w:val="22"/>
          <w:szCs w:val="22"/>
        </w:rPr>
        <w:instrText>ADDIN CSL_CITATION {"citationItems":[{"id":"ITEM-1","itemData":{"DOI":"10.1016/0034-4257(79)90013-0","ISSN":"00344257","abstract":"In situ collected spectrometer data were used to evaluate and quantify the relationships between various linear combinations of red and photographic infrared radiances and experimental plot biomass, leaf water content, and chlorophyll content. The radiance variables evaluated included the red and photographic infrared (IR) radiance and the linear combinations of the IR/red ratio, the square root of the IR/red ratio, the IR-red difference, the vegetation index, and the transformed vegetation index. In addition, the corresponding green and red linear combinations were evaluated for comparative purposes. Three data sets were used from June, September, and October sampling periods. Regression analysis showed the increased utility of the IR and red linear combinations vis-à-vis the same green and red linear combinations. The red and IR linear combinations had 7% and 14% greater regression significance than the green and red linear combinations for the June and September sampling periods, respectively. The vegetation index, transformed vegetation index, and square root of the IR/red ratio were the most significant, followed closely by the IR/red ratio. Less than a 6% difference separated the highest and lowest of these four ER and red linear combinations. The use of these linear combinations was shown to be sensitive primarily to the green leaf area or green leaf biomass. As such, these linear combinations of the red and photographic IR radiances can be employed to monitor the photosynthetically active biomass of plant canopies. © 1979.","author":[{"dropping-particle":"","family":"Tucker","given":"Compton J.","non-dropping-particle":"","parse-names":false,"suffix":""}],"container-title":"Remote Sensing of Environment","id":"ITEM-1","issue":"2","issued":{"date-parts":[["1979","5","1"]]},"page":"127-150","publisher":"Elsevier","title":"Red and photographic infrared linear combinations for monitoring vegetation","type":"article-journal","volume":"8"},"uris":["http://www.mendeley.com/documents/?uuid=96d7242a-d808-3f48-98b0-a14067def0ca"]}],"mendeley":{"formattedCitation":"(Tucker, 1979)","plainTextFormattedCitation":"(Tucker, 1979)","previouslyFormattedCitation":"(Tucker, 1979)"},"properties":{"noteIndex":0},"schema":"https://github.com/citation-style-language/schema/raw/master/csl-citation.json"}</w:instrText>
      </w:r>
      <w:r w:rsidRPr="008C10B7">
        <w:rPr>
          <w:rFonts w:cs="Times New Roman"/>
          <w:sz w:val="22"/>
          <w:szCs w:val="22"/>
        </w:rPr>
        <w:fldChar w:fldCharType="separate"/>
      </w:r>
      <w:r w:rsidRPr="008C10B7">
        <w:rPr>
          <w:rFonts w:cs="Times New Roman"/>
          <w:sz w:val="22"/>
          <w:szCs w:val="22"/>
        </w:rPr>
        <w:t>Tucker, 1979)</w:t>
      </w:r>
      <w:r w:rsidRPr="008C10B7">
        <w:rPr>
          <w:rFonts w:cs="Times New Roman"/>
          <w:sz w:val="22"/>
          <w:szCs w:val="22"/>
        </w:rPr>
        <w:fldChar w:fldCharType="end"/>
      </w:r>
      <w:r w:rsidRPr="008C10B7">
        <w:rPr>
          <w:rFonts w:cs="Times New Roman"/>
          <w:sz w:val="22"/>
          <w:szCs w:val="22"/>
        </w:rPr>
        <w:t xml:space="preserve"> is also used as a parameter </w:t>
      </w:r>
      <w:r w:rsidR="00192EB2" w:rsidRPr="008C10B7">
        <w:rPr>
          <w:rFonts w:cs="Times New Roman"/>
          <w:sz w:val="22"/>
          <w:szCs w:val="22"/>
        </w:rPr>
        <w:t xml:space="preserve">for </w:t>
      </w:r>
      <w:r w:rsidRPr="008C10B7">
        <w:rPr>
          <w:rFonts w:cs="Times New Roman"/>
          <w:sz w:val="22"/>
          <w:szCs w:val="22"/>
        </w:rPr>
        <w:t>evaluat</w:t>
      </w:r>
      <w:r w:rsidR="00192EB2" w:rsidRPr="008C10B7">
        <w:rPr>
          <w:rFonts w:cs="Times New Roman"/>
          <w:sz w:val="22"/>
          <w:szCs w:val="22"/>
        </w:rPr>
        <w:t>ing</w:t>
      </w:r>
      <w:r w:rsidRPr="008C10B7">
        <w:rPr>
          <w:rFonts w:cs="Times New Roman"/>
          <w:sz w:val="22"/>
          <w:szCs w:val="22"/>
        </w:rPr>
        <w:t xml:space="preserve"> green exposure. </w:t>
      </w:r>
      <w:r w:rsidR="00192EB2" w:rsidRPr="008C10B7">
        <w:rPr>
          <w:rFonts w:cs="Times New Roman"/>
          <w:sz w:val="22"/>
          <w:szCs w:val="22"/>
        </w:rPr>
        <w:t xml:space="preserve">The </w:t>
      </w:r>
      <w:r w:rsidRPr="008C10B7">
        <w:rPr>
          <w:rFonts w:cs="Times New Roman"/>
          <w:sz w:val="22"/>
          <w:szCs w:val="22"/>
        </w:rPr>
        <w:t xml:space="preserve">NDVI is calculated from </w:t>
      </w:r>
      <w:r w:rsidR="00192EB2" w:rsidRPr="008C10B7">
        <w:rPr>
          <w:rFonts w:cs="Times New Roman"/>
          <w:sz w:val="22"/>
          <w:szCs w:val="22"/>
        </w:rPr>
        <w:t xml:space="preserve">the </w:t>
      </w:r>
      <w:r w:rsidRPr="008C10B7">
        <w:rPr>
          <w:rFonts w:cs="Times New Roman"/>
          <w:sz w:val="22"/>
          <w:szCs w:val="22"/>
        </w:rPr>
        <w:t>reflectance</w:t>
      </w:r>
      <w:r w:rsidR="00192EB2" w:rsidRPr="008C10B7">
        <w:rPr>
          <w:rFonts w:cs="Times New Roman"/>
          <w:sz w:val="22"/>
          <w:szCs w:val="22"/>
        </w:rPr>
        <w:t xml:space="preserve"> values</w:t>
      </w:r>
      <w:r w:rsidRPr="008C10B7">
        <w:rPr>
          <w:rFonts w:cs="Times New Roman"/>
          <w:sz w:val="22"/>
          <w:szCs w:val="22"/>
        </w:rPr>
        <w:t xml:space="preserve"> in the near-infrared band (NIR) and the visible region </w:t>
      </w:r>
      <w:r w:rsidR="00192EB2" w:rsidRPr="008C10B7">
        <w:rPr>
          <w:rFonts w:cs="Times New Roman"/>
          <w:sz w:val="22"/>
          <w:szCs w:val="22"/>
        </w:rPr>
        <w:t xml:space="preserve">obtained </w:t>
      </w:r>
      <w:r w:rsidRPr="008C10B7">
        <w:rPr>
          <w:rFonts w:cs="Times New Roman"/>
          <w:sz w:val="22"/>
          <w:szCs w:val="22"/>
        </w:rPr>
        <w:t xml:space="preserve">from satellite images </w:t>
      </w:r>
      <w:r w:rsidRPr="008C10B7">
        <w:rPr>
          <w:rFonts w:cs="Times New Roman"/>
          <w:sz w:val="22"/>
          <w:szCs w:val="22"/>
        </w:rPr>
        <w:fldChar w:fldCharType="begin" w:fldLock="1"/>
      </w:r>
      <w:r w:rsidRPr="008C10B7">
        <w:rPr>
          <w:rFonts w:cs="Times New Roman"/>
          <w:sz w:val="22"/>
          <w:szCs w:val="22"/>
        </w:rPr>
        <w:instrText>ADDIN CSL_CITATION {"citationItems":[{"id":"ITEM-1","itemData":{"DOI":"10.1016/j.ufug.2021.127161","ISSN":"16188667","author":[{"dropping-particle":"","family":"Wu","given":"Wenjie","non-dropping-particle":"","parse-names":false,"suffix":""},{"dropping-particle":"","family":"Yao","given":"Yao","non-dropping-particle":"","parse-names":false,"suffix":""},{"dropping-particle":"","family":"Song","given":"Yimeng","non-dropping-particle":"","parse-names":false,"suffix":""},{"dropping-particle":"","family":"He","given":"Dongsheng","non-dropping-particle":"","parse-names":false,"suffix":""},{"dropping-particle":"","family":"Wang","given":"Ruoyu","non-dropping-particle":"","parse-names":false,"suffix":""}],"container-title":"Urban Forestry &amp; Urban Greening","id":"ITEM-1","issued":{"date-parts":[["2021","7","1"]]},"page":"127161","publisher":"Urban &amp; Fischer","title":"Perceived influence of street-level visible greenness exposure in the work and residential environment on life satisfaction: Evidence from Beijing, China","type":"article-journal","volume":"62"},"uris":["http://www.mendeley.com/documents/?uuid=ac173be0-242a-3c0a-afed-c84be1455dec"]}],"mendeley":{"formattedCitation":"(W. Wu et al., 2021)","manualFormatting":"(Wu et al., 2021)","plainTextFormattedCitation":"(W. Wu et al., 2021)","previouslyFormattedCitation":"(W. Wu et al., 2021)"},"properties":{"noteIndex":0},"schema":"https://github.com/citation-style-language/schema/raw/master/csl-citation.json"}</w:instrText>
      </w:r>
      <w:r w:rsidRPr="008C10B7">
        <w:rPr>
          <w:rFonts w:cs="Times New Roman"/>
          <w:sz w:val="22"/>
          <w:szCs w:val="22"/>
        </w:rPr>
        <w:fldChar w:fldCharType="separate"/>
      </w:r>
      <w:r w:rsidRPr="008C10B7">
        <w:rPr>
          <w:rFonts w:cs="Times New Roman"/>
          <w:sz w:val="22"/>
          <w:szCs w:val="22"/>
        </w:rPr>
        <w:t>(Wu et al., 2021)</w:t>
      </w:r>
      <w:r w:rsidRPr="008C10B7">
        <w:rPr>
          <w:rFonts w:cs="Times New Roman"/>
          <w:sz w:val="22"/>
          <w:szCs w:val="22"/>
        </w:rPr>
        <w:fldChar w:fldCharType="end"/>
      </w:r>
      <w:r w:rsidRPr="008C10B7">
        <w:rPr>
          <w:rFonts w:cs="Times New Roman"/>
          <w:sz w:val="22"/>
          <w:szCs w:val="22"/>
        </w:rPr>
        <w:t xml:space="preserve">. The value is between -1 and 1, and a </w:t>
      </w:r>
      <w:r w:rsidRPr="008C10B7">
        <w:rPr>
          <w:rFonts w:cs="Times New Roman"/>
          <w:sz w:val="22"/>
          <w:szCs w:val="22"/>
        </w:rPr>
        <w:lastRenderedPageBreak/>
        <w:t xml:space="preserve">higher value indicates a </w:t>
      </w:r>
      <w:r w:rsidR="00192EB2" w:rsidRPr="008C10B7">
        <w:rPr>
          <w:rFonts w:cs="Times New Roman"/>
          <w:sz w:val="22"/>
          <w:szCs w:val="22"/>
        </w:rPr>
        <w:t xml:space="preserve">larger </w:t>
      </w:r>
      <w:r w:rsidRPr="008C10B7">
        <w:rPr>
          <w:rFonts w:cs="Times New Roman"/>
          <w:sz w:val="22"/>
          <w:szCs w:val="22"/>
        </w:rPr>
        <w:t>amount of vegetation. The formula</w:t>
      </w:r>
      <w:r w:rsidR="00192EB2" w:rsidRPr="008C10B7">
        <w:rPr>
          <w:rFonts w:cs="Times New Roman"/>
          <w:sz w:val="22"/>
          <w:szCs w:val="22"/>
        </w:rPr>
        <w:t xml:space="preserve"> used</w:t>
      </w:r>
      <w:r w:rsidRPr="008C10B7">
        <w:rPr>
          <w:rFonts w:cs="Times New Roman"/>
          <w:sz w:val="22"/>
          <w:szCs w:val="22"/>
        </w:rPr>
        <w:t xml:space="preserve"> to calculate</w:t>
      </w:r>
      <w:r w:rsidR="00192EB2" w:rsidRPr="008C10B7">
        <w:rPr>
          <w:rFonts w:cs="Times New Roman"/>
          <w:sz w:val="22"/>
          <w:szCs w:val="22"/>
        </w:rPr>
        <w:t xml:space="preserve"> the</w:t>
      </w:r>
      <w:r w:rsidRPr="008C10B7">
        <w:rPr>
          <w:rFonts w:cs="Times New Roman"/>
          <w:sz w:val="22"/>
          <w:szCs w:val="22"/>
        </w:rPr>
        <w:t xml:space="preserve"> NDVI </w:t>
      </w:r>
      <w:r w:rsidR="00891D4D" w:rsidRPr="008C10B7">
        <w:rPr>
          <w:rFonts w:cs="Times New Roman"/>
          <w:sz w:val="22"/>
          <w:szCs w:val="22"/>
        </w:rPr>
        <w:t xml:space="preserve">is </w:t>
      </w:r>
      <w:r w:rsidRPr="008C10B7">
        <w:rPr>
          <w:rFonts w:cs="Times New Roman"/>
          <w:sz w:val="22"/>
          <w:szCs w:val="22"/>
        </w:rPr>
        <w:t>as follows:</w:t>
      </w:r>
    </w:p>
    <w:p w14:paraId="3BAAD2A0" w14:textId="4D6787F5" w:rsidR="00E90D70" w:rsidRPr="008C10B7" w:rsidRDefault="00E90D70" w:rsidP="00206AA5">
      <w:pPr>
        <w:spacing w:line="480" w:lineRule="auto"/>
        <w:jc w:val="right"/>
        <w:rPr>
          <w:rFonts w:cs="Times New Roman"/>
          <w:sz w:val="20"/>
          <w:szCs w:val="20"/>
        </w:rPr>
      </w:pPr>
      <m:oMath>
        <m:r>
          <w:rPr>
            <w:rFonts w:ascii="Cambria Math" w:hAnsi="Cambria Math" w:cs="Times New Roman"/>
            <w:sz w:val="20"/>
            <w:szCs w:val="20"/>
          </w:rPr>
          <m:t>NDVI=</m:t>
        </m:r>
        <m:f>
          <m:fPr>
            <m:ctrlPr>
              <w:rPr>
                <w:rFonts w:ascii="Cambria Math" w:hAnsi="Cambria Math" w:cs="Times New Roman"/>
                <w:i/>
                <w:sz w:val="20"/>
                <w:szCs w:val="20"/>
              </w:rPr>
            </m:ctrlPr>
          </m:fPr>
          <m:num>
            <m:r>
              <w:rPr>
                <w:rFonts w:ascii="Cambria Math" w:hAnsi="Cambria Math" w:cs="Times New Roman"/>
                <w:sz w:val="20"/>
                <w:szCs w:val="20"/>
              </w:rPr>
              <m:t>NIR-R</m:t>
            </m:r>
          </m:num>
          <m:den>
            <m:r>
              <w:rPr>
                <w:rFonts w:ascii="Cambria Math" w:hAnsi="Cambria Math" w:cs="Times New Roman"/>
                <w:sz w:val="20"/>
                <w:szCs w:val="20"/>
              </w:rPr>
              <m:t>NIR+R</m:t>
            </m:r>
          </m:den>
        </m:f>
      </m:oMath>
      <w:r w:rsidRPr="008C10B7">
        <w:rPr>
          <w:rFonts w:cs="Times New Roman"/>
          <w:sz w:val="20"/>
          <w:szCs w:val="20"/>
        </w:rPr>
        <w:t xml:space="preserve"> </w:t>
      </w:r>
      <w:r w:rsidR="00623D35" w:rsidRPr="008C10B7">
        <w:rPr>
          <w:rFonts w:cs="Times New Roman"/>
          <w:sz w:val="20"/>
          <w:szCs w:val="20"/>
        </w:rPr>
        <w:tab/>
      </w:r>
      <w:r w:rsidR="00623D35" w:rsidRPr="008C10B7">
        <w:rPr>
          <w:rFonts w:cs="Times New Roman"/>
          <w:sz w:val="20"/>
          <w:szCs w:val="20"/>
        </w:rPr>
        <w:tab/>
      </w:r>
      <w:r w:rsidR="00623D35" w:rsidRPr="008C10B7">
        <w:rPr>
          <w:rFonts w:cs="Times New Roman"/>
          <w:sz w:val="20"/>
          <w:szCs w:val="20"/>
        </w:rPr>
        <w:tab/>
      </w:r>
      <w:r w:rsidR="00623D35" w:rsidRPr="008C10B7">
        <w:rPr>
          <w:rFonts w:cs="Times New Roman"/>
          <w:sz w:val="20"/>
          <w:szCs w:val="20"/>
        </w:rPr>
        <w:tab/>
      </w:r>
      <w:r w:rsidR="00623D35" w:rsidRPr="008C10B7">
        <w:rPr>
          <w:rFonts w:cs="Times New Roman"/>
          <w:sz w:val="20"/>
          <w:szCs w:val="20"/>
        </w:rPr>
        <w:tab/>
      </w:r>
      <w:r w:rsidR="00623D35" w:rsidRPr="008C10B7">
        <w:rPr>
          <w:rFonts w:cs="Times New Roman"/>
          <w:sz w:val="20"/>
          <w:szCs w:val="20"/>
        </w:rPr>
        <w:tab/>
      </w:r>
      <w:r w:rsidR="00623D35" w:rsidRPr="008C10B7">
        <w:rPr>
          <w:rFonts w:cs="Times New Roman"/>
          <w:sz w:val="20"/>
          <w:szCs w:val="20"/>
        </w:rPr>
        <w:tab/>
      </w:r>
      <w:r w:rsidR="00623D35" w:rsidRPr="008C10B7">
        <w:rPr>
          <w:rFonts w:cs="Times New Roman"/>
          <w:sz w:val="20"/>
          <w:szCs w:val="20"/>
        </w:rPr>
        <w:tab/>
      </w:r>
      <w:r w:rsidR="00623D35" w:rsidRPr="008C10B7">
        <w:rPr>
          <w:rFonts w:cs="Times New Roman"/>
          <w:sz w:val="20"/>
          <w:szCs w:val="20"/>
        </w:rPr>
        <w:tab/>
      </w:r>
      <w:r w:rsidRPr="008C10B7">
        <w:rPr>
          <w:rFonts w:eastAsiaTheme="minorEastAsia" w:cs="Times New Roman"/>
          <w:sz w:val="20"/>
          <w:szCs w:val="16"/>
        </w:rPr>
        <w:t>(1)</w:t>
      </w:r>
    </w:p>
    <w:p w14:paraId="235F0FA8" w14:textId="0669035F" w:rsidR="00E90D70" w:rsidRPr="008C10B7" w:rsidRDefault="00E90D70" w:rsidP="00E7001C">
      <w:pPr>
        <w:spacing w:line="360" w:lineRule="auto"/>
        <w:rPr>
          <w:rFonts w:cs="Times New Roman"/>
          <w:sz w:val="22"/>
          <w:szCs w:val="22"/>
        </w:rPr>
      </w:pPr>
      <w:r w:rsidRPr="008C10B7">
        <w:rPr>
          <w:rFonts w:cs="Times New Roman"/>
          <w:sz w:val="22"/>
          <w:szCs w:val="22"/>
        </w:rPr>
        <w:t xml:space="preserve">where </w:t>
      </w:r>
      <m:oMath>
        <m:r>
          <w:rPr>
            <w:rFonts w:ascii="Cambria Math" w:hAnsi="Cambria Math" w:cs="Times New Roman"/>
            <w:sz w:val="22"/>
            <w:szCs w:val="22"/>
          </w:rPr>
          <m:t>NIR</m:t>
        </m:r>
      </m:oMath>
      <w:r w:rsidRPr="008C10B7">
        <w:rPr>
          <w:rFonts w:cs="Times New Roman"/>
          <w:sz w:val="22"/>
          <w:szCs w:val="22"/>
        </w:rPr>
        <w:t xml:space="preserve"> represents the near-infrared band, and</w:t>
      </w:r>
      <m:oMath>
        <m:r>
          <w:rPr>
            <w:rFonts w:ascii="Cambria Math" w:hAnsi="Cambria Math" w:cs="Times New Roman"/>
            <w:sz w:val="22"/>
            <w:szCs w:val="22"/>
          </w:rPr>
          <m:t xml:space="preserve"> R</m:t>
        </m:r>
      </m:oMath>
      <w:r w:rsidRPr="008C10B7">
        <w:rPr>
          <w:rFonts w:cs="Times New Roman"/>
          <w:sz w:val="22"/>
          <w:szCs w:val="22"/>
        </w:rPr>
        <w:t xml:space="preserve"> represents the infrared band.</w:t>
      </w:r>
    </w:p>
    <w:p w14:paraId="10E8571B" w14:textId="434FEFF8" w:rsidR="00E90D70" w:rsidRPr="008C10B7" w:rsidRDefault="00E90D70" w:rsidP="00E7001C">
      <w:pPr>
        <w:spacing w:line="360" w:lineRule="auto"/>
        <w:ind w:firstLine="420"/>
        <w:jc w:val="both"/>
        <w:rPr>
          <w:rFonts w:cs="Times New Roman"/>
          <w:sz w:val="22"/>
          <w:szCs w:val="22"/>
        </w:rPr>
      </w:pPr>
      <w:r w:rsidRPr="008C10B7">
        <w:rPr>
          <w:rFonts w:cs="Times New Roman"/>
          <w:sz w:val="22"/>
          <w:szCs w:val="22"/>
        </w:rPr>
        <w:t xml:space="preserve">We calculated </w:t>
      </w:r>
      <w:r w:rsidR="00192EB2" w:rsidRPr="008C10B7">
        <w:rPr>
          <w:rFonts w:cs="Times New Roman"/>
          <w:sz w:val="22"/>
          <w:szCs w:val="22"/>
        </w:rPr>
        <w:t xml:space="preserve">the </w:t>
      </w:r>
      <w:r w:rsidRPr="008C10B7">
        <w:rPr>
          <w:rFonts w:cs="Times New Roman"/>
          <w:sz w:val="22"/>
          <w:szCs w:val="22"/>
        </w:rPr>
        <w:t>NDVI values using Landsat 8 satellite image data with a spatial resolution of 30m provided by the Geospatial Data Cloud (</w:t>
      </w:r>
      <w:r w:rsidR="00623D35" w:rsidRPr="008C10B7">
        <w:rPr>
          <w:rFonts w:cs="Times New Roman"/>
          <w:sz w:val="22"/>
          <w:szCs w:val="22"/>
        </w:rPr>
        <w:t>http://www.gscloud.cn/sources/accessdata/411?pid=1</w:t>
      </w:r>
      <w:r w:rsidRPr="008C10B7">
        <w:rPr>
          <w:rFonts w:cs="Times New Roman"/>
          <w:sz w:val="22"/>
          <w:szCs w:val="22"/>
        </w:rPr>
        <w:t xml:space="preserve">), </w:t>
      </w:r>
      <w:r w:rsidR="00C72A01" w:rsidRPr="008C10B7">
        <w:rPr>
          <w:rFonts w:cs="Times New Roman"/>
          <w:sz w:val="22"/>
          <w:szCs w:val="22"/>
        </w:rPr>
        <w:t xml:space="preserve">and </w:t>
      </w:r>
      <w:r w:rsidRPr="008C10B7">
        <w:rPr>
          <w:rFonts w:cs="Times New Roman"/>
          <w:sz w:val="22"/>
          <w:szCs w:val="22"/>
        </w:rPr>
        <w:t xml:space="preserve">the image was taken on 29 November 2013 by satellite. The NDVI values of each university campus were calculated </w:t>
      </w:r>
      <w:r w:rsidR="00C72A01" w:rsidRPr="008C10B7">
        <w:rPr>
          <w:rFonts w:cs="Times New Roman"/>
          <w:sz w:val="22"/>
          <w:szCs w:val="22"/>
        </w:rPr>
        <w:t>using</w:t>
      </w:r>
      <w:r w:rsidRPr="008C10B7">
        <w:rPr>
          <w:rFonts w:cs="Times New Roman"/>
          <w:sz w:val="22"/>
          <w:szCs w:val="22"/>
        </w:rPr>
        <w:t xml:space="preserve"> ArcGIS and </w:t>
      </w:r>
      <w:r w:rsidR="00192EB2" w:rsidRPr="008C10B7">
        <w:rPr>
          <w:rFonts w:cs="Times New Roman"/>
          <w:sz w:val="22"/>
          <w:szCs w:val="22"/>
        </w:rPr>
        <w:t xml:space="preserve">included in </w:t>
      </w:r>
      <w:r w:rsidRPr="008C10B7">
        <w:rPr>
          <w:rFonts w:cs="Times New Roman"/>
          <w:sz w:val="22"/>
          <w:szCs w:val="22"/>
        </w:rPr>
        <w:t xml:space="preserve">the data tables. Figure </w:t>
      </w:r>
      <w:r w:rsidR="00802DC5" w:rsidRPr="008C10B7">
        <w:rPr>
          <w:rFonts w:cs="Times New Roman"/>
          <w:sz w:val="22"/>
          <w:szCs w:val="22"/>
        </w:rPr>
        <w:t xml:space="preserve">3 </w:t>
      </w:r>
      <w:r w:rsidR="00C72A01" w:rsidRPr="008C10B7">
        <w:rPr>
          <w:rFonts w:cs="Times New Roman"/>
          <w:sz w:val="22"/>
          <w:szCs w:val="22"/>
        </w:rPr>
        <w:t xml:space="preserve">illustrates </w:t>
      </w:r>
      <w:r w:rsidRPr="008C10B7">
        <w:rPr>
          <w:rFonts w:cs="Times New Roman"/>
          <w:sz w:val="22"/>
          <w:szCs w:val="22"/>
        </w:rPr>
        <w:t xml:space="preserve">the distribution of </w:t>
      </w:r>
      <w:r w:rsidR="00192EB2" w:rsidRPr="008C10B7">
        <w:rPr>
          <w:rFonts w:cs="Times New Roman"/>
          <w:sz w:val="22"/>
          <w:szCs w:val="22"/>
        </w:rPr>
        <w:t xml:space="preserve">the </w:t>
      </w:r>
      <w:r w:rsidRPr="008C10B7">
        <w:rPr>
          <w:rFonts w:cs="Times New Roman"/>
          <w:sz w:val="22"/>
          <w:szCs w:val="22"/>
        </w:rPr>
        <w:t>NDVI</w:t>
      </w:r>
      <w:r w:rsidR="00192EB2" w:rsidRPr="008C10B7">
        <w:rPr>
          <w:rFonts w:cs="Times New Roman"/>
          <w:sz w:val="22"/>
          <w:szCs w:val="22"/>
        </w:rPr>
        <w:t xml:space="preserve"> values</w:t>
      </w:r>
      <w:r w:rsidRPr="008C10B7">
        <w:rPr>
          <w:rFonts w:cs="Times New Roman"/>
          <w:sz w:val="22"/>
          <w:szCs w:val="22"/>
        </w:rPr>
        <w:t xml:space="preserve"> </w:t>
      </w:r>
      <w:r w:rsidR="00192EB2" w:rsidRPr="008C10B7">
        <w:rPr>
          <w:rFonts w:cs="Times New Roman"/>
          <w:sz w:val="22"/>
          <w:szCs w:val="22"/>
        </w:rPr>
        <w:t>for</w:t>
      </w:r>
      <w:r w:rsidR="00C72A01" w:rsidRPr="008C10B7">
        <w:rPr>
          <w:rFonts w:cs="Times New Roman"/>
          <w:sz w:val="22"/>
          <w:szCs w:val="22"/>
        </w:rPr>
        <w:t xml:space="preserve"> </w:t>
      </w:r>
      <w:r w:rsidRPr="008C10B7">
        <w:rPr>
          <w:rFonts w:cs="Times New Roman"/>
          <w:sz w:val="22"/>
          <w:szCs w:val="22"/>
        </w:rPr>
        <w:t>Guangzhou HEMC.</w:t>
      </w:r>
    </w:p>
    <w:p w14:paraId="3C626DB1" w14:textId="611FB35C" w:rsidR="00E90D70" w:rsidRPr="008C10B7" w:rsidRDefault="00F475D9" w:rsidP="00206AA5">
      <w:pPr>
        <w:spacing w:line="480" w:lineRule="auto"/>
        <w:jc w:val="center"/>
      </w:pPr>
      <w:r w:rsidRPr="008C10B7">
        <w:rPr>
          <w:noProof/>
        </w:rPr>
        <w:drawing>
          <wp:inline distT="0" distB="0" distL="0" distR="0" wp14:anchorId="52FBB298" wp14:editId="5A3E6CC6">
            <wp:extent cx="4176393" cy="2463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13229" cy="2485531"/>
                    </a:xfrm>
                    <a:prstGeom prst="rect">
                      <a:avLst/>
                    </a:prstGeom>
                  </pic:spPr>
                </pic:pic>
              </a:graphicData>
            </a:graphic>
          </wp:inline>
        </w:drawing>
      </w:r>
    </w:p>
    <w:p w14:paraId="2716F2B3" w14:textId="4933AE7B" w:rsidR="00E90D70" w:rsidRPr="008C10B7" w:rsidRDefault="00EE3D1D" w:rsidP="00206AA5">
      <w:pPr>
        <w:pStyle w:val="Caption"/>
        <w:spacing w:line="480" w:lineRule="auto"/>
        <w:jc w:val="center"/>
        <w:rPr>
          <w:rFonts w:ascii="Times New Roman" w:hAnsi="Times New Roman" w:cs="Times New Roman"/>
          <w:szCs w:val="16"/>
        </w:rPr>
      </w:pPr>
      <w:bookmarkStart w:id="34" w:name="_Toc78632949"/>
      <w:r w:rsidRPr="008C10B7">
        <w:rPr>
          <w:rFonts w:ascii="Times New Roman" w:hAnsi="Times New Roman"/>
          <w:b/>
          <w:bCs/>
          <w:szCs w:val="16"/>
        </w:rPr>
        <w:t>Fi</w:t>
      </w:r>
      <w:r w:rsidR="00C234EB" w:rsidRPr="008C10B7">
        <w:rPr>
          <w:rFonts w:ascii="Times New Roman" w:hAnsi="Times New Roman"/>
          <w:b/>
          <w:bCs/>
          <w:szCs w:val="16"/>
        </w:rPr>
        <w:t>g.</w:t>
      </w:r>
      <w:r w:rsidRPr="008C10B7">
        <w:rPr>
          <w:rFonts w:ascii="Times New Roman" w:hAnsi="Times New Roman"/>
          <w:b/>
          <w:bCs/>
          <w:szCs w:val="16"/>
        </w:rPr>
        <w:t xml:space="preserve"> </w:t>
      </w:r>
      <w:r w:rsidRPr="008C10B7">
        <w:rPr>
          <w:rFonts w:ascii="Times New Roman" w:hAnsi="Times New Roman"/>
          <w:b/>
          <w:bCs/>
          <w:szCs w:val="16"/>
        </w:rPr>
        <w:fldChar w:fldCharType="begin"/>
      </w:r>
      <w:r w:rsidRPr="008C10B7">
        <w:rPr>
          <w:rFonts w:ascii="Times New Roman" w:hAnsi="Times New Roman"/>
          <w:b/>
          <w:bCs/>
          <w:szCs w:val="16"/>
        </w:rPr>
        <w:instrText xml:space="preserve"> SEQ Figure \* ARABIC </w:instrText>
      </w:r>
      <w:r w:rsidRPr="008C10B7">
        <w:rPr>
          <w:rFonts w:ascii="Times New Roman" w:hAnsi="Times New Roman"/>
          <w:b/>
          <w:bCs/>
          <w:szCs w:val="16"/>
        </w:rPr>
        <w:fldChar w:fldCharType="separate"/>
      </w:r>
      <w:r w:rsidR="00AE0FBF">
        <w:rPr>
          <w:rFonts w:ascii="Times New Roman" w:hAnsi="Times New Roman"/>
          <w:b/>
          <w:bCs/>
          <w:noProof/>
          <w:szCs w:val="16"/>
        </w:rPr>
        <w:t>3</w:t>
      </w:r>
      <w:r w:rsidRPr="008C10B7">
        <w:rPr>
          <w:rFonts w:ascii="Times New Roman" w:hAnsi="Times New Roman"/>
          <w:b/>
          <w:bCs/>
          <w:szCs w:val="16"/>
        </w:rPr>
        <w:fldChar w:fldCharType="end"/>
      </w:r>
      <w:r w:rsidRPr="008C10B7">
        <w:rPr>
          <w:rFonts w:ascii="Times New Roman" w:hAnsi="Times New Roman"/>
          <w:b/>
          <w:bCs/>
          <w:szCs w:val="16"/>
        </w:rPr>
        <w:t xml:space="preserve">. </w:t>
      </w:r>
      <w:r w:rsidR="00E90D70" w:rsidRPr="008C10B7">
        <w:rPr>
          <w:rFonts w:ascii="Times New Roman" w:hAnsi="Times New Roman"/>
          <w:szCs w:val="16"/>
        </w:rPr>
        <w:t xml:space="preserve">The distribution of NDVI </w:t>
      </w:r>
      <w:r w:rsidR="00192EB2" w:rsidRPr="008C10B7">
        <w:rPr>
          <w:rFonts w:ascii="Times New Roman" w:hAnsi="Times New Roman"/>
          <w:szCs w:val="16"/>
        </w:rPr>
        <w:t>values for</w:t>
      </w:r>
      <w:r w:rsidR="00E90D70" w:rsidRPr="008C10B7">
        <w:rPr>
          <w:rFonts w:ascii="Times New Roman" w:hAnsi="Times New Roman"/>
          <w:szCs w:val="16"/>
        </w:rPr>
        <w:t xml:space="preserve"> Guangzhou HEMC</w:t>
      </w:r>
      <w:bookmarkEnd w:id="34"/>
    </w:p>
    <w:p w14:paraId="5B8A97B0" w14:textId="77777777" w:rsidR="00E90D70" w:rsidRPr="008C10B7" w:rsidRDefault="00E90D70" w:rsidP="00E7001C">
      <w:pPr>
        <w:spacing w:line="360" w:lineRule="auto"/>
        <w:jc w:val="both"/>
        <w:rPr>
          <w:sz w:val="22"/>
          <w:szCs w:val="22"/>
        </w:rPr>
      </w:pPr>
    </w:p>
    <w:p w14:paraId="50D099C8" w14:textId="3FF48BF3" w:rsidR="004D3D6C" w:rsidRPr="008C10B7" w:rsidRDefault="00E90D70" w:rsidP="00E7001C">
      <w:pPr>
        <w:pStyle w:val="Heading2"/>
        <w:keepNext/>
        <w:keepLines/>
        <w:spacing w:before="0" w:beforeAutospacing="0" w:after="0" w:afterAutospacing="0" w:line="360" w:lineRule="auto"/>
        <w:jc w:val="both"/>
        <w:rPr>
          <w:rFonts w:eastAsiaTheme="majorEastAsia" w:cstheme="majorHAnsi"/>
          <w:b w:val="0"/>
          <w:bCs w:val="0"/>
          <w:i/>
          <w:iCs/>
          <w:sz w:val="22"/>
          <w:szCs w:val="32"/>
          <w:lang w:val="en-GB" w:eastAsia="en-US"/>
        </w:rPr>
      </w:pPr>
      <w:bookmarkStart w:id="35" w:name="_Toc78625147"/>
      <w:r w:rsidRPr="008C10B7">
        <w:rPr>
          <w:rFonts w:eastAsiaTheme="majorEastAsia" w:cstheme="majorHAnsi"/>
          <w:b w:val="0"/>
          <w:bCs w:val="0"/>
          <w:i/>
          <w:iCs/>
          <w:sz w:val="22"/>
          <w:szCs w:val="32"/>
          <w:lang w:val="en-GB" w:eastAsia="en-US"/>
        </w:rPr>
        <w:t>3.3</w:t>
      </w:r>
      <w:r w:rsidR="008F776A" w:rsidRPr="008C10B7">
        <w:rPr>
          <w:rFonts w:eastAsiaTheme="majorEastAsia" w:cstheme="majorHAnsi"/>
          <w:b w:val="0"/>
          <w:bCs w:val="0"/>
          <w:i/>
          <w:iCs/>
          <w:sz w:val="22"/>
          <w:szCs w:val="32"/>
          <w:lang w:val="en-GB" w:eastAsia="en-US"/>
        </w:rPr>
        <w:t>.</w:t>
      </w:r>
      <w:r w:rsidRPr="008C10B7">
        <w:rPr>
          <w:rFonts w:eastAsiaTheme="majorEastAsia" w:cstheme="majorHAnsi"/>
          <w:b w:val="0"/>
          <w:bCs w:val="0"/>
          <w:i/>
          <w:iCs/>
          <w:sz w:val="22"/>
          <w:szCs w:val="32"/>
          <w:lang w:val="en-GB" w:eastAsia="en-US"/>
        </w:rPr>
        <w:tab/>
        <w:t>Methods</w:t>
      </w:r>
      <w:bookmarkEnd w:id="35"/>
    </w:p>
    <w:p w14:paraId="6DA87CFF" w14:textId="6780BE1B" w:rsidR="004D3D6C" w:rsidRPr="008C10B7" w:rsidRDefault="00711121" w:rsidP="00E7001C">
      <w:pPr>
        <w:pStyle w:val="Heading2"/>
        <w:keepNext/>
        <w:keepLines/>
        <w:spacing w:before="0" w:beforeAutospacing="0" w:after="0" w:afterAutospacing="0" w:line="360" w:lineRule="auto"/>
        <w:jc w:val="both"/>
        <w:rPr>
          <w:rFonts w:eastAsiaTheme="majorEastAsia" w:cstheme="majorHAnsi"/>
          <w:b w:val="0"/>
          <w:i/>
          <w:iCs/>
          <w:sz w:val="22"/>
          <w:szCs w:val="32"/>
          <w:lang w:val="en-GB" w:eastAsia="en-US"/>
        </w:rPr>
      </w:pPr>
      <w:bookmarkStart w:id="36" w:name="_Toc78491377"/>
      <w:bookmarkStart w:id="37" w:name="_Toc78625148"/>
      <w:r w:rsidRPr="008C10B7">
        <w:rPr>
          <w:rFonts w:eastAsiaTheme="majorEastAsia" w:cstheme="majorHAnsi"/>
          <w:b w:val="0"/>
          <w:i/>
          <w:iCs/>
          <w:sz w:val="22"/>
          <w:szCs w:val="22"/>
          <w:lang w:val="en-GB" w:eastAsia="en-US"/>
        </w:rPr>
        <w:t>3.3.</w:t>
      </w:r>
      <w:r w:rsidR="00E90D70" w:rsidRPr="008C10B7">
        <w:rPr>
          <w:rFonts w:eastAsiaTheme="majorEastAsia" w:cstheme="majorHAnsi"/>
          <w:b w:val="0"/>
          <w:i/>
          <w:iCs/>
          <w:sz w:val="22"/>
          <w:szCs w:val="22"/>
          <w:lang w:val="en-GB" w:eastAsia="en-US"/>
        </w:rPr>
        <w:t>1</w:t>
      </w:r>
      <w:r w:rsidR="00C234EB" w:rsidRPr="008C10B7">
        <w:rPr>
          <w:rFonts w:eastAsiaTheme="majorEastAsia" w:cstheme="majorHAnsi"/>
          <w:b w:val="0"/>
          <w:i/>
          <w:iCs/>
          <w:sz w:val="22"/>
          <w:szCs w:val="22"/>
          <w:lang w:val="en-GB" w:eastAsia="en-US"/>
        </w:rPr>
        <w:t>.</w:t>
      </w:r>
      <w:r w:rsidR="00262E9E" w:rsidRPr="008C10B7">
        <w:rPr>
          <w:rFonts w:eastAsiaTheme="majorEastAsia" w:cstheme="majorHAnsi"/>
          <w:b w:val="0"/>
          <w:i/>
          <w:iCs/>
          <w:sz w:val="22"/>
          <w:szCs w:val="22"/>
          <w:lang w:val="en-GB" w:eastAsia="en-US"/>
        </w:rPr>
        <w:tab/>
      </w:r>
      <w:r w:rsidRPr="008C10B7">
        <w:rPr>
          <w:rFonts w:eastAsiaTheme="majorEastAsia" w:cstheme="majorHAnsi"/>
          <w:b w:val="0"/>
          <w:i/>
          <w:iCs/>
          <w:sz w:val="22"/>
          <w:szCs w:val="22"/>
          <w:lang w:val="en-GB" w:eastAsia="en-US"/>
        </w:rPr>
        <w:t xml:space="preserve">Deep </w:t>
      </w:r>
      <w:r w:rsidR="00CD52D1" w:rsidRPr="008C10B7">
        <w:rPr>
          <w:rFonts w:eastAsiaTheme="majorEastAsia" w:cstheme="majorHAnsi"/>
          <w:b w:val="0"/>
          <w:i/>
          <w:iCs/>
          <w:sz w:val="22"/>
          <w:szCs w:val="22"/>
          <w:lang w:val="en-GB" w:eastAsia="en-US"/>
        </w:rPr>
        <w:t>learning approach</w:t>
      </w:r>
      <w:bookmarkEnd w:id="36"/>
      <w:bookmarkEnd w:id="37"/>
    </w:p>
    <w:p w14:paraId="5C6FA30B" w14:textId="5FB05AF3" w:rsidR="004D3D6C" w:rsidRPr="008C10B7" w:rsidRDefault="008934A8" w:rsidP="00E7001C">
      <w:pPr>
        <w:spacing w:line="360" w:lineRule="auto"/>
        <w:ind w:firstLine="420"/>
        <w:jc w:val="both"/>
        <w:rPr>
          <w:rFonts w:cs="Times New Roman"/>
          <w:sz w:val="22"/>
          <w:szCs w:val="22"/>
        </w:rPr>
      </w:pPr>
      <w:r w:rsidRPr="008C10B7">
        <w:rPr>
          <w:rFonts w:cs="Times New Roman"/>
          <w:sz w:val="22"/>
          <w:szCs w:val="22"/>
        </w:rPr>
        <w:t>S</w:t>
      </w:r>
      <w:r w:rsidR="00AA475D" w:rsidRPr="008C10B7">
        <w:rPr>
          <w:rFonts w:cs="Times New Roman"/>
          <w:sz w:val="22"/>
          <w:szCs w:val="22"/>
        </w:rPr>
        <w:t xml:space="preserve">emantic segmentation methods </w:t>
      </w:r>
      <w:r w:rsidR="00141D77" w:rsidRPr="008C10B7">
        <w:rPr>
          <w:rFonts w:cs="Times New Roman"/>
          <w:sz w:val="22"/>
          <w:szCs w:val="22"/>
        </w:rPr>
        <w:t>have been</w:t>
      </w:r>
      <w:r w:rsidR="00AA475D" w:rsidRPr="008C10B7">
        <w:rPr>
          <w:rFonts w:cs="Times New Roman"/>
          <w:sz w:val="22"/>
          <w:szCs w:val="22"/>
        </w:rPr>
        <w:t xml:space="preserve"> </w:t>
      </w:r>
      <w:r w:rsidRPr="008C10B7">
        <w:rPr>
          <w:rFonts w:cs="Times New Roman"/>
          <w:sz w:val="22"/>
          <w:szCs w:val="22"/>
        </w:rPr>
        <w:t xml:space="preserve">widely </w:t>
      </w:r>
      <w:r w:rsidR="00AA475D" w:rsidRPr="008C10B7">
        <w:rPr>
          <w:rFonts w:cs="Times New Roman"/>
          <w:sz w:val="22"/>
          <w:szCs w:val="22"/>
        </w:rPr>
        <w:t>used</w:t>
      </w:r>
      <w:r w:rsidRPr="008C10B7">
        <w:rPr>
          <w:rFonts w:cs="Times New Roman"/>
          <w:sz w:val="22"/>
          <w:szCs w:val="22"/>
        </w:rPr>
        <w:t xml:space="preserve"> to extract the streetscape green spaces from satellite images</w:t>
      </w:r>
      <w:r w:rsidR="00AA475D" w:rsidRPr="008C10B7">
        <w:rPr>
          <w:rFonts w:cs="Times New Roman"/>
          <w:sz w:val="22"/>
          <w:szCs w:val="22"/>
        </w:rPr>
        <w:t xml:space="preserve"> (</w:t>
      </w:r>
      <w:proofErr w:type="spellStart"/>
      <w:r w:rsidR="00AA475D" w:rsidRPr="008C10B7">
        <w:rPr>
          <w:rFonts w:cs="Times New Roman"/>
          <w:sz w:val="22"/>
          <w:szCs w:val="22"/>
        </w:rPr>
        <w:t>Helbich</w:t>
      </w:r>
      <w:proofErr w:type="spellEnd"/>
      <w:r w:rsidR="00AA475D" w:rsidRPr="008C10B7">
        <w:rPr>
          <w:rFonts w:cs="Times New Roman"/>
          <w:sz w:val="22"/>
          <w:szCs w:val="22"/>
        </w:rPr>
        <w:t xml:space="preserve"> et al., 2019; Long et al., 2015). </w:t>
      </w:r>
      <w:proofErr w:type="gramStart"/>
      <w:r w:rsidR="00141D77" w:rsidRPr="008C10B7">
        <w:rPr>
          <w:rFonts w:cs="Times New Roman"/>
          <w:sz w:val="22"/>
          <w:szCs w:val="22"/>
        </w:rPr>
        <w:t xml:space="preserve">In </w:t>
      </w:r>
      <w:r w:rsidR="00AA475D" w:rsidRPr="008C10B7">
        <w:rPr>
          <w:rFonts w:cs="Times New Roman"/>
          <w:sz w:val="22"/>
          <w:szCs w:val="22"/>
        </w:rPr>
        <w:t>o</w:t>
      </w:r>
      <w:r w:rsidR="00141D77" w:rsidRPr="008C10B7">
        <w:rPr>
          <w:rFonts w:cs="Times New Roman"/>
          <w:sz w:val="22"/>
          <w:szCs w:val="22"/>
        </w:rPr>
        <w:t>rder to</w:t>
      </w:r>
      <w:proofErr w:type="gramEnd"/>
      <w:r w:rsidR="00AA475D" w:rsidRPr="008C10B7">
        <w:rPr>
          <w:rFonts w:cs="Times New Roman"/>
          <w:sz w:val="22"/>
          <w:szCs w:val="22"/>
        </w:rPr>
        <w:t xml:space="preserve"> </w:t>
      </w:r>
      <w:r w:rsidR="00185616" w:rsidRPr="008C10B7">
        <w:rPr>
          <w:rFonts w:cs="Times New Roman"/>
          <w:sz w:val="22"/>
          <w:szCs w:val="22"/>
        </w:rPr>
        <w:t>do</w:t>
      </w:r>
      <w:r w:rsidR="00AA475D" w:rsidRPr="008C10B7">
        <w:rPr>
          <w:rFonts w:cs="Times New Roman"/>
          <w:sz w:val="22"/>
          <w:szCs w:val="22"/>
        </w:rPr>
        <w:t xml:space="preserve"> this, the </w:t>
      </w:r>
      <w:r w:rsidR="00141D77" w:rsidRPr="008C10B7">
        <w:rPr>
          <w:rFonts w:cs="Times New Roman"/>
          <w:sz w:val="22"/>
          <w:szCs w:val="22"/>
        </w:rPr>
        <w:t>relevant</w:t>
      </w:r>
      <w:r w:rsidR="00AA475D" w:rsidRPr="008C10B7">
        <w:rPr>
          <w:rFonts w:cs="Times New Roman"/>
          <w:sz w:val="22"/>
          <w:szCs w:val="22"/>
        </w:rPr>
        <w:t xml:space="preserve"> </w:t>
      </w:r>
      <w:r w:rsidRPr="008C10B7">
        <w:rPr>
          <w:rFonts w:cs="Times New Roman"/>
          <w:sz w:val="22"/>
          <w:szCs w:val="22"/>
        </w:rPr>
        <w:t xml:space="preserve">methods </w:t>
      </w:r>
      <w:r w:rsidR="00AA475D" w:rsidRPr="008C10B7">
        <w:rPr>
          <w:rFonts w:cs="Times New Roman"/>
          <w:sz w:val="22"/>
          <w:szCs w:val="22"/>
        </w:rPr>
        <w:t xml:space="preserve">can be divided into two </w:t>
      </w:r>
      <w:r w:rsidRPr="008C10B7">
        <w:rPr>
          <w:rFonts w:cs="Times New Roman"/>
          <w:sz w:val="22"/>
          <w:szCs w:val="22"/>
        </w:rPr>
        <w:t>types</w:t>
      </w:r>
      <w:r w:rsidR="00AA475D" w:rsidRPr="008C10B7">
        <w:rPr>
          <w:rFonts w:cs="Times New Roman"/>
          <w:sz w:val="22"/>
          <w:szCs w:val="22"/>
        </w:rPr>
        <w:t xml:space="preserve">: conventional </w:t>
      </w:r>
      <w:r w:rsidR="00185616" w:rsidRPr="008C10B7">
        <w:rPr>
          <w:rFonts w:cs="Times New Roman"/>
          <w:sz w:val="22"/>
          <w:szCs w:val="22"/>
        </w:rPr>
        <w:t>method</w:t>
      </w:r>
      <w:r w:rsidRPr="008C10B7">
        <w:rPr>
          <w:rFonts w:cs="Times New Roman"/>
          <w:sz w:val="22"/>
          <w:szCs w:val="22"/>
        </w:rPr>
        <w:t>s</w:t>
      </w:r>
      <w:r w:rsidR="00185616" w:rsidRPr="008C10B7">
        <w:rPr>
          <w:rFonts w:cs="Times New Roman"/>
          <w:sz w:val="22"/>
          <w:szCs w:val="22"/>
        </w:rPr>
        <w:t xml:space="preserve"> </w:t>
      </w:r>
      <w:r w:rsidR="00AA475D" w:rsidRPr="008C10B7">
        <w:rPr>
          <w:rFonts w:cs="Times New Roman"/>
          <w:sz w:val="22"/>
          <w:szCs w:val="22"/>
        </w:rPr>
        <w:t>and deep learning method</w:t>
      </w:r>
      <w:r w:rsidRPr="008C10B7">
        <w:rPr>
          <w:rFonts w:cs="Times New Roman"/>
          <w:sz w:val="22"/>
          <w:szCs w:val="22"/>
        </w:rPr>
        <w:t>s</w:t>
      </w:r>
      <w:r w:rsidR="00AA475D" w:rsidRPr="008C10B7">
        <w:rPr>
          <w:rFonts w:cs="Times New Roman"/>
          <w:sz w:val="22"/>
          <w:szCs w:val="22"/>
        </w:rPr>
        <w:t xml:space="preserve">. </w:t>
      </w:r>
      <w:r w:rsidRPr="008C10B7">
        <w:rPr>
          <w:rFonts w:cs="Times New Roman"/>
          <w:sz w:val="22"/>
          <w:szCs w:val="22"/>
        </w:rPr>
        <w:t>C</w:t>
      </w:r>
      <w:r w:rsidR="00AA475D" w:rsidRPr="008C10B7">
        <w:rPr>
          <w:rFonts w:cs="Times New Roman"/>
          <w:sz w:val="22"/>
          <w:szCs w:val="22"/>
        </w:rPr>
        <w:t>onventional method</w:t>
      </w:r>
      <w:r w:rsidRPr="008C10B7">
        <w:rPr>
          <w:rFonts w:cs="Times New Roman"/>
          <w:sz w:val="22"/>
          <w:szCs w:val="22"/>
        </w:rPr>
        <w:t>s</w:t>
      </w:r>
      <w:r w:rsidR="00AA475D" w:rsidRPr="008C10B7">
        <w:rPr>
          <w:rFonts w:cs="Times New Roman"/>
          <w:sz w:val="22"/>
          <w:szCs w:val="22"/>
        </w:rPr>
        <w:t xml:space="preserve"> includ</w:t>
      </w:r>
      <w:r w:rsidRPr="008C10B7">
        <w:rPr>
          <w:rFonts w:cs="Times New Roman"/>
          <w:sz w:val="22"/>
          <w:szCs w:val="22"/>
        </w:rPr>
        <w:t>e</w:t>
      </w:r>
      <w:r w:rsidR="00141D77" w:rsidRPr="008C10B7">
        <w:rPr>
          <w:rFonts w:cs="Times New Roman"/>
          <w:sz w:val="22"/>
          <w:szCs w:val="22"/>
        </w:rPr>
        <w:t xml:space="preserve"> </w:t>
      </w:r>
      <w:r w:rsidR="00AA475D" w:rsidRPr="008C10B7">
        <w:rPr>
          <w:rFonts w:cs="Times New Roman"/>
          <w:sz w:val="22"/>
          <w:szCs w:val="22"/>
        </w:rPr>
        <w:t xml:space="preserve">image processing and machine </w:t>
      </w:r>
      <w:proofErr w:type="gramStart"/>
      <w:r w:rsidR="00AA475D" w:rsidRPr="008C10B7">
        <w:rPr>
          <w:rFonts w:cs="Times New Roman"/>
          <w:sz w:val="22"/>
          <w:szCs w:val="22"/>
        </w:rPr>
        <w:t xml:space="preserve">learning, </w:t>
      </w:r>
      <w:r w:rsidRPr="008C10B7">
        <w:rPr>
          <w:rFonts w:cs="Times New Roman"/>
          <w:sz w:val="22"/>
          <w:szCs w:val="22"/>
        </w:rPr>
        <w:t>and</w:t>
      </w:r>
      <w:proofErr w:type="gramEnd"/>
      <w:r w:rsidRPr="008C10B7">
        <w:rPr>
          <w:rFonts w:cs="Times New Roman"/>
          <w:sz w:val="22"/>
          <w:szCs w:val="22"/>
        </w:rPr>
        <w:t xml:space="preserve"> </w:t>
      </w:r>
      <w:r w:rsidR="00AA475D" w:rsidRPr="008C10B7">
        <w:rPr>
          <w:rFonts w:cs="Times New Roman"/>
          <w:sz w:val="22"/>
          <w:szCs w:val="22"/>
        </w:rPr>
        <w:t>can</w:t>
      </w:r>
      <w:r w:rsidRPr="008C10B7">
        <w:rPr>
          <w:rFonts w:cs="Times New Roman"/>
          <w:sz w:val="22"/>
          <w:szCs w:val="22"/>
        </w:rPr>
        <w:t xml:space="preserve"> manually</w:t>
      </w:r>
      <w:r w:rsidR="00AA475D" w:rsidRPr="008C10B7">
        <w:rPr>
          <w:rFonts w:cs="Times New Roman"/>
          <w:sz w:val="22"/>
          <w:szCs w:val="22"/>
        </w:rPr>
        <w:t xml:space="preserve"> extract the r</w:t>
      </w:r>
      <w:r w:rsidRPr="008C10B7">
        <w:rPr>
          <w:rFonts w:cs="Times New Roman"/>
          <w:sz w:val="22"/>
          <w:szCs w:val="22"/>
        </w:rPr>
        <w:t>elevant</w:t>
      </w:r>
      <w:r w:rsidR="00AA475D" w:rsidRPr="008C10B7">
        <w:rPr>
          <w:rFonts w:cs="Times New Roman"/>
          <w:sz w:val="22"/>
          <w:szCs w:val="22"/>
        </w:rPr>
        <w:t xml:space="preserve"> feature </w:t>
      </w:r>
      <w:r w:rsidRPr="008C10B7">
        <w:rPr>
          <w:rFonts w:cs="Times New Roman"/>
          <w:sz w:val="22"/>
          <w:szCs w:val="22"/>
        </w:rPr>
        <w:t>by</w:t>
      </w:r>
      <w:r w:rsidR="00AA475D" w:rsidRPr="008C10B7">
        <w:rPr>
          <w:rFonts w:cs="Times New Roman"/>
          <w:sz w:val="22"/>
          <w:szCs w:val="22"/>
        </w:rPr>
        <w:t xml:space="preserve"> the </w:t>
      </w:r>
      <w:r w:rsidRPr="008C10B7">
        <w:rPr>
          <w:rFonts w:cs="Times New Roman"/>
          <w:sz w:val="22"/>
          <w:szCs w:val="22"/>
        </w:rPr>
        <w:t>use</w:t>
      </w:r>
      <w:r w:rsidR="00AA475D" w:rsidRPr="008C10B7">
        <w:rPr>
          <w:rFonts w:cs="Times New Roman"/>
          <w:sz w:val="22"/>
          <w:szCs w:val="22"/>
        </w:rPr>
        <w:t xml:space="preserve"> of appropriate feature extractors. For </w:t>
      </w:r>
      <w:r w:rsidR="00141D77" w:rsidRPr="008C10B7">
        <w:rPr>
          <w:rFonts w:cs="Times New Roman"/>
          <w:sz w:val="22"/>
          <w:szCs w:val="22"/>
        </w:rPr>
        <w:t>instance</w:t>
      </w:r>
      <w:r w:rsidR="00AA475D" w:rsidRPr="008C10B7">
        <w:rPr>
          <w:rFonts w:cs="Times New Roman"/>
          <w:sz w:val="22"/>
          <w:szCs w:val="22"/>
        </w:rPr>
        <w:t xml:space="preserve">, </w:t>
      </w:r>
      <w:r w:rsidR="00AA475D" w:rsidRPr="008C10B7">
        <w:rPr>
          <w:rFonts w:cs="Times New Roman"/>
          <w:sz w:val="22"/>
          <w:szCs w:val="22"/>
        </w:rPr>
        <w:lastRenderedPageBreak/>
        <w:t xml:space="preserve">Li et al. </w:t>
      </w:r>
      <w:r w:rsidR="00141D77" w:rsidRPr="008C10B7">
        <w:rPr>
          <w:rFonts w:cs="Times New Roman"/>
          <w:sz w:val="22"/>
          <w:szCs w:val="22"/>
        </w:rPr>
        <w:t>(</w:t>
      </w:r>
      <w:r w:rsidR="00AA475D" w:rsidRPr="008C10B7">
        <w:rPr>
          <w:rFonts w:cs="Times New Roman"/>
          <w:sz w:val="22"/>
          <w:szCs w:val="22"/>
        </w:rPr>
        <w:t>2015</w:t>
      </w:r>
      <w:r w:rsidR="00141D77" w:rsidRPr="008C10B7">
        <w:rPr>
          <w:rFonts w:cs="Times New Roman"/>
          <w:sz w:val="22"/>
          <w:szCs w:val="22"/>
        </w:rPr>
        <w:t>)</w:t>
      </w:r>
      <w:r w:rsidR="00AA475D" w:rsidRPr="008C10B7">
        <w:rPr>
          <w:rFonts w:cs="Times New Roman"/>
          <w:sz w:val="22"/>
          <w:szCs w:val="22"/>
        </w:rPr>
        <w:t xml:space="preserve"> proposed an image processing method using </w:t>
      </w:r>
      <w:r w:rsidR="00141D77" w:rsidRPr="008C10B7">
        <w:rPr>
          <w:rFonts w:cs="Times New Roman"/>
          <w:sz w:val="22"/>
          <w:szCs w:val="22"/>
        </w:rPr>
        <w:t>colour</w:t>
      </w:r>
      <w:r w:rsidR="00AA475D" w:rsidRPr="008C10B7">
        <w:rPr>
          <w:rFonts w:cs="Times New Roman"/>
          <w:sz w:val="22"/>
          <w:szCs w:val="22"/>
        </w:rPr>
        <w:t xml:space="preserve"> channel segmentation for inferring environmental attributes (e.g.</w:t>
      </w:r>
      <w:r w:rsidR="00185616" w:rsidRPr="008C10B7">
        <w:rPr>
          <w:rFonts w:cs="Times New Roman"/>
          <w:sz w:val="22"/>
          <w:szCs w:val="22"/>
        </w:rPr>
        <w:t>,</w:t>
      </w:r>
      <w:r w:rsidR="00AA475D" w:rsidRPr="008C10B7">
        <w:rPr>
          <w:rFonts w:cs="Times New Roman"/>
          <w:sz w:val="22"/>
          <w:szCs w:val="22"/>
        </w:rPr>
        <w:t xml:space="preserve"> green view index). Chacra </w:t>
      </w:r>
      <w:r w:rsidR="00FC6BB3" w:rsidRPr="008C10B7">
        <w:rPr>
          <w:rFonts w:cs="Times New Roman"/>
          <w:sz w:val="22"/>
          <w:szCs w:val="22"/>
        </w:rPr>
        <w:t>and</w:t>
      </w:r>
      <w:r w:rsidR="00AA475D" w:rsidRPr="008C10B7">
        <w:rPr>
          <w:rFonts w:cs="Times New Roman"/>
          <w:sz w:val="22"/>
          <w:szCs w:val="22"/>
        </w:rPr>
        <w:t xml:space="preserve"> </w:t>
      </w:r>
      <w:proofErr w:type="spellStart"/>
      <w:r w:rsidR="00AA475D" w:rsidRPr="008C10B7">
        <w:rPr>
          <w:rFonts w:cs="Times New Roman"/>
          <w:sz w:val="22"/>
          <w:szCs w:val="22"/>
        </w:rPr>
        <w:t>Zelek</w:t>
      </w:r>
      <w:proofErr w:type="spellEnd"/>
      <w:r w:rsidR="00185616" w:rsidRPr="008C10B7">
        <w:rPr>
          <w:rFonts w:cs="Times New Roman"/>
          <w:sz w:val="22"/>
          <w:szCs w:val="22"/>
        </w:rPr>
        <w:t xml:space="preserve"> (2016)</w:t>
      </w:r>
      <w:r w:rsidR="00AA475D" w:rsidRPr="008C10B7">
        <w:rPr>
          <w:rFonts w:cs="Times New Roman"/>
          <w:sz w:val="22"/>
          <w:szCs w:val="22"/>
        </w:rPr>
        <w:t xml:space="preserve"> developed a machine learning based method using </w:t>
      </w:r>
      <w:r w:rsidRPr="008C10B7">
        <w:rPr>
          <w:rFonts w:cs="Times New Roman"/>
          <w:sz w:val="22"/>
          <w:szCs w:val="22"/>
        </w:rPr>
        <w:t xml:space="preserve">the </w:t>
      </w:r>
      <w:r w:rsidR="00185616" w:rsidRPr="008C10B7">
        <w:rPr>
          <w:rFonts w:cs="Times New Roman"/>
          <w:sz w:val="22"/>
          <w:szCs w:val="22"/>
        </w:rPr>
        <w:t xml:space="preserve">Scale Invariant Feature Transform </w:t>
      </w:r>
      <w:r w:rsidR="00AA475D" w:rsidRPr="008C10B7">
        <w:rPr>
          <w:rFonts w:cs="Times New Roman"/>
          <w:sz w:val="22"/>
          <w:szCs w:val="22"/>
        </w:rPr>
        <w:t>(</w:t>
      </w:r>
      <w:r w:rsidR="00185616" w:rsidRPr="008C10B7">
        <w:rPr>
          <w:rFonts w:cs="Times New Roman"/>
          <w:sz w:val="22"/>
          <w:szCs w:val="22"/>
        </w:rPr>
        <w:t>SIFT</w:t>
      </w:r>
      <w:r w:rsidR="00AA475D" w:rsidRPr="008C10B7">
        <w:rPr>
          <w:rFonts w:cs="Times New Roman"/>
          <w:sz w:val="22"/>
          <w:szCs w:val="22"/>
        </w:rPr>
        <w:t xml:space="preserve">) </w:t>
      </w:r>
      <w:r w:rsidRPr="008C10B7">
        <w:rPr>
          <w:rFonts w:cs="Times New Roman"/>
          <w:sz w:val="22"/>
          <w:szCs w:val="22"/>
        </w:rPr>
        <w:t xml:space="preserve">algorithm </w:t>
      </w:r>
      <w:r w:rsidR="00AA475D" w:rsidRPr="008C10B7">
        <w:rPr>
          <w:rFonts w:cs="Times New Roman"/>
          <w:sz w:val="22"/>
          <w:szCs w:val="22"/>
        </w:rPr>
        <w:t xml:space="preserve">and </w:t>
      </w:r>
      <w:r w:rsidRPr="008C10B7">
        <w:rPr>
          <w:rFonts w:cs="Times New Roman"/>
          <w:sz w:val="22"/>
          <w:szCs w:val="22"/>
        </w:rPr>
        <w:t xml:space="preserve">the </w:t>
      </w:r>
      <w:r w:rsidR="00185616" w:rsidRPr="008C10B7">
        <w:rPr>
          <w:rFonts w:cs="Times New Roman"/>
          <w:sz w:val="22"/>
          <w:szCs w:val="22"/>
        </w:rPr>
        <w:t xml:space="preserve">Support Vector Machine </w:t>
      </w:r>
      <w:r w:rsidR="00AA475D" w:rsidRPr="008C10B7">
        <w:rPr>
          <w:rFonts w:cs="Times New Roman"/>
          <w:sz w:val="22"/>
          <w:szCs w:val="22"/>
        </w:rPr>
        <w:t>(</w:t>
      </w:r>
      <w:r w:rsidR="00185616" w:rsidRPr="008C10B7">
        <w:rPr>
          <w:rFonts w:cs="Times New Roman"/>
          <w:sz w:val="22"/>
          <w:szCs w:val="22"/>
        </w:rPr>
        <w:t>SVM</w:t>
      </w:r>
      <w:r w:rsidR="00AA475D" w:rsidRPr="008C10B7">
        <w:rPr>
          <w:rFonts w:cs="Times New Roman"/>
          <w:sz w:val="22"/>
          <w:szCs w:val="22"/>
        </w:rPr>
        <w:t>)</w:t>
      </w:r>
      <w:r w:rsidRPr="008C10B7">
        <w:rPr>
          <w:rFonts w:cs="Times New Roman"/>
          <w:sz w:val="22"/>
          <w:szCs w:val="22"/>
        </w:rPr>
        <w:t xml:space="preserve"> algorithm</w:t>
      </w:r>
      <w:r w:rsidR="00AA475D" w:rsidRPr="008C10B7">
        <w:rPr>
          <w:rFonts w:cs="Times New Roman"/>
          <w:sz w:val="22"/>
          <w:szCs w:val="22"/>
        </w:rPr>
        <w:t xml:space="preserve">, </w:t>
      </w:r>
      <w:r w:rsidRPr="008C10B7">
        <w:rPr>
          <w:rFonts w:cs="Times New Roman"/>
          <w:sz w:val="22"/>
          <w:szCs w:val="22"/>
        </w:rPr>
        <w:t>to</w:t>
      </w:r>
      <w:r w:rsidR="00AA475D" w:rsidRPr="008C10B7">
        <w:rPr>
          <w:rFonts w:cs="Times New Roman"/>
          <w:sz w:val="22"/>
          <w:szCs w:val="22"/>
        </w:rPr>
        <w:t xml:space="preserve"> represent</w:t>
      </w:r>
      <w:r w:rsidRPr="008C10B7">
        <w:rPr>
          <w:rFonts w:cs="Times New Roman"/>
          <w:sz w:val="22"/>
          <w:szCs w:val="22"/>
        </w:rPr>
        <w:t xml:space="preserve"> features</w:t>
      </w:r>
      <w:r w:rsidR="00AA475D" w:rsidRPr="008C10B7">
        <w:rPr>
          <w:rFonts w:cs="Times New Roman"/>
          <w:sz w:val="22"/>
          <w:szCs w:val="22"/>
        </w:rPr>
        <w:t xml:space="preserve"> of</w:t>
      </w:r>
      <w:r w:rsidRPr="008C10B7">
        <w:rPr>
          <w:rFonts w:cs="Times New Roman"/>
          <w:sz w:val="22"/>
          <w:szCs w:val="22"/>
        </w:rPr>
        <w:t xml:space="preserve"> the</w:t>
      </w:r>
      <w:r w:rsidR="00AA475D" w:rsidRPr="008C10B7">
        <w:rPr>
          <w:rFonts w:cs="Times New Roman"/>
          <w:sz w:val="22"/>
          <w:szCs w:val="22"/>
        </w:rPr>
        <w:t xml:space="preserve"> urban physical environment (e.g.</w:t>
      </w:r>
      <w:r w:rsidR="00185616" w:rsidRPr="008C10B7">
        <w:rPr>
          <w:rFonts w:cs="Times New Roman"/>
          <w:sz w:val="22"/>
          <w:szCs w:val="22"/>
        </w:rPr>
        <w:t>,</w:t>
      </w:r>
      <w:r w:rsidR="00AA475D" w:rsidRPr="008C10B7">
        <w:rPr>
          <w:rFonts w:cs="Times New Roman"/>
          <w:sz w:val="22"/>
          <w:szCs w:val="22"/>
        </w:rPr>
        <w:t xml:space="preserve"> road</w:t>
      </w:r>
      <w:r w:rsidR="00185616" w:rsidRPr="008C10B7">
        <w:rPr>
          <w:rFonts w:cs="Times New Roman"/>
          <w:sz w:val="22"/>
          <w:szCs w:val="22"/>
        </w:rPr>
        <w:t>s</w:t>
      </w:r>
      <w:r w:rsidR="00AA475D" w:rsidRPr="008C10B7">
        <w:rPr>
          <w:rFonts w:cs="Times New Roman"/>
          <w:sz w:val="22"/>
          <w:szCs w:val="22"/>
        </w:rPr>
        <w:t xml:space="preserve">). </w:t>
      </w:r>
      <w:r w:rsidRPr="008C10B7">
        <w:rPr>
          <w:rFonts w:cs="Times New Roman"/>
          <w:sz w:val="22"/>
          <w:szCs w:val="22"/>
        </w:rPr>
        <w:t xml:space="preserve">In the case of </w:t>
      </w:r>
      <w:r w:rsidR="00AA475D" w:rsidRPr="008C10B7">
        <w:rPr>
          <w:rFonts w:cs="Times New Roman"/>
          <w:sz w:val="22"/>
          <w:szCs w:val="22"/>
        </w:rPr>
        <w:t>simple scenarios</w:t>
      </w:r>
      <w:r w:rsidR="00C03115" w:rsidRPr="008C10B7">
        <w:rPr>
          <w:rFonts w:cs="Times New Roman"/>
          <w:sz w:val="22"/>
          <w:szCs w:val="22"/>
        </w:rPr>
        <w:t>,</w:t>
      </w:r>
      <w:r w:rsidR="00AA475D" w:rsidRPr="008C10B7">
        <w:rPr>
          <w:rFonts w:cs="Times New Roman"/>
          <w:sz w:val="22"/>
          <w:szCs w:val="22"/>
        </w:rPr>
        <w:t xml:space="preserve"> such as uniform illumination, and</w:t>
      </w:r>
      <w:r w:rsidRPr="008C10B7">
        <w:rPr>
          <w:rFonts w:cs="Times New Roman"/>
          <w:sz w:val="22"/>
          <w:szCs w:val="22"/>
        </w:rPr>
        <w:t xml:space="preserve"> the</w:t>
      </w:r>
      <w:r w:rsidR="00AA475D" w:rsidRPr="008C10B7">
        <w:rPr>
          <w:rFonts w:cs="Times New Roman"/>
          <w:sz w:val="22"/>
          <w:szCs w:val="22"/>
        </w:rPr>
        <w:t xml:space="preserve"> absence of noise </w:t>
      </w:r>
      <w:r w:rsidRPr="008C10B7">
        <w:rPr>
          <w:rFonts w:cs="Times New Roman"/>
          <w:sz w:val="22"/>
          <w:szCs w:val="22"/>
        </w:rPr>
        <w:t>from the</w:t>
      </w:r>
      <w:r w:rsidR="00AA475D" w:rsidRPr="008C10B7">
        <w:rPr>
          <w:rFonts w:cs="Times New Roman"/>
          <w:sz w:val="22"/>
          <w:szCs w:val="22"/>
        </w:rPr>
        <w:t xml:space="preserve"> outdoor environment, conventional methods </w:t>
      </w:r>
      <w:r w:rsidRPr="008C10B7">
        <w:rPr>
          <w:rFonts w:cs="Times New Roman"/>
          <w:sz w:val="22"/>
          <w:szCs w:val="22"/>
        </w:rPr>
        <w:t xml:space="preserve">offer a </w:t>
      </w:r>
      <w:r w:rsidR="00AA475D" w:rsidRPr="008C10B7">
        <w:rPr>
          <w:rFonts w:cs="Times New Roman"/>
          <w:sz w:val="22"/>
          <w:szCs w:val="22"/>
        </w:rPr>
        <w:t>simple</w:t>
      </w:r>
      <w:r w:rsidRPr="008C10B7">
        <w:rPr>
          <w:rFonts w:cs="Times New Roman"/>
          <w:sz w:val="22"/>
          <w:szCs w:val="22"/>
        </w:rPr>
        <w:t xml:space="preserve"> and accurate means of</w:t>
      </w:r>
      <w:r w:rsidR="00AA475D" w:rsidRPr="008C10B7">
        <w:rPr>
          <w:rFonts w:cs="Times New Roman"/>
          <w:sz w:val="22"/>
          <w:szCs w:val="22"/>
        </w:rPr>
        <w:t xml:space="preserve"> extract</w:t>
      </w:r>
      <w:r w:rsidRPr="008C10B7">
        <w:rPr>
          <w:rFonts w:cs="Times New Roman"/>
          <w:sz w:val="22"/>
          <w:szCs w:val="22"/>
        </w:rPr>
        <w:t>ing</w:t>
      </w:r>
      <w:r w:rsidR="00AA475D" w:rsidRPr="008C10B7">
        <w:rPr>
          <w:rFonts w:cs="Times New Roman"/>
          <w:sz w:val="22"/>
          <w:szCs w:val="22"/>
        </w:rPr>
        <w:t xml:space="preserve"> appropriate features </w:t>
      </w:r>
      <w:r w:rsidR="00C03115" w:rsidRPr="008C10B7">
        <w:rPr>
          <w:rFonts w:cs="Times New Roman"/>
          <w:sz w:val="22"/>
          <w:szCs w:val="22"/>
        </w:rPr>
        <w:t>(Kang et al., 2020)</w:t>
      </w:r>
      <w:r w:rsidR="00AA475D" w:rsidRPr="008C10B7">
        <w:rPr>
          <w:rFonts w:cs="Times New Roman"/>
          <w:sz w:val="22"/>
          <w:szCs w:val="22"/>
        </w:rPr>
        <w:t>. However, the segmentation of green space is regard</w:t>
      </w:r>
      <w:r w:rsidRPr="008C10B7">
        <w:rPr>
          <w:rFonts w:cs="Times New Roman"/>
          <w:sz w:val="22"/>
          <w:szCs w:val="22"/>
        </w:rPr>
        <w:t>ed</w:t>
      </w:r>
      <w:r w:rsidR="00AA475D" w:rsidRPr="008C10B7">
        <w:rPr>
          <w:rFonts w:cs="Times New Roman"/>
          <w:sz w:val="22"/>
          <w:szCs w:val="22"/>
        </w:rPr>
        <w:t xml:space="preserve"> as</w:t>
      </w:r>
      <w:r w:rsidRPr="008C10B7">
        <w:rPr>
          <w:rFonts w:cs="Times New Roman"/>
          <w:sz w:val="22"/>
          <w:szCs w:val="22"/>
        </w:rPr>
        <w:t xml:space="preserve"> a more</w:t>
      </w:r>
      <w:r w:rsidR="00AA475D" w:rsidRPr="008C10B7">
        <w:rPr>
          <w:rFonts w:cs="Times New Roman"/>
          <w:sz w:val="22"/>
          <w:szCs w:val="22"/>
        </w:rPr>
        <w:t xml:space="preserve"> complex scenario</w:t>
      </w:r>
      <w:r w:rsidR="008E4498" w:rsidRPr="008C10B7">
        <w:rPr>
          <w:rFonts w:cs="Times New Roman"/>
          <w:sz w:val="22"/>
          <w:szCs w:val="22"/>
        </w:rPr>
        <w:t>,</w:t>
      </w:r>
      <w:r w:rsidR="00AA475D" w:rsidRPr="008C10B7">
        <w:rPr>
          <w:rFonts w:cs="Times New Roman"/>
          <w:sz w:val="22"/>
          <w:szCs w:val="22"/>
        </w:rPr>
        <w:t xml:space="preserve"> </w:t>
      </w:r>
      <w:r w:rsidRPr="008C10B7">
        <w:rPr>
          <w:rFonts w:cs="Times New Roman"/>
          <w:sz w:val="22"/>
          <w:szCs w:val="22"/>
        </w:rPr>
        <w:t>for example if it involves objects of</w:t>
      </w:r>
      <w:r w:rsidR="00AA475D" w:rsidRPr="008C10B7">
        <w:rPr>
          <w:rFonts w:cs="Times New Roman"/>
          <w:sz w:val="22"/>
          <w:szCs w:val="22"/>
        </w:rPr>
        <w:t xml:space="preserve"> different scale</w:t>
      </w:r>
      <w:r w:rsidRPr="008C10B7">
        <w:rPr>
          <w:rFonts w:cs="Times New Roman"/>
          <w:sz w:val="22"/>
          <w:szCs w:val="22"/>
        </w:rPr>
        <w:t>s</w:t>
      </w:r>
      <w:r w:rsidR="00AA475D" w:rsidRPr="008C10B7">
        <w:rPr>
          <w:rFonts w:cs="Times New Roman"/>
          <w:sz w:val="22"/>
          <w:szCs w:val="22"/>
        </w:rPr>
        <w:t xml:space="preserve"> and irregular </w:t>
      </w:r>
      <w:r w:rsidRPr="008C10B7">
        <w:rPr>
          <w:rFonts w:cs="Times New Roman"/>
          <w:sz w:val="22"/>
          <w:szCs w:val="22"/>
        </w:rPr>
        <w:t xml:space="preserve">distribution of </w:t>
      </w:r>
      <w:r w:rsidR="00AA475D" w:rsidRPr="008C10B7">
        <w:rPr>
          <w:rFonts w:cs="Times New Roman"/>
          <w:sz w:val="22"/>
          <w:szCs w:val="22"/>
        </w:rPr>
        <w:t>illumination</w:t>
      </w:r>
      <w:r w:rsidRPr="008C10B7">
        <w:rPr>
          <w:rFonts w:cs="Times New Roman"/>
          <w:sz w:val="22"/>
          <w:szCs w:val="22"/>
        </w:rPr>
        <w:t xml:space="preserve">. </w:t>
      </w:r>
      <w:r w:rsidR="00AA475D" w:rsidRPr="008C10B7">
        <w:rPr>
          <w:rFonts w:cs="Times New Roman"/>
          <w:sz w:val="22"/>
          <w:szCs w:val="22"/>
        </w:rPr>
        <w:t xml:space="preserve">For this reason, conventional methods require </w:t>
      </w:r>
      <w:r w:rsidRPr="008C10B7">
        <w:rPr>
          <w:rFonts w:cs="Times New Roman"/>
          <w:sz w:val="22"/>
          <w:szCs w:val="22"/>
        </w:rPr>
        <w:t>relevant features to be manually defined</w:t>
      </w:r>
      <w:r w:rsidR="00AA475D" w:rsidRPr="008C10B7">
        <w:rPr>
          <w:rFonts w:cs="Times New Roman"/>
          <w:sz w:val="22"/>
          <w:szCs w:val="22"/>
        </w:rPr>
        <w:t xml:space="preserve"> and this process is very time consuming and challenging. </w:t>
      </w:r>
      <w:r w:rsidRPr="008C10B7">
        <w:rPr>
          <w:rFonts w:cs="Times New Roman"/>
          <w:sz w:val="22"/>
          <w:szCs w:val="22"/>
        </w:rPr>
        <w:t>Therefore, a deep learning approach, which is data driven, can be used to</w:t>
      </w:r>
      <w:r w:rsidR="00AA475D" w:rsidRPr="008C10B7">
        <w:rPr>
          <w:rFonts w:cs="Times New Roman"/>
          <w:sz w:val="22"/>
          <w:szCs w:val="22"/>
        </w:rPr>
        <w:t xml:space="preserve"> circumvent the limitation</w:t>
      </w:r>
      <w:r w:rsidRPr="008C10B7">
        <w:rPr>
          <w:rFonts w:cs="Times New Roman"/>
          <w:sz w:val="22"/>
          <w:szCs w:val="22"/>
        </w:rPr>
        <w:t>s</w:t>
      </w:r>
      <w:r w:rsidR="00AA475D" w:rsidRPr="008C10B7">
        <w:rPr>
          <w:rFonts w:cs="Times New Roman"/>
          <w:sz w:val="22"/>
          <w:szCs w:val="22"/>
        </w:rPr>
        <w:t xml:space="preserve"> of conventional methods. The primary advantage </w:t>
      </w:r>
      <w:r w:rsidRPr="008C10B7">
        <w:rPr>
          <w:rFonts w:cs="Times New Roman"/>
          <w:sz w:val="22"/>
          <w:szCs w:val="22"/>
        </w:rPr>
        <w:t xml:space="preserve">of this approach </w:t>
      </w:r>
      <w:r w:rsidR="00AA475D" w:rsidRPr="008C10B7">
        <w:rPr>
          <w:rFonts w:cs="Times New Roman"/>
          <w:sz w:val="22"/>
          <w:szCs w:val="22"/>
        </w:rPr>
        <w:t xml:space="preserve">is that feature extraction </w:t>
      </w:r>
      <w:r w:rsidR="009F1504" w:rsidRPr="008C10B7">
        <w:rPr>
          <w:rFonts w:cs="Times New Roman"/>
          <w:sz w:val="22"/>
          <w:szCs w:val="22"/>
        </w:rPr>
        <w:t>can be</w:t>
      </w:r>
      <w:r w:rsidR="00AA475D" w:rsidRPr="008C10B7">
        <w:rPr>
          <w:rFonts w:cs="Times New Roman"/>
          <w:sz w:val="22"/>
          <w:szCs w:val="22"/>
        </w:rPr>
        <w:t xml:space="preserve"> automated by replacing </w:t>
      </w:r>
      <w:r w:rsidR="009F1504" w:rsidRPr="008C10B7">
        <w:rPr>
          <w:rFonts w:cs="Times New Roman"/>
          <w:sz w:val="22"/>
          <w:szCs w:val="22"/>
        </w:rPr>
        <w:t>the standard</w:t>
      </w:r>
      <w:r w:rsidR="00AA475D" w:rsidRPr="008C10B7">
        <w:rPr>
          <w:rFonts w:cs="Times New Roman"/>
          <w:sz w:val="22"/>
          <w:szCs w:val="22"/>
        </w:rPr>
        <w:t xml:space="preserve"> feature extractor with </w:t>
      </w:r>
      <w:r w:rsidR="009F1504" w:rsidRPr="008C10B7">
        <w:rPr>
          <w:rFonts w:cs="Times New Roman"/>
          <w:sz w:val="22"/>
          <w:szCs w:val="22"/>
        </w:rPr>
        <w:t xml:space="preserve">a </w:t>
      </w:r>
      <w:r w:rsidR="008E4498" w:rsidRPr="008C10B7">
        <w:rPr>
          <w:rFonts w:cs="Times New Roman"/>
          <w:sz w:val="22"/>
          <w:szCs w:val="22"/>
        </w:rPr>
        <w:t xml:space="preserve">Convolutional Neural Network </w:t>
      </w:r>
      <w:r w:rsidR="00AA475D" w:rsidRPr="008C10B7">
        <w:rPr>
          <w:rFonts w:cs="Times New Roman"/>
          <w:sz w:val="22"/>
          <w:szCs w:val="22"/>
        </w:rPr>
        <w:t>(</w:t>
      </w:r>
      <w:r w:rsidR="008E4498" w:rsidRPr="008C10B7">
        <w:rPr>
          <w:rFonts w:cs="Times New Roman"/>
          <w:sz w:val="22"/>
          <w:szCs w:val="22"/>
        </w:rPr>
        <w:t>CNN</w:t>
      </w:r>
      <w:r w:rsidR="00AA475D" w:rsidRPr="008C10B7">
        <w:rPr>
          <w:rFonts w:cs="Times New Roman"/>
          <w:sz w:val="22"/>
          <w:szCs w:val="22"/>
        </w:rPr>
        <w:t xml:space="preserve">) </w:t>
      </w:r>
      <w:r w:rsidR="008E4498" w:rsidRPr="008C10B7">
        <w:rPr>
          <w:rFonts w:cs="Times New Roman"/>
          <w:sz w:val="22"/>
          <w:szCs w:val="22"/>
        </w:rPr>
        <w:t>(</w:t>
      </w:r>
      <w:proofErr w:type="spellStart"/>
      <w:r w:rsidR="008E4498" w:rsidRPr="008C10B7">
        <w:rPr>
          <w:rFonts w:cs="Times New Roman"/>
          <w:sz w:val="22"/>
          <w:szCs w:val="22"/>
        </w:rPr>
        <w:t>Xiong</w:t>
      </w:r>
      <w:proofErr w:type="spellEnd"/>
      <w:r w:rsidR="008E4498" w:rsidRPr="008C10B7">
        <w:rPr>
          <w:rFonts w:cs="Times New Roman"/>
          <w:sz w:val="22"/>
          <w:szCs w:val="22"/>
        </w:rPr>
        <w:t xml:space="preserve"> et al., 2020)</w:t>
      </w:r>
      <w:r w:rsidR="00AA475D" w:rsidRPr="008C10B7">
        <w:rPr>
          <w:rFonts w:cs="Times New Roman"/>
          <w:sz w:val="22"/>
          <w:szCs w:val="22"/>
        </w:rPr>
        <w:t xml:space="preserve">. </w:t>
      </w:r>
      <w:r w:rsidR="009F1504" w:rsidRPr="008C10B7">
        <w:rPr>
          <w:rFonts w:cs="Times New Roman"/>
          <w:sz w:val="22"/>
          <w:szCs w:val="22"/>
        </w:rPr>
        <w:t>T</w:t>
      </w:r>
      <w:r w:rsidR="00AA475D" w:rsidRPr="008C10B7">
        <w:rPr>
          <w:rFonts w:cs="Times New Roman"/>
          <w:sz w:val="22"/>
          <w:szCs w:val="22"/>
        </w:rPr>
        <w:t xml:space="preserve">here are </w:t>
      </w:r>
      <w:r w:rsidR="009F1504" w:rsidRPr="008C10B7">
        <w:rPr>
          <w:rFonts w:cs="Times New Roman"/>
          <w:sz w:val="22"/>
          <w:szCs w:val="22"/>
        </w:rPr>
        <w:t xml:space="preserve">a </w:t>
      </w:r>
      <w:r w:rsidR="00AA475D" w:rsidRPr="008C10B7">
        <w:rPr>
          <w:rFonts w:cs="Times New Roman"/>
          <w:sz w:val="22"/>
          <w:szCs w:val="22"/>
        </w:rPr>
        <w:t xml:space="preserve">variety of semantic segmentation methods based on deep learning </w:t>
      </w:r>
      <w:r w:rsidR="008E4498" w:rsidRPr="008C10B7">
        <w:rPr>
          <w:rFonts w:cs="Times New Roman"/>
          <w:sz w:val="22"/>
          <w:szCs w:val="22"/>
        </w:rPr>
        <w:t xml:space="preserve">approaches, </w:t>
      </w:r>
      <w:r w:rsidR="00AA475D" w:rsidRPr="008C10B7">
        <w:rPr>
          <w:rFonts w:cs="Times New Roman"/>
          <w:sz w:val="22"/>
          <w:szCs w:val="22"/>
        </w:rPr>
        <w:t xml:space="preserve">such as </w:t>
      </w:r>
      <w:r w:rsidR="009F1504" w:rsidRPr="008C10B7">
        <w:rPr>
          <w:rFonts w:cs="Times New Roman"/>
          <w:sz w:val="22"/>
          <w:szCs w:val="22"/>
        </w:rPr>
        <w:t>fully convolutional network-8s (</w:t>
      </w:r>
      <w:r w:rsidR="00AA475D" w:rsidRPr="008C10B7">
        <w:rPr>
          <w:rFonts w:cs="Times New Roman"/>
          <w:sz w:val="22"/>
          <w:szCs w:val="22"/>
        </w:rPr>
        <w:t>FCN-8s</w:t>
      </w:r>
      <w:r w:rsidR="009F1504" w:rsidRPr="008C10B7">
        <w:rPr>
          <w:rFonts w:cs="Times New Roman"/>
          <w:sz w:val="22"/>
          <w:szCs w:val="22"/>
        </w:rPr>
        <w:t>)</w:t>
      </w:r>
      <w:r w:rsidR="00AA475D" w:rsidRPr="008C10B7">
        <w:rPr>
          <w:rFonts w:cs="Times New Roman"/>
          <w:sz w:val="22"/>
          <w:szCs w:val="22"/>
        </w:rPr>
        <w:t xml:space="preserve"> and U-Net. In </w:t>
      </w:r>
      <w:r w:rsidR="009F1504" w:rsidRPr="008C10B7">
        <w:rPr>
          <w:rFonts w:cs="Times New Roman"/>
          <w:sz w:val="22"/>
          <w:szCs w:val="22"/>
        </w:rPr>
        <w:t xml:space="preserve">a study </w:t>
      </w:r>
      <w:proofErr w:type="gramStart"/>
      <w:r w:rsidR="00AA475D" w:rsidRPr="008C10B7">
        <w:rPr>
          <w:rFonts w:cs="Times New Roman"/>
          <w:sz w:val="22"/>
          <w:szCs w:val="22"/>
        </w:rPr>
        <w:t>similar to</w:t>
      </w:r>
      <w:proofErr w:type="gramEnd"/>
      <w:r w:rsidR="00AA475D" w:rsidRPr="008C10B7">
        <w:rPr>
          <w:rFonts w:cs="Times New Roman"/>
          <w:sz w:val="22"/>
          <w:szCs w:val="22"/>
        </w:rPr>
        <w:t xml:space="preserve"> our</w:t>
      </w:r>
      <w:r w:rsidR="009F1504" w:rsidRPr="008C10B7">
        <w:rPr>
          <w:rFonts w:cs="Times New Roman"/>
          <w:sz w:val="22"/>
          <w:szCs w:val="22"/>
        </w:rPr>
        <w:t>s</w:t>
      </w:r>
      <w:r w:rsidR="00AA475D" w:rsidRPr="008C10B7">
        <w:rPr>
          <w:rFonts w:cs="Times New Roman"/>
          <w:sz w:val="22"/>
          <w:szCs w:val="22"/>
        </w:rPr>
        <w:t xml:space="preserve">, Yao et al. </w:t>
      </w:r>
      <w:r w:rsidR="008E4498" w:rsidRPr="008C10B7">
        <w:rPr>
          <w:rFonts w:cs="Times New Roman"/>
          <w:sz w:val="22"/>
          <w:szCs w:val="22"/>
        </w:rPr>
        <w:t>(</w:t>
      </w:r>
      <w:r w:rsidR="00AA475D" w:rsidRPr="008C10B7">
        <w:rPr>
          <w:rFonts w:cs="Times New Roman"/>
          <w:sz w:val="22"/>
          <w:szCs w:val="22"/>
        </w:rPr>
        <w:t xml:space="preserve">2019) proposed a semantic segmentation method using FCN-8s </w:t>
      </w:r>
      <w:r w:rsidR="009F1504" w:rsidRPr="008C10B7">
        <w:rPr>
          <w:rFonts w:cs="Times New Roman"/>
          <w:sz w:val="22"/>
          <w:szCs w:val="22"/>
        </w:rPr>
        <w:t xml:space="preserve">that could be used </w:t>
      </w:r>
      <w:r w:rsidR="00AA475D" w:rsidRPr="008C10B7">
        <w:rPr>
          <w:rFonts w:cs="Times New Roman"/>
          <w:sz w:val="22"/>
          <w:szCs w:val="22"/>
        </w:rPr>
        <w:t>for urban perception from street-view images</w:t>
      </w:r>
      <w:r w:rsidR="009F1504" w:rsidRPr="008C10B7">
        <w:rPr>
          <w:rFonts w:cs="Times New Roman"/>
          <w:sz w:val="22"/>
          <w:szCs w:val="22"/>
        </w:rPr>
        <w:t>,</w:t>
      </w:r>
      <w:r w:rsidR="00AA475D" w:rsidRPr="008C10B7">
        <w:rPr>
          <w:rFonts w:cs="Times New Roman"/>
          <w:sz w:val="22"/>
          <w:szCs w:val="22"/>
        </w:rPr>
        <w:t xml:space="preserve"> </w:t>
      </w:r>
      <w:r w:rsidR="009F1504" w:rsidRPr="008C10B7">
        <w:rPr>
          <w:rFonts w:cs="Times New Roman"/>
          <w:sz w:val="22"/>
          <w:szCs w:val="22"/>
        </w:rPr>
        <w:t xml:space="preserve">which demonstrated a good level of </w:t>
      </w:r>
      <w:r w:rsidR="00AA475D" w:rsidRPr="008C10B7">
        <w:rPr>
          <w:rFonts w:cs="Times New Roman"/>
          <w:sz w:val="22"/>
          <w:szCs w:val="22"/>
        </w:rPr>
        <w:t xml:space="preserve">accuracy for their task. </w:t>
      </w:r>
      <w:r w:rsidR="009F1504" w:rsidRPr="008C10B7">
        <w:rPr>
          <w:rFonts w:cs="Times New Roman"/>
          <w:sz w:val="22"/>
          <w:szCs w:val="22"/>
        </w:rPr>
        <w:t>Therefore</w:t>
      </w:r>
      <w:r w:rsidR="00AA475D" w:rsidRPr="008C10B7">
        <w:rPr>
          <w:rFonts w:cs="Times New Roman"/>
          <w:sz w:val="22"/>
          <w:szCs w:val="22"/>
        </w:rPr>
        <w:t>, we used a full</w:t>
      </w:r>
      <w:r w:rsidR="009F1504" w:rsidRPr="008C10B7">
        <w:rPr>
          <w:rFonts w:cs="Times New Roman"/>
          <w:sz w:val="22"/>
          <w:szCs w:val="22"/>
        </w:rPr>
        <w:t>y</w:t>
      </w:r>
      <w:r w:rsidR="00AA475D" w:rsidRPr="008C10B7">
        <w:rPr>
          <w:rFonts w:cs="Times New Roman"/>
          <w:sz w:val="22"/>
          <w:szCs w:val="22"/>
        </w:rPr>
        <w:t xml:space="preserve"> </w:t>
      </w:r>
      <w:r w:rsidR="008E4498" w:rsidRPr="008C10B7">
        <w:rPr>
          <w:rFonts w:cs="Times New Roman"/>
          <w:sz w:val="22"/>
          <w:szCs w:val="22"/>
        </w:rPr>
        <w:t>CNN</w:t>
      </w:r>
      <w:r w:rsidR="00AA475D" w:rsidRPr="008C10B7">
        <w:rPr>
          <w:rFonts w:cs="Times New Roman"/>
          <w:sz w:val="22"/>
          <w:szCs w:val="22"/>
        </w:rPr>
        <w:t xml:space="preserve"> (i.e., FCN-8s) to calculate the percentage of street-level greenery </w:t>
      </w:r>
      <w:r w:rsidR="008E4498" w:rsidRPr="008C10B7">
        <w:rPr>
          <w:rFonts w:cs="Times New Roman"/>
          <w:sz w:val="22"/>
          <w:szCs w:val="22"/>
        </w:rPr>
        <w:t>for</w:t>
      </w:r>
      <w:r w:rsidR="00AA475D" w:rsidRPr="008C10B7">
        <w:rPr>
          <w:rFonts w:cs="Times New Roman"/>
          <w:sz w:val="22"/>
          <w:szCs w:val="22"/>
        </w:rPr>
        <w:t xml:space="preserve"> each street view image. </w:t>
      </w:r>
      <w:r w:rsidR="00711121" w:rsidRPr="008C10B7">
        <w:rPr>
          <w:rFonts w:cs="Times New Roman"/>
          <w:sz w:val="22"/>
          <w:szCs w:val="22"/>
        </w:rPr>
        <w:t xml:space="preserve">FCN-8s can identify common objects </w:t>
      </w:r>
      <w:r w:rsidR="009F1504" w:rsidRPr="008C10B7">
        <w:rPr>
          <w:rFonts w:cs="Times New Roman"/>
          <w:sz w:val="22"/>
          <w:szCs w:val="22"/>
        </w:rPr>
        <w:t xml:space="preserve">at ground level </w:t>
      </w:r>
      <w:r w:rsidR="00711121" w:rsidRPr="008C10B7">
        <w:rPr>
          <w:rFonts w:cs="Times New Roman"/>
          <w:sz w:val="22"/>
          <w:szCs w:val="22"/>
        </w:rPr>
        <w:t xml:space="preserve">(e.g., trees, </w:t>
      </w:r>
      <w:r w:rsidR="009F1504" w:rsidRPr="008C10B7">
        <w:rPr>
          <w:rFonts w:cs="Times New Roman"/>
          <w:sz w:val="22"/>
          <w:szCs w:val="22"/>
        </w:rPr>
        <w:t>vehicles</w:t>
      </w:r>
      <w:r w:rsidR="00711121" w:rsidRPr="008C10B7">
        <w:rPr>
          <w:rFonts w:cs="Times New Roman"/>
          <w:sz w:val="22"/>
          <w:szCs w:val="22"/>
        </w:rPr>
        <w:t xml:space="preserve">) from street view images and predict the semantic properties of each pixel in the image </w:t>
      </w:r>
      <w:r w:rsidR="00711121" w:rsidRPr="008C10B7">
        <w:rPr>
          <w:rFonts w:cs="Times New Roman"/>
          <w:sz w:val="22"/>
          <w:szCs w:val="22"/>
        </w:rPr>
        <w:fldChar w:fldCharType="begin" w:fldLock="1"/>
      </w:r>
      <w:r w:rsidR="00150538" w:rsidRPr="008C10B7">
        <w:rPr>
          <w:rFonts w:cs="Times New Roman"/>
          <w:sz w:val="22"/>
          <w:szCs w:val="22"/>
        </w:rPr>
        <w:instrText>ADDIN CSL_CITATION {"citationItems":[{"id":"ITEM-1","itemData":{"DOI":"10.1109/TPAMI.2016.2644615","ISSN":"01628828","PMID":"28060704","abstract":"We present a novel and practical deep fully convolutional neural network architecture for semantic pixel-wise segmentation termed SegNet. This core trainable segmentation engine consists of an encoder network, a corresponding decoder network followed by a pixel-wise classification layer. The architecture of the encoder network is topologically identical to the 13 convolutional layers in the VGG16 network [1]. The role of the decoder network is to map the low resolution encoder feature maps to full input resolution feature maps for pixel-wise classification. The novelty of SegNet lies is in the manner in which the decoder upsamples its lower resolution input feature map(s). Specifically, the decoder uses pooling indices computed in the max-pooling step of the corresponding encoder to perform non-linear upsampling. This eliminates the need for learning to upsample. The upsampled maps are sparse and are then convolved with trainable filters to produce dense feature maps. We compare our proposed architecture with the widely adopted FCN [2] and also with the well known DeepLab-LargeFOV [3] , DeconvNet [4] architectures. This comparison reveals the memory versus accuracy trade-off involved in achieving good segmentation performance. SegNet was primarily motivated by scene understanding applications. Hence, it is designed to be efficient both in terms of memory and computational time during inference. It is also significantly smaller in the number of trainable parameters than other competing architectures and can be trained end-to-end using stochastic gradient descent. We also performed a controlled benchmark of SegNet and other architectures on both road scenes and SUN RGB-D indoor scene segmentation tasks. These quantitative assessments show that SegNet provides good performance with competitive inference time and most efficient inference memory-wise as compared to other architectures. We also provide a Caffe implementation of SegNet and a web demo at http://mi.eng.cam.ac.uk/projects/segnet/.","author":[{"dropping-particle":"","family":"Badrinarayanan","given":"Vijay","non-dropping-particle":"","parse-names":false,"suffix":""},{"dropping-particle":"","family":"Kendall","given":"Alex","non-dropping-particle":"","parse-names":false,"suffix":""},{"dropping-particle":"","family":"Cipolla","given":"Roberto","non-dropping-particle":"","parse-names":false,"suffix":""}],"container-title":"IEEE Transactions on Pattern Analysis and Machine Intelligence","id":"ITEM-1","issue":"12","issued":{"date-parts":[["2017","12","1"]]},"page":"2481-2495","publisher":"IEEE Computer Society","title":"SegNet: A Deep Convolutional Encoder-Decoder Architecture for Image Segmentation","type":"article-journal","volume":"39"},"uris":["http://www.mendeley.com/documents/?uuid=3622d9b9-e261-3d8c-9088-ee89d0184a3d"]},{"id":"ITEM-2","itemData":{"abstract":"Convolutional networks are powerful visual models that yield hierarchies of features. We show that convolu-tional networks by themselves, trained end-to-end, pixels-to-pixels, exceed the state-of-the-art in semantic segmen-tation. Our key insight is to build \"fully convolutional\" networks that take input of arbitrary size and produce correspondingly-sized output with efficient inference and learning. We define and detail the space of fully convolu-tional networks, explain their application to spatially dense prediction tasks, and draw connections to prior models. We adapt contemporary classification networks (AlexNet [20], the VGG net [31], and GoogLeNet [32]) into fully convolu-tional networks and transfer their learned representations by fine-tuning [3] to the segmentation task. We then define a skip architecture that combines semantic information from a deep, coarse layer with appearance information from a shallow, fine layer to produce accurate and detailed seg-mentations. Our fully convolutional network achieves state-of-the-art segmentation of PASCAL VOC (20% relative improvement to 62.2% mean IU on 2012), NYUDv2, and SIFT Flow, while inference takes less than one fifth of a second for a typical image.","author":[{"dropping-particle":"","family":"Long","given":"Jonathan","non-dropping-particle":"","parse-names":false,"suffix":""},{"dropping-particle":"","family":"Shelhamer","given":"Evan","non-dropping-particle":"","parse-names":false,"suffix":""},{"dropping-particle":"","family":"Darrell","given":"Trevor","non-dropping-particle":"","parse-names":false,"suffix":""}],"id":"ITEM-2","issued":{"date-parts":[["2015"]]},"number-of-pages":"3431-3440","title":"Fully Convolutional Networks for Semantic Segmentation","type":"report"},"uris":["http://www.mendeley.com/documents/?uuid=88e2251b-58c7-3ea9-9e73-e71ced8d8e61"]}],"mendeley":{"formattedCitation":"(Badrinarayanan et al., 2017; Long et al., 2015)","manualFormatting":"(Badrinarayanan et al., 2017; Long et al., 2015)","plainTextFormattedCitation":"(Badrinarayanan et al., 2017; Long et al., 2015)","previouslyFormattedCitation":"(Badrinarayanan et al., 2017; J. Long et al., 2015)"},"properties":{"noteIndex":0},"schema":"https://github.com/citation-style-language/schema/raw/master/csl-citation.json"}</w:instrText>
      </w:r>
      <w:r w:rsidR="00711121" w:rsidRPr="008C10B7">
        <w:rPr>
          <w:rFonts w:cs="Times New Roman"/>
          <w:sz w:val="22"/>
          <w:szCs w:val="22"/>
        </w:rPr>
        <w:fldChar w:fldCharType="separate"/>
      </w:r>
      <w:r w:rsidR="008C7EFD" w:rsidRPr="008C10B7">
        <w:rPr>
          <w:rFonts w:cs="Times New Roman"/>
          <w:sz w:val="22"/>
          <w:szCs w:val="22"/>
        </w:rPr>
        <w:t>(Badrinarayanan et al., 2017; Long et al., 2015)</w:t>
      </w:r>
      <w:r w:rsidR="00711121" w:rsidRPr="008C10B7">
        <w:rPr>
          <w:rFonts w:cs="Times New Roman"/>
          <w:sz w:val="22"/>
          <w:szCs w:val="22"/>
        </w:rPr>
        <w:fldChar w:fldCharType="end"/>
      </w:r>
      <w:r w:rsidR="009F1504" w:rsidRPr="008C10B7">
        <w:rPr>
          <w:rFonts w:cs="Times New Roman"/>
          <w:sz w:val="22"/>
          <w:szCs w:val="22"/>
        </w:rPr>
        <w:t>.</w:t>
      </w:r>
      <w:r w:rsidR="00711121" w:rsidRPr="008C10B7">
        <w:rPr>
          <w:rFonts w:cs="Times New Roman"/>
          <w:sz w:val="22"/>
          <w:szCs w:val="22"/>
        </w:rPr>
        <w:t xml:space="preserve"> </w:t>
      </w:r>
      <w:r w:rsidR="009F1504" w:rsidRPr="008C10B7">
        <w:rPr>
          <w:rFonts w:cs="Times New Roman"/>
          <w:sz w:val="22"/>
          <w:szCs w:val="22"/>
        </w:rPr>
        <w:t>This method</w:t>
      </w:r>
      <w:r w:rsidR="00711121" w:rsidRPr="008C10B7">
        <w:rPr>
          <w:rFonts w:cs="Times New Roman"/>
          <w:sz w:val="22"/>
          <w:szCs w:val="22"/>
        </w:rPr>
        <w:t xml:space="preserve"> has been </w:t>
      </w:r>
      <w:r w:rsidR="00D548E6" w:rsidRPr="008C10B7">
        <w:rPr>
          <w:rFonts w:cs="Times New Roman"/>
          <w:sz w:val="22"/>
          <w:szCs w:val="22"/>
        </w:rPr>
        <w:t xml:space="preserve">demonstrated </w:t>
      </w:r>
      <w:r w:rsidR="00711121" w:rsidRPr="008C10B7">
        <w:rPr>
          <w:rFonts w:cs="Times New Roman"/>
          <w:sz w:val="22"/>
          <w:szCs w:val="22"/>
        </w:rPr>
        <w:t xml:space="preserve">to be able to accurately identify 150 categories of objects </w:t>
      </w:r>
      <w:r w:rsidR="00711121" w:rsidRPr="008C10B7">
        <w:rPr>
          <w:rFonts w:cs="Times New Roman"/>
          <w:sz w:val="22"/>
          <w:szCs w:val="22"/>
        </w:rPr>
        <w:fldChar w:fldCharType="begin" w:fldLock="1"/>
      </w:r>
      <w:r w:rsidR="00B74AD7" w:rsidRPr="008C10B7">
        <w:rPr>
          <w:rFonts w:cs="Times New Roman"/>
          <w:sz w:val="22"/>
          <w:szCs w:val="22"/>
        </w:rPr>
        <w:instrText>ADDIN CSL_CITATION {"citationItems":[{"id":"ITEM-1","itemData":{"DOI":"10.1080/13658816.2019.1643024","ISSN":"1365-8816","abstract":"Though global-coverage urban perception datasets have been recently created using machine learning, their efficacy in accurately assessing local urban perceptions for other countries and regions remains a problem. Here we describe a human-machine adversarial scoring framework using a methodology that incorporates deep learning and iterative feedback with recommendation scores, which allows for the rapid and cost-effective assessment of the local urban perceptions for Chinese cities. Using the state-of-the-art Fully Convolutional Network (FCN) and Random Forest (RF) algorithms, the proposed method provides perception estimations with errors less than 10%. The driving factor analysis from both the visual and urban functional aspects demonstrated its feasibility in facilitating local urban perception derivations. With high-throughput and high-accuracy scorings, the proposed human-machine adversarial framework offers an affordable and rapid solution for urban planners and researchers to conduct local urban perception assessments.","author":[{"dropping-particle":"","family":"Yao","given":"Yao","non-dropping-particle":"","parse-names":false,"suffix":""},{"dropping-particle":"","family":"Liang","given":"Zhaotang","non-dropping-particle":"","parse-names":false,"suffix":""},{"dropping-particle":"","family":"Yuan","given":"Zehao","non-dropping-particle":"","parse-names":false,"suffix":""},{"dropping-particle":"","family":"Liu","given":"Penghua","non-dropping-particle":"","parse-names":false,"suffix":""},{"dropping-particle":"","family":"Bie","given":"Yongpan","non-dropping-particle":"","parse-names":false,"suffix":""},{"dropping-particle":"","family":"Zhang","given":"Jinbao","non-dropping-particle":"","parse-names":false,"suffix":""},{"dropping-particle":"","family":"Wang","given":"Ruoyu","non-dropping-particle":"","parse-names":false,"suffix":""},{"dropping-particle":"","family":"Wang","given":"Jiale","non-dropping-particle":"","parse-names":false,"suffix":""},{"dropping-particle":"","family":"Guan","given":"Qingfeng","non-dropping-particle":"","parse-names":false,"suffix":""}],"container-title":"International Journal of Geographical Information Science","id":"ITEM-1","issue":"12","issued":{"date-parts":[["2019","12","2"]]},"page":"2363-2384","publisher":"Taylor and Francis Ltd.","title":"A human-machine adversarial scoring framework for urban perception assessment using street-view images","type":"article-journal","volume":"33"},"uris":["http://www.mendeley.com/documents/?uuid=59ce4f7a-3875-3de1-b374-3082f3aa7bba"]}],"mendeley":{"formattedCitation":"(Yao et al., 2019)","plainTextFormattedCitation":"(Yao et al., 2019)","previouslyFormattedCitation":"(Yao et al., 2019)"},"properties":{"noteIndex":0},"schema":"https://github.com/citation-style-language/schema/raw/master/csl-citation.json"}</w:instrText>
      </w:r>
      <w:r w:rsidR="00711121" w:rsidRPr="008C10B7">
        <w:rPr>
          <w:rFonts w:cs="Times New Roman"/>
          <w:sz w:val="22"/>
          <w:szCs w:val="22"/>
        </w:rPr>
        <w:fldChar w:fldCharType="separate"/>
      </w:r>
      <w:r w:rsidR="008C7EFD" w:rsidRPr="008C10B7">
        <w:rPr>
          <w:rFonts w:cs="Times New Roman"/>
          <w:sz w:val="22"/>
          <w:szCs w:val="22"/>
        </w:rPr>
        <w:t>(Yao et al., 2019)</w:t>
      </w:r>
      <w:r w:rsidR="00711121" w:rsidRPr="008C10B7">
        <w:rPr>
          <w:rFonts w:cs="Times New Roman"/>
          <w:sz w:val="22"/>
          <w:szCs w:val="22"/>
        </w:rPr>
        <w:fldChar w:fldCharType="end"/>
      </w:r>
      <w:r w:rsidR="00711121" w:rsidRPr="008C10B7">
        <w:rPr>
          <w:rFonts w:cs="Times New Roman"/>
          <w:sz w:val="22"/>
          <w:szCs w:val="22"/>
        </w:rPr>
        <w:t xml:space="preserve">. Figure 4 illustrates the processing structure of </w:t>
      </w:r>
      <w:r w:rsidR="00F4450C" w:rsidRPr="008C10B7">
        <w:rPr>
          <w:rFonts w:cs="Times New Roman" w:hint="eastAsia"/>
          <w:sz w:val="22"/>
          <w:szCs w:val="22"/>
        </w:rPr>
        <w:t>the</w:t>
      </w:r>
      <w:r w:rsidR="00FA0B84" w:rsidRPr="008C10B7">
        <w:rPr>
          <w:rFonts w:cs="Times New Roman"/>
          <w:sz w:val="22"/>
          <w:szCs w:val="22"/>
        </w:rPr>
        <w:t xml:space="preserve"> </w:t>
      </w:r>
      <w:r w:rsidR="00711121" w:rsidRPr="008C10B7">
        <w:rPr>
          <w:rFonts w:cs="Times New Roman"/>
          <w:sz w:val="22"/>
          <w:szCs w:val="22"/>
        </w:rPr>
        <w:t>FCN.</w:t>
      </w:r>
    </w:p>
    <w:p w14:paraId="2D6A852C" w14:textId="0D2113F4" w:rsidR="00A039A3" w:rsidRPr="008C10B7" w:rsidRDefault="00711121" w:rsidP="00206AA5">
      <w:pPr>
        <w:spacing w:line="480" w:lineRule="auto"/>
        <w:jc w:val="center"/>
        <w:rPr>
          <w:rFonts w:cs="Times New Roman"/>
        </w:rPr>
      </w:pPr>
      <w:r w:rsidRPr="008C10B7">
        <w:rPr>
          <w:rFonts w:cs="Times New Roman"/>
          <w:noProof/>
          <w:lang w:val="en-US" w:eastAsia="en-US"/>
        </w:rPr>
        <w:lastRenderedPageBreak/>
        <w:drawing>
          <wp:inline distT="0" distB="0" distL="0" distR="0" wp14:anchorId="2C867546" wp14:editId="2DC13E94">
            <wp:extent cx="4286250" cy="1368875"/>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353384" cy="1390315"/>
                    </a:xfrm>
                    <a:prstGeom prst="rect">
                      <a:avLst/>
                    </a:prstGeom>
                    <a:noFill/>
                    <a:ln>
                      <a:noFill/>
                    </a:ln>
                  </pic:spPr>
                </pic:pic>
              </a:graphicData>
            </a:graphic>
          </wp:inline>
        </w:drawing>
      </w:r>
    </w:p>
    <w:p w14:paraId="6C0EA655" w14:textId="7FD1C9AA" w:rsidR="004D3D6C" w:rsidRPr="008C10B7" w:rsidRDefault="00A039A3" w:rsidP="00206AA5">
      <w:pPr>
        <w:pStyle w:val="Caption"/>
        <w:spacing w:line="480" w:lineRule="auto"/>
        <w:jc w:val="center"/>
        <w:rPr>
          <w:rFonts w:ascii="Times New Roman" w:hAnsi="Times New Roman" w:cs="Times New Roman"/>
          <w:szCs w:val="16"/>
        </w:rPr>
      </w:pPr>
      <w:bookmarkStart w:id="38" w:name="_Toc78632950"/>
      <w:r w:rsidRPr="008C10B7">
        <w:rPr>
          <w:rFonts w:ascii="Times New Roman" w:hAnsi="Times New Roman" w:cs="Times New Roman"/>
          <w:b/>
          <w:bCs/>
          <w:szCs w:val="16"/>
        </w:rPr>
        <w:t>Fig</w:t>
      </w:r>
      <w:r w:rsidR="00C234EB" w:rsidRPr="008C10B7">
        <w:rPr>
          <w:rFonts w:ascii="Times New Roman" w:hAnsi="Times New Roman" w:cs="Times New Roman"/>
          <w:b/>
          <w:bCs/>
          <w:szCs w:val="16"/>
        </w:rPr>
        <w:t>.</w:t>
      </w:r>
      <w:r w:rsidRPr="008C10B7">
        <w:rPr>
          <w:rFonts w:ascii="Times New Roman" w:hAnsi="Times New Roman" w:cs="Times New Roman"/>
          <w:b/>
          <w:bCs/>
          <w:szCs w:val="16"/>
        </w:rPr>
        <w:t xml:space="preserve"> </w:t>
      </w:r>
      <w:r w:rsidRPr="008C10B7">
        <w:rPr>
          <w:rFonts w:ascii="Times New Roman" w:hAnsi="Times New Roman" w:cs="Times New Roman"/>
          <w:b/>
          <w:bCs/>
          <w:szCs w:val="16"/>
        </w:rPr>
        <w:fldChar w:fldCharType="begin"/>
      </w:r>
      <w:r w:rsidRPr="008C10B7">
        <w:rPr>
          <w:rFonts w:ascii="Times New Roman" w:hAnsi="Times New Roman" w:cs="Times New Roman"/>
          <w:b/>
          <w:bCs/>
          <w:szCs w:val="16"/>
        </w:rPr>
        <w:instrText xml:space="preserve"> SEQ Figure \* ARABIC </w:instrText>
      </w:r>
      <w:r w:rsidRPr="008C10B7">
        <w:rPr>
          <w:rFonts w:ascii="Times New Roman" w:hAnsi="Times New Roman" w:cs="Times New Roman"/>
          <w:b/>
          <w:bCs/>
          <w:szCs w:val="16"/>
        </w:rPr>
        <w:fldChar w:fldCharType="separate"/>
      </w:r>
      <w:r w:rsidR="00AE0FBF">
        <w:rPr>
          <w:rFonts w:ascii="Times New Roman" w:hAnsi="Times New Roman" w:cs="Times New Roman"/>
          <w:b/>
          <w:bCs/>
          <w:noProof/>
          <w:szCs w:val="16"/>
        </w:rPr>
        <w:t>4</w:t>
      </w:r>
      <w:r w:rsidRPr="008C10B7">
        <w:rPr>
          <w:rFonts w:ascii="Times New Roman" w:hAnsi="Times New Roman" w:cs="Times New Roman"/>
          <w:b/>
          <w:bCs/>
          <w:szCs w:val="16"/>
        </w:rPr>
        <w:fldChar w:fldCharType="end"/>
      </w:r>
      <w:r w:rsidRPr="008C10B7">
        <w:rPr>
          <w:rFonts w:ascii="Times New Roman" w:hAnsi="Times New Roman" w:cs="Times New Roman"/>
          <w:b/>
          <w:bCs/>
          <w:szCs w:val="16"/>
        </w:rPr>
        <w:t>.</w:t>
      </w:r>
      <w:r w:rsidRPr="008C10B7">
        <w:rPr>
          <w:rFonts w:ascii="Times New Roman" w:hAnsi="Times New Roman" w:cs="Times New Roman"/>
          <w:szCs w:val="16"/>
        </w:rPr>
        <w:t xml:space="preserve"> FCN processing structure</w:t>
      </w:r>
      <w:bookmarkEnd w:id="38"/>
    </w:p>
    <w:p w14:paraId="167EEEC7" w14:textId="77777777" w:rsidR="009C6A53" w:rsidRPr="008C10B7" w:rsidRDefault="009C6A53" w:rsidP="009C6A53"/>
    <w:p w14:paraId="090FEF36" w14:textId="4061569B" w:rsidR="004D3D6C" w:rsidRPr="008C10B7" w:rsidRDefault="00711121" w:rsidP="009C6A53">
      <w:pPr>
        <w:spacing w:line="360" w:lineRule="auto"/>
        <w:ind w:firstLine="420"/>
        <w:jc w:val="both"/>
        <w:rPr>
          <w:rFonts w:cs="Times New Roman"/>
          <w:sz w:val="22"/>
          <w:szCs w:val="22"/>
        </w:rPr>
      </w:pPr>
      <w:r w:rsidRPr="008C10B7">
        <w:rPr>
          <w:rFonts w:cs="Times New Roman"/>
          <w:sz w:val="22"/>
          <w:szCs w:val="22"/>
        </w:rPr>
        <w:t xml:space="preserve">We used </w:t>
      </w:r>
      <w:r w:rsidR="00CC208E" w:rsidRPr="008C10B7">
        <w:rPr>
          <w:rFonts w:cs="Times New Roman"/>
          <w:sz w:val="22"/>
          <w:szCs w:val="22"/>
        </w:rPr>
        <w:t xml:space="preserve">an </w:t>
      </w:r>
      <w:r w:rsidRPr="008C10B7">
        <w:rPr>
          <w:rFonts w:cs="Times New Roman"/>
          <w:sz w:val="22"/>
          <w:szCs w:val="22"/>
        </w:rPr>
        <w:t xml:space="preserve">image semantic segmentation application and source code </w:t>
      </w:r>
      <w:r w:rsidR="00FA0B84" w:rsidRPr="008C10B7">
        <w:rPr>
          <w:rFonts w:cs="Times New Roman"/>
          <w:sz w:val="22"/>
          <w:szCs w:val="22"/>
        </w:rPr>
        <w:t xml:space="preserve">provided </w:t>
      </w:r>
      <w:r w:rsidR="00CC208E" w:rsidRPr="008C10B7">
        <w:rPr>
          <w:rFonts w:cs="Times New Roman"/>
          <w:sz w:val="22"/>
          <w:szCs w:val="22"/>
        </w:rPr>
        <w:t>by</w:t>
      </w:r>
      <w:r w:rsidRPr="008C10B7">
        <w:rPr>
          <w:rFonts w:cs="Times New Roman"/>
          <w:sz w:val="22"/>
          <w:szCs w:val="22"/>
        </w:rPr>
        <w:t xml:space="preserve"> </w:t>
      </w:r>
      <w:r w:rsidRPr="008C10B7">
        <w:rPr>
          <w:rFonts w:cs="Times New Roman"/>
          <w:sz w:val="22"/>
          <w:szCs w:val="22"/>
        </w:rPr>
        <w:fldChar w:fldCharType="begin" w:fldLock="1"/>
      </w:r>
      <w:r w:rsidR="00B74AD7" w:rsidRPr="008C10B7">
        <w:rPr>
          <w:rFonts w:cs="Times New Roman"/>
          <w:sz w:val="22"/>
          <w:szCs w:val="22"/>
        </w:rPr>
        <w:instrText>ADDIN CSL_CITATION {"citationItems":[{"id":"ITEM-1","itemData":{"DOI":"10.1080/13658816.2019.1643024","ISSN":"1365-8816","abstract":"Though global-coverage urban perception datasets have been recently created using machine learning, their efficacy in accurately assessing local urban perceptions for other countries and regions remains a problem. Here we describe a human-machine adversarial scoring framework using a methodology that incorporates deep learning and iterative feedback with recommendation scores, which allows for the rapid and cost-effective assessment of the local urban perceptions for Chinese cities. Using the state-of-the-art Fully Convolutional Network (FCN) and Random Forest (RF) algorithms, the proposed method provides perception estimations with errors less than 10%. The driving factor analysis from both the visual and urban functional aspects demonstrated its feasibility in facilitating local urban perception derivations. With high-throughput and high-accuracy scorings, the proposed human-machine adversarial framework offers an affordable and rapid solution for urban planners and researchers to conduct local urban perception assessments.","author":[{"dropping-particle":"","family":"Yao","given":"Yao","non-dropping-particle":"","parse-names":false,"suffix":""},{"dropping-particle":"","family":"Liang","given":"Zhaotang","non-dropping-particle":"","parse-names":false,"suffix":""},{"dropping-particle":"","family":"Yuan","given":"Zehao","non-dropping-particle":"","parse-names":false,"suffix":""},{"dropping-particle":"","family":"Liu","given":"Penghua","non-dropping-particle":"","parse-names":false,"suffix":""},{"dropping-particle":"","family":"Bie","given":"Yongpan","non-dropping-particle":"","parse-names":false,"suffix":""},{"dropping-particle":"","family":"Zhang","given":"Jinbao","non-dropping-particle":"","parse-names":false,"suffix":""},{"dropping-particle":"","family":"Wang","given":"Ruoyu","non-dropping-particle":"","parse-names":false,"suffix":""},{"dropping-particle":"","family":"Wang","given":"Jiale","non-dropping-particle":"","parse-names":false,"suffix":""},{"dropping-particle":"","family":"Guan","given":"Qingfeng","non-dropping-particle":"","parse-names":false,"suffix":""}],"container-title":"International Journal of Geographical Information Science","id":"ITEM-1","issue":"12","issued":{"date-parts":[["2019","12","2"]]},"page":"2363-2384","publisher":"Taylor and Francis Ltd.","title":"A human-machine adversarial scoring framework for urban perception assessment using street-view images","type":"article-journal","volume":"33"},"uris":["http://www.mendeley.com/documents/?uuid=59ce4f7a-3875-3de1-b374-3082f3aa7bba"]}],"mendeley":{"formattedCitation":"(Yao et al., 2019)","manualFormatting":"Yao et al. (2019)","plainTextFormattedCitation":"(Yao et al., 2019)","previouslyFormattedCitation":"(Yao et al., 2019)"},"properties":{"noteIndex":0},"schema":"https://github.com/citation-style-language/schema/raw/master/csl-citation.json"}</w:instrText>
      </w:r>
      <w:r w:rsidRPr="008C10B7">
        <w:rPr>
          <w:rFonts w:cs="Times New Roman"/>
          <w:sz w:val="22"/>
          <w:szCs w:val="22"/>
        </w:rPr>
        <w:fldChar w:fldCharType="separate"/>
      </w:r>
      <w:r w:rsidRPr="008C10B7">
        <w:rPr>
          <w:rFonts w:cs="Times New Roman"/>
          <w:sz w:val="22"/>
          <w:szCs w:val="22"/>
        </w:rPr>
        <w:t>Yao et al. (2019</w:t>
      </w:r>
      <w:r w:rsidRPr="008C10B7">
        <w:rPr>
          <w:rFonts w:cs="Times New Roman"/>
          <w:sz w:val="22"/>
          <w:szCs w:val="22"/>
        </w:rPr>
        <w:fldChar w:fldCharType="end"/>
      </w:r>
      <w:r w:rsidR="004B5253" w:rsidRPr="008C10B7">
        <w:rPr>
          <w:rFonts w:cs="Times New Roman"/>
          <w:sz w:val="22"/>
          <w:szCs w:val="22"/>
        </w:rPr>
        <w:t>)</w:t>
      </w:r>
      <w:r w:rsidRPr="008C10B7">
        <w:rPr>
          <w:rFonts w:cs="Times New Roman"/>
          <w:sz w:val="22"/>
          <w:szCs w:val="22"/>
        </w:rPr>
        <w:t xml:space="preserve"> </w:t>
      </w:r>
      <w:r w:rsidR="004B5253" w:rsidRPr="008C10B7">
        <w:rPr>
          <w:rFonts w:cs="Times New Roman"/>
          <w:sz w:val="22"/>
          <w:szCs w:val="22"/>
        </w:rPr>
        <w:t xml:space="preserve">(see </w:t>
      </w:r>
      <w:r w:rsidR="00CC208E" w:rsidRPr="008C10B7">
        <w:rPr>
          <w:rFonts w:cs="Times New Roman"/>
          <w:sz w:val="22"/>
          <w:szCs w:val="22"/>
        </w:rPr>
        <w:t>https://github.com/whuyao/human-machine-adversarial</w:t>
      </w:r>
      <w:r w:rsidRPr="008C10B7">
        <w:rPr>
          <w:rFonts w:cs="Times New Roman"/>
          <w:sz w:val="22"/>
          <w:szCs w:val="22"/>
        </w:rPr>
        <w:t>)</w:t>
      </w:r>
      <w:r w:rsidR="00CC208E" w:rsidRPr="008C10B7">
        <w:rPr>
          <w:rFonts w:cs="Times New Roman"/>
          <w:sz w:val="22"/>
          <w:szCs w:val="22"/>
        </w:rPr>
        <w:t xml:space="preserve"> and</w:t>
      </w:r>
      <w:r w:rsidRPr="008C10B7">
        <w:rPr>
          <w:rFonts w:cs="Times New Roman"/>
          <w:sz w:val="22"/>
          <w:szCs w:val="22"/>
        </w:rPr>
        <w:t xml:space="preserve"> trained our FCN network using the ADE20K dataset developed by MIT </w:t>
      </w:r>
      <w:r w:rsidRPr="008C10B7">
        <w:rPr>
          <w:rFonts w:cs="Times New Roman"/>
          <w:sz w:val="22"/>
          <w:szCs w:val="22"/>
        </w:rPr>
        <w:fldChar w:fldCharType="begin" w:fldLock="1"/>
      </w:r>
      <w:r w:rsidR="00B74AD7" w:rsidRPr="008C10B7">
        <w:rPr>
          <w:rFonts w:cs="Times New Roman"/>
          <w:sz w:val="22"/>
          <w:szCs w:val="22"/>
        </w:rPr>
        <w:instrText>ADDIN CSL_CITATION {"citationItems":[{"id":"ITEM-1","itemData":{"DOI":"10.1007/s11263-018-1140-0","ISSN":"15731405","abstract":"Semantic understanding of visual scenes is one of the holy grails of computer vision. Despite efforts of the community in data collection, there are still few image datasets covering a wide range of scenes and object categories with pixel-wise annotations for scene understanding. In this work, we present a densely annotated dataset ADE20K, which spans diverse annotations of scenes, objects, parts of objects, and in some cases even parts of parts. Totally there are 25k images of the complex everyday scenes containing a variety of objects in their natural spatial context. On average there are 19.5 instances and 10.5 object classes per image. Based on ADE20K, we construct benchmarks for scene parsing and instance segmentation. We provide baseline performances on both of the benchmarks and re-implement state-of-the-art models for open source. We further evaluate the effect of synchronized batch normalization and find that a reasonably large batch size is crucial for the semantic segmentation performance. We show that the networks trained on ADE20K are able to segment a wide variety of scenes and objects.","author":[{"dropping-particle":"","family":"Zhou","given":"Bolei","non-dropping-particle":"","parse-names":false,"suffix":""},{"dropping-particle":"","family":"Zhao","given":"Hang","non-dropping-particle":"","parse-names":false,"suffix":""},{"dropping-particle":"","family":"Puig","given":"Xavier","non-dropping-particle":"","parse-names":false,"suffix":""},{"dropping-particle":"","family":"Xiao","given":"Tete","non-dropping-particle":"","parse-names":false,"suffix":""},{"dropping-particle":"","family":"Fidler","given":"Sanja","non-dropping-particle":"","parse-names":false,"suffix":""},{"dropping-particle":"","family":"Barriuso","given":"Adela","non-dropping-particle":"","parse-names":false,"suffix":""},{"dropping-particle":"","family":"Torralba","given":"Antonio","non-dropping-particle":"","parse-names":false,"suffix":""}],"container-title":"International Journal of Computer Vision","id":"ITEM-1","issue":"3","issued":{"date-parts":[["2019","3","15"]]},"page":"302-321","publisher":"Springer New York LLC","title":"Semantic Understanding of Scenes Through the ADE20K Dataset","type":"article-journal","volume":"127"},"uris":["http://www.mendeley.com/documents/?uuid=d568ae20-b986-356f-a263-e7b7f746ced6"]}],"mendeley":{"formattedCitation":"(B. Zhou et al., 2019)","manualFormatting":"(Zhou et al., 2019)","plainTextFormattedCitation":"(B. Zhou et al., 2019)","previouslyFormattedCitation":"(B. Zhou et al., 2019)"},"properties":{"noteIndex":0},"schema":"https://github.com/citation-style-language/schema/raw/master/csl-citation.json"}</w:instrText>
      </w:r>
      <w:r w:rsidRPr="008C10B7">
        <w:rPr>
          <w:rFonts w:cs="Times New Roman"/>
          <w:sz w:val="22"/>
          <w:szCs w:val="22"/>
        </w:rPr>
        <w:fldChar w:fldCharType="separate"/>
      </w:r>
      <w:r w:rsidRPr="008C10B7">
        <w:rPr>
          <w:rFonts w:cs="Times New Roman"/>
          <w:sz w:val="22"/>
          <w:szCs w:val="22"/>
        </w:rPr>
        <w:t>(Zhou et al., 2019</w:t>
      </w:r>
      <w:r w:rsidR="00AD051A" w:rsidRPr="008C10B7">
        <w:rPr>
          <w:rFonts w:cs="Times New Roman"/>
          <w:sz w:val="22"/>
          <w:szCs w:val="22"/>
        </w:rPr>
        <w:t>a</w:t>
      </w:r>
      <w:r w:rsidRPr="008C10B7">
        <w:rPr>
          <w:rFonts w:cs="Times New Roman"/>
          <w:sz w:val="22"/>
          <w:szCs w:val="22"/>
        </w:rPr>
        <w:t>)</w:t>
      </w:r>
      <w:r w:rsidRPr="008C10B7">
        <w:rPr>
          <w:rFonts w:cs="Times New Roman"/>
          <w:sz w:val="22"/>
          <w:szCs w:val="22"/>
        </w:rPr>
        <w:fldChar w:fldCharType="end"/>
      </w:r>
      <w:r w:rsidRPr="008C10B7">
        <w:rPr>
          <w:rFonts w:cs="Times New Roman"/>
          <w:sz w:val="22"/>
          <w:szCs w:val="22"/>
        </w:rPr>
        <w:t xml:space="preserve">. </w:t>
      </w:r>
      <w:r w:rsidR="00CC208E" w:rsidRPr="008C10B7">
        <w:rPr>
          <w:rFonts w:cs="Times New Roman"/>
          <w:sz w:val="22"/>
          <w:szCs w:val="22"/>
        </w:rPr>
        <w:t xml:space="preserve">The </w:t>
      </w:r>
      <w:r w:rsidRPr="008C10B7">
        <w:rPr>
          <w:rFonts w:cs="Times New Roman"/>
          <w:sz w:val="22"/>
          <w:szCs w:val="22"/>
        </w:rPr>
        <w:t>ADE20K dataset consists of near</w:t>
      </w:r>
      <w:r w:rsidR="00CC208E" w:rsidRPr="008C10B7">
        <w:rPr>
          <w:rFonts w:cs="Times New Roman"/>
          <w:sz w:val="22"/>
          <w:szCs w:val="22"/>
        </w:rPr>
        <w:t>ly</w:t>
      </w:r>
      <w:r w:rsidRPr="008C10B7">
        <w:rPr>
          <w:rFonts w:cs="Times New Roman"/>
          <w:sz w:val="22"/>
          <w:szCs w:val="22"/>
        </w:rPr>
        <w:t xml:space="preserve"> 150 annotated object categories, such as vehicles and trees </w:t>
      </w:r>
      <w:r w:rsidRPr="008C10B7">
        <w:rPr>
          <w:rFonts w:cs="Times New Roman"/>
          <w:sz w:val="22"/>
          <w:szCs w:val="22"/>
        </w:rPr>
        <w:fldChar w:fldCharType="begin" w:fldLock="1"/>
      </w:r>
      <w:r w:rsidR="00B74AD7" w:rsidRPr="008C10B7">
        <w:rPr>
          <w:rFonts w:cs="Times New Roman"/>
          <w:sz w:val="22"/>
          <w:szCs w:val="22"/>
        </w:rPr>
        <w:instrText>ADDIN CSL_CITATION {"citationItems":[{"id":"ITEM-1","itemData":{"DOI":"10.1016/j.envint.2019.02.013","ISSN":"18736750","PMID":"30797100","abstract":"Background: Residential green and blue spaces may be therapeutic for the mental health. However, solid evidence on the linkage between exposure to green and blue spaces and mental health among the elderly in non-Western countries is scarce and limited to exposure metrics based on remote sensing images (i.e., land cover and vegetation indices). Such overhead-view measures may fail to capture how people perceive the environment on the site. Objective: This study aimed to compare streetscape metrics derived from street view images with satellite-derived ones for the assessment of green and blue space; and to examine associations between exposure to green and blue spaces as well as geriatric depression in Beijing, China. Methods: Questionnaire data on 1190 participants aged 60 or above were analyzed cross-sectionally. Depressive symptoms were assessed through the shortened Geriatric Depression Scale (GDS-15). Streetscape green and blue spaces were extracted from Tencent Street View data by a fully convolutional neural network. Indicators derived from street view images were compared with a satellite-based normalized difference vegetation index (NDVI), a normalized difference water index (NDWI), and those derived from GlobeLand30 land cover data on a neighborhood level. Multilevel regressions with neighborhood-level random effects were fitted to assess correlations between GDS-15 scores and these green and blue spaces exposure metrics. Results: The average cumulative GDS-15 score was 3.4 (i.e., no depressive symptoms). Metrics of green and blue space derived from street view images were not correlated with satellite-based ones. While NDVI was highly correlated with GlobeLand30 green space, NDWI was moderately correlated with GlobeLand30 blue space. Multilevel regressions showed that both street view green and blue spaces were inversely associated with GDS-15 scores and achieved the highest model goodness-of-fit. No significant associations were found with NDVI, NDWI, and GlobeLand30 green and blue space. Our results passed robustness tests. Conclusion: Our findings provide support that street view green and blue spaces are protective against depression for the elderly in China, yet longitudinal confirmation to infer causality is necessary. Street view and satellite-derived green and blue space measures represent different aspects of natural environments. Both street view data and deep learning are valuable tools for automated environmental exposure assessmen…","author":[{"dropping-particle":"","family":"Helbich","given":"Marco","non-dropping-particle":"","parse-names":false,"suffix":""},{"dropping-particle":"","family":"Yao","given":"Yao","non-dropping-particle":"","parse-names":false,"suffix":""},{"dropping-particle":"","family":"Liu","given":"Ye","non-dropping-particle":"","parse-names":false,"suffix":""},{"dropping-particle":"","family":"Zhang","given":"Jinbao","non-dropping-particle":"","parse-names":false,"suffix":""},{"dropping-particle":"","family":"Liu","given":"Penghua","non-dropping-particle":"","parse-names":false,"suffix":""},{"dropping-particle":"","family":"Wang","given":"Ruoyu","non-dropping-particle":"","parse-names":false,"suffix":""}],"container-title":"Environment International","id":"ITEM-1","issued":{"date-parts":[["2019","5","1"]]},"page":"107-117","publisher":"Elsevier Ltd","title":"Using deep learning to examine street view green and blue spaces and their associations with geriatric depression in Beijing, China","type":"article-journal","volume":"126"},"uris":["http://www.mendeley.com/documents/?uuid=445d58d5-946c-3a2c-a1ad-3b4bdb60e742"]}],"mendeley":{"formattedCitation":"(Helbich et al., 2019)","plainTextFormattedCitation":"(Helbich et al., 2019)","previouslyFormattedCitation":"(Helbich et al., 2019)"},"properties":{"noteIndex":0},"schema":"https://github.com/citation-style-language/schema/raw/master/csl-citation.json"}</w:instrText>
      </w:r>
      <w:r w:rsidRPr="008C10B7">
        <w:rPr>
          <w:rFonts w:cs="Times New Roman"/>
          <w:sz w:val="22"/>
          <w:szCs w:val="22"/>
        </w:rPr>
        <w:fldChar w:fldCharType="separate"/>
      </w:r>
      <w:r w:rsidR="008C7EFD" w:rsidRPr="008C10B7">
        <w:rPr>
          <w:rFonts w:cs="Times New Roman"/>
          <w:sz w:val="22"/>
          <w:szCs w:val="22"/>
        </w:rPr>
        <w:t>(Helbich et al., 2019)</w:t>
      </w:r>
      <w:r w:rsidRPr="008C10B7">
        <w:rPr>
          <w:rFonts w:cs="Times New Roman"/>
          <w:sz w:val="22"/>
          <w:szCs w:val="22"/>
        </w:rPr>
        <w:fldChar w:fldCharType="end"/>
      </w:r>
      <w:r w:rsidRPr="008C10B7">
        <w:rPr>
          <w:rFonts w:cs="Times New Roman"/>
          <w:sz w:val="22"/>
          <w:szCs w:val="22"/>
        </w:rPr>
        <w:t xml:space="preserve">. By feeding street view panorama images into the trained FCN network, the proportion of green space (e.g., grass, </w:t>
      </w:r>
      <w:proofErr w:type="gramStart"/>
      <w:r w:rsidRPr="008C10B7">
        <w:rPr>
          <w:rFonts w:cs="Times New Roman"/>
          <w:sz w:val="22"/>
          <w:szCs w:val="22"/>
        </w:rPr>
        <w:t>meadow</w:t>
      </w:r>
      <w:r w:rsidR="00CC208E" w:rsidRPr="008C10B7">
        <w:rPr>
          <w:rFonts w:cs="Times New Roman"/>
          <w:sz w:val="22"/>
          <w:szCs w:val="22"/>
        </w:rPr>
        <w:t>s</w:t>
      </w:r>
      <w:proofErr w:type="gramEnd"/>
      <w:r w:rsidRPr="008C10B7">
        <w:rPr>
          <w:rFonts w:cs="Times New Roman"/>
          <w:sz w:val="22"/>
          <w:szCs w:val="22"/>
        </w:rPr>
        <w:t xml:space="preserve"> </w:t>
      </w:r>
      <w:r w:rsidR="00CC208E" w:rsidRPr="008C10B7">
        <w:rPr>
          <w:rFonts w:cs="Times New Roman"/>
          <w:sz w:val="22"/>
          <w:szCs w:val="22"/>
        </w:rPr>
        <w:t xml:space="preserve">and </w:t>
      </w:r>
      <w:r w:rsidRPr="008C10B7">
        <w:rPr>
          <w:rFonts w:cs="Times New Roman"/>
          <w:sz w:val="22"/>
          <w:szCs w:val="22"/>
        </w:rPr>
        <w:t>tree</w:t>
      </w:r>
      <w:r w:rsidR="00CC208E" w:rsidRPr="008C10B7">
        <w:rPr>
          <w:rFonts w:cs="Times New Roman"/>
          <w:sz w:val="22"/>
          <w:szCs w:val="22"/>
        </w:rPr>
        <w:t>s</w:t>
      </w:r>
      <w:r w:rsidRPr="008C10B7">
        <w:rPr>
          <w:rFonts w:cs="Times New Roman"/>
          <w:sz w:val="22"/>
          <w:szCs w:val="22"/>
        </w:rPr>
        <w:t xml:space="preserve">) can be determined. The pixel contrast accuracy of this network was 0.814426 on the training dataset and 0.66839 on the test dataset </w:t>
      </w:r>
      <w:r w:rsidRPr="008C10B7">
        <w:rPr>
          <w:rFonts w:cs="Times New Roman"/>
          <w:sz w:val="22"/>
          <w:szCs w:val="22"/>
        </w:rPr>
        <w:fldChar w:fldCharType="begin" w:fldLock="1"/>
      </w:r>
      <w:r w:rsidR="00B74AD7" w:rsidRPr="008C10B7">
        <w:rPr>
          <w:rFonts w:cs="Times New Roman"/>
          <w:sz w:val="22"/>
          <w:szCs w:val="22"/>
        </w:rPr>
        <w:instrText>ADDIN CSL_CITATION {"citationItems":[{"id":"ITEM-1","itemData":{"DOI":"10.1080/13658816.2019.1643024","ISSN":"1365-8816","abstract":"Though global-coverage urban perception datasets have been recently created using machine learning, their efficacy in accurately assessing local urban perceptions for other countries and regions remains a problem. Here we describe a human-machine adversarial scoring framework using a methodology that incorporates deep learning and iterative feedback with recommendation scores, which allows for the rapid and cost-effective assessment of the local urban perceptions for Chinese cities. Using the state-of-the-art Fully Convolutional Network (FCN) and Random Forest (RF) algorithms, the proposed method provides perception estimations with errors less than 10%. The driving factor analysis from both the visual and urban functional aspects demonstrated its feasibility in facilitating local urban perception derivations. With high-throughput and high-accuracy scorings, the proposed human-machine adversarial framework offers an affordable and rapid solution for urban planners and researchers to conduct local urban perception assessments.","author":[{"dropping-particle":"","family":"Yao","given":"Yao","non-dropping-particle":"","parse-names":false,"suffix":""},{"dropping-particle":"","family":"Liang","given":"Zhaotang","non-dropping-particle":"","parse-names":false,"suffix":""},{"dropping-particle":"","family":"Yuan","given":"Zehao","non-dropping-particle":"","parse-names":false,"suffix":""},{"dropping-particle":"","family":"Liu","given":"Penghua","non-dropping-particle":"","parse-names":false,"suffix":""},{"dropping-particle":"","family":"Bie","given":"Yongpan","non-dropping-particle":"","parse-names":false,"suffix":""},{"dropping-particle":"","family":"Zhang","given":"Jinbao","non-dropping-particle":"","parse-names":false,"suffix":""},{"dropping-particle":"","family":"Wang","given":"Ruoyu","non-dropping-particle":"","parse-names":false,"suffix":""},{"dropping-particle":"","family":"Wang","given":"Jiale","non-dropping-particle":"","parse-names":false,"suffix":""},{"dropping-particle":"","family":"Guan","given":"Qingfeng","non-dropping-particle":"","parse-names":false,"suffix":""}],"container-title":"International Journal of Geographical Information Science","id":"ITEM-1","issue":"12","issued":{"date-parts":[["2019","12","2"]]},"page":"2363-2384","publisher":"Taylor and Francis Ltd.","title":"A human-machine adversarial scoring framework for urban perception assessment using street-view images","type":"article-journal","volume":"33"},"uris":["http://www.mendeley.com/documents/?uuid=59ce4f7a-3875-3de1-b374-3082f3aa7bba"]}],"mendeley":{"formattedCitation":"(Yao et al., 2019)","plainTextFormattedCitation":"(Yao et al., 2019)","previouslyFormattedCitation":"(Yao et al., 2019)"},"properties":{"noteIndex":0},"schema":"https://github.com/citation-style-language/schema/raw/master/csl-citation.json"}</w:instrText>
      </w:r>
      <w:r w:rsidRPr="008C10B7">
        <w:rPr>
          <w:rFonts w:cs="Times New Roman"/>
          <w:sz w:val="22"/>
          <w:szCs w:val="22"/>
        </w:rPr>
        <w:fldChar w:fldCharType="separate"/>
      </w:r>
      <w:r w:rsidR="008C7EFD" w:rsidRPr="008C10B7">
        <w:rPr>
          <w:rFonts w:cs="Times New Roman"/>
          <w:sz w:val="22"/>
          <w:szCs w:val="22"/>
        </w:rPr>
        <w:t>(Yao et al., 2019)</w:t>
      </w:r>
      <w:r w:rsidRPr="008C10B7">
        <w:rPr>
          <w:rFonts w:cs="Times New Roman"/>
          <w:sz w:val="22"/>
          <w:szCs w:val="22"/>
        </w:rPr>
        <w:fldChar w:fldCharType="end"/>
      </w:r>
      <w:r w:rsidRPr="008C10B7">
        <w:rPr>
          <w:rFonts w:cs="Times New Roman"/>
          <w:sz w:val="22"/>
          <w:szCs w:val="22"/>
        </w:rPr>
        <w:t xml:space="preserve">. Figure 5 </w:t>
      </w:r>
      <w:r w:rsidR="00CC208E" w:rsidRPr="008C10B7">
        <w:rPr>
          <w:rFonts w:cs="Times New Roman"/>
          <w:sz w:val="22"/>
          <w:szCs w:val="22"/>
        </w:rPr>
        <w:t xml:space="preserve">illustrates </w:t>
      </w:r>
      <w:r w:rsidRPr="008C10B7">
        <w:rPr>
          <w:rFonts w:cs="Times New Roman"/>
          <w:sz w:val="22"/>
          <w:szCs w:val="22"/>
        </w:rPr>
        <w:t xml:space="preserve">samples of the results </w:t>
      </w:r>
      <w:r w:rsidR="00FA0B84" w:rsidRPr="008C10B7">
        <w:rPr>
          <w:rFonts w:cs="Times New Roman"/>
          <w:sz w:val="22"/>
          <w:szCs w:val="22"/>
        </w:rPr>
        <w:t xml:space="preserve">obtained from </w:t>
      </w:r>
      <w:r w:rsidRPr="008C10B7">
        <w:rPr>
          <w:rFonts w:cs="Times New Roman"/>
          <w:sz w:val="22"/>
          <w:szCs w:val="22"/>
        </w:rPr>
        <w:t>the segmentation procedure using FCN-8.</w:t>
      </w:r>
    </w:p>
    <w:p w14:paraId="3E19A1EA" w14:textId="6502D409" w:rsidR="00021746" w:rsidRPr="008C10B7" w:rsidRDefault="00312EBA" w:rsidP="00206AA5">
      <w:pPr>
        <w:spacing w:line="480" w:lineRule="auto"/>
        <w:jc w:val="center"/>
        <w:rPr>
          <w:rFonts w:cs="Times New Roman"/>
        </w:rPr>
      </w:pPr>
      <w:r w:rsidRPr="008C10B7">
        <w:rPr>
          <w:rFonts w:cs="Times New Roman"/>
          <w:noProof/>
          <w:lang w:val="en-US" w:eastAsia="en-US"/>
        </w:rPr>
        <w:drawing>
          <wp:inline distT="0" distB="0" distL="0" distR="0" wp14:anchorId="5C7B88DA" wp14:editId="49589DDA">
            <wp:extent cx="4200525" cy="2753150"/>
            <wp:effectExtent l="0" t="0" r="3175" b="3175"/>
            <wp:docPr id="28" name="图片 28" descr="许多照片放在一起&#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许多照片放在一起&#10;&#10;中度可信度描述已自动生成"/>
                    <pic:cNvPicPr/>
                  </pic:nvPicPr>
                  <pic:blipFill>
                    <a:blip r:embed="rId18">
                      <a:extLst>
                        <a:ext uri="{28A0092B-C50C-407E-A947-70E740481C1C}">
                          <a14:useLocalDpi xmlns:a14="http://schemas.microsoft.com/office/drawing/2010/main" val="0"/>
                        </a:ext>
                      </a:extLst>
                    </a:blip>
                    <a:stretch>
                      <a:fillRect/>
                    </a:stretch>
                  </pic:blipFill>
                  <pic:spPr>
                    <a:xfrm>
                      <a:off x="0" y="0"/>
                      <a:ext cx="4242212" cy="2780473"/>
                    </a:xfrm>
                    <a:prstGeom prst="rect">
                      <a:avLst/>
                    </a:prstGeom>
                  </pic:spPr>
                </pic:pic>
              </a:graphicData>
            </a:graphic>
          </wp:inline>
        </w:drawing>
      </w:r>
    </w:p>
    <w:p w14:paraId="660B78F7" w14:textId="3B381A5C" w:rsidR="00021746" w:rsidRPr="008C10B7" w:rsidRDefault="00021746" w:rsidP="00E7001C">
      <w:pPr>
        <w:pStyle w:val="Caption"/>
        <w:spacing w:line="360" w:lineRule="auto"/>
        <w:jc w:val="center"/>
        <w:rPr>
          <w:rFonts w:ascii="Times New Roman" w:hAnsi="Times New Roman" w:cs="Times New Roman"/>
          <w:szCs w:val="16"/>
        </w:rPr>
      </w:pPr>
      <w:bookmarkStart w:id="39" w:name="_Toc78632951"/>
      <w:r w:rsidRPr="008C10B7">
        <w:rPr>
          <w:rFonts w:ascii="Times New Roman" w:hAnsi="Times New Roman"/>
          <w:b/>
          <w:bCs/>
          <w:szCs w:val="16"/>
        </w:rPr>
        <w:t>Fig</w:t>
      </w:r>
      <w:r w:rsidR="00C234EB" w:rsidRPr="008C10B7">
        <w:rPr>
          <w:rFonts w:ascii="Times New Roman" w:hAnsi="Times New Roman"/>
          <w:b/>
          <w:bCs/>
          <w:szCs w:val="16"/>
        </w:rPr>
        <w:t>.</w:t>
      </w:r>
      <w:r w:rsidRPr="008C10B7">
        <w:rPr>
          <w:rFonts w:ascii="Times New Roman" w:hAnsi="Times New Roman"/>
          <w:b/>
          <w:bCs/>
          <w:szCs w:val="16"/>
        </w:rPr>
        <w:t xml:space="preserve"> </w:t>
      </w:r>
      <w:r w:rsidRPr="008C10B7">
        <w:rPr>
          <w:rFonts w:ascii="Times New Roman" w:hAnsi="Times New Roman"/>
          <w:b/>
          <w:bCs/>
          <w:szCs w:val="16"/>
        </w:rPr>
        <w:fldChar w:fldCharType="begin"/>
      </w:r>
      <w:r w:rsidRPr="008C10B7">
        <w:rPr>
          <w:rFonts w:ascii="Times New Roman" w:hAnsi="Times New Roman"/>
          <w:b/>
          <w:bCs/>
          <w:szCs w:val="16"/>
        </w:rPr>
        <w:instrText xml:space="preserve"> SEQ Figure \* ARABIC </w:instrText>
      </w:r>
      <w:r w:rsidRPr="008C10B7">
        <w:rPr>
          <w:rFonts w:ascii="Times New Roman" w:hAnsi="Times New Roman"/>
          <w:b/>
          <w:bCs/>
          <w:szCs w:val="16"/>
        </w:rPr>
        <w:fldChar w:fldCharType="separate"/>
      </w:r>
      <w:r w:rsidR="00AE0FBF">
        <w:rPr>
          <w:rFonts w:ascii="Times New Roman" w:hAnsi="Times New Roman"/>
          <w:b/>
          <w:bCs/>
          <w:noProof/>
          <w:szCs w:val="16"/>
        </w:rPr>
        <w:t>5</w:t>
      </w:r>
      <w:r w:rsidRPr="008C10B7">
        <w:rPr>
          <w:rFonts w:ascii="Times New Roman" w:hAnsi="Times New Roman"/>
          <w:b/>
          <w:bCs/>
          <w:szCs w:val="16"/>
        </w:rPr>
        <w:fldChar w:fldCharType="end"/>
      </w:r>
      <w:r w:rsidRPr="008C10B7">
        <w:rPr>
          <w:rFonts w:ascii="Times New Roman" w:hAnsi="Times New Roman"/>
          <w:b/>
          <w:bCs/>
          <w:szCs w:val="16"/>
        </w:rPr>
        <w:t xml:space="preserve">. </w:t>
      </w:r>
      <w:r w:rsidRPr="008C10B7">
        <w:rPr>
          <w:rFonts w:ascii="Times New Roman" w:hAnsi="Times New Roman"/>
          <w:szCs w:val="16"/>
        </w:rPr>
        <w:t>Samples of the results of the image segmentation</w:t>
      </w:r>
      <w:r w:rsidR="00FA0B84" w:rsidRPr="008C10B7">
        <w:rPr>
          <w:rFonts w:ascii="Times New Roman" w:hAnsi="Times New Roman"/>
          <w:szCs w:val="16"/>
        </w:rPr>
        <w:t xml:space="preserve"> obtained</w:t>
      </w:r>
      <w:r w:rsidRPr="008C10B7">
        <w:rPr>
          <w:rFonts w:ascii="Times New Roman" w:hAnsi="Times New Roman"/>
          <w:szCs w:val="16"/>
        </w:rPr>
        <w:t xml:space="preserve"> using FCN-8</w:t>
      </w:r>
      <w:bookmarkEnd w:id="39"/>
    </w:p>
    <w:p w14:paraId="419628C7" w14:textId="77777777" w:rsidR="004D3D6C" w:rsidRPr="008C10B7" w:rsidRDefault="004D3D6C" w:rsidP="00206AA5">
      <w:pPr>
        <w:spacing w:line="480" w:lineRule="auto"/>
        <w:jc w:val="both"/>
        <w:rPr>
          <w:rFonts w:cs="Times New Roman"/>
        </w:rPr>
      </w:pPr>
    </w:p>
    <w:p w14:paraId="73DA34C2" w14:textId="46ACC66C" w:rsidR="004D3D6C" w:rsidRPr="008C10B7" w:rsidRDefault="00FA0B84" w:rsidP="00E7001C">
      <w:pPr>
        <w:spacing w:line="360" w:lineRule="auto"/>
        <w:jc w:val="both"/>
        <w:rPr>
          <w:rFonts w:cs="Times New Roman"/>
          <w:sz w:val="22"/>
          <w:szCs w:val="22"/>
        </w:rPr>
      </w:pPr>
      <w:r w:rsidRPr="008C10B7">
        <w:rPr>
          <w:rFonts w:cs="Times New Roman"/>
          <w:sz w:val="22"/>
          <w:szCs w:val="22"/>
        </w:rPr>
        <w:lastRenderedPageBreak/>
        <w:t xml:space="preserve">Following the </w:t>
      </w:r>
      <w:r w:rsidR="00901BA4" w:rsidRPr="008C10B7">
        <w:rPr>
          <w:rFonts w:cs="Times New Roman"/>
          <w:sz w:val="22"/>
          <w:szCs w:val="22"/>
        </w:rPr>
        <w:t>image segmentation</w:t>
      </w:r>
      <w:r w:rsidR="00CC208E" w:rsidRPr="008C10B7">
        <w:rPr>
          <w:rFonts w:cs="Times New Roman"/>
          <w:sz w:val="22"/>
          <w:szCs w:val="22"/>
        </w:rPr>
        <w:t xml:space="preserve"> </w:t>
      </w:r>
      <w:r w:rsidRPr="008C10B7">
        <w:rPr>
          <w:rFonts w:cs="Times New Roman"/>
          <w:sz w:val="22"/>
          <w:szCs w:val="22"/>
        </w:rPr>
        <w:t>generated by</w:t>
      </w:r>
      <w:r w:rsidR="00901BA4" w:rsidRPr="008C10B7">
        <w:rPr>
          <w:rFonts w:cs="Times New Roman"/>
          <w:sz w:val="22"/>
          <w:szCs w:val="22"/>
        </w:rPr>
        <w:t xml:space="preserve"> the FCN </w:t>
      </w:r>
      <w:r w:rsidRPr="008C10B7">
        <w:rPr>
          <w:rFonts w:cs="Times New Roman"/>
          <w:sz w:val="22"/>
          <w:szCs w:val="22"/>
        </w:rPr>
        <w:t>method</w:t>
      </w:r>
      <w:r w:rsidR="00901BA4" w:rsidRPr="008C10B7">
        <w:rPr>
          <w:rFonts w:cs="Times New Roman"/>
          <w:sz w:val="22"/>
          <w:szCs w:val="22"/>
        </w:rPr>
        <w:t xml:space="preserve">, the proportion of green space (e.g., trees, grass, </w:t>
      </w:r>
      <w:r w:rsidR="00CC208E" w:rsidRPr="008C10B7">
        <w:rPr>
          <w:rFonts w:cs="Times New Roman"/>
          <w:sz w:val="22"/>
          <w:szCs w:val="22"/>
        </w:rPr>
        <w:t xml:space="preserve">and </w:t>
      </w:r>
      <w:r w:rsidR="00901BA4" w:rsidRPr="008C10B7">
        <w:rPr>
          <w:rFonts w:cs="Times New Roman"/>
          <w:sz w:val="22"/>
          <w:szCs w:val="22"/>
        </w:rPr>
        <w:t>shrub</w:t>
      </w:r>
      <w:r w:rsidR="00CC208E" w:rsidRPr="008C10B7">
        <w:rPr>
          <w:rFonts w:cs="Times New Roman"/>
          <w:sz w:val="22"/>
          <w:szCs w:val="22"/>
        </w:rPr>
        <w:t>s</w:t>
      </w:r>
      <w:r w:rsidR="00901BA4" w:rsidRPr="008C10B7">
        <w:rPr>
          <w:rFonts w:cs="Times New Roman"/>
          <w:sz w:val="22"/>
          <w:szCs w:val="22"/>
        </w:rPr>
        <w:t>) was determined.</w:t>
      </w:r>
      <w:r w:rsidR="009505C1" w:rsidRPr="008C10B7">
        <w:rPr>
          <w:rFonts w:cs="Times New Roman"/>
          <w:sz w:val="22"/>
          <w:szCs w:val="22"/>
        </w:rPr>
        <w:t xml:space="preserve"> </w:t>
      </w:r>
      <w:bookmarkStart w:id="40" w:name="_Hlk100676503"/>
      <w:r w:rsidR="00901BA4" w:rsidRPr="008C10B7">
        <w:rPr>
          <w:rFonts w:cs="Times New Roman"/>
          <w:sz w:val="22"/>
          <w:szCs w:val="22"/>
        </w:rPr>
        <w:t xml:space="preserve">The </w:t>
      </w:r>
      <w:r w:rsidRPr="008C10B7">
        <w:rPr>
          <w:rFonts w:cs="Times New Roman"/>
          <w:sz w:val="22"/>
          <w:szCs w:val="22"/>
        </w:rPr>
        <w:t>Green Vegetation Index (</w:t>
      </w:r>
      <w:r w:rsidR="00901BA4" w:rsidRPr="008C10B7">
        <w:rPr>
          <w:rFonts w:cs="Times New Roman"/>
          <w:sz w:val="22"/>
          <w:szCs w:val="22"/>
        </w:rPr>
        <w:t>GVI</w:t>
      </w:r>
      <w:r w:rsidRPr="008C10B7">
        <w:rPr>
          <w:rFonts w:cs="Times New Roman"/>
          <w:sz w:val="22"/>
          <w:szCs w:val="22"/>
        </w:rPr>
        <w:t>)</w:t>
      </w:r>
      <w:r w:rsidR="00901BA4" w:rsidRPr="008C10B7">
        <w:rPr>
          <w:rFonts w:cs="Times New Roman"/>
          <w:sz w:val="22"/>
          <w:szCs w:val="22"/>
        </w:rPr>
        <w:t xml:space="preserve"> for each sample point was calculated from the ratio of green space pixels per image to the total number of pixels per image. Finally, </w:t>
      </w:r>
      <w:r w:rsidR="00696A91" w:rsidRPr="008C10B7">
        <w:rPr>
          <w:rFonts w:cs="Times New Roman"/>
          <w:sz w:val="22"/>
          <w:szCs w:val="22"/>
        </w:rPr>
        <w:t xml:space="preserve">the </w:t>
      </w:r>
      <w:r w:rsidR="00901BA4" w:rsidRPr="008C10B7">
        <w:rPr>
          <w:rFonts w:cs="Times New Roman"/>
          <w:sz w:val="22"/>
          <w:szCs w:val="22"/>
        </w:rPr>
        <w:t xml:space="preserve">average GVI </w:t>
      </w:r>
      <w:r w:rsidRPr="008C10B7">
        <w:rPr>
          <w:rFonts w:cs="Times New Roman"/>
          <w:sz w:val="22"/>
          <w:szCs w:val="22"/>
        </w:rPr>
        <w:t xml:space="preserve">scores </w:t>
      </w:r>
      <w:r w:rsidR="00901BA4" w:rsidRPr="008C10B7">
        <w:rPr>
          <w:rFonts w:cs="Times New Roman"/>
          <w:sz w:val="22"/>
          <w:szCs w:val="22"/>
        </w:rPr>
        <w:t>were computed for each university campus using ArcGIS</w:t>
      </w:r>
      <w:r w:rsidR="00711121" w:rsidRPr="008C10B7">
        <w:rPr>
          <w:rFonts w:cs="Times New Roman"/>
          <w:sz w:val="22"/>
          <w:szCs w:val="22"/>
        </w:rPr>
        <w:t xml:space="preserve"> </w:t>
      </w:r>
      <w:r w:rsidR="00711121" w:rsidRPr="008C10B7">
        <w:rPr>
          <w:rFonts w:cs="Times New Roman"/>
          <w:sz w:val="22"/>
          <w:szCs w:val="22"/>
        </w:rPr>
        <w:fldChar w:fldCharType="begin" w:fldLock="1"/>
      </w:r>
      <w:r w:rsidR="00B74AD7" w:rsidRPr="008C10B7">
        <w:rPr>
          <w:rFonts w:cs="Times New Roman"/>
          <w:sz w:val="22"/>
          <w:szCs w:val="22"/>
        </w:rPr>
        <w:instrText>ADDIN CSL_CITATION {"citationItems":[{"id":"ITEM-1","itemData":{"DOI":"10.3390/ijerph15102186","ISSN":"16604601","PMID":"30301237","abstract":"Public health researchers are increasingly interested in assessing the impact of neighborhood environment on physical activities and chronic health issues among humans. Walkable streets and proximity to green space have long been believed to promote active lifestyles in cities, which contribute to positive health outcomes among residents. Traditionally, urban environmental metrics were calculated at the area level to describe the physical environment of neighborhoods. However, considering the fact that streets are the basic unit for human activities in cities, it is important to understand how the streetscape environment can influence human health conditions. In this study, we investigated the influence of street greenery and walkability on body mass index in Cleveland, Ohio, USA. Different from the area level and overhead view greenery metrics, we used the green view index calculated from the Google Street View to represent the amount of street greenery. The Walk Score was used to indicate the walkability of neighborhoods also at the street level. Statistical analysis results show that the Walk Score has a more significant association with decreased BMI for males than females and the street greenery has a more significant association with decreased BMI for females than males in Cleveland, Ohio. The results of this study would provide a reference for designing gender-specific healthy cities.","author":[{"dropping-particle":"","family":"Li","given":"Xiaojiang","non-dropping-particle":"","parse-names":false,"suffix":""},{"dropping-particle":"","family":"Ghosh","given":"Debarchana","non-dropping-particle":"","parse-names":false,"suffix":""}],"container-title":"International Journal of Environmental Research and Public Health","id":"ITEM-1","issue":"10","issued":{"date-parts":[["2018","10","6"]]},"page":"2186","publisher":"MDPI AG","title":"Associations between body mass index and urban “Green” streetscape in Cleveland, Ohio, USA","type":"article-journal","volume":"15"},"uris":["http://www.mendeley.com/documents/?uuid=feda611c-bbc7-3ecd-ae35-7986dbeb4f2f"]}],"mendeley":{"formattedCitation":"(Li &amp; Ghosh, 2018)","plainTextFormattedCitation":"(Li &amp; Ghosh, 2018)","previouslyFormattedCitation":"(Li &amp; Ghosh, 2018)"},"properties":{"noteIndex":0},"schema":"https://github.com/citation-style-language/schema/raw/master/csl-citation.json"}</w:instrText>
      </w:r>
      <w:r w:rsidR="00711121" w:rsidRPr="008C10B7">
        <w:rPr>
          <w:rFonts w:cs="Times New Roman"/>
          <w:sz w:val="22"/>
          <w:szCs w:val="22"/>
        </w:rPr>
        <w:fldChar w:fldCharType="separate"/>
      </w:r>
      <w:r w:rsidR="008C7EFD" w:rsidRPr="008C10B7">
        <w:rPr>
          <w:rFonts w:cs="Times New Roman"/>
          <w:sz w:val="22"/>
          <w:szCs w:val="22"/>
        </w:rPr>
        <w:t>(Li &amp; Ghosh, 2018)</w:t>
      </w:r>
      <w:r w:rsidR="00711121" w:rsidRPr="008C10B7">
        <w:rPr>
          <w:rFonts w:cs="Times New Roman"/>
          <w:sz w:val="22"/>
          <w:szCs w:val="22"/>
        </w:rPr>
        <w:fldChar w:fldCharType="end"/>
      </w:r>
      <w:r w:rsidR="00711121" w:rsidRPr="008C10B7">
        <w:rPr>
          <w:rFonts w:cs="Times New Roman"/>
          <w:sz w:val="22"/>
          <w:szCs w:val="22"/>
        </w:rPr>
        <w:t xml:space="preserve"> and divided into three </w:t>
      </w:r>
      <w:r w:rsidR="00FB7BC8" w:rsidRPr="008C10B7">
        <w:rPr>
          <w:rFonts w:cs="Times New Roman"/>
          <w:sz w:val="22"/>
          <w:szCs w:val="22"/>
        </w:rPr>
        <w:t xml:space="preserve">classes (low, moderate and high) </w:t>
      </w:r>
      <w:r w:rsidR="00A41A65" w:rsidRPr="008C10B7">
        <w:rPr>
          <w:rFonts w:cs="Times New Roman"/>
          <w:sz w:val="22"/>
          <w:szCs w:val="22"/>
        </w:rPr>
        <w:t>in relation</w:t>
      </w:r>
      <w:r w:rsidR="00531A11" w:rsidRPr="008C10B7">
        <w:rPr>
          <w:rFonts w:cs="Times New Roman"/>
          <w:sz w:val="22"/>
          <w:szCs w:val="22"/>
        </w:rPr>
        <w:t xml:space="preserve"> to 10 university campuses</w:t>
      </w:r>
      <w:r w:rsidR="00FB7BC8" w:rsidRPr="008C10B7">
        <w:rPr>
          <w:rFonts w:cs="Times New Roman"/>
          <w:sz w:val="22"/>
          <w:szCs w:val="22"/>
        </w:rPr>
        <w:t xml:space="preserve"> to </w:t>
      </w:r>
      <w:r w:rsidRPr="008C10B7">
        <w:rPr>
          <w:rFonts w:cs="Times New Roman"/>
          <w:sz w:val="22"/>
          <w:szCs w:val="22"/>
        </w:rPr>
        <w:t xml:space="preserve">enable </w:t>
      </w:r>
      <w:r w:rsidR="00FB7BC8" w:rsidRPr="008C10B7">
        <w:rPr>
          <w:rFonts w:cs="Times New Roman"/>
          <w:sz w:val="22"/>
          <w:szCs w:val="22"/>
        </w:rPr>
        <w:t>each level of street greenery</w:t>
      </w:r>
      <w:r w:rsidRPr="008C10B7">
        <w:rPr>
          <w:rFonts w:cs="Times New Roman"/>
          <w:sz w:val="22"/>
          <w:szCs w:val="22"/>
        </w:rPr>
        <w:t xml:space="preserve"> to be compared</w:t>
      </w:r>
      <w:r w:rsidR="009505C1" w:rsidRPr="008C10B7">
        <w:rPr>
          <w:rFonts w:cs="Times New Roman"/>
          <w:sz w:val="22"/>
          <w:szCs w:val="22"/>
        </w:rPr>
        <w:t>.</w:t>
      </w:r>
      <w:r w:rsidR="00802DC5" w:rsidRPr="008C10B7">
        <w:rPr>
          <w:sz w:val="22"/>
          <w:szCs w:val="22"/>
        </w:rPr>
        <w:t xml:space="preserve"> </w:t>
      </w:r>
      <w:bookmarkEnd w:id="40"/>
      <w:r w:rsidR="00802DC5" w:rsidRPr="008C10B7">
        <w:rPr>
          <w:rFonts w:cs="Times New Roman"/>
          <w:sz w:val="22"/>
          <w:szCs w:val="22"/>
        </w:rPr>
        <w:t xml:space="preserve">Figure 6 illustrates the distribution of GVI </w:t>
      </w:r>
      <w:r w:rsidRPr="008C10B7">
        <w:rPr>
          <w:rFonts w:cs="Times New Roman"/>
          <w:sz w:val="22"/>
          <w:szCs w:val="22"/>
        </w:rPr>
        <w:t xml:space="preserve">values </w:t>
      </w:r>
      <w:r w:rsidR="00802DC5" w:rsidRPr="008C10B7">
        <w:rPr>
          <w:rFonts w:cs="Times New Roman"/>
          <w:sz w:val="22"/>
          <w:szCs w:val="22"/>
        </w:rPr>
        <w:t>at Guangzhou HEMC.</w:t>
      </w:r>
    </w:p>
    <w:p w14:paraId="1526FAE1" w14:textId="1F3B3AE3" w:rsidR="004D3D6C" w:rsidRPr="008C10B7" w:rsidRDefault="00F40BD0" w:rsidP="00206AA5">
      <w:pPr>
        <w:spacing w:line="480" w:lineRule="auto"/>
        <w:jc w:val="center"/>
        <w:rPr>
          <w:rFonts w:cs="Times New Roman"/>
        </w:rPr>
      </w:pPr>
      <w:r w:rsidRPr="008C10B7">
        <w:rPr>
          <w:rFonts w:cs="Times New Roman"/>
          <w:noProof/>
          <w:lang w:val="en-US" w:eastAsia="en-US"/>
        </w:rPr>
        <w:drawing>
          <wp:inline distT="0" distB="0" distL="0" distR="0" wp14:anchorId="1C47C287" wp14:editId="67C8B35A">
            <wp:extent cx="3048000" cy="2037002"/>
            <wp:effectExtent l="0" t="0" r="0" b="0"/>
            <wp:docPr id="21" name="图片 21"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包含 图表&#10;&#10;描述已自动生成"/>
                    <pic:cNvPicPr/>
                  </pic:nvPicPr>
                  <pic:blipFill rotWithShape="1">
                    <a:blip r:embed="rId19">
                      <a:extLst>
                        <a:ext uri="{28A0092B-C50C-407E-A947-70E740481C1C}">
                          <a14:useLocalDpi xmlns:a14="http://schemas.microsoft.com/office/drawing/2010/main" val="0"/>
                        </a:ext>
                      </a:extLst>
                    </a:blip>
                    <a:srcRect l="10488" t="28925" r="4326" b="30797"/>
                    <a:stretch/>
                  </pic:blipFill>
                  <pic:spPr bwMode="auto">
                    <a:xfrm>
                      <a:off x="0" y="0"/>
                      <a:ext cx="3074441" cy="2054673"/>
                    </a:xfrm>
                    <a:prstGeom prst="rect">
                      <a:avLst/>
                    </a:prstGeom>
                    <a:ln>
                      <a:noFill/>
                    </a:ln>
                    <a:extLst>
                      <a:ext uri="{53640926-AAD7-44D8-BBD7-CCE9431645EC}">
                        <a14:shadowObscured xmlns:a14="http://schemas.microsoft.com/office/drawing/2010/main"/>
                      </a:ext>
                    </a:extLst>
                  </pic:spPr>
                </pic:pic>
              </a:graphicData>
            </a:graphic>
          </wp:inline>
        </w:drawing>
      </w:r>
    </w:p>
    <w:p w14:paraId="08979031" w14:textId="61AF23CD" w:rsidR="00F40BD0" w:rsidRPr="008C10B7" w:rsidRDefault="00D9222E" w:rsidP="00206AA5">
      <w:pPr>
        <w:pStyle w:val="Caption"/>
        <w:spacing w:line="480" w:lineRule="auto"/>
        <w:jc w:val="center"/>
        <w:rPr>
          <w:rFonts w:ascii="Times New Roman" w:hAnsi="Times New Roman" w:cs="Times New Roman"/>
        </w:rPr>
      </w:pPr>
      <w:bookmarkStart w:id="41" w:name="_Toc78632952"/>
      <w:r w:rsidRPr="008C10B7">
        <w:rPr>
          <w:rFonts w:ascii="Times New Roman" w:hAnsi="Times New Roman"/>
          <w:b/>
          <w:bCs/>
        </w:rPr>
        <w:t>Fig</w:t>
      </w:r>
      <w:r w:rsidR="00C234EB" w:rsidRPr="008C10B7">
        <w:rPr>
          <w:rFonts w:ascii="Times New Roman" w:hAnsi="Times New Roman"/>
          <w:b/>
          <w:bCs/>
        </w:rPr>
        <w:t>.</w:t>
      </w:r>
      <w:r w:rsidRPr="008C10B7">
        <w:rPr>
          <w:rFonts w:ascii="Times New Roman" w:hAnsi="Times New Roman"/>
          <w:b/>
          <w:bCs/>
        </w:rPr>
        <w:t xml:space="preserve"> </w:t>
      </w:r>
      <w:r w:rsidRPr="008C10B7">
        <w:rPr>
          <w:rFonts w:ascii="Times New Roman" w:hAnsi="Times New Roman"/>
          <w:b/>
          <w:bCs/>
        </w:rPr>
        <w:fldChar w:fldCharType="begin"/>
      </w:r>
      <w:r w:rsidRPr="008C10B7">
        <w:rPr>
          <w:rFonts w:ascii="Times New Roman" w:hAnsi="Times New Roman"/>
          <w:b/>
          <w:bCs/>
        </w:rPr>
        <w:instrText xml:space="preserve"> SEQ Figure \* ARABIC </w:instrText>
      </w:r>
      <w:r w:rsidRPr="008C10B7">
        <w:rPr>
          <w:rFonts w:ascii="Times New Roman" w:hAnsi="Times New Roman"/>
          <w:b/>
          <w:bCs/>
        </w:rPr>
        <w:fldChar w:fldCharType="separate"/>
      </w:r>
      <w:r w:rsidR="00AE0FBF">
        <w:rPr>
          <w:rFonts w:ascii="Times New Roman" w:hAnsi="Times New Roman"/>
          <w:b/>
          <w:bCs/>
          <w:noProof/>
        </w:rPr>
        <w:t>6</w:t>
      </w:r>
      <w:r w:rsidRPr="008C10B7">
        <w:rPr>
          <w:rFonts w:ascii="Times New Roman" w:hAnsi="Times New Roman"/>
          <w:b/>
          <w:bCs/>
        </w:rPr>
        <w:fldChar w:fldCharType="end"/>
      </w:r>
      <w:r w:rsidRPr="008C10B7">
        <w:rPr>
          <w:rFonts w:ascii="Times New Roman" w:hAnsi="Times New Roman"/>
          <w:b/>
          <w:bCs/>
        </w:rPr>
        <w:t>.</w:t>
      </w:r>
      <w:r w:rsidRPr="008C10B7">
        <w:rPr>
          <w:rFonts w:ascii="Times New Roman" w:hAnsi="Times New Roman"/>
        </w:rPr>
        <w:t xml:space="preserve"> The distribution of GVI </w:t>
      </w:r>
      <w:r w:rsidR="00E238ED" w:rsidRPr="008C10B7">
        <w:rPr>
          <w:rFonts w:ascii="Times New Roman" w:hAnsi="Times New Roman"/>
        </w:rPr>
        <w:t xml:space="preserve">values </w:t>
      </w:r>
      <w:r w:rsidRPr="008C10B7">
        <w:rPr>
          <w:rFonts w:ascii="Times New Roman" w:hAnsi="Times New Roman"/>
        </w:rPr>
        <w:t>at Guangzhou HEMC</w:t>
      </w:r>
      <w:bookmarkEnd w:id="41"/>
    </w:p>
    <w:p w14:paraId="5243AA0C" w14:textId="77777777" w:rsidR="004D3D6C" w:rsidRPr="008C10B7" w:rsidRDefault="004D3D6C" w:rsidP="00E7001C">
      <w:pPr>
        <w:spacing w:line="360" w:lineRule="auto"/>
        <w:jc w:val="both"/>
        <w:rPr>
          <w:rFonts w:cs="Times New Roman"/>
          <w:sz w:val="22"/>
          <w:szCs w:val="22"/>
        </w:rPr>
      </w:pPr>
    </w:p>
    <w:p w14:paraId="08DF70F8" w14:textId="46802ED3" w:rsidR="004D3D6C" w:rsidRPr="008C10B7" w:rsidRDefault="00711121" w:rsidP="00E7001C">
      <w:pPr>
        <w:pStyle w:val="Heading2"/>
        <w:keepNext/>
        <w:keepLines/>
        <w:spacing w:before="0" w:beforeAutospacing="0" w:after="0" w:afterAutospacing="0" w:line="360" w:lineRule="auto"/>
        <w:jc w:val="both"/>
        <w:rPr>
          <w:rFonts w:eastAsiaTheme="majorEastAsia" w:cstheme="majorHAnsi"/>
          <w:b w:val="0"/>
          <w:i/>
          <w:iCs/>
          <w:sz w:val="22"/>
          <w:szCs w:val="32"/>
          <w:lang w:val="en-GB" w:eastAsia="en-US"/>
        </w:rPr>
      </w:pPr>
      <w:bookmarkStart w:id="42" w:name="_Toc78625149"/>
      <w:r w:rsidRPr="008C10B7">
        <w:rPr>
          <w:rFonts w:eastAsiaTheme="majorEastAsia" w:cstheme="majorHAnsi"/>
          <w:b w:val="0"/>
          <w:i/>
          <w:iCs/>
          <w:sz w:val="22"/>
          <w:szCs w:val="22"/>
          <w:lang w:val="en-GB" w:eastAsia="en-US"/>
        </w:rPr>
        <w:t>3.</w:t>
      </w:r>
      <w:r w:rsidR="00E90D70" w:rsidRPr="008C10B7">
        <w:rPr>
          <w:rFonts w:eastAsiaTheme="majorEastAsia" w:cstheme="majorHAnsi"/>
          <w:b w:val="0"/>
          <w:i/>
          <w:iCs/>
          <w:sz w:val="22"/>
          <w:szCs w:val="22"/>
          <w:lang w:val="en-GB" w:eastAsia="en-US"/>
        </w:rPr>
        <w:t>3.2</w:t>
      </w:r>
      <w:r w:rsidR="00C234EB" w:rsidRPr="008C10B7">
        <w:rPr>
          <w:rFonts w:eastAsiaTheme="majorEastAsia" w:cstheme="majorHAnsi"/>
          <w:b w:val="0"/>
          <w:i/>
          <w:iCs/>
          <w:sz w:val="22"/>
          <w:szCs w:val="22"/>
          <w:lang w:val="en-GB" w:eastAsia="en-US"/>
        </w:rPr>
        <w:t>.</w:t>
      </w:r>
      <w:r w:rsidR="00262E9E" w:rsidRPr="008C10B7">
        <w:rPr>
          <w:rFonts w:eastAsiaTheme="majorEastAsia" w:cstheme="majorHAnsi"/>
          <w:b w:val="0"/>
          <w:i/>
          <w:iCs/>
          <w:sz w:val="22"/>
          <w:szCs w:val="22"/>
          <w:lang w:val="en-GB" w:eastAsia="en-US"/>
        </w:rPr>
        <w:tab/>
      </w:r>
      <w:r w:rsidRPr="008C10B7">
        <w:rPr>
          <w:rFonts w:eastAsiaTheme="majorEastAsia" w:cstheme="majorHAnsi"/>
          <w:b w:val="0"/>
          <w:i/>
          <w:iCs/>
          <w:sz w:val="22"/>
          <w:szCs w:val="22"/>
          <w:lang w:val="en-GB" w:eastAsia="en-US"/>
        </w:rPr>
        <w:t>Variables</w:t>
      </w:r>
      <w:bookmarkEnd w:id="42"/>
    </w:p>
    <w:p w14:paraId="7EFD8F11" w14:textId="71460CA5" w:rsidR="004D3D6C" w:rsidRPr="008C10B7" w:rsidRDefault="00711121" w:rsidP="00E7001C">
      <w:pPr>
        <w:spacing w:line="360" w:lineRule="auto"/>
        <w:jc w:val="both"/>
        <w:rPr>
          <w:rFonts w:eastAsiaTheme="minorHAnsi" w:cs="Times New Roman"/>
          <w:sz w:val="22"/>
          <w:szCs w:val="22"/>
        </w:rPr>
      </w:pPr>
      <w:r w:rsidRPr="008C10B7">
        <w:rPr>
          <w:rFonts w:eastAsiaTheme="minorHAnsi" w:cs="Times New Roman"/>
          <w:sz w:val="22"/>
          <w:szCs w:val="22"/>
        </w:rPr>
        <w:t xml:space="preserve">Following previous studies </w:t>
      </w:r>
      <w:r w:rsidRPr="008C10B7">
        <w:rPr>
          <w:rFonts w:eastAsiaTheme="minorHAnsi" w:cs="Times New Roman"/>
          <w:sz w:val="22"/>
          <w:szCs w:val="22"/>
        </w:rPr>
        <w:fldChar w:fldCharType="begin" w:fldLock="1"/>
      </w:r>
      <w:r w:rsidR="00B74AD7" w:rsidRPr="008C10B7">
        <w:rPr>
          <w:rFonts w:eastAsiaTheme="minorHAnsi" w:cs="Times New Roman"/>
          <w:sz w:val="22"/>
          <w:szCs w:val="22"/>
        </w:rPr>
        <w:instrText>ADDIN CSL_CITATION {"citationItems":[{"id":"ITEM-1","itemData":{"DOI":"10.1016/j.amepre.2010.07.005","ISSN":"07493797","PMID":"20965383","abstract":"Background With increased research on the influence of the built environment on physical activity, methods of assessing environmental attributes have to be developed according to different research requirements. Purpose The purpose of this paper is to describe the approach to develop and test a simple and efficient audit tool to get a quick overview of environmental characteristics along a route or in a neighborhood. Methods Based on a selection of existing audit instruments, the Bikeability and Walkability Evaluation Table (BiWET) was developed in 2007 at the University of Graz, Austria. The BiWET is designed for fast assessment of 15 predetermined characteristics of 10-m street segments. Inter-rater and Intra-rater reliability was calculated in 2008 based on the auditing data of 152 km of commuting routes of city dwellers in 2007. Observer agreement was used as statistical parameter for reliability. Results The mean auditing pace was 16.4 minutes/km. The mean testretest accordance was 95%, and the inter-rater agreement was 89%. Conclusions The BiWET is a reliable and time-efficient audit instrument to determine accurately and relatively quickly the physical characteristics of an area or route, which is potentially useful for the study of the relationship between the built environment and physical activity behavior. © 2010 American Journal of Preventive Medicine.","author":[{"dropping-particle":"","family":"Hoedl","given":"Simon","non-dropping-particle":"","parse-names":false,"suffix":""},{"dropping-particle":"","family":"Titze","given":"Sylvia","non-dropping-particle":"","parse-names":false,"suffix":""},{"dropping-particle":"","family":"Oja","given":"Pekka","non-dropping-particle":"","parse-names":false,"suffix":""}],"container-title":"American Journal of Preventive Medicine","id":"ITEM-1","issue":"5","issued":{"date-parts":[["2010","11","1"]]},"page":"457-459","publisher":"Elsevier","title":"The Bikeability and Walkability evaluation table: Reliability and application","type":"article-journal","volume":"39"},"uris":["http://www.mendeley.com/documents/?uuid=8c3fc022-bd42-34ce-9c99-5d845f6b1b54"]},{"id":"ITEM-2","itemData":{"DOI":"10.1016/j.cities.2019.01.003","ISSN":"02642751","abstract":"Cycling is one type of physical activities with documented health and environmental benefits. Little consensus has been reached about the impacts of urban greenness on cycling behavior because of the widely varying estimation techniques, especially at street scale. We objectively measured the urban greenness in two ways: overhead-view greenness by Normalized Difference Vegetation Index (NDVI) and eye-level street greenness by Google Street View (GSV) images. Multilevel logistic regression models were used to examine the association between urban greenness and the odds of cycling (versus not cycling) for 5701 Hong Kong participants after controlling activity-influencing built environment and individual-level covariates. We found the odds of cycling were positively associated with eye-level street greenness but not with overhead-view greenness across three buffer zones: 400 m, 800 m and 1600 m. In addition, the odds of cycling were negatively associated with population density, number of bus stops, and terrain slope, while positively associated with bike lane density. To build a cycling-friendly city, planners and designers might need to pay more attention to improve citizens’ daily exposure to urban greenness, instead of traditional greenspace indices such as greenspace area or number of parks. The GSV technique is a novel and reliable method for measuring eye-level urban greenness with potential usage in further healthy city studies.","author":[{"dropping-particle":"","family":"Lu","given":"Yi","non-dropping-particle":"","parse-names":false,"suffix":""},{"dropping-particle":"","family":"Yang","given":"Yiyang","non-dropping-particle":"","parse-names":false,"suffix":""},{"dropping-particle":"","family":"Sun","given":"Guibo","non-dropping-particle":"","parse-names":false,"suffix":""},{"dropping-particle":"","family":"Gou","given":"Zhonghua","non-dropping-particle":"","parse-names":false,"suffix":""}],"container-title":"Cities","id":"ITEM-2","issued":{"date-parts":[["2019","5","1"]]},"page":"10-18","publisher":"Elsevier Ltd","title":"Associations between overhead-view and eye-level urban greenness and cycling behaviors","type":"article-journal","volume":"88"},"uris":["http://www.mendeley.com/documents/?uuid=cc7f8048-112d-3a41-8013-69e57e493902"]}],"mendeley":{"formattedCitation":"(Hoedl et al., 2010; Lu et al., 2019)","plainTextFormattedCitation":"(Hoedl et al., 2010; Lu et al., 2019)","previouslyFormattedCitation":"(Hoedl et al., 2010; Lu et al., 2019)"},"properties":{"noteIndex":0},"schema":"https://github.com/citation-style-language/schema/raw/master/csl-citation.json"}</w:instrText>
      </w:r>
      <w:r w:rsidRPr="008C10B7">
        <w:rPr>
          <w:rFonts w:eastAsiaTheme="minorHAnsi" w:cs="Times New Roman"/>
          <w:sz w:val="22"/>
          <w:szCs w:val="22"/>
        </w:rPr>
        <w:fldChar w:fldCharType="separate"/>
      </w:r>
      <w:r w:rsidR="008C7EFD" w:rsidRPr="008C10B7">
        <w:rPr>
          <w:rFonts w:eastAsiaTheme="minorHAnsi" w:cs="Times New Roman"/>
          <w:sz w:val="22"/>
          <w:szCs w:val="22"/>
        </w:rPr>
        <w:t>(Hoedl et al., 2010; Lu et al., 2019</w:t>
      </w:r>
      <w:r w:rsidR="008D0E59" w:rsidRPr="008C10B7">
        <w:rPr>
          <w:rFonts w:eastAsiaTheme="minorHAnsi" w:cs="Times New Roman"/>
          <w:sz w:val="22"/>
          <w:szCs w:val="22"/>
        </w:rPr>
        <w:t>b</w:t>
      </w:r>
      <w:r w:rsidR="008C7EFD" w:rsidRPr="008C10B7">
        <w:rPr>
          <w:rFonts w:eastAsiaTheme="minorHAnsi" w:cs="Times New Roman"/>
          <w:sz w:val="22"/>
          <w:szCs w:val="22"/>
        </w:rPr>
        <w:t>)</w:t>
      </w:r>
      <w:r w:rsidRPr="008C10B7">
        <w:rPr>
          <w:rFonts w:eastAsiaTheme="minorHAnsi" w:cs="Times New Roman"/>
          <w:sz w:val="22"/>
          <w:szCs w:val="22"/>
        </w:rPr>
        <w:fldChar w:fldCharType="end"/>
      </w:r>
      <w:r w:rsidRPr="008C10B7">
        <w:rPr>
          <w:rFonts w:eastAsiaTheme="minorHAnsi" w:cs="Times New Roman"/>
          <w:sz w:val="22"/>
          <w:szCs w:val="22"/>
        </w:rPr>
        <w:t xml:space="preserve">, </w:t>
      </w:r>
      <w:r w:rsidR="00E238ED" w:rsidRPr="008C10B7">
        <w:rPr>
          <w:rFonts w:eastAsiaTheme="minorHAnsi" w:cs="Times New Roman"/>
          <w:sz w:val="22"/>
          <w:szCs w:val="22"/>
        </w:rPr>
        <w:t xml:space="preserve">the tendency to use </w:t>
      </w:r>
      <w:r w:rsidR="0030654E" w:rsidRPr="008C10B7">
        <w:rPr>
          <w:rFonts w:eastAsiaTheme="minorHAnsi" w:cs="Times New Roman"/>
          <w:sz w:val="22"/>
          <w:szCs w:val="22"/>
        </w:rPr>
        <w:t>AT</w:t>
      </w:r>
      <w:r w:rsidRPr="008C10B7">
        <w:rPr>
          <w:rFonts w:eastAsiaTheme="minorHAnsi" w:cs="Times New Roman"/>
          <w:sz w:val="22"/>
          <w:szCs w:val="22"/>
        </w:rPr>
        <w:t xml:space="preserve"> </w:t>
      </w:r>
      <w:r w:rsidR="00E238ED" w:rsidRPr="008C10B7">
        <w:rPr>
          <w:rFonts w:eastAsiaTheme="minorHAnsi" w:cs="Times New Roman"/>
          <w:sz w:val="22"/>
          <w:szCs w:val="22"/>
        </w:rPr>
        <w:t xml:space="preserve">(AT </w:t>
      </w:r>
      <w:r w:rsidRPr="008C10B7">
        <w:rPr>
          <w:rFonts w:eastAsiaTheme="minorHAnsi" w:cs="Times New Roman"/>
          <w:sz w:val="22"/>
          <w:szCs w:val="22"/>
        </w:rPr>
        <w:t>mode tendency</w:t>
      </w:r>
      <w:r w:rsidR="00E238ED" w:rsidRPr="008C10B7">
        <w:rPr>
          <w:rFonts w:eastAsiaTheme="minorHAnsi" w:cs="Times New Roman"/>
          <w:sz w:val="22"/>
          <w:szCs w:val="22"/>
        </w:rPr>
        <w:t>)</w:t>
      </w:r>
      <w:r w:rsidRPr="008C10B7">
        <w:rPr>
          <w:rFonts w:eastAsiaTheme="minorHAnsi" w:cs="Times New Roman"/>
          <w:sz w:val="22"/>
          <w:szCs w:val="22"/>
        </w:rPr>
        <w:t xml:space="preserve"> </w:t>
      </w:r>
      <w:r w:rsidR="006846F7" w:rsidRPr="008C10B7">
        <w:rPr>
          <w:rFonts w:eastAsiaTheme="minorHAnsi" w:cs="Times New Roman"/>
          <w:sz w:val="22"/>
          <w:szCs w:val="22"/>
        </w:rPr>
        <w:t>was chosen</w:t>
      </w:r>
      <w:r w:rsidRPr="008C10B7">
        <w:rPr>
          <w:rFonts w:eastAsiaTheme="minorHAnsi" w:cs="Times New Roman"/>
          <w:sz w:val="22"/>
          <w:szCs w:val="22"/>
        </w:rPr>
        <w:t xml:space="preserve"> as a dependent variable in this study. </w:t>
      </w:r>
      <w:r w:rsidR="002433F2" w:rsidRPr="008C10B7">
        <w:rPr>
          <w:rFonts w:eastAsiaTheme="minorHAnsi" w:cs="Times New Roman"/>
          <w:sz w:val="22"/>
          <w:szCs w:val="22"/>
        </w:rPr>
        <w:t>As part of the questionnaire, the respondents were asked to answer the question</w:t>
      </w:r>
      <w:r w:rsidR="001209B8" w:rsidRPr="008C10B7">
        <w:rPr>
          <w:rFonts w:eastAsiaTheme="minorHAnsi" w:cs="Times New Roman"/>
          <w:sz w:val="22"/>
          <w:szCs w:val="22"/>
        </w:rPr>
        <w:t>:</w:t>
      </w:r>
      <w:r w:rsidR="002433F2" w:rsidRPr="008C10B7">
        <w:rPr>
          <w:rFonts w:eastAsiaTheme="minorHAnsi" w:cs="Times New Roman"/>
          <w:sz w:val="22"/>
          <w:szCs w:val="22"/>
        </w:rPr>
        <w:t xml:space="preserve"> ‘Do you prefer to carry out active travel (walking or cycling) daily?’</w:t>
      </w:r>
      <w:r w:rsidRPr="008C10B7">
        <w:rPr>
          <w:rFonts w:eastAsiaTheme="minorHAnsi" w:cs="Times New Roman"/>
          <w:sz w:val="22"/>
          <w:szCs w:val="22"/>
        </w:rPr>
        <w:t xml:space="preserve"> To</w:t>
      </w:r>
      <w:r w:rsidRPr="008C10B7">
        <w:rPr>
          <w:rFonts w:cs="Times New Roman"/>
          <w:sz w:val="22"/>
          <w:szCs w:val="22"/>
        </w:rPr>
        <w:t xml:space="preserve"> </w:t>
      </w:r>
      <w:r w:rsidRPr="008C10B7">
        <w:rPr>
          <w:rFonts w:eastAsiaTheme="minorHAnsi" w:cs="Times New Roman"/>
          <w:sz w:val="22"/>
          <w:szCs w:val="22"/>
        </w:rPr>
        <w:t xml:space="preserve">avoid </w:t>
      </w:r>
      <w:r w:rsidR="008C3F66" w:rsidRPr="008C10B7">
        <w:rPr>
          <w:rFonts w:eastAsiaTheme="minorHAnsi" w:cs="Times New Roman"/>
          <w:sz w:val="22"/>
          <w:szCs w:val="22"/>
        </w:rPr>
        <w:t xml:space="preserve">sparse </w:t>
      </w:r>
      <w:r w:rsidRPr="008C10B7">
        <w:rPr>
          <w:rFonts w:eastAsiaTheme="minorHAnsi" w:cs="Times New Roman"/>
          <w:sz w:val="22"/>
          <w:szCs w:val="22"/>
        </w:rPr>
        <w:t xml:space="preserve">data bias </w:t>
      </w:r>
      <w:r w:rsidRPr="008C10B7">
        <w:rPr>
          <w:rFonts w:eastAsiaTheme="minorHAnsi" w:cs="Times New Roman"/>
          <w:sz w:val="22"/>
          <w:szCs w:val="22"/>
        </w:rPr>
        <w:fldChar w:fldCharType="begin" w:fldLock="1"/>
      </w:r>
      <w:r w:rsidR="00B74AD7" w:rsidRPr="008C10B7">
        <w:rPr>
          <w:rFonts w:eastAsiaTheme="minorHAnsi" w:cs="Times New Roman"/>
          <w:sz w:val="22"/>
          <w:szCs w:val="22"/>
        </w:rPr>
        <w:instrText>ADDIN CSL_CITATION {"citationItems":[{"id":"ITEM-1","itemData":{"DOI":"10.1136/bmj.i1981","ISSN":"17561833","PMID":"27121591","abstract":"Effects of treatment or other exposure on outcome events are commonly measured by ratios of risks, rates, or odds. Adjusted versions of these measures are usually estimated by maximum likelihood regression (eg, logistic, Poisson, or Cox modelling). But resulting estimates of effect measures can have serious bias when the data lack adequate case numbers for some combination of exposure and outcome levels. This bias can occur even in quite large datasets and is hence often termed sparse data bias. The bias can arise or be worsened by regression adjustment for potentially confounding variables; in the extreme, the resulting estimates could be impossibly huge or even infinite values that are meaningless artefacts of data sparsity. Such estimate inflation might be obvious in light of background information, but is rarely noted let alone accounted for in research reports. We outline simple methods for detecting and dealing with the problem focusing especially on penalised estimation, which can be easily performed with common software packages. Ratio measures such as odds ratios, rate ratios, and risk ratios are commonly used to quantify the effect of a treatment or other factor on an event outcome. Adjusted versions of these measures are usually estimated by maximum likelihood regression (eg, logistic regression for odds ratios, Poisson regression, or Cox regression for rate ratios). These methods assume that the number of events observed is sufficient at all treatment levels to result in well behaved adjusted estimates. Unfortunately , when the data lack adequate case numbers for some combination of risk factor and outcome levels, the resulting estimates of the regression coefficients can have bias away from the null (downward when the estimate is below 1, upward when it is above 1). This bias is sometimes called a \"small sample bias\" but in fact can occur in quite large datasets and thus is better termed sparse data bias. 1 The problem is worsened by the fact that estimated ratios are found by taking the antilogs (exponentiation) of the coefficients, which adds a further upward bias. The consequences can be quite serious when one is trying gauge the size of the effects under study after regression adjustment for potentially confounding variables, and could be worse than the bias removed by the adjustment. In the extreme, the resulting ratio estimates could be impossibly huge or even take on infinite values that are meaningless artefacts of failure of the pr…","author":[{"dropping-particle":"","family":"Greenland","given":"Sander","non-dropping-particle":"","parse-names":false,"suffix":""},{"dropping-particle":"","family":"Mansournia","given":"Mohammad Ali","non-dropping-particle":"","parse-names":false,"suffix":""},{"dropping-particle":"","family":"Altman","given":"Douglas G.","non-dropping-particle":"","parse-names":false,"suffix":""}],"container-title":"BMJ (Online)","id":"ITEM-1","issued":{"date-parts":[["2016","4","27"]]},"publisher":"BMJ Publishing Group","title":"Sparse data bias: A problem hiding in plain sight","type":"article-journal","volume":"353"},"uris":["http://www.mendeley.com/documents/?uuid=058ac676-731d-36fd-8c98-9bbd56c06fa8"]}],"mendeley":{"formattedCitation":"(Greenland et al., 2016)","plainTextFormattedCitation":"(Greenland et al., 2016)","previouslyFormattedCitation":"(Greenland et al., 2016)"},"properties":{"noteIndex":0},"schema":"https://github.com/citation-style-language/schema/raw/master/csl-citation.json"}</w:instrText>
      </w:r>
      <w:r w:rsidRPr="008C10B7">
        <w:rPr>
          <w:rFonts w:eastAsiaTheme="minorHAnsi" w:cs="Times New Roman"/>
          <w:sz w:val="22"/>
          <w:szCs w:val="22"/>
        </w:rPr>
        <w:fldChar w:fldCharType="separate"/>
      </w:r>
      <w:r w:rsidR="008C7EFD" w:rsidRPr="008C10B7">
        <w:rPr>
          <w:rFonts w:eastAsiaTheme="minorHAnsi" w:cs="Times New Roman"/>
          <w:sz w:val="22"/>
          <w:szCs w:val="22"/>
        </w:rPr>
        <w:t>(Greenland et al., 2016)</w:t>
      </w:r>
      <w:r w:rsidRPr="008C10B7">
        <w:rPr>
          <w:rFonts w:eastAsiaTheme="minorHAnsi" w:cs="Times New Roman"/>
          <w:sz w:val="22"/>
          <w:szCs w:val="22"/>
        </w:rPr>
        <w:fldChar w:fldCharType="end"/>
      </w:r>
      <w:r w:rsidRPr="008C10B7">
        <w:rPr>
          <w:rFonts w:eastAsiaTheme="minorHAnsi" w:cs="Times New Roman"/>
          <w:sz w:val="22"/>
          <w:szCs w:val="22"/>
        </w:rPr>
        <w:t>, we record</w:t>
      </w:r>
      <w:r w:rsidR="006846F7" w:rsidRPr="008C10B7">
        <w:rPr>
          <w:rFonts w:eastAsiaTheme="minorHAnsi" w:cs="Times New Roman"/>
          <w:sz w:val="22"/>
          <w:szCs w:val="22"/>
        </w:rPr>
        <w:t>ed</w:t>
      </w:r>
      <w:r w:rsidRPr="008C10B7">
        <w:rPr>
          <w:rFonts w:eastAsiaTheme="minorHAnsi" w:cs="Times New Roman"/>
          <w:sz w:val="22"/>
          <w:szCs w:val="22"/>
        </w:rPr>
        <w:t xml:space="preserve"> this variable as a binary variable rather than a scale variable, </w:t>
      </w:r>
      <w:r w:rsidR="00E238ED" w:rsidRPr="008C10B7">
        <w:rPr>
          <w:rFonts w:eastAsiaTheme="minorHAnsi" w:cs="Times New Roman"/>
          <w:sz w:val="22"/>
          <w:szCs w:val="22"/>
        </w:rPr>
        <w:t>for</w:t>
      </w:r>
      <w:r w:rsidRPr="008C10B7">
        <w:rPr>
          <w:rFonts w:eastAsiaTheme="minorHAnsi" w:cs="Times New Roman"/>
          <w:sz w:val="22"/>
          <w:szCs w:val="22"/>
        </w:rPr>
        <w:t xml:space="preserve"> which</w:t>
      </w:r>
      <w:r w:rsidR="00E238ED" w:rsidRPr="008C10B7">
        <w:rPr>
          <w:rFonts w:eastAsiaTheme="minorHAnsi" w:cs="Times New Roman"/>
          <w:sz w:val="22"/>
          <w:szCs w:val="22"/>
        </w:rPr>
        <w:t xml:space="preserve"> a response of</w:t>
      </w:r>
      <w:r w:rsidRPr="008C10B7">
        <w:rPr>
          <w:rFonts w:eastAsiaTheme="minorHAnsi" w:cs="Times New Roman"/>
          <w:sz w:val="22"/>
          <w:szCs w:val="22"/>
        </w:rPr>
        <w:t xml:space="preserve"> </w:t>
      </w:r>
      <w:r w:rsidR="006846F7" w:rsidRPr="008C10B7">
        <w:rPr>
          <w:rFonts w:eastAsiaTheme="minorHAnsi" w:cs="Times New Roman"/>
          <w:sz w:val="22"/>
          <w:szCs w:val="22"/>
        </w:rPr>
        <w:t>‘</w:t>
      </w:r>
      <w:r w:rsidR="00C90053" w:rsidRPr="008C10B7">
        <w:rPr>
          <w:rFonts w:eastAsiaTheme="minorHAnsi" w:cs="Times New Roman"/>
          <w:sz w:val="22"/>
          <w:szCs w:val="22"/>
        </w:rPr>
        <w:t>Yes</w:t>
      </w:r>
      <w:r w:rsidR="006846F7" w:rsidRPr="008C10B7">
        <w:rPr>
          <w:rFonts w:eastAsiaTheme="minorHAnsi" w:cs="Times New Roman"/>
          <w:sz w:val="22"/>
          <w:szCs w:val="22"/>
        </w:rPr>
        <w:t>’</w:t>
      </w:r>
      <w:r w:rsidRPr="008C10B7">
        <w:rPr>
          <w:rFonts w:eastAsiaTheme="minorHAnsi" w:cs="Times New Roman"/>
          <w:sz w:val="22"/>
          <w:szCs w:val="22"/>
        </w:rPr>
        <w:t xml:space="preserve"> was recorded as 1 and </w:t>
      </w:r>
      <w:r w:rsidR="006846F7" w:rsidRPr="008C10B7">
        <w:rPr>
          <w:rFonts w:eastAsiaTheme="minorHAnsi" w:cs="Times New Roman"/>
          <w:sz w:val="22"/>
          <w:szCs w:val="22"/>
        </w:rPr>
        <w:t>‘</w:t>
      </w:r>
      <w:r w:rsidR="00C90053" w:rsidRPr="008C10B7">
        <w:rPr>
          <w:rFonts w:eastAsiaTheme="minorHAnsi" w:cs="Times New Roman"/>
          <w:sz w:val="22"/>
          <w:szCs w:val="22"/>
        </w:rPr>
        <w:t>No</w:t>
      </w:r>
      <w:r w:rsidR="006846F7" w:rsidRPr="008C10B7">
        <w:rPr>
          <w:rFonts w:eastAsiaTheme="minorHAnsi" w:cs="Times New Roman"/>
          <w:sz w:val="22"/>
          <w:szCs w:val="22"/>
        </w:rPr>
        <w:t>’</w:t>
      </w:r>
      <w:r w:rsidRPr="008C10B7">
        <w:rPr>
          <w:rFonts w:eastAsiaTheme="minorHAnsi" w:cs="Times New Roman"/>
          <w:sz w:val="22"/>
          <w:szCs w:val="22"/>
        </w:rPr>
        <w:t xml:space="preserve"> was recorded as 0.</w:t>
      </w:r>
    </w:p>
    <w:p w14:paraId="333753E2" w14:textId="22603280" w:rsidR="00E90D70" w:rsidRPr="008C10B7" w:rsidRDefault="00711121" w:rsidP="00E7001C">
      <w:pPr>
        <w:spacing w:line="360" w:lineRule="auto"/>
        <w:ind w:firstLine="420"/>
        <w:jc w:val="both"/>
        <w:rPr>
          <w:rFonts w:eastAsiaTheme="minorHAnsi" w:cs="Times New Roman"/>
          <w:sz w:val="22"/>
          <w:szCs w:val="22"/>
        </w:rPr>
      </w:pPr>
      <w:r w:rsidRPr="008C10B7">
        <w:rPr>
          <w:rFonts w:eastAsiaTheme="minorHAnsi" w:cs="Times New Roman"/>
          <w:sz w:val="22"/>
          <w:szCs w:val="22"/>
        </w:rPr>
        <w:t xml:space="preserve">All </w:t>
      </w:r>
      <w:r w:rsidR="006846F7" w:rsidRPr="008C10B7">
        <w:rPr>
          <w:rFonts w:eastAsiaTheme="minorHAnsi" w:cs="Times New Roman"/>
          <w:sz w:val="22"/>
          <w:szCs w:val="22"/>
        </w:rPr>
        <w:t xml:space="preserve">the </w:t>
      </w:r>
      <w:r w:rsidRPr="008C10B7">
        <w:rPr>
          <w:rFonts w:eastAsiaTheme="minorHAnsi" w:cs="Times New Roman"/>
          <w:sz w:val="22"/>
          <w:szCs w:val="22"/>
        </w:rPr>
        <w:t xml:space="preserve">descriptive analyses and definitions of </w:t>
      </w:r>
      <w:r w:rsidR="006846F7" w:rsidRPr="008C10B7">
        <w:rPr>
          <w:rFonts w:eastAsiaTheme="minorHAnsi" w:cs="Times New Roman"/>
          <w:sz w:val="22"/>
          <w:szCs w:val="22"/>
        </w:rPr>
        <w:t xml:space="preserve">the </w:t>
      </w:r>
      <w:r w:rsidRPr="008C10B7">
        <w:rPr>
          <w:rFonts w:eastAsiaTheme="minorHAnsi" w:cs="Times New Roman"/>
          <w:sz w:val="22"/>
          <w:szCs w:val="22"/>
        </w:rPr>
        <w:t xml:space="preserve">variables </w:t>
      </w:r>
      <w:r w:rsidR="006846F7" w:rsidRPr="008C10B7">
        <w:rPr>
          <w:rFonts w:eastAsiaTheme="minorHAnsi" w:cs="Times New Roman"/>
          <w:sz w:val="22"/>
          <w:szCs w:val="22"/>
        </w:rPr>
        <w:t xml:space="preserve">are illustrated </w:t>
      </w:r>
      <w:r w:rsidRPr="008C10B7">
        <w:rPr>
          <w:rFonts w:eastAsiaTheme="minorHAnsi" w:cs="Times New Roman"/>
          <w:sz w:val="22"/>
          <w:szCs w:val="22"/>
        </w:rPr>
        <w:t>in Table 1. We followed previous studies and controlled for some demographic variables, such as gender, age, educational attainment, income, travel tools ownership, and hukou status</w:t>
      </w:r>
      <w:r w:rsidR="00802DC5" w:rsidRPr="008C10B7">
        <w:rPr>
          <w:rFonts w:eastAsiaTheme="minorHAnsi" w:cs="Times New Roman"/>
          <w:sz w:val="22"/>
          <w:szCs w:val="22"/>
        </w:rPr>
        <w:t xml:space="preserve"> (a system of household registration used in China)</w:t>
      </w:r>
      <w:r w:rsidRPr="008C10B7">
        <w:rPr>
          <w:rFonts w:eastAsiaTheme="minorHAnsi" w:cs="Times New Roman"/>
          <w:sz w:val="22"/>
          <w:szCs w:val="22"/>
        </w:rPr>
        <w:t xml:space="preserve"> </w:t>
      </w:r>
      <w:r w:rsidRPr="008C10B7">
        <w:rPr>
          <w:rFonts w:eastAsiaTheme="minorHAnsi" w:cs="Times New Roman"/>
          <w:sz w:val="22"/>
          <w:szCs w:val="22"/>
        </w:rPr>
        <w:fldChar w:fldCharType="begin" w:fldLock="1"/>
      </w:r>
      <w:r w:rsidR="00B74AD7" w:rsidRPr="008C10B7">
        <w:rPr>
          <w:rFonts w:eastAsiaTheme="minorHAnsi" w:cs="Times New Roman"/>
          <w:sz w:val="22"/>
          <w:szCs w:val="22"/>
        </w:rPr>
        <w:instrText>ADDIN CSL_CITATION {"citationItems":[{"id":"ITEM-1","itemData":{"DOI":"10.1016/j.ufug.2019.126576","ISSN":"16108167","abstract":"Although a growing body of research has explored the relationship between neighbourhood natural outdoor environments and mental health, most studies have measured neighbourhood natural outdoor environments from a bird's-eye perspective, rather than measuring the visual experience of green and blue space that individuals have at the ground level. In addition, few studies have investigated how different dimensions of neighbourhood social cohesion mediates the relationship between the natural outdoor environment and mental health. To bridge these gaps, we examined the relationship between neighbourhood natural outdoor environments and individuals’ mental health in Guangzhou, China, using a combination of questionnaire survey data, streetscape and remote-sensing metrics, and multilevel structural equation modelling. More particularly, this study explored the mediating effects of three dimensions of neighbourhood social cohesion (i.e. neighbourhood attachment, neighbourly interaction, and community participation). The results indicate that neighbourhood green space and blue space are both positively associated with individuals’ mental health. Neighbourhood street greenery exerts beneficial effects on mental health, directly by its visual effect, and indirectly by improving neighbourhood attachment and community participation. Neighbourhood street-view blue space and surrounding green (blue) space also has a positive influence on mental health, but it does so in a direct manner only. This study contributes to our knowledge by estimating the mediating impacts of three dimensions of neighbourhood social cohesion and applying both streetscape and remote-sensing metrics of visible green space and blue space within neighbourhoods.","author":[{"dropping-particle":"","family":"Liu","given":"Yuqi","non-dropping-particle":"","parse-names":false,"suffix":""},{"dropping-particle":"","family":"Wang","given":"Ruoyu","non-dropping-particle":"","parse-names":false,"suffix":""},{"dropping-particle":"","family":"Lu","given":"Yi","non-dropping-particle":"","parse-names":false,"suffix":""},{"dropping-particle":"","family":"Li","given":"Zhigang","non-dropping-particle":"","parse-names":false,"suffix":""},{"dropping-particle":"","family":"Chen","given":"Hongsheng","non-dropping-particle":"","parse-names":false,"suffix":""},{"dropping-particle":"","family":"Cao","given":"Mengqiu","non-dropping-particle":"","parse-names":false,"suffix":""},{"dropping-particle":"","family":"Zhang","given":"Yuerong","non-dropping-particle":"","parse-names":false,"suffix":""},{"dropping-particle":"","family":"Song","given":"Yimeng","non-dropping-particle":"","parse-names":false,"suffix":""}],"container-title":"Urban Forestry and Urban Greening","id":"ITEM-1","issued":{"date-parts":[["2020","2","1"]]},"page":"126576","publisher":"Elsevier GmbH","title":"Natural outdoor environment, neighbourhood social cohesion and mental health: Using multilevel structural equation modelling, streetscape and remote-sensing metrics","type":"article-journal","volume":"48"},"uris":["http://www.mendeley.com/documents/?uuid=01283266-6284-3312-b6ce-66bf99b60ad3"]},{"id":"ITEM-2","itemData":{"DOI":"10.1016/j.ufug.2015.06.006","ISSN":"16108167","abstract":"We explored Google Street View (GSV) as a street-level, urban greenery assessment tool. Street-level greenery has long played a critical role in the visual quality of urban landscapes. This living landscape element can and should be assessed for the quality of visual impact with the GSV information, and the assessed street-level greenery information could be incorporated into urban landscape planning and management. Information on street-level views of urban greenery assessment, however, is rare or nonexistent. Planners and managers' ability to plan and manage urban landscapes effectively and efficiently is, therefore, limited. GSV is one tool that might provide street-level, profile views of urban landscape and greenery, yet no research on GSV for urban planning seems available in literature. We modified an existing Green View Index (GVI) formula and conducted a case study assessment of street greenery using GSV images in the area of East Village, Manhattan District, New York City. We found that GSV to be well suited for assessing street-level greenery. We suggest further that the modified GVI may be a relatively objective measurement of street-level greenery, and that GSV in combination with GVI may be well suited in guiding urban landscape planning and management.","author":[{"dropping-particle":"","family":"Li","given":"Xiaojiang","non-dropping-particle":"","parse-names":false,"suffix":""},{"dropping-particle":"","family":"Zhang","given":"Chuanrong","non-dropping-particle":"","parse-names":false,"suffix":""},{"dropping-particle":"","family":"Li","given":"Weidong","non-dropping-particle":"","parse-names":false,"suffix":""},{"dropping-particle":"","family":"Ricard","given":"Robert","non-dropping-particle":"","parse-names":false,"suffix":""},{"dropping-particle":"","family":"Meng","given":"Qingyan","non-dropping-particle":"","parse-names":false,"suffix":""},{"dropping-particle":"","family":"Zhang","given":"Weixing","non-dropping-particle":"","parse-names":false,"suffix":""}],"container-title":"Urban Forestry and Urban Greening","id":"ITEM-2","issue":"3","issued":{"date-parts":[["2015","1","1"]]},"page":"675-685","publisher":"Elsevier GmbH","title":"Assessing street-level urban greenery using Google Street View and a modified green view index","type":"article-journal","volume":"14"},"uris":["http://www.mendeley.com/documents/?uuid=e0991eed-fc7a-3946-ada1-0eeac6e42bdd"]},{"id":"ITEM-3","itemData":{"DOI":"10.1016/j.scs.2020.102664","ISSN":"22106707","abstract":"Awareness is mounting that urban greenspace is beneficial for residents’ health. While a plethora of studies have focused on greenspace quantity, scant attention has been paid to greenspace quality. Existing methods for assessing greenspace quality is either highly labor-intensive and/or prohibitively time-consuming. This study develops a new machine learning method to assess greenspace quality based on street view images collected from Guangzhou, China. It also examines whether greenspace exposure disparities are linked to the neighbourhood socioeconomic status (SES). The validation process indicated that our scoring system achieved high accuracy for predicting street view-based greenspace quality outside the training data. Results also show that there were marked differences in spatial distribution between aggregated NDVI (Normalized Difference Vegetation Index), street view greenness quantity and quality. Regression models show that neighbourhood SES is not associated with NDVI. Although neighbourhood SES is associated with both street view greenness quantity and quality index value, street view greenness quality is more sensitive to the change of neighbourhood SES. Our work suggests that policymakers and planners are advised to pay more attention to greenspace quality and greenspace exposure disparities in urban area.","author":[{"dropping-particle":"","family":"Wang","given":"Ruoyu","non-dropping-particle":"","parse-names":false,"suffix":""},{"dropping-particle":"","family":"Feng","given":"Zhiqiang","non-dropping-particle":"","parse-names":false,"suffix":""},{"dropping-particle":"","family":"Pearce","given":"Jamie","non-dropping-particle":"","parse-names":false,"suffix":""},{"dropping-particle":"","family":"Yao","given":"Yao","non-dropping-particle":"","parse-names":false,"suffix":""},{"dropping-particle":"","family":"Li","given":"Xiaojiang","non-dropping-particle":"","parse-names":false,"suffix":""},{"dropping-particle":"","family":"Liu","given":"Ye","non-dropping-particle":"","parse-names":false,"suffix":""}],"container-title":"Sustainable Cities and Society","id":"ITEM-3","issued":{"date-parts":[["2021","3","1"]]},"page":"102664","publisher":"Elsevier Ltd","title":"The distribution of greenspace quantity and quality and their association with neighbourhood socioeconomic conditions in Guangzhou, China: A new approach using deep learning method and street view images","type":"article-journal","volume":"66"},"uris":["http://www.mendeley.com/documents/?uuid=7aff6a58-e52e-37c6-b59d-9eb090a3c5d6"]},{"id":"ITEM-4","itemData":{"DOI":"10.1016/j.envint.2019.02.013","ISSN":"18736750","PMID":"30797100","abstract":"Background: Residential green and blue spaces may be therapeutic for the mental health. However, solid evidence on the linkage between exposure to green and blue spaces and mental health among the elderly in non-Western countries is scarce and limited to exposure metrics based on remote sensing images (i.e., land cover and vegetation indices). Such overhead-view measures may fail to capture how people perceive the environment on the site. Objective: This study aimed to compare streetscape metrics derived from street view images with satellite-derived ones for the assessment of green and blue space; and to examine associations between exposure to green and blue spaces as well as geriatric depression in Beijing, China. Methods: Questionnaire data on 1190 participants aged 60 or above were analyzed cross-sectionally. Depressive symptoms were assessed through the shortened Geriatric Depression Scale (GDS-15). Streetscape green and blue spaces were extracted from Tencent Street View data by a fully convolutional neural network. Indicators derived from street view images were compared with a satellite-based normalized difference vegetation index (NDVI), a normalized difference water index (NDWI), and those derived from GlobeLand30 land cover data on a neighborhood level. Multilevel regressions with neighborhood-level random effects were fitted to assess correlations between GDS-15 scores and these green and blue spaces exposure metrics. Results: The average cumulative GDS-15 score was 3.4 (i.e., no depressive symptoms). Metrics of green and blue space derived from street view images were not correlated with satellite-based ones. While NDVI was highly correlated with GlobeLand30 green space, NDWI was moderately correlated with GlobeLand30 blue space. Multilevel regressions showed that both street view green and blue spaces were inversely associated with GDS-15 scores and achieved the highest model goodness-of-fit. No significant associations were found with NDVI, NDWI, and GlobeLand30 green and blue space. Our results passed robustness tests. Conclusion: Our findings provide support that street view green and blue spaces are protective against depression for the elderly in China, yet longitudinal confirmation to infer causality is necessary. Street view and satellite-derived green and blue space measures represent different aspects of natural environments. Both street view data and deep learning are valuable tools for automated environmental exposure assessmen…","author":[{"dropping-particle":"","family":"Helbich","given":"Marco","non-dropping-particle":"","parse-names":false,"suffix":""},{"dropping-particle":"","family":"Yao","given":"Yao","non-dropping-particle":"","parse-names":false,"suffix":""},{"dropping-particle":"","family":"Liu","given":"Ye","non-dropping-particle":"","parse-names":false,"suffix":""},{"dropping-particle":"","family":"Zhang","given":"Jinbao","non-dropping-particle":"","parse-names":false,"suffix":""},{"dropping-particle":"","family":"Liu","given":"Penghua","non-dropping-particle":"","parse-names":false,"suffix":""},{"dropping-particle":"","family":"Wang","given":"Ruoyu","non-dropping-particle":"","parse-names":false,"suffix":""}],"container-title":"Environment International","id":"ITEM-4","issued":{"date-parts":[["2019","5","1"]]},"page":"107-117","publisher":"Elsevier Ltd","title":"Using deep learning to examine street view green and blue spaces and their associations with geriatric depression in Beijing, China","type":"article-journal","volume":"126"},"uris":["http://www.mendeley.com/documents/?uuid=445d58d5-946c-3a2c-a1ad-3b4bdb60e742"]},{"id":"ITEM-5","itemData":{"DOI":"10.1016/j.apgeog.2016.09.024","ISSN":"01436228","abstract":"One major limitation currently with studying street level urban design qualities for walkability is the often inconsistent and unreliable measures of streetscape features across different field surveyors even with costly training due to lack of more objective processes, which also make large scale study difficult. The recent advances in sensor technologies and digitization have produced a wealth of data to help research activities by facilitating improved measurements and conducting large scale analysis. This paper explores the potential of big data and big data analytics in the light of current approaches to measuring streetscape features. By applying machine learning algorithms on Google Street View imagery, we generated objectively three measures on visual enclosure. The results showed that sky areas were identified fairly well for the calculation of proportion of sky. The three visual enclosure measures were found to be correlated with pedestrian volume and Walk Score. This method allows large scale and consistent objective measures of visual enclosure that can be done reproducibly and universally applicable with readily available Google Street View imagery in many countries around the world to help test their association with walking behaviors.","author":[{"dropping-particle":"","family":"Yin","given":"Li","non-dropping-particle":"","parse-names":false,"suffix":""},{"dropping-particle":"","family":"Wang","given":"Zhenxin","non-dropping-particle":"","parse-names":false,"suffix":""}],"container-title":"Applied Geography","id":"ITEM-5","issued":{"date-parts":[["2016","11","1"]]},"page":"147-153","publisher":"Elsevier Ltd","title":"Measuring visual enclosure for street walkability: Using machine learning algorithms and Google Street View imagery","type":"article-journal","volume":"76"},"uris":["http://www.mendeley.com/documents/?uuid=3aa92b40-c20e-3684-a25b-d8dd96423b3f"]}],"mendeley":{"formattedCitation":"(Helbich et al., 2019; Li et al., 2015; Y. Liu et al., 2020; R. Wang et al., 2021; Yin &amp; Wang, 2016)","manualFormatting":"(Helbich et al., 2019; Li et al., 2015; Liu et al., 2020; Wang et al., 2021; Yin &amp; Wang, 2016)","plainTextFormattedCitation":"(Helbich et al., 2019; Li et al., 2015; Y. Liu et al., 2020; R. Wang et al., 2021; Yin &amp; Wang, 2016)","previouslyFormattedCitation":"(Helbich et al., 2019; Li et al., 2015; Y. Liu et al., 2020; R. Wang et al., 2021; Yin &amp; Wang, 2016)"},"properties":{"noteIndex":0},"schema":"https://github.com/citation-style-language/schema/raw/master/csl-citation.json"}</w:instrText>
      </w:r>
      <w:r w:rsidRPr="008C10B7">
        <w:rPr>
          <w:rFonts w:eastAsiaTheme="minorHAnsi" w:cs="Times New Roman"/>
          <w:sz w:val="22"/>
          <w:szCs w:val="22"/>
        </w:rPr>
        <w:fldChar w:fldCharType="separate"/>
      </w:r>
      <w:r w:rsidRPr="008C10B7">
        <w:rPr>
          <w:rFonts w:eastAsiaTheme="minorHAnsi" w:cs="Times New Roman"/>
          <w:sz w:val="22"/>
          <w:szCs w:val="22"/>
        </w:rPr>
        <w:t>(</w:t>
      </w:r>
      <w:r w:rsidR="006505B2">
        <w:rPr>
          <w:rFonts w:eastAsiaTheme="minorHAnsi" w:cs="Times New Roman"/>
          <w:sz w:val="22"/>
          <w:szCs w:val="22"/>
        </w:rPr>
        <w:t xml:space="preserve">Cao, 2019; </w:t>
      </w:r>
      <w:r w:rsidRPr="008C10B7">
        <w:rPr>
          <w:rFonts w:eastAsiaTheme="minorHAnsi" w:cs="Times New Roman"/>
          <w:sz w:val="22"/>
          <w:szCs w:val="22"/>
        </w:rPr>
        <w:t>Helbich et al., 2019; Li et al., 2015; Liu et al., 2020; Wang et al., 2021</w:t>
      </w:r>
      <w:r w:rsidR="00AD051A" w:rsidRPr="008C10B7">
        <w:rPr>
          <w:rFonts w:eastAsiaTheme="minorHAnsi" w:cs="Times New Roman"/>
          <w:sz w:val="22"/>
          <w:szCs w:val="22"/>
        </w:rPr>
        <w:t>a</w:t>
      </w:r>
      <w:r w:rsidRPr="008C10B7">
        <w:rPr>
          <w:rFonts w:eastAsiaTheme="minorHAnsi" w:cs="Times New Roman"/>
          <w:sz w:val="22"/>
          <w:szCs w:val="22"/>
        </w:rPr>
        <w:t>; Yin &amp; Wang, 2016)</w:t>
      </w:r>
      <w:r w:rsidRPr="008C10B7">
        <w:rPr>
          <w:rFonts w:eastAsiaTheme="minorHAnsi" w:cs="Times New Roman"/>
          <w:sz w:val="22"/>
          <w:szCs w:val="22"/>
        </w:rPr>
        <w:fldChar w:fldCharType="end"/>
      </w:r>
      <w:r w:rsidRPr="008C10B7">
        <w:rPr>
          <w:rFonts w:eastAsiaTheme="minorHAnsi" w:cs="Times New Roman"/>
          <w:sz w:val="22"/>
          <w:szCs w:val="22"/>
        </w:rPr>
        <w:t xml:space="preserve">. </w:t>
      </w:r>
      <w:proofErr w:type="gramStart"/>
      <w:r w:rsidR="00E238ED" w:rsidRPr="008C10B7">
        <w:rPr>
          <w:rFonts w:eastAsiaTheme="minorHAnsi" w:cs="Times New Roman"/>
          <w:sz w:val="22"/>
          <w:szCs w:val="22"/>
        </w:rPr>
        <w:t>In order to</w:t>
      </w:r>
      <w:proofErr w:type="gramEnd"/>
      <w:r w:rsidR="00E238ED" w:rsidRPr="008C10B7">
        <w:rPr>
          <w:rFonts w:eastAsiaTheme="minorHAnsi" w:cs="Times New Roman"/>
          <w:sz w:val="22"/>
          <w:szCs w:val="22"/>
        </w:rPr>
        <w:t xml:space="preserve"> investigate</w:t>
      </w:r>
      <w:r w:rsidR="00A41A65" w:rsidRPr="008C10B7">
        <w:rPr>
          <w:rFonts w:eastAsiaTheme="minorHAnsi" w:cs="Times New Roman"/>
          <w:sz w:val="22"/>
          <w:szCs w:val="22"/>
        </w:rPr>
        <w:t xml:space="preserve"> the</w:t>
      </w:r>
      <w:r w:rsidRPr="008C10B7">
        <w:rPr>
          <w:rFonts w:eastAsiaTheme="minorHAnsi" w:cs="Times New Roman"/>
          <w:sz w:val="22"/>
          <w:szCs w:val="22"/>
        </w:rPr>
        <w:t xml:space="preserve"> travel status of </w:t>
      </w:r>
      <w:r w:rsidRPr="008C10B7">
        <w:rPr>
          <w:rFonts w:eastAsiaTheme="minorHAnsi" w:cs="Times New Roman"/>
          <w:sz w:val="22"/>
          <w:szCs w:val="22"/>
        </w:rPr>
        <w:lastRenderedPageBreak/>
        <w:t xml:space="preserve">Chinese university students, we </w:t>
      </w:r>
      <w:r w:rsidR="006846F7" w:rsidRPr="008C10B7">
        <w:rPr>
          <w:rFonts w:eastAsiaTheme="minorHAnsi" w:cs="Times New Roman"/>
          <w:sz w:val="22"/>
          <w:szCs w:val="22"/>
        </w:rPr>
        <w:t xml:space="preserve">also </w:t>
      </w:r>
      <w:r w:rsidRPr="008C10B7">
        <w:rPr>
          <w:rFonts w:eastAsiaTheme="minorHAnsi" w:cs="Times New Roman"/>
          <w:sz w:val="22"/>
          <w:szCs w:val="22"/>
        </w:rPr>
        <w:t xml:space="preserve">controlled </w:t>
      </w:r>
      <w:r w:rsidR="00E238ED" w:rsidRPr="008C10B7">
        <w:rPr>
          <w:rFonts w:eastAsiaTheme="minorHAnsi" w:cs="Times New Roman"/>
          <w:sz w:val="22"/>
          <w:szCs w:val="22"/>
        </w:rPr>
        <w:t xml:space="preserve">for </w:t>
      </w:r>
      <w:r w:rsidRPr="008C10B7">
        <w:rPr>
          <w:rFonts w:eastAsiaTheme="minorHAnsi" w:cs="Times New Roman"/>
          <w:sz w:val="22"/>
          <w:szCs w:val="22"/>
        </w:rPr>
        <w:t>travel satisfaction</w:t>
      </w:r>
      <w:r w:rsidR="00362C1E" w:rsidRPr="008C10B7">
        <w:rPr>
          <w:rFonts w:eastAsiaTheme="minorHAnsi" w:cs="Times New Roman"/>
          <w:sz w:val="22"/>
          <w:szCs w:val="22"/>
        </w:rPr>
        <w:t xml:space="preserve">, which was </w:t>
      </w:r>
      <w:r w:rsidR="005D48CC" w:rsidRPr="008C10B7">
        <w:rPr>
          <w:rFonts w:eastAsiaTheme="minorHAnsi" w:cs="Times New Roman"/>
          <w:sz w:val="22"/>
          <w:szCs w:val="22"/>
        </w:rPr>
        <w:t>recorded for different travel modes: car, bus, metro, bike/e-bike</w:t>
      </w:r>
      <w:r w:rsidR="00362C1E" w:rsidRPr="008C10B7">
        <w:rPr>
          <w:rFonts w:eastAsiaTheme="minorHAnsi" w:cs="Times New Roman"/>
          <w:sz w:val="22"/>
          <w:szCs w:val="22"/>
        </w:rPr>
        <w:t>,</w:t>
      </w:r>
      <w:r w:rsidR="005D48CC" w:rsidRPr="008C10B7">
        <w:rPr>
          <w:rFonts w:eastAsiaTheme="minorHAnsi" w:cs="Times New Roman"/>
          <w:sz w:val="22"/>
          <w:szCs w:val="22"/>
        </w:rPr>
        <w:t xml:space="preserve"> and walking</w:t>
      </w:r>
      <w:r w:rsidR="00362C1E" w:rsidRPr="008C10B7">
        <w:rPr>
          <w:rFonts w:eastAsiaTheme="minorHAnsi" w:cs="Times New Roman"/>
          <w:sz w:val="22"/>
          <w:szCs w:val="22"/>
        </w:rPr>
        <w:t>.</w:t>
      </w:r>
      <w:r w:rsidR="005D48CC" w:rsidRPr="008C10B7">
        <w:rPr>
          <w:rFonts w:eastAsiaTheme="minorHAnsi" w:cs="Times New Roman"/>
          <w:sz w:val="22"/>
          <w:szCs w:val="22"/>
        </w:rPr>
        <w:t xml:space="preserve"> </w:t>
      </w:r>
      <w:r w:rsidR="00362C1E" w:rsidRPr="008C10B7">
        <w:rPr>
          <w:rFonts w:eastAsiaTheme="minorHAnsi" w:cs="Times New Roman"/>
          <w:sz w:val="22"/>
          <w:szCs w:val="22"/>
        </w:rPr>
        <w:t>T</w:t>
      </w:r>
      <w:r w:rsidR="005D48CC" w:rsidRPr="008C10B7">
        <w:rPr>
          <w:rFonts w:eastAsiaTheme="minorHAnsi" w:cs="Times New Roman"/>
          <w:sz w:val="22"/>
          <w:szCs w:val="22"/>
        </w:rPr>
        <w:t xml:space="preserve">hree options were </w:t>
      </w:r>
      <w:r w:rsidR="00E238ED" w:rsidRPr="008C10B7">
        <w:rPr>
          <w:rFonts w:eastAsiaTheme="minorHAnsi" w:cs="Times New Roman"/>
          <w:sz w:val="22"/>
          <w:szCs w:val="22"/>
        </w:rPr>
        <w:t>available</w:t>
      </w:r>
      <w:r w:rsidR="005D48CC" w:rsidRPr="008C10B7">
        <w:rPr>
          <w:rFonts w:eastAsiaTheme="minorHAnsi" w:cs="Times New Roman"/>
          <w:sz w:val="22"/>
          <w:szCs w:val="22"/>
        </w:rPr>
        <w:t>: low, moderate</w:t>
      </w:r>
      <w:r w:rsidR="00722134" w:rsidRPr="008C10B7">
        <w:rPr>
          <w:rFonts w:eastAsiaTheme="minorHAnsi" w:cs="Times New Roman"/>
          <w:sz w:val="22"/>
          <w:szCs w:val="22"/>
        </w:rPr>
        <w:t>,</w:t>
      </w:r>
      <w:r w:rsidR="005D48CC" w:rsidRPr="008C10B7">
        <w:rPr>
          <w:rFonts w:eastAsiaTheme="minorHAnsi" w:cs="Times New Roman"/>
          <w:sz w:val="22"/>
          <w:szCs w:val="22"/>
        </w:rPr>
        <w:t xml:space="preserve"> and high.</w:t>
      </w:r>
      <w:r w:rsidRPr="008C10B7">
        <w:rPr>
          <w:rFonts w:eastAsiaTheme="minorHAnsi" w:cs="Times New Roman"/>
          <w:sz w:val="22"/>
          <w:szCs w:val="22"/>
        </w:rPr>
        <w:t xml:space="preserve"> </w:t>
      </w:r>
      <w:r w:rsidR="00D64E05" w:rsidRPr="008C10B7">
        <w:rPr>
          <w:rFonts w:eastAsiaTheme="minorHAnsi" w:cs="Times New Roman"/>
          <w:sz w:val="22"/>
          <w:szCs w:val="22"/>
        </w:rPr>
        <w:t>W</w:t>
      </w:r>
      <w:r w:rsidRPr="008C10B7">
        <w:rPr>
          <w:rFonts w:eastAsiaTheme="minorHAnsi" w:cs="Times New Roman"/>
          <w:sz w:val="22"/>
          <w:szCs w:val="22"/>
        </w:rPr>
        <w:t xml:space="preserve">e also included the </w:t>
      </w:r>
      <w:r w:rsidR="00362C1E" w:rsidRPr="008C10B7">
        <w:rPr>
          <w:rFonts w:eastAsiaTheme="minorHAnsi" w:cs="Times New Roman"/>
          <w:sz w:val="22"/>
          <w:szCs w:val="22"/>
        </w:rPr>
        <w:t>question</w:t>
      </w:r>
      <w:r w:rsidR="001209B8" w:rsidRPr="008C10B7">
        <w:rPr>
          <w:rFonts w:eastAsiaTheme="minorHAnsi" w:cs="Times New Roman"/>
          <w:sz w:val="22"/>
          <w:szCs w:val="22"/>
        </w:rPr>
        <w:t>:</w:t>
      </w:r>
      <w:r w:rsidR="00362C1E" w:rsidRPr="008C10B7">
        <w:rPr>
          <w:rFonts w:eastAsiaTheme="minorHAnsi" w:cs="Times New Roman"/>
          <w:sz w:val="22"/>
          <w:szCs w:val="22"/>
        </w:rPr>
        <w:t xml:space="preserve"> ‘W</w:t>
      </w:r>
      <w:r w:rsidRPr="008C10B7">
        <w:rPr>
          <w:rFonts w:eastAsiaTheme="minorHAnsi" w:cs="Times New Roman"/>
          <w:sz w:val="22"/>
          <w:szCs w:val="22"/>
        </w:rPr>
        <w:t>hich university campus do you live</w:t>
      </w:r>
      <w:r w:rsidR="002433F2" w:rsidRPr="008C10B7">
        <w:rPr>
          <w:rFonts w:eastAsiaTheme="minorHAnsi" w:cs="Times New Roman"/>
          <w:sz w:val="22"/>
          <w:szCs w:val="22"/>
        </w:rPr>
        <w:t xml:space="preserve"> </w:t>
      </w:r>
      <w:r w:rsidR="00E238ED" w:rsidRPr="008C10B7">
        <w:rPr>
          <w:rFonts w:eastAsiaTheme="minorHAnsi" w:cs="Times New Roman"/>
          <w:sz w:val="22"/>
          <w:szCs w:val="22"/>
        </w:rPr>
        <w:t>on</w:t>
      </w:r>
      <w:r w:rsidR="00362C1E" w:rsidRPr="008C10B7">
        <w:rPr>
          <w:rFonts w:eastAsiaTheme="minorHAnsi" w:cs="Times New Roman"/>
          <w:sz w:val="22"/>
          <w:szCs w:val="22"/>
        </w:rPr>
        <w:t>?’</w:t>
      </w:r>
      <w:r w:rsidRPr="008C10B7">
        <w:rPr>
          <w:rFonts w:eastAsiaTheme="minorHAnsi" w:cs="Times New Roman"/>
          <w:sz w:val="22"/>
          <w:szCs w:val="22"/>
        </w:rPr>
        <w:t xml:space="preserve"> to </w:t>
      </w:r>
      <w:r w:rsidR="00E238ED" w:rsidRPr="008C10B7">
        <w:rPr>
          <w:rFonts w:eastAsiaTheme="minorHAnsi" w:cs="Times New Roman"/>
          <w:sz w:val="22"/>
          <w:szCs w:val="22"/>
        </w:rPr>
        <w:t>establish whether our data were</w:t>
      </w:r>
      <w:r w:rsidRPr="008C10B7">
        <w:rPr>
          <w:rFonts w:eastAsiaTheme="minorHAnsi" w:cs="Times New Roman"/>
          <w:sz w:val="22"/>
          <w:szCs w:val="22"/>
        </w:rPr>
        <w:t xml:space="preserve"> hierarchical </w:t>
      </w:r>
      <w:r w:rsidR="00E238ED" w:rsidRPr="008C10B7">
        <w:rPr>
          <w:rFonts w:eastAsiaTheme="minorHAnsi" w:cs="Times New Roman"/>
          <w:sz w:val="22"/>
          <w:szCs w:val="22"/>
        </w:rPr>
        <w:t xml:space="preserve">in </w:t>
      </w:r>
      <w:r w:rsidRPr="008C10B7">
        <w:rPr>
          <w:rFonts w:eastAsiaTheme="minorHAnsi" w:cs="Times New Roman"/>
          <w:sz w:val="22"/>
          <w:szCs w:val="22"/>
        </w:rPr>
        <w:t xml:space="preserve">structure. </w:t>
      </w:r>
      <w:r w:rsidR="00E238ED" w:rsidRPr="008C10B7">
        <w:rPr>
          <w:rFonts w:eastAsiaTheme="minorHAnsi" w:cs="Times New Roman"/>
          <w:sz w:val="22"/>
          <w:szCs w:val="22"/>
        </w:rPr>
        <w:t xml:space="preserve">The </w:t>
      </w:r>
      <w:r w:rsidRPr="008C10B7">
        <w:rPr>
          <w:rFonts w:eastAsiaTheme="minorHAnsi" w:cs="Times New Roman"/>
          <w:sz w:val="22"/>
          <w:szCs w:val="22"/>
        </w:rPr>
        <w:t>GVI and NDVI values are also</w:t>
      </w:r>
      <w:r w:rsidR="00362C1E" w:rsidRPr="008C10B7">
        <w:rPr>
          <w:rFonts w:eastAsiaTheme="minorHAnsi" w:cs="Times New Roman"/>
          <w:sz w:val="22"/>
          <w:szCs w:val="22"/>
        </w:rPr>
        <w:t xml:space="preserve"> </w:t>
      </w:r>
      <w:r w:rsidR="00E238ED" w:rsidRPr="008C10B7">
        <w:rPr>
          <w:rFonts w:eastAsiaTheme="minorHAnsi" w:cs="Times New Roman"/>
          <w:sz w:val="22"/>
          <w:szCs w:val="22"/>
        </w:rPr>
        <w:t>shown</w:t>
      </w:r>
      <w:r w:rsidRPr="008C10B7">
        <w:rPr>
          <w:rFonts w:eastAsiaTheme="minorHAnsi" w:cs="Times New Roman"/>
          <w:sz w:val="22"/>
          <w:szCs w:val="22"/>
        </w:rPr>
        <w:t xml:space="preserve"> in the table.</w:t>
      </w:r>
    </w:p>
    <w:p w14:paraId="08EA4B09" w14:textId="77777777" w:rsidR="00E7001C" w:rsidRPr="008C10B7" w:rsidRDefault="00E7001C" w:rsidP="00206AA5">
      <w:pPr>
        <w:spacing w:line="480" w:lineRule="auto"/>
        <w:jc w:val="both"/>
        <w:rPr>
          <w:rFonts w:eastAsiaTheme="minorHAnsi" w:cs="Times New Roman"/>
          <w:sz w:val="22"/>
          <w:szCs w:val="22"/>
        </w:rPr>
      </w:pPr>
    </w:p>
    <w:p w14:paraId="4E15B40A" w14:textId="0A161869" w:rsidR="00C234EB" w:rsidRPr="008C10B7" w:rsidRDefault="00021746" w:rsidP="00E6317E">
      <w:pPr>
        <w:pStyle w:val="Caption"/>
        <w:spacing w:line="360" w:lineRule="auto"/>
        <w:rPr>
          <w:rFonts w:ascii="Times New Roman" w:hAnsi="Times New Roman"/>
          <w:b/>
          <w:bCs/>
        </w:rPr>
      </w:pPr>
      <w:bookmarkStart w:id="43" w:name="_Toc77799871"/>
      <w:bookmarkStart w:id="44" w:name="_Hlk100753957"/>
      <w:r w:rsidRPr="008C10B7">
        <w:rPr>
          <w:rFonts w:ascii="Times New Roman" w:hAnsi="Times New Roman"/>
          <w:b/>
          <w:bCs/>
        </w:rPr>
        <w:t xml:space="preserve">Table </w:t>
      </w:r>
      <w:r w:rsidRPr="008C10B7">
        <w:rPr>
          <w:rFonts w:ascii="Times New Roman" w:hAnsi="Times New Roman"/>
          <w:b/>
          <w:bCs/>
        </w:rPr>
        <w:fldChar w:fldCharType="begin"/>
      </w:r>
      <w:r w:rsidRPr="008C10B7">
        <w:rPr>
          <w:rFonts w:ascii="Times New Roman" w:hAnsi="Times New Roman"/>
          <w:b/>
          <w:bCs/>
        </w:rPr>
        <w:instrText xml:space="preserve"> SEQ Table \* ARABIC </w:instrText>
      </w:r>
      <w:r w:rsidRPr="008C10B7">
        <w:rPr>
          <w:rFonts w:ascii="Times New Roman" w:hAnsi="Times New Roman"/>
          <w:b/>
          <w:bCs/>
        </w:rPr>
        <w:fldChar w:fldCharType="separate"/>
      </w:r>
      <w:r w:rsidR="00AE0FBF">
        <w:rPr>
          <w:rFonts w:ascii="Times New Roman" w:hAnsi="Times New Roman"/>
          <w:b/>
          <w:bCs/>
          <w:noProof/>
        </w:rPr>
        <w:t>1</w:t>
      </w:r>
      <w:r w:rsidRPr="008C10B7">
        <w:rPr>
          <w:rFonts w:ascii="Times New Roman" w:hAnsi="Times New Roman"/>
          <w:b/>
          <w:bCs/>
        </w:rPr>
        <w:fldChar w:fldCharType="end"/>
      </w:r>
    </w:p>
    <w:p w14:paraId="1C72E0A9" w14:textId="4C6B2E32" w:rsidR="004D3D6C" w:rsidRPr="008C10B7" w:rsidRDefault="00021746" w:rsidP="00E6317E">
      <w:pPr>
        <w:pStyle w:val="Caption"/>
        <w:spacing w:line="360" w:lineRule="auto"/>
        <w:rPr>
          <w:rFonts w:ascii="Times New Roman" w:hAnsi="Times New Roman"/>
        </w:rPr>
      </w:pPr>
      <w:r w:rsidRPr="008C10B7">
        <w:rPr>
          <w:rFonts w:ascii="Times New Roman" w:hAnsi="Times New Roman"/>
        </w:rPr>
        <w:t>Descriptive statistics</w:t>
      </w:r>
      <w:bookmarkEnd w:id="43"/>
      <w:r w:rsidR="00C234EB" w:rsidRPr="008C10B7">
        <w:rPr>
          <w:rFonts w:ascii="Times New Roman" w:hAnsi="Times New Roman"/>
        </w:rPr>
        <w:t>.</w:t>
      </w:r>
    </w:p>
    <w:tbl>
      <w:tblPr>
        <w:tblStyle w:val="TableGrid"/>
        <w:tblW w:w="8794" w:type="dxa"/>
        <w:tblInd w:w="-147" w:type="dxa"/>
        <w:tblLook w:val="04A0" w:firstRow="1" w:lastRow="0" w:firstColumn="1" w:lastColumn="0" w:noHBand="0" w:noVBand="1"/>
      </w:tblPr>
      <w:tblGrid>
        <w:gridCol w:w="1894"/>
        <w:gridCol w:w="1894"/>
        <w:gridCol w:w="2287"/>
        <w:gridCol w:w="2719"/>
      </w:tblGrid>
      <w:tr w:rsidR="008C10B7" w:rsidRPr="008C10B7" w14:paraId="512C195B" w14:textId="77777777" w:rsidTr="00E96DE0">
        <w:tc>
          <w:tcPr>
            <w:tcW w:w="1894" w:type="dxa"/>
            <w:tcBorders>
              <w:left w:val="nil"/>
              <w:right w:val="nil"/>
            </w:tcBorders>
          </w:tcPr>
          <w:p w14:paraId="38C34A45" w14:textId="77777777" w:rsidR="00C234EB" w:rsidRPr="008C10B7" w:rsidRDefault="00C234EB" w:rsidP="00E96DE0">
            <w:pPr>
              <w:spacing w:line="276" w:lineRule="auto"/>
              <w:jc w:val="both"/>
              <w:rPr>
                <w:rFonts w:ascii="Times" w:hAnsi="Times" w:cs="Times New Roman"/>
                <w:sz w:val="18"/>
                <w:szCs w:val="18"/>
              </w:rPr>
            </w:pPr>
            <w:bookmarkStart w:id="45" w:name="_Hlk100753946"/>
            <w:bookmarkEnd w:id="44"/>
          </w:p>
        </w:tc>
        <w:tc>
          <w:tcPr>
            <w:tcW w:w="1894" w:type="dxa"/>
            <w:tcBorders>
              <w:left w:val="nil"/>
              <w:right w:val="nil"/>
            </w:tcBorders>
          </w:tcPr>
          <w:p w14:paraId="37051E72" w14:textId="77777777" w:rsidR="00C234EB" w:rsidRPr="008C10B7" w:rsidRDefault="00C234EB" w:rsidP="00E96DE0">
            <w:pPr>
              <w:spacing w:line="276" w:lineRule="auto"/>
              <w:jc w:val="both"/>
              <w:rPr>
                <w:rFonts w:ascii="Times" w:hAnsi="Times" w:cs="Times New Roman"/>
                <w:sz w:val="18"/>
                <w:szCs w:val="18"/>
              </w:rPr>
            </w:pPr>
            <w:r w:rsidRPr="008C10B7">
              <w:rPr>
                <w:rFonts w:ascii="Times" w:hAnsi="Times" w:cs="Times New Roman"/>
                <w:sz w:val="18"/>
                <w:szCs w:val="18"/>
              </w:rPr>
              <w:t>Variables</w:t>
            </w:r>
          </w:p>
        </w:tc>
        <w:tc>
          <w:tcPr>
            <w:tcW w:w="2287" w:type="dxa"/>
            <w:tcBorders>
              <w:left w:val="nil"/>
              <w:right w:val="nil"/>
            </w:tcBorders>
          </w:tcPr>
          <w:p w14:paraId="5A6DCC09" w14:textId="77777777" w:rsidR="00C234EB" w:rsidRPr="008C10B7" w:rsidRDefault="00C234EB" w:rsidP="00E96DE0">
            <w:pPr>
              <w:spacing w:line="276" w:lineRule="auto"/>
              <w:jc w:val="both"/>
              <w:rPr>
                <w:rFonts w:ascii="Times" w:hAnsi="Times" w:cs="Times New Roman"/>
                <w:sz w:val="18"/>
                <w:szCs w:val="18"/>
              </w:rPr>
            </w:pPr>
            <w:r w:rsidRPr="008C10B7">
              <w:rPr>
                <w:rFonts w:ascii="Times" w:hAnsi="Times" w:cs="Times New Roman"/>
                <w:sz w:val="18"/>
                <w:szCs w:val="18"/>
              </w:rPr>
              <w:t>Categories</w:t>
            </w:r>
          </w:p>
        </w:tc>
        <w:tc>
          <w:tcPr>
            <w:tcW w:w="2719" w:type="dxa"/>
            <w:tcBorders>
              <w:left w:val="nil"/>
              <w:right w:val="nil"/>
            </w:tcBorders>
          </w:tcPr>
          <w:p w14:paraId="41396031" w14:textId="77777777" w:rsidR="00C234EB" w:rsidRPr="008C10B7" w:rsidRDefault="00C234EB" w:rsidP="00E96DE0">
            <w:pPr>
              <w:spacing w:line="276" w:lineRule="auto"/>
              <w:jc w:val="both"/>
              <w:rPr>
                <w:rFonts w:ascii="Times" w:hAnsi="Times" w:cs="Times New Roman"/>
                <w:sz w:val="18"/>
                <w:szCs w:val="18"/>
              </w:rPr>
            </w:pPr>
            <w:r w:rsidRPr="008C10B7">
              <w:rPr>
                <w:rFonts w:ascii="Times" w:hAnsi="Times" w:cs="Times New Roman"/>
                <w:sz w:val="18"/>
                <w:szCs w:val="18"/>
              </w:rPr>
              <w:t>Proportion (numbers)/mean (</w:t>
            </w:r>
            <w:r w:rsidRPr="008C10B7">
              <w:rPr>
                <w:rFonts w:ascii="Times" w:hAnsi="Times" w:cs="Times New Roman"/>
                <w:i/>
                <w:iCs/>
                <w:sz w:val="18"/>
                <w:szCs w:val="18"/>
              </w:rPr>
              <w:t>SD</w:t>
            </w:r>
            <w:r w:rsidRPr="008C10B7">
              <w:rPr>
                <w:rFonts w:ascii="Times" w:hAnsi="Times" w:cs="Times New Roman"/>
                <w:sz w:val="18"/>
                <w:szCs w:val="18"/>
              </w:rPr>
              <w:t>)</w:t>
            </w:r>
          </w:p>
        </w:tc>
      </w:tr>
      <w:tr w:rsidR="008C10B7" w:rsidRPr="008C10B7" w14:paraId="22B9A533" w14:textId="77777777" w:rsidTr="00E96DE0">
        <w:trPr>
          <w:trHeight w:val="145"/>
        </w:trPr>
        <w:tc>
          <w:tcPr>
            <w:tcW w:w="1894" w:type="dxa"/>
            <w:vMerge w:val="restart"/>
            <w:tcBorders>
              <w:top w:val="single" w:sz="4" w:space="0" w:color="auto"/>
              <w:left w:val="nil"/>
              <w:bottom w:val="nil"/>
              <w:right w:val="nil"/>
            </w:tcBorders>
          </w:tcPr>
          <w:p w14:paraId="23D5A4EE" w14:textId="77777777" w:rsidR="00C234EB" w:rsidRPr="008C10B7" w:rsidRDefault="00C234EB" w:rsidP="00E96DE0">
            <w:pPr>
              <w:spacing w:line="200" w:lineRule="exact"/>
              <w:rPr>
                <w:rFonts w:ascii="Times" w:hAnsi="Times" w:cs="Times New Roman"/>
                <w:sz w:val="18"/>
                <w:szCs w:val="18"/>
              </w:rPr>
            </w:pPr>
            <w:r w:rsidRPr="008C10B7">
              <w:rPr>
                <w:rFonts w:ascii="Times" w:hAnsi="Times" w:cs="Times New Roman"/>
                <w:b/>
                <w:bCs/>
                <w:sz w:val="18"/>
                <w:szCs w:val="18"/>
              </w:rPr>
              <w:t>Dependent variables</w:t>
            </w:r>
          </w:p>
        </w:tc>
        <w:tc>
          <w:tcPr>
            <w:tcW w:w="1894" w:type="dxa"/>
            <w:vMerge w:val="restart"/>
            <w:tcBorders>
              <w:top w:val="single" w:sz="4" w:space="0" w:color="auto"/>
              <w:left w:val="nil"/>
              <w:bottom w:val="nil"/>
              <w:right w:val="nil"/>
            </w:tcBorders>
          </w:tcPr>
          <w:p w14:paraId="56251560" w14:textId="379AFD4B" w:rsidR="00C234EB" w:rsidRPr="008C10B7" w:rsidRDefault="00C234EB"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 xml:space="preserve">Active travel tendency </w:t>
            </w:r>
          </w:p>
        </w:tc>
        <w:tc>
          <w:tcPr>
            <w:tcW w:w="2287" w:type="dxa"/>
            <w:tcBorders>
              <w:top w:val="single" w:sz="4" w:space="0" w:color="auto"/>
              <w:left w:val="nil"/>
              <w:bottom w:val="nil"/>
              <w:right w:val="nil"/>
            </w:tcBorders>
          </w:tcPr>
          <w:p w14:paraId="67B1F8B0" w14:textId="77777777" w:rsidR="00C234EB" w:rsidRPr="008C10B7" w:rsidRDefault="00C234EB"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Yes</w:t>
            </w:r>
          </w:p>
        </w:tc>
        <w:tc>
          <w:tcPr>
            <w:tcW w:w="2719" w:type="dxa"/>
            <w:tcBorders>
              <w:top w:val="single" w:sz="4" w:space="0" w:color="auto"/>
              <w:left w:val="nil"/>
              <w:bottom w:val="nil"/>
              <w:right w:val="nil"/>
            </w:tcBorders>
          </w:tcPr>
          <w:p w14:paraId="319E5899" w14:textId="7879066F" w:rsidR="00C234EB" w:rsidRPr="008C10B7" w:rsidRDefault="00C234EB"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6</w:t>
            </w:r>
            <w:r w:rsidR="00554941" w:rsidRPr="008C10B7">
              <w:rPr>
                <w:rFonts w:ascii="Times" w:hAnsi="Times" w:cs="Times New Roman"/>
                <w:sz w:val="18"/>
                <w:szCs w:val="18"/>
              </w:rPr>
              <w:t>9</w:t>
            </w:r>
            <w:r w:rsidRPr="008C10B7">
              <w:rPr>
                <w:rFonts w:ascii="Times" w:hAnsi="Times" w:cs="Times New Roman"/>
                <w:sz w:val="18"/>
                <w:szCs w:val="18"/>
              </w:rPr>
              <w:t xml:space="preserve"> (558)</w:t>
            </w:r>
          </w:p>
        </w:tc>
      </w:tr>
      <w:tr w:rsidR="008C10B7" w:rsidRPr="008C10B7" w14:paraId="777E02CE" w14:textId="77777777" w:rsidTr="00E96DE0">
        <w:tc>
          <w:tcPr>
            <w:tcW w:w="1894" w:type="dxa"/>
            <w:vMerge/>
            <w:tcBorders>
              <w:top w:val="nil"/>
              <w:left w:val="nil"/>
              <w:bottom w:val="nil"/>
              <w:right w:val="nil"/>
            </w:tcBorders>
          </w:tcPr>
          <w:p w14:paraId="4703512C" w14:textId="77777777" w:rsidR="00C234EB" w:rsidRPr="008C10B7" w:rsidRDefault="00C234EB" w:rsidP="00E96DE0">
            <w:pPr>
              <w:spacing w:line="200" w:lineRule="exact"/>
              <w:rPr>
                <w:rFonts w:ascii="Times" w:hAnsi="Times" w:cs="Times New Roman"/>
                <w:sz w:val="18"/>
                <w:szCs w:val="18"/>
              </w:rPr>
            </w:pPr>
          </w:p>
        </w:tc>
        <w:tc>
          <w:tcPr>
            <w:tcW w:w="1894" w:type="dxa"/>
            <w:vMerge/>
            <w:tcBorders>
              <w:top w:val="nil"/>
              <w:left w:val="nil"/>
              <w:bottom w:val="nil"/>
              <w:right w:val="nil"/>
            </w:tcBorders>
          </w:tcPr>
          <w:p w14:paraId="654DCEF0" w14:textId="77777777" w:rsidR="00C234EB" w:rsidRPr="008C10B7" w:rsidRDefault="00C234EB" w:rsidP="00E96DE0">
            <w:pPr>
              <w:spacing w:line="200" w:lineRule="exact"/>
              <w:jc w:val="both"/>
              <w:rPr>
                <w:rFonts w:ascii="Times" w:hAnsi="Times" w:cs="Times New Roman"/>
                <w:sz w:val="18"/>
                <w:szCs w:val="18"/>
              </w:rPr>
            </w:pPr>
          </w:p>
        </w:tc>
        <w:tc>
          <w:tcPr>
            <w:tcW w:w="2287" w:type="dxa"/>
            <w:tcBorders>
              <w:top w:val="nil"/>
              <w:left w:val="nil"/>
              <w:bottom w:val="nil"/>
              <w:right w:val="nil"/>
            </w:tcBorders>
          </w:tcPr>
          <w:p w14:paraId="7508B1BD" w14:textId="77777777"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No</w:t>
            </w:r>
          </w:p>
        </w:tc>
        <w:tc>
          <w:tcPr>
            <w:tcW w:w="2719" w:type="dxa"/>
            <w:tcBorders>
              <w:top w:val="nil"/>
              <w:left w:val="nil"/>
              <w:bottom w:val="nil"/>
              <w:right w:val="nil"/>
            </w:tcBorders>
          </w:tcPr>
          <w:p w14:paraId="699796B8" w14:textId="77777777"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31 (253)</w:t>
            </w:r>
          </w:p>
        </w:tc>
      </w:tr>
      <w:tr w:rsidR="008C10B7" w:rsidRPr="008C10B7" w14:paraId="77D8E4E3" w14:textId="77777777" w:rsidTr="00E96DE0">
        <w:trPr>
          <w:trHeight w:val="210"/>
        </w:trPr>
        <w:tc>
          <w:tcPr>
            <w:tcW w:w="1894" w:type="dxa"/>
            <w:vMerge w:val="restart"/>
            <w:tcBorders>
              <w:top w:val="nil"/>
              <w:left w:val="nil"/>
              <w:bottom w:val="nil"/>
              <w:right w:val="nil"/>
            </w:tcBorders>
          </w:tcPr>
          <w:p w14:paraId="383EA39B" w14:textId="77777777" w:rsidR="00C234EB" w:rsidRPr="008C10B7" w:rsidRDefault="00C234EB" w:rsidP="00E96DE0">
            <w:pPr>
              <w:spacing w:line="200" w:lineRule="exact"/>
              <w:rPr>
                <w:rFonts w:ascii="Times" w:hAnsi="Times" w:cs="Times New Roman"/>
                <w:b/>
                <w:bCs/>
                <w:sz w:val="18"/>
                <w:szCs w:val="18"/>
              </w:rPr>
            </w:pPr>
            <w:r w:rsidRPr="008C10B7">
              <w:rPr>
                <w:rFonts w:ascii="Times" w:hAnsi="Times" w:cs="Times New Roman"/>
                <w:b/>
                <w:bCs/>
                <w:sz w:val="18"/>
                <w:szCs w:val="18"/>
              </w:rPr>
              <w:t>Independent variables</w:t>
            </w:r>
          </w:p>
        </w:tc>
        <w:tc>
          <w:tcPr>
            <w:tcW w:w="1894" w:type="dxa"/>
            <w:vMerge w:val="restart"/>
            <w:tcBorders>
              <w:top w:val="nil"/>
              <w:left w:val="nil"/>
              <w:bottom w:val="nil"/>
              <w:right w:val="nil"/>
            </w:tcBorders>
          </w:tcPr>
          <w:p w14:paraId="56173412" w14:textId="77777777" w:rsidR="00C234EB" w:rsidRPr="008C10B7" w:rsidRDefault="00C234EB" w:rsidP="00E96DE0">
            <w:pPr>
              <w:widowControl w:val="0"/>
              <w:spacing w:line="200" w:lineRule="exact"/>
              <w:jc w:val="both"/>
              <w:rPr>
                <w:rFonts w:ascii="Times" w:hAnsi="Times" w:cs="Times New Roman"/>
                <w:b/>
                <w:bCs/>
                <w:sz w:val="18"/>
                <w:szCs w:val="18"/>
              </w:rPr>
            </w:pPr>
            <w:r w:rsidRPr="008C10B7">
              <w:rPr>
                <w:rFonts w:ascii="Times" w:hAnsi="Times" w:cs="Times New Roman"/>
                <w:sz w:val="18"/>
                <w:szCs w:val="18"/>
              </w:rPr>
              <w:t>GVI (%)</w:t>
            </w:r>
          </w:p>
        </w:tc>
        <w:tc>
          <w:tcPr>
            <w:tcW w:w="2287" w:type="dxa"/>
            <w:tcBorders>
              <w:top w:val="nil"/>
              <w:left w:val="nil"/>
              <w:bottom w:val="nil"/>
              <w:right w:val="nil"/>
            </w:tcBorders>
          </w:tcPr>
          <w:p w14:paraId="53356A4F" w14:textId="77777777" w:rsidR="00C234EB" w:rsidRPr="008C10B7" w:rsidRDefault="00C234EB" w:rsidP="00E96DE0">
            <w:pPr>
              <w:spacing w:line="200" w:lineRule="exact"/>
              <w:jc w:val="both"/>
              <w:rPr>
                <w:rFonts w:ascii="Times" w:hAnsi="Times" w:cs="Times New Roman"/>
                <w:b/>
                <w:bCs/>
                <w:sz w:val="18"/>
                <w:szCs w:val="18"/>
              </w:rPr>
            </w:pPr>
            <w:r w:rsidRPr="008C10B7">
              <w:rPr>
                <w:rFonts w:ascii="Times" w:hAnsi="Times" w:cs="Times New Roman"/>
                <w:sz w:val="18"/>
                <w:szCs w:val="18"/>
              </w:rPr>
              <w:t>Low (0-0.155)</w:t>
            </w:r>
          </w:p>
        </w:tc>
        <w:tc>
          <w:tcPr>
            <w:tcW w:w="2719" w:type="dxa"/>
            <w:tcBorders>
              <w:top w:val="nil"/>
              <w:left w:val="nil"/>
              <w:bottom w:val="nil"/>
              <w:right w:val="nil"/>
            </w:tcBorders>
          </w:tcPr>
          <w:p w14:paraId="433C3563" w14:textId="77777777" w:rsidR="00C234EB" w:rsidRPr="008C10B7" w:rsidRDefault="00C234EB"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27 (223)</w:t>
            </w:r>
          </w:p>
        </w:tc>
      </w:tr>
      <w:tr w:rsidR="008C10B7" w:rsidRPr="008C10B7" w14:paraId="27D6EDCC" w14:textId="77777777" w:rsidTr="00E96DE0">
        <w:tc>
          <w:tcPr>
            <w:tcW w:w="1894" w:type="dxa"/>
            <w:vMerge/>
            <w:tcBorders>
              <w:top w:val="nil"/>
              <w:left w:val="nil"/>
              <w:bottom w:val="nil"/>
              <w:right w:val="nil"/>
            </w:tcBorders>
          </w:tcPr>
          <w:p w14:paraId="56D1D512" w14:textId="77777777" w:rsidR="00C234EB" w:rsidRPr="008C10B7" w:rsidRDefault="00C234EB" w:rsidP="00E96DE0">
            <w:pPr>
              <w:spacing w:line="200" w:lineRule="exact"/>
              <w:rPr>
                <w:rFonts w:ascii="Times" w:hAnsi="Times" w:cs="Times New Roman"/>
                <w:sz w:val="18"/>
                <w:szCs w:val="18"/>
              </w:rPr>
            </w:pPr>
          </w:p>
        </w:tc>
        <w:tc>
          <w:tcPr>
            <w:tcW w:w="1894" w:type="dxa"/>
            <w:vMerge/>
            <w:tcBorders>
              <w:top w:val="nil"/>
              <w:left w:val="nil"/>
              <w:bottom w:val="nil"/>
              <w:right w:val="nil"/>
            </w:tcBorders>
          </w:tcPr>
          <w:p w14:paraId="4AE7F013" w14:textId="77777777" w:rsidR="00C234EB" w:rsidRPr="008C10B7" w:rsidRDefault="00C234EB" w:rsidP="00E96DE0">
            <w:pPr>
              <w:widowControl w:val="0"/>
              <w:spacing w:line="200" w:lineRule="exact"/>
              <w:jc w:val="both"/>
              <w:rPr>
                <w:rFonts w:ascii="Times" w:hAnsi="Times" w:cs="Times New Roman"/>
                <w:sz w:val="18"/>
                <w:szCs w:val="18"/>
              </w:rPr>
            </w:pPr>
          </w:p>
        </w:tc>
        <w:tc>
          <w:tcPr>
            <w:tcW w:w="2287" w:type="dxa"/>
            <w:tcBorders>
              <w:top w:val="nil"/>
              <w:left w:val="nil"/>
              <w:bottom w:val="nil"/>
              <w:right w:val="nil"/>
            </w:tcBorders>
          </w:tcPr>
          <w:p w14:paraId="3EF1EF41" w14:textId="091E6E27"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Moderate (0.15</w:t>
            </w:r>
            <w:r w:rsidR="00B3765F" w:rsidRPr="008C10B7">
              <w:rPr>
                <w:rFonts w:ascii="Times" w:hAnsi="Times" w:cs="Times New Roman"/>
                <w:sz w:val="18"/>
                <w:szCs w:val="18"/>
              </w:rPr>
              <w:t>6</w:t>
            </w:r>
            <w:r w:rsidRPr="008C10B7">
              <w:rPr>
                <w:rFonts w:ascii="Times" w:hAnsi="Times" w:cs="Times New Roman"/>
                <w:sz w:val="18"/>
                <w:szCs w:val="18"/>
              </w:rPr>
              <w:t>-0.180)</w:t>
            </w:r>
          </w:p>
        </w:tc>
        <w:tc>
          <w:tcPr>
            <w:tcW w:w="2719" w:type="dxa"/>
            <w:tcBorders>
              <w:top w:val="nil"/>
              <w:left w:val="nil"/>
              <w:bottom w:val="nil"/>
              <w:right w:val="nil"/>
            </w:tcBorders>
          </w:tcPr>
          <w:p w14:paraId="62746F19" w14:textId="4170CA50"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3</w:t>
            </w:r>
            <w:r w:rsidR="00554941" w:rsidRPr="008C10B7">
              <w:rPr>
                <w:rFonts w:ascii="Times" w:hAnsi="Times" w:cs="Times New Roman"/>
                <w:sz w:val="18"/>
                <w:szCs w:val="18"/>
              </w:rPr>
              <w:t>6</w:t>
            </w:r>
            <w:r w:rsidRPr="008C10B7">
              <w:rPr>
                <w:rFonts w:ascii="Times" w:hAnsi="Times" w:cs="Times New Roman"/>
                <w:sz w:val="18"/>
                <w:szCs w:val="18"/>
              </w:rPr>
              <w:t xml:space="preserve"> (285)</w:t>
            </w:r>
          </w:p>
        </w:tc>
      </w:tr>
      <w:tr w:rsidR="008C10B7" w:rsidRPr="008C10B7" w14:paraId="49870AEE" w14:textId="77777777" w:rsidTr="00E96DE0">
        <w:trPr>
          <w:trHeight w:val="59"/>
        </w:trPr>
        <w:tc>
          <w:tcPr>
            <w:tcW w:w="1894" w:type="dxa"/>
            <w:vMerge/>
            <w:tcBorders>
              <w:top w:val="nil"/>
              <w:left w:val="nil"/>
              <w:bottom w:val="nil"/>
              <w:right w:val="nil"/>
            </w:tcBorders>
          </w:tcPr>
          <w:p w14:paraId="7B6D6B2B" w14:textId="77777777" w:rsidR="00C234EB" w:rsidRPr="008C10B7" w:rsidRDefault="00C234EB" w:rsidP="00E96DE0">
            <w:pPr>
              <w:spacing w:line="200" w:lineRule="exact"/>
              <w:rPr>
                <w:rFonts w:ascii="Times" w:hAnsi="Times" w:cs="Times New Roman"/>
                <w:sz w:val="18"/>
                <w:szCs w:val="18"/>
              </w:rPr>
            </w:pPr>
          </w:p>
        </w:tc>
        <w:tc>
          <w:tcPr>
            <w:tcW w:w="1894" w:type="dxa"/>
            <w:vMerge/>
            <w:tcBorders>
              <w:top w:val="nil"/>
              <w:left w:val="nil"/>
              <w:bottom w:val="nil"/>
              <w:right w:val="nil"/>
            </w:tcBorders>
          </w:tcPr>
          <w:p w14:paraId="2FB55C70" w14:textId="77777777" w:rsidR="00C234EB" w:rsidRPr="008C10B7" w:rsidRDefault="00C234EB" w:rsidP="00E96DE0">
            <w:pPr>
              <w:spacing w:line="200" w:lineRule="exact"/>
              <w:jc w:val="both"/>
              <w:rPr>
                <w:rFonts w:ascii="Times" w:hAnsi="Times" w:cs="Times New Roman"/>
                <w:sz w:val="18"/>
                <w:szCs w:val="18"/>
              </w:rPr>
            </w:pPr>
          </w:p>
        </w:tc>
        <w:tc>
          <w:tcPr>
            <w:tcW w:w="2287" w:type="dxa"/>
            <w:tcBorders>
              <w:top w:val="nil"/>
              <w:left w:val="nil"/>
              <w:bottom w:val="nil"/>
              <w:right w:val="nil"/>
            </w:tcBorders>
          </w:tcPr>
          <w:p w14:paraId="5BA80C6D" w14:textId="664A89D5"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High (0.18</w:t>
            </w:r>
            <w:r w:rsidR="00B3765F" w:rsidRPr="008C10B7">
              <w:rPr>
                <w:rFonts w:ascii="Times" w:hAnsi="Times" w:cs="Times New Roman"/>
                <w:sz w:val="18"/>
                <w:szCs w:val="18"/>
              </w:rPr>
              <w:t>1</w:t>
            </w:r>
            <w:r w:rsidRPr="008C10B7">
              <w:rPr>
                <w:rFonts w:ascii="Times" w:hAnsi="Times" w:cs="Times New Roman"/>
                <w:sz w:val="18"/>
                <w:szCs w:val="18"/>
              </w:rPr>
              <w:t>-0.2</w:t>
            </w:r>
            <w:r w:rsidR="00D5558F" w:rsidRPr="008C10B7">
              <w:rPr>
                <w:rFonts w:ascii="Times" w:hAnsi="Times" w:cs="Times New Roman"/>
                <w:sz w:val="18"/>
                <w:szCs w:val="18"/>
              </w:rPr>
              <w:t>06</w:t>
            </w:r>
            <w:r w:rsidRPr="008C10B7">
              <w:rPr>
                <w:rFonts w:ascii="Times" w:hAnsi="Times" w:cs="Times New Roman"/>
                <w:sz w:val="18"/>
                <w:szCs w:val="18"/>
              </w:rPr>
              <w:t>)</w:t>
            </w:r>
          </w:p>
        </w:tc>
        <w:tc>
          <w:tcPr>
            <w:tcW w:w="2719" w:type="dxa"/>
            <w:tcBorders>
              <w:top w:val="nil"/>
              <w:left w:val="nil"/>
              <w:bottom w:val="nil"/>
              <w:right w:val="nil"/>
            </w:tcBorders>
          </w:tcPr>
          <w:p w14:paraId="58F1A656" w14:textId="77777777"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37 (303)</w:t>
            </w:r>
          </w:p>
        </w:tc>
      </w:tr>
      <w:tr w:rsidR="008C10B7" w:rsidRPr="008C10B7" w14:paraId="67FE1DA2" w14:textId="77777777" w:rsidTr="00E96DE0">
        <w:tc>
          <w:tcPr>
            <w:tcW w:w="1894" w:type="dxa"/>
            <w:vMerge/>
            <w:tcBorders>
              <w:top w:val="nil"/>
              <w:left w:val="nil"/>
              <w:bottom w:val="nil"/>
              <w:right w:val="nil"/>
            </w:tcBorders>
          </w:tcPr>
          <w:p w14:paraId="5CBB368F" w14:textId="77777777" w:rsidR="00C234EB" w:rsidRPr="008C10B7" w:rsidRDefault="00C234EB" w:rsidP="00E96DE0">
            <w:pPr>
              <w:spacing w:line="200" w:lineRule="exact"/>
              <w:rPr>
                <w:rFonts w:ascii="Times" w:hAnsi="Times" w:cs="Times New Roman"/>
                <w:sz w:val="18"/>
                <w:szCs w:val="18"/>
              </w:rPr>
            </w:pPr>
          </w:p>
        </w:tc>
        <w:tc>
          <w:tcPr>
            <w:tcW w:w="1894" w:type="dxa"/>
            <w:tcBorders>
              <w:top w:val="nil"/>
              <w:left w:val="nil"/>
              <w:bottom w:val="nil"/>
              <w:right w:val="nil"/>
            </w:tcBorders>
          </w:tcPr>
          <w:p w14:paraId="1528ED95" w14:textId="06E2BFF2"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NDVI</w:t>
            </w:r>
          </w:p>
        </w:tc>
        <w:tc>
          <w:tcPr>
            <w:tcW w:w="2287" w:type="dxa"/>
            <w:tcBorders>
              <w:top w:val="nil"/>
              <w:left w:val="nil"/>
              <w:bottom w:val="nil"/>
              <w:right w:val="nil"/>
            </w:tcBorders>
          </w:tcPr>
          <w:p w14:paraId="5E2F3A9A" w14:textId="61CC14D6" w:rsidR="00C234EB" w:rsidRPr="008C10B7" w:rsidRDefault="00C234EB" w:rsidP="00E96DE0">
            <w:pPr>
              <w:spacing w:line="200" w:lineRule="exact"/>
              <w:jc w:val="both"/>
              <w:rPr>
                <w:rFonts w:ascii="Times" w:hAnsi="Times" w:cs="Times New Roman"/>
                <w:sz w:val="18"/>
                <w:szCs w:val="18"/>
              </w:rPr>
            </w:pPr>
          </w:p>
        </w:tc>
        <w:tc>
          <w:tcPr>
            <w:tcW w:w="2719" w:type="dxa"/>
            <w:tcBorders>
              <w:top w:val="nil"/>
              <w:left w:val="nil"/>
              <w:bottom w:val="nil"/>
              <w:right w:val="nil"/>
            </w:tcBorders>
          </w:tcPr>
          <w:p w14:paraId="54E81F1A" w14:textId="77777777"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0.17 (0.10)</w:t>
            </w:r>
          </w:p>
        </w:tc>
      </w:tr>
      <w:tr w:rsidR="008C10B7" w:rsidRPr="008C10B7" w14:paraId="7D9D136F" w14:textId="77777777" w:rsidTr="00E96DE0">
        <w:trPr>
          <w:trHeight w:val="150"/>
        </w:trPr>
        <w:tc>
          <w:tcPr>
            <w:tcW w:w="1894" w:type="dxa"/>
            <w:vMerge w:val="restart"/>
            <w:tcBorders>
              <w:top w:val="nil"/>
              <w:left w:val="nil"/>
              <w:bottom w:val="nil"/>
              <w:right w:val="nil"/>
            </w:tcBorders>
          </w:tcPr>
          <w:p w14:paraId="1AC3ACFD" w14:textId="77777777" w:rsidR="00C234EB" w:rsidRPr="008C10B7" w:rsidRDefault="00C234EB" w:rsidP="00E96DE0">
            <w:pPr>
              <w:spacing w:line="200" w:lineRule="exact"/>
              <w:rPr>
                <w:rFonts w:ascii="Times" w:hAnsi="Times" w:cs="Times New Roman"/>
                <w:b/>
                <w:bCs/>
                <w:sz w:val="18"/>
                <w:szCs w:val="18"/>
              </w:rPr>
            </w:pPr>
            <w:r w:rsidRPr="008C10B7">
              <w:rPr>
                <w:rFonts w:ascii="Times" w:hAnsi="Times" w:cs="Times New Roman"/>
                <w:b/>
                <w:bCs/>
                <w:sz w:val="18"/>
                <w:szCs w:val="18"/>
              </w:rPr>
              <w:t>Demographic variables</w:t>
            </w:r>
          </w:p>
        </w:tc>
        <w:tc>
          <w:tcPr>
            <w:tcW w:w="1894" w:type="dxa"/>
            <w:vMerge w:val="restart"/>
            <w:tcBorders>
              <w:top w:val="nil"/>
              <w:left w:val="nil"/>
              <w:bottom w:val="nil"/>
              <w:right w:val="nil"/>
            </w:tcBorders>
          </w:tcPr>
          <w:p w14:paraId="5FD03748" w14:textId="6FF4DFF0" w:rsidR="00C234EB" w:rsidRPr="008C10B7" w:rsidRDefault="001209B8" w:rsidP="00E96DE0">
            <w:pPr>
              <w:widowControl w:val="0"/>
              <w:spacing w:line="200" w:lineRule="exact"/>
              <w:jc w:val="both"/>
              <w:rPr>
                <w:rFonts w:ascii="Times" w:hAnsi="Times" w:cs="Times New Roman"/>
                <w:b/>
                <w:bCs/>
                <w:sz w:val="18"/>
                <w:szCs w:val="18"/>
              </w:rPr>
            </w:pPr>
            <w:r w:rsidRPr="008C10B7">
              <w:rPr>
                <w:rFonts w:ascii="Times" w:hAnsi="Times" w:cs="Times New Roman"/>
                <w:sz w:val="18"/>
                <w:szCs w:val="18"/>
              </w:rPr>
              <w:t>Gender</w:t>
            </w:r>
          </w:p>
        </w:tc>
        <w:tc>
          <w:tcPr>
            <w:tcW w:w="2287" w:type="dxa"/>
            <w:tcBorders>
              <w:top w:val="nil"/>
              <w:left w:val="nil"/>
              <w:bottom w:val="nil"/>
              <w:right w:val="nil"/>
            </w:tcBorders>
          </w:tcPr>
          <w:p w14:paraId="51E5A909" w14:textId="77777777" w:rsidR="00C234EB" w:rsidRPr="008C10B7" w:rsidRDefault="00C234EB" w:rsidP="00E96DE0">
            <w:pPr>
              <w:widowControl w:val="0"/>
              <w:spacing w:line="200" w:lineRule="exact"/>
              <w:jc w:val="both"/>
              <w:rPr>
                <w:rFonts w:ascii="Times" w:hAnsi="Times" w:cs="Times New Roman"/>
                <w:b/>
                <w:bCs/>
                <w:sz w:val="18"/>
                <w:szCs w:val="18"/>
              </w:rPr>
            </w:pPr>
            <w:r w:rsidRPr="008C10B7">
              <w:rPr>
                <w:rFonts w:ascii="Times" w:hAnsi="Times" w:cs="Times New Roman"/>
                <w:sz w:val="18"/>
                <w:szCs w:val="18"/>
              </w:rPr>
              <w:t>Male</w:t>
            </w:r>
          </w:p>
        </w:tc>
        <w:tc>
          <w:tcPr>
            <w:tcW w:w="2719" w:type="dxa"/>
            <w:tcBorders>
              <w:top w:val="nil"/>
              <w:left w:val="nil"/>
              <w:bottom w:val="nil"/>
              <w:right w:val="nil"/>
            </w:tcBorders>
          </w:tcPr>
          <w:p w14:paraId="72929CFA" w14:textId="77777777" w:rsidR="00C234EB" w:rsidRPr="008C10B7" w:rsidRDefault="00C234EB"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39 (320)</w:t>
            </w:r>
          </w:p>
        </w:tc>
      </w:tr>
      <w:tr w:rsidR="008C10B7" w:rsidRPr="008C10B7" w14:paraId="187894AB" w14:textId="77777777" w:rsidTr="00E96DE0">
        <w:tc>
          <w:tcPr>
            <w:tcW w:w="1894" w:type="dxa"/>
            <w:vMerge/>
            <w:tcBorders>
              <w:top w:val="nil"/>
              <w:left w:val="nil"/>
              <w:bottom w:val="nil"/>
              <w:right w:val="nil"/>
            </w:tcBorders>
          </w:tcPr>
          <w:p w14:paraId="0DFF89D4" w14:textId="77777777" w:rsidR="00C234EB" w:rsidRPr="008C10B7" w:rsidRDefault="00C234EB" w:rsidP="00E96DE0">
            <w:pPr>
              <w:spacing w:line="200" w:lineRule="exact"/>
              <w:rPr>
                <w:rFonts w:ascii="Times" w:hAnsi="Times" w:cs="Times New Roman"/>
                <w:sz w:val="18"/>
                <w:szCs w:val="18"/>
              </w:rPr>
            </w:pPr>
          </w:p>
        </w:tc>
        <w:tc>
          <w:tcPr>
            <w:tcW w:w="1894" w:type="dxa"/>
            <w:vMerge/>
            <w:tcBorders>
              <w:top w:val="nil"/>
              <w:left w:val="nil"/>
              <w:bottom w:val="nil"/>
              <w:right w:val="nil"/>
            </w:tcBorders>
          </w:tcPr>
          <w:p w14:paraId="1F575146" w14:textId="77777777" w:rsidR="00C234EB" w:rsidRPr="008C10B7" w:rsidRDefault="00C234EB" w:rsidP="00E96DE0">
            <w:pPr>
              <w:spacing w:line="200" w:lineRule="exact"/>
              <w:jc w:val="both"/>
              <w:rPr>
                <w:rFonts w:ascii="Times" w:hAnsi="Times" w:cs="Times New Roman"/>
                <w:sz w:val="18"/>
                <w:szCs w:val="18"/>
              </w:rPr>
            </w:pPr>
          </w:p>
        </w:tc>
        <w:tc>
          <w:tcPr>
            <w:tcW w:w="2287" w:type="dxa"/>
            <w:tcBorders>
              <w:top w:val="nil"/>
              <w:left w:val="nil"/>
              <w:bottom w:val="nil"/>
              <w:right w:val="nil"/>
            </w:tcBorders>
          </w:tcPr>
          <w:p w14:paraId="73D5BA4D" w14:textId="77777777"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Female</w:t>
            </w:r>
          </w:p>
        </w:tc>
        <w:tc>
          <w:tcPr>
            <w:tcW w:w="2719" w:type="dxa"/>
            <w:tcBorders>
              <w:top w:val="nil"/>
              <w:left w:val="nil"/>
              <w:bottom w:val="nil"/>
              <w:right w:val="nil"/>
            </w:tcBorders>
          </w:tcPr>
          <w:p w14:paraId="69590DF0" w14:textId="7F8FE8C0"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6</w:t>
            </w:r>
            <w:r w:rsidR="00554941" w:rsidRPr="008C10B7">
              <w:rPr>
                <w:rFonts w:ascii="Times" w:hAnsi="Times" w:cs="Times New Roman"/>
                <w:sz w:val="18"/>
                <w:szCs w:val="18"/>
              </w:rPr>
              <w:t>1</w:t>
            </w:r>
            <w:r w:rsidRPr="008C10B7">
              <w:rPr>
                <w:rFonts w:ascii="Times" w:hAnsi="Times" w:cs="Times New Roman"/>
                <w:sz w:val="18"/>
                <w:szCs w:val="18"/>
              </w:rPr>
              <w:t xml:space="preserve"> (491)</w:t>
            </w:r>
          </w:p>
        </w:tc>
      </w:tr>
      <w:tr w:rsidR="008C10B7" w:rsidRPr="008C10B7" w14:paraId="4ACBFE33" w14:textId="77777777" w:rsidTr="00E96DE0">
        <w:tc>
          <w:tcPr>
            <w:tcW w:w="1894" w:type="dxa"/>
            <w:vMerge/>
            <w:tcBorders>
              <w:top w:val="nil"/>
              <w:left w:val="nil"/>
              <w:bottom w:val="nil"/>
              <w:right w:val="nil"/>
            </w:tcBorders>
          </w:tcPr>
          <w:p w14:paraId="64EC2DD9" w14:textId="77777777" w:rsidR="00C234EB" w:rsidRPr="008C10B7" w:rsidRDefault="00C234EB" w:rsidP="00E96DE0">
            <w:pPr>
              <w:spacing w:line="200" w:lineRule="exact"/>
              <w:rPr>
                <w:rFonts w:ascii="Times" w:hAnsi="Times" w:cs="Times New Roman"/>
                <w:sz w:val="18"/>
                <w:szCs w:val="18"/>
              </w:rPr>
            </w:pPr>
          </w:p>
        </w:tc>
        <w:tc>
          <w:tcPr>
            <w:tcW w:w="1894" w:type="dxa"/>
            <w:tcBorders>
              <w:top w:val="nil"/>
              <w:left w:val="nil"/>
              <w:bottom w:val="nil"/>
              <w:right w:val="nil"/>
            </w:tcBorders>
          </w:tcPr>
          <w:p w14:paraId="53A7D3D8" w14:textId="439EE93A"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Age (</w:t>
            </w:r>
            <w:r w:rsidR="003C67E9" w:rsidRPr="008C10B7">
              <w:rPr>
                <w:rFonts w:ascii="Times" w:hAnsi="Times" w:cs="Times New Roman"/>
                <w:sz w:val="18"/>
                <w:szCs w:val="18"/>
              </w:rPr>
              <w:t>years</w:t>
            </w:r>
            <w:r w:rsidRPr="008C10B7">
              <w:rPr>
                <w:rFonts w:ascii="Times" w:hAnsi="Times" w:cs="Times New Roman"/>
                <w:sz w:val="18"/>
                <w:szCs w:val="18"/>
              </w:rPr>
              <w:t>)</w:t>
            </w:r>
          </w:p>
        </w:tc>
        <w:tc>
          <w:tcPr>
            <w:tcW w:w="2287" w:type="dxa"/>
            <w:tcBorders>
              <w:top w:val="nil"/>
              <w:left w:val="nil"/>
              <w:bottom w:val="nil"/>
              <w:right w:val="nil"/>
            </w:tcBorders>
          </w:tcPr>
          <w:p w14:paraId="6876E287" w14:textId="23E90E31" w:rsidR="00C234EB" w:rsidRPr="008C10B7" w:rsidRDefault="00C234EB" w:rsidP="00E96DE0">
            <w:pPr>
              <w:spacing w:line="200" w:lineRule="exact"/>
              <w:jc w:val="both"/>
              <w:rPr>
                <w:rFonts w:ascii="Times" w:hAnsi="Times" w:cs="Times New Roman"/>
                <w:sz w:val="18"/>
                <w:szCs w:val="18"/>
              </w:rPr>
            </w:pPr>
          </w:p>
        </w:tc>
        <w:tc>
          <w:tcPr>
            <w:tcW w:w="2719" w:type="dxa"/>
            <w:tcBorders>
              <w:top w:val="nil"/>
              <w:left w:val="nil"/>
              <w:bottom w:val="nil"/>
              <w:right w:val="nil"/>
            </w:tcBorders>
          </w:tcPr>
          <w:p w14:paraId="33DD45D0" w14:textId="77777777"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22 (5.20)</w:t>
            </w:r>
          </w:p>
        </w:tc>
      </w:tr>
      <w:tr w:rsidR="008C10B7" w:rsidRPr="008C10B7" w14:paraId="04BBEB95" w14:textId="77777777" w:rsidTr="00E96DE0">
        <w:trPr>
          <w:trHeight w:val="88"/>
        </w:trPr>
        <w:tc>
          <w:tcPr>
            <w:tcW w:w="1894" w:type="dxa"/>
            <w:vMerge/>
            <w:tcBorders>
              <w:top w:val="nil"/>
              <w:left w:val="nil"/>
              <w:bottom w:val="nil"/>
              <w:right w:val="nil"/>
            </w:tcBorders>
          </w:tcPr>
          <w:p w14:paraId="0EE3C8DE" w14:textId="77777777" w:rsidR="00C234EB" w:rsidRPr="008C10B7" w:rsidRDefault="00C234EB" w:rsidP="00E96DE0">
            <w:pPr>
              <w:spacing w:line="200" w:lineRule="exact"/>
              <w:ind w:firstLineChars="50" w:firstLine="90"/>
              <w:rPr>
                <w:rFonts w:ascii="Times" w:hAnsi="Times" w:cs="Times New Roman"/>
                <w:sz w:val="18"/>
                <w:szCs w:val="18"/>
              </w:rPr>
            </w:pPr>
          </w:p>
        </w:tc>
        <w:tc>
          <w:tcPr>
            <w:tcW w:w="1894" w:type="dxa"/>
            <w:vMerge w:val="restart"/>
            <w:tcBorders>
              <w:top w:val="nil"/>
              <w:left w:val="nil"/>
              <w:bottom w:val="nil"/>
              <w:right w:val="nil"/>
            </w:tcBorders>
          </w:tcPr>
          <w:p w14:paraId="539D940F" w14:textId="1D8FFA99" w:rsidR="00C234EB" w:rsidRPr="008C10B7" w:rsidRDefault="00C234EB"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Educational attainment level</w:t>
            </w:r>
          </w:p>
        </w:tc>
        <w:tc>
          <w:tcPr>
            <w:tcW w:w="2287" w:type="dxa"/>
            <w:tcBorders>
              <w:top w:val="nil"/>
              <w:left w:val="nil"/>
              <w:bottom w:val="nil"/>
              <w:right w:val="nil"/>
            </w:tcBorders>
          </w:tcPr>
          <w:p w14:paraId="5F45F21E" w14:textId="77777777" w:rsidR="00C234EB" w:rsidRPr="008C10B7" w:rsidRDefault="00C234EB"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Undergraduate and below</w:t>
            </w:r>
          </w:p>
        </w:tc>
        <w:tc>
          <w:tcPr>
            <w:tcW w:w="2719" w:type="dxa"/>
            <w:tcBorders>
              <w:top w:val="nil"/>
              <w:left w:val="nil"/>
              <w:bottom w:val="nil"/>
              <w:right w:val="nil"/>
            </w:tcBorders>
          </w:tcPr>
          <w:p w14:paraId="19664D9B" w14:textId="77777777"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83 (674)</w:t>
            </w:r>
          </w:p>
        </w:tc>
      </w:tr>
      <w:tr w:rsidR="008C10B7" w:rsidRPr="008C10B7" w14:paraId="3BFAF319" w14:textId="77777777" w:rsidTr="00E96DE0">
        <w:tc>
          <w:tcPr>
            <w:tcW w:w="1894" w:type="dxa"/>
            <w:vMerge/>
            <w:tcBorders>
              <w:top w:val="nil"/>
              <w:left w:val="nil"/>
              <w:bottom w:val="nil"/>
              <w:right w:val="nil"/>
            </w:tcBorders>
          </w:tcPr>
          <w:p w14:paraId="3849766A" w14:textId="77777777" w:rsidR="00C234EB" w:rsidRPr="008C10B7" w:rsidRDefault="00C234EB" w:rsidP="00E96DE0">
            <w:pPr>
              <w:spacing w:line="200" w:lineRule="exact"/>
              <w:rPr>
                <w:rFonts w:ascii="Times" w:hAnsi="Times" w:cs="Times New Roman"/>
                <w:sz w:val="18"/>
                <w:szCs w:val="18"/>
              </w:rPr>
            </w:pPr>
          </w:p>
        </w:tc>
        <w:tc>
          <w:tcPr>
            <w:tcW w:w="1894" w:type="dxa"/>
            <w:vMerge/>
            <w:tcBorders>
              <w:top w:val="nil"/>
              <w:left w:val="nil"/>
              <w:bottom w:val="nil"/>
              <w:right w:val="nil"/>
            </w:tcBorders>
          </w:tcPr>
          <w:p w14:paraId="75509EB1" w14:textId="77777777" w:rsidR="00C234EB" w:rsidRPr="008C10B7" w:rsidRDefault="00C234EB" w:rsidP="00E96DE0">
            <w:pPr>
              <w:spacing w:line="200" w:lineRule="exact"/>
              <w:jc w:val="both"/>
              <w:rPr>
                <w:rFonts w:ascii="Times" w:hAnsi="Times" w:cs="Times New Roman"/>
                <w:sz w:val="18"/>
                <w:szCs w:val="18"/>
              </w:rPr>
            </w:pPr>
          </w:p>
        </w:tc>
        <w:tc>
          <w:tcPr>
            <w:tcW w:w="2287" w:type="dxa"/>
            <w:tcBorders>
              <w:top w:val="nil"/>
              <w:left w:val="nil"/>
              <w:bottom w:val="nil"/>
              <w:right w:val="nil"/>
            </w:tcBorders>
          </w:tcPr>
          <w:p w14:paraId="30E4D281" w14:textId="77777777"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Postgraduate and above</w:t>
            </w:r>
          </w:p>
        </w:tc>
        <w:tc>
          <w:tcPr>
            <w:tcW w:w="2719" w:type="dxa"/>
            <w:tcBorders>
              <w:top w:val="nil"/>
              <w:left w:val="nil"/>
              <w:bottom w:val="nil"/>
              <w:right w:val="nil"/>
            </w:tcBorders>
          </w:tcPr>
          <w:p w14:paraId="556C6F69" w14:textId="2A9EFE4A"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1</w:t>
            </w:r>
            <w:r w:rsidR="00554941" w:rsidRPr="008C10B7">
              <w:rPr>
                <w:rFonts w:ascii="Times" w:hAnsi="Times" w:cs="Times New Roman"/>
                <w:sz w:val="18"/>
                <w:szCs w:val="18"/>
              </w:rPr>
              <w:t>7</w:t>
            </w:r>
            <w:r w:rsidRPr="008C10B7">
              <w:rPr>
                <w:rFonts w:ascii="Times" w:hAnsi="Times" w:cs="Times New Roman"/>
                <w:sz w:val="18"/>
                <w:szCs w:val="18"/>
              </w:rPr>
              <w:t xml:space="preserve"> (137)</w:t>
            </w:r>
          </w:p>
        </w:tc>
      </w:tr>
      <w:tr w:rsidR="008C10B7" w:rsidRPr="008C10B7" w14:paraId="2CF3FEAC" w14:textId="77777777" w:rsidTr="00E96DE0">
        <w:trPr>
          <w:trHeight w:val="94"/>
        </w:trPr>
        <w:tc>
          <w:tcPr>
            <w:tcW w:w="1894" w:type="dxa"/>
            <w:vMerge/>
            <w:tcBorders>
              <w:top w:val="nil"/>
              <w:left w:val="nil"/>
              <w:bottom w:val="nil"/>
              <w:right w:val="nil"/>
            </w:tcBorders>
          </w:tcPr>
          <w:p w14:paraId="254CEBC3" w14:textId="77777777" w:rsidR="00C234EB" w:rsidRPr="008C10B7" w:rsidRDefault="00C234EB" w:rsidP="00E96DE0">
            <w:pPr>
              <w:spacing w:line="200" w:lineRule="exact"/>
              <w:rPr>
                <w:rFonts w:ascii="Times" w:hAnsi="Times" w:cs="Times New Roman"/>
                <w:sz w:val="18"/>
                <w:szCs w:val="18"/>
              </w:rPr>
            </w:pPr>
          </w:p>
        </w:tc>
        <w:tc>
          <w:tcPr>
            <w:tcW w:w="1894" w:type="dxa"/>
            <w:vMerge w:val="restart"/>
            <w:tcBorders>
              <w:top w:val="nil"/>
              <w:left w:val="nil"/>
              <w:bottom w:val="nil"/>
              <w:right w:val="nil"/>
            </w:tcBorders>
          </w:tcPr>
          <w:p w14:paraId="12FD5DFA" w14:textId="18CC8CD5" w:rsidR="00C234EB" w:rsidRPr="008C10B7" w:rsidRDefault="00C234EB"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Driving licen</w:t>
            </w:r>
            <w:r w:rsidR="00E238ED" w:rsidRPr="008C10B7">
              <w:rPr>
                <w:rFonts w:ascii="Times" w:hAnsi="Times" w:cs="Times New Roman"/>
                <w:sz w:val="18"/>
                <w:szCs w:val="18"/>
              </w:rPr>
              <w:t>c</w:t>
            </w:r>
            <w:r w:rsidRPr="008C10B7">
              <w:rPr>
                <w:rFonts w:ascii="Times" w:hAnsi="Times" w:cs="Times New Roman"/>
                <w:sz w:val="18"/>
                <w:szCs w:val="18"/>
              </w:rPr>
              <w:t>e</w:t>
            </w:r>
          </w:p>
        </w:tc>
        <w:tc>
          <w:tcPr>
            <w:tcW w:w="2287" w:type="dxa"/>
            <w:tcBorders>
              <w:top w:val="nil"/>
              <w:left w:val="nil"/>
              <w:bottom w:val="nil"/>
              <w:right w:val="nil"/>
            </w:tcBorders>
          </w:tcPr>
          <w:p w14:paraId="1D0AF3E6" w14:textId="77777777" w:rsidR="00C234EB" w:rsidRPr="008C10B7" w:rsidRDefault="00C234EB" w:rsidP="00E96DE0">
            <w:pPr>
              <w:widowControl w:val="0"/>
              <w:spacing w:line="200" w:lineRule="exact"/>
              <w:ind w:firstLineChars="50" w:firstLine="90"/>
              <w:jc w:val="both"/>
              <w:rPr>
                <w:rFonts w:ascii="Times" w:hAnsi="Times" w:cs="Times New Roman"/>
                <w:sz w:val="18"/>
                <w:szCs w:val="18"/>
              </w:rPr>
            </w:pPr>
            <w:r w:rsidRPr="008C10B7">
              <w:rPr>
                <w:rFonts w:ascii="Times" w:hAnsi="Times" w:cs="Times New Roman"/>
                <w:sz w:val="18"/>
                <w:szCs w:val="18"/>
              </w:rPr>
              <w:t>Yes</w:t>
            </w:r>
          </w:p>
        </w:tc>
        <w:tc>
          <w:tcPr>
            <w:tcW w:w="2719" w:type="dxa"/>
            <w:tcBorders>
              <w:top w:val="nil"/>
              <w:left w:val="nil"/>
              <w:bottom w:val="nil"/>
              <w:right w:val="nil"/>
            </w:tcBorders>
          </w:tcPr>
          <w:p w14:paraId="483B7B3F" w14:textId="77777777" w:rsidR="00C234EB" w:rsidRPr="008C10B7" w:rsidRDefault="00C234EB"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52 (422)</w:t>
            </w:r>
          </w:p>
        </w:tc>
      </w:tr>
      <w:tr w:rsidR="008C10B7" w:rsidRPr="008C10B7" w14:paraId="4767FE06" w14:textId="77777777" w:rsidTr="00E96DE0">
        <w:tc>
          <w:tcPr>
            <w:tcW w:w="1894" w:type="dxa"/>
            <w:vMerge/>
            <w:tcBorders>
              <w:top w:val="nil"/>
              <w:left w:val="nil"/>
              <w:bottom w:val="nil"/>
              <w:right w:val="nil"/>
            </w:tcBorders>
          </w:tcPr>
          <w:p w14:paraId="277DDDB5" w14:textId="77777777" w:rsidR="00C234EB" w:rsidRPr="008C10B7" w:rsidRDefault="00C234EB" w:rsidP="00E96DE0">
            <w:pPr>
              <w:spacing w:line="200" w:lineRule="exact"/>
              <w:rPr>
                <w:rFonts w:ascii="Times" w:hAnsi="Times" w:cs="Times New Roman"/>
                <w:sz w:val="18"/>
                <w:szCs w:val="18"/>
              </w:rPr>
            </w:pPr>
          </w:p>
        </w:tc>
        <w:tc>
          <w:tcPr>
            <w:tcW w:w="1894" w:type="dxa"/>
            <w:vMerge/>
            <w:tcBorders>
              <w:top w:val="nil"/>
              <w:left w:val="nil"/>
              <w:bottom w:val="nil"/>
              <w:right w:val="nil"/>
            </w:tcBorders>
          </w:tcPr>
          <w:p w14:paraId="22AF3EB3" w14:textId="77777777" w:rsidR="00C234EB" w:rsidRPr="008C10B7" w:rsidRDefault="00C234EB" w:rsidP="00E96DE0">
            <w:pPr>
              <w:spacing w:line="200" w:lineRule="exact"/>
              <w:jc w:val="both"/>
              <w:rPr>
                <w:rFonts w:ascii="Times" w:hAnsi="Times" w:cs="Times New Roman"/>
                <w:sz w:val="18"/>
                <w:szCs w:val="18"/>
              </w:rPr>
            </w:pPr>
          </w:p>
        </w:tc>
        <w:tc>
          <w:tcPr>
            <w:tcW w:w="2287" w:type="dxa"/>
            <w:tcBorders>
              <w:top w:val="nil"/>
              <w:left w:val="nil"/>
              <w:bottom w:val="nil"/>
              <w:right w:val="nil"/>
            </w:tcBorders>
          </w:tcPr>
          <w:p w14:paraId="3805199E" w14:textId="77777777"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No</w:t>
            </w:r>
          </w:p>
        </w:tc>
        <w:tc>
          <w:tcPr>
            <w:tcW w:w="2719" w:type="dxa"/>
            <w:tcBorders>
              <w:top w:val="nil"/>
              <w:left w:val="nil"/>
              <w:bottom w:val="nil"/>
              <w:right w:val="nil"/>
            </w:tcBorders>
          </w:tcPr>
          <w:p w14:paraId="36B48BE7" w14:textId="57B9ECB3"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4</w:t>
            </w:r>
            <w:r w:rsidR="00554941" w:rsidRPr="008C10B7">
              <w:rPr>
                <w:rFonts w:ascii="Times" w:hAnsi="Times" w:cs="Times New Roman"/>
                <w:sz w:val="18"/>
                <w:szCs w:val="18"/>
              </w:rPr>
              <w:t>8</w:t>
            </w:r>
            <w:r w:rsidRPr="008C10B7">
              <w:rPr>
                <w:rFonts w:ascii="Times" w:hAnsi="Times" w:cs="Times New Roman"/>
                <w:sz w:val="18"/>
                <w:szCs w:val="18"/>
              </w:rPr>
              <w:t xml:space="preserve"> (389)</w:t>
            </w:r>
          </w:p>
        </w:tc>
      </w:tr>
      <w:tr w:rsidR="008C10B7" w:rsidRPr="008C10B7" w14:paraId="16FA0C51" w14:textId="77777777" w:rsidTr="00E96DE0">
        <w:trPr>
          <w:trHeight w:val="66"/>
        </w:trPr>
        <w:tc>
          <w:tcPr>
            <w:tcW w:w="1894" w:type="dxa"/>
            <w:vMerge/>
            <w:tcBorders>
              <w:top w:val="nil"/>
              <w:left w:val="nil"/>
              <w:bottom w:val="nil"/>
              <w:right w:val="nil"/>
            </w:tcBorders>
          </w:tcPr>
          <w:p w14:paraId="7B89159A" w14:textId="77777777" w:rsidR="00C234EB" w:rsidRPr="008C10B7" w:rsidRDefault="00C234EB" w:rsidP="00E96DE0">
            <w:pPr>
              <w:spacing w:line="200" w:lineRule="exact"/>
              <w:rPr>
                <w:rFonts w:ascii="Times" w:hAnsi="Times" w:cs="Times New Roman"/>
                <w:sz w:val="18"/>
                <w:szCs w:val="18"/>
              </w:rPr>
            </w:pPr>
          </w:p>
        </w:tc>
        <w:tc>
          <w:tcPr>
            <w:tcW w:w="1894" w:type="dxa"/>
            <w:vMerge w:val="restart"/>
            <w:tcBorders>
              <w:top w:val="nil"/>
              <w:left w:val="nil"/>
              <w:bottom w:val="nil"/>
              <w:right w:val="nil"/>
            </w:tcBorders>
          </w:tcPr>
          <w:p w14:paraId="550EA496" w14:textId="5B8F37BD" w:rsidR="00C234EB" w:rsidRPr="008C10B7" w:rsidRDefault="00C234EB"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Income</w:t>
            </w:r>
          </w:p>
        </w:tc>
        <w:tc>
          <w:tcPr>
            <w:tcW w:w="2287" w:type="dxa"/>
            <w:tcBorders>
              <w:top w:val="nil"/>
              <w:left w:val="nil"/>
              <w:bottom w:val="nil"/>
              <w:right w:val="nil"/>
            </w:tcBorders>
          </w:tcPr>
          <w:p w14:paraId="2DCD0135" w14:textId="77777777"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&lt;3000 RMB per month</w:t>
            </w:r>
          </w:p>
        </w:tc>
        <w:tc>
          <w:tcPr>
            <w:tcW w:w="2719" w:type="dxa"/>
            <w:tcBorders>
              <w:top w:val="nil"/>
              <w:left w:val="nil"/>
              <w:bottom w:val="nil"/>
              <w:right w:val="nil"/>
            </w:tcBorders>
          </w:tcPr>
          <w:p w14:paraId="2CB42B9E" w14:textId="0673A0C7" w:rsidR="00C234EB" w:rsidRPr="008C10B7" w:rsidRDefault="00C234EB"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4</w:t>
            </w:r>
            <w:r w:rsidR="00554941" w:rsidRPr="008C10B7">
              <w:rPr>
                <w:rFonts w:ascii="Times" w:hAnsi="Times" w:cs="Times New Roman"/>
                <w:sz w:val="18"/>
                <w:szCs w:val="18"/>
              </w:rPr>
              <w:t>8</w:t>
            </w:r>
            <w:r w:rsidRPr="008C10B7">
              <w:rPr>
                <w:rFonts w:ascii="Times" w:hAnsi="Times" w:cs="Times New Roman"/>
                <w:sz w:val="18"/>
                <w:szCs w:val="18"/>
              </w:rPr>
              <w:t xml:space="preserve"> (389)</w:t>
            </w:r>
          </w:p>
        </w:tc>
      </w:tr>
      <w:tr w:rsidR="008C10B7" w:rsidRPr="008C10B7" w14:paraId="7745B9D9" w14:textId="77777777" w:rsidTr="00E96DE0">
        <w:tc>
          <w:tcPr>
            <w:tcW w:w="1894" w:type="dxa"/>
            <w:vMerge/>
            <w:tcBorders>
              <w:top w:val="nil"/>
              <w:left w:val="nil"/>
              <w:bottom w:val="nil"/>
              <w:right w:val="nil"/>
            </w:tcBorders>
          </w:tcPr>
          <w:p w14:paraId="11B73095" w14:textId="77777777" w:rsidR="00C234EB" w:rsidRPr="008C10B7" w:rsidRDefault="00C234EB" w:rsidP="00E96DE0">
            <w:pPr>
              <w:spacing w:line="200" w:lineRule="exact"/>
              <w:rPr>
                <w:rFonts w:ascii="Times" w:hAnsi="Times" w:cs="Times New Roman"/>
                <w:sz w:val="18"/>
                <w:szCs w:val="18"/>
              </w:rPr>
            </w:pPr>
          </w:p>
        </w:tc>
        <w:tc>
          <w:tcPr>
            <w:tcW w:w="1894" w:type="dxa"/>
            <w:vMerge/>
            <w:tcBorders>
              <w:top w:val="nil"/>
              <w:left w:val="nil"/>
              <w:bottom w:val="nil"/>
              <w:right w:val="nil"/>
            </w:tcBorders>
          </w:tcPr>
          <w:p w14:paraId="3BCF7D99" w14:textId="77777777" w:rsidR="00C234EB" w:rsidRPr="008C10B7" w:rsidRDefault="00C234EB" w:rsidP="00E96DE0">
            <w:pPr>
              <w:spacing w:line="200" w:lineRule="exact"/>
              <w:jc w:val="both"/>
              <w:rPr>
                <w:rFonts w:ascii="Times" w:hAnsi="Times" w:cs="Times New Roman"/>
                <w:sz w:val="18"/>
                <w:szCs w:val="18"/>
              </w:rPr>
            </w:pPr>
          </w:p>
        </w:tc>
        <w:tc>
          <w:tcPr>
            <w:tcW w:w="2287" w:type="dxa"/>
            <w:tcBorders>
              <w:top w:val="nil"/>
              <w:left w:val="nil"/>
              <w:bottom w:val="nil"/>
              <w:right w:val="nil"/>
            </w:tcBorders>
          </w:tcPr>
          <w:p w14:paraId="22123CA3" w14:textId="77777777"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hint="eastAsia"/>
                <w:sz w:val="18"/>
                <w:szCs w:val="18"/>
              </w:rPr>
              <w:t>≥</w:t>
            </w:r>
            <w:r w:rsidRPr="008C10B7">
              <w:rPr>
                <w:rFonts w:ascii="Times" w:hAnsi="Times" w:cs="Times New Roman"/>
                <w:sz w:val="18"/>
                <w:szCs w:val="18"/>
              </w:rPr>
              <w:t>3000 RMB per month</w:t>
            </w:r>
          </w:p>
        </w:tc>
        <w:tc>
          <w:tcPr>
            <w:tcW w:w="2719" w:type="dxa"/>
            <w:tcBorders>
              <w:top w:val="nil"/>
              <w:left w:val="nil"/>
              <w:bottom w:val="nil"/>
              <w:right w:val="nil"/>
            </w:tcBorders>
          </w:tcPr>
          <w:p w14:paraId="30ACFBD4" w14:textId="77777777"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52 (422)</w:t>
            </w:r>
          </w:p>
        </w:tc>
      </w:tr>
      <w:tr w:rsidR="008C10B7" w:rsidRPr="008C10B7" w14:paraId="12A6E4F0" w14:textId="77777777" w:rsidTr="00E96DE0">
        <w:trPr>
          <w:trHeight w:val="66"/>
        </w:trPr>
        <w:tc>
          <w:tcPr>
            <w:tcW w:w="1894" w:type="dxa"/>
            <w:vMerge/>
            <w:tcBorders>
              <w:top w:val="nil"/>
              <w:left w:val="nil"/>
              <w:bottom w:val="nil"/>
              <w:right w:val="nil"/>
            </w:tcBorders>
          </w:tcPr>
          <w:p w14:paraId="48F79EC3" w14:textId="77777777" w:rsidR="00C234EB" w:rsidRPr="008C10B7" w:rsidRDefault="00C234EB" w:rsidP="00E96DE0">
            <w:pPr>
              <w:spacing w:line="200" w:lineRule="exact"/>
              <w:rPr>
                <w:rFonts w:ascii="Times" w:hAnsi="Times" w:cs="Times New Roman"/>
                <w:sz w:val="18"/>
                <w:szCs w:val="18"/>
              </w:rPr>
            </w:pPr>
          </w:p>
        </w:tc>
        <w:tc>
          <w:tcPr>
            <w:tcW w:w="1894" w:type="dxa"/>
            <w:vMerge w:val="restart"/>
            <w:tcBorders>
              <w:top w:val="nil"/>
              <w:left w:val="nil"/>
              <w:bottom w:val="nil"/>
              <w:right w:val="nil"/>
            </w:tcBorders>
          </w:tcPr>
          <w:p w14:paraId="5E926C17" w14:textId="3C98026E" w:rsidR="00C234EB" w:rsidRPr="008C10B7" w:rsidRDefault="00C234EB"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Hukou status</w:t>
            </w:r>
          </w:p>
        </w:tc>
        <w:tc>
          <w:tcPr>
            <w:tcW w:w="2287" w:type="dxa"/>
            <w:tcBorders>
              <w:top w:val="nil"/>
              <w:left w:val="nil"/>
              <w:bottom w:val="nil"/>
              <w:right w:val="nil"/>
            </w:tcBorders>
          </w:tcPr>
          <w:p w14:paraId="3249929C" w14:textId="77777777" w:rsidR="00C234EB" w:rsidRPr="008C10B7" w:rsidRDefault="00C234EB"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Local hukou</w:t>
            </w:r>
          </w:p>
        </w:tc>
        <w:tc>
          <w:tcPr>
            <w:tcW w:w="2719" w:type="dxa"/>
            <w:tcBorders>
              <w:top w:val="nil"/>
              <w:left w:val="nil"/>
              <w:bottom w:val="nil"/>
              <w:right w:val="nil"/>
            </w:tcBorders>
          </w:tcPr>
          <w:p w14:paraId="4B8A45DC" w14:textId="3B385A77" w:rsidR="00C234EB" w:rsidRPr="008C10B7" w:rsidRDefault="00C234EB"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3</w:t>
            </w:r>
            <w:r w:rsidR="00554941" w:rsidRPr="008C10B7">
              <w:rPr>
                <w:rFonts w:ascii="Times" w:hAnsi="Times" w:cs="Times New Roman"/>
                <w:sz w:val="18"/>
                <w:szCs w:val="18"/>
              </w:rPr>
              <w:t>7</w:t>
            </w:r>
            <w:r w:rsidRPr="008C10B7">
              <w:rPr>
                <w:rFonts w:ascii="Times" w:hAnsi="Times" w:cs="Times New Roman"/>
                <w:sz w:val="18"/>
                <w:szCs w:val="18"/>
              </w:rPr>
              <w:t xml:space="preserve"> (298)</w:t>
            </w:r>
          </w:p>
        </w:tc>
      </w:tr>
      <w:tr w:rsidR="008C10B7" w:rsidRPr="008C10B7" w14:paraId="0782ABD3" w14:textId="77777777" w:rsidTr="00E96DE0">
        <w:tc>
          <w:tcPr>
            <w:tcW w:w="1894" w:type="dxa"/>
            <w:vMerge/>
            <w:tcBorders>
              <w:top w:val="nil"/>
              <w:left w:val="nil"/>
              <w:bottom w:val="nil"/>
              <w:right w:val="nil"/>
            </w:tcBorders>
          </w:tcPr>
          <w:p w14:paraId="27A980C3" w14:textId="77777777" w:rsidR="00C234EB" w:rsidRPr="008C10B7" w:rsidRDefault="00C234EB" w:rsidP="00E96DE0">
            <w:pPr>
              <w:spacing w:line="200" w:lineRule="exact"/>
              <w:rPr>
                <w:rFonts w:ascii="Times" w:hAnsi="Times" w:cs="Times New Roman"/>
                <w:sz w:val="18"/>
                <w:szCs w:val="18"/>
              </w:rPr>
            </w:pPr>
          </w:p>
        </w:tc>
        <w:tc>
          <w:tcPr>
            <w:tcW w:w="1894" w:type="dxa"/>
            <w:vMerge/>
            <w:tcBorders>
              <w:top w:val="nil"/>
              <w:left w:val="nil"/>
              <w:bottom w:val="nil"/>
              <w:right w:val="nil"/>
            </w:tcBorders>
          </w:tcPr>
          <w:p w14:paraId="2CBD8DCF" w14:textId="77777777" w:rsidR="00C234EB" w:rsidRPr="008C10B7" w:rsidRDefault="00C234EB" w:rsidP="00E96DE0">
            <w:pPr>
              <w:spacing w:line="200" w:lineRule="exact"/>
              <w:jc w:val="both"/>
              <w:rPr>
                <w:rFonts w:ascii="Times" w:hAnsi="Times" w:cs="Times New Roman"/>
                <w:sz w:val="18"/>
                <w:szCs w:val="18"/>
              </w:rPr>
            </w:pPr>
          </w:p>
        </w:tc>
        <w:tc>
          <w:tcPr>
            <w:tcW w:w="2287" w:type="dxa"/>
            <w:tcBorders>
              <w:top w:val="nil"/>
              <w:left w:val="nil"/>
              <w:bottom w:val="nil"/>
              <w:right w:val="nil"/>
            </w:tcBorders>
          </w:tcPr>
          <w:p w14:paraId="7EF61749" w14:textId="77777777"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Non-local hukou</w:t>
            </w:r>
          </w:p>
        </w:tc>
        <w:tc>
          <w:tcPr>
            <w:tcW w:w="2719" w:type="dxa"/>
            <w:tcBorders>
              <w:top w:val="nil"/>
              <w:left w:val="nil"/>
              <w:bottom w:val="nil"/>
              <w:right w:val="nil"/>
            </w:tcBorders>
          </w:tcPr>
          <w:p w14:paraId="41E84A99" w14:textId="77777777"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63 (513)</w:t>
            </w:r>
          </w:p>
        </w:tc>
      </w:tr>
      <w:tr w:rsidR="008C10B7" w:rsidRPr="008C10B7" w14:paraId="65EE7AFE" w14:textId="77777777" w:rsidTr="00E96DE0">
        <w:trPr>
          <w:trHeight w:val="66"/>
        </w:trPr>
        <w:tc>
          <w:tcPr>
            <w:tcW w:w="1894" w:type="dxa"/>
            <w:vMerge/>
            <w:tcBorders>
              <w:top w:val="nil"/>
              <w:left w:val="nil"/>
              <w:bottom w:val="nil"/>
              <w:right w:val="nil"/>
            </w:tcBorders>
          </w:tcPr>
          <w:p w14:paraId="3B0661C5" w14:textId="77777777" w:rsidR="00C234EB" w:rsidRPr="008C10B7" w:rsidRDefault="00C234EB" w:rsidP="00E96DE0">
            <w:pPr>
              <w:spacing w:line="200" w:lineRule="exact"/>
              <w:rPr>
                <w:rFonts w:ascii="Times" w:hAnsi="Times" w:cs="Times New Roman"/>
                <w:sz w:val="18"/>
                <w:szCs w:val="18"/>
              </w:rPr>
            </w:pPr>
          </w:p>
        </w:tc>
        <w:tc>
          <w:tcPr>
            <w:tcW w:w="1894" w:type="dxa"/>
            <w:vMerge w:val="restart"/>
            <w:tcBorders>
              <w:top w:val="nil"/>
              <w:left w:val="nil"/>
              <w:bottom w:val="nil"/>
              <w:right w:val="nil"/>
            </w:tcBorders>
          </w:tcPr>
          <w:p w14:paraId="7EE18B2B" w14:textId="73ECFAA8" w:rsidR="00C234EB" w:rsidRPr="008C10B7" w:rsidRDefault="00C234EB"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Partner relationship status</w:t>
            </w:r>
          </w:p>
        </w:tc>
        <w:tc>
          <w:tcPr>
            <w:tcW w:w="2287" w:type="dxa"/>
            <w:tcBorders>
              <w:top w:val="nil"/>
              <w:left w:val="nil"/>
              <w:bottom w:val="nil"/>
              <w:right w:val="nil"/>
            </w:tcBorders>
          </w:tcPr>
          <w:p w14:paraId="2DA4F133" w14:textId="73EBD476" w:rsidR="00C234EB" w:rsidRPr="008C10B7" w:rsidRDefault="00E238ED"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P</w:t>
            </w:r>
            <w:r w:rsidR="00C234EB" w:rsidRPr="008C10B7">
              <w:rPr>
                <w:rFonts w:ascii="Times" w:hAnsi="Times" w:cs="Times New Roman"/>
                <w:sz w:val="18"/>
                <w:szCs w:val="18"/>
              </w:rPr>
              <w:t>artner relationship</w:t>
            </w:r>
          </w:p>
        </w:tc>
        <w:tc>
          <w:tcPr>
            <w:tcW w:w="2719" w:type="dxa"/>
            <w:tcBorders>
              <w:top w:val="nil"/>
              <w:left w:val="nil"/>
              <w:bottom w:val="nil"/>
              <w:right w:val="nil"/>
            </w:tcBorders>
          </w:tcPr>
          <w:p w14:paraId="2BC5FFAE" w14:textId="77777777" w:rsidR="00C234EB" w:rsidRPr="008C10B7" w:rsidRDefault="00C234EB"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35 (286)</w:t>
            </w:r>
          </w:p>
        </w:tc>
      </w:tr>
      <w:tr w:rsidR="008C10B7" w:rsidRPr="008C10B7" w14:paraId="2A976C7B" w14:textId="77777777" w:rsidTr="00E96DE0">
        <w:tc>
          <w:tcPr>
            <w:tcW w:w="1894" w:type="dxa"/>
            <w:vMerge/>
            <w:tcBorders>
              <w:top w:val="nil"/>
              <w:left w:val="nil"/>
              <w:bottom w:val="nil"/>
              <w:right w:val="nil"/>
            </w:tcBorders>
          </w:tcPr>
          <w:p w14:paraId="08F158BD" w14:textId="77777777" w:rsidR="00C234EB" w:rsidRPr="008C10B7" w:rsidRDefault="00C234EB" w:rsidP="00E96DE0">
            <w:pPr>
              <w:spacing w:line="200" w:lineRule="exact"/>
              <w:rPr>
                <w:rFonts w:ascii="Times" w:hAnsi="Times" w:cs="Times New Roman"/>
                <w:sz w:val="18"/>
                <w:szCs w:val="18"/>
              </w:rPr>
            </w:pPr>
          </w:p>
        </w:tc>
        <w:tc>
          <w:tcPr>
            <w:tcW w:w="1894" w:type="dxa"/>
            <w:vMerge/>
            <w:tcBorders>
              <w:top w:val="nil"/>
              <w:left w:val="nil"/>
              <w:bottom w:val="nil"/>
              <w:right w:val="nil"/>
            </w:tcBorders>
          </w:tcPr>
          <w:p w14:paraId="2DE604CE" w14:textId="77777777" w:rsidR="00C234EB" w:rsidRPr="008C10B7" w:rsidRDefault="00C234EB" w:rsidP="00E96DE0">
            <w:pPr>
              <w:spacing w:line="200" w:lineRule="exact"/>
              <w:jc w:val="both"/>
              <w:rPr>
                <w:rFonts w:ascii="Times" w:hAnsi="Times" w:cs="Times New Roman"/>
                <w:sz w:val="18"/>
                <w:szCs w:val="18"/>
              </w:rPr>
            </w:pPr>
          </w:p>
        </w:tc>
        <w:tc>
          <w:tcPr>
            <w:tcW w:w="2287" w:type="dxa"/>
            <w:tcBorders>
              <w:top w:val="nil"/>
              <w:left w:val="nil"/>
              <w:bottom w:val="nil"/>
              <w:right w:val="nil"/>
            </w:tcBorders>
          </w:tcPr>
          <w:p w14:paraId="6C532AE0" w14:textId="77777777"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No partner relationship</w:t>
            </w:r>
          </w:p>
        </w:tc>
        <w:tc>
          <w:tcPr>
            <w:tcW w:w="2719" w:type="dxa"/>
            <w:tcBorders>
              <w:top w:val="nil"/>
              <w:left w:val="nil"/>
              <w:bottom w:val="nil"/>
              <w:right w:val="nil"/>
            </w:tcBorders>
          </w:tcPr>
          <w:p w14:paraId="4DA0BD9F" w14:textId="44A8CCA6"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6</w:t>
            </w:r>
            <w:r w:rsidR="00554941" w:rsidRPr="008C10B7">
              <w:rPr>
                <w:rFonts w:ascii="Times" w:hAnsi="Times" w:cs="Times New Roman"/>
                <w:sz w:val="18"/>
                <w:szCs w:val="18"/>
              </w:rPr>
              <w:t>5</w:t>
            </w:r>
            <w:r w:rsidRPr="008C10B7">
              <w:rPr>
                <w:rFonts w:ascii="Times" w:hAnsi="Times" w:cs="Times New Roman"/>
                <w:sz w:val="18"/>
                <w:szCs w:val="18"/>
              </w:rPr>
              <w:t xml:space="preserve"> (525)</w:t>
            </w:r>
          </w:p>
        </w:tc>
      </w:tr>
      <w:tr w:rsidR="008C10B7" w:rsidRPr="008C10B7" w14:paraId="7A608A41" w14:textId="77777777" w:rsidTr="00E96DE0">
        <w:trPr>
          <w:trHeight w:val="66"/>
        </w:trPr>
        <w:tc>
          <w:tcPr>
            <w:tcW w:w="1894" w:type="dxa"/>
            <w:vMerge w:val="restart"/>
            <w:tcBorders>
              <w:top w:val="nil"/>
              <w:left w:val="nil"/>
              <w:bottom w:val="nil"/>
              <w:right w:val="nil"/>
            </w:tcBorders>
          </w:tcPr>
          <w:p w14:paraId="0E297DDB" w14:textId="77777777" w:rsidR="00C234EB" w:rsidRPr="008C10B7" w:rsidRDefault="00C234EB" w:rsidP="00E96DE0">
            <w:pPr>
              <w:spacing w:line="200" w:lineRule="exact"/>
              <w:rPr>
                <w:rFonts w:ascii="Times" w:hAnsi="Times" w:cs="Times New Roman"/>
                <w:b/>
                <w:bCs/>
                <w:sz w:val="18"/>
                <w:szCs w:val="18"/>
              </w:rPr>
            </w:pPr>
            <w:r w:rsidRPr="008C10B7">
              <w:rPr>
                <w:rFonts w:ascii="Times" w:hAnsi="Times" w:cs="Times New Roman"/>
                <w:b/>
                <w:bCs/>
                <w:sz w:val="18"/>
                <w:szCs w:val="18"/>
              </w:rPr>
              <w:t>Transport tool ownership</w:t>
            </w:r>
          </w:p>
        </w:tc>
        <w:tc>
          <w:tcPr>
            <w:tcW w:w="1894" w:type="dxa"/>
            <w:vMerge w:val="restart"/>
            <w:tcBorders>
              <w:top w:val="nil"/>
              <w:left w:val="nil"/>
              <w:bottom w:val="nil"/>
              <w:right w:val="nil"/>
            </w:tcBorders>
          </w:tcPr>
          <w:p w14:paraId="68CE05DC" w14:textId="05187E28" w:rsidR="00C234EB" w:rsidRPr="008C10B7" w:rsidRDefault="00C234EB" w:rsidP="00E96DE0">
            <w:pPr>
              <w:widowControl w:val="0"/>
              <w:spacing w:line="200" w:lineRule="exact"/>
              <w:jc w:val="both"/>
              <w:rPr>
                <w:rFonts w:ascii="Times" w:hAnsi="Times" w:cs="Times New Roman"/>
                <w:b/>
                <w:bCs/>
                <w:sz w:val="18"/>
                <w:szCs w:val="18"/>
              </w:rPr>
            </w:pPr>
            <w:r w:rsidRPr="008C10B7">
              <w:rPr>
                <w:rFonts w:ascii="Times" w:hAnsi="Times" w:cs="Times New Roman"/>
                <w:sz w:val="18"/>
                <w:szCs w:val="18"/>
              </w:rPr>
              <w:t>Bike ownership</w:t>
            </w:r>
          </w:p>
        </w:tc>
        <w:tc>
          <w:tcPr>
            <w:tcW w:w="2287" w:type="dxa"/>
            <w:tcBorders>
              <w:top w:val="nil"/>
              <w:left w:val="nil"/>
              <w:bottom w:val="nil"/>
              <w:right w:val="nil"/>
            </w:tcBorders>
          </w:tcPr>
          <w:p w14:paraId="42C3B7D1" w14:textId="77777777" w:rsidR="00C234EB" w:rsidRPr="008C10B7" w:rsidRDefault="00C234EB" w:rsidP="00E96DE0">
            <w:pPr>
              <w:widowControl w:val="0"/>
              <w:spacing w:line="200" w:lineRule="exact"/>
              <w:jc w:val="both"/>
              <w:rPr>
                <w:rFonts w:ascii="Times" w:hAnsi="Times" w:cs="Times New Roman"/>
                <w:b/>
                <w:bCs/>
                <w:sz w:val="18"/>
                <w:szCs w:val="18"/>
              </w:rPr>
            </w:pPr>
            <w:r w:rsidRPr="008C10B7">
              <w:rPr>
                <w:rFonts w:ascii="Times" w:hAnsi="Times" w:cs="Times New Roman"/>
                <w:sz w:val="18"/>
                <w:szCs w:val="18"/>
              </w:rPr>
              <w:t>Yes</w:t>
            </w:r>
          </w:p>
        </w:tc>
        <w:tc>
          <w:tcPr>
            <w:tcW w:w="2719" w:type="dxa"/>
            <w:tcBorders>
              <w:top w:val="nil"/>
              <w:left w:val="nil"/>
              <w:bottom w:val="nil"/>
              <w:right w:val="nil"/>
            </w:tcBorders>
          </w:tcPr>
          <w:p w14:paraId="696FA02B" w14:textId="77777777" w:rsidR="00C234EB" w:rsidRPr="008C10B7" w:rsidRDefault="00C234EB"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40 (327)</w:t>
            </w:r>
          </w:p>
        </w:tc>
      </w:tr>
      <w:tr w:rsidR="008C10B7" w:rsidRPr="008C10B7" w14:paraId="3737D413" w14:textId="77777777" w:rsidTr="00E96DE0">
        <w:tc>
          <w:tcPr>
            <w:tcW w:w="1894" w:type="dxa"/>
            <w:vMerge/>
            <w:tcBorders>
              <w:top w:val="nil"/>
              <w:left w:val="nil"/>
              <w:bottom w:val="nil"/>
              <w:right w:val="nil"/>
            </w:tcBorders>
          </w:tcPr>
          <w:p w14:paraId="64A4CA62" w14:textId="77777777" w:rsidR="00C234EB" w:rsidRPr="008C10B7" w:rsidRDefault="00C234EB" w:rsidP="00E96DE0">
            <w:pPr>
              <w:spacing w:line="200" w:lineRule="exact"/>
              <w:rPr>
                <w:rFonts w:ascii="Times" w:hAnsi="Times" w:cs="Times New Roman"/>
                <w:sz w:val="18"/>
                <w:szCs w:val="18"/>
              </w:rPr>
            </w:pPr>
          </w:p>
        </w:tc>
        <w:tc>
          <w:tcPr>
            <w:tcW w:w="1894" w:type="dxa"/>
            <w:vMerge/>
            <w:tcBorders>
              <w:top w:val="nil"/>
              <w:left w:val="nil"/>
              <w:bottom w:val="nil"/>
              <w:right w:val="nil"/>
            </w:tcBorders>
          </w:tcPr>
          <w:p w14:paraId="20F50BA9" w14:textId="77777777" w:rsidR="00C234EB" w:rsidRPr="008C10B7" w:rsidRDefault="00C234EB" w:rsidP="00E96DE0">
            <w:pPr>
              <w:spacing w:line="200" w:lineRule="exact"/>
              <w:jc w:val="both"/>
              <w:rPr>
                <w:rFonts w:ascii="Times" w:hAnsi="Times" w:cs="Times New Roman"/>
                <w:sz w:val="18"/>
                <w:szCs w:val="18"/>
              </w:rPr>
            </w:pPr>
          </w:p>
        </w:tc>
        <w:tc>
          <w:tcPr>
            <w:tcW w:w="2287" w:type="dxa"/>
            <w:tcBorders>
              <w:top w:val="nil"/>
              <w:left w:val="nil"/>
              <w:bottom w:val="nil"/>
              <w:right w:val="nil"/>
            </w:tcBorders>
          </w:tcPr>
          <w:p w14:paraId="73CD281C" w14:textId="77777777"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No</w:t>
            </w:r>
          </w:p>
        </w:tc>
        <w:tc>
          <w:tcPr>
            <w:tcW w:w="2719" w:type="dxa"/>
            <w:tcBorders>
              <w:top w:val="nil"/>
              <w:left w:val="nil"/>
              <w:bottom w:val="nil"/>
              <w:right w:val="nil"/>
            </w:tcBorders>
          </w:tcPr>
          <w:p w14:paraId="2088B295" w14:textId="6001E8FE" w:rsidR="00C234EB" w:rsidRPr="008C10B7" w:rsidRDefault="00554941" w:rsidP="00E96DE0">
            <w:pPr>
              <w:spacing w:line="200" w:lineRule="exact"/>
              <w:jc w:val="both"/>
              <w:rPr>
                <w:rFonts w:ascii="Times" w:hAnsi="Times" w:cs="Times New Roman"/>
                <w:sz w:val="18"/>
                <w:szCs w:val="18"/>
              </w:rPr>
            </w:pPr>
            <w:r w:rsidRPr="008C10B7">
              <w:rPr>
                <w:rFonts w:ascii="Times" w:hAnsi="Times" w:cs="Times New Roman"/>
                <w:sz w:val="18"/>
                <w:szCs w:val="18"/>
              </w:rPr>
              <w:t>60</w:t>
            </w:r>
            <w:r w:rsidR="00C234EB" w:rsidRPr="008C10B7">
              <w:rPr>
                <w:rFonts w:ascii="Times" w:hAnsi="Times" w:cs="Times New Roman"/>
                <w:sz w:val="18"/>
                <w:szCs w:val="18"/>
              </w:rPr>
              <w:t xml:space="preserve"> (484)</w:t>
            </w:r>
          </w:p>
        </w:tc>
      </w:tr>
      <w:tr w:rsidR="008C10B7" w:rsidRPr="008C10B7" w14:paraId="7ABCB839" w14:textId="77777777" w:rsidTr="00E96DE0">
        <w:trPr>
          <w:trHeight w:val="66"/>
        </w:trPr>
        <w:tc>
          <w:tcPr>
            <w:tcW w:w="1894" w:type="dxa"/>
            <w:vMerge/>
            <w:tcBorders>
              <w:top w:val="nil"/>
              <w:left w:val="nil"/>
              <w:bottom w:val="nil"/>
              <w:right w:val="nil"/>
            </w:tcBorders>
          </w:tcPr>
          <w:p w14:paraId="73CF9D7D" w14:textId="77777777" w:rsidR="00C234EB" w:rsidRPr="008C10B7" w:rsidRDefault="00C234EB" w:rsidP="00E96DE0">
            <w:pPr>
              <w:spacing w:line="200" w:lineRule="exact"/>
              <w:rPr>
                <w:rFonts w:ascii="Times" w:hAnsi="Times" w:cs="Times New Roman"/>
                <w:sz w:val="18"/>
                <w:szCs w:val="18"/>
              </w:rPr>
            </w:pPr>
          </w:p>
        </w:tc>
        <w:tc>
          <w:tcPr>
            <w:tcW w:w="1894" w:type="dxa"/>
            <w:vMerge w:val="restart"/>
            <w:tcBorders>
              <w:top w:val="nil"/>
              <w:left w:val="nil"/>
              <w:bottom w:val="nil"/>
              <w:right w:val="nil"/>
            </w:tcBorders>
          </w:tcPr>
          <w:p w14:paraId="7ED9B446" w14:textId="48D4F049"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E-bike ownership</w:t>
            </w:r>
          </w:p>
        </w:tc>
        <w:tc>
          <w:tcPr>
            <w:tcW w:w="2287" w:type="dxa"/>
            <w:tcBorders>
              <w:top w:val="nil"/>
              <w:left w:val="nil"/>
              <w:bottom w:val="nil"/>
              <w:right w:val="nil"/>
            </w:tcBorders>
          </w:tcPr>
          <w:p w14:paraId="00E5E8FB" w14:textId="77777777" w:rsidR="00C234EB" w:rsidRPr="008C10B7" w:rsidRDefault="00C234EB"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Yes</w:t>
            </w:r>
          </w:p>
        </w:tc>
        <w:tc>
          <w:tcPr>
            <w:tcW w:w="2719" w:type="dxa"/>
            <w:tcBorders>
              <w:top w:val="nil"/>
              <w:left w:val="nil"/>
              <w:bottom w:val="nil"/>
              <w:right w:val="nil"/>
            </w:tcBorders>
          </w:tcPr>
          <w:p w14:paraId="0F2788ED" w14:textId="71FE5B8F" w:rsidR="00C234EB" w:rsidRPr="008C10B7" w:rsidRDefault="00C234EB"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2</w:t>
            </w:r>
            <w:r w:rsidR="00554941" w:rsidRPr="008C10B7">
              <w:rPr>
                <w:rFonts w:ascii="Times" w:hAnsi="Times" w:cs="Times New Roman"/>
                <w:sz w:val="18"/>
                <w:szCs w:val="18"/>
              </w:rPr>
              <w:t>2</w:t>
            </w:r>
            <w:r w:rsidRPr="008C10B7">
              <w:rPr>
                <w:rFonts w:ascii="Times" w:hAnsi="Times" w:cs="Times New Roman"/>
                <w:sz w:val="18"/>
                <w:szCs w:val="18"/>
              </w:rPr>
              <w:t xml:space="preserve"> (176)</w:t>
            </w:r>
          </w:p>
        </w:tc>
      </w:tr>
      <w:tr w:rsidR="008C10B7" w:rsidRPr="008C10B7" w14:paraId="15E53BC3" w14:textId="77777777" w:rsidTr="00E96DE0">
        <w:tc>
          <w:tcPr>
            <w:tcW w:w="1894" w:type="dxa"/>
            <w:vMerge/>
            <w:tcBorders>
              <w:top w:val="nil"/>
              <w:left w:val="nil"/>
              <w:bottom w:val="nil"/>
              <w:right w:val="nil"/>
            </w:tcBorders>
          </w:tcPr>
          <w:p w14:paraId="34F45D07" w14:textId="77777777" w:rsidR="00C234EB" w:rsidRPr="008C10B7" w:rsidRDefault="00C234EB" w:rsidP="00E96DE0">
            <w:pPr>
              <w:spacing w:line="200" w:lineRule="exact"/>
              <w:rPr>
                <w:rFonts w:ascii="Times" w:hAnsi="Times" w:cs="Times New Roman"/>
                <w:sz w:val="18"/>
                <w:szCs w:val="18"/>
              </w:rPr>
            </w:pPr>
          </w:p>
        </w:tc>
        <w:tc>
          <w:tcPr>
            <w:tcW w:w="1894" w:type="dxa"/>
            <w:vMerge/>
            <w:tcBorders>
              <w:top w:val="nil"/>
              <w:left w:val="nil"/>
              <w:bottom w:val="nil"/>
              <w:right w:val="nil"/>
            </w:tcBorders>
          </w:tcPr>
          <w:p w14:paraId="1DA1B095" w14:textId="77777777" w:rsidR="00C234EB" w:rsidRPr="008C10B7" w:rsidRDefault="00C234EB" w:rsidP="00E96DE0">
            <w:pPr>
              <w:spacing w:line="200" w:lineRule="exact"/>
              <w:jc w:val="both"/>
              <w:rPr>
                <w:rFonts w:ascii="Times" w:hAnsi="Times" w:cs="Times New Roman"/>
                <w:sz w:val="18"/>
                <w:szCs w:val="18"/>
              </w:rPr>
            </w:pPr>
          </w:p>
        </w:tc>
        <w:tc>
          <w:tcPr>
            <w:tcW w:w="2287" w:type="dxa"/>
            <w:tcBorders>
              <w:top w:val="nil"/>
              <w:left w:val="nil"/>
              <w:bottom w:val="nil"/>
              <w:right w:val="nil"/>
            </w:tcBorders>
          </w:tcPr>
          <w:p w14:paraId="5F001234" w14:textId="77777777"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No</w:t>
            </w:r>
          </w:p>
        </w:tc>
        <w:tc>
          <w:tcPr>
            <w:tcW w:w="2719" w:type="dxa"/>
            <w:tcBorders>
              <w:top w:val="nil"/>
              <w:left w:val="nil"/>
              <w:bottom w:val="nil"/>
              <w:right w:val="nil"/>
            </w:tcBorders>
          </w:tcPr>
          <w:p w14:paraId="20C73912" w14:textId="5F75EE16"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7</w:t>
            </w:r>
            <w:r w:rsidR="00554941" w:rsidRPr="008C10B7">
              <w:rPr>
                <w:rFonts w:ascii="Times" w:hAnsi="Times" w:cs="Times New Roman"/>
                <w:sz w:val="18"/>
                <w:szCs w:val="18"/>
              </w:rPr>
              <w:t>8</w:t>
            </w:r>
            <w:r w:rsidRPr="008C10B7">
              <w:rPr>
                <w:rFonts w:ascii="Times" w:hAnsi="Times" w:cs="Times New Roman"/>
                <w:sz w:val="18"/>
                <w:szCs w:val="18"/>
              </w:rPr>
              <w:t xml:space="preserve"> (635)</w:t>
            </w:r>
          </w:p>
        </w:tc>
      </w:tr>
      <w:tr w:rsidR="008C10B7" w:rsidRPr="008C10B7" w14:paraId="59951DD2" w14:textId="77777777" w:rsidTr="00E96DE0">
        <w:trPr>
          <w:trHeight w:val="66"/>
        </w:trPr>
        <w:tc>
          <w:tcPr>
            <w:tcW w:w="1894" w:type="dxa"/>
            <w:vMerge/>
            <w:tcBorders>
              <w:top w:val="nil"/>
              <w:left w:val="nil"/>
              <w:bottom w:val="nil"/>
              <w:right w:val="nil"/>
            </w:tcBorders>
          </w:tcPr>
          <w:p w14:paraId="1632619D" w14:textId="77777777" w:rsidR="00C234EB" w:rsidRPr="008C10B7" w:rsidRDefault="00C234EB" w:rsidP="00E96DE0">
            <w:pPr>
              <w:spacing w:line="200" w:lineRule="exact"/>
              <w:rPr>
                <w:rFonts w:ascii="Times" w:hAnsi="Times" w:cs="Times New Roman"/>
                <w:sz w:val="18"/>
                <w:szCs w:val="18"/>
              </w:rPr>
            </w:pPr>
          </w:p>
        </w:tc>
        <w:tc>
          <w:tcPr>
            <w:tcW w:w="1894" w:type="dxa"/>
            <w:vMerge w:val="restart"/>
            <w:tcBorders>
              <w:top w:val="nil"/>
              <w:left w:val="nil"/>
              <w:bottom w:val="nil"/>
              <w:right w:val="nil"/>
            </w:tcBorders>
          </w:tcPr>
          <w:p w14:paraId="25D7793C" w14:textId="4FFACF0D"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Car ownership</w:t>
            </w:r>
          </w:p>
        </w:tc>
        <w:tc>
          <w:tcPr>
            <w:tcW w:w="2287" w:type="dxa"/>
            <w:tcBorders>
              <w:top w:val="nil"/>
              <w:left w:val="nil"/>
              <w:bottom w:val="nil"/>
              <w:right w:val="nil"/>
            </w:tcBorders>
          </w:tcPr>
          <w:p w14:paraId="5652CB49" w14:textId="77777777" w:rsidR="00C234EB" w:rsidRPr="008C10B7" w:rsidRDefault="00C234EB"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Yes</w:t>
            </w:r>
          </w:p>
        </w:tc>
        <w:tc>
          <w:tcPr>
            <w:tcW w:w="2719" w:type="dxa"/>
            <w:tcBorders>
              <w:top w:val="nil"/>
              <w:left w:val="nil"/>
              <w:bottom w:val="nil"/>
              <w:right w:val="nil"/>
            </w:tcBorders>
          </w:tcPr>
          <w:p w14:paraId="414D9D37" w14:textId="77777777" w:rsidR="00C234EB" w:rsidRPr="008C10B7" w:rsidRDefault="00C234EB"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6 (51)</w:t>
            </w:r>
          </w:p>
        </w:tc>
      </w:tr>
      <w:tr w:rsidR="008C10B7" w:rsidRPr="008C10B7" w14:paraId="21471B3D" w14:textId="77777777" w:rsidTr="00E96DE0">
        <w:tc>
          <w:tcPr>
            <w:tcW w:w="1894" w:type="dxa"/>
            <w:vMerge/>
            <w:tcBorders>
              <w:top w:val="nil"/>
              <w:left w:val="nil"/>
              <w:bottom w:val="nil"/>
              <w:right w:val="nil"/>
            </w:tcBorders>
          </w:tcPr>
          <w:p w14:paraId="48A5EF22" w14:textId="77777777" w:rsidR="00C234EB" w:rsidRPr="008C10B7" w:rsidRDefault="00C234EB" w:rsidP="00E96DE0">
            <w:pPr>
              <w:spacing w:line="200" w:lineRule="exact"/>
              <w:rPr>
                <w:rFonts w:ascii="Times" w:hAnsi="Times" w:cs="Times New Roman"/>
                <w:sz w:val="18"/>
                <w:szCs w:val="18"/>
              </w:rPr>
            </w:pPr>
          </w:p>
        </w:tc>
        <w:tc>
          <w:tcPr>
            <w:tcW w:w="1894" w:type="dxa"/>
            <w:vMerge/>
            <w:tcBorders>
              <w:top w:val="nil"/>
              <w:left w:val="nil"/>
              <w:bottom w:val="nil"/>
              <w:right w:val="nil"/>
            </w:tcBorders>
          </w:tcPr>
          <w:p w14:paraId="20D3D022" w14:textId="77777777" w:rsidR="00C234EB" w:rsidRPr="008C10B7" w:rsidRDefault="00C234EB" w:rsidP="00E96DE0">
            <w:pPr>
              <w:spacing w:line="200" w:lineRule="exact"/>
              <w:jc w:val="both"/>
              <w:rPr>
                <w:rFonts w:ascii="Times" w:hAnsi="Times" w:cs="Times New Roman"/>
                <w:sz w:val="18"/>
                <w:szCs w:val="18"/>
              </w:rPr>
            </w:pPr>
          </w:p>
        </w:tc>
        <w:tc>
          <w:tcPr>
            <w:tcW w:w="2287" w:type="dxa"/>
            <w:tcBorders>
              <w:top w:val="nil"/>
              <w:left w:val="nil"/>
              <w:bottom w:val="nil"/>
              <w:right w:val="nil"/>
            </w:tcBorders>
          </w:tcPr>
          <w:p w14:paraId="78E46797" w14:textId="77777777"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No</w:t>
            </w:r>
          </w:p>
        </w:tc>
        <w:tc>
          <w:tcPr>
            <w:tcW w:w="2719" w:type="dxa"/>
            <w:tcBorders>
              <w:top w:val="nil"/>
              <w:left w:val="nil"/>
              <w:bottom w:val="nil"/>
              <w:right w:val="nil"/>
            </w:tcBorders>
          </w:tcPr>
          <w:p w14:paraId="6D66F162" w14:textId="7081D640"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9</w:t>
            </w:r>
            <w:r w:rsidR="00554941" w:rsidRPr="008C10B7">
              <w:rPr>
                <w:rFonts w:ascii="Times" w:hAnsi="Times" w:cs="Times New Roman"/>
                <w:sz w:val="18"/>
                <w:szCs w:val="18"/>
              </w:rPr>
              <w:t>4</w:t>
            </w:r>
            <w:r w:rsidRPr="008C10B7">
              <w:rPr>
                <w:rFonts w:ascii="Times" w:hAnsi="Times" w:cs="Times New Roman"/>
                <w:sz w:val="18"/>
                <w:szCs w:val="18"/>
              </w:rPr>
              <w:t xml:space="preserve"> (760)</w:t>
            </w:r>
          </w:p>
        </w:tc>
      </w:tr>
      <w:tr w:rsidR="008C10B7" w:rsidRPr="008C10B7" w14:paraId="72A928DE" w14:textId="77777777" w:rsidTr="00E96DE0">
        <w:trPr>
          <w:trHeight w:val="66"/>
        </w:trPr>
        <w:tc>
          <w:tcPr>
            <w:tcW w:w="1894" w:type="dxa"/>
            <w:vMerge w:val="restart"/>
            <w:tcBorders>
              <w:top w:val="nil"/>
              <w:left w:val="nil"/>
              <w:bottom w:val="nil"/>
              <w:right w:val="nil"/>
            </w:tcBorders>
          </w:tcPr>
          <w:p w14:paraId="3FECB685" w14:textId="77777777" w:rsidR="00C234EB" w:rsidRPr="008C10B7" w:rsidRDefault="00C234EB" w:rsidP="00E96DE0">
            <w:pPr>
              <w:spacing w:line="200" w:lineRule="exact"/>
              <w:rPr>
                <w:rFonts w:ascii="Times" w:hAnsi="Times" w:cs="Times New Roman"/>
                <w:b/>
                <w:bCs/>
                <w:sz w:val="18"/>
                <w:szCs w:val="18"/>
              </w:rPr>
            </w:pPr>
            <w:r w:rsidRPr="008C10B7">
              <w:rPr>
                <w:rFonts w:ascii="Times" w:hAnsi="Times" w:cs="Times New Roman"/>
                <w:b/>
                <w:bCs/>
                <w:sz w:val="18"/>
                <w:szCs w:val="18"/>
              </w:rPr>
              <w:t>Travel satisfaction</w:t>
            </w:r>
          </w:p>
        </w:tc>
        <w:tc>
          <w:tcPr>
            <w:tcW w:w="1894" w:type="dxa"/>
            <w:vMerge w:val="restart"/>
            <w:tcBorders>
              <w:top w:val="nil"/>
              <w:left w:val="nil"/>
              <w:bottom w:val="nil"/>
              <w:right w:val="nil"/>
            </w:tcBorders>
          </w:tcPr>
          <w:p w14:paraId="7722F177" w14:textId="083E7B99" w:rsidR="00C234EB" w:rsidRPr="008C10B7" w:rsidRDefault="00C234EB" w:rsidP="00E96DE0">
            <w:pPr>
              <w:spacing w:line="200" w:lineRule="exact"/>
              <w:jc w:val="both"/>
              <w:rPr>
                <w:rFonts w:ascii="Times" w:hAnsi="Times" w:cs="Times New Roman"/>
                <w:b/>
                <w:bCs/>
                <w:sz w:val="18"/>
                <w:szCs w:val="18"/>
              </w:rPr>
            </w:pPr>
            <w:r w:rsidRPr="008C10B7">
              <w:rPr>
                <w:rFonts w:ascii="Times" w:hAnsi="Times" w:cs="Times New Roman"/>
                <w:sz w:val="18"/>
                <w:szCs w:val="18"/>
              </w:rPr>
              <w:t>Car travel satisfaction</w:t>
            </w:r>
          </w:p>
        </w:tc>
        <w:tc>
          <w:tcPr>
            <w:tcW w:w="2287" w:type="dxa"/>
            <w:tcBorders>
              <w:top w:val="nil"/>
              <w:left w:val="nil"/>
              <w:bottom w:val="nil"/>
              <w:right w:val="nil"/>
            </w:tcBorders>
          </w:tcPr>
          <w:p w14:paraId="12966AAE" w14:textId="77777777" w:rsidR="00C234EB" w:rsidRPr="008C10B7" w:rsidRDefault="00C234EB"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Low</w:t>
            </w:r>
          </w:p>
        </w:tc>
        <w:tc>
          <w:tcPr>
            <w:tcW w:w="2719" w:type="dxa"/>
            <w:tcBorders>
              <w:top w:val="nil"/>
              <w:left w:val="nil"/>
              <w:bottom w:val="nil"/>
              <w:right w:val="nil"/>
            </w:tcBorders>
          </w:tcPr>
          <w:p w14:paraId="2F873FD9" w14:textId="23A70330" w:rsidR="00C234EB" w:rsidRPr="008C10B7" w:rsidRDefault="00C234EB"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1</w:t>
            </w:r>
            <w:r w:rsidR="00554941" w:rsidRPr="008C10B7">
              <w:rPr>
                <w:rFonts w:ascii="Times" w:hAnsi="Times" w:cs="Times New Roman"/>
                <w:sz w:val="18"/>
                <w:szCs w:val="18"/>
              </w:rPr>
              <w:t>1</w:t>
            </w:r>
            <w:r w:rsidRPr="008C10B7">
              <w:rPr>
                <w:rFonts w:ascii="Times" w:hAnsi="Times" w:cs="Times New Roman"/>
                <w:sz w:val="18"/>
                <w:szCs w:val="18"/>
              </w:rPr>
              <w:t xml:space="preserve"> (89)</w:t>
            </w:r>
          </w:p>
        </w:tc>
      </w:tr>
      <w:tr w:rsidR="008C10B7" w:rsidRPr="008C10B7" w14:paraId="0643DF6A" w14:textId="77777777" w:rsidTr="00E96DE0">
        <w:tc>
          <w:tcPr>
            <w:tcW w:w="1894" w:type="dxa"/>
            <w:vMerge/>
            <w:tcBorders>
              <w:top w:val="nil"/>
              <w:left w:val="nil"/>
              <w:bottom w:val="nil"/>
              <w:right w:val="nil"/>
            </w:tcBorders>
          </w:tcPr>
          <w:p w14:paraId="5E91BFF6" w14:textId="77777777" w:rsidR="00C234EB" w:rsidRPr="008C10B7" w:rsidRDefault="00C234EB" w:rsidP="00E96DE0">
            <w:pPr>
              <w:spacing w:line="200" w:lineRule="exact"/>
              <w:jc w:val="both"/>
              <w:rPr>
                <w:rFonts w:ascii="Times" w:hAnsi="Times" w:cs="Times New Roman"/>
                <w:sz w:val="18"/>
                <w:szCs w:val="18"/>
              </w:rPr>
            </w:pPr>
          </w:p>
        </w:tc>
        <w:tc>
          <w:tcPr>
            <w:tcW w:w="1894" w:type="dxa"/>
            <w:vMerge/>
            <w:tcBorders>
              <w:top w:val="nil"/>
              <w:left w:val="nil"/>
              <w:bottom w:val="nil"/>
              <w:right w:val="nil"/>
            </w:tcBorders>
          </w:tcPr>
          <w:p w14:paraId="187E2F30" w14:textId="77777777" w:rsidR="00C234EB" w:rsidRPr="008C10B7" w:rsidRDefault="00C234EB" w:rsidP="00E96DE0">
            <w:pPr>
              <w:widowControl w:val="0"/>
              <w:spacing w:line="200" w:lineRule="exact"/>
              <w:jc w:val="both"/>
              <w:rPr>
                <w:rFonts w:ascii="Times" w:hAnsi="Times" w:cs="Times New Roman"/>
                <w:sz w:val="18"/>
                <w:szCs w:val="18"/>
              </w:rPr>
            </w:pPr>
          </w:p>
        </w:tc>
        <w:tc>
          <w:tcPr>
            <w:tcW w:w="2287" w:type="dxa"/>
            <w:tcBorders>
              <w:top w:val="nil"/>
              <w:left w:val="nil"/>
              <w:bottom w:val="nil"/>
              <w:right w:val="nil"/>
            </w:tcBorders>
          </w:tcPr>
          <w:p w14:paraId="3BE510B7" w14:textId="77777777"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Moderate</w:t>
            </w:r>
          </w:p>
        </w:tc>
        <w:tc>
          <w:tcPr>
            <w:tcW w:w="2719" w:type="dxa"/>
            <w:tcBorders>
              <w:top w:val="nil"/>
              <w:left w:val="nil"/>
              <w:bottom w:val="nil"/>
              <w:right w:val="nil"/>
            </w:tcBorders>
          </w:tcPr>
          <w:p w14:paraId="5DBF12DF" w14:textId="77777777"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38 (309)</w:t>
            </w:r>
          </w:p>
        </w:tc>
      </w:tr>
      <w:tr w:rsidR="008C10B7" w:rsidRPr="008C10B7" w14:paraId="450B2314" w14:textId="77777777" w:rsidTr="00E96DE0">
        <w:tc>
          <w:tcPr>
            <w:tcW w:w="1894" w:type="dxa"/>
            <w:vMerge/>
            <w:tcBorders>
              <w:top w:val="nil"/>
              <w:left w:val="nil"/>
              <w:bottom w:val="nil"/>
              <w:right w:val="nil"/>
            </w:tcBorders>
          </w:tcPr>
          <w:p w14:paraId="74DE9649" w14:textId="77777777" w:rsidR="00C234EB" w:rsidRPr="008C10B7" w:rsidRDefault="00C234EB" w:rsidP="00E96DE0">
            <w:pPr>
              <w:spacing w:line="200" w:lineRule="exact"/>
              <w:jc w:val="both"/>
              <w:rPr>
                <w:rFonts w:ascii="Times" w:hAnsi="Times" w:cs="Times New Roman"/>
                <w:sz w:val="18"/>
                <w:szCs w:val="18"/>
              </w:rPr>
            </w:pPr>
          </w:p>
        </w:tc>
        <w:tc>
          <w:tcPr>
            <w:tcW w:w="1894" w:type="dxa"/>
            <w:vMerge/>
            <w:tcBorders>
              <w:top w:val="nil"/>
              <w:left w:val="nil"/>
              <w:bottom w:val="nil"/>
              <w:right w:val="nil"/>
            </w:tcBorders>
          </w:tcPr>
          <w:p w14:paraId="1A3851E1" w14:textId="77777777" w:rsidR="00C234EB" w:rsidRPr="008C10B7" w:rsidRDefault="00C234EB" w:rsidP="00E96DE0">
            <w:pPr>
              <w:spacing w:line="200" w:lineRule="exact"/>
              <w:jc w:val="both"/>
              <w:rPr>
                <w:rFonts w:ascii="Times" w:hAnsi="Times" w:cs="Times New Roman"/>
                <w:sz w:val="18"/>
                <w:szCs w:val="18"/>
              </w:rPr>
            </w:pPr>
          </w:p>
        </w:tc>
        <w:tc>
          <w:tcPr>
            <w:tcW w:w="2287" w:type="dxa"/>
            <w:tcBorders>
              <w:top w:val="nil"/>
              <w:left w:val="nil"/>
              <w:bottom w:val="nil"/>
              <w:right w:val="nil"/>
            </w:tcBorders>
          </w:tcPr>
          <w:p w14:paraId="7DA9D2D1" w14:textId="77777777" w:rsidR="00C234EB" w:rsidRPr="008C10B7" w:rsidRDefault="00C234EB" w:rsidP="00E96DE0">
            <w:pPr>
              <w:spacing w:line="200" w:lineRule="exact"/>
              <w:jc w:val="both"/>
              <w:rPr>
                <w:rFonts w:ascii="Times" w:hAnsi="Times" w:cs="Times New Roman"/>
                <w:b/>
                <w:bCs/>
                <w:sz w:val="18"/>
                <w:szCs w:val="18"/>
              </w:rPr>
            </w:pPr>
            <w:r w:rsidRPr="008C10B7">
              <w:rPr>
                <w:rFonts w:ascii="Times" w:hAnsi="Times" w:cs="Times New Roman"/>
                <w:sz w:val="18"/>
                <w:szCs w:val="18"/>
              </w:rPr>
              <w:t>High</w:t>
            </w:r>
          </w:p>
        </w:tc>
        <w:tc>
          <w:tcPr>
            <w:tcW w:w="2719" w:type="dxa"/>
            <w:tcBorders>
              <w:top w:val="nil"/>
              <w:left w:val="nil"/>
              <w:bottom w:val="nil"/>
              <w:right w:val="nil"/>
            </w:tcBorders>
          </w:tcPr>
          <w:p w14:paraId="770990F6" w14:textId="7134C82A"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5</w:t>
            </w:r>
            <w:r w:rsidR="00554941" w:rsidRPr="008C10B7">
              <w:rPr>
                <w:rFonts w:ascii="Times" w:hAnsi="Times" w:cs="Times New Roman"/>
                <w:sz w:val="18"/>
                <w:szCs w:val="18"/>
              </w:rPr>
              <w:t>1</w:t>
            </w:r>
            <w:r w:rsidRPr="008C10B7">
              <w:rPr>
                <w:rFonts w:ascii="Times" w:hAnsi="Times" w:cs="Times New Roman"/>
                <w:sz w:val="18"/>
                <w:szCs w:val="18"/>
              </w:rPr>
              <w:t xml:space="preserve"> (413)</w:t>
            </w:r>
          </w:p>
        </w:tc>
      </w:tr>
      <w:tr w:rsidR="008C10B7" w:rsidRPr="008C10B7" w14:paraId="781C9DA2" w14:textId="77777777" w:rsidTr="00E96DE0">
        <w:trPr>
          <w:trHeight w:val="66"/>
        </w:trPr>
        <w:tc>
          <w:tcPr>
            <w:tcW w:w="1894" w:type="dxa"/>
            <w:vMerge/>
            <w:tcBorders>
              <w:top w:val="nil"/>
              <w:left w:val="nil"/>
              <w:bottom w:val="nil"/>
              <w:right w:val="nil"/>
            </w:tcBorders>
          </w:tcPr>
          <w:p w14:paraId="574D9DE4" w14:textId="77777777" w:rsidR="00C234EB" w:rsidRPr="008C10B7" w:rsidRDefault="00C234EB" w:rsidP="00E96DE0">
            <w:pPr>
              <w:spacing w:line="200" w:lineRule="exact"/>
              <w:jc w:val="both"/>
              <w:rPr>
                <w:rFonts w:ascii="Times" w:hAnsi="Times" w:cs="Times New Roman"/>
                <w:sz w:val="18"/>
                <w:szCs w:val="18"/>
              </w:rPr>
            </w:pPr>
          </w:p>
        </w:tc>
        <w:tc>
          <w:tcPr>
            <w:tcW w:w="1894" w:type="dxa"/>
            <w:vMerge w:val="restart"/>
            <w:tcBorders>
              <w:top w:val="nil"/>
              <w:left w:val="nil"/>
              <w:bottom w:val="nil"/>
              <w:right w:val="nil"/>
            </w:tcBorders>
          </w:tcPr>
          <w:p w14:paraId="57AF15AF" w14:textId="6C671965"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Bus travel satisfaction</w:t>
            </w:r>
          </w:p>
        </w:tc>
        <w:tc>
          <w:tcPr>
            <w:tcW w:w="2287" w:type="dxa"/>
            <w:tcBorders>
              <w:top w:val="nil"/>
              <w:left w:val="nil"/>
              <w:bottom w:val="nil"/>
              <w:right w:val="nil"/>
            </w:tcBorders>
          </w:tcPr>
          <w:p w14:paraId="72DFBCF4" w14:textId="77777777" w:rsidR="00C234EB" w:rsidRPr="008C10B7" w:rsidRDefault="00C234EB"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Low</w:t>
            </w:r>
          </w:p>
        </w:tc>
        <w:tc>
          <w:tcPr>
            <w:tcW w:w="2719" w:type="dxa"/>
            <w:tcBorders>
              <w:top w:val="nil"/>
              <w:left w:val="nil"/>
              <w:bottom w:val="nil"/>
              <w:right w:val="nil"/>
            </w:tcBorders>
          </w:tcPr>
          <w:p w14:paraId="0C60C971" w14:textId="5D848868" w:rsidR="00C234EB" w:rsidRPr="008C10B7" w:rsidRDefault="00C234EB"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1</w:t>
            </w:r>
            <w:r w:rsidR="00554941" w:rsidRPr="008C10B7">
              <w:rPr>
                <w:rFonts w:ascii="Times" w:hAnsi="Times" w:cs="Times New Roman"/>
                <w:sz w:val="18"/>
                <w:szCs w:val="18"/>
              </w:rPr>
              <w:t>4</w:t>
            </w:r>
            <w:r w:rsidRPr="008C10B7">
              <w:rPr>
                <w:rFonts w:ascii="Times" w:hAnsi="Times" w:cs="Times New Roman"/>
                <w:sz w:val="18"/>
                <w:szCs w:val="18"/>
              </w:rPr>
              <w:t xml:space="preserve"> (110)</w:t>
            </w:r>
          </w:p>
        </w:tc>
      </w:tr>
      <w:tr w:rsidR="008C10B7" w:rsidRPr="008C10B7" w14:paraId="5FD0BBA1" w14:textId="77777777" w:rsidTr="00E96DE0">
        <w:tc>
          <w:tcPr>
            <w:tcW w:w="1894" w:type="dxa"/>
            <w:vMerge/>
            <w:tcBorders>
              <w:top w:val="nil"/>
              <w:left w:val="nil"/>
              <w:bottom w:val="nil"/>
              <w:right w:val="nil"/>
            </w:tcBorders>
          </w:tcPr>
          <w:p w14:paraId="7CD848C8" w14:textId="77777777" w:rsidR="00C234EB" w:rsidRPr="008C10B7" w:rsidRDefault="00C234EB" w:rsidP="00E96DE0">
            <w:pPr>
              <w:spacing w:line="200" w:lineRule="exact"/>
              <w:jc w:val="both"/>
              <w:rPr>
                <w:rFonts w:ascii="Times" w:hAnsi="Times" w:cs="Times New Roman"/>
                <w:sz w:val="18"/>
                <w:szCs w:val="18"/>
              </w:rPr>
            </w:pPr>
          </w:p>
        </w:tc>
        <w:tc>
          <w:tcPr>
            <w:tcW w:w="1894" w:type="dxa"/>
            <w:vMerge/>
            <w:tcBorders>
              <w:top w:val="nil"/>
              <w:left w:val="nil"/>
              <w:bottom w:val="nil"/>
              <w:right w:val="nil"/>
            </w:tcBorders>
          </w:tcPr>
          <w:p w14:paraId="106D2775" w14:textId="77777777" w:rsidR="00C234EB" w:rsidRPr="008C10B7" w:rsidRDefault="00C234EB" w:rsidP="00E96DE0">
            <w:pPr>
              <w:widowControl w:val="0"/>
              <w:spacing w:line="200" w:lineRule="exact"/>
              <w:jc w:val="both"/>
              <w:rPr>
                <w:rFonts w:ascii="Times" w:hAnsi="Times" w:cs="Times New Roman"/>
                <w:sz w:val="18"/>
                <w:szCs w:val="18"/>
              </w:rPr>
            </w:pPr>
          </w:p>
        </w:tc>
        <w:tc>
          <w:tcPr>
            <w:tcW w:w="2287" w:type="dxa"/>
            <w:tcBorders>
              <w:top w:val="nil"/>
              <w:left w:val="nil"/>
              <w:bottom w:val="nil"/>
              <w:right w:val="nil"/>
            </w:tcBorders>
          </w:tcPr>
          <w:p w14:paraId="468F5E4A" w14:textId="77777777"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Moderate</w:t>
            </w:r>
          </w:p>
        </w:tc>
        <w:tc>
          <w:tcPr>
            <w:tcW w:w="2719" w:type="dxa"/>
            <w:tcBorders>
              <w:top w:val="nil"/>
              <w:left w:val="nil"/>
              <w:bottom w:val="nil"/>
              <w:right w:val="nil"/>
            </w:tcBorders>
          </w:tcPr>
          <w:p w14:paraId="05210BDC" w14:textId="32B090A8" w:rsidR="00C234EB" w:rsidRPr="008C10B7" w:rsidRDefault="00554941" w:rsidP="00E96DE0">
            <w:pPr>
              <w:spacing w:line="200" w:lineRule="exact"/>
              <w:jc w:val="both"/>
              <w:rPr>
                <w:rFonts w:ascii="Times" w:hAnsi="Times" w:cs="Times New Roman"/>
                <w:sz w:val="18"/>
                <w:szCs w:val="18"/>
              </w:rPr>
            </w:pPr>
            <w:r w:rsidRPr="008C10B7">
              <w:rPr>
                <w:rFonts w:ascii="Times" w:hAnsi="Times" w:cs="Times New Roman"/>
                <w:sz w:val="18"/>
                <w:szCs w:val="18"/>
              </w:rPr>
              <w:t>30</w:t>
            </w:r>
            <w:r w:rsidR="00C234EB" w:rsidRPr="008C10B7">
              <w:rPr>
                <w:rFonts w:ascii="Times" w:hAnsi="Times" w:cs="Times New Roman"/>
                <w:sz w:val="18"/>
                <w:szCs w:val="18"/>
              </w:rPr>
              <w:t xml:space="preserve"> (241)</w:t>
            </w:r>
          </w:p>
        </w:tc>
      </w:tr>
      <w:tr w:rsidR="008C10B7" w:rsidRPr="008C10B7" w14:paraId="11E0B9FE" w14:textId="77777777" w:rsidTr="00E96DE0">
        <w:tc>
          <w:tcPr>
            <w:tcW w:w="1894" w:type="dxa"/>
            <w:vMerge/>
            <w:tcBorders>
              <w:top w:val="nil"/>
              <w:left w:val="nil"/>
              <w:bottom w:val="nil"/>
              <w:right w:val="nil"/>
            </w:tcBorders>
          </w:tcPr>
          <w:p w14:paraId="65BAFEFB" w14:textId="77777777" w:rsidR="00C234EB" w:rsidRPr="008C10B7" w:rsidRDefault="00C234EB" w:rsidP="00E96DE0">
            <w:pPr>
              <w:spacing w:line="200" w:lineRule="exact"/>
              <w:jc w:val="both"/>
              <w:rPr>
                <w:rFonts w:ascii="Times" w:hAnsi="Times" w:cs="Times New Roman"/>
                <w:sz w:val="18"/>
                <w:szCs w:val="18"/>
              </w:rPr>
            </w:pPr>
          </w:p>
        </w:tc>
        <w:tc>
          <w:tcPr>
            <w:tcW w:w="1894" w:type="dxa"/>
            <w:vMerge/>
            <w:tcBorders>
              <w:top w:val="nil"/>
              <w:left w:val="nil"/>
              <w:bottom w:val="nil"/>
              <w:right w:val="nil"/>
            </w:tcBorders>
          </w:tcPr>
          <w:p w14:paraId="51D4C7D0" w14:textId="77777777" w:rsidR="00C234EB" w:rsidRPr="008C10B7" w:rsidRDefault="00C234EB" w:rsidP="00E96DE0">
            <w:pPr>
              <w:spacing w:line="200" w:lineRule="exact"/>
              <w:jc w:val="both"/>
              <w:rPr>
                <w:rFonts w:ascii="Times" w:hAnsi="Times" w:cs="Times New Roman"/>
                <w:sz w:val="18"/>
                <w:szCs w:val="18"/>
              </w:rPr>
            </w:pPr>
          </w:p>
        </w:tc>
        <w:tc>
          <w:tcPr>
            <w:tcW w:w="2287" w:type="dxa"/>
            <w:tcBorders>
              <w:top w:val="nil"/>
              <w:left w:val="nil"/>
              <w:bottom w:val="nil"/>
              <w:right w:val="nil"/>
            </w:tcBorders>
          </w:tcPr>
          <w:p w14:paraId="6B024E3A" w14:textId="77777777" w:rsidR="00C234EB" w:rsidRPr="008C10B7" w:rsidRDefault="00C234EB" w:rsidP="00E96DE0">
            <w:pPr>
              <w:spacing w:line="200" w:lineRule="exact"/>
              <w:jc w:val="both"/>
              <w:rPr>
                <w:rFonts w:ascii="Times" w:hAnsi="Times" w:cs="Times New Roman"/>
                <w:b/>
                <w:bCs/>
                <w:sz w:val="18"/>
                <w:szCs w:val="18"/>
              </w:rPr>
            </w:pPr>
            <w:r w:rsidRPr="008C10B7">
              <w:rPr>
                <w:rFonts w:ascii="Times" w:hAnsi="Times" w:cs="Times New Roman"/>
                <w:sz w:val="18"/>
                <w:szCs w:val="18"/>
              </w:rPr>
              <w:t>High</w:t>
            </w:r>
          </w:p>
        </w:tc>
        <w:tc>
          <w:tcPr>
            <w:tcW w:w="2719" w:type="dxa"/>
            <w:tcBorders>
              <w:top w:val="nil"/>
              <w:left w:val="nil"/>
              <w:bottom w:val="nil"/>
              <w:right w:val="nil"/>
            </w:tcBorders>
          </w:tcPr>
          <w:p w14:paraId="527FF4D7" w14:textId="77777777"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56 (460)</w:t>
            </w:r>
          </w:p>
        </w:tc>
      </w:tr>
      <w:tr w:rsidR="008C10B7" w:rsidRPr="008C10B7" w14:paraId="4056BBE3" w14:textId="77777777" w:rsidTr="00E96DE0">
        <w:trPr>
          <w:trHeight w:val="153"/>
        </w:trPr>
        <w:tc>
          <w:tcPr>
            <w:tcW w:w="1894" w:type="dxa"/>
            <w:vMerge/>
            <w:tcBorders>
              <w:top w:val="nil"/>
              <w:left w:val="nil"/>
              <w:bottom w:val="nil"/>
              <w:right w:val="nil"/>
            </w:tcBorders>
          </w:tcPr>
          <w:p w14:paraId="754C0F99" w14:textId="77777777" w:rsidR="00C234EB" w:rsidRPr="008C10B7" w:rsidRDefault="00C234EB" w:rsidP="00E96DE0">
            <w:pPr>
              <w:spacing w:line="200" w:lineRule="exact"/>
              <w:jc w:val="both"/>
              <w:rPr>
                <w:rFonts w:ascii="Times" w:hAnsi="Times" w:cs="Times New Roman"/>
                <w:sz w:val="18"/>
                <w:szCs w:val="18"/>
              </w:rPr>
            </w:pPr>
          </w:p>
        </w:tc>
        <w:tc>
          <w:tcPr>
            <w:tcW w:w="1894" w:type="dxa"/>
            <w:vMerge w:val="restart"/>
            <w:tcBorders>
              <w:top w:val="nil"/>
              <w:left w:val="nil"/>
              <w:bottom w:val="nil"/>
              <w:right w:val="nil"/>
            </w:tcBorders>
          </w:tcPr>
          <w:p w14:paraId="01FF67FB" w14:textId="3C54FAD4"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Metro travel satisfaction</w:t>
            </w:r>
          </w:p>
        </w:tc>
        <w:tc>
          <w:tcPr>
            <w:tcW w:w="2287" w:type="dxa"/>
            <w:tcBorders>
              <w:top w:val="nil"/>
              <w:left w:val="nil"/>
              <w:bottom w:val="nil"/>
              <w:right w:val="nil"/>
            </w:tcBorders>
          </w:tcPr>
          <w:p w14:paraId="3E44C45A" w14:textId="77777777" w:rsidR="00C234EB" w:rsidRPr="008C10B7" w:rsidRDefault="00C234EB"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Low</w:t>
            </w:r>
          </w:p>
        </w:tc>
        <w:tc>
          <w:tcPr>
            <w:tcW w:w="2719" w:type="dxa"/>
            <w:tcBorders>
              <w:top w:val="nil"/>
              <w:left w:val="nil"/>
              <w:bottom w:val="nil"/>
              <w:right w:val="nil"/>
            </w:tcBorders>
          </w:tcPr>
          <w:p w14:paraId="6F2D8510" w14:textId="77777777" w:rsidR="00C234EB" w:rsidRPr="008C10B7" w:rsidRDefault="00C234EB"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7 (59)</w:t>
            </w:r>
          </w:p>
        </w:tc>
      </w:tr>
      <w:tr w:rsidR="008C10B7" w:rsidRPr="008C10B7" w14:paraId="66BC307F" w14:textId="77777777" w:rsidTr="00E96DE0">
        <w:tc>
          <w:tcPr>
            <w:tcW w:w="1894" w:type="dxa"/>
            <w:vMerge/>
            <w:tcBorders>
              <w:top w:val="nil"/>
              <w:left w:val="nil"/>
              <w:bottom w:val="nil"/>
              <w:right w:val="nil"/>
            </w:tcBorders>
          </w:tcPr>
          <w:p w14:paraId="5A72BDB8" w14:textId="77777777" w:rsidR="00C234EB" w:rsidRPr="008C10B7" w:rsidRDefault="00C234EB" w:rsidP="00E96DE0">
            <w:pPr>
              <w:spacing w:line="200" w:lineRule="exact"/>
              <w:jc w:val="both"/>
              <w:rPr>
                <w:rFonts w:ascii="Times" w:hAnsi="Times" w:cs="Times New Roman"/>
                <w:sz w:val="18"/>
                <w:szCs w:val="18"/>
              </w:rPr>
            </w:pPr>
          </w:p>
        </w:tc>
        <w:tc>
          <w:tcPr>
            <w:tcW w:w="1894" w:type="dxa"/>
            <w:vMerge/>
            <w:tcBorders>
              <w:top w:val="nil"/>
              <w:left w:val="nil"/>
              <w:bottom w:val="nil"/>
              <w:right w:val="nil"/>
            </w:tcBorders>
          </w:tcPr>
          <w:p w14:paraId="7EE515E7" w14:textId="77777777" w:rsidR="00C234EB" w:rsidRPr="008C10B7" w:rsidRDefault="00C234EB" w:rsidP="00E96DE0">
            <w:pPr>
              <w:widowControl w:val="0"/>
              <w:spacing w:line="200" w:lineRule="exact"/>
              <w:jc w:val="both"/>
              <w:rPr>
                <w:rFonts w:ascii="Times" w:hAnsi="Times" w:cs="Times New Roman"/>
                <w:sz w:val="18"/>
                <w:szCs w:val="18"/>
              </w:rPr>
            </w:pPr>
          </w:p>
        </w:tc>
        <w:tc>
          <w:tcPr>
            <w:tcW w:w="2287" w:type="dxa"/>
            <w:tcBorders>
              <w:top w:val="nil"/>
              <w:left w:val="nil"/>
              <w:bottom w:val="nil"/>
              <w:right w:val="nil"/>
            </w:tcBorders>
          </w:tcPr>
          <w:p w14:paraId="35864BDC" w14:textId="77777777"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Moderate</w:t>
            </w:r>
          </w:p>
        </w:tc>
        <w:tc>
          <w:tcPr>
            <w:tcW w:w="2719" w:type="dxa"/>
            <w:tcBorders>
              <w:top w:val="nil"/>
              <w:left w:val="nil"/>
              <w:bottom w:val="nil"/>
              <w:right w:val="nil"/>
            </w:tcBorders>
          </w:tcPr>
          <w:p w14:paraId="7C190405" w14:textId="326C2ADA"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1</w:t>
            </w:r>
            <w:r w:rsidR="00554941" w:rsidRPr="008C10B7">
              <w:rPr>
                <w:rFonts w:ascii="Times" w:hAnsi="Times" w:cs="Times New Roman"/>
                <w:sz w:val="18"/>
                <w:szCs w:val="18"/>
              </w:rPr>
              <w:t>8</w:t>
            </w:r>
            <w:r w:rsidRPr="008C10B7">
              <w:rPr>
                <w:rFonts w:ascii="Times" w:hAnsi="Times" w:cs="Times New Roman"/>
                <w:sz w:val="18"/>
                <w:szCs w:val="18"/>
              </w:rPr>
              <w:t xml:space="preserve"> (144)</w:t>
            </w:r>
          </w:p>
        </w:tc>
      </w:tr>
      <w:tr w:rsidR="008C10B7" w:rsidRPr="008C10B7" w14:paraId="056B8109" w14:textId="77777777" w:rsidTr="00E96DE0">
        <w:tc>
          <w:tcPr>
            <w:tcW w:w="1894" w:type="dxa"/>
            <w:vMerge/>
            <w:tcBorders>
              <w:top w:val="nil"/>
              <w:left w:val="nil"/>
              <w:bottom w:val="nil"/>
              <w:right w:val="nil"/>
            </w:tcBorders>
          </w:tcPr>
          <w:p w14:paraId="5C9D5B91" w14:textId="77777777" w:rsidR="00C234EB" w:rsidRPr="008C10B7" w:rsidRDefault="00C234EB" w:rsidP="00E96DE0">
            <w:pPr>
              <w:spacing w:line="200" w:lineRule="exact"/>
              <w:jc w:val="both"/>
              <w:rPr>
                <w:rFonts w:ascii="Times" w:hAnsi="Times" w:cs="Times New Roman"/>
                <w:sz w:val="18"/>
                <w:szCs w:val="18"/>
              </w:rPr>
            </w:pPr>
          </w:p>
        </w:tc>
        <w:tc>
          <w:tcPr>
            <w:tcW w:w="1894" w:type="dxa"/>
            <w:vMerge/>
            <w:tcBorders>
              <w:top w:val="nil"/>
              <w:left w:val="nil"/>
              <w:bottom w:val="nil"/>
              <w:right w:val="nil"/>
            </w:tcBorders>
          </w:tcPr>
          <w:p w14:paraId="1BCEA4F1" w14:textId="77777777" w:rsidR="00C234EB" w:rsidRPr="008C10B7" w:rsidRDefault="00C234EB" w:rsidP="00E96DE0">
            <w:pPr>
              <w:spacing w:line="200" w:lineRule="exact"/>
              <w:jc w:val="both"/>
              <w:rPr>
                <w:rFonts w:ascii="Times" w:hAnsi="Times" w:cs="Times New Roman"/>
                <w:sz w:val="18"/>
                <w:szCs w:val="18"/>
              </w:rPr>
            </w:pPr>
          </w:p>
        </w:tc>
        <w:tc>
          <w:tcPr>
            <w:tcW w:w="2287" w:type="dxa"/>
            <w:tcBorders>
              <w:top w:val="nil"/>
              <w:left w:val="nil"/>
              <w:bottom w:val="nil"/>
              <w:right w:val="nil"/>
            </w:tcBorders>
          </w:tcPr>
          <w:p w14:paraId="619A6E2B" w14:textId="77777777" w:rsidR="00C234EB" w:rsidRPr="008C10B7" w:rsidRDefault="00C234EB" w:rsidP="00E96DE0">
            <w:pPr>
              <w:spacing w:line="200" w:lineRule="exact"/>
              <w:jc w:val="both"/>
              <w:rPr>
                <w:rFonts w:ascii="Times" w:hAnsi="Times" w:cs="Times New Roman"/>
                <w:b/>
                <w:bCs/>
                <w:sz w:val="18"/>
                <w:szCs w:val="18"/>
              </w:rPr>
            </w:pPr>
            <w:r w:rsidRPr="008C10B7">
              <w:rPr>
                <w:rFonts w:ascii="Times" w:hAnsi="Times" w:cs="Times New Roman"/>
                <w:sz w:val="18"/>
                <w:szCs w:val="18"/>
              </w:rPr>
              <w:t>High</w:t>
            </w:r>
          </w:p>
        </w:tc>
        <w:tc>
          <w:tcPr>
            <w:tcW w:w="2719" w:type="dxa"/>
            <w:tcBorders>
              <w:top w:val="nil"/>
              <w:left w:val="nil"/>
              <w:bottom w:val="nil"/>
              <w:right w:val="nil"/>
            </w:tcBorders>
          </w:tcPr>
          <w:p w14:paraId="7C813F6F" w14:textId="00E8FC9D"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7</w:t>
            </w:r>
            <w:r w:rsidR="00554941" w:rsidRPr="008C10B7">
              <w:rPr>
                <w:rFonts w:ascii="Times" w:hAnsi="Times" w:cs="Times New Roman"/>
                <w:sz w:val="18"/>
                <w:szCs w:val="18"/>
              </w:rPr>
              <w:t>5</w:t>
            </w:r>
            <w:r w:rsidRPr="008C10B7">
              <w:rPr>
                <w:rFonts w:ascii="Times" w:hAnsi="Times" w:cs="Times New Roman"/>
                <w:sz w:val="18"/>
                <w:szCs w:val="18"/>
              </w:rPr>
              <w:t xml:space="preserve"> (608)</w:t>
            </w:r>
          </w:p>
        </w:tc>
      </w:tr>
      <w:tr w:rsidR="008C10B7" w:rsidRPr="008C10B7" w14:paraId="6F60DFF7" w14:textId="77777777" w:rsidTr="00E96DE0">
        <w:trPr>
          <w:trHeight w:val="91"/>
        </w:trPr>
        <w:tc>
          <w:tcPr>
            <w:tcW w:w="1894" w:type="dxa"/>
            <w:vMerge/>
            <w:tcBorders>
              <w:top w:val="nil"/>
              <w:left w:val="nil"/>
              <w:bottom w:val="nil"/>
              <w:right w:val="nil"/>
            </w:tcBorders>
          </w:tcPr>
          <w:p w14:paraId="0841E58E" w14:textId="77777777" w:rsidR="00C234EB" w:rsidRPr="008C10B7" w:rsidRDefault="00C234EB" w:rsidP="00E96DE0">
            <w:pPr>
              <w:spacing w:line="200" w:lineRule="exact"/>
              <w:jc w:val="both"/>
              <w:rPr>
                <w:rFonts w:ascii="Times" w:hAnsi="Times" w:cs="Times New Roman"/>
                <w:sz w:val="18"/>
                <w:szCs w:val="18"/>
              </w:rPr>
            </w:pPr>
          </w:p>
        </w:tc>
        <w:tc>
          <w:tcPr>
            <w:tcW w:w="1894" w:type="dxa"/>
            <w:vMerge w:val="restart"/>
            <w:tcBorders>
              <w:top w:val="nil"/>
              <w:left w:val="nil"/>
              <w:bottom w:val="nil"/>
              <w:right w:val="nil"/>
            </w:tcBorders>
          </w:tcPr>
          <w:p w14:paraId="63101D4D" w14:textId="02FB9672" w:rsidR="00C234EB" w:rsidRPr="008C10B7" w:rsidRDefault="00C234EB"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Bike/e-bike travel satisfaction</w:t>
            </w:r>
          </w:p>
        </w:tc>
        <w:tc>
          <w:tcPr>
            <w:tcW w:w="2287" w:type="dxa"/>
            <w:tcBorders>
              <w:top w:val="nil"/>
              <w:left w:val="nil"/>
              <w:bottom w:val="nil"/>
              <w:right w:val="nil"/>
            </w:tcBorders>
          </w:tcPr>
          <w:p w14:paraId="7C40ECF5" w14:textId="77777777" w:rsidR="00C234EB" w:rsidRPr="008C10B7" w:rsidRDefault="00C234EB"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Low</w:t>
            </w:r>
          </w:p>
        </w:tc>
        <w:tc>
          <w:tcPr>
            <w:tcW w:w="2719" w:type="dxa"/>
            <w:tcBorders>
              <w:top w:val="nil"/>
              <w:left w:val="nil"/>
              <w:bottom w:val="nil"/>
              <w:right w:val="nil"/>
            </w:tcBorders>
          </w:tcPr>
          <w:p w14:paraId="61CF78F9" w14:textId="77777777" w:rsidR="00C234EB" w:rsidRPr="008C10B7" w:rsidRDefault="00C234EB"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9 (73)</w:t>
            </w:r>
          </w:p>
        </w:tc>
      </w:tr>
      <w:tr w:rsidR="008C10B7" w:rsidRPr="008C10B7" w14:paraId="57562E9C" w14:textId="77777777" w:rsidTr="00E96DE0">
        <w:tc>
          <w:tcPr>
            <w:tcW w:w="1894" w:type="dxa"/>
            <w:vMerge/>
            <w:tcBorders>
              <w:top w:val="nil"/>
              <w:left w:val="nil"/>
              <w:bottom w:val="nil"/>
              <w:right w:val="nil"/>
            </w:tcBorders>
          </w:tcPr>
          <w:p w14:paraId="727CFC11" w14:textId="77777777" w:rsidR="00C234EB" w:rsidRPr="008C10B7" w:rsidRDefault="00C234EB" w:rsidP="00E96DE0">
            <w:pPr>
              <w:spacing w:line="200" w:lineRule="exact"/>
              <w:jc w:val="both"/>
              <w:rPr>
                <w:rFonts w:ascii="Times" w:hAnsi="Times" w:cs="Times New Roman"/>
                <w:sz w:val="18"/>
                <w:szCs w:val="18"/>
              </w:rPr>
            </w:pPr>
          </w:p>
        </w:tc>
        <w:tc>
          <w:tcPr>
            <w:tcW w:w="1894" w:type="dxa"/>
            <w:vMerge/>
            <w:tcBorders>
              <w:top w:val="nil"/>
              <w:left w:val="nil"/>
              <w:bottom w:val="nil"/>
              <w:right w:val="nil"/>
            </w:tcBorders>
          </w:tcPr>
          <w:p w14:paraId="3FDF0366" w14:textId="77777777" w:rsidR="00C234EB" w:rsidRPr="008C10B7" w:rsidRDefault="00C234EB" w:rsidP="00E96DE0">
            <w:pPr>
              <w:widowControl w:val="0"/>
              <w:spacing w:line="200" w:lineRule="exact"/>
              <w:jc w:val="both"/>
              <w:rPr>
                <w:rFonts w:ascii="Times" w:hAnsi="Times" w:cs="Times New Roman"/>
                <w:sz w:val="18"/>
                <w:szCs w:val="18"/>
              </w:rPr>
            </w:pPr>
          </w:p>
        </w:tc>
        <w:tc>
          <w:tcPr>
            <w:tcW w:w="2287" w:type="dxa"/>
            <w:tcBorders>
              <w:top w:val="nil"/>
              <w:left w:val="nil"/>
              <w:bottom w:val="nil"/>
              <w:right w:val="nil"/>
            </w:tcBorders>
          </w:tcPr>
          <w:p w14:paraId="69923732" w14:textId="77777777"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Moderate</w:t>
            </w:r>
          </w:p>
        </w:tc>
        <w:tc>
          <w:tcPr>
            <w:tcW w:w="2719" w:type="dxa"/>
            <w:tcBorders>
              <w:top w:val="nil"/>
              <w:left w:val="nil"/>
              <w:bottom w:val="nil"/>
              <w:right w:val="nil"/>
            </w:tcBorders>
          </w:tcPr>
          <w:p w14:paraId="295C5C85" w14:textId="77777777"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21 (171)</w:t>
            </w:r>
          </w:p>
        </w:tc>
      </w:tr>
      <w:tr w:rsidR="008C10B7" w:rsidRPr="008C10B7" w14:paraId="341846F6" w14:textId="77777777" w:rsidTr="00E96DE0">
        <w:tc>
          <w:tcPr>
            <w:tcW w:w="1894" w:type="dxa"/>
            <w:vMerge/>
            <w:tcBorders>
              <w:top w:val="nil"/>
              <w:left w:val="nil"/>
              <w:bottom w:val="nil"/>
              <w:right w:val="nil"/>
            </w:tcBorders>
          </w:tcPr>
          <w:p w14:paraId="2046FDC7" w14:textId="77777777" w:rsidR="00C234EB" w:rsidRPr="008C10B7" w:rsidRDefault="00C234EB" w:rsidP="00E96DE0">
            <w:pPr>
              <w:spacing w:line="200" w:lineRule="exact"/>
              <w:jc w:val="both"/>
              <w:rPr>
                <w:rFonts w:ascii="Times" w:hAnsi="Times" w:cs="Times New Roman"/>
                <w:sz w:val="18"/>
                <w:szCs w:val="18"/>
              </w:rPr>
            </w:pPr>
          </w:p>
        </w:tc>
        <w:tc>
          <w:tcPr>
            <w:tcW w:w="1894" w:type="dxa"/>
            <w:vMerge/>
            <w:tcBorders>
              <w:top w:val="nil"/>
              <w:left w:val="nil"/>
              <w:bottom w:val="nil"/>
              <w:right w:val="nil"/>
            </w:tcBorders>
          </w:tcPr>
          <w:p w14:paraId="5E826C5F" w14:textId="77777777" w:rsidR="00C234EB" w:rsidRPr="008C10B7" w:rsidRDefault="00C234EB" w:rsidP="00E96DE0">
            <w:pPr>
              <w:spacing w:line="200" w:lineRule="exact"/>
              <w:jc w:val="both"/>
              <w:rPr>
                <w:rFonts w:ascii="Times" w:hAnsi="Times" w:cs="Times New Roman"/>
                <w:sz w:val="18"/>
                <w:szCs w:val="18"/>
              </w:rPr>
            </w:pPr>
          </w:p>
        </w:tc>
        <w:tc>
          <w:tcPr>
            <w:tcW w:w="2287" w:type="dxa"/>
            <w:tcBorders>
              <w:top w:val="nil"/>
              <w:left w:val="nil"/>
              <w:bottom w:val="nil"/>
              <w:right w:val="nil"/>
            </w:tcBorders>
          </w:tcPr>
          <w:p w14:paraId="4C845160" w14:textId="77777777" w:rsidR="00C234EB" w:rsidRPr="008C10B7" w:rsidRDefault="00C234EB" w:rsidP="00E96DE0">
            <w:pPr>
              <w:spacing w:line="200" w:lineRule="exact"/>
              <w:jc w:val="both"/>
              <w:rPr>
                <w:rFonts w:ascii="Times" w:hAnsi="Times" w:cs="Times New Roman"/>
                <w:b/>
                <w:bCs/>
                <w:sz w:val="18"/>
                <w:szCs w:val="18"/>
              </w:rPr>
            </w:pPr>
            <w:r w:rsidRPr="008C10B7">
              <w:rPr>
                <w:rFonts w:ascii="Times" w:hAnsi="Times" w:cs="Times New Roman"/>
                <w:sz w:val="18"/>
                <w:szCs w:val="18"/>
              </w:rPr>
              <w:t>High</w:t>
            </w:r>
          </w:p>
        </w:tc>
        <w:tc>
          <w:tcPr>
            <w:tcW w:w="2719" w:type="dxa"/>
            <w:tcBorders>
              <w:top w:val="nil"/>
              <w:left w:val="nil"/>
              <w:bottom w:val="nil"/>
              <w:right w:val="nil"/>
            </w:tcBorders>
          </w:tcPr>
          <w:p w14:paraId="0B32BA0D" w14:textId="6EE5C17A" w:rsidR="00C234EB" w:rsidRPr="008C10B7" w:rsidRDefault="00FE00F0" w:rsidP="00E96DE0">
            <w:pPr>
              <w:spacing w:line="200" w:lineRule="exact"/>
              <w:jc w:val="both"/>
              <w:rPr>
                <w:rFonts w:ascii="Times" w:hAnsi="Times" w:cs="Times New Roman"/>
                <w:sz w:val="18"/>
                <w:szCs w:val="18"/>
              </w:rPr>
            </w:pPr>
            <w:r w:rsidRPr="008C10B7">
              <w:rPr>
                <w:rFonts w:ascii="Times" w:hAnsi="Times" w:cs="Times New Roman"/>
                <w:sz w:val="18"/>
                <w:szCs w:val="18"/>
              </w:rPr>
              <w:t>70</w:t>
            </w:r>
            <w:r w:rsidR="00C234EB" w:rsidRPr="008C10B7">
              <w:rPr>
                <w:rFonts w:ascii="Times" w:hAnsi="Times" w:cs="Times New Roman"/>
                <w:sz w:val="18"/>
                <w:szCs w:val="18"/>
              </w:rPr>
              <w:t xml:space="preserve"> (567)</w:t>
            </w:r>
          </w:p>
        </w:tc>
      </w:tr>
      <w:tr w:rsidR="008C10B7" w:rsidRPr="008C10B7" w14:paraId="3D68ECCA" w14:textId="77777777" w:rsidTr="00E96DE0">
        <w:trPr>
          <w:trHeight w:val="66"/>
        </w:trPr>
        <w:tc>
          <w:tcPr>
            <w:tcW w:w="1894" w:type="dxa"/>
            <w:vMerge/>
            <w:tcBorders>
              <w:top w:val="nil"/>
              <w:left w:val="nil"/>
              <w:bottom w:val="nil"/>
              <w:right w:val="nil"/>
            </w:tcBorders>
          </w:tcPr>
          <w:p w14:paraId="226714B9" w14:textId="77777777" w:rsidR="00C234EB" w:rsidRPr="008C10B7" w:rsidRDefault="00C234EB" w:rsidP="00E96DE0">
            <w:pPr>
              <w:spacing w:line="200" w:lineRule="exact"/>
              <w:jc w:val="both"/>
              <w:rPr>
                <w:rFonts w:ascii="Times" w:hAnsi="Times" w:cs="Times New Roman"/>
                <w:sz w:val="18"/>
                <w:szCs w:val="18"/>
              </w:rPr>
            </w:pPr>
          </w:p>
        </w:tc>
        <w:tc>
          <w:tcPr>
            <w:tcW w:w="1894" w:type="dxa"/>
            <w:vMerge w:val="restart"/>
            <w:tcBorders>
              <w:top w:val="nil"/>
              <w:left w:val="nil"/>
              <w:bottom w:val="nil"/>
              <w:right w:val="nil"/>
            </w:tcBorders>
          </w:tcPr>
          <w:p w14:paraId="6792D060" w14:textId="20E81D87"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Walking satisfaction</w:t>
            </w:r>
          </w:p>
        </w:tc>
        <w:tc>
          <w:tcPr>
            <w:tcW w:w="2287" w:type="dxa"/>
            <w:tcBorders>
              <w:top w:val="nil"/>
              <w:left w:val="nil"/>
              <w:bottom w:val="nil"/>
              <w:right w:val="nil"/>
            </w:tcBorders>
          </w:tcPr>
          <w:p w14:paraId="0650E48C" w14:textId="77777777" w:rsidR="00C234EB" w:rsidRPr="008C10B7" w:rsidRDefault="00C234EB"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Low</w:t>
            </w:r>
          </w:p>
        </w:tc>
        <w:tc>
          <w:tcPr>
            <w:tcW w:w="2719" w:type="dxa"/>
            <w:tcBorders>
              <w:top w:val="nil"/>
              <w:left w:val="nil"/>
              <w:bottom w:val="nil"/>
              <w:right w:val="nil"/>
            </w:tcBorders>
          </w:tcPr>
          <w:p w14:paraId="685C7106" w14:textId="4A15829A" w:rsidR="00C234EB" w:rsidRPr="008C10B7" w:rsidRDefault="00C234EB" w:rsidP="00E96DE0">
            <w:pPr>
              <w:widowControl w:val="0"/>
              <w:spacing w:line="200" w:lineRule="exact"/>
              <w:jc w:val="both"/>
              <w:rPr>
                <w:rFonts w:ascii="Times" w:hAnsi="Times" w:cs="Times New Roman"/>
                <w:sz w:val="18"/>
                <w:szCs w:val="18"/>
              </w:rPr>
            </w:pPr>
            <w:r w:rsidRPr="008C10B7">
              <w:rPr>
                <w:rFonts w:ascii="Times" w:hAnsi="Times" w:cs="Times New Roman"/>
                <w:sz w:val="18"/>
                <w:szCs w:val="18"/>
              </w:rPr>
              <w:t>1</w:t>
            </w:r>
            <w:r w:rsidR="00FE00F0" w:rsidRPr="008C10B7">
              <w:rPr>
                <w:rFonts w:ascii="Times" w:hAnsi="Times" w:cs="Times New Roman"/>
                <w:sz w:val="18"/>
                <w:szCs w:val="18"/>
              </w:rPr>
              <w:t>3</w:t>
            </w:r>
            <w:r w:rsidRPr="008C10B7">
              <w:rPr>
                <w:rFonts w:ascii="Times" w:hAnsi="Times" w:cs="Times New Roman"/>
                <w:sz w:val="18"/>
                <w:szCs w:val="18"/>
              </w:rPr>
              <w:t xml:space="preserve"> (103)</w:t>
            </w:r>
          </w:p>
        </w:tc>
      </w:tr>
      <w:tr w:rsidR="008C10B7" w:rsidRPr="008C10B7" w14:paraId="23FCA8DB" w14:textId="77777777" w:rsidTr="00E96DE0">
        <w:tc>
          <w:tcPr>
            <w:tcW w:w="1894" w:type="dxa"/>
            <w:vMerge/>
            <w:tcBorders>
              <w:top w:val="nil"/>
              <w:left w:val="nil"/>
              <w:bottom w:val="nil"/>
              <w:right w:val="nil"/>
            </w:tcBorders>
          </w:tcPr>
          <w:p w14:paraId="7D50D3A7" w14:textId="77777777" w:rsidR="00C234EB" w:rsidRPr="008C10B7" w:rsidRDefault="00C234EB" w:rsidP="00E96DE0">
            <w:pPr>
              <w:spacing w:line="200" w:lineRule="exact"/>
              <w:jc w:val="both"/>
              <w:rPr>
                <w:rFonts w:ascii="Times" w:hAnsi="Times" w:cs="Times New Roman"/>
                <w:sz w:val="18"/>
                <w:szCs w:val="18"/>
              </w:rPr>
            </w:pPr>
          </w:p>
        </w:tc>
        <w:tc>
          <w:tcPr>
            <w:tcW w:w="1894" w:type="dxa"/>
            <w:vMerge/>
            <w:tcBorders>
              <w:top w:val="nil"/>
              <w:left w:val="nil"/>
              <w:bottom w:val="nil"/>
              <w:right w:val="nil"/>
            </w:tcBorders>
          </w:tcPr>
          <w:p w14:paraId="20D49871" w14:textId="77777777" w:rsidR="00C234EB" w:rsidRPr="008C10B7" w:rsidRDefault="00C234EB" w:rsidP="00E96DE0">
            <w:pPr>
              <w:widowControl w:val="0"/>
              <w:spacing w:line="200" w:lineRule="exact"/>
              <w:jc w:val="both"/>
              <w:rPr>
                <w:rFonts w:ascii="Times" w:hAnsi="Times" w:cs="Times New Roman"/>
                <w:sz w:val="18"/>
                <w:szCs w:val="18"/>
              </w:rPr>
            </w:pPr>
          </w:p>
        </w:tc>
        <w:tc>
          <w:tcPr>
            <w:tcW w:w="2287" w:type="dxa"/>
            <w:tcBorders>
              <w:top w:val="nil"/>
              <w:left w:val="nil"/>
              <w:bottom w:val="nil"/>
              <w:right w:val="nil"/>
            </w:tcBorders>
          </w:tcPr>
          <w:p w14:paraId="16E8FAC0" w14:textId="77777777"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Moderate</w:t>
            </w:r>
          </w:p>
        </w:tc>
        <w:tc>
          <w:tcPr>
            <w:tcW w:w="2719" w:type="dxa"/>
            <w:tcBorders>
              <w:top w:val="nil"/>
              <w:left w:val="nil"/>
              <w:bottom w:val="nil"/>
              <w:right w:val="nil"/>
            </w:tcBorders>
          </w:tcPr>
          <w:p w14:paraId="02E8471C" w14:textId="58318572"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2</w:t>
            </w:r>
            <w:r w:rsidR="00FE00F0" w:rsidRPr="008C10B7">
              <w:rPr>
                <w:rFonts w:ascii="Times" w:hAnsi="Times" w:cs="Times New Roman"/>
                <w:sz w:val="18"/>
                <w:szCs w:val="18"/>
              </w:rPr>
              <w:t>9</w:t>
            </w:r>
            <w:r w:rsidRPr="008C10B7">
              <w:rPr>
                <w:rFonts w:ascii="Times" w:hAnsi="Times" w:cs="Times New Roman"/>
                <w:sz w:val="18"/>
                <w:szCs w:val="18"/>
              </w:rPr>
              <w:t xml:space="preserve"> (235)</w:t>
            </w:r>
          </w:p>
        </w:tc>
      </w:tr>
      <w:tr w:rsidR="008C10B7" w:rsidRPr="008C10B7" w14:paraId="01D266AB" w14:textId="77777777" w:rsidTr="00E96DE0">
        <w:tc>
          <w:tcPr>
            <w:tcW w:w="1894" w:type="dxa"/>
            <w:vMerge/>
            <w:tcBorders>
              <w:top w:val="nil"/>
              <w:left w:val="nil"/>
              <w:right w:val="nil"/>
            </w:tcBorders>
          </w:tcPr>
          <w:p w14:paraId="2EE6AF6E" w14:textId="77777777" w:rsidR="00C234EB" w:rsidRPr="008C10B7" w:rsidRDefault="00C234EB" w:rsidP="00E96DE0">
            <w:pPr>
              <w:spacing w:line="200" w:lineRule="exact"/>
              <w:jc w:val="both"/>
              <w:rPr>
                <w:rFonts w:ascii="Times" w:hAnsi="Times" w:cs="Times New Roman"/>
                <w:sz w:val="18"/>
                <w:szCs w:val="18"/>
              </w:rPr>
            </w:pPr>
          </w:p>
        </w:tc>
        <w:tc>
          <w:tcPr>
            <w:tcW w:w="1894" w:type="dxa"/>
            <w:vMerge/>
            <w:tcBorders>
              <w:top w:val="nil"/>
              <w:left w:val="nil"/>
              <w:right w:val="nil"/>
            </w:tcBorders>
          </w:tcPr>
          <w:p w14:paraId="62E4DF95" w14:textId="77777777" w:rsidR="00C234EB" w:rsidRPr="008C10B7" w:rsidRDefault="00C234EB" w:rsidP="00E96DE0">
            <w:pPr>
              <w:spacing w:line="200" w:lineRule="exact"/>
              <w:jc w:val="both"/>
              <w:rPr>
                <w:rFonts w:ascii="Times" w:hAnsi="Times" w:cs="Times New Roman"/>
                <w:sz w:val="18"/>
                <w:szCs w:val="18"/>
              </w:rPr>
            </w:pPr>
          </w:p>
        </w:tc>
        <w:tc>
          <w:tcPr>
            <w:tcW w:w="2287" w:type="dxa"/>
            <w:tcBorders>
              <w:top w:val="nil"/>
              <w:left w:val="nil"/>
              <w:right w:val="nil"/>
            </w:tcBorders>
          </w:tcPr>
          <w:p w14:paraId="0162420E" w14:textId="77777777" w:rsidR="00C234EB" w:rsidRPr="008C10B7" w:rsidRDefault="00C234EB" w:rsidP="00E96DE0">
            <w:pPr>
              <w:spacing w:line="200" w:lineRule="exact"/>
              <w:jc w:val="both"/>
              <w:rPr>
                <w:rFonts w:ascii="Times" w:hAnsi="Times" w:cs="Times New Roman"/>
                <w:b/>
                <w:bCs/>
                <w:sz w:val="18"/>
                <w:szCs w:val="18"/>
              </w:rPr>
            </w:pPr>
            <w:r w:rsidRPr="008C10B7">
              <w:rPr>
                <w:rFonts w:ascii="Times" w:hAnsi="Times" w:cs="Times New Roman"/>
                <w:sz w:val="18"/>
                <w:szCs w:val="18"/>
              </w:rPr>
              <w:t>High</w:t>
            </w:r>
          </w:p>
        </w:tc>
        <w:tc>
          <w:tcPr>
            <w:tcW w:w="2719" w:type="dxa"/>
            <w:tcBorders>
              <w:top w:val="nil"/>
              <w:left w:val="nil"/>
              <w:right w:val="nil"/>
            </w:tcBorders>
          </w:tcPr>
          <w:p w14:paraId="318CCE48" w14:textId="77777777" w:rsidR="00C234EB" w:rsidRPr="008C10B7" w:rsidRDefault="00C234EB" w:rsidP="00E96DE0">
            <w:pPr>
              <w:spacing w:line="200" w:lineRule="exact"/>
              <w:jc w:val="both"/>
              <w:rPr>
                <w:rFonts w:ascii="Times" w:hAnsi="Times" w:cs="Times New Roman"/>
                <w:sz w:val="18"/>
                <w:szCs w:val="18"/>
              </w:rPr>
            </w:pPr>
            <w:r w:rsidRPr="008C10B7">
              <w:rPr>
                <w:rFonts w:ascii="Times" w:hAnsi="Times" w:cs="Times New Roman"/>
                <w:sz w:val="18"/>
                <w:szCs w:val="18"/>
              </w:rPr>
              <w:t>58 (473)</w:t>
            </w:r>
          </w:p>
        </w:tc>
      </w:tr>
    </w:tbl>
    <w:bookmarkEnd w:id="45"/>
    <w:p w14:paraId="6DED7AEA" w14:textId="77777777" w:rsidR="00802DC5" w:rsidRPr="008C10B7" w:rsidRDefault="00802DC5" w:rsidP="00802DC5">
      <w:pPr>
        <w:spacing w:line="200" w:lineRule="exact"/>
        <w:jc w:val="both"/>
        <w:rPr>
          <w:rFonts w:ascii="Times" w:eastAsiaTheme="minorHAnsi" w:hAnsi="Times" w:cs="Times New Roman"/>
          <w:sz w:val="18"/>
          <w:szCs w:val="18"/>
        </w:rPr>
      </w:pPr>
      <w:r w:rsidRPr="008C10B7">
        <w:rPr>
          <w:rFonts w:ascii="Times" w:eastAsiaTheme="minorHAnsi" w:hAnsi="Times" w:cs="Times New Roman"/>
          <w:i/>
          <w:iCs/>
          <w:sz w:val="18"/>
          <w:szCs w:val="18"/>
        </w:rPr>
        <w:t xml:space="preserve">SD </w:t>
      </w:r>
      <w:r w:rsidRPr="008C10B7">
        <w:rPr>
          <w:rFonts w:ascii="Times" w:eastAsiaTheme="minorHAnsi" w:hAnsi="Times" w:cs="Times New Roman"/>
          <w:sz w:val="18"/>
          <w:szCs w:val="18"/>
        </w:rPr>
        <w:t>= standard deviation.</w:t>
      </w:r>
    </w:p>
    <w:p w14:paraId="35B69168" w14:textId="77777777" w:rsidR="004D3D6C" w:rsidRPr="008C10B7" w:rsidRDefault="004D3D6C" w:rsidP="00E7001C">
      <w:pPr>
        <w:spacing w:line="360" w:lineRule="auto"/>
        <w:jc w:val="both"/>
        <w:rPr>
          <w:rFonts w:eastAsiaTheme="minorHAnsi" w:cs="Times New Roman"/>
          <w:b/>
          <w:bCs/>
          <w:i/>
          <w:iCs/>
          <w:sz w:val="22"/>
          <w:szCs w:val="22"/>
        </w:rPr>
      </w:pPr>
    </w:p>
    <w:p w14:paraId="37F51222" w14:textId="1A5468A8" w:rsidR="004D3D6C" w:rsidRPr="008C10B7" w:rsidRDefault="00711121" w:rsidP="00E7001C">
      <w:pPr>
        <w:pStyle w:val="Heading2"/>
        <w:keepNext/>
        <w:keepLines/>
        <w:spacing w:before="0" w:beforeAutospacing="0" w:after="0" w:afterAutospacing="0" w:line="360" w:lineRule="auto"/>
        <w:jc w:val="both"/>
        <w:rPr>
          <w:rFonts w:eastAsiaTheme="majorEastAsia" w:cstheme="majorHAnsi"/>
          <w:b w:val="0"/>
          <w:i/>
          <w:iCs/>
          <w:sz w:val="22"/>
          <w:szCs w:val="32"/>
          <w:lang w:val="en-GB" w:eastAsia="en-US"/>
        </w:rPr>
      </w:pPr>
      <w:bookmarkStart w:id="46" w:name="_Toc78625150"/>
      <w:r w:rsidRPr="008C10B7">
        <w:rPr>
          <w:rFonts w:eastAsiaTheme="majorEastAsia" w:cstheme="majorHAnsi"/>
          <w:b w:val="0"/>
          <w:i/>
          <w:iCs/>
          <w:sz w:val="22"/>
          <w:szCs w:val="22"/>
          <w:lang w:val="en-GB" w:eastAsia="en-US"/>
        </w:rPr>
        <w:lastRenderedPageBreak/>
        <w:t>3.</w:t>
      </w:r>
      <w:r w:rsidR="00E90D70" w:rsidRPr="008C10B7">
        <w:rPr>
          <w:rFonts w:eastAsiaTheme="majorEastAsia" w:cstheme="majorHAnsi"/>
          <w:b w:val="0"/>
          <w:i/>
          <w:iCs/>
          <w:sz w:val="22"/>
          <w:szCs w:val="22"/>
          <w:lang w:val="en-GB" w:eastAsia="en-US"/>
        </w:rPr>
        <w:t>3.3</w:t>
      </w:r>
      <w:r w:rsidR="00C234EB" w:rsidRPr="008C10B7">
        <w:rPr>
          <w:rFonts w:eastAsiaTheme="majorEastAsia" w:cstheme="majorHAnsi"/>
          <w:b w:val="0"/>
          <w:i/>
          <w:iCs/>
          <w:sz w:val="22"/>
          <w:szCs w:val="22"/>
          <w:lang w:val="en-GB" w:eastAsia="en-US"/>
        </w:rPr>
        <w:t>.</w:t>
      </w:r>
      <w:r w:rsidR="00262E9E" w:rsidRPr="008C10B7">
        <w:rPr>
          <w:rFonts w:eastAsiaTheme="majorEastAsia" w:cstheme="majorHAnsi"/>
          <w:b w:val="0"/>
          <w:i/>
          <w:iCs/>
          <w:sz w:val="22"/>
          <w:szCs w:val="22"/>
          <w:lang w:val="en-GB" w:eastAsia="en-US"/>
        </w:rPr>
        <w:tab/>
      </w:r>
      <w:r w:rsidRPr="008C10B7">
        <w:rPr>
          <w:rFonts w:eastAsiaTheme="majorEastAsia" w:cstheme="majorHAnsi"/>
          <w:b w:val="0"/>
          <w:i/>
          <w:iCs/>
          <w:sz w:val="22"/>
          <w:szCs w:val="22"/>
          <w:lang w:val="en-GB" w:eastAsia="en-US"/>
        </w:rPr>
        <w:t xml:space="preserve">Statistical </w:t>
      </w:r>
      <w:r w:rsidR="00C234EB" w:rsidRPr="008C10B7">
        <w:rPr>
          <w:rFonts w:eastAsiaTheme="majorEastAsia" w:cstheme="majorHAnsi"/>
          <w:b w:val="0"/>
          <w:i/>
          <w:iCs/>
          <w:sz w:val="22"/>
          <w:szCs w:val="22"/>
          <w:lang w:val="en-GB" w:eastAsia="en-US"/>
        </w:rPr>
        <w:t>a</w:t>
      </w:r>
      <w:r w:rsidR="003A09E1" w:rsidRPr="008C10B7">
        <w:rPr>
          <w:rFonts w:eastAsiaTheme="majorEastAsia" w:cstheme="majorHAnsi"/>
          <w:b w:val="0"/>
          <w:i/>
          <w:iCs/>
          <w:sz w:val="22"/>
          <w:szCs w:val="22"/>
          <w:lang w:val="en-GB" w:eastAsia="en-US"/>
        </w:rPr>
        <w:t>nalysis</w:t>
      </w:r>
      <w:bookmarkEnd w:id="46"/>
    </w:p>
    <w:p w14:paraId="584031E3" w14:textId="69FF4E64" w:rsidR="00B01394" w:rsidRPr="008C10B7" w:rsidRDefault="00A05615" w:rsidP="00C924F2">
      <w:pPr>
        <w:pStyle w:val="Default"/>
        <w:rPr>
          <w:color w:val="auto"/>
        </w:rPr>
      </w:pPr>
      <w:r w:rsidRPr="008C10B7">
        <w:rPr>
          <w:rFonts w:eastAsiaTheme="minorHAnsi"/>
          <w:color w:val="auto"/>
          <w:sz w:val="22"/>
          <w:szCs w:val="22"/>
        </w:rPr>
        <w:t xml:space="preserve">Following previous studies </w:t>
      </w:r>
      <w:r w:rsidRPr="008C10B7">
        <w:rPr>
          <w:rFonts w:eastAsiaTheme="minorHAnsi"/>
          <w:color w:val="auto"/>
          <w:sz w:val="22"/>
          <w:szCs w:val="22"/>
        </w:rPr>
        <w:fldChar w:fldCharType="begin" w:fldLock="1"/>
      </w:r>
      <w:r w:rsidRPr="008C10B7">
        <w:rPr>
          <w:rFonts w:eastAsiaTheme="minorHAnsi"/>
          <w:color w:val="auto"/>
          <w:sz w:val="22"/>
          <w:szCs w:val="22"/>
        </w:rPr>
        <w:instrText>ADDIN CSL_CITATION {"citationItems":[{"id":"ITEM-1","itemData":{"DOI":"10.1016/j.envint.2019.02.013","ISSN":"18736750","PMID":"30797100","abstract":"Background: Residential green and blue spaces may be therapeutic for the mental health. However, solid evidence on the linkage between exposure to green and blue spaces and mental health among the elderly in non-Western countries is scarce and limited to exposure metrics based on remote sensing images (i.e., land cover and vegetation indices). Such overhead-view measures may fail to capture how people perceive the environment on the site. Objective: This study aimed to compare streetscape metrics derived from street view images with satellite-derived ones for the assessment of green and blue space; and to examine associations between exposure to green and blue spaces as well as geriatric depression in Beijing, China. Methods: Questionnaire data on 1190 participants aged 60 or above were analyzed cross-sectionally. Depressive symptoms were assessed through the shortened Geriatric Depression Scale (GDS-15). Streetscape green and blue spaces were extracted from Tencent Street View data by a fully convolutional neural network. Indicators derived from street view images were compared with a satellite-based normalized difference vegetation index (NDVI), a normalized difference water index (NDWI), and those derived from GlobeLand30 land cover data on a neighborhood level. Multilevel regressions with neighborhood-level random effects were fitted to assess correlations between GDS-15 scores and these green and blue spaces exposure metrics. Results: The average cumulative GDS-15 score was 3.4 (i.e., no depressive symptoms). Metrics of green and blue space derived from street view images were not correlated with satellite-based ones. While NDVI was highly correlated with GlobeLand30 green space, NDWI was moderately correlated with GlobeLand30 blue space. Multilevel regressions showed that both street view green and blue spaces were inversely associated with GDS-15 scores and achieved the highest model goodness-of-fit. No significant associations were found with NDVI, NDWI, and GlobeLand30 green and blue space. Our results passed robustness tests. Conclusion: Our findings provide support that street view green and blue spaces are protective against depression for the elderly in China, yet longitudinal confirmation to infer causality is necessary. Street view and satellite-derived green and blue space measures represent different aspects of natural environments. Both street view data and deep learning are valuable tools for automated environmental exposure assessmen…","author":[{"dropping-particle":"","family":"Helbich","given":"Marco","non-dropping-particle":"","parse-names":false,"suffix":""},{"dropping-particle":"","family":"Yao","given":"Yao","non-dropping-particle":"","parse-names":false,"suffix":""},{"dropping-particle":"","family":"Liu","given":"Ye","non-dropping-particle":"","parse-names":false,"suffix":""},{"dropping-particle":"","family":"Zhang","given":"Jinbao","non-dropping-particle":"","parse-names":false,"suffix":""},{"dropping-particle":"","family":"Liu","given":"Penghua","non-dropping-particle":"","parse-names":false,"suffix":""},{"dropping-particle":"","family":"Wang","given":"Ruoyu","non-dropping-particle":"","parse-names":false,"suffix":""}],"container-title":"Environment International","id":"ITEM-1","issued":{"date-parts":[["2019","5","1"]]},"page":"107-117","publisher":"Elsevier Ltd","title":"Using deep learning to examine street view green and blue spaces and their associations with geriatric depression in Beijing, China","type":"article-journal","volume":"126"},"uris":["http://www.mendeley.com/documents/?uuid=445d58d5-946c-3a2c-a1ad-3b4bdb60e742"]},{"id":"ITEM-2","itemData":{"DOI":"10.1016/j.ufug.2021.127161","ISSN":"16188667","author":[{"dropping-particle":"","family":"Wu","given":"Wenjie","non-dropping-particle":"","parse-names":false,"suffix":""},{"dropping-particle":"","family":"Yao","given":"Yao","non-dropping-particle":"","parse-names":false,"suffix":""},{"dropping-particle":"","family":"Song","given":"Yimeng","non-dropping-particle":"","parse-names":false,"suffix":""},{"dropping-particle":"","family":"He","given":"Dongsheng","non-dropping-particle":"","parse-names":false,"suffix":""},{"dropping-particle":"","family":"Wang","given":"Ruoyu","non-dropping-particle":"","parse-names":false,"suffix":""}],"container-title":"Urban Forestry &amp; Urban Greening","id":"ITEM-2","issued":{"date-parts":[["2021","7","1"]]},"page":"127161","publisher":"Urban &amp; Fischer","title":"Perceived influence of street-level visible greenness exposure in the work and residential environment on life satisfaction: Evidence from Beijing, China","type":"article-journal","volume":"62"},"uris":["http://www.mendeley.com/documents/?uuid=ac173be0-242a-3c0a-afed-c84be1455dec"]},{"id":"ITEM-3","itemData":{"DOI":"10.1016/j.scs.2020.102442","ISSN":"22106707","abstract":"A significant increase in the older population has been observed in numerous cities. Understanding the correlates of older adults’ mobility is, therefore, of critical importance to meet their needs and preferences. Based on multisource data, including Google Street View street images and Hong Kong Travel Characteristics Survey 2011 data, we developed a series of multilevel and geographically weighted logistic regression models to scrutinize the global and local associations between urban greenery (eye-level street greenery, the number of parks, and the normalized difference vegetation index (NDVI)) and the travel propensity of older adults. Notably, eye-level street greenery was assessed by using readily available street images and machine learning techniques. The modeling results reveal that eye-level street greenery has a positive effect on older adults’ mobility, but the number of parks and the NDVI do not significantly affect the mobility. Robustness checks verified the plausibility of these findings. Furthermore, the effect of street greenery varies over space, larger in suburban areas than in urban areas. This study advances the understanding of relationships between urban greenery and travel behavior.","author":[{"dropping-particle":"","family":"Yang","given":"Linchuan","non-dropping-particle":"","parse-names":false,"suffix":""},{"dropping-particle":"","family":"Liu","given":"Jixiang","non-dropping-particle":"","parse-names":false,"suffix":""},{"dropping-particle":"","family":"Lu","given":"Yi","non-dropping-particle":"","parse-names":false,"suffix":""},{"dropping-particle":"","family":"Ao","given":"Yibin","non-dropping-particle":"","parse-names":false,"suffix":""},{"dropping-particle":"","family":"Guo","given":"Yuanyuan","non-dropping-particle":"","parse-names":false,"suffix":""},{"dropping-particle":"","family":"Huang","given":"Wencheng","non-dropping-particle":"","parse-names":false,"suffix":""},{"dropping-particle":"","family":"Zhao","given":"Rui","non-dropping-particle":"","parse-names":false,"suffix":""},{"dropping-particle":"","family":"Wang","given":"Ruoyu","non-dropping-particle":"","parse-names":false,"suffix":""}],"container-title":"Sustainable Cities and Society","id":"ITEM-3","issued":{"date-parts":[["2020","12","1"]]},"page":"102442","publisher":"Elsevier Ltd","title":"Global and local associations between urban greenery and travel propensity of older adults in Hong Kong","type":"article-journal","volume":"63"},"uris":["http://www.mendeley.com/documents/?uuid=983d00bc-7fe2-347a-b269-f3df70a37eea"]}],"mendeley":{"formattedCitation":"(Helbich et al., 2019; W. Wu et al., 2021; L. Yang et al., 2020)","manualFormatting":"(Helbich et al., 2019; Wu et al., 2021; Yang et al., 2020)","plainTextFormattedCitation":"(Helbich et al., 2019; W. Wu et al., 2021; L. Yang et al., 2020)","previouslyFormattedCitation":"(Helbich et al., 2019; W. Wu et al., 2021; L. Yang et al., 2020)"},"properties":{"noteIndex":0},"schema":"https://github.com/citation-style-language/schema/raw/master/csl-citation.json"}</w:instrText>
      </w:r>
      <w:r w:rsidRPr="008C10B7">
        <w:rPr>
          <w:rFonts w:eastAsiaTheme="minorHAnsi"/>
          <w:color w:val="auto"/>
          <w:sz w:val="22"/>
          <w:szCs w:val="22"/>
        </w:rPr>
        <w:fldChar w:fldCharType="separate"/>
      </w:r>
      <w:r w:rsidRPr="008C10B7">
        <w:rPr>
          <w:rFonts w:eastAsiaTheme="minorHAnsi"/>
          <w:color w:val="auto"/>
          <w:sz w:val="22"/>
          <w:szCs w:val="22"/>
        </w:rPr>
        <w:t>(Helbich et al., 2019; Wu et al., 2021; Yang et al., 2020)</w:t>
      </w:r>
      <w:r w:rsidRPr="008C10B7">
        <w:rPr>
          <w:rFonts w:eastAsiaTheme="minorHAnsi"/>
          <w:color w:val="auto"/>
          <w:sz w:val="22"/>
          <w:szCs w:val="22"/>
        </w:rPr>
        <w:fldChar w:fldCharType="end"/>
      </w:r>
      <w:r w:rsidRPr="008C10B7">
        <w:rPr>
          <w:rFonts w:eastAsiaTheme="minorHAnsi"/>
          <w:color w:val="auto"/>
          <w:sz w:val="22"/>
          <w:szCs w:val="22"/>
        </w:rPr>
        <w:t>, because of the hierarchical nature of our data, w</w:t>
      </w:r>
      <w:r w:rsidR="00711121" w:rsidRPr="008C10B7">
        <w:rPr>
          <w:rFonts w:eastAsiaTheme="minorHAnsi"/>
          <w:color w:val="auto"/>
          <w:sz w:val="22"/>
          <w:szCs w:val="22"/>
        </w:rPr>
        <w:t>e use</w:t>
      </w:r>
      <w:r w:rsidRPr="008C10B7">
        <w:rPr>
          <w:rFonts w:eastAsiaTheme="minorHAnsi"/>
          <w:color w:val="auto"/>
          <w:sz w:val="22"/>
          <w:szCs w:val="22"/>
        </w:rPr>
        <w:t>d</w:t>
      </w:r>
      <w:r w:rsidR="00711121" w:rsidRPr="008C10B7">
        <w:rPr>
          <w:rFonts w:eastAsiaTheme="minorHAnsi"/>
          <w:color w:val="auto"/>
          <w:sz w:val="22"/>
          <w:szCs w:val="22"/>
        </w:rPr>
        <w:t xml:space="preserve"> </w:t>
      </w:r>
      <w:r w:rsidR="006505B2">
        <w:rPr>
          <w:rFonts w:eastAsiaTheme="minorHAnsi"/>
          <w:color w:val="auto"/>
          <w:sz w:val="22"/>
          <w:szCs w:val="22"/>
        </w:rPr>
        <w:t xml:space="preserve">a </w:t>
      </w:r>
      <w:r w:rsidR="00711121" w:rsidRPr="008C10B7">
        <w:rPr>
          <w:rFonts w:eastAsiaTheme="minorHAnsi"/>
          <w:color w:val="auto"/>
          <w:sz w:val="22"/>
          <w:szCs w:val="22"/>
        </w:rPr>
        <w:t>multilevel logistic regression</w:t>
      </w:r>
      <w:r w:rsidR="006505B2">
        <w:rPr>
          <w:rFonts w:eastAsiaTheme="minorHAnsi"/>
          <w:color w:val="auto"/>
          <w:sz w:val="22"/>
          <w:szCs w:val="22"/>
        </w:rPr>
        <w:t xml:space="preserve"> model</w:t>
      </w:r>
      <w:r w:rsidR="00711121" w:rsidRPr="008C10B7">
        <w:rPr>
          <w:rFonts w:eastAsiaTheme="minorHAnsi"/>
          <w:color w:val="auto"/>
          <w:sz w:val="22"/>
          <w:szCs w:val="22"/>
        </w:rPr>
        <w:t xml:space="preserve"> to investigate the relationship between the natural environment and </w:t>
      </w:r>
      <w:r w:rsidR="002433F2" w:rsidRPr="008C10B7">
        <w:rPr>
          <w:rFonts w:eastAsiaTheme="minorHAnsi"/>
          <w:color w:val="auto"/>
          <w:sz w:val="22"/>
          <w:szCs w:val="22"/>
        </w:rPr>
        <w:t xml:space="preserve">the </w:t>
      </w:r>
      <w:r w:rsidR="00711121" w:rsidRPr="008C10B7">
        <w:rPr>
          <w:rFonts w:eastAsiaTheme="minorHAnsi"/>
          <w:color w:val="auto"/>
          <w:sz w:val="22"/>
          <w:szCs w:val="22"/>
        </w:rPr>
        <w:t xml:space="preserve">tendency </w:t>
      </w:r>
      <w:r w:rsidR="00E238ED" w:rsidRPr="008C10B7">
        <w:rPr>
          <w:rFonts w:eastAsiaTheme="minorHAnsi"/>
          <w:color w:val="auto"/>
          <w:sz w:val="22"/>
          <w:szCs w:val="22"/>
        </w:rPr>
        <w:t xml:space="preserve">to use </w:t>
      </w:r>
      <w:r w:rsidR="0030654E" w:rsidRPr="008C10B7">
        <w:rPr>
          <w:rFonts w:eastAsiaTheme="minorHAnsi"/>
          <w:color w:val="auto"/>
          <w:sz w:val="22"/>
          <w:szCs w:val="22"/>
        </w:rPr>
        <w:t>AT</w:t>
      </w:r>
      <w:r w:rsidR="00711121" w:rsidRPr="008C10B7">
        <w:rPr>
          <w:rFonts w:eastAsiaTheme="minorHAnsi"/>
          <w:color w:val="auto"/>
          <w:sz w:val="22"/>
          <w:szCs w:val="22"/>
        </w:rPr>
        <w:t>.</w:t>
      </w:r>
      <w:r w:rsidR="00B01394" w:rsidRPr="008C10B7">
        <w:rPr>
          <w:rFonts w:eastAsiaTheme="minorHAnsi"/>
          <w:color w:val="auto"/>
          <w:sz w:val="22"/>
          <w:szCs w:val="22"/>
        </w:rPr>
        <w:t xml:space="preserve"> </w:t>
      </w:r>
      <w:r w:rsidR="0032120E" w:rsidRPr="008C10B7">
        <w:rPr>
          <w:rFonts w:eastAsiaTheme="minorHAnsi"/>
          <w:color w:val="auto"/>
          <w:sz w:val="22"/>
          <w:szCs w:val="22"/>
        </w:rPr>
        <w:t>The e</w:t>
      </w:r>
      <w:r w:rsidR="00B01394" w:rsidRPr="008C10B7">
        <w:rPr>
          <w:rFonts w:eastAsiaTheme="minorHAnsi"/>
          <w:color w:val="auto"/>
          <w:sz w:val="22"/>
          <w:szCs w:val="22"/>
        </w:rPr>
        <w:t>quation</w:t>
      </w:r>
      <w:r w:rsidR="0032120E" w:rsidRPr="008C10B7">
        <w:rPr>
          <w:rFonts w:eastAsiaTheme="minorHAnsi"/>
          <w:color w:val="auto"/>
          <w:sz w:val="22"/>
          <w:szCs w:val="22"/>
        </w:rPr>
        <w:t>s</w:t>
      </w:r>
      <w:r w:rsidR="00B01394" w:rsidRPr="008C10B7">
        <w:rPr>
          <w:rFonts w:eastAsiaTheme="minorHAnsi"/>
          <w:color w:val="auto"/>
          <w:sz w:val="22"/>
          <w:szCs w:val="22"/>
        </w:rPr>
        <w:t xml:space="preserve"> </w:t>
      </w:r>
      <w:r w:rsidR="00E238ED" w:rsidRPr="008C10B7">
        <w:rPr>
          <w:rFonts w:eastAsiaTheme="minorHAnsi"/>
          <w:color w:val="auto"/>
          <w:sz w:val="22"/>
          <w:szCs w:val="22"/>
        </w:rPr>
        <w:t xml:space="preserve">used </w:t>
      </w:r>
      <w:r w:rsidR="00B01394" w:rsidRPr="008C10B7">
        <w:rPr>
          <w:rFonts w:eastAsiaTheme="minorHAnsi"/>
          <w:color w:val="auto"/>
          <w:sz w:val="22"/>
          <w:szCs w:val="22"/>
        </w:rPr>
        <w:t xml:space="preserve">for the analysis </w:t>
      </w:r>
      <w:r w:rsidR="0032120E" w:rsidRPr="008C10B7">
        <w:rPr>
          <w:rFonts w:eastAsiaTheme="minorHAnsi"/>
          <w:color w:val="auto"/>
          <w:sz w:val="22"/>
          <w:szCs w:val="22"/>
        </w:rPr>
        <w:t xml:space="preserve">are as </w:t>
      </w:r>
      <w:r w:rsidR="00B01394" w:rsidRPr="008C10B7">
        <w:rPr>
          <w:rFonts w:eastAsiaTheme="minorHAnsi"/>
          <w:color w:val="auto"/>
          <w:sz w:val="22"/>
          <w:szCs w:val="22"/>
        </w:rPr>
        <w:t>follows</w:t>
      </w:r>
      <w:r w:rsidR="00E76C49" w:rsidRPr="008C10B7">
        <w:rPr>
          <w:rFonts w:eastAsiaTheme="minorHAnsi"/>
          <w:color w:val="auto"/>
          <w:sz w:val="22"/>
          <w:szCs w:val="22"/>
        </w:rPr>
        <w:t xml:space="preserve"> </w:t>
      </w:r>
      <w:r w:rsidR="00E76C49" w:rsidRPr="008C10B7">
        <w:rPr>
          <w:rFonts w:eastAsiaTheme="minorHAnsi"/>
          <w:color w:val="auto"/>
          <w:sz w:val="22"/>
          <w:szCs w:val="22"/>
        </w:rPr>
        <w:fldChar w:fldCharType="begin" w:fldLock="1"/>
      </w:r>
      <w:r w:rsidR="00E76C49" w:rsidRPr="008C10B7">
        <w:rPr>
          <w:rFonts w:eastAsiaTheme="minorHAnsi"/>
          <w:color w:val="auto"/>
          <w:sz w:val="22"/>
          <w:szCs w:val="22"/>
        </w:rPr>
        <w:instrText>ADDIN CSL_CITATION {"citationItems":[{"id":"ITEM-1","itemData":{"author":[{"dropping-particle":"","family":"Goldstein","given":"Harvey","non-dropping-particle":"","parse-names":false,"suffix":""}],"edition":"Vol. 922","id":"ITEM-1","issued":{"date-parts":[["2011"]]},"publisher":"John Wiley &amp; Sons","title":"Multilevel statistical models","type":"book"},"uris":["http://www.mendeley.com/documents/?uuid=e77ba69f-86a0-35ad-908f-74ef1a61dd66"]}],"mendeley":{"formattedCitation":"(Goldstein, 2011)","plainTextFormattedCitation":"(Goldstein, 2011)","previouslyFormattedCitation":"(Goldstein, 2011)"},"properties":{"noteIndex":0},"schema":"https://github.com/citation-style-language/schema/raw/master/csl-citation.json"}</w:instrText>
      </w:r>
      <w:r w:rsidR="00E76C49" w:rsidRPr="008C10B7">
        <w:rPr>
          <w:rFonts w:eastAsiaTheme="minorHAnsi"/>
          <w:color w:val="auto"/>
          <w:sz w:val="22"/>
          <w:szCs w:val="22"/>
        </w:rPr>
        <w:fldChar w:fldCharType="separate"/>
      </w:r>
      <w:r w:rsidR="00E76C49" w:rsidRPr="008C10B7">
        <w:rPr>
          <w:rFonts w:eastAsiaTheme="minorHAnsi"/>
          <w:color w:val="auto"/>
          <w:sz w:val="22"/>
          <w:szCs w:val="22"/>
        </w:rPr>
        <w:t>(Goldstein, 2011)</w:t>
      </w:r>
      <w:r w:rsidR="00E76C49" w:rsidRPr="008C10B7">
        <w:rPr>
          <w:rFonts w:eastAsiaTheme="minorHAnsi"/>
          <w:color w:val="auto"/>
          <w:sz w:val="22"/>
          <w:szCs w:val="22"/>
        </w:rPr>
        <w:fldChar w:fldCharType="end"/>
      </w:r>
      <w:r w:rsidR="00B01394" w:rsidRPr="008C10B7">
        <w:rPr>
          <w:rFonts w:eastAsiaTheme="minorHAnsi"/>
          <w:color w:val="auto"/>
          <w:sz w:val="22"/>
          <w:szCs w:val="22"/>
        </w:rPr>
        <w:t>:</w:t>
      </w:r>
      <w:r w:rsidR="00C924F2" w:rsidRPr="008C10B7">
        <w:rPr>
          <w:color w:val="auto"/>
        </w:rPr>
        <w:t xml:space="preserve"> </w:t>
      </w:r>
    </w:p>
    <w:p w14:paraId="4C22D971" w14:textId="77777777" w:rsidR="00C924F2" w:rsidRPr="008C10B7" w:rsidRDefault="00C924F2" w:rsidP="00C924F2">
      <w:pPr>
        <w:widowControl w:val="0"/>
        <w:autoSpaceDE w:val="0"/>
        <w:autoSpaceDN w:val="0"/>
        <w:adjustRightInd w:val="0"/>
        <w:rPr>
          <w:rFonts w:ascii="Cambria Math" w:eastAsiaTheme="minorEastAsia" w:hAnsi="Cambria Math" w:cs="Cambria Math"/>
          <w:lang w:val="en-US"/>
        </w:rPr>
      </w:pPr>
    </w:p>
    <w:p w14:paraId="0DAC19D0" w14:textId="20C4F03F" w:rsidR="00F81F7C" w:rsidRPr="00B1698C" w:rsidRDefault="00F81F7C" w:rsidP="00F81F7C">
      <w:pPr>
        <w:spacing w:line="360" w:lineRule="auto"/>
        <w:jc w:val="right"/>
        <w:rPr>
          <w:rFonts w:eastAsiaTheme="minorEastAsia" w:cs="Times New Roman"/>
          <w:sz w:val="20"/>
          <w:szCs w:val="16"/>
        </w:rPr>
      </w:pPr>
      <m:oMath>
        <m:r>
          <m:rPr>
            <m:nor/>
          </m:rPr>
          <w:rPr>
            <w:rFonts w:eastAsiaTheme="minorEastAsia" w:cs="Times New Roman"/>
            <w:sz w:val="20"/>
            <w:szCs w:val="16"/>
          </w:rPr>
          <m:t>logit</m:t>
        </m:r>
        <m:r>
          <m:rPr>
            <m:nor/>
          </m:rPr>
          <w:rPr>
            <w:rFonts w:ascii="Cambria Math" w:eastAsiaTheme="minorEastAsia" w:cs="Times New Roman"/>
            <w:sz w:val="20"/>
            <w:szCs w:val="16"/>
          </w:rPr>
          <m:t xml:space="preserve"> </m:t>
        </m:r>
        <m:d>
          <m:dPr>
            <m:ctrlPr>
              <w:rPr>
                <w:rFonts w:ascii="Cambria Math" w:eastAsiaTheme="minorEastAsia" w:hAnsi="Cambria Math" w:cs="Times New Roman"/>
                <w:sz w:val="20"/>
                <w:szCs w:val="16"/>
              </w:rPr>
            </m:ctrlPr>
          </m:dPr>
          <m:e>
            <m:sSub>
              <m:sSubPr>
                <m:ctrlPr>
                  <w:rPr>
                    <w:rFonts w:ascii="Cambria Math" w:eastAsiaTheme="minorEastAsia" w:hAnsi="Cambria Math" w:cs="Times New Roman"/>
                    <w:sz w:val="20"/>
                    <w:szCs w:val="16"/>
                  </w:rPr>
                </m:ctrlPr>
              </m:sSubPr>
              <m:e>
                <m:r>
                  <w:rPr>
                    <w:rFonts w:ascii="Cambria Math" w:eastAsiaTheme="minorEastAsia" w:hAnsi="Cambria Math" w:cs="Times New Roman"/>
                    <w:sz w:val="20"/>
                    <w:szCs w:val="16"/>
                  </w:rPr>
                  <m:t>p</m:t>
                </m:r>
              </m:e>
              <m:sub>
                <m:r>
                  <w:rPr>
                    <w:rFonts w:ascii="Cambria Math" w:eastAsiaTheme="minorEastAsia" w:hAnsi="Cambria Math" w:cs="Times New Roman"/>
                    <w:sz w:val="20"/>
                    <w:szCs w:val="16"/>
                  </w:rPr>
                  <m:t>ij</m:t>
                </m:r>
              </m:sub>
            </m:sSub>
          </m:e>
        </m:d>
        <m:r>
          <w:rPr>
            <w:rFonts w:ascii="Cambria Math" w:eastAsiaTheme="minorEastAsia" w:hAnsi="Cambria Math" w:cs="Times New Roman"/>
            <w:sz w:val="20"/>
            <w:szCs w:val="16"/>
          </w:rPr>
          <m:t>=</m:t>
        </m:r>
        <m:r>
          <m:rPr>
            <m:nor/>
          </m:rPr>
          <w:rPr>
            <w:rFonts w:eastAsiaTheme="minorEastAsia" w:cs="Times New Roman"/>
            <w:sz w:val="20"/>
            <w:szCs w:val="16"/>
          </w:rPr>
          <m:t>l</m:t>
        </m:r>
        <w:proofErr w:type="spellStart"/>
        <m:r>
          <m:rPr>
            <m:nor/>
          </m:rPr>
          <w:rPr>
            <w:rFonts w:ascii="Cambria Math" w:eastAsiaTheme="minorEastAsia" w:cs="Times New Roman"/>
            <w:sz w:val="20"/>
            <w:szCs w:val="16"/>
          </w:rPr>
          <m:t>og</m:t>
        </m:r>
        <w:proofErr w:type="spellEnd"/>
        <m:d>
          <m:dPr>
            <m:ctrlPr>
              <w:rPr>
                <w:rFonts w:ascii="Cambria Math" w:eastAsiaTheme="minorEastAsia" w:hAnsi="Cambria Math" w:cs="Times New Roman"/>
                <w:sz w:val="20"/>
                <w:szCs w:val="16"/>
              </w:rPr>
            </m:ctrlPr>
          </m:dPr>
          <m:e>
            <m:f>
              <m:fPr>
                <m:ctrlPr>
                  <w:rPr>
                    <w:rFonts w:ascii="Cambria Math" w:eastAsiaTheme="minorEastAsia" w:hAnsi="Cambria Math" w:cs="Times New Roman"/>
                    <w:sz w:val="20"/>
                    <w:szCs w:val="16"/>
                  </w:rPr>
                </m:ctrlPr>
              </m:fPr>
              <m:num>
                <m:sSub>
                  <m:sSubPr>
                    <m:ctrlPr>
                      <w:rPr>
                        <w:rFonts w:ascii="Cambria Math" w:eastAsiaTheme="minorEastAsia" w:hAnsi="Cambria Math" w:cs="Times New Roman"/>
                        <w:sz w:val="20"/>
                        <w:szCs w:val="16"/>
                      </w:rPr>
                    </m:ctrlPr>
                  </m:sSubPr>
                  <m:e>
                    <m:r>
                      <w:rPr>
                        <w:rFonts w:ascii="Cambria Math" w:eastAsiaTheme="minorEastAsia" w:hAnsi="Cambria Math" w:cs="Times New Roman"/>
                        <w:sz w:val="20"/>
                        <w:szCs w:val="16"/>
                      </w:rPr>
                      <m:t>p</m:t>
                    </m:r>
                  </m:e>
                  <m:sub>
                    <m:r>
                      <w:rPr>
                        <w:rFonts w:ascii="Cambria Math" w:eastAsiaTheme="minorEastAsia" w:hAnsi="Cambria Math" w:cs="Times New Roman"/>
                        <w:sz w:val="20"/>
                        <w:szCs w:val="16"/>
                      </w:rPr>
                      <m:t>ij</m:t>
                    </m:r>
                  </m:sub>
                </m:sSub>
              </m:num>
              <m:den>
                <m:r>
                  <w:rPr>
                    <w:rFonts w:ascii="Cambria Math" w:eastAsiaTheme="minorEastAsia" w:hAnsi="Cambria Math" w:cs="Times New Roman"/>
                    <w:sz w:val="20"/>
                    <w:szCs w:val="16"/>
                  </w:rPr>
                  <m:t>1-</m:t>
                </m:r>
                <m:sSub>
                  <m:sSubPr>
                    <m:ctrlPr>
                      <w:rPr>
                        <w:rFonts w:ascii="Cambria Math" w:eastAsiaTheme="minorEastAsia" w:hAnsi="Cambria Math" w:cs="Times New Roman"/>
                        <w:sz w:val="20"/>
                        <w:szCs w:val="16"/>
                      </w:rPr>
                    </m:ctrlPr>
                  </m:sSubPr>
                  <m:e>
                    <m:r>
                      <w:rPr>
                        <w:rFonts w:ascii="Cambria Math" w:eastAsiaTheme="minorEastAsia" w:hAnsi="Cambria Math" w:cs="Times New Roman"/>
                        <w:sz w:val="20"/>
                        <w:szCs w:val="16"/>
                      </w:rPr>
                      <m:t>p</m:t>
                    </m:r>
                  </m:e>
                  <m:sub>
                    <m:r>
                      <w:rPr>
                        <w:rFonts w:ascii="Cambria Math" w:eastAsiaTheme="minorEastAsia" w:hAnsi="Cambria Math" w:cs="Times New Roman"/>
                        <w:sz w:val="20"/>
                        <w:szCs w:val="16"/>
                      </w:rPr>
                      <m:t>ij</m:t>
                    </m:r>
                  </m:sub>
                </m:sSub>
              </m:den>
            </m:f>
          </m:e>
        </m:d>
        <m:r>
          <w:rPr>
            <w:rFonts w:ascii="Cambria Math" w:eastAsiaTheme="minorEastAsia" w:hAnsi="Cambria Math" w:cs="Times New Roman"/>
            <w:sz w:val="20"/>
            <w:szCs w:val="16"/>
          </w:rPr>
          <m:t>=</m:t>
        </m:r>
        <m:sSub>
          <m:sSubPr>
            <m:ctrlPr>
              <w:rPr>
                <w:rFonts w:ascii="Cambria Math" w:eastAsiaTheme="minorEastAsia" w:hAnsi="Cambria Math" w:cs="Times New Roman"/>
                <w:sz w:val="20"/>
                <w:szCs w:val="16"/>
              </w:rPr>
            </m:ctrlPr>
          </m:sSubPr>
          <m:e>
            <m:r>
              <w:rPr>
                <w:rFonts w:ascii="Cambria Math" w:eastAsiaTheme="minorEastAsia" w:hAnsi="Cambria Math" w:cs="Times New Roman"/>
                <w:sz w:val="20"/>
                <w:szCs w:val="16"/>
              </w:rPr>
              <m:t>β</m:t>
            </m:r>
          </m:e>
          <m:sub>
            <m:r>
              <w:rPr>
                <w:rFonts w:ascii="Cambria Math" w:eastAsiaTheme="minorEastAsia" w:hAnsi="Cambria Math" w:cs="Times New Roman"/>
                <w:sz w:val="20"/>
                <w:szCs w:val="16"/>
              </w:rPr>
              <m:t>0j</m:t>
            </m:r>
          </m:sub>
        </m:sSub>
        <m:r>
          <w:rPr>
            <w:rFonts w:ascii="Cambria Math" w:eastAsiaTheme="minorEastAsia" w:hAnsi="Cambria Math" w:cs="Times New Roman"/>
            <w:sz w:val="20"/>
            <w:szCs w:val="16"/>
          </w:rPr>
          <m:t>+</m:t>
        </m:r>
        <m:nary>
          <m:naryPr>
            <m:chr m:val="∑"/>
            <m:limLoc m:val="undOvr"/>
            <m:ctrlPr>
              <w:rPr>
                <w:rFonts w:ascii="Cambria Math" w:eastAsiaTheme="minorEastAsia" w:hAnsi="Cambria Math" w:cs="Times New Roman"/>
                <w:i/>
                <w:sz w:val="20"/>
                <w:szCs w:val="16"/>
              </w:rPr>
            </m:ctrlPr>
          </m:naryPr>
          <m:sub>
            <m:r>
              <w:rPr>
                <w:rFonts w:ascii="Cambria Math" w:eastAsiaTheme="minorEastAsia" w:hAnsi="Cambria Math" w:cs="Times New Roman"/>
                <w:sz w:val="20"/>
                <w:szCs w:val="16"/>
              </w:rPr>
              <m:t>k</m:t>
            </m:r>
            <m:r>
              <w:rPr>
                <w:rFonts w:ascii="Cambria Math" w:eastAsiaTheme="minorEastAsia" w:hAnsi="Cambria Math" w:cs="Times New Roman"/>
                <w:sz w:val="20"/>
                <w:szCs w:val="16"/>
              </w:rPr>
              <m:t>=1</m:t>
            </m:r>
          </m:sub>
          <m:sup>
            <m:r>
              <w:rPr>
                <w:rFonts w:ascii="Cambria Math" w:eastAsiaTheme="minorEastAsia" w:hAnsi="Cambria Math" w:cs="Times New Roman"/>
                <w:sz w:val="20"/>
                <w:szCs w:val="16"/>
              </w:rPr>
              <m:t>q</m:t>
            </m:r>
          </m:sup>
          <m:e>
            <m:sSub>
              <m:sSubPr>
                <m:ctrlPr>
                  <w:rPr>
                    <w:rFonts w:ascii="Cambria Math" w:eastAsiaTheme="minorEastAsia" w:hAnsi="Cambria Math" w:cs="Times New Roman"/>
                    <w:sz w:val="20"/>
                    <w:szCs w:val="16"/>
                  </w:rPr>
                </m:ctrlPr>
              </m:sSubPr>
              <m:e>
                <m:r>
                  <w:rPr>
                    <w:rFonts w:ascii="Cambria Math" w:eastAsiaTheme="minorEastAsia" w:hAnsi="Cambria Math" w:cs="Times New Roman"/>
                    <w:sz w:val="20"/>
                    <w:szCs w:val="16"/>
                  </w:rPr>
                  <m:t>β</m:t>
                </m:r>
              </m:e>
              <m:sub>
                <m:r>
                  <w:rPr>
                    <w:rFonts w:ascii="Cambria Math" w:eastAsiaTheme="minorEastAsia" w:hAnsi="Cambria Math" w:cs="Times New Roman"/>
                    <w:sz w:val="20"/>
                    <w:szCs w:val="16"/>
                  </w:rPr>
                  <m:t>k</m:t>
                </m:r>
              </m:sub>
            </m:sSub>
            <m:sSub>
              <m:sSubPr>
                <m:ctrlPr>
                  <w:rPr>
                    <w:rFonts w:ascii="Cambria Math" w:eastAsiaTheme="minorEastAsia" w:hAnsi="Cambria Math" w:cs="Times New Roman"/>
                    <w:sz w:val="20"/>
                    <w:szCs w:val="16"/>
                  </w:rPr>
                </m:ctrlPr>
              </m:sSubPr>
              <m:e>
                <m:r>
                  <w:rPr>
                    <w:rFonts w:ascii="Cambria Math" w:eastAsiaTheme="minorEastAsia" w:hAnsi="Cambria Math" w:cs="Times New Roman"/>
                    <w:sz w:val="20"/>
                    <w:szCs w:val="16"/>
                  </w:rPr>
                  <m:t>x</m:t>
                </m:r>
              </m:e>
              <m:sub>
                <m:r>
                  <w:rPr>
                    <w:rFonts w:ascii="Cambria Math" w:eastAsiaTheme="minorEastAsia" w:hAnsi="Cambria Math" w:cs="Times New Roman"/>
                    <w:sz w:val="20"/>
                    <w:szCs w:val="16"/>
                  </w:rPr>
                  <m:t>k</m:t>
                </m:r>
                <m:r>
                  <w:rPr>
                    <w:rFonts w:ascii="Cambria Math" w:eastAsiaTheme="minorEastAsia" w:hAnsi="Cambria Math" w:cs="Times New Roman"/>
                    <w:sz w:val="20"/>
                    <w:szCs w:val="16"/>
                  </w:rPr>
                  <m:t>ij</m:t>
                </m:r>
              </m:sub>
            </m:sSub>
          </m:e>
        </m:nary>
      </m:oMath>
      <w:r w:rsidRPr="00B1698C">
        <w:rPr>
          <w:rFonts w:eastAsiaTheme="minorEastAsia" w:cs="Times New Roman"/>
          <w:sz w:val="20"/>
          <w:szCs w:val="16"/>
        </w:rPr>
        <w:t xml:space="preserve">  </w:t>
      </w:r>
      <w:r w:rsidRPr="00B1698C">
        <w:rPr>
          <w:rFonts w:eastAsiaTheme="minorEastAsia" w:cs="Times New Roman"/>
          <w:sz w:val="20"/>
          <w:szCs w:val="16"/>
        </w:rPr>
        <w:tab/>
      </w:r>
      <w:r w:rsidRPr="00B1698C">
        <w:rPr>
          <w:rFonts w:eastAsiaTheme="minorEastAsia" w:cs="Times New Roman"/>
          <w:sz w:val="20"/>
          <w:szCs w:val="16"/>
        </w:rPr>
        <w:tab/>
      </w:r>
      <w:r w:rsidRPr="00B1698C">
        <w:rPr>
          <w:rFonts w:eastAsiaTheme="minorEastAsia" w:cs="Times New Roman"/>
          <w:sz w:val="20"/>
          <w:szCs w:val="16"/>
        </w:rPr>
        <w:tab/>
        <w:t>(</w:t>
      </w:r>
      <w:r>
        <w:rPr>
          <w:rFonts w:eastAsiaTheme="minorEastAsia" w:cs="Times New Roman"/>
          <w:sz w:val="20"/>
          <w:szCs w:val="16"/>
        </w:rPr>
        <w:t>2</w:t>
      </w:r>
      <w:r w:rsidRPr="00B1698C">
        <w:rPr>
          <w:rFonts w:eastAsiaTheme="minorEastAsia" w:cs="Times New Roman"/>
          <w:sz w:val="20"/>
          <w:szCs w:val="16"/>
        </w:rPr>
        <w:t>)</w:t>
      </w:r>
    </w:p>
    <w:p w14:paraId="1E66EC06" w14:textId="77777777" w:rsidR="00F81F7C" w:rsidRPr="00B1698C" w:rsidRDefault="00F81F7C" w:rsidP="00F81F7C">
      <w:pPr>
        <w:spacing w:line="360" w:lineRule="auto"/>
        <w:jc w:val="center"/>
        <w:rPr>
          <w:rFonts w:eastAsiaTheme="minorEastAsia" w:cs="Times New Roman"/>
          <w:sz w:val="20"/>
          <w:szCs w:val="16"/>
        </w:rPr>
      </w:pPr>
    </w:p>
    <w:p w14:paraId="6D796324" w14:textId="5D491A45" w:rsidR="00F81F7C" w:rsidRPr="00B1698C" w:rsidRDefault="00F81F7C" w:rsidP="00F81F7C">
      <w:pPr>
        <w:spacing w:line="360" w:lineRule="auto"/>
        <w:jc w:val="right"/>
        <w:rPr>
          <w:rFonts w:eastAsiaTheme="minorEastAsia" w:cs="Times New Roman"/>
          <w:sz w:val="20"/>
          <w:szCs w:val="16"/>
        </w:rPr>
      </w:pPr>
      <w:r>
        <w:rPr>
          <w:rFonts w:eastAsiaTheme="minorEastAsia" w:cs="Times New Roman"/>
          <w:sz w:val="20"/>
          <w:szCs w:val="16"/>
        </w:rPr>
        <w:t xml:space="preserve">     </w:t>
      </w:r>
      <w:r w:rsidRPr="00B1698C">
        <w:rPr>
          <w:rFonts w:eastAsiaTheme="minorEastAsia" w:cs="Times New Roman"/>
          <w:sz w:val="20"/>
          <w:szCs w:val="16"/>
        </w:rPr>
        <w:t xml:space="preserve">where </w:t>
      </w:r>
      <m:oMath>
        <m:sSub>
          <m:sSubPr>
            <m:ctrlPr>
              <w:rPr>
                <w:rFonts w:ascii="Cambria Math" w:eastAsiaTheme="minorEastAsia" w:hAnsi="Cambria Math" w:cs="Times New Roman"/>
                <w:sz w:val="20"/>
                <w:szCs w:val="16"/>
              </w:rPr>
            </m:ctrlPr>
          </m:sSubPr>
          <m:e>
            <m:r>
              <w:rPr>
                <w:rFonts w:ascii="Cambria Math" w:eastAsiaTheme="minorEastAsia" w:hAnsi="Cambria Math" w:cs="Times New Roman"/>
                <w:sz w:val="20"/>
                <w:szCs w:val="16"/>
              </w:rPr>
              <m:t>β</m:t>
            </m:r>
          </m:e>
          <m:sub>
            <m:r>
              <w:rPr>
                <w:rFonts w:ascii="Cambria Math" w:eastAsiaTheme="minorEastAsia" w:hAnsi="Cambria Math" w:cs="Times New Roman"/>
                <w:sz w:val="20"/>
                <w:szCs w:val="16"/>
              </w:rPr>
              <m:t>0j</m:t>
            </m:r>
          </m:sub>
        </m:sSub>
        <m:r>
          <w:rPr>
            <w:rFonts w:ascii="Cambria Math" w:eastAsiaTheme="minorEastAsia" w:hAnsi="Cambria Math" w:cs="Times New Roman"/>
            <w:sz w:val="20"/>
            <w:szCs w:val="16"/>
          </w:rPr>
          <m:t>=</m:t>
        </m:r>
        <m:sSub>
          <m:sSubPr>
            <m:ctrlPr>
              <w:rPr>
                <w:rFonts w:ascii="Cambria Math" w:eastAsiaTheme="minorEastAsia" w:hAnsi="Cambria Math" w:cs="Times New Roman"/>
                <w:sz w:val="20"/>
                <w:szCs w:val="16"/>
              </w:rPr>
            </m:ctrlPr>
          </m:sSubPr>
          <m:e>
            <m:r>
              <w:rPr>
                <w:rFonts w:ascii="Cambria Math" w:eastAsiaTheme="minorEastAsia" w:hAnsi="Cambria Math" w:cs="Times New Roman"/>
                <w:sz w:val="20"/>
                <w:szCs w:val="16"/>
              </w:rPr>
              <m:t>γ</m:t>
            </m:r>
          </m:e>
          <m:sub>
            <m:r>
              <w:rPr>
                <w:rFonts w:ascii="Cambria Math" w:eastAsiaTheme="minorEastAsia" w:hAnsi="Cambria Math" w:cs="Times New Roman"/>
                <w:sz w:val="20"/>
                <w:szCs w:val="16"/>
              </w:rPr>
              <m:t>00</m:t>
            </m:r>
          </m:sub>
        </m:sSub>
        <m:r>
          <w:rPr>
            <w:rFonts w:ascii="Cambria Math" w:eastAsiaTheme="minorEastAsia" w:hAnsi="Cambria Math" w:cs="Times New Roman"/>
            <w:sz w:val="20"/>
            <w:szCs w:val="16"/>
          </w:rPr>
          <m:t>+</m:t>
        </m:r>
        <m:sSub>
          <m:sSubPr>
            <m:ctrlPr>
              <w:rPr>
                <w:rFonts w:ascii="Cambria Math" w:eastAsiaTheme="minorEastAsia" w:hAnsi="Cambria Math" w:cs="Times New Roman"/>
                <w:sz w:val="20"/>
                <w:szCs w:val="16"/>
              </w:rPr>
            </m:ctrlPr>
          </m:sSubPr>
          <m:e>
            <m:r>
              <w:rPr>
                <w:rFonts w:ascii="Cambria Math" w:eastAsiaTheme="minorEastAsia" w:hAnsi="Cambria Math" w:cs="Times New Roman"/>
                <w:sz w:val="20"/>
                <w:szCs w:val="16"/>
              </w:rPr>
              <m:t>μ</m:t>
            </m:r>
          </m:e>
          <m:sub>
            <m:r>
              <w:rPr>
                <w:rFonts w:ascii="Cambria Math" w:eastAsiaTheme="minorEastAsia" w:hAnsi="Cambria Math" w:cs="Times New Roman"/>
                <w:sz w:val="20"/>
                <w:szCs w:val="16"/>
              </w:rPr>
              <m:t>0</m:t>
            </m:r>
            <m:r>
              <w:rPr>
                <w:rFonts w:ascii="Cambria Math" w:eastAsiaTheme="minorEastAsia" w:hAnsi="Cambria Math" w:cs="Times New Roman"/>
                <w:sz w:val="20"/>
                <w:szCs w:val="16"/>
              </w:rPr>
              <m:t>j</m:t>
            </m:r>
          </m:sub>
        </m:sSub>
      </m:oMath>
      <w:r w:rsidRPr="00B1698C">
        <w:rPr>
          <w:rFonts w:eastAsiaTheme="minorEastAsia" w:cs="Times New Roman"/>
          <w:sz w:val="20"/>
          <w:szCs w:val="16"/>
        </w:rPr>
        <w:t xml:space="preserve"> </w:t>
      </w:r>
      <w:r w:rsidRPr="00B1698C">
        <w:rPr>
          <w:rFonts w:eastAsiaTheme="minorEastAsia" w:cs="Times New Roman"/>
          <w:sz w:val="20"/>
          <w:szCs w:val="16"/>
        </w:rPr>
        <w:tab/>
      </w:r>
      <w:r w:rsidRPr="00B1698C">
        <w:rPr>
          <w:rFonts w:eastAsiaTheme="minorEastAsia" w:cs="Times New Roman"/>
          <w:sz w:val="20"/>
          <w:szCs w:val="16"/>
        </w:rPr>
        <w:tab/>
      </w:r>
      <w:r w:rsidRPr="00B1698C">
        <w:rPr>
          <w:rFonts w:eastAsiaTheme="minorEastAsia" w:cs="Times New Roman"/>
          <w:sz w:val="20"/>
          <w:szCs w:val="16"/>
        </w:rPr>
        <w:tab/>
      </w:r>
      <w:r w:rsidRPr="00B1698C">
        <w:rPr>
          <w:rFonts w:eastAsiaTheme="minorEastAsia" w:cs="Times New Roman"/>
          <w:sz w:val="20"/>
          <w:szCs w:val="16"/>
        </w:rPr>
        <w:tab/>
      </w:r>
      <w:r w:rsidRPr="00B1698C">
        <w:rPr>
          <w:rFonts w:eastAsiaTheme="minorEastAsia" w:cs="Times New Roman"/>
          <w:sz w:val="20"/>
          <w:szCs w:val="16"/>
        </w:rPr>
        <w:tab/>
      </w:r>
      <w:r w:rsidRPr="00B1698C">
        <w:rPr>
          <w:rFonts w:eastAsiaTheme="minorEastAsia" w:cs="Times New Roman"/>
          <w:sz w:val="20"/>
          <w:szCs w:val="16"/>
        </w:rPr>
        <w:tab/>
      </w:r>
      <w:r w:rsidRPr="00B1698C">
        <w:rPr>
          <w:rFonts w:eastAsiaTheme="minorEastAsia" w:cs="Times New Roman"/>
          <w:sz w:val="20"/>
          <w:szCs w:val="16"/>
        </w:rPr>
        <w:tab/>
        <w:t>(</w:t>
      </w:r>
      <w:r>
        <w:rPr>
          <w:rFonts w:eastAsiaTheme="minorEastAsia" w:cs="Times New Roman"/>
          <w:sz w:val="20"/>
          <w:szCs w:val="16"/>
        </w:rPr>
        <w:t>3</w:t>
      </w:r>
      <w:r w:rsidRPr="00B1698C">
        <w:rPr>
          <w:rFonts w:eastAsiaTheme="minorEastAsia" w:cs="Times New Roman"/>
          <w:sz w:val="20"/>
          <w:szCs w:val="16"/>
        </w:rPr>
        <w:t>)</w:t>
      </w:r>
    </w:p>
    <w:p w14:paraId="64DD486C" w14:textId="77777777" w:rsidR="00F81F7C" w:rsidRPr="00B1698C" w:rsidRDefault="00F81F7C" w:rsidP="00F81F7C">
      <w:pPr>
        <w:spacing w:line="360" w:lineRule="auto"/>
        <w:jc w:val="both"/>
        <w:rPr>
          <w:rFonts w:eastAsiaTheme="minorEastAsia" w:cs="Times New Roman"/>
          <w:sz w:val="22"/>
          <w:szCs w:val="18"/>
        </w:rPr>
      </w:pPr>
    </w:p>
    <w:p w14:paraId="18304A41" w14:textId="77777777" w:rsidR="00F81F7C" w:rsidRPr="00B1698C" w:rsidRDefault="00F81F7C" w:rsidP="00F81F7C">
      <w:pPr>
        <w:spacing w:line="360" w:lineRule="auto"/>
        <w:jc w:val="both"/>
        <w:rPr>
          <w:rFonts w:eastAsiaTheme="minorEastAsia" w:cs="Times New Roman"/>
          <w:sz w:val="22"/>
          <w:szCs w:val="18"/>
        </w:rPr>
      </w:pPr>
      <w:r w:rsidRPr="00B1698C">
        <w:rPr>
          <w:rFonts w:eastAsiaTheme="minorEastAsia" w:cs="Times New Roman"/>
          <w:sz w:val="22"/>
          <w:szCs w:val="18"/>
        </w:rPr>
        <w:t>Which can be combined into:</w:t>
      </w:r>
    </w:p>
    <w:p w14:paraId="0F9D4C20" w14:textId="50365717" w:rsidR="00F81F7C" w:rsidRPr="00B1698C" w:rsidRDefault="00F81F7C" w:rsidP="00F81F7C">
      <w:pPr>
        <w:spacing w:line="360" w:lineRule="auto"/>
        <w:jc w:val="center"/>
        <w:rPr>
          <w:rFonts w:eastAsiaTheme="minorEastAsia" w:cs="Times New Roman"/>
          <w:sz w:val="20"/>
          <w:szCs w:val="16"/>
        </w:rPr>
      </w:pPr>
      <w:r w:rsidRPr="00B1698C">
        <w:rPr>
          <w:rFonts w:eastAsiaTheme="minorEastAsia" w:cs="Times New Roman"/>
          <w:sz w:val="20"/>
          <w:szCs w:val="16"/>
        </w:rPr>
        <w:t xml:space="preserve">               </w:t>
      </w:r>
      <w:r>
        <w:rPr>
          <w:rFonts w:eastAsiaTheme="minorEastAsia" w:cs="Times New Roman"/>
          <w:sz w:val="20"/>
          <w:szCs w:val="16"/>
        </w:rPr>
        <w:t xml:space="preserve">    </w:t>
      </w:r>
      <w:r w:rsidRPr="00B1698C">
        <w:rPr>
          <w:rFonts w:eastAsiaTheme="minorEastAsia" w:cs="Times New Roman"/>
          <w:sz w:val="20"/>
          <w:szCs w:val="16"/>
        </w:rPr>
        <w:t xml:space="preserve"> </w:t>
      </w:r>
      <w:r>
        <w:rPr>
          <w:rFonts w:eastAsiaTheme="minorEastAsia" w:cs="Times New Roman"/>
          <w:sz w:val="20"/>
          <w:szCs w:val="16"/>
        </w:rPr>
        <w:t xml:space="preserve">  </w:t>
      </w:r>
      <w:r w:rsidRPr="00B1698C">
        <w:rPr>
          <w:rFonts w:eastAsiaTheme="minorEastAsia" w:cs="Times New Roman"/>
          <w:sz w:val="20"/>
          <w:szCs w:val="16"/>
        </w:rPr>
        <w:t xml:space="preserve">   </w:t>
      </w:r>
      <m:oMath>
        <m:r>
          <m:rPr>
            <m:nor/>
          </m:rPr>
          <w:rPr>
            <w:rFonts w:eastAsiaTheme="minorEastAsia" w:cs="Times New Roman"/>
            <w:sz w:val="20"/>
            <w:szCs w:val="16"/>
          </w:rPr>
          <m:t>logit</m:t>
        </m:r>
        <m:r>
          <m:rPr>
            <m:nor/>
          </m:rPr>
          <w:rPr>
            <w:rFonts w:ascii="Cambria Math" w:eastAsiaTheme="minorEastAsia" w:cs="Times New Roman"/>
            <w:sz w:val="20"/>
            <w:szCs w:val="16"/>
          </w:rPr>
          <m:t xml:space="preserve"> </m:t>
        </m:r>
        <m:d>
          <m:dPr>
            <m:ctrlPr>
              <w:rPr>
                <w:rFonts w:ascii="Cambria Math" w:eastAsiaTheme="minorEastAsia" w:hAnsi="Cambria Math" w:cs="Times New Roman"/>
                <w:sz w:val="20"/>
                <w:szCs w:val="16"/>
              </w:rPr>
            </m:ctrlPr>
          </m:dPr>
          <m:e>
            <m:sSub>
              <m:sSubPr>
                <m:ctrlPr>
                  <w:rPr>
                    <w:rFonts w:ascii="Cambria Math" w:eastAsiaTheme="minorEastAsia" w:hAnsi="Cambria Math" w:cs="Times New Roman"/>
                    <w:sz w:val="20"/>
                    <w:szCs w:val="16"/>
                  </w:rPr>
                </m:ctrlPr>
              </m:sSubPr>
              <m:e>
                <m:r>
                  <w:rPr>
                    <w:rFonts w:ascii="Cambria Math" w:eastAsiaTheme="minorEastAsia" w:hAnsi="Cambria Math" w:cs="Times New Roman"/>
                    <w:sz w:val="20"/>
                    <w:szCs w:val="16"/>
                  </w:rPr>
                  <m:t>p</m:t>
                </m:r>
              </m:e>
              <m:sub>
                <m:r>
                  <w:rPr>
                    <w:rFonts w:ascii="Cambria Math" w:eastAsiaTheme="minorEastAsia" w:hAnsi="Cambria Math" w:cs="Times New Roman"/>
                    <w:sz w:val="20"/>
                    <w:szCs w:val="16"/>
                  </w:rPr>
                  <m:t>ij</m:t>
                </m:r>
              </m:sub>
            </m:sSub>
          </m:e>
        </m:d>
        <m:r>
          <w:rPr>
            <w:rFonts w:ascii="Cambria Math" w:eastAsiaTheme="minorEastAsia" w:hAnsi="Cambria Math" w:cs="Times New Roman"/>
            <w:sz w:val="20"/>
            <w:szCs w:val="16"/>
          </w:rPr>
          <m:t>=</m:t>
        </m:r>
        <m:r>
          <m:rPr>
            <m:nor/>
          </m:rPr>
          <w:rPr>
            <w:rFonts w:eastAsiaTheme="minorEastAsia" w:cs="Times New Roman"/>
            <w:sz w:val="20"/>
            <w:szCs w:val="16"/>
          </w:rPr>
          <m:t>l</m:t>
        </m:r>
        <w:proofErr w:type="spellStart"/>
        <m:r>
          <m:rPr>
            <m:nor/>
          </m:rPr>
          <w:rPr>
            <w:rFonts w:ascii="Cambria Math" w:eastAsiaTheme="minorEastAsia" w:cs="Times New Roman"/>
            <w:sz w:val="20"/>
            <w:szCs w:val="16"/>
          </w:rPr>
          <m:t>og</m:t>
        </m:r>
        <w:proofErr w:type="spellEnd"/>
        <m:d>
          <m:dPr>
            <m:ctrlPr>
              <w:rPr>
                <w:rFonts w:ascii="Cambria Math" w:eastAsiaTheme="minorEastAsia" w:hAnsi="Cambria Math" w:cs="Times New Roman"/>
                <w:sz w:val="20"/>
                <w:szCs w:val="16"/>
              </w:rPr>
            </m:ctrlPr>
          </m:dPr>
          <m:e>
            <m:f>
              <m:fPr>
                <m:ctrlPr>
                  <w:rPr>
                    <w:rFonts w:ascii="Cambria Math" w:eastAsiaTheme="minorEastAsia" w:hAnsi="Cambria Math" w:cs="Times New Roman"/>
                    <w:sz w:val="20"/>
                    <w:szCs w:val="16"/>
                  </w:rPr>
                </m:ctrlPr>
              </m:fPr>
              <m:num>
                <m:sSub>
                  <m:sSubPr>
                    <m:ctrlPr>
                      <w:rPr>
                        <w:rFonts w:ascii="Cambria Math" w:eastAsiaTheme="minorEastAsia" w:hAnsi="Cambria Math" w:cs="Times New Roman"/>
                        <w:sz w:val="20"/>
                        <w:szCs w:val="16"/>
                      </w:rPr>
                    </m:ctrlPr>
                  </m:sSubPr>
                  <m:e>
                    <m:r>
                      <w:rPr>
                        <w:rFonts w:ascii="Cambria Math" w:eastAsiaTheme="minorEastAsia" w:hAnsi="Cambria Math" w:cs="Times New Roman"/>
                        <w:sz w:val="20"/>
                        <w:szCs w:val="16"/>
                      </w:rPr>
                      <m:t>p</m:t>
                    </m:r>
                  </m:e>
                  <m:sub>
                    <m:r>
                      <w:rPr>
                        <w:rFonts w:ascii="Cambria Math" w:eastAsiaTheme="minorEastAsia" w:hAnsi="Cambria Math" w:cs="Times New Roman"/>
                        <w:sz w:val="20"/>
                        <w:szCs w:val="16"/>
                      </w:rPr>
                      <m:t>ij</m:t>
                    </m:r>
                  </m:sub>
                </m:sSub>
              </m:num>
              <m:den>
                <m:r>
                  <w:rPr>
                    <w:rFonts w:ascii="Cambria Math" w:eastAsiaTheme="minorEastAsia" w:hAnsi="Cambria Math" w:cs="Times New Roman"/>
                    <w:sz w:val="20"/>
                    <w:szCs w:val="16"/>
                  </w:rPr>
                  <m:t>1-</m:t>
                </m:r>
                <m:sSub>
                  <m:sSubPr>
                    <m:ctrlPr>
                      <w:rPr>
                        <w:rFonts w:ascii="Cambria Math" w:eastAsiaTheme="minorEastAsia" w:hAnsi="Cambria Math" w:cs="Times New Roman"/>
                        <w:sz w:val="20"/>
                        <w:szCs w:val="16"/>
                      </w:rPr>
                    </m:ctrlPr>
                  </m:sSubPr>
                  <m:e>
                    <m:r>
                      <w:rPr>
                        <w:rFonts w:ascii="Cambria Math" w:eastAsiaTheme="minorEastAsia" w:hAnsi="Cambria Math" w:cs="Times New Roman"/>
                        <w:sz w:val="20"/>
                        <w:szCs w:val="16"/>
                      </w:rPr>
                      <m:t>p</m:t>
                    </m:r>
                  </m:e>
                  <m:sub>
                    <m:r>
                      <w:rPr>
                        <w:rFonts w:ascii="Cambria Math" w:eastAsiaTheme="minorEastAsia" w:hAnsi="Cambria Math" w:cs="Times New Roman"/>
                        <w:sz w:val="20"/>
                        <w:szCs w:val="16"/>
                      </w:rPr>
                      <m:t>ij</m:t>
                    </m:r>
                  </m:sub>
                </m:sSub>
              </m:den>
            </m:f>
          </m:e>
        </m:d>
        <m:r>
          <w:rPr>
            <w:rFonts w:ascii="Cambria Math" w:eastAsiaTheme="minorEastAsia" w:hAnsi="Cambria Math" w:cs="Times New Roman"/>
            <w:sz w:val="20"/>
            <w:szCs w:val="16"/>
          </w:rPr>
          <m:t>=</m:t>
        </m:r>
        <m:sSub>
          <m:sSubPr>
            <m:ctrlPr>
              <w:rPr>
                <w:rFonts w:ascii="Cambria Math" w:eastAsiaTheme="minorEastAsia" w:hAnsi="Cambria Math" w:cs="Times New Roman"/>
                <w:sz w:val="20"/>
                <w:szCs w:val="16"/>
              </w:rPr>
            </m:ctrlPr>
          </m:sSubPr>
          <m:e>
            <m:r>
              <w:rPr>
                <w:rFonts w:ascii="Cambria Math" w:eastAsiaTheme="minorEastAsia" w:hAnsi="Cambria Math" w:cs="Times New Roman"/>
                <w:sz w:val="20"/>
                <w:szCs w:val="16"/>
              </w:rPr>
              <m:t>γ</m:t>
            </m:r>
          </m:e>
          <m:sub>
            <m:r>
              <w:rPr>
                <w:rFonts w:ascii="Cambria Math" w:eastAsiaTheme="minorEastAsia" w:hAnsi="Cambria Math" w:cs="Times New Roman"/>
                <w:sz w:val="20"/>
                <w:szCs w:val="16"/>
              </w:rPr>
              <m:t>00</m:t>
            </m:r>
          </m:sub>
        </m:sSub>
        <m:r>
          <w:rPr>
            <w:rFonts w:ascii="Cambria Math" w:eastAsiaTheme="minorEastAsia" w:hAnsi="Cambria Math" w:cs="Times New Roman"/>
            <w:sz w:val="20"/>
            <w:szCs w:val="16"/>
          </w:rPr>
          <m:t>+</m:t>
        </m:r>
        <m:nary>
          <m:naryPr>
            <m:chr m:val="∑"/>
            <m:limLoc m:val="undOvr"/>
            <m:ctrlPr>
              <w:rPr>
                <w:rFonts w:ascii="Cambria Math" w:eastAsiaTheme="minorEastAsia" w:hAnsi="Cambria Math" w:cs="Times New Roman"/>
                <w:i/>
                <w:sz w:val="20"/>
                <w:szCs w:val="16"/>
              </w:rPr>
            </m:ctrlPr>
          </m:naryPr>
          <m:sub>
            <m:r>
              <w:rPr>
                <w:rFonts w:ascii="Cambria Math" w:eastAsiaTheme="minorEastAsia" w:hAnsi="Cambria Math" w:cs="Times New Roman"/>
                <w:sz w:val="20"/>
                <w:szCs w:val="16"/>
              </w:rPr>
              <m:t>k=1</m:t>
            </m:r>
          </m:sub>
          <m:sup>
            <m:r>
              <w:rPr>
                <w:rFonts w:ascii="Cambria Math" w:eastAsiaTheme="minorEastAsia" w:hAnsi="Cambria Math" w:cs="Times New Roman"/>
                <w:sz w:val="20"/>
                <w:szCs w:val="16"/>
              </w:rPr>
              <m:t>q</m:t>
            </m:r>
          </m:sup>
          <m:e>
            <m:sSub>
              <m:sSubPr>
                <m:ctrlPr>
                  <w:rPr>
                    <w:rFonts w:ascii="Cambria Math" w:eastAsiaTheme="minorEastAsia" w:hAnsi="Cambria Math" w:cs="Times New Roman"/>
                    <w:sz w:val="20"/>
                    <w:szCs w:val="16"/>
                  </w:rPr>
                </m:ctrlPr>
              </m:sSubPr>
              <m:e>
                <m:r>
                  <w:rPr>
                    <w:rFonts w:ascii="Cambria Math" w:eastAsiaTheme="minorEastAsia" w:hAnsi="Cambria Math" w:cs="Times New Roman"/>
                    <w:sz w:val="20"/>
                    <w:szCs w:val="16"/>
                  </w:rPr>
                  <m:t>β</m:t>
                </m:r>
              </m:e>
              <m:sub>
                <m:r>
                  <w:rPr>
                    <w:rFonts w:ascii="Cambria Math" w:eastAsiaTheme="minorEastAsia" w:hAnsi="Cambria Math" w:cs="Times New Roman"/>
                    <w:sz w:val="20"/>
                    <w:szCs w:val="16"/>
                  </w:rPr>
                  <m:t>k</m:t>
                </m:r>
              </m:sub>
            </m:sSub>
            <m:sSub>
              <m:sSubPr>
                <m:ctrlPr>
                  <w:rPr>
                    <w:rFonts w:ascii="Cambria Math" w:eastAsiaTheme="minorEastAsia" w:hAnsi="Cambria Math" w:cs="Times New Roman"/>
                    <w:sz w:val="20"/>
                    <w:szCs w:val="16"/>
                  </w:rPr>
                </m:ctrlPr>
              </m:sSubPr>
              <m:e>
                <m:r>
                  <w:rPr>
                    <w:rFonts w:ascii="Cambria Math" w:eastAsiaTheme="minorEastAsia" w:hAnsi="Cambria Math" w:cs="Times New Roman"/>
                    <w:sz w:val="20"/>
                    <w:szCs w:val="16"/>
                  </w:rPr>
                  <m:t>x</m:t>
                </m:r>
              </m:e>
              <m:sub>
                <m:r>
                  <w:rPr>
                    <w:rFonts w:ascii="Cambria Math" w:eastAsiaTheme="minorEastAsia" w:hAnsi="Cambria Math" w:cs="Times New Roman"/>
                    <w:sz w:val="20"/>
                    <w:szCs w:val="16"/>
                  </w:rPr>
                  <m:t>kij</m:t>
                </m:r>
              </m:sub>
            </m:sSub>
          </m:e>
        </m:nary>
        <m:r>
          <w:rPr>
            <w:rFonts w:ascii="Cambria Math" w:eastAsiaTheme="minorEastAsia" w:hAnsi="Cambria Math" w:cs="Times New Roman"/>
            <w:sz w:val="20"/>
            <w:szCs w:val="16"/>
          </w:rPr>
          <m:t>+</m:t>
        </m:r>
        <m:sSub>
          <m:sSubPr>
            <m:ctrlPr>
              <w:rPr>
                <w:rFonts w:ascii="Cambria Math" w:eastAsiaTheme="minorEastAsia" w:hAnsi="Cambria Math" w:cs="Times New Roman"/>
                <w:sz w:val="20"/>
                <w:szCs w:val="16"/>
              </w:rPr>
            </m:ctrlPr>
          </m:sSubPr>
          <m:e>
            <m:r>
              <w:rPr>
                <w:rFonts w:ascii="Cambria Math" w:eastAsiaTheme="minorEastAsia" w:hAnsi="Cambria Math" w:cs="Times New Roman"/>
                <w:sz w:val="20"/>
                <w:szCs w:val="16"/>
              </w:rPr>
              <m:t>μ</m:t>
            </m:r>
          </m:e>
          <m:sub>
            <m:r>
              <w:rPr>
                <w:rFonts w:ascii="Cambria Math" w:eastAsiaTheme="minorEastAsia" w:hAnsi="Cambria Math" w:cs="Times New Roman"/>
                <w:sz w:val="20"/>
                <w:szCs w:val="16"/>
              </w:rPr>
              <m:t>0</m:t>
            </m:r>
            <m:r>
              <w:rPr>
                <w:rFonts w:ascii="Cambria Math" w:eastAsiaTheme="minorEastAsia" w:hAnsi="Cambria Math" w:cs="Times New Roman"/>
                <w:sz w:val="20"/>
                <w:szCs w:val="16"/>
              </w:rPr>
              <m:t>j</m:t>
            </m:r>
          </m:sub>
        </m:sSub>
      </m:oMath>
      <w:r w:rsidRPr="00B1698C">
        <w:rPr>
          <w:rFonts w:eastAsiaTheme="minorEastAsia" w:cs="Times New Roman"/>
          <w:sz w:val="20"/>
          <w:szCs w:val="16"/>
        </w:rPr>
        <w:tab/>
        <w:t xml:space="preserve">             (</w:t>
      </w:r>
      <w:r>
        <w:rPr>
          <w:rFonts w:eastAsiaTheme="minorEastAsia" w:cs="Times New Roman"/>
          <w:sz w:val="20"/>
          <w:szCs w:val="16"/>
        </w:rPr>
        <w:t>4</w:t>
      </w:r>
      <w:r w:rsidRPr="00B1698C">
        <w:rPr>
          <w:rFonts w:eastAsiaTheme="minorEastAsia" w:cs="Times New Roman"/>
          <w:sz w:val="20"/>
          <w:szCs w:val="16"/>
        </w:rPr>
        <w:t>)</w:t>
      </w:r>
    </w:p>
    <w:p w14:paraId="207E170F" w14:textId="77777777" w:rsidR="00F81F7C" w:rsidRPr="00B1698C" w:rsidRDefault="00F81F7C" w:rsidP="00F81F7C">
      <w:pPr>
        <w:spacing w:line="360" w:lineRule="auto"/>
        <w:jc w:val="center"/>
        <w:rPr>
          <w:rFonts w:eastAsiaTheme="minorEastAsia" w:cs="Times New Roman"/>
          <w:sz w:val="20"/>
          <w:szCs w:val="16"/>
        </w:rPr>
      </w:pPr>
    </w:p>
    <w:p w14:paraId="135A44E8" w14:textId="47A5DD47" w:rsidR="00F81F7C" w:rsidRDefault="00F81F7C" w:rsidP="00E7001C">
      <w:pPr>
        <w:spacing w:line="360" w:lineRule="auto"/>
        <w:jc w:val="both"/>
        <w:rPr>
          <w:rFonts w:eastAsiaTheme="minorEastAsia" w:cs="Times New Roman"/>
          <w:sz w:val="20"/>
          <w:szCs w:val="16"/>
        </w:rPr>
      </w:pPr>
      <w:r w:rsidRPr="00B1698C">
        <w:rPr>
          <w:rFonts w:eastAsiaTheme="minorEastAsia" w:cs="Times New Roman"/>
          <w:sz w:val="22"/>
          <w:szCs w:val="22"/>
        </w:rPr>
        <w:t xml:space="preserve">where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p</m:t>
            </m:r>
          </m:e>
          <m:sub>
            <m:r>
              <w:rPr>
                <w:rFonts w:ascii="Cambria Math" w:eastAsiaTheme="minorEastAsia" w:hAnsi="Cambria Math" w:cs="Times New Roman"/>
                <w:sz w:val="22"/>
                <w:szCs w:val="22"/>
              </w:rPr>
              <m:t>ij</m:t>
            </m:r>
          </m:sub>
        </m:sSub>
      </m:oMath>
      <w:r w:rsidRPr="00B1698C">
        <w:rPr>
          <w:rFonts w:eastAsiaTheme="minorEastAsia" w:cs="Times New Roman"/>
          <w:sz w:val="22"/>
          <w:szCs w:val="22"/>
        </w:rPr>
        <w:t xml:space="preserve"> is the probability of active travel (AT) for the </w:t>
      </w:r>
      <w:proofErr w:type="spellStart"/>
      <w:r w:rsidRPr="00B1698C">
        <w:rPr>
          <w:rFonts w:eastAsiaTheme="minorEastAsia" w:cs="Times New Roman"/>
          <w:i/>
          <w:iCs/>
          <w:sz w:val="22"/>
          <w:szCs w:val="22"/>
        </w:rPr>
        <w:t>i</w:t>
      </w:r>
      <w:r w:rsidRPr="00B1698C">
        <w:rPr>
          <w:rFonts w:eastAsiaTheme="minorEastAsia" w:cs="Times New Roman"/>
          <w:sz w:val="22"/>
          <w:szCs w:val="22"/>
        </w:rPr>
        <w:t>-th</w:t>
      </w:r>
      <w:proofErr w:type="spellEnd"/>
      <w:r w:rsidRPr="00B1698C">
        <w:rPr>
          <w:rFonts w:eastAsiaTheme="minorEastAsia" w:cs="Times New Roman"/>
          <w:sz w:val="22"/>
          <w:szCs w:val="22"/>
        </w:rPr>
        <w:t xml:space="preserve"> individual of the </w:t>
      </w:r>
      <w:r w:rsidRPr="00B1698C">
        <w:rPr>
          <w:rFonts w:eastAsiaTheme="minorEastAsia" w:cs="Times New Roman"/>
          <w:i/>
          <w:iCs/>
          <w:sz w:val="22"/>
          <w:szCs w:val="22"/>
        </w:rPr>
        <w:t>j</w:t>
      </w:r>
      <w:r w:rsidRPr="00B1698C">
        <w:rPr>
          <w:rFonts w:eastAsiaTheme="minorEastAsia" w:cs="Times New Roman"/>
          <w:sz w:val="22"/>
          <w:szCs w:val="22"/>
        </w:rPr>
        <w:t>-</w:t>
      </w:r>
      <w:proofErr w:type="spellStart"/>
      <w:r w:rsidRPr="00B1698C">
        <w:rPr>
          <w:rFonts w:eastAsiaTheme="minorEastAsia" w:cs="Times New Roman"/>
          <w:sz w:val="22"/>
          <w:szCs w:val="22"/>
        </w:rPr>
        <w:t>th</w:t>
      </w:r>
      <w:proofErr w:type="spellEnd"/>
      <w:r w:rsidRPr="00B1698C">
        <w:rPr>
          <w:rFonts w:eastAsiaTheme="minorEastAsia" w:cs="Times New Roman"/>
          <w:sz w:val="22"/>
          <w:szCs w:val="22"/>
        </w:rPr>
        <w:t xml:space="preserve"> university;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β</m:t>
            </m:r>
          </m:e>
          <m:sub>
            <m:r>
              <w:rPr>
                <w:rFonts w:ascii="Cambria Math" w:eastAsiaTheme="minorEastAsia" w:hAnsi="Cambria Math" w:cs="Times New Roman"/>
                <w:sz w:val="22"/>
                <w:szCs w:val="22"/>
              </w:rPr>
              <m:t>0j</m:t>
            </m:r>
          </m:sub>
        </m:sSub>
        <m:r>
          <w:rPr>
            <w:rFonts w:ascii="Cambria Math" w:eastAsiaTheme="minorEastAsia" w:hAnsi="Cambria Math" w:cs="Times New Roman"/>
            <w:sz w:val="22"/>
            <w:szCs w:val="22"/>
          </w:rPr>
          <m:t xml:space="preserve"> </m:t>
        </m:r>
      </m:oMath>
      <w:r w:rsidRPr="00B1698C">
        <w:rPr>
          <w:rFonts w:eastAsiaTheme="minorEastAsia" w:cs="Times New Roman"/>
          <w:sz w:val="22"/>
          <w:szCs w:val="22"/>
        </w:rPr>
        <w:t xml:space="preserve">represents the random intercept; </w:t>
      </w:r>
      <m:oMath>
        <m:sSub>
          <m:sSubPr>
            <m:ctrlPr>
              <w:rPr>
                <w:rFonts w:ascii="Cambria Math" w:eastAsiaTheme="minorEastAsia" w:hAnsi="Cambria Math" w:cs="Times New Roman"/>
                <w:sz w:val="20"/>
                <w:szCs w:val="16"/>
              </w:rPr>
            </m:ctrlPr>
          </m:sSubPr>
          <m:e>
            <m:r>
              <w:rPr>
                <w:rFonts w:ascii="Cambria Math" w:eastAsiaTheme="minorEastAsia" w:hAnsi="Cambria Math" w:cs="Times New Roman"/>
                <w:sz w:val="20"/>
                <w:szCs w:val="16"/>
              </w:rPr>
              <m:t>x</m:t>
            </m:r>
          </m:e>
          <m:sub>
            <m:r>
              <w:rPr>
                <w:rFonts w:ascii="Cambria Math" w:eastAsiaTheme="minorEastAsia" w:hAnsi="Cambria Math" w:cs="Times New Roman"/>
                <w:sz w:val="20"/>
                <w:szCs w:val="16"/>
              </w:rPr>
              <m:t>kij</m:t>
            </m:r>
          </m:sub>
        </m:sSub>
      </m:oMath>
      <w:r w:rsidRPr="00B1698C">
        <w:rPr>
          <w:rFonts w:eastAsiaTheme="minorEastAsia" w:cs="Times New Roman"/>
          <w:sz w:val="22"/>
          <w:szCs w:val="22"/>
        </w:rPr>
        <w:t xml:space="preserve"> represents </w:t>
      </w:r>
      <w:r w:rsidR="00071606">
        <w:rPr>
          <w:rFonts w:eastAsiaTheme="minorEastAsia" w:cs="Times New Roman"/>
          <w:sz w:val="22"/>
          <w:szCs w:val="22"/>
        </w:rPr>
        <w:t>the covariate</w:t>
      </w:r>
      <w:r w:rsidRPr="00B1698C">
        <w:rPr>
          <w:rFonts w:eastAsiaTheme="minorEastAsia" w:cs="Times New Roman"/>
          <w:sz w:val="22"/>
          <w:szCs w:val="22"/>
        </w:rPr>
        <w:t xml:space="preserve"> and </w:t>
      </w:r>
      <m:oMath>
        <m:sSub>
          <m:sSubPr>
            <m:ctrlPr>
              <w:rPr>
                <w:rFonts w:ascii="Cambria Math" w:eastAsiaTheme="minorEastAsia" w:hAnsi="Cambria Math" w:cs="Times New Roman"/>
                <w:sz w:val="20"/>
                <w:szCs w:val="16"/>
              </w:rPr>
            </m:ctrlPr>
          </m:sSubPr>
          <m:e>
            <m:r>
              <w:rPr>
                <w:rFonts w:ascii="Cambria Math" w:eastAsiaTheme="minorEastAsia" w:hAnsi="Cambria Math" w:cs="Times New Roman"/>
                <w:sz w:val="20"/>
                <w:szCs w:val="16"/>
              </w:rPr>
              <m:t>β</m:t>
            </m:r>
          </m:e>
          <m:sub>
            <m:r>
              <w:rPr>
                <w:rFonts w:ascii="Cambria Math" w:eastAsiaTheme="minorEastAsia" w:hAnsi="Cambria Math" w:cs="Times New Roman"/>
                <w:sz w:val="20"/>
                <w:szCs w:val="16"/>
              </w:rPr>
              <m:t>k</m:t>
            </m:r>
          </m:sub>
        </m:sSub>
      </m:oMath>
      <w:r w:rsidRPr="00B1698C">
        <w:rPr>
          <w:rFonts w:eastAsiaTheme="minorEastAsia" w:cs="Times New Roman"/>
          <w:sz w:val="22"/>
          <w:szCs w:val="22"/>
        </w:rPr>
        <w:t xml:space="preserve"> denotes its corresponding coefficient;</w:t>
      </w:r>
      <w:r w:rsidR="00071606" w:rsidRPr="00071606">
        <w:t xml:space="preserve">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γ</m:t>
            </m:r>
          </m:e>
          <m:sub>
            <m:r>
              <w:rPr>
                <w:rFonts w:ascii="Cambria Math" w:eastAsiaTheme="minorEastAsia" w:hAnsi="Cambria Math" w:cs="Times New Roman"/>
                <w:sz w:val="22"/>
                <w:szCs w:val="22"/>
              </w:rPr>
              <m:t>00</m:t>
            </m:r>
          </m:sub>
        </m:sSub>
        <m:r>
          <w:rPr>
            <w:rFonts w:ascii="Cambria Math" w:eastAsiaTheme="minorEastAsia" w:hAnsi="Cambria Math" w:cs="Times New Roman"/>
            <w:sz w:val="22"/>
            <w:szCs w:val="22"/>
          </w:rPr>
          <m:t xml:space="preserve"> </m:t>
        </m:r>
      </m:oMath>
      <w:r w:rsidR="00071606" w:rsidRPr="00071606">
        <w:rPr>
          <w:rFonts w:eastAsiaTheme="minorEastAsia" w:cs="Times New Roman"/>
          <w:sz w:val="22"/>
          <w:szCs w:val="22"/>
        </w:rPr>
        <w:t>is the fixed component in the random intercept</w:t>
      </w:r>
      <w:r w:rsidR="00071606">
        <w:rPr>
          <w:rFonts w:eastAsiaTheme="minorEastAsia" w:cs="Times New Roman"/>
          <w:sz w:val="22"/>
          <w:szCs w:val="22"/>
        </w:rPr>
        <w:t>;</w:t>
      </w:r>
      <w:r w:rsidRPr="00B1698C">
        <w:rPr>
          <w:rFonts w:eastAsiaTheme="minorEastAsia" w:cs="Times New Roman"/>
          <w:sz w:val="22"/>
          <w:szCs w:val="22"/>
        </w:rPr>
        <w:t xml:space="preserve">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μ</m:t>
            </m:r>
          </m:e>
          <m:sub>
            <m:r>
              <w:rPr>
                <w:rFonts w:ascii="Cambria Math" w:eastAsiaTheme="minorEastAsia" w:hAnsi="Cambria Math" w:cs="Times New Roman"/>
                <w:sz w:val="22"/>
                <w:szCs w:val="22"/>
              </w:rPr>
              <m:t>0j</m:t>
            </m:r>
          </m:sub>
        </m:sSub>
      </m:oMath>
      <w:r w:rsidRPr="00B1698C">
        <w:rPr>
          <w:rFonts w:eastAsiaTheme="minorEastAsia" w:cs="Times New Roman"/>
          <w:sz w:val="22"/>
          <w:szCs w:val="22"/>
        </w:rPr>
        <w:t xml:space="preserve"> is the </w:t>
      </w:r>
      <w:r w:rsidR="00071606">
        <w:rPr>
          <w:rFonts w:eastAsiaTheme="minorEastAsia" w:cs="Times New Roman"/>
          <w:sz w:val="22"/>
          <w:szCs w:val="22"/>
        </w:rPr>
        <w:t>l</w:t>
      </w:r>
      <w:r w:rsidRPr="00B1698C">
        <w:rPr>
          <w:rFonts w:eastAsiaTheme="minorEastAsia" w:cs="Times New Roman"/>
          <w:sz w:val="22"/>
          <w:szCs w:val="22"/>
        </w:rPr>
        <w:t xml:space="preserve">evel </w:t>
      </w:r>
      <w:r w:rsidR="00071606">
        <w:rPr>
          <w:rFonts w:eastAsiaTheme="minorEastAsia" w:cs="Times New Roman"/>
          <w:sz w:val="22"/>
          <w:szCs w:val="22"/>
        </w:rPr>
        <w:t>2</w:t>
      </w:r>
      <w:r w:rsidRPr="00B1698C">
        <w:rPr>
          <w:rFonts w:eastAsiaTheme="minorEastAsia" w:cs="Times New Roman"/>
          <w:sz w:val="22"/>
          <w:szCs w:val="22"/>
        </w:rPr>
        <w:t xml:space="preserve"> (university-level) residual.</w:t>
      </w:r>
    </w:p>
    <w:p w14:paraId="45A8BDAB" w14:textId="77777777" w:rsidR="00F81F7C" w:rsidRPr="00F81F7C" w:rsidRDefault="00F81F7C" w:rsidP="00E7001C">
      <w:pPr>
        <w:spacing w:line="360" w:lineRule="auto"/>
        <w:jc w:val="both"/>
        <w:rPr>
          <w:rFonts w:eastAsiaTheme="minorEastAsia" w:cs="Times New Roman"/>
          <w:sz w:val="20"/>
          <w:szCs w:val="16"/>
        </w:rPr>
      </w:pPr>
    </w:p>
    <w:p w14:paraId="748D637F" w14:textId="06571B4F" w:rsidR="002E72FA" w:rsidRPr="008C10B7" w:rsidRDefault="00711121" w:rsidP="004C6148">
      <w:pPr>
        <w:spacing w:line="360" w:lineRule="auto"/>
        <w:ind w:firstLine="420"/>
        <w:jc w:val="both"/>
        <w:rPr>
          <w:rFonts w:eastAsiaTheme="minorHAnsi" w:cs="Times New Roman"/>
        </w:rPr>
      </w:pPr>
      <w:r w:rsidRPr="008C10B7">
        <w:rPr>
          <w:rFonts w:eastAsiaTheme="minorHAnsi" w:cs="Times New Roman"/>
          <w:sz w:val="22"/>
          <w:szCs w:val="22"/>
        </w:rPr>
        <w:t xml:space="preserve">Individuals at </w:t>
      </w:r>
      <w:r w:rsidR="00071606">
        <w:rPr>
          <w:rFonts w:eastAsiaTheme="minorHAnsi" w:cs="Times New Roman"/>
          <w:sz w:val="22"/>
          <w:szCs w:val="22"/>
        </w:rPr>
        <w:t>l</w:t>
      </w:r>
      <w:r w:rsidRPr="008C10B7">
        <w:rPr>
          <w:rFonts w:eastAsiaTheme="minorHAnsi" w:cs="Times New Roman"/>
          <w:sz w:val="22"/>
          <w:szCs w:val="22"/>
        </w:rPr>
        <w:t xml:space="preserve">evel </w:t>
      </w:r>
      <w:r w:rsidR="00071606">
        <w:rPr>
          <w:rFonts w:eastAsiaTheme="minorHAnsi" w:cs="Times New Roman"/>
          <w:sz w:val="22"/>
          <w:szCs w:val="22"/>
        </w:rPr>
        <w:t>1</w:t>
      </w:r>
      <w:r w:rsidR="00041755" w:rsidRPr="008C10B7" w:rsidDel="00041755">
        <w:rPr>
          <w:rFonts w:eastAsiaTheme="minorHAnsi" w:cs="Times New Roman"/>
          <w:sz w:val="22"/>
          <w:szCs w:val="22"/>
        </w:rPr>
        <w:t xml:space="preserve"> </w:t>
      </w:r>
      <w:r w:rsidR="0032120E" w:rsidRPr="008C10B7">
        <w:rPr>
          <w:rFonts w:eastAsiaTheme="minorHAnsi" w:cs="Times New Roman"/>
          <w:sz w:val="22"/>
          <w:szCs w:val="22"/>
        </w:rPr>
        <w:t xml:space="preserve">were </w:t>
      </w:r>
      <w:r w:rsidRPr="008C10B7">
        <w:rPr>
          <w:rFonts w:eastAsiaTheme="minorHAnsi" w:cs="Times New Roman"/>
          <w:sz w:val="22"/>
          <w:szCs w:val="22"/>
        </w:rPr>
        <w:t xml:space="preserve">nested within the university campuses at </w:t>
      </w:r>
      <w:r w:rsidR="00071606">
        <w:rPr>
          <w:rFonts w:eastAsiaTheme="minorHAnsi" w:cs="Times New Roman"/>
          <w:sz w:val="22"/>
          <w:szCs w:val="22"/>
        </w:rPr>
        <w:t>l</w:t>
      </w:r>
      <w:r w:rsidRPr="008C10B7">
        <w:rPr>
          <w:rFonts w:eastAsiaTheme="minorHAnsi" w:cs="Times New Roman"/>
          <w:sz w:val="22"/>
          <w:szCs w:val="22"/>
        </w:rPr>
        <w:t xml:space="preserve">evel </w:t>
      </w:r>
      <w:r w:rsidR="00071606">
        <w:rPr>
          <w:rFonts w:eastAsiaTheme="minorEastAsia" w:cs="Times New Roman"/>
          <w:sz w:val="22"/>
          <w:szCs w:val="22"/>
        </w:rPr>
        <w:t>2</w:t>
      </w:r>
      <w:r w:rsidR="00041755" w:rsidRPr="008C10B7">
        <w:rPr>
          <w:rFonts w:eastAsiaTheme="minorEastAsia" w:cs="Times New Roman"/>
          <w:sz w:val="22"/>
          <w:szCs w:val="22"/>
        </w:rPr>
        <w:t xml:space="preserve"> </w:t>
      </w:r>
      <w:r w:rsidRPr="008C10B7">
        <w:rPr>
          <w:rFonts w:eastAsiaTheme="minorHAnsi" w:cs="Times New Roman"/>
          <w:sz w:val="22"/>
          <w:szCs w:val="22"/>
        </w:rPr>
        <w:t xml:space="preserve">in the models. </w:t>
      </w:r>
      <w:bookmarkStart w:id="47" w:name="_Hlk100759772"/>
      <w:r w:rsidRPr="008C10B7">
        <w:rPr>
          <w:rFonts w:eastAsiaTheme="minorHAnsi" w:cs="Times New Roman"/>
          <w:sz w:val="22"/>
          <w:szCs w:val="22"/>
        </w:rPr>
        <w:t xml:space="preserve">The intraclass correlation coefficient (ICC) </w:t>
      </w:r>
      <w:r w:rsidR="004E42B1" w:rsidRPr="008C10B7">
        <w:rPr>
          <w:rFonts w:eastAsiaTheme="minorHAnsi" w:cs="Times New Roman"/>
          <w:sz w:val="22"/>
          <w:szCs w:val="22"/>
        </w:rPr>
        <w:t xml:space="preserve">is a parameter </w:t>
      </w:r>
      <w:r w:rsidR="003B0A24" w:rsidRPr="008C10B7">
        <w:rPr>
          <w:rFonts w:eastAsiaTheme="minorHAnsi" w:cs="Times New Roman"/>
          <w:sz w:val="22"/>
          <w:szCs w:val="22"/>
        </w:rPr>
        <w:t xml:space="preserve">used </w:t>
      </w:r>
      <w:r w:rsidR="004E42B1" w:rsidRPr="008C10B7">
        <w:rPr>
          <w:rFonts w:eastAsiaTheme="minorHAnsi" w:cs="Times New Roman"/>
          <w:sz w:val="22"/>
          <w:szCs w:val="22"/>
        </w:rPr>
        <w:t xml:space="preserve">to </w:t>
      </w:r>
      <w:r w:rsidR="004C6148" w:rsidRPr="008C10B7">
        <w:rPr>
          <w:rFonts w:eastAsiaTheme="minorHAnsi" w:cs="Times New Roman"/>
          <w:sz w:val="22"/>
          <w:szCs w:val="22"/>
        </w:rPr>
        <w:t>describe how strongly units in the same group resemble each other:</w:t>
      </w:r>
    </w:p>
    <w:p w14:paraId="55E77722" w14:textId="553AACA4" w:rsidR="004E42B1" w:rsidRPr="008C10B7" w:rsidRDefault="00A72C77" w:rsidP="00E7001C">
      <w:pPr>
        <w:spacing w:line="360" w:lineRule="auto"/>
        <w:jc w:val="right"/>
        <w:rPr>
          <w:rFonts w:eastAsiaTheme="minorEastAsia" w:cs="Times New Roman"/>
          <w:sz w:val="20"/>
          <w:szCs w:val="16"/>
        </w:rPr>
      </w:pPr>
      <w:bookmarkStart w:id="48" w:name="_Hlk100760028"/>
      <m:oMath>
        <m:r>
          <w:rPr>
            <w:rFonts w:ascii="Cambria Math" w:eastAsiaTheme="minorHAnsi" w:hAnsi="Cambria Math" w:cs="Times New Roman"/>
            <w:sz w:val="20"/>
            <w:szCs w:val="16"/>
          </w:rPr>
          <m:t>ICC=</m:t>
        </m:r>
        <m:f>
          <m:fPr>
            <m:ctrlPr>
              <w:rPr>
                <w:rFonts w:ascii="Cambria Math" w:eastAsiaTheme="minorHAnsi" w:hAnsi="Cambria Math" w:cs="Times New Roman"/>
                <w:sz w:val="20"/>
                <w:szCs w:val="16"/>
              </w:rPr>
            </m:ctrlPr>
          </m:fPr>
          <m:num>
            <m:sSubSup>
              <m:sSubSupPr>
                <m:ctrlPr>
                  <w:rPr>
                    <w:rFonts w:ascii="Cambria Math" w:eastAsiaTheme="minorHAnsi" w:hAnsi="Cambria Math" w:cs="Times New Roman"/>
                    <w:i/>
                    <w:sz w:val="20"/>
                    <w:szCs w:val="16"/>
                  </w:rPr>
                </m:ctrlPr>
              </m:sSubSupPr>
              <m:e>
                <m:r>
                  <m:rPr>
                    <m:sty m:val="p"/>
                  </m:rPr>
                  <w:rPr>
                    <w:rFonts w:ascii="Cambria Math" w:eastAsiaTheme="minorHAnsi" w:hAnsi="Cambria Math" w:cs="Times New Roman"/>
                    <w:sz w:val="20"/>
                    <w:szCs w:val="16"/>
                  </w:rPr>
                  <m:t>σ</m:t>
                </m:r>
              </m:e>
              <m:sub>
                <m:r>
                  <w:rPr>
                    <w:rFonts w:ascii="Cambria Math" w:eastAsiaTheme="minorHAnsi" w:hAnsi="Cambria Math" w:cs="Times New Roman"/>
                    <w:sz w:val="20"/>
                    <w:szCs w:val="16"/>
                  </w:rPr>
                  <m:t>u0</m:t>
                </m:r>
              </m:sub>
              <m:sup>
                <m:r>
                  <w:rPr>
                    <w:rFonts w:ascii="Cambria Math" w:eastAsiaTheme="minorHAnsi" w:hAnsi="Cambria Math" w:cs="Times New Roman"/>
                    <w:sz w:val="20"/>
                    <w:szCs w:val="16"/>
                  </w:rPr>
                  <m:t>2</m:t>
                </m:r>
              </m:sup>
            </m:sSubSup>
            <m:ctrlPr>
              <w:rPr>
                <w:rFonts w:ascii="Cambria Math" w:eastAsiaTheme="minorHAnsi" w:hAnsi="Cambria Math" w:cs="Times New Roman"/>
                <w:i/>
                <w:sz w:val="20"/>
                <w:szCs w:val="16"/>
              </w:rPr>
            </m:ctrlPr>
          </m:num>
          <m:den>
            <m:sSubSup>
              <m:sSubSupPr>
                <m:ctrlPr>
                  <w:rPr>
                    <w:rFonts w:ascii="Cambria Math" w:eastAsiaTheme="minorHAnsi" w:hAnsi="Cambria Math" w:cs="Times New Roman"/>
                    <w:i/>
                    <w:sz w:val="20"/>
                    <w:szCs w:val="16"/>
                  </w:rPr>
                </m:ctrlPr>
              </m:sSubSupPr>
              <m:e>
                <m:r>
                  <m:rPr>
                    <m:sty m:val="p"/>
                  </m:rPr>
                  <w:rPr>
                    <w:rFonts w:ascii="Cambria Math" w:eastAsiaTheme="minorHAnsi" w:hAnsi="Cambria Math" w:cs="Times New Roman"/>
                    <w:sz w:val="20"/>
                    <w:szCs w:val="16"/>
                  </w:rPr>
                  <m:t>σ</m:t>
                </m:r>
              </m:e>
              <m:sub>
                <m:r>
                  <w:rPr>
                    <w:rFonts w:ascii="Cambria Math" w:eastAsiaTheme="minorHAnsi" w:hAnsi="Cambria Math" w:cs="Times New Roman"/>
                    <w:sz w:val="20"/>
                    <w:szCs w:val="16"/>
                  </w:rPr>
                  <m:t>u0</m:t>
                </m:r>
              </m:sub>
              <m:sup>
                <m:r>
                  <w:rPr>
                    <w:rFonts w:ascii="Cambria Math" w:eastAsiaTheme="minorHAnsi" w:hAnsi="Cambria Math" w:cs="Times New Roman"/>
                    <w:sz w:val="20"/>
                    <w:szCs w:val="16"/>
                  </w:rPr>
                  <m:t>2</m:t>
                </m:r>
              </m:sup>
            </m:sSubSup>
            <m:r>
              <w:rPr>
                <w:rFonts w:ascii="Cambria Math" w:eastAsiaTheme="minorHAnsi" w:hAnsi="Cambria Math" w:cs="Times New Roman"/>
                <w:sz w:val="20"/>
                <w:szCs w:val="16"/>
              </w:rPr>
              <m:t>+</m:t>
            </m:r>
            <w:bookmarkStart w:id="49" w:name="_Hlk101378569"/>
            <m:sSup>
              <m:sSupPr>
                <m:ctrlPr>
                  <w:rPr>
                    <w:rFonts w:ascii="Cambria Math" w:eastAsiaTheme="minorEastAsia" w:hAnsi="Cambria Math" w:cs="Times New Roman"/>
                    <w:sz w:val="20"/>
                    <w:szCs w:val="16"/>
                  </w:rPr>
                </m:ctrlPr>
              </m:sSupPr>
              <m:e>
                <m:r>
                  <w:rPr>
                    <w:rFonts w:ascii="Cambria Math" w:eastAsiaTheme="minorEastAsia" w:hAnsi="Cambria Math" w:cs="Times New Roman"/>
                    <w:sz w:val="20"/>
                    <w:szCs w:val="16"/>
                  </w:rPr>
                  <m:t>π</m:t>
                </m:r>
              </m:e>
              <m:sup>
                <m:r>
                  <w:rPr>
                    <w:rFonts w:ascii="Cambria Math" w:eastAsiaTheme="minorEastAsia" w:hAnsi="Cambria Math" w:cs="Times New Roman"/>
                    <w:sz w:val="20"/>
                    <w:szCs w:val="16"/>
                  </w:rPr>
                  <m:t>2</m:t>
                </m:r>
              </m:sup>
            </m:sSup>
            <m:r>
              <w:rPr>
                <w:rFonts w:ascii="Cambria Math" w:eastAsiaTheme="minorHAnsi" w:hAnsi="Cambria Math" w:cs="Times New Roman"/>
                <w:sz w:val="20"/>
                <w:szCs w:val="16"/>
              </w:rPr>
              <m:t>/3</m:t>
            </m:r>
            <w:bookmarkEnd w:id="49"/>
            <m:ctrlPr>
              <w:rPr>
                <w:rFonts w:ascii="Cambria Math" w:eastAsiaTheme="minorHAnsi" w:hAnsi="Cambria Math" w:cs="Times New Roman"/>
                <w:i/>
                <w:sz w:val="20"/>
                <w:szCs w:val="16"/>
              </w:rPr>
            </m:ctrlPr>
          </m:den>
        </m:f>
      </m:oMath>
      <w:r w:rsidR="0094212C" w:rsidRPr="008C10B7">
        <w:rPr>
          <w:rFonts w:eastAsiaTheme="minorEastAsia" w:cs="Times New Roman"/>
          <w:sz w:val="20"/>
          <w:szCs w:val="16"/>
        </w:rPr>
        <w:t xml:space="preserve"> </w:t>
      </w:r>
      <w:r w:rsidR="00623D35" w:rsidRPr="008C10B7">
        <w:rPr>
          <w:rFonts w:eastAsiaTheme="minorEastAsia" w:cs="Times New Roman"/>
          <w:sz w:val="20"/>
          <w:szCs w:val="16"/>
        </w:rPr>
        <w:tab/>
      </w:r>
      <w:r w:rsidR="00623D35" w:rsidRPr="008C10B7">
        <w:rPr>
          <w:rFonts w:eastAsiaTheme="minorEastAsia" w:cs="Times New Roman"/>
          <w:sz w:val="20"/>
          <w:szCs w:val="16"/>
        </w:rPr>
        <w:tab/>
      </w:r>
      <w:r w:rsidR="00623D35" w:rsidRPr="008C10B7">
        <w:rPr>
          <w:rFonts w:eastAsiaTheme="minorEastAsia" w:cs="Times New Roman"/>
          <w:sz w:val="20"/>
          <w:szCs w:val="16"/>
        </w:rPr>
        <w:tab/>
      </w:r>
      <w:r w:rsidR="00623D35" w:rsidRPr="008C10B7">
        <w:rPr>
          <w:rFonts w:eastAsiaTheme="minorEastAsia" w:cs="Times New Roman"/>
          <w:sz w:val="20"/>
          <w:szCs w:val="16"/>
        </w:rPr>
        <w:tab/>
      </w:r>
      <w:r w:rsidR="00623D35" w:rsidRPr="008C10B7">
        <w:rPr>
          <w:rFonts w:eastAsiaTheme="minorEastAsia" w:cs="Times New Roman"/>
          <w:sz w:val="20"/>
          <w:szCs w:val="16"/>
        </w:rPr>
        <w:tab/>
      </w:r>
      <w:r w:rsidR="00623D35" w:rsidRPr="008C10B7">
        <w:rPr>
          <w:rFonts w:eastAsiaTheme="minorEastAsia" w:cs="Times New Roman"/>
          <w:sz w:val="20"/>
          <w:szCs w:val="16"/>
        </w:rPr>
        <w:tab/>
      </w:r>
      <w:r w:rsidR="0094212C" w:rsidRPr="008C10B7">
        <w:rPr>
          <w:rFonts w:eastAsiaTheme="minorEastAsia" w:cs="Times New Roman"/>
          <w:sz w:val="20"/>
          <w:szCs w:val="16"/>
        </w:rPr>
        <w:t>(</w:t>
      </w:r>
      <w:r w:rsidR="00BA75A2" w:rsidRPr="008C10B7">
        <w:rPr>
          <w:rFonts w:eastAsiaTheme="minorEastAsia" w:cs="Times New Roman"/>
          <w:sz w:val="20"/>
          <w:szCs w:val="16"/>
        </w:rPr>
        <w:t>5</w:t>
      </w:r>
      <w:r w:rsidR="0094212C" w:rsidRPr="008C10B7">
        <w:rPr>
          <w:rFonts w:eastAsiaTheme="minorEastAsia" w:cs="Times New Roman"/>
          <w:sz w:val="20"/>
          <w:szCs w:val="16"/>
        </w:rPr>
        <w:t>)</w:t>
      </w:r>
    </w:p>
    <w:bookmarkEnd w:id="48"/>
    <w:p w14:paraId="2A78AD31" w14:textId="77777777" w:rsidR="002E72FA" w:rsidRPr="008C10B7" w:rsidRDefault="002E72FA" w:rsidP="00206AA5">
      <w:pPr>
        <w:spacing w:line="480" w:lineRule="auto"/>
        <w:jc w:val="center"/>
        <w:rPr>
          <w:rFonts w:eastAsiaTheme="minorEastAsia" w:cs="Times New Roman"/>
        </w:rPr>
      </w:pPr>
    </w:p>
    <w:p w14:paraId="26F5DFE9" w14:textId="5F60E0B7" w:rsidR="00CC70DE" w:rsidRPr="00872A13" w:rsidRDefault="00A72C77" w:rsidP="00E7001C">
      <w:pPr>
        <w:spacing w:line="360" w:lineRule="auto"/>
        <w:jc w:val="both"/>
        <w:rPr>
          <w:rFonts w:eastAsiaTheme="minorHAnsi" w:cs="Times New Roman"/>
          <w:sz w:val="22"/>
          <w:szCs w:val="22"/>
        </w:rPr>
      </w:pPr>
      <w:r w:rsidRPr="008C10B7">
        <w:rPr>
          <w:rFonts w:eastAsiaTheme="minorEastAsia" w:cs="Times New Roman"/>
          <w:sz w:val="22"/>
          <w:szCs w:val="22"/>
        </w:rPr>
        <w:t xml:space="preserve">Where </w:t>
      </w:r>
      <m:oMath>
        <m:sSubSup>
          <m:sSubSupPr>
            <m:ctrlPr>
              <w:rPr>
                <w:rFonts w:ascii="Cambria Math" w:eastAsiaTheme="minorHAnsi" w:hAnsi="Cambria Math" w:cs="Times New Roman"/>
                <w:i/>
                <w:sz w:val="22"/>
                <w:szCs w:val="22"/>
              </w:rPr>
            </m:ctrlPr>
          </m:sSubSupPr>
          <m:e>
            <m:r>
              <m:rPr>
                <m:sty m:val="p"/>
              </m:rPr>
              <w:rPr>
                <w:rFonts w:ascii="Cambria Math" w:eastAsiaTheme="minorHAnsi" w:hAnsi="Cambria Math" w:cs="Times New Roman"/>
                <w:sz w:val="22"/>
                <w:szCs w:val="22"/>
              </w:rPr>
              <m:t>σ</m:t>
            </m:r>
          </m:e>
          <m:sub>
            <m:r>
              <w:rPr>
                <w:rFonts w:ascii="Cambria Math" w:eastAsiaTheme="minorHAnsi" w:hAnsi="Cambria Math" w:cs="Times New Roman"/>
                <w:sz w:val="22"/>
                <w:szCs w:val="22"/>
              </w:rPr>
              <m:t>u0</m:t>
            </m:r>
          </m:sub>
          <m:sup>
            <m:r>
              <w:rPr>
                <w:rFonts w:ascii="Cambria Math" w:eastAsiaTheme="minorHAnsi" w:hAnsi="Cambria Math" w:cs="Times New Roman"/>
                <w:sz w:val="22"/>
                <w:szCs w:val="22"/>
              </w:rPr>
              <m:t>2</m:t>
            </m:r>
          </m:sup>
        </m:sSubSup>
      </m:oMath>
      <w:r w:rsidRPr="008C10B7">
        <w:rPr>
          <w:rFonts w:eastAsiaTheme="minorEastAsia" w:cs="Times New Roman"/>
          <w:sz w:val="22"/>
          <w:szCs w:val="22"/>
        </w:rPr>
        <w:t xml:space="preserve"> represents the </w:t>
      </w:r>
      <w:r w:rsidR="003A52BC" w:rsidRPr="008C10B7">
        <w:rPr>
          <w:rFonts w:eastAsiaTheme="minorEastAsia" w:cs="Times New Roman"/>
          <w:sz w:val="22"/>
          <w:szCs w:val="22"/>
        </w:rPr>
        <w:t>between</w:t>
      </w:r>
      <w:r w:rsidR="006F0D70" w:rsidRPr="008C10B7">
        <w:rPr>
          <w:rFonts w:eastAsiaTheme="minorEastAsia" w:cs="Times New Roman"/>
          <w:sz w:val="22"/>
          <w:szCs w:val="22"/>
        </w:rPr>
        <w:t>-</w:t>
      </w:r>
      <w:r w:rsidR="003A52BC" w:rsidRPr="008C10B7">
        <w:rPr>
          <w:rFonts w:eastAsiaTheme="minorEastAsia" w:cs="Times New Roman"/>
          <w:sz w:val="22"/>
          <w:szCs w:val="22"/>
        </w:rPr>
        <w:t>group</w:t>
      </w:r>
      <w:r w:rsidRPr="008C10B7">
        <w:rPr>
          <w:rFonts w:eastAsiaTheme="minorEastAsia" w:cs="Times New Roman"/>
          <w:sz w:val="22"/>
          <w:szCs w:val="22"/>
        </w:rPr>
        <w:t xml:space="preserve"> variance</w:t>
      </w:r>
      <w:r w:rsidR="0032120E" w:rsidRPr="008C10B7">
        <w:rPr>
          <w:rFonts w:eastAsiaTheme="minorEastAsia" w:cs="Times New Roman"/>
          <w:sz w:val="22"/>
          <w:szCs w:val="22"/>
        </w:rPr>
        <w:t xml:space="preserve"> </w:t>
      </w:r>
      <w:bookmarkStart w:id="50" w:name="_Hlk101378512"/>
      <w:r w:rsidR="0032120E" w:rsidRPr="008C10B7">
        <w:rPr>
          <w:rFonts w:eastAsiaTheme="minorEastAsia" w:cs="Times New Roman"/>
          <w:sz w:val="22"/>
          <w:szCs w:val="22"/>
        </w:rPr>
        <w:t>and</w:t>
      </w:r>
      <w:r w:rsidRPr="008C10B7">
        <w:rPr>
          <w:rFonts w:eastAsiaTheme="minorEastAsia" w:cs="Times New Roman"/>
          <w:sz w:val="22"/>
          <w:szCs w:val="22"/>
        </w:rPr>
        <w:t xml:space="preserve"> </w:t>
      </w:r>
      <m:oMath>
        <m:sSub>
          <m:sSubPr>
            <m:ctrlPr>
              <w:rPr>
                <w:rFonts w:ascii="Cambria Math" w:eastAsiaTheme="minorEastAsia" w:hAnsi="Cambria Math" w:cs="Times New Roman"/>
                <w:sz w:val="20"/>
                <w:szCs w:val="16"/>
              </w:rPr>
            </m:ctrlPr>
          </m:sSubPr>
          <m:e>
            <m:r>
              <w:rPr>
                <w:rFonts w:ascii="Cambria Math" w:eastAsiaTheme="minorEastAsia" w:hAnsi="Cambria Math" w:cs="Times New Roman"/>
                <w:sz w:val="20"/>
                <w:szCs w:val="16"/>
              </w:rPr>
              <m:t>ε</m:t>
            </m:r>
          </m:e>
          <m:sub>
            <m:r>
              <m:rPr>
                <m:sty m:val="p"/>
              </m:rPr>
              <w:rPr>
                <w:rFonts w:ascii="Cambria Math" w:eastAsia="Times New Roman" w:hAnsi="Cambria Math"/>
                <w:sz w:val="22"/>
                <w:szCs w:val="22"/>
                <w:shd w:val="clear" w:color="auto" w:fill="FFFFFF"/>
                <w:lang w:eastAsia="en-GB"/>
              </w:rPr>
              <m:t>ij</m:t>
            </m:r>
          </m:sub>
        </m:sSub>
      </m:oMath>
      <w:r w:rsidRPr="008C10B7">
        <w:rPr>
          <w:rFonts w:eastAsiaTheme="minorEastAsia" w:cs="Times New Roman"/>
          <w:sz w:val="22"/>
          <w:szCs w:val="22"/>
        </w:rPr>
        <w:t xml:space="preserve"> </w:t>
      </w:r>
      <w:r w:rsidR="003C1E9C" w:rsidRPr="008C10B7">
        <w:rPr>
          <w:rFonts w:eastAsiaTheme="minorEastAsia" w:cs="Times New Roman"/>
          <w:sz w:val="22"/>
          <w:szCs w:val="22"/>
        </w:rPr>
        <w:t xml:space="preserve">has a standard logistic distribution (with mean 0 and variance </w:t>
      </w:r>
      <m:oMath>
        <m:sSup>
          <m:sSupPr>
            <m:ctrlPr>
              <w:rPr>
                <w:rFonts w:ascii="Cambria Math" w:eastAsiaTheme="minorEastAsia" w:hAnsi="Cambria Math" w:cs="Times New Roman"/>
                <w:sz w:val="20"/>
                <w:szCs w:val="16"/>
              </w:rPr>
            </m:ctrlPr>
          </m:sSupPr>
          <m:e>
            <m:r>
              <w:rPr>
                <w:rFonts w:ascii="Cambria Math" w:eastAsiaTheme="minorEastAsia" w:hAnsi="Cambria Math" w:cs="Times New Roman"/>
                <w:sz w:val="20"/>
                <w:szCs w:val="16"/>
              </w:rPr>
              <m:t>π</m:t>
            </m:r>
          </m:e>
          <m:sup>
            <m:r>
              <w:rPr>
                <w:rFonts w:ascii="Cambria Math" w:eastAsiaTheme="minorEastAsia" w:hAnsi="Cambria Math" w:cs="Times New Roman"/>
                <w:sz w:val="20"/>
                <w:szCs w:val="16"/>
              </w:rPr>
              <m:t>2</m:t>
            </m:r>
          </m:sup>
        </m:sSup>
        <m:r>
          <w:rPr>
            <w:rFonts w:ascii="Cambria Math" w:eastAsiaTheme="minorHAnsi" w:hAnsi="Cambria Math" w:cs="Times New Roman"/>
            <w:sz w:val="20"/>
            <w:szCs w:val="16"/>
          </w:rPr>
          <m:t>/3</m:t>
        </m:r>
      </m:oMath>
      <w:r w:rsidR="00DB6A44" w:rsidRPr="008C10B7">
        <w:rPr>
          <w:rFonts w:eastAsiaTheme="minorEastAsia" w:cs="Times New Roman" w:hint="eastAsia"/>
          <w:sz w:val="20"/>
          <w:szCs w:val="16"/>
        </w:rPr>
        <w:t>≈</w:t>
      </w:r>
      <w:r w:rsidR="00DB6A44" w:rsidRPr="008C10B7">
        <w:rPr>
          <w:rFonts w:eastAsiaTheme="minorEastAsia" w:cs="Times New Roman"/>
          <w:sz w:val="20"/>
          <w:szCs w:val="16"/>
        </w:rPr>
        <w:t>3.29</w:t>
      </w:r>
      <w:r w:rsidR="003C1E9C" w:rsidRPr="008C10B7">
        <w:rPr>
          <w:rFonts w:eastAsiaTheme="minorEastAsia" w:cs="Times New Roman"/>
          <w:sz w:val="22"/>
          <w:szCs w:val="22"/>
        </w:rPr>
        <w:t>)</w:t>
      </w:r>
      <w:r w:rsidRPr="008C10B7">
        <w:rPr>
          <w:rFonts w:eastAsiaTheme="minorEastAsia" w:cs="Times New Roman"/>
          <w:sz w:val="22"/>
          <w:szCs w:val="22"/>
        </w:rPr>
        <w:t>.</w:t>
      </w:r>
      <w:bookmarkEnd w:id="47"/>
      <w:bookmarkEnd w:id="50"/>
    </w:p>
    <w:p w14:paraId="6771A14D" w14:textId="4EC511F6" w:rsidR="004D3D6C" w:rsidRPr="008C10B7" w:rsidRDefault="00711121" w:rsidP="00E7001C">
      <w:pPr>
        <w:spacing w:line="360" w:lineRule="auto"/>
        <w:ind w:firstLine="420"/>
        <w:jc w:val="both"/>
        <w:rPr>
          <w:rFonts w:eastAsiaTheme="minorHAnsi" w:cs="Times New Roman"/>
          <w:sz w:val="22"/>
          <w:szCs w:val="22"/>
        </w:rPr>
      </w:pPr>
      <w:r w:rsidRPr="008C10B7">
        <w:rPr>
          <w:rFonts w:eastAsiaTheme="minorHAnsi" w:cs="Times New Roman"/>
          <w:sz w:val="22"/>
          <w:szCs w:val="22"/>
        </w:rPr>
        <w:t>In this study, we adopted a stepped approach to test the impact of the natural environment on university students</w:t>
      </w:r>
      <w:r w:rsidR="00A43BB3" w:rsidRPr="008C10B7">
        <w:rPr>
          <w:rFonts w:eastAsiaTheme="minorHAnsi" w:cs="Times New Roman"/>
          <w:sz w:val="22"/>
          <w:szCs w:val="22"/>
        </w:rPr>
        <w:t>’</w:t>
      </w:r>
      <w:r w:rsidRPr="008C10B7">
        <w:rPr>
          <w:rFonts w:eastAsiaTheme="minorHAnsi" w:cs="Times New Roman"/>
          <w:sz w:val="22"/>
          <w:szCs w:val="22"/>
        </w:rPr>
        <w:t xml:space="preserve"> </w:t>
      </w:r>
      <w:r w:rsidR="0030654E" w:rsidRPr="008C10B7">
        <w:rPr>
          <w:rFonts w:eastAsiaTheme="minorHAnsi" w:cs="Times New Roman"/>
          <w:sz w:val="22"/>
          <w:szCs w:val="22"/>
        </w:rPr>
        <w:t>AT</w:t>
      </w:r>
      <w:r w:rsidRPr="008C10B7">
        <w:rPr>
          <w:rFonts w:eastAsiaTheme="minorHAnsi" w:cs="Times New Roman"/>
          <w:sz w:val="22"/>
          <w:szCs w:val="22"/>
        </w:rPr>
        <w:t xml:space="preserve"> behaviour. First, we fit</w:t>
      </w:r>
      <w:r w:rsidR="003B0A24" w:rsidRPr="008C10B7">
        <w:rPr>
          <w:rFonts w:eastAsiaTheme="minorHAnsi" w:cs="Times New Roman"/>
          <w:sz w:val="22"/>
          <w:szCs w:val="22"/>
        </w:rPr>
        <w:t>ted</w:t>
      </w:r>
      <w:r w:rsidRPr="008C10B7">
        <w:rPr>
          <w:rFonts w:eastAsiaTheme="minorHAnsi" w:cs="Times New Roman"/>
          <w:sz w:val="22"/>
          <w:szCs w:val="22"/>
        </w:rPr>
        <w:t xml:space="preserve"> a baseline model </w:t>
      </w:r>
      <w:r w:rsidR="00A331F4" w:rsidRPr="008C10B7">
        <w:rPr>
          <w:rFonts w:eastAsiaTheme="minorHAnsi" w:cs="Times New Roman"/>
          <w:sz w:val="22"/>
          <w:szCs w:val="22"/>
        </w:rPr>
        <w:t xml:space="preserve">that </w:t>
      </w:r>
      <w:r w:rsidRPr="008C10B7">
        <w:rPr>
          <w:rFonts w:eastAsiaTheme="minorHAnsi" w:cs="Times New Roman"/>
          <w:sz w:val="22"/>
          <w:szCs w:val="22"/>
        </w:rPr>
        <w:t>contain</w:t>
      </w:r>
      <w:r w:rsidR="003B0A24" w:rsidRPr="008C10B7">
        <w:rPr>
          <w:rFonts w:eastAsiaTheme="minorHAnsi" w:cs="Times New Roman"/>
          <w:sz w:val="22"/>
          <w:szCs w:val="22"/>
        </w:rPr>
        <w:t>ed only</w:t>
      </w:r>
      <w:r w:rsidRPr="008C10B7">
        <w:rPr>
          <w:rFonts w:eastAsiaTheme="minorHAnsi" w:cs="Times New Roman"/>
          <w:sz w:val="22"/>
          <w:szCs w:val="22"/>
        </w:rPr>
        <w:t xml:space="preserve"> socio-economic, demographic variables (Model 1). Second, we regressed the association between respondents</w:t>
      </w:r>
      <w:r w:rsidR="00A331F4" w:rsidRPr="008C10B7">
        <w:rPr>
          <w:rFonts w:eastAsiaTheme="minorHAnsi" w:cs="Times New Roman"/>
          <w:sz w:val="22"/>
          <w:szCs w:val="22"/>
        </w:rPr>
        <w:t>’</w:t>
      </w:r>
      <w:r w:rsidRPr="008C10B7">
        <w:rPr>
          <w:rFonts w:eastAsiaTheme="minorHAnsi" w:cs="Times New Roman"/>
          <w:sz w:val="22"/>
          <w:szCs w:val="22"/>
        </w:rPr>
        <w:t xml:space="preserve"> </w:t>
      </w:r>
      <w:r w:rsidR="003B0A24" w:rsidRPr="008C10B7">
        <w:rPr>
          <w:rFonts w:eastAsiaTheme="minorHAnsi" w:cs="Times New Roman"/>
          <w:sz w:val="22"/>
          <w:szCs w:val="22"/>
        </w:rPr>
        <w:t xml:space="preserve">tendency to use </w:t>
      </w:r>
      <w:r w:rsidR="0030654E" w:rsidRPr="008C10B7">
        <w:rPr>
          <w:rFonts w:eastAsiaTheme="minorHAnsi" w:cs="Times New Roman"/>
          <w:sz w:val="22"/>
          <w:szCs w:val="22"/>
        </w:rPr>
        <w:t>AT</w:t>
      </w:r>
      <w:r w:rsidRPr="008C10B7">
        <w:rPr>
          <w:rFonts w:eastAsiaTheme="minorHAnsi" w:cs="Times New Roman"/>
          <w:sz w:val="22"/>
          <w:szCs w:val="22"/>
        </w:rPr>
        <w:t xml:space="preserve"> and street greenery (Model 2). Third,</w:t>
      </w:r>
      <w:bookmarkStart w:id="51" w:name="OLE_LINK6"/>
      <w:bookmarkStart w:id="52" w:name="OLE_LINK5"/>
      <w:r w:rsidRPr="008C10B7">
        <w:rPr>
          <w:rFonts w:cs="Times New Roman"/>
          <w:sz w:val="22"/>
          <w:szCs w:val="22"/>
        </w:rPr>
        <w:t xml:space="preserve"> as former </w:t>
      </w:r>
      <w:r w:rsidRPr="008C10B7">
        <w:rPr>
          <w:rFonts w:cs="Times New Roman"/>
          <w:sz w:val="22"/>
          <w:szCs w:val="22"/>
        </w:rPr>
        <w:lastRenderedPageBreak/>
        <w:t xml:space="preserve">studies </w:t>
      </w:r>
      <w:r w:rsidR="003B0A24" w:rsidRPr="008C10B7">
        <w:rPr>
          <w:rFonts w:cs="Times New Roman"/>
          <w:sz w:val="22"/>
          <w:szCs w:val="22"/>
        </w:rPr>
        <w:t xml:space="preserve">have claimed </w:t>
      </w:r>
      <w:r w:rsidRPr="008C10B7">
        <w:rPr>
          <w:rFonts w:cs="Times New Roman"/>
          <w:sz w:val="22"/>
          <w:szCs w:val="22"/>
        </w:rPr>
        <w:t xml:space="preserve">that there is an association between travel satisfaction and </w:t>
      </w:r>
      <w:r w:rsidR="0030654E" w:rsidRPr="008C10B7">
        <w:rPr>
          <w:rFonts w:cs="Times New Roman"/>
          <w:sz w:val="22"/>
          <w:szCs w:val="22"/>
        </w:rPr>
        <w:t>AT</w:t>
      </w:r>
      <w:r w:rsidRPr="008C10B7">
        <w:rPr>
          <w:rFonts w:cs="Times New Roman"/>
          <w:sz w:val="22"/>
          <w:szCs w:val="22"/>
        </w:rPr>
        <w:t xml:space="preserve"> behaviour </w:t>
      </w:r>
      <w:r w:rsidRPr="008C10B7">
        <w:rPr>
          <w:rFonts w:cs="Times New Roman"/>
          <w:sz w:val="22"/>
          <w:szCs w:val="22"/>
        </w:rPr>
        <w:fldChar w:fldCharType="begin" w:fldLock="1"/>
      </w:r>
      <w:r w:rsidR="008C7EFD" w:rsidRPr="008C10B7">
        <w:rPr>
          <w:rFonts w:cs="Times New Roman"/>
          <w:sz w:val="22"/>
          <w:szCs w:val="22"/>
        </w:rPr>
        <w:instrText>ADDIN CSL_CITATION {"citationItems":[{"id":"ITEM-1","itemData":{"DOI":"10.1016/j.jtrangeo.2019.102491","ISSN":"09666923","abstract":"Leisure satisfaction is an important life domain with significant contribution to health and well-being. However, little evidence exists on how the built environment influences leisure satisfaction. This paper develops, applies, and tests a new model on the built environment and leisure satisfaction. The paper relies on survey, interview, and spatial data collected within Oslo metropolitan area and employs structural equation modeling (SEM) combined with qualitative analysis. Findings suggest that built environment characteristics can significantly affect leisure activities and leisure satisfaction. Urban greenness and local amenities are found to positively influence leisure satisfaction. High neighborhood density and proximity to city center are also found to influence leisure satisfaction, but they do it indirectly. Compact built environments exert a negative indirect impact on leisure satisfaction via reduced urban green space, and positive indirect impacts via higher access to local amenities, shorter commutes, and increased social interaction. Short commute time, social interaction, active travel such as walking and cycling, and overall physical activity are all found to positively contribute to leisure satisfaction. Based on all these findings, the paper finally discusses land use and transport policy implications for improving leisure satisfaction, health, and well-being in urban regions.","author":[{"dropping-particle":"","family":"Mouratidis","given":"Kostas","non-dropping-particle":"","parse-names":false,"suffix":""}],"container-title":"Journal of Transport Geography","id":"ITEM-1","issued":{"date-parts":[["2019","10","1"]]},"page":"102491","publisher":"Elsevier Ltd","title":"Built environment and leisure satisfaction: The role of commute time, social interaction, and active travel","type":"article-journal","volume":"80"},"uris":["http://www.mendeley.com/documents/?uuid=bf5fd5b5-cdeb-39a4-ad72-2c1b99f01853"]}],"mendeley":{"formattedCitation":"(Mouratidis, 2019)","plainTextFormattedCitation":"(Mouratidis, 2019)","previouslyFormattedCitation":"(Mouratidis, 2019)"},"properties":{"noteIndex":0},"schema":"https://github.com/citation-style-language/schema/raw/master/csl-citation.json"}</w:instrText>
      </w:r>
      <w:r w:rsidRPr="008C10B7">
        <w:rPr>
          <w:rFonts w:cs="Times New Roman"/>
          <w:sz w:val="22"/>
          <w:szCs w:val="22"/>
        </w:rPr>
        <w:fldChar w:fldCharType="separate"/>
      </w:r>
      <w:r w:rsidR="008C7EFD" w:rsidRPr="008C10B7">
        <w:rPr>
          <w:rFonts w:cs="Times New Roman"/>
          <w:sz w:val="22"/>
          <w:szCs w:val="22"/>
        </w:rPr>
        <w:t>(Mouratidis, 2019)</w:t>
      </w:r>
      <w:r w:rsidRPr="008C10B7">
        <w:rPr>
          <w:rFonts w:cs="Times New Roman"/>
          <w:sz w:val="22"/>
          <w:szCs w:val="22"/>
        </w:rPr>
        <w:fldChar w:fldCharType="end"/>
      </w:r>
      <w:r w:rsidRPr="008C10B7">
        <w:rPr>
          <w:rFonts w:cs="Times New Roman"/>
          <w:sz w:val="22"/>
          <w:szCs w:val="22"/>
        </w:rPr>
        <w:t xml:space="preserve">, </w:t>
      </w:r>
      <w:r w:rsidR="00A331F4" w:rsidRPr="008C10B7">
        <w:rPr>
          <w:rFonts w:cs="Times New Roman"/>
          <w:sz w:val="22"/>
          <w:szCs w:val="22"/>
        </w:rPr>
        <w:t>M</w:t>
      </w:r>
      <w:r w:rsidRPr="008C10B7">
        <w:rPr>
          <w:rFonts w:eastAsiaTheme="minorHAnsi" w:cs="Times New Roman"/>
          <w:sz w:val="22"/>
          <w:szCs w:val="22"/>
        </w:rPr>
        <w:t xml:space="preserve">odel 3 </w:t>
      </w:r>
      <w:r w:rsidR="00A331F4" w:rsidRPr="008C10B7">
        <w:rPr>
          <w:rFonts w:eastAsiaTheme="minorHAnsi" w:cs="Times New Roman"/>
          <w:sz w:val="22"/>
          <w:szCs w:val="22"/>
        </w:rPr>
        <w:t>wa</w:t>
      </w:r>
      <w:r w:rsidRPr="008C10B7">
        <w:rPr>
          <w:rFonts w:eastAsiaTheme="minorHAnsi" w:cs="Times New Roman"/>
          <w:sz w:val="22"/>
          <w:szCs w:val="22"/>
        </w:rPr>
        <w:t>s further controlled for individual travel satisfaction covariates: car travel satisfaction, bus travel satisfaction, metro travel satisfaction, bike/e-bike travel satisfaction</w:t>
      </w:r>
      <w:r w:rsidR="00A331F4" w:rsidRPr="008C10B7">
        <w:rPr>
          <w:rFonts w:eastAsiaTheme="minorHAnsi" w:cs="Times New Roman"/>
          <w:sz w:val="22"/>
          <w:szCs w:val="22"/>
        </w:rPr>
        <w:t>,</w:t>
      </w:r>
      <w:r w:rsidRPr="008C10B7">
        <w:rPr>
          <w:rFonts w:eastAsiaTheme="minorHAnsi" w:cs="Times New Roman"/>
          <w:sz w:val="22"/>
          <w:szCs w:val="22"/>
        </w:rPr>
        <w:t xml:space="preserve"> and walking satisfaction.</w:t>
      </w:r>
    </w:p>
    <w:bookmarkEnd w:id="51"/>
    <w:bookmarkEnd w:id="52"/>
    <w:p w14:paraId="50D140B9" w14:textId="77777777" w:rsidR="004D3D6C" w:rsidRPr="008C10B7" w:rsidRDefault="004D3D6C" w:rsidP="00E7001C">
      <w:pPr>
        <w:spacing w:line="360" w:lineRule="auto"/>
        <w:jc w:val="both"/>
        <w:rPr>
          <w:rFonts w:eastAsiaTheme="minorHAnsi" w:cs="Times New Roman"/>
          <w:sz w:val="22"/>
          <w:szCs w:val="22"/>
        </w:rPr>
      </w:pPr>
    </w:p>
    <w:p w14:paraId="06ACE3C2" w14:textId="7742AB0C" w:rsidR="004D3D6C" w:rsidRPr="008C10B7" w:rsidRDefault="00711121" w:rsidP="00E7001C">
      <w:pPr>
        <w:pStyle w:val="Heading2"/>
        <w:keepNext/>
        <w:keepLines/>
        <w:spacing w:before="0" w:beforeAutospacing="0" w:after="0" w:afterAutospacing="0" w:line="360" w:lineRule="auto"/>
        <w:jc w:val="both"/>
        <w:rPr>
          <w:rFonts w:eastAsiaTheme="majorEastAsia" w:cs="Times New Roman"/>
          <w:b w:val="0"/>
          <w:i/>
          <w:iCs/>
          <w:sz w:val="22"/>
          <w:szCs w:val="32"/>
          <w:lang w:val="en-GB" w:eastAsia="en-US"/>
        </w:rPr>
      </w:pPr>
      <w:bookmarkStart w:id="53" w:name="_Toc78625151"/>
      <w:r w:rsidRPr="008C10B7">
        <w:rPr>
          <w:rFonts w:eastAsiaTheme="majorEastAsia" w:cs="Times New Roman"/>
          <w:b w:val="0"/>
          <w:i/>
          <w:iCs/>
          <w:sz w:val="22"/>
          <w:szCs w:val="22"/>
          <w:lang w:val="en-GB" w:eastAsia="en-US"/>
        </w:rPr>
        <w:t>3.</w:t>
      </w:r>
      <w:r w:rsidR="00E90D70" w:rsidRPr="008C10B7">
        <w:rPr>
          <w:rFonts w:eastAsiaTheme="majorEastAsia" w:cs="Times New Roman"/>
          <w:b w:val="0"/>
          <w:i/>
          <w:iCs/>
          <w:sz w:val="22"/>
          <w:szCs w:val="22"/>
          <w:lang w:val="en-GB" w:eastAsia="en-US"/>
        </w:rPr>
        <w:t>3.4</w:t>
      </w:r>
      <w:r w:rsidR="00C234EB" w:rsidRPr="008C10B7">
        <w:rPr>
          <w:rFonts w:eastAsiaTheme="majorEastAsia" w:cs="Times New Roman"/>
          <w:b w:val="0"/>
          <w:i/>
          <w:iCs/>
          <w:sz w:val="22"/>
          <w:szCs w:val="22"/>
          <w:lang w:val="en-GB" w:eastAsia="en-US"/>
        </w:rPr>
        <w:t>.</w:t>
      </w:r>
      <w:r w:rsidR="00262E9E" w:rsidRPr="008C10B7">
        <w:rPr>
          <w:rFonts w:eastAsiaTheme="majorEastAsia" w:cs="Times New Roman"/>
          <w:b w:val="0"/>
          <w:i/>
          <w:iCs/>
          <w:sz w:val="22"/>
          <w:szCs w:val="22"/>
          <w:lang w:val="en-GB" w:eastAsia="en-US"/>
        </w:rPr>
        <w:tab/>
      </w:r>
      <w:r w:rsidRPr="008C10B7">
        <w:rPr>
          <w:rFonts w:eastAsiaTheme="majorEastAsia" w:cs="Times New Roman"/>
          <w:b w:val="0"/>
          <w:i/>
          <w:iCs/>
          <w:sz w:val="22"/>
          <w:szCs w:val="22"/>
          <w:lang w:val="en-GB" w:eastAsia="en-US"/>
        </w:rPr>
        <w:t xml:space="preserve">Sensitivity and </w:t>
      </w:r>
      <w:r w:rsidR="007E3261" w:rsidRPr="008C10B7">
        <w:rPr>
          <w:rFonts w:eastAsiaTheme="majorEastAsia" w:cs="Times New Roman"/>
          <w:b w:val="0"/>
          <w:i/>
          <w:iCs/>
          <w:sz w:val="22"/>
          <w:szCs w:val="22"/>
          <w:lang w:val="en-GB" w:eastAsia="en-US"/>
        </w:rPr>
        <w:t>robustness tests</w:t>
      </w:r>
      <w:bookmarkEnd w:id="53"/>
    </w:p>
    <w:p w14:paraId="31AA4831" w14:textId="21FAC5F3" w:rsidR="004D3D6C" w:rsidRPr="008C10B7" w:rsidRDefault="003B0A24" w:rsidP="00E7001C">
      <w:pPr>
        <w:spacing w:line="360" w:lineRule="auto"/>
        <w:jc w:val="both"/>
        <w:rPr>
          <w:rFonts w:cs="Times New Roman"/>
          <w:sz w:val="22"/>
          <w:szCs w:val="22"/>
        </w:rPr>
      </w:pPr>
      <w:r w:rsidRPr="008C10B7">
        <w:rPr>
          <w:rFonts w:cs="Times New Roman"/>
          <w:sz w:val="22"/>
          <w:szCs w:val="22"/>
        </w:rPr>
        <w:t>Next</w:t>
      </w:r>
      <w:r w:rsidR="00711121" w:rsidRPr="008C10B7">
        <w:rPr>
          <w:rFonts w:cs="Times New Roman"/>
          <w:sz w:val="22"/>
          <w:szCs w:val="22"/>
        </w:rPr>
        <w:t>, two additional sensitivity tests were conducted for the best</w:t>
      </w:r>
      <w:r w:rsidR="00501E2A" w:rsidRPr="008C10B7">
        <w:rPr>
          <w:rFonts w:cs="Times New Roman"/>
          <w:sz w:val="22"/>
          <w:szCs w:val="22"/>
        </w:rPr>
        <w:t>-</w:t>
      </w:r>
      <w:r w:rsidR="00711121" w:rsidRPr="008C10B7">
        <w:rPr>
          <w:rFonts w:cs="Times New Roman"/>
          <w:sz w:val="22"/>
          <w:szCs w:val="22"/>
        </w:rPr>
        <w:t xml:space="preserve">fit model to ensure the robustness of the relationship between the natural environment and </w:t>
      </w:r>
      <w:r w:rsidR="0030654E" w:rsidRPr="008C10B7">
        <w:rPr>
          <w:rFonts w:cs="Times New Roman"/>
          <w:sz w:val="22"/>
          <w:szCs w:val="22"/>
        </w:rPr>
        <w:t>AT</w:t>
      </w:r>
      <w:r w:rsidR="00711121" w:rsidRPr="008C10B7">
        <w:rPr>
          <w:rFonts w:cs="Times New Roman"/>
          <w:sz w:val="22"/>
          <w:szCs w:val="22"/>
        </w:rPr>
        <w:t xml:space="preserve"> behaviour (Model</w:t>
      </w:r>
      <w:r w:rsidR="00501E2A" w:rsidRPr="008C10B7">
        <w:rPr>
          <w:rFonts w:cs="Times New Roman"/>
          <w:sz w:val="22"/>
          <w:szCs w:val="22"/>
        </w:rPr>
        <w:t>s</w:t>
      </w:r>
      <w:r w:rsidR="00711121" w:rsidRPr="008C10B7">
        <w:rPr>
          <w:rFonts w:cs="Times New Roman"/>
          <w:sz w:val="22"/>
          <w:szCs w:val="22"/>
        </w:rPr>
        <w:t xml:space="preserve"> 2a</w:t>
      </w:r>
      <w:r w:rsidR="00501E2A" w:rsidRPr="008C10B7">
        <w:rPr>
          <w:rFonts w:cs="Times New Roman"/>
          <w:sz w:val="22"/>
          <w:szCs w:val="22"/>
        </w:rPr>
        <w:t>–</w:t>
      </w:r>
      <w:r w:rsidR="00711121" w:rsidRPr="008C10B7">
        <w:rPr>
          <w:rFonts w:cs="Times New Roman"/>
          <w:sz w:val="22"/>
          <w:szCs w:val="22"/>
        </w:rPr>
        <w:t xml:space="preserve">3b). </w:t>
      </w:r>
      <w:r w:rsidR="00501E2A" w:rsidRPr="008C10B7">
        <w:rPr>
          <w:rFonts w:cs="Times New Roman"/>
          <w:sz w:val="22"/>
          <w:szCs w:val="22"/>
        </w:rPr>
        <w:t xml:space="preserve">As </w:t>
      </w:r>
      <w:r w:rsidRPr="008C10B7">
        <w:rPr>
          <w:rFonts w:cs="Times New Roman"/>
          <w:sz w:val="22"/>
          <w:szCs w:val="22"/>
        </w:rPr>
        <w:t xml:space="preserve">vehicle </w:t>
      </w:r>
      <w:r w:rsidR="00711121" w:rsidRPr="008C10B7">
        <w:rPr>
          <w:rFonts w:cs="Times New Roman"/>
          <w:sz w:val="22"/>
          <w:szCs w:val="22"/>
        </w:rPr>
        <w:t xml:space="preserve">ownership may influence the tendency </w:t>
      </w:r>
      <w:r w:rsidRPr="008C10B7">
        <w:rPr>
          <w:rFonts w:cs="Times New Roman"/>
          <w:sz w:val="22"/>
          <w:szCs w:val="22"/>
        </w:rPr>
        <w:t xml:space="preserve">to use </w:t>
      </w:r>
      <w:r w:rsidR="0030654E" w:rsidRPr="008C10B7">
        <w:rPr>
          <w:rFonts w:cs="Times New Roman"/>
          <w:sz w:val="22"/>
          <w:szCs w:val="22"/>
        </w:rPr>
        <w:t>AT</w:t>
      </w:r>
      <w:r w:rsidR="00711121" w:rsidRPr="008C10B7">
        <w:rPr>
          <w:rFonts w:cs="Times New Roman"/>
          <w:sz w:val="22"/>
          <w:szCs w:val="22"/>
        </w:rPr>
        <w:t xml:space="preserve"> among university students </w:t>
      </w:r>
      <w:r w:rsidR="00711121" w:rsidRPr="008C10B7">
        <w:rPr>
          <w:rFonts w:cs="Times New Roman"/>
          <w:sz w:val="22"/>
          <w:szCs w:val="22"/>
        </w:rPr>
        <w:fldChar w:fldCharType="begin" w:fldLock="1"/>
      </w:r>
      <w:r w:rsidR="00B74AD7" w:rsidRPr="008C10B7">
        <w:rPr>
          <w:rFonts w:cs="Times New Roman"/>
          <w:sz w:val="22"/>
          <w:szCs w:val="22"/>
        </w:rPr>
        <w:instrText>ADDIN CSL_CITATION {"citationItems":[{"id":"ITEM-1","itemData":{"DOI":"10.1016/j.scs.2018.09.011","ISSN":"22106707","abstract":"Recent research suggests that travel behaviors among young adults in the West are changing to rely less on automobile than previous generations. However, little attention has been paid to young adult travelers in developing countries in terms of their mode choices and willingness to adapt to alternative modes compared to the West. This study investigates travel behavior among Iranian university students, who generate a considerable proportion of the daily trips in Iran's largest cities. To investigate university-related travel behavior, current and preferred mode choices were examined for three popular modes of transportation. A comprehensive survey was used to collect data from university students aged 18–30 years old at twelve universities in metropolitan Shiraz. The predictive factors included perceptions toward public transit and walkability, travel attitudes, lifestyle, and built environment characteristics. Employing multilevel integrated multinomial logit and structural equation model approach, this study found that even though public transit was the most common mode of transportation at the time of the study, the majority of respondents reported their preference for private cars compared to public transit. This finding is contrary to the consensus on Millennials’ travel behavior in developed countries, which finds that Millennials tend to prefer active travel modes and public transit. The significant attitudinal factors included friendship orientation, and significant lifestyle factors included technological and sport-oriented lifestyles, which influenced current and preferred modal choices. Cultural and educational contexts arguably encourage a preference for driving among young adults in Shiraz. Restrictions on inter-gender interaction among young adults in public places and on public transit in publicly religious cultures such as Iran's also contribute to young adults’ preferences for private cars, which differs from the situation in developed countries. Using a private car to demonstrate prestige to others could be more important to young Iranians than the use of automobiles for transportation purposes, which changes the basic function of the vehicle. The unexpected positive relationship between a sport-oriented lifestyle and private car usage might be because university students do not value walking as the most important daily physical activity and this lifestyle is a time-use pattern rather than a behavioral orientation. Two perceptions to…","author":[{"dropping-particle":"","family":"Etminani-Ghasrodashti","given":"Roya","non-dropping-particle":"","parse-names":false,"suffix":""},{"dropping-particle":"","family":"Paydar","given":"Mohammad","non-dropping-particle":"","parse-names":false,"suffix":""},{"dropping-particle":"","family":"Hamidi","given":"Shima","non-dropping-particle":"","parse-names":false,"suffix":""}],"container-title":"Sustainable Cities and Society","id":"ITEM-1","issued":{"date-parts":[["2018","11","1"]]},"page":"495-508","publisher":"Elsevier Ltd","title":"University-related travel behavior: Young adults’ decision-making in Iran","type":"article-journal","volume":"43"},"uris":["http://www.mendeley.com/documents/?uuid=08a5202d-c8c0-3f36-b56c-cfed66100e9e"]}],"mendeley":{"formattedCitation":"(Etminani-Ghasrodashti et al., 2018)","plainTextFormattedCitation":"(Etminani-Ghasrodashti et al., 2018)","previouslyFormattedCitation":"(Etminani-Ghasrodashti et al., 2018)"},"properties":{"noteIndex":0},"schema":"https://github.com/citation-style-language/schema/raw/master/csl-citation.json"}</w:instrText>
      </w:r>
      <w:r w:rsidR="00711121" w:rsidRPr="008C10B7">
        <w:rPr>
          <w:rFonts w:cs="Times New Roman"/>
          <w:sz w:val="22"/>
          <w:szCs w:val="22"/>
        </w:rPr>
        <w:fldChar w:fldCharType="separate"/>
      </w:r>
      <w:r w:rsidR="008C7EFD" w:rsidRPr="008C10B7">
        <w:rPr>
          <w:rFonts w:cs="Times New Roman"/>
          <w:sz w:val="22"/>
          <w:szCs w:val="22"/>
        </w:rPr>
        <w:t>(Etminani-Ghasrodashti et al., 2018)</w:t>
      </w:r>
      <w:r w:rsidR="00711121" w:rsidRPr="008C10B7">
        <w:rPr>
          <w:rFonts w:cs="Times New Roman"/>
          <w:sz w:val="22"/>
          <w:szCs w:val="22"/>
        </w:rPr>
        <w:fldChar w:fldCharType="end"/>
      </w:r>
      <w:r w:rsidR="00711121" w:rsidRPr="008C10B7">
        <w:rPr>
          <w:rFonts w:cs="Times New Roman"/>
          <w:sz w:val="22"/>
          <w:szCs w:val="22"/>
        </w:rPr>
        <w:t>, we excluded individuals who owned cars from the sample and re-ran the adjusted model (Model</w:t>
      </w:r>
      <w:r w:rsidR="00501E2A" w:rsidRPr="008C10B7">
        <w:rPr>
          <w:rFonts w:cs="Times New Roman"/>
          <w:sz w:val="22"/>
          <w:szCs w:val="22"/>
        </w:rPr>
        <w:t>s</w:t>
      </w:r>
      <w:r w:rsidR="00711121" w:rsidRPr="008C10B7">
        <w:rPr>
          <w:rFonts w:cs="Times New Roman"/>
          <w:sz w:val="22"/>
          <w:szCs w:val="22"/>
        </w:rPr>
        <w:t xml:space="preserve"> 2a</w:t>
      </w:r>
      <w:r w:rsidR="00501E2A" w:rsidRPr="008C10B7">
        <w:rPr>
          <w:rFonts w:cs="Times New Roman"/>
          <w:sz w:val="22"/>
          <w:szCs w:val="22"/>
        </w:rPr>
        <w:t>–</w:t>
      </w:r>
      <w:r w:rsidR="00711121" w:rsidRPr="008C10B7">
        <w:rPr>
          <w:rFonts w:cs="Times New Roman"/>
          <w:sz w:val="22"/>
          <w:szCs w:val="22"/>
        </w:rPr>
        <w:t xml:space="preserve">3a). </w:t>
      </w:r>
      <w:r w:rsidRPr="008C10B7">
        <w:rPr>
          <w:rFonts w:cs="Times New Roman"/>
          <w:sz w:val="22"/>
          <w:szCs w:val="22"/>
        </w:rPr>
        <w:t>We then</w:t>
      </w:r>
      <w:r w:rsidR="00711121" w:rsidRPr="008C10B7">
        <w:rPr>
          <w:rFonts w:cs="Times New Roman"/>
          <w:sz w:val="22"/>
          <w:szCs w:val="22"/>
        </w:rPr>
        <w:t xml:space="preserve"> repeated our analyses with a binary classified variable (the </w:t>
      </w:r>
      <w:proofErr w:type="gramStart"/>
      <w:r w:rsidR="00711121" w:rsidRPr="008C10B7">
        <w:rPr>
          <w:rFonts w:cs="Times New Roman"/>
          <w:sz w:val="22"/>
          <w:szCs w:val="22"/>
        </w:rPr>
        <w:t>most common</w:t>
      </w:r>
      <w:r w:rsidRPr="008C10B7">
        <w:rPr>
          <w:rFonts w:cs="Times New Roman"/>
          <w:sz w:val="22"/>
          <w:szCs w:val="22"/>
        </w:rPr>
        <w:t>ly used</w:t>
      </w:r>
      <w:proofErr w:type="gramEnd"/>
      <w:r w:rsidR="00711121" w:rsidRPr="008C10B7">
        <w:rPr>
          <w:rFonts w:cs="Times New Roman"/>
          <w:sz w:val="22"/>
          <w:szCs w:val="22"/>
        </w:rPr>
        <w:t xml:space="preserve"> travel mode in the last two weeks) replac</w:t>
      </w:r>
      <w:r w:rsidR="000A00AA" w:rsidRPr="008C10B7">
        <w:rPr>
          <w:rFonts w:cs="Times New Roman"/>
          <w:sz w:val="22"/>
          <w:szCs w:val="22"/>
        </w:rPr>
        <w:t>ing</w:t>
      </w:r>
      <w:r w:rsidR="00711121" w:rsidRPr="008C10B7">
        <w:rPr>
          <w:rFonts w:cs="Times New Roman"/>
          <w:sz w:val="22"/>
          <w:szCs w:val="22"/>
        </w:rPr>
        <w:t xml:space="preserve"> the active tendency variable (Model</w:t>
      </w:r>
      <w:r w:rsidR="00501E2A" w:rsidRPr="008C10B7">
        <w:rPr>
          <w:rFonts w:cs="Times New Roman"/>
          <w:sz w:val="22"/>
          <w:szCs w:val="22"/>
        </w:rPr>
        <w:t>s</w:t>
      </w:r>
      <w:r w:rsidR="00711121" w:rsidRPr="008C10B7">
        <w:rPr>
          <w:rFonts w:cs="Times New Roman"/>
          <w:sz w:val="22"/>
          <w:szCs w:val="22"/>
        </w:rPr>
        <w:t xml:space="preserve"> 2b</w:t>
      </w:r>
      <w:r w:rsidR="00501E2A" w:rsidRPr="008C10B7">
        <w:rPr>
          <w:rFonts w:cs="Times New Roman"/>
          <w:sz w:val="22"/>
          <w:szCs w:val="22"/>
        </w:rPr>
        <w:t>–</w:t>
      </w:r>
      <w:r w:rsidR="00711121" w:rsidRPr="008C10B7">
        <w:rPr>
          <w:rFonts w:cs="Times New Roman"/>
          <w:sz w:val="22"/>
          <w:szCs w:val="22"/>
        </w:rPr>
        <w:t>3b). Respondents who chose cycling and walking</w:t>
      </w:r>
      <w:r w:rsidR="000A00AA" w:rsidRPr="008C10B7">
        <w:rPr>
          <w:rFonts w:cs="Times New Roman"/>
          <w:sz w:val="22"/>
          <w:szCs w:val="22"/>
        </w:rPr>
        <w:t xml:space="preserve"> as their </w:t>
      </w:r>
      <w:proofErr w:type="gramStart"/>
      <w:r w:rsidR="000A00AA" w:rsidRPr="008C10B7">
        <w:rPr>
          <w:rFonts w:cs="Times New Roman"/>
          <w:sz w:val="22"/>
          <w:szCs w:val="22"/>
        </w:rPr>
        <w:t>most commonly used</w:t>
      </w:r>
      <w:proofErr w:type="gramEnd"/>
      <w:r w:rsidR="000A00AA" w:rsidRPr="008C10B7">
        <w:rPr>
          <w:rFonts w:cs="Times New Roman"/>
          <w:sz w:val="22"/>
          <w:szCs w:val="22"/>
        </w:rPr>
        <w:t xml:space="preserve"> travel mode</w:t>
      </w:r>
      <w:r w:rsidR="00711121" w:rsidRPr="008C10B7">
        <w:rPr>
          <w:rFonts w:cs="Times New Roman"/>
          <w:sz w:val="22"/>
          <w:szCs w:val="22"/>
        </w:rPr>
        <w:t xml:space="preserve"> were considered to have an </w:t>
      </w:r>
      <w:r w:rsidR="0030654E" w:rsidRPr="008C10B7">
        <w:rPr>
          <w:rFonts w:cs="Times New Roman"/>
          <w:sz w:val="22"/>
          <w:szCs w:val="22"/>
        </w:rPr>
        <w:t>AT</w:t>
      </w:r>
      <w:r w:rsidR="00711121" w:rsidRPr="008C10B7">
        <w:rPr>
          <w:rFonts w:cs="Times New Roman"/>
          <w:sz w:val="22"/>
          <w:szCs w:val="22"/>
        </w:rPr>
        <w:t xml:space="preserve"> tendency, </w:t>
      </w:r>
      <w:r w:rsidR="000A00AA" w:rsidRPr="008C10B7">
        <w:rPr>
          <w:rFonts w:cs="Times New Roman"/>
          <w:sz w:val="22"/>
          <w:szCs w:val="22"/>
        </w:rPr>
        <w:t>while those who did not</w:t>
      </w:r>
      <w:r w:rsidR="00711121" w:rsidRPr="008C10B7">
        <w:rPr>
          <w:rFonts w:cs="Times New Roman"/>
          <w:sz w:val="22"/>
          <w:szCs w:val="22"/>
        </w:rPr>
        <w:t xml:space="preserve"> were considered</w:t>
      </w:r>
      <w:r w:rsidR="00636933" w:rsidRPr="008C10B7">
        <w:rPr>
          <w:rFonts w:cs="Times New Roman"/>
          <w:sz w:val="22"/>
          <w:szCs w:val="22"/>
        </w:rPr>
        <w:t xml:space="preserve"> to have</w:t>
      </w:r>
      <w:r w:rsidR="00711121" w:rsidRPr="008C10B7">
        <w:rPr>
          <w:rFonts w:cs="Times New Roman"/>
          <w:sz w:val="22"/>
          <w:szCs w:val="22"/>
        </w:rPr>
        <w:t xml:space="preserve"> no </w:t>
      </w:r>
      <w:r w:rsidR="0030654E" w:rsidRPr="008C10B7">
        <w:rPr>
          <w:rFonts w:cs="Times New Roman"/>
          <w:sz w:val="22"/>
          <w:szCs w:val="22"/>
        </w:rPr>
        <w:t>AT</w:t>
      </w:r>
      <w:r w:rsidR="00711121" w:rsidRPr="008C10B7">
        <w:rPr>
          <w:rFonts w:cs="Times New Roman"/>
          <w:sz w:val="22"/>
          <w:szCs w:val="22"/>
        </w:rPr>
        <w:t xml:space="preserve"> tendency. Last, </w:t>
      </w:r>
      <w:r w:rsidR="00636933" w:rsidRPr="008C10B7">
        <w:rPr>
          <w:rFonts w:cs="Times New Roman"/>
          <w:sz w:val="22"/>
          <w:szCs w:val="22"/>
        </w:rPr>
        <w:t xml:space="preserve">the </w:t>
      </w:r>
      <w:r w:rsidR="00711121" w:rsidRPr="008C10B7">
        <w:rPr>
          <w:rFonts w:cs="Times New Roman"/>
          <w:sz w:val="22"/>
          <w:szCs w:val="22"/>
        </w:rPr>
        <w:t xml:space="preserve">NDVI </w:t>
      </w:r>
      <w:r w:rsidR="00636933" w:rsidRPr="008C10B7">
        <w:rPr>
          <w:rFonts w:cs="Times New Roman"/>
          <w:sz w:val="22"/>
          <w:szCs w:val="22"/>
        </w:rPr>
        <w:t>was</w:t>
      </w:r>
      <w:r w:rsidR="00711121" w:rsidRPr="008C10B7">
        <w:rPr>
          <w:rFonts w:cs="Times New Roman"/>
          <w:sz w:val="22"/>
          <w:szCs w:val="22"/>
        </w:rPr>
        <w:t xml:space="preserve"> calculated </w:t>
      </w:r>
      <w:r w:rsidR="00636933" w:rsidRPr="008C10B7">
        <w:rPr>
          <w:rFonts w:cs="Times New Roman"/>
          <w:sz w:val="22"/>
          <w:szCs w:val="22"/>
        </w:rPr>
        <w:t>using</w:t>
      </w:r>
      <w:r w:rsidR="00711121" w:rsidRPr="008C10B7">
        <w:rPr>
          <w:rFonts w:cs="Times New Roman"/>
          <w:sz w:val="22"/>
          <w:szCs w:val="22"/>
        </w:rPr>
        <w:t xml:space="preserve"> remote sensing images from overhead perspectives. Thus</w:t>
      </w:r>
      <w:r w:rsidR="00636933" w:rsidRPr="008C10B7">
        <w:rPr>
          <w:rFonts w:cs="Times New Roman"/>
          <w:sz w:val="22"/>
          <w:szCs w:val="22"/>
        </w:rPr>
        <w:t>,</w:t>
      </w:r>
      <w:r w:rsidR="00711121" w:rsidRPr="008C10B7">
        <w:rPr>
          <w:rFonts w:cs="Times New Roman"/>
          <w:sz w:val="22"/>
          <w:szCs w:val="22"/>
        </w:rPr>
        <w:t xml:space="preserve"> the results are different from </w:t>
      </w:r>
      <w:r w:rsidR="000A00AA" w:rsidRPr="008C10B7">
        <w:rPr>
          <w:rFonts w:cs="Times New Roman"/>
          <w:sz w:val="22"/>
          <w:szCs w:val="22"/>
        </w:rPr>
        <w:t xml:space="preserve">those obtained using </w:t>
      </w:r>
      <w:r w:rsidR="00711121" w:rsidRPr="008C10B7">
        <w:rPr>
          <w:rFonts w:cs="Times New Roman"/>
          <w:sz w:val="22"/>
          <w:szCs w:val="22"/>
        </w:rPr>
        <w:t>street view greenery and can be</w:t>
      </w:r>
      <w:r w:rsidR="000A00AA" w:rsidRPr="008C10B7">
        <w:rPr>
          <w:rFonts w:cs="Times New Roman"/>
          <w:sz w:val="22"/>
          <w:szCs w:val="22"/>
        </w:rPr>
        <w:t xml:space="preserve"> regarded as</w:t>
      </w:r>
      <w:r w:rsidR="00711121" w:rsidRPr="008C10B7">
        <w:rPr>
          <w:rFonts w:cs="Times New Roman"/>
          <w:sz w:val="22"/>
          <w:szCs w:val="22"/>
        </w:rPr>
        <w:t xml:space="preserve"> a comparable measurement of green space </w:t>
      </w:r>
      <w:r w:rsidR="00711121" w:rsidRPr="008C10B7">
        <w:rPr>
          <w:rFonts w:cs="Times New Roman"/>
          <w:sz w:val="22"/>
          <w:szCs w:val="22"/>
        </w:rPr>
        <w:fldChar w:fldCharType="begin" w:fldLock="1"/>
      </w:r>
      <w:r w:rsidR="00B74AD7" w:rsidRPr="008C10B7">
        <w:rPr>
          <w:rFonts w:cs="Times New Roman"/>
          <w:sz w:val="22"/>
          <w:szCs w:val="22"/>
        </w:rPr>
        <w:instrText>ADDIN CSL_CITATION {"citationItems":[{"id":"ITEM-1","itemData":{"DOI":"10.1016/j.envres.2019.108535","ISSN":"10960953","PMID":"31260914","abstract":"Background: Multiple mechanisms have been proposed to explain how greenery in the vicinity of people's homes enhances their mental health and wellbeing. Mediation studies, however, focus on a limited number of mechanisms and rely on remotely sensed greenery measures, which do not accurately capture how neighborhood greenery is perceived on the ground. Objective: To examine: 1) how streetscape and remote sensing-based greenery affect people's mental wellbeing; 2) whether and, if so, to what extent the associations are mediated by physical activity, stress, air quality and noise, and social cohesion; and 3) whether differences in the mediation across the streetscape greenery and NDVI exposure metrics occurred. Methods: We used a population sample of 1029 adult residents of the metropolis of Guangzhou, China, from 2016. Mental wellbeing was quantified by the World Health Organization Well-Being Index (WHO-5). Two objective greenery measures were extracted at the neighborhood level: 1) streetscape greenery from street view data via a convolutional neural network, and 2) the normalized difference vegetation index (NDVI) from Landsat 8 remote sensing images. Single and multiple mediation analyses with multilevel regressions were conducted. Results: Streetscape and NDVI greenery were weakly and positively, but not significantly, correlated. Our regression results revealed that streetscape greenery and NDVI were, individually and jointly, positively associated with mental wellbeing. Significant partial mediators for the streetscape greenery were physical activity, stress, air quality and noise, and social cohesion; together, they explained 62% of the association. For NDVI, only physical activity and social cohesion were significant partial mediators, accounting for 22% of the association. Conclusions: Mental health and wellbeing and both streetscape and satellite-derived greenery seem to be both directly correlated and indirectly mediated. Our findings signify that both greenery measures capture different aspects of natural environments and may contribute to people's wellbeing by means of different mechanisms.","author":[{"dropping-particle":"","family":"Wang","given":"Ruoyu","non-dropping-particle":"","parse-names":false,"suffix":""},{"dropping-particle":"","family":"Helbich","given":"Marco","non-dropping-particle":"","parse-names":false,"suffix":""},{"dropping-particle":"","family":"Yao","given":"Yao","non-dropping-particle":"","parse-names":false,"suffix":""},{"dropping-particle":"","family":"Zhang","given":"Jinbao","non-dropping-particle":"","parse-names":false,"suffix":""},{"dropping-particle":"","family":"Liu","given":"Penghua","non-dropping-particle":"","parse-names":false,"suffix":""},{"dropping-particle":"","family":"Yuan","given":"Yuan","non-dropping-particle":"","parse-names":false,"suffix":""},{"dropping-particle":"","family":"Liu","given":"Ye","non-dropping-particle":"","parse-names":false,"suffix":""}],"container-title":"Environmental Research","id":"ITEM-1","issued":{"date-parts":[["2019","9","1"]]},"page":"108535","publisher":"Academic Press Inc.","title":"Urban greenery and mental wellbeing in adults: Cross-sectional mediation analyses on multiple pathways across different greenery measures","type":"article-journal","volume":"176"},"uris":["http://www.mendeley.com/documents/?uuid=73aaf687-40fa-3aff-aacc-0f874f846197"]}],"mendeley":{"formattedCitation":"(R. Wang et al., 2019)","manualFormatting":"(Wang et al., 2019)","plainTextFormattedCitation":"(R. Wang et al., 2019)","previouslyFormattedCitation":"(R. Wang et al., 2019)"},"properties":{"noteIndex":0},"schema":"https://github.com/citation-style-language/schema/raw/master/csl-citation.json"}</w:instrText>
      </w:r>
      <w:r w:rsidR="00711121" w:rsidRPr="008C10B7">
        <w:rPr>
          <w:rFonts w:cs="Times New Roman"/>
          <w:sz w:val="22"/>
          <w:szCs w:val="22"/>
        </w:rPr>
        <w:fldChar w:fldCharType="separate"/>
      </w:r>
      <w:r w:rsidR="00711121" w:rsidRPr="008C10B7">
        <w:rPr>
          <w:rFonts w:cs="Times New Roman"/>
          <w:sz w:val="22"/>
          <w:szCs w:val="22"/>
        </w:rPr>
        <w:t>(Wang et al., 2019</w:t>
      </w:r>
      <w:r w:rsidR="00201CC7" w:rsidRPr="008C10B7">
        <w:rPr>
          <w:rFonts w:cs="Times New Roman"/>
          <w:sz w:val="22"/>
          <w:szCs w:val="22"/>
        </w:rPr>
        <w:t>a</w:t>
      </w:r>
      <w:r w:rsidR="00711121" w:rsidRPr="008C10B7">
        <w:rPr>
          <w:rFonts w:cs="Times New Roman"/>
          <w:sz w:val="22"/>
          <w:szCs w:val="22"/>
        </w:rPr>
        <w:t>)</w:t>
      </w:r>
      <w:r w:rsidR="00711121" w:rsidRPr="008C10B7">
        <w:rPr>
          <w:rFonts w:cs="Times New Roman"/>
          <w:sz w:val="22"/>
          <w:szCs w:val="22"/>
        </w:rPr>
        <w:fldChar w:fldCharType="end"/>
      </w:r>
      <w:r w:rsidR="00711121" w:rsidRPr="008C10B7">
        <w:rPr>
          <w:rFonts w:cs="Times New Roman"/>
          <w:sz w:val="22"/>
          <w:szCs w:val="22"/>
        </w:rPr>
        <w:t>. As the impact of green exposure may also be influenced by</w:t>
      </w:r>
      <w:r w:rsidR="000A00AA" w:rsidRPr="008C10B7">
        <w:rPr>
          <w:rFonts w:cs="Times New Roman"/>
          <w:sz w:val="22"/>
          <w:szCs w:val="22"/>
        </w:rPr>
        <w:t xml:space="preserve"> the</w:t>
      </w:r>
      <w:r w:rsidR="00711121" w:rsidRPr="008C10B7">
        <w:rPr>
          <w:rFonts w:cs="Times New Roman"/>
          <w:sz w:val="22"/>
          <w:szCs w:val="22"/>
        </w:rPr>
        <w:t xml:space="preserve"> methods </w:t>
      </w:r>
      <w:r w:rsidR="000A00AA" w:rsidRPr="008C10B7">
        <w:rPr>
          <w:rFonts w:cs="Times New Roman"/>
          <w:sz w:val="22"/>
          <w:szCs w:val="22"/>
        </w:rPr>
        <w:t xml:space="preserve">that are used to measure </w:t>
      </w:r>
      <w:r w:rsidR="00711121" w:rsidRPr="008C10B7">
        <w:rPr>
          <w:rFonts w:cs="Times New Roman"/>
          <w:sz w:val="22"/>
          <w:szCs w:val="22"/>
        </w:rPr>
        <w:t>greenery (Wang et al., 2019</w:t>
      </w:r>
      <w:r w:rsidR="00201CC7" w:rsidRPr="008C10B7">
        <w:rPr>
          <w:rFonts w:cs="Times New Roman"/>
          <w:sz w:val="22"/>
          <w:szCs w:val="22"/>
        </w:rPr>
        <w:t>a</w:t>
      </w:r>
      <w:r w:rsidR="00711121" w:rsidRPr="008C10B7">
        <w:rPr>
          <w:rFonts w:cs="Times New Roman"/>
          <w:sz w:val="22"/>
          <w:szCs w:val="22"/>
        </w:rPr>
        <w:t xml:space="preserve">), we changed </w:t>
      </w:r>
      <w:r w:rsidR="00636933" w:rsidRPr="008C10B7">
        <w:rPr>
          <w:rFonts w:cs="Times New Roman"/>
          <w:sz w:val="22"/>
          <w:szCs w:val="22"/>
        </w:rPr>
        <w:t xml:space="preserve">the </w:t>
      </w:r>
      <w:r w:rsidR="00711121" w:rsidRPr="008C10B7">
        <w:rPr>
          <w:rFonts w:cs="Times New Roman"/>
          <w:sz w:val="22"/>
          <w:szCs w:val="22"/>
        </w:rPr>
        <w:t xml:space="preserve">independent variables to </w:t>
      </w:r>
      <w:r w:rsidR="00636933" w:rsidRPr="008C10B7">
        <w:rPr>
          <w:rFonts w:cs="Times New Roman"/>
          <w:sz w:val="22"/>
          <w:szCs w:val="22"/>
        </w:rPr>
        <w:t xml:space="preserve">the </w:t>
      </w:r>
      <w:r w:rsidR="00711121" w:rsidRPr="008C10B7">
        <w:rPr>
          <w:rFonts w:cs="Times New Roman"/>
          <w:sz w:val="22"/>
          <w:szCs w:val="22"/>
        </w:rPr>
        <w:t xml:space="preserve">NDVI </w:t>
      </w:r>
      <w:r w:rsidR="000A00AA" w:rsidRPr="008C10B7">
        <w:rPr>
          <w:rFonts w:cs="Times New Roman"/>
          <w:sz w:val="22"/>
          <w:szCs w:val="22"/>
        </w:rPr>
        <w:t xml:space="preserve">values </w:t>
      </w:r>
      <w:r w:rsidR="00711121" w:rsidRPr="008C10B7">
        <w:rPr>
          <w:rFonts w:cs="Times New Roman"/>
          <w:sz w:val="22"/>
          <w:szCs w:val="22"/>
        </w:rPr>
        <w:t>(Model</w:t>
      </w:r>
      <w:r w:rsidR="00636933" w:rsidRPr="008C10B7">
        <w:rPr>
          <w:rFonts w:cs="Times New Roman"/>
          <w:sz w:val="22"/>
          <w:szCs w:val="22"/>
        </w:rPr>
        <w:t>s</w:t>
      </w:r>
      <w:r w:rsidR="00711121" w:rsidRPr="008C10B7">
        <w:rPr>
          <w:rFonts w:cs="Times New Roman"/>
          <w:sz w:val="22"/>
          <w:szCs w:val="22"/>
        </w:rPr>
        <w:t xml:space="preserve"> 2</w:t>
      </w:r>
      <w:r w:rsidR="00636933" w:rsidRPr="008C10B7">
        <w:rPr>
          <w:rFonts w:cs="Times New Roman"/>
          <w:sz w:val="22"/>
          <w:szCs w:val="22"/>
        </w:rPr>
        <w:t>–</w:t>
      </w:r>
      <w:r w:rsidR="00711121" w:rsidRPr="008C10B7">
        <w:rPr>
          <w:rFonts w:cs="Times New Roman"/>
          <w:sz w:val="22"/>
          <w:szCs w:val="22"/>
        </w:rPr>
        <w:t xml:space="preserve">5), </w:t>
      </w:r>
      <w:proofErr w:type="gramStart"/>
      <w:r w:rsidR="000A00AA" w:rsidRPr="008C10B7">
        <w:rPr>
          <w:rFonts w:cs="Times New Roman"/>
          <w:sz w:val="22"/>
          <w:szCs w:val="22"/>
        </w:rPr>
        <w:t>in order to</w:t>
      </w:r>
      <w:proofErr w:type="gramEnd"/>
      <w:r w:rsidR="000A00AA" w:rsidRPr="008C10B7">
        <w:rPr>
          <w:rFonts w:cs="Times New Roman"/>
          <w:sz w:val="22"/>
          <w:szCs w:val="22"/>
        </w:rPr>
        <w:t xml:space="preserve"> </w:t>
      </w:r>
      <w:r w:rsidR="00711121" w:rsidRPr="008C10B7">
        <w:rPr>
          <w:rFonts w:cs="Times New Roman"/>
          <w:sz w:val="22"/>
          <w:szCs w:val="22"/>
        </w:rPr>
        <w:t>investigat</w:t>
      </w:r>
      <w:r w:rsidR="000A00AA" w:rsidRPr="008C10B7">
        <w:rPr>
          <w:rFonts w:cs="Times New Roman"/>
          <w:sz w:val="22"/>
          <w:szCs w:val="22"/>
        </w:rPr>
        <w:t>e</w:t>
      </w:r>
      <w:r w:rsidR="00711121" w:rsidRPr="008C10B7">
        <w:rPr>
          <w:rFonts w:cs="Times New Roman"/>
          <w:sz w:val="22"/>
          <w:szCs w:val="22"/>
        </w:rPr>
        <w:t xml:space="preserve"> the measurement difference between </w:t>
      </w:r>
      <w:r w:rsidR="00636933" w:rsidRPr="008C10B7">
        <w:rPr>
          <w:rFonts w:cs="Times New Roman"/>
          <w:sz w:val="22"/>
          <w:szCs w:val="22"/>
        </w:rPr>
        <w:t xml:space="preserve">the </w:t>
      </w:r>
      <w:r w:rsidR="00711121" w:rsidRPr="008C10B7">
        <w:rPr>
          <w:rFonts w:cs="Times New Roman"/>
          <w:sz w:val="22"/>
          <w:szCs w:val="22"/>
        </w:rPr>
        <w:t xml:space="preserve">GVI and </w:t>
      </w:r>
      <w:r w:rsidR="000A00AA" w:rsidRPr="008C10B7">
        <w:rPr>
          <w:rFonts w:cs="Times New Roman"/>
          <w:sz w:val="22"/>
          <w:szCs w:val="22"/>
        </w:rPr>
        <w:t xml:space="preserve">the </w:t>
      </w:r>
      <w:r w:rsidR="00711121" w:rsidRPr="008C10B7">
        <w:rPr>
          <w:rFonts w:cs="Times New Roman"/>
          <w:sz w:val="22"/>
          <w:szCs w:val="22"/>
        </w:rPr>
        <w:t>NDVI.</w:t>
      </w:r>
    </w:p>
    <w:p w14:paraId="6CA05AE9" w14:textId="77777777" w:rsidR="004D3D6C" w:rsidRPr="008C10B7" w:rsidRDefault="004D3D6C" w:rsidP="00E7001C">
      <w:pPr>
        <w:spacing w:line="360" w:lineRule="auto"/>
        <w:jc w:val="both"/>
        <w:rPr>
          <w:rFonts w:cs="Times New Roman"/>
          <w:sz w:val="22"/>
          <w:szCs w:val="22"/>
        </w:rPr>
      </w:pPr>
    </w:p>
    <w:p w14:paraId="5ECC980D" w14:textId="59347FA0" w:rsidR="004D3D6C" w:rsidRPr="008C10B7" w:rsidRDefault="00711121" w:rsidP="00E7001C">
      <w:pPr>
        <w:pStyle w:val="ListParagraph"/>
        <w:autoSpaceDE w:val="0"/>
        <w:autoSpaceDN w:val="0"/>
        <w:adjustRightInd w:val="0"/>
        <w:spacing w:line="360" w:lineRule="auto"/>
        <w:ind w:left="0"/>
        <w:contextualSpacing w:val="0"/>
        <w:jc w:val="both"/>
        <w:outlineLvl w:val="0"/>
        <w:rPr>
          <w:b/>
          <w:sz w:val="22"/>
          <w:szCs w:val="28"/>
        </w:rPr>
      </w:pPr>
      <w:bookmarkStart w:id="54" w:name="_Toc78625152"/>
      <w:r w:rsidRPr="008C10B7">
        <w:rPr>
          <w:b/>
          <w:sz w:val="22"/>
          <w:szCs w:val="28"/>
        </w:rPr>
        <w:t>4</w:t>
      </w:r>
      <w:r w:rsidR="00183700" w:rsidRPr="008C10B7">
        <w:rPr>
          <w:b/>
          <w:sz w:val="22"/>
          <w:szCs w:val="28"/>
        </w:rPr>
        <w:t>.</w:t>
      </w:r>
      <w:r w:rsidRPr="008C10B7">
        <w:rPr>
          <w:b/>
          <w:sz w:val="22"/>
          <w:szCs w:val="28"/>
        </w:rPr>
        <w:t xml:space="preserve"> Results</w:t>
      </w:r>
      <w:bookmarkEnd w:id="54"/>
    </w:p>
    <w:p w14:paraId="69F20ADA" w14:textId="48E5BEAA" w:rsidR="004D3D6C" w:rsidRPr="008C10B7" w:rsidRDefault="00711121" w:rsidP="00E7001C">
      <w:pPr>
        <w:pStyle w:val="Heading2"/>
        <w:keepNext/>
        <w:keepLines/>
        <w:spacing w:before="0" w:beforeAutospacing="0" w:after="0" w:afterAutospacing="0" w:line="360" w:lineRule="auto"/>
        <w:jc w:val="both"/>
        <w:rPr>
          <w:rFonts w:eastAsiaTheme="majorEastAsia" w:cs="Times New Roman"/>
          <w:b w:val="0"/>
          <w:i/>
          <w:iCs/>
          <w:sz w:val="22"/>
          <w:szCs w:val="32"/>
          <w:lang w:val="en-GB" w:eastAsia="en-US"/>
        </w:rPr>
      </w:pPr>
      <w:bookmarkStart w:id="55" w:name="_Toc78625153"/>
      <w:r w:rsidRPr="008C10B7">
        <w:rPr>
          <w:rFonts w:eastAsiaTheme="majorEastAsia" w:cs="Times New Roman"/>
          <w:b w:val="0"/>
          <w:i/>
          <w:iCs/>
          <w:sz w:val="22"/>
          <w:szCs w:val="22"/>
          <w:lang w:val="en-GB" w:eastAsia="en-US"/>
        </w:rPr>
        <w:t>4.1</w:t>
      </w:r>
      <w:r w:rsidR="00C234EB" w:rsidRPr="008C10B7">
        <w:rPr>
          <w:rFonts w:eastAsiaTheme="majorEastAsia" w:cs="Times New Roman"/>
          <w:b w:val="0"/>
          <w:i/>
          <w:iCs/>
          <w:sz w:val="22"/>
          <w:szCs w:val="22"/>
          <w:lang w:val="en-GB" w:eastAsia="en-US"/>
        </w:rPr>
        <w:t>.</w:t>
      </w:r>
      <w:r w:rsidR="00262E9E" w:rsidRPr="008C10B7">
        <w:rPr>
          <w:rFonts w:eastAsiaTheme="majorEastAsia" w:cs="Times New Roman"/>
          <w:b w:val="0"/>
          <w:i/>
          <w:iCs/>
          <w:sz w:val="22"/>
          <w:szCs w:val="22"/>
          <w:lang w:val="en-GB" w:eastAsia="en-US"/>
        </w:rPr>
        <w:tab/>
      </w:r>
      <w:r w:rsidRPr="008C10B7">
        <w:rPr>
          <w:rFonts w:eastAsiaTheme="majorEastAsia" w:cs="Times New Roman"/>
          <w:b w:val="0"/>
          <w:i/>
          <w:iCs/>
          <w:sz w:val="22"/>
          <w:szCs w:val="22"/>
          <w:lang w:val="en-GB" w:eastAsia="en-US"/>
        </w:rPr>
        <w:t xml:space="preserve">Characteristics of the </w:t>
      </w:r>
      <w:r w:rsidR="0076764C" w:rsidRPr="008C10B7">
        <w:rPr>
          <w:rFonts w:eastAsiaTheme="majorEastAsia" w:cs="Times New Roman"/>
          <w:b w:val="0"/>
          <w:i/>
          <w:iCs/>
          <w:sz w:val="22"/>
          <w:szCs w:val="22"/>
          <w:lang w:val="en-GB" w:eastAsia="en-US"/>
        </w:rPr>
        <w:t>study population</w:t>
      </w:r>
      <w:bookmarkEnd w:id="55"/>
    </w:p>
    <w:p w14:paraId="05974F20" w14:textId="37E5F813" w:rsidR="004D3D6C" w:rsidRPr="008C10B7" w:rsidRDefault="00711121" w:rsidP="00E7001C">
      <w:pPr>
        <w:spacing w:line="360" w:lineRule="auto"/>
        <w:jc w:val="both"/>
        <w:rPr>
          <w:rFonts w:cs="Times New Roman"/>
          <w:sz w:val="22"/>
          <w:szCs w:val="22"/>
        </w:rPr>
      </w:pPr>
      <w:r w:rsidRPr="008C10B7">
        <w:rPr>
          <w:rFonts w:cs="Times New Roman"/>
          <w:sz w:val="22"/>
          <w:szCs w:val="22"/>
        </w:rPr>
        <w:t>Table 1 summarises the characteristics of the study population</w:t>
      </w:r>
      <w:r w:rsidR="0076764C" w:rsidRPr="008C10B7">
        <w:rPr>
          <w:rFonts w:cs="Times New Roman"/>
          <w:sz w:val="22"/>
          <w:szCs w:val="22"/>
        </w:rPr>
        <w:t>:</w:t>
      </w:r>
      <w:r w:rsidRPr="008C10B7">
        <w:rPr>
          <w:rFonts w:cs="Times New Roman"/>
          <w:sz w:val="22"/>
          <w:szCs w:val="22"/>
        </w:rPr>
        <w:t xml:space="preserve"> 68.8% of </w:t>
      </w:r>
      <w:r w:rsidR="0062175A" w:rsidRPr="008C10B7">
        <w:rPr>
          <w:rFonts w:cs="Times New Roman"/>
          <w:sz w:val="22"/>
          <w:szCs w:val="22"/>
        </w:rPr>
        <w:t xml:space="preserve">the </w:t>
      </w:r>
      <w:r w:rsidRPr="008C10B7">
        <w:rPr>
          <w:rFonts w:cs="Times New Roman"/>
          <w:sz w:val="22"/>
          <w:szCs w:val="22"/>
        </w:rPr>
        <w:t>respondents ha</w:t>
      </w:r>
      <w:r w:rsidR="000A00AA" w:rsidRPr="008C10B7">
        <w:rPr>
          <w:rFonts w:cs="Times New Roman"/>
          <w:sz w:val="22"/>
          <w:szCs w:val="22"/>
        </w:rPr>
        <w:t>d</w:t>
      </w:r>
      <w:r w:rsidRPr="008C10B7">
        <w:rPr>
          <w:rFonts w:cs="Times New Roman"/>
          <w:sz w:val="22"/>
          <w:szCs w:val="22"/>
        </w:rPr>
        <w:t xml:space="preserve"> a low willingness to </w:t>
      </w:r>
      <w:r w:rsidR="0076764C" w:rsidRPr="008C10B7">
        <w:rPr>
          <w:rFonts w:cs="Times New Roman"/>
          <w:sz w:val="22"/>
          <w:szCs w:val="22"/>
        </w:rPr>
        <w:t xml:space="preserve">participate in </w:t>
      </w:r>
      <w:r w:rsidR="0030654E" w:rsidRPr="008C10B7">
        <w:rPr>
          <w:rFonts w:cs="Times New Roman"/>
          <w:sz w:val="22"/>
          <w:szCs w:val="22"/>
        </w:rPr>
        <w:t>AT</w:t>
      </w:r>
      <w:r w:rsidRPr="008C10B7">
        <w:rPr>
          <w:rFonts w:cs="Times New Roman"/>
          <w:sz w:val="22"/>
          <w:szCs w:val="22"/>
        </w:rPr>
        <w:t>, while 31.2% ha</w:t>
      </w:r>
      <w:r w:rsidR="000A00AA" w:rsidRPr="008C10B7">
        <w:rPr>
          <w:rFonts w:cs="Times New Roman"/>
          <w:sz w:val="22"/>
          <w:szCs w:val="22"/>
        </w:rPr>
        <w:t>d</w:t>
      </w:r>
      <w:r w:rsidR="0076764C" w:rsidRPr="008C10B7">
        <w:rPr>
          <w:rFonts w:cs="Times New Roman"/>
          <w:sz w:val="22"/>
          <w:szCs w:val="22"/>
        </w:rPr>
        <w:t xml:space="preserve"> </w:t>
      </w:r>
      <w:r w:rsidRPr="008C10B7">
        <w:rPr>
          <w:rFonts w:cs="Times New Roman"/>
          <w:sz w:val="22"/>
          <w:szCs w:val="22"/>
        </w:rPr>
        <w:t xml:space="preserve">a </w:t>
      </w:r>
      <w:r w:rsidR="000A00AA" w:rsidRPr="008C10B7">
        <w:rPr>
          <w:rFonts w:cs="Times New Roman"/>
          <w:sz w:val="22"/>
          <w:szCs w:val="22"/>
        </w:rPr>
        <w:t>strong tendency</w:t>
      </w:r>
      <w:r w:rsidR="00C85FEB" w:rsidRPr="008C10B7">
        <w:rPr>
          <w:rFonts w:cs="Times New Roman"/>
          <w:sz w:val="22"/>
          <w:szCs w:val="22"/>
        </w:rPr>
        <w:t xml:space="preserve"> to participate in </w:t>
      </w:r>
      <w:r w:rsidR="0030654E" w:rsidRPr="008C10B7">
        <w:rPr>
          <w:rFonts w:cs="Times New Roman"/>
          <w:sz w:val="22"/>
          <w:szCs w:val="22"/>
        </w:rPr>
        <w:t>AT</w:t>
      </w:r>
      <w:r w:rsidR="00C85FEB" w:rsidRPr="008C10B7">
        <w:rPr>
          <w:rFonts w:cs="Times New Roman"/>
          <w:sz w:val="22"/>
          <w:szCs w:val="22"/>
        </w:rPr>
        <w:t>;</w:t>
      </w:r>
      <w:r w:rsidRPr="008C10B7">
        <w:rPr>
          <w:rFonts w:cs="Times New Roman"/>
          <w:sz w:val="22"/>
          <w:szCs w:val="22"/>
        </w:rPr>
        <w:t xml:space="preserve"> 27.5% of </w:t>
      </w:r>
      <w:r w:rsidR="0062175A" w:rsidRPr="008C10B7">
        <w:rPr>
          <w:rFonts w:cs="Times New Roman"/>
          <w:sz w:val="22"/>
          <w:szCs w:val="22"/>
        </w:rPr>
        <w:t xml:space="preserve">the </w:t>
      </w:r>
      <w:r w:rsidRPr="008C10B7">
        <w:rPr>
          <w:rFonts w:cs="Times New Roman"/>
          <w:sz w:val="22"/>
          <w:szCs w:val="22"/>
        </w:rPr>
        <w:t xml:space="preserve">university students </w:t>
      </w:r>
      <w:r w:rsidR="000A00AA" w:rsidRPr="008C10B7">
        <w:rPr>
          <w:rFonts w:cs="Times New Roman"/>
          <w:sz w:val="22"/>
          <w:szCs w:val="22"/>
        </w:rPr>
        <w:t xml:space="preserve">who responded </w:t>
      </w:r>
      <w:r w:rsidRPr="008C10B7">
        <w:rPr>
          <w:rFonts w:cs="Times New Roman"/>
          <w:sz w:val="22"/>
          <w:szCs w:val="22"/>
        </w:rPr>
        <w:t>live</w:t>
      </w:r>
      <w:r w:rsidR="000A00AA" w:rsidRPr="008C10B7">
        <w:rPr>
          <w:rFonts w:cs="Times New Roman"/>
          <w:sz w:val="22"/>
          <w:szCs w:val="22"/>
        </w:rPr>
        <w:t>d</w:t>
      </w:r>
      <w:r w:rsidRPr="008C10B7">
        <w:rPr>
          <w:rFonts w:cs="Times New Roman"/>
          <w:sz w:val="22"/>
          <w:szCs w:val="22"/>
        </w:rPr>
        <w:t xml:space="preserve"> on campuses with a low GVI, and 37.4% live</w:t>
      </w:r>
      <w:r w:rsidR="000A00AA" w:rsidRPr="008C10B7">
        <w:rPr>
          <w:rFonts w:cs="Times New Roman"/>
          <w:sz w:val="22"/>
          <w:szCs w:val="22"/>
        </w:rPr>
        <w:t>d</w:t>
      </w:r>
      <w:r w:rsidRPr="008C10B7">
        <w:rPr>
          <w:rFonts w:cs="Times New Roman"/>
          <w:sz w:val="22"/>
          <w:szCs w:val="22"/>
        </w:rPr>
        <w:t xml:space="preserve"> on university campuses</w:t>
      </w:r>
      <w:r w:rsidR="000A00AA" w:rsidRPr="008C10B7">
        <w:rPr>
          <w:rFonts w:cs="Times New Roman"/>
          <w:sz w:val="22"/>
          <w:szCs w:val="22"/>
        </w:rPr>
        <w:t xml:space="preserve"> with a high GVI</w:t>
      </w:r>
      <w:r w:rsidRPr="008C10B7">
        <w:rPr>
          <w:rFonts w:cs="Times New Roman"/>
          <w:sz w:val="22"/>
          <w:szCs w:val="22"/>
        </w:rPr>
        <w:t xml:space="preserve">. Overall, </w:t>
      </w:r>
      <w:r w:rsidR="000A00AA" w:rsidRPr="008C10B7">
        <w:rPr>
          <w:rFonts w:cs="Times New Roman"/>
          <w:sz w:val="22"/>
          <w:szCs w:val="22"/>
        </w:rPr>
        <w:t xml:space="preserve">the average age of the </w:t>
      </w:r>
      <w:r w:rsidRPr="008C10B7">
        <w:rPr>
          <w:rFonts w:cs="Times New Roman"/>
          <w:sz w:val="22"/>
          <w:szCs w:val="22"/>
        </w:rPr>
        <w:t xml:space="preserve">respondents </w:t>
      </w:r>
      <w:r w:rsidR="000A00AA" w:rsidRPr="008C10B7">
        <w:rPr>
          <w:rFonts w:cs="Times New Roman"/>
          <w:sz w:val="22"/>
          <w:szCs w:val="22"/>
        </w:rPr>
        <w:t>was</w:t>
      </w:r>
      <w:r w:rsidRPr="008C10B7">
        <w:rPr>
          <w:rFonts w:cs="Times New Roman"/>
          <w:sz w:val="22"/>
          <w:szCs w:val="22"/>
        </w:rPr>
        <w:t xml:space="preserve"> </w:t>
      </w:r>
      <w:r w:rsidRPr="008C10B7">
        <w:rPr>
          <w:rFonts w:cs="Times New Roman"/>
          <w:sz w:val="22"/>
          <w:szCs w:val="22"/>
        </w:rPr>
        <w:lastRenderedPageBreak/>
        <w:t>22 years old, 83.1% had a bachelor</w:t>
      </w:r>
      <w:r w:rsidR="00C85FEB" w:rsidRPr="008C10B7">
        <w:rPr>
          <w:rFonts w:cs="Times New Roman"/>
          <w:sz w:val="22"/>
          <w:szCs w:val="22"/>
        </w:rPr>
        <w:t>’</w:t>
      </w:r>
      <w:r w:rsidRPr="008C10B7">
        <w:rPr>
          <w:rFonts w:cs="Times New Roman"/>
          <w:sz w:val="22"/>
          <w:szCs w:val="22"/>
        </w:rPr>
        <w:t>s degree or l</w:t>
      </w:r>
      <w:r w:rsidR="000A00AA" w:rsidRPr="008C10B7">
        <w:rPr>
          <w:rFonts w:cs="Times New Roman"/>
          <w:sz w:val="22"/>
          <w:szCs w:val="22"/>
        </w:rPr>
        <w:t>ower,</w:t>
      </w:r>
      <w:r w:rsidRPr="008C10B7">
        <w:rPr>
          <w:rFonts w:cs="Times New Roman"/>
          <w:sz w:val="22"/>
          <w:szCs w:val="22"/>
        </w:rPr>
        <w:t xml:space="preserve"> and more than half had a driving licence. </w:t>
      </w:r>
      <w:r w:rsidR="000A00AA" w:rsidRPr="008C10B7">
        <w:rPr>
          <w:rFonts w:cs="Times New Roman"/>
          <w:sz w:val="22"/>
          <w:szCs w:val="22"/>
        </w:rPr>
        <w:t xml:space="preserve">Approximately </w:t>
      </w:r>
      <w:r w:rsidRPr="008C10B7">
        <w:rPr>
          <w:rFonts w:cs="Times New Roman"/>
          <w:sz w:val="22"/>
          <w:szCs w:val="22"/>
        </w:rPr>
        <w:t xml:space="preserve">48% of </w:t>
      </w:r>
      <w:r w:rsidR="00C85FEB" w:rsidRPr="008C10B7">
        <w:rPr>
          <w:rFonts w:cs="Times New Roman"/>
          <w:sz w:val="22"/>
          <w:szCs w:val="22"/>
        </w:rPr>
        <w:t xml:space="preserve">the </w:t>
      </w:r>
      <w:r w:rsidRPr="008C10B7">
        <w:rPr>
          <w:rFonts w:cs="Times New Roman"/>
          <w:sz w:val="22"/>
          <w:szCs w:val="22"/>
        </w:rPr>
        <w:t>respondents had a monthly income of less than RMB 3,000, more than half were female, and about one-third had a local hukou</w:t>
      </w:r>
      <w:r w:rsidR="000A00AA" w:rsidRPr="008C10B7">
        <w:rPr>
          <w:rFonts w:cs="Times New Roman"/>
          <w:sz w:val="22"/>
          <w:szCs w:val="22"/>
        </w:rPr>
        <w:t>, while</w:t>
      </w:r>
      <w:r w:rsidRPr="008C10B7">
        <w:rPr>
          <w:rFonts w:cs="Times New Roman"/>
          <w:sz w:val="22"/>
          <w:szCs w:val="22"/>
        </w:rPr>
        <w:t xml:space="preserve"> 35.3% of the respondents had a partner. Regarding transportation, 40.3%, 21.7%</w:t>
      </w:r>
      <w:r w:rsidR="00C85FEB" w:rsidRPr="008C10B7">
        <w:rPr>
          <w:rFonts w:cs="Times New Roman"/>
          <w:sz w:val="22"/>
          <w:szCs w:val="22"/>
        </w:rPr>
        <w:t>,</w:t>
      </w:r>
      <w:r w:rsidRPr="008C10B7">
        <w:rPr>
          <w:rFonts w:cs="Times New Roman"/>
          <w:sz w:val="22"/>
          <w:szCs w:val="22"/>
        </w:rPr>
        <w:t xml:space="preserve"> and 6.29% of </w:t>
      </w:r>
      <w:r w:rsidR="00C85FEB" w:rsidRPr="008C10B7">
        <w:rPr>
          <w:rFonts w:cs="Times New Roman"/>
          <w:sz w:val="22"/>
          <w:szCs w:val="22"/>
        </w:rPr>
        <w:t xml:space="preserve">the </w:t>
      </w:r>
      <w:r w:rsidRPr="008C10B7">
        <w:rPr>
          <w:rFonts w:cs="Times New Roman"/>
          <w:sz w:val="22"/>
          <w:szCs w:val="22"/>
        </w:rPr>
        <w:t>respondents own</w:t>
      </w:r>
      <w:r w:rsidR="0062175A" w:rsidRPr="008C10B7">
        <w:rPr>
          <w:rFonts w:cs="Times New Roman"/>
          <w:sz w:val="22"/>
          <w:szCs w:val="22"/>
        </w:rPr>
        <w:t>ed</w:t>
      </w:r>
      <w:r w:rsidRPr="008C10B7">
        <w:rPr>
          <w:rFonts w:cs="Times New Roman"/>
          <w:sz w:val="22"/>
          <w:szCs w:val="22"/>
        </w:rPr>
        <w:t xml:space="preserve"> a bicycle, an e-bike</w:t>
      </w:r>
      <w:r w:rsidR="00C85FEB" w:rsidRPr="008C10B7">
        <w:rPr>
          <w:rFonts w:cs="Times New Roman"/>
          <w:sz w:val="22"/>
          <w:szCs w:val="22"/>
        </w:rPr>
        <w:t>,</w:t>
      </w:r>
      <w:r w:rsidRPr="008C10B7">
        <w:rPr>
          <w:rFonts w:cs="Times New Roman"/>
          <w:sz w:val="22"/>
          <w:szCs w:val="22"/>
        </w:rPr>
        <w:t xml:space="preserve"> </w:t>
      </w:r>
      <w:r w:rsidR="00246FC9" w:rsidRPr="008C10B7">
        <w:rPr>
          <w:rFonts w:cs="Times New Roman"/>
          <w:sz w:val="22"/>
          <w:szCs w:val="22"/>
        </w:rPr>
        <w:t>and</w:t>
      </w:r>
      <w:r w:rsidR="000A00AA" w:rsidRPr="008C10B7">
        <w:rPr>
          <w:rFonts w:cs="Times New Roman"/>
          <w:sz w:val="22"/>
          <w:szCs w:val="22"/>
        </w:rPr>
        <w:t>/or</w:t>
      </w:r>
      <w:r w:rsidRPr="008C10B7">
        <w:rPr>
          <w:rFonts w:cs="Times New Roman"/>
          <w:sz w:val="22"/>
          <w:szCs w:val="22"/>
        </w:rPr>
        <w:t xml:space="preserve"> a car, respectively. More than half of the respondents had a high level of satisfaction with car travel (50.9%), bus travel (56.7%)</w:t>
      </w:r>
      <w:r w:rsidR="00C85FEB" w:rsidRPr="008C10B7">
        <w:rPr>
          <w:rFonts w:cs="Times New Roman"/>
          <w:sz w:val="22"/>
          <w:szCs w:val="22"/>
        </w:rPr>
        <w:t>,</w:t>
      </w:r>
      <w:r w:rsidRPr="008C10B7">
        <w:rPr>
          <w:rFonts w:cs="Times New Roman"/>
          <w:sz w:val="22"/>
          <w:szCs w:val="22"/>
        </w:rPr>
        <w:t xml:space="preserve"> and walking (58.2%). About two-thirds of the respondents </w:t>
      </w:r>
      <w:r w:rsidR="000A00AA" w:rsidRPr="008C10B7">
        <w:rPr>
          <w:rFonts w:cs="Times New Roman"/>
          <w:sz w:val="22"/>
          <w:szCs w:val="22"/>
        </w:rPr>
        <w:t>were very satisfied</w:t>
      </w:r>
      <w:r w:rsidRPr="008C10B7">
        <w:rPr>
          <w:rFonts w:cs="Times New Roman"/>
          <w:sz w:val="22"/>
          <w:szCs w:val="22"/>
        </w:rPr>
        <w:t xml:space="preserve"> with metro travel and cycling, </w:t>
      </w:r>
      <w:r w:rsidR="000A00AA" w:rsidRPr="008C10B7">
        <w:rPr>
          <w:rFonts w:cs="Times New Roman"/>
          <w:sz w:val="22"/>
          <w:szCs w:val="22"/>
        </w:rPr>
        <w:t>with ratings of</w:t>
      </w:r>
      <w:r w:rsidR="00C85FEB" w:rsidRPr="008C10B7">
        <w:rPr>
          <w:rFonts w:cs="Times New Roman"/>
          <w:sz w:val="22"/>
          <w:szCs w:val="22"/>
        </w:rPr>
        <w:t xml:space="preserve"> </w:t>
      </w:r>
      <w:r w:rsidRPr="008C10B7">
        <w:rPr>
          <w:rFonts w:cs="Times New Roman"/>
          <w:sz w:val="22"/>
          <w:szCs w:val="22"/>
        </w:rPr>
        <w:t>75.0% and 69.1%, respectively.</w:t>
      </w:r>
    </w:p>
    <w:p w14:paraId="13322373" w14:textId="77777777" w:rsidR="004D3D6C" w:rsidRPr="008C10B7" w:rsidRDefault="004D3D6C" w:rsidP="00E7001C">
      <w:pPr>
        <w:spacing w:line="360" w:lineRule="auto"/>
        <w:jc w:val="both"/>
        <w:rPr>
          <w:rFonts w:cs="Times New Roman"/>
          <w:sz w:val="22"/>
          <w:szCs w:val="22"/>
        </w:rPr>
      </w:pPr>
    </w:p>
    <w:p w14:paraId="0586A343" w14:textId="41560962" w:rsidR="004D3D6C" w:rsidRPr="008C10B7" w:rsidRDefault="00711121" w:rsidP="00E7001C">
      <w:pPr>
        <w:pStyle w:val="Heading2"/>
        <w:keepNext/>
        <w:keepLines/>
        <w:spacing w:before="0" w:beforeAutospacing="0" w:after="0" w:afterAutospacing="0" w:line="360" w:lineRule="auto"/>
        <w:jc w:val="both"/>
        <w:rPr>
          <w:rFonts w:eastAsiaTheme="majorEastAsia" w:cs="Times New Roman"/>
          <w:b w:val="0"/>
          <w:i/>
          <w:iCs/>
          <w:sz w:val="22"/>
          <w:szCs w:val="32"/>
          <w:lang w:val="en-GB" w:eastAsia="en-US"/>
        </w:rPr>
      </w:pPr>
      <w:bookmarkStart w:id="56" w:name="_Toc78625154"/>
      <w:r w:rsidRPr="008C10B7">
        <w:rPr>
          <w:rFonts w:eastAsiaTheme="majorEastAsia" w:cs="Times New Roman"/>
          <w:b w:val="0"/>
          <w:i/>
          <w:iCs/>
          <w:sz w:val="22"/>
          <w:szCs w:val="22"/>
          <w:lang w:val="en-GB" w:eastAsia="en-US"/>
        </w:rPr>
        <w:t>4.2</w:t>
      </w:r>
      <w:r w:rsidR="00C234EB" w:rsidRPr="008C10B7">
        <w:rPr>
          <w:rFonts w:eastAsiaTheme="majorEastAsia" w:cs="Times New Roman"/>
          <w:b w:val="0"/>
          <w:i/>
          <w:iCs/>
          <w:sz w:val="22"/>
          <w:szCs w:val="22"/>
          <w:lang w:val="en-GB" w:eastAsia="en-US"/>
        </w:rPr>
        <w:t>.</w:t>
      </w:r>
      <w:r w:rsidR="00262E9E" w:rsidRPr="008C10B7">
        <w:rPr>
          <w:rFonts w:eastAsiaTheme="majorEastAsia" w:cs="Times New Roman"/>
          <w:b w:val="0"/>
          <w:i/>
          <w:iCs/>
          <w:sz w:val="22"/>
          <w:szCs w:val="22"/>
          <w:lang w:val="en-GB" w:eastAsia="en-US"/>
        </w:rPr>
        <w:tab/>
      </w:r>
      <w:r w:rsidRPr="008C10B7">
        <w:rPr>
          <w:rFonts w:eastAsiaTheme="majorEastAsia" w:cs="Times New Roman"/>
          <w:b w:val="0"/>
          <w:i/>
          <w:iCs/>
          <w:sz w:val="22"/>
          <w:szCs w:val="22"/>
          <w:lang w:val="en-GB" w:eastAsia="en-US"/>
        </w:rPr>
        <w:t xml:space="preserve">Baseline </w:t>
      </w:r>
      <w:r w:rsidR="00C85FEB" w:rsidRPr="008C10B7">
        <w:rPr>
          <w:rFonts w:eastAsiaTheme="majorEastAsia" w:cs="Times New Roman"/>
          <w:b w:val="0"/>
          <w:i/>
          <w:iCs/>
          <w:sz w:val="22"/>
          <w:szCs w:val="22"/>
          <w:lang w:val="en-GB" w:eastAsia="en-US"/>
        </w:rPr>
        <w:t>r</w:t>
      </w:r>
      <w:r w:rsidR="003A09E1" w:rsidRPr="008C10B7">
        <w:rPr>
          <w:rFonts w:eastAsiaTheme="majorEastAsia" w:cs="Times New Roman"/>
          <w:b w:val="0"/>
          <w:i/>
          <w:iCs/>
          <w:sz w:val="22"/>
          <w:szCs w:val="22"/>
          <w:lang w:val="en-GB" w:eastAsia="en-US"/>
        </w:rPr>
        <w:t>esults</w:t>
      </w:r>
      <w:bookmarkEnd w:id="56"/>
    </w:p>
    <w:p w14:paraId="1931E276" w14:textId="4FC9A2D4" w:rsidR="004D3D6C" w:rsidRPr="008C10B7" w:rsidRDefault="00711121" w:rsidP="00E7001C">
      <w:pPr>
        <w:spacing w:line="360" w:lineRule="auto"/>
        <w:jc w:val="both"/>
        <w:rPr>
          <w:rFonts w:cs="Times New Roman"/>
          <w:sz w:val="22"/>
          <w:szCs w:val="22"/>
        </w:rPr>
      </w:pPr>
      <w:r w:rsidRPr="008C10B7">
        <w:rPr>
          <w:rFonts w:cs="Times New Roman"/>
          <w:sz w:val="22"/>
          <w:szCs w:val="22"/>
        </w:rPr>
        <w:t xml:space="preserve">The multilevel logistics regression model results are </w:t>
      </w:r>
      <w:r w:rsidR="00C85FEB" w:rsidRPr="008C10B7">
        <w:rPr>
          <w:rFonts w:cs="Times New Roman"/>
          <w:sz w:val="22"/>
          <w:szCs w:val="22"/>
        </w:rPr>
        <w:t xml:space="preserve">illustrated </w:t>
      </w:r>
      <w:r w:rsidRPr="008C10B7">
        <w:rPr>
          <w:rFonts w:cs="Times New Roman"/>
          <w:sz w:val="22"/>
          <w:szCs w:val="22"/>
        </w:rPr>
        <w:t xml:space="preserve">in Table 2, linking </w:t>
      </w:r>
      <w:r w:rsidR="00C85FEB" w:rsidRPr="008C10B7">
        <w:rPr>
          <w:rFonts w:cs="Times New Roman"/>
          <w:sz w:val="22"/>
          <w:szCs w:val="22"/>
        </w:rPr>
        <w:t xml:space="preserve">the </w:t>
      </w:r>
      <w:r w:rsidR="0030654E" w:rsidRPr="008C10B7">
        <w:rPr>
          <w:rFonts w:cs="Times New Roman"/>
          <w:sz w:val="22"/>
          <w:szCs w:val="22"/>
        </w:rPr>
        <w:t>AT</w:t>
      </w:r>
      <w:r w:rsidRPr="008C10B7">
        <w:rPr>
          <w:rFonts w:cs="Times New Roman"/>
          <w:sz w:val="22"/>
          <w:szCs w:val="22"/>
        </w:rPr>
        <w:t xml:space="preserve"> activities of university students to street greening. Model 1 </w:t>
      </w:r>
      <w:r w:rsidR="00C85FEB" w:rsidRPr="008C10B7">
        <w:rPr>
          <w:rFonts w:cs="Times New Roman"/>
          <w:sz w:val="22"/>
          <w:szCs w:val="22"/>
        </w:rPr>
        <w:t xml:space="preserve">illustrates </w:t>
      </w:r>
      <w:r w:rsidRPr="008C10B7">
        <w:rPr>
          <w:rFonts w:cs="Times New Roman"/>
          <w:sz w:val="22"/>
          <w:szCs w:val="22"/>
        </w:rPr>
        <w:t xml:space="preserve">the relationship between </w:t>
      </w:r>
      <w:r w:rsidR="000471C9" w:rsidRPr="008C10B7">
        <w:rPr>
          <w:rFonts w:cs="Times New Roman"/>
          <w:sz w:val="22"/>
          <w:szCs w:val="22"/>
        </w:rPr>
        <w:t xml:space="preserve">the </w:t>
      </w:r>
      <w:r w:rsidRPr="008C10B7">
        <w:rPr>
          <w:rFonts w:cs="Times New Roman"/>
          <w:sz w:val="22"/>
          <w:szCs w:val="22"/>
        </w:rPr>
        <w:t xml:space="preserve">covariates and </w:t>
      </w:r>
      <w:r w:rsidR="000A00AA" w:rsidRPr="008C10B7">
        <w:rPr>
          <w:rFonts w:cs="Times New Roman"/>
          <w:sz w:val="22"/>
          <w:szCs w:val="22"/>
        </w:rPr>
        <w:t xml:space="preserve">the </w:t>
      </w:r>
      <w:r w:rsidRPr="008C10B7">
        <w:rPr>
          <w:rFonts w:cs="Times New Roman"/>
          <w:sz w:val="22"/>
          <w:szCs w:val="22"/>
        </w:rPr>
        <w:t>respondents</w:t>
      </w:r>
      <w:r w:rsidR="000471C9" w:rsidRPr="008C10B7">
        <w:rPr>
          <w:rFonts w:cs="Times New Roman"/>
          <w:sz w:val="22"/>
          <w:szCs w:val="22"/>
        </w:rPr>
        <w:t>’</w:t>
      </w:r>
      <w:r w:rsidRPr="008C10B7">
        <w:rPr>
          <w:rFonts w:cs="Times New Roman"/>
          <w:sz w:val="22"/>
          <w:szCs w:val="22"/>
        </w:rPr>
        <w:t xml:space="preserve"> </w:t>
      </w:r>
      <w:r w:rsidR="000A00AA" w:rsidRPr="008C10B7">
        <w:rPr>
          <w:rFonts w:cs="Times New Roman"/>
          <w:sz w:val="22"/>
          <w:szCs w:val="22"/>
        </w:rPr>
        <w:t xml:space="preserve">tendency to use </w:t>
      </w:r>
      <w:r w:rsidR="0030654E" w:rsidRPr="008C10B7">
        <w:rPr>
          <w:rFonts w:cs="Times New Roman"/>
          <w:sz w:val="22"/>
          <w:szCs w:val="22"/>
        </w:rPr>
        <w:t>AT</w:t>
      </w:r>
      <w:r w:rsidRPr="008C10B7">
        <w:rPr>
          <w:rFonts w:cs="Times New Roman"/>
          <w:sz w:val="22"/>
          <w:szCs w:val="22"/>
        </w:rPr>
        <w:t>. The results indicate that</w:t>
      </w:r>
      <w:r w:rsidR="00940EA8" w:rsidRPr="008C10B7">
        <w:rPr>
          <w:rFonts w:cs="Times New Roman"/>
          <w:sz w:val="22"/>
          <w:szCs w:val="22"/>
        </w:rPr>
        <w:t>,</w:t>
      </w:r>
      <w:r w:rsidRPr="008C10B7">
        <w:rPr>
          <w:rFonts w:cs="Times New Roman"/>
          <w:sz w:val="22"/>
          <w:szCs w:val="22"/>
        </w:rPr>
        <w:t xml:space="preserve"> </w:t>
      </w:r>
      <w:r w:rsidR="00554941" w:rsidRPr="008C10B7">
        <w:rPr>
          <w:rFonts w:eastAsia="Times New Roman"/>
          <w:sz w:val="22"/>
          <w:szCs w:val="22"/>
          <w:shd w:val="clear" w:color="auto" w:fill="FFFFFF"/>
          <w:lang w:eastAsia="en-GB"/>
        </w:rPr>
        <w:t xml:space="preserve">holding all the other variables constant, </w:t>
      </w:r>
      <w:r w:rsidRPr="008C10B7">
        <w:rPr>
          <w:rFonts w:cs="Times New Roman"/>
          <w:sz w:val="22"/>
          <w:szCs w:val="22"/>
        </w:rPr>
        <w:t>within the university student population, those with a bachelor</w:t>
      </w:r>
      <w:r w:rsidR="000471C9" w:rsidRPr="008C10B7">
        <w:rPr>
          <w:rFonts w:cs="Times New Roman"/>
          <w:sz w:val="22"/>
          <w:szCs w:val="22"/>
        </w:rPr>
        <w:t>’</w:t>
      </w:r>
      <w:r w:rsidRPr="008C10B7">
        <w:rPr>
          <w:rFonts w:cs="Times New Roman"/>
          <w:sz w:val="22"/>
          <w:szCs w:val="22"/>
        </w:rPr>
        <w:t xml:space="preserve">s degree or </w:t>
      </w:r>
      <w:r w:rsidR="000A00AA" w:rsidRPr="008C10B7">
        <w:rPr>
          <w:rFonts w:cs="Times New Roman"/>
          <w:sz w:val="22"/>
          <w:szCs w:val="22"/>
        </w:rPr>
        <w:t xml:space="preserve">lower </w:t>
      </w:r>
      <w:r w:rsidRPr="008C10B7">
        <w:rPr>
          <w:rFonts w:cs="Times New Roman"/>
          <w:sz w:val="22"/>
          <w:szCs w:val="22"/>
        </w:rPr>
        <w:t xml:space="preserve">are </w:t>
      </w:r>
      <w:r w:rsidR="00037AA4" w:rsidRPr="008C10B7">
        <w:rPr>
          <w:rFonts w:cs="Times New Roman"/>
          <w:sz w:val="22"/>
          <w:szCs w:val="22"/>
        </w:rPr>
        <w:t xml:space="preserve">more </w:t>
      </w:r>
      <w:r w:rsidRPr="008C10B7">
        <w:rPr>
          <w:rFonts w:cs="Times New Roman"/>
          <w:sz w:val="22"/>
          <w:szCs w:val="22"/>
        </w:rPr>
        <w:t xml:space="preserve">likely to </w:t>
      </w:r>
      <w:r w:rsidR="000A00AA" w:rsidRPr="008C10B7">
        <w:rPr>
          <w:rFonts w:cs="Times New Roman"/>
          <w:sz w:val="22"/>
          <w:szCs w:val="22"/>
        </w:rPr>
        <w:t>be</w:t>
      </w:r>
      <w:r w:rsidRPr="008C10B7">
        <w:rPr>
          <w:rFonts w:cs="Times New Roman"/>
          <w:sz w:val="22"/>
          <w:szCs w:val="22"/>
        </w:rPr>
        <w:t xml:space="preserve"> willing</w:t>
      </w:r>
      <w:r w:rsidR="000A00AA" w:rsidRPr="008C10B7">
        <w:rPr>
          <w:rFonts w:cs="Times New Roman"/>
          <w:sz w:val="22"/>
          <w:szCs w:val="22"/>
        </w:rPr>
        <w:t xml:space="preserve"> to use</w:t>
      </w:r>
      <w:r w:rsidRPr="008C10B7">
        <w:rPr>
          <w:rFonts w:cs="Times New Roman"/>
          <w:sz w:val="22"/>
          <w:szCs w:val="22"/>
        </w:rPr>
        <w:t xml:space="preserve"> </w:t>
      </w:r>
      <w:r w:rsidR="0030654E" w:rsidRPr="008C10B7">
        <w:rPr>
          <w:rFonts w:cs="Times New Roman"/>
          <w:sz w:val="22"/>
          <w:szCs w:val="22"/>
        </w:rPr>
        <w:t>AT</w:t>
      </w:r>
      <w:r w:rsidRPr="008C10B7">
        <w:rPr>
          <w:rFonts w:cs="Times New Roman"/>
          <w:sz w:val="22"/>
          <w:szCs w:val="22"/>
        </w:rPr>
        <w:t xml:space="preserve"> compared to those with a </w:t>
      </w:r>
      <w:r w:rsidR="000A00AA" w:rsidRPr="008C10B7">
        <w:rPr>
          <w:rFonts w:cs="Times New Roman"/>
          <w:sz w:val="22"/>
          <w:szCs w:val="22"/>
        </w:rPr>
        <w:t>master</w:t>
      </w:r>
      <w:r w:rsidR="000471C9" w:rsidRPr="008C10B7">
        <w:rPr>
          <w:rFonts w:cs="Times New Roman"/>
          <w:sz w:val="22"/>
          <w:szCs w:val="22"/>
        </w:rPr>
        <w:t>’</w:t>
      </w:r>
      <w:r w:rsidRPr="008C10B7">
        <w:rPr>
          <w:rFonts w:cs="Times New Roman"/>
          <w:sz w:val="22"/>
          <w:szCs w:val="22"/>
        </w:rPr>
        <w:t>s degree or higher (OR = 0.628, 95% CI: 0.400</w:t>
      </w:r>
      <w:r w:rsidR="00E42EFC" w:rsidRPr="008C10B7">
        <w:rPr>
          <w:rFonts w:cs="Times New Roman"/>
          <w:sz w:val="22"/>
          <w:szCs w:val="22"/>
        </w:rPr>
        <w:t>–</w:t>
      </w:r>
      <w:r w:rsidRPr="008C10B7">
        <w:rPr>
          <w:rFonts w:cs="Times New Roman"/>
          <w:sz w:val="22"/>
          <w:szCs w:val="22"/>
        </w:rPr>
        <w:t>0.985). Other individual-level socio-demographic variables such as age, gender</w:t>
      </w:r>
      <w:r w:rsidR="00940EA8" w:rsidRPr="008C10B7">
        <w:rPr>
          <w:rFonts w:cs="Times New Roman"/>
          <w:sz w:val="22"/>
          <w:szCs w:val="22"/>
        </w:rPr>
        <w:t>,</w:t>
      </w:r>
      <w:r w:rsidRPr="008C10B7">
        <w:rPr>
          <w:rFonts w:cs="Times New Roman"/>
          <w:sz w:val="22"/>
          <w:szCs w:val="22"/>
        </w:rPr>
        <w:t xml:space="preserve"> and monthly income had no </w:t>
      </w:r>
      <w:r w:rsidR="00F4586F" w:rsidRPr="008C10B7">
        <w:rPr>
          <w:rFonts w:cs="Times New Roman"/>
          <w:sz w:val="22"/>
          <w:szCs w:val="22"/>
        </w:rPr>
        <w:t xml:space="preserve">statistically </w:t>
      </w:r>
      <w:r w:rsidRPr="008C10B7">
        <w:rPr>
          <w:rFonts w:cs="Times New Roman"/>
          <w:sz w:val="22"/>
          <w:szCs w:val="22"/>
        </w:rPr>
        <w:t xml:space="preserve">significant effect on </w:t>
      </w:r>
      <w:r w:rsidR="0030654E" w:rsidRPr="008C10B7">
        <w:rPr>
          <w:rFonts w:cs="Times New Roman"/>
          <w:sz w:val="22"/>
          <w:szCs w:val="22"/>
        </w:rPr>
        <w:t>AT</w:t>
      </w:r>
      <w:r w:rsidRPr="008C10B7">
        <w:rPr>
          <w:rFonts w:cs="Times New Roman"/>
          <w:sz w:val="22"/>
          <w:szCs w:val="22"/>
        </w:rPr>
        <w:t xml:space="preserve"> behaviours.</w:t>
      </w:r>
    </w:p>
    <w:p w14:paraId="1C4C5183" w14:textId="7738D5F8" w:rsidR="000471C9" w:rsidRPr="008C10B7" w:rsidRDefault="000A00AA" w:rsidP="00E7001C">
      <w:pPr>
        <w:spacing w:line="360" w:lineRule="auto"/>
        <w:ind w:firstLine="420"/>
        <w:jc w:val="both"/>
        <w:rPr>
          <w:rFonts w:cs="Times New Roman"/>
          <w:sz w:val="22"/>
          <w:szCs w:val="22"/>
        </w:rPr>
      </w:pPr>
      <w:r w:rsidRPr="008C10B7">
        <w:rPr>
          <w:rFonts w:cs="Times New Roman"/>
          <w:sz w:val="22"/>
          <w:szCs w:val="22"/>
        </w:rPr>
        <w:t xml:space="preserve">In </w:t>
      </w:r>
      <w:r w:rsidR="00711121" w:rsidRPr="008C10B7">
        <w:rPr>
          <w:rFonts w:cs="Times New Roman"/>
          <w:sz w:val="22"/>
          <w:szCs w:val="22"/>
        </w:rPr>
        <w:t>Model 2</w:t>
      </w:r>
      <w:r w:rsidRPr="008C10B7">
        <w:rPr>
          <w:rFonts w:cs="Times New Roman"/>
          <w:sz w:val="22"/>
          <w:szCs w:val="22"/>
        </w:rPr>
        <w:t>,</w:t>
      </w:r>
      <w:r w:rsidR="00711121" w:rsidRPr="008C10B7">
        <w:rPr>
          <w:rFonts w:cs="Times New Roman"/>
          <w:sz w:val="22"/>
          <w:szCs w:val="22"/>
        </w:rPr>
        <w:t xml:space="preserve"> transport tool ownership </w:t>
      </w:r>
      <w:r w:rsidRPr="008C10B7">
        <w:rPr>
          <w:rFonts w:cs="Times New Roman"/>
          <w:sz w:val="22"/>
          <w:szCs w:val="22"/>
        </w:rPr>
        <w:t xml:space="preserve">was added </w:t>
      </w:r>
      <w:r w:rsidR="00711121" w:rsidRPr="008C10B7">
        <w:rPr>
          <w:rFonts w:cs="Times New Roman"/>
          <w:sz w:val="22"/>
          <w:szCs w:val="22"/>
        </w:rPr>
        <w:t xml:space="preserve">to Model 1. </w:t>
      </w:r>
      <w:r w:rsidRPr="008C10B7">
        <w:rPr>
          <w:rFonts w:cs="Times New Roman"/>
          <w:sz w:val="22"/>
          <w:szCs w:val="22"/>
        </w:rPr>
        <w:t xml:space="preserve">Meanwhile, </w:t>
      </w:r>
      <w:r w:rsidR="00711121" w:rsidRPr="008C10B7">
        <w:rPr>
          <w:rFonts w:cs="Times New Roman"/>
          <w:sz w:val="22"/>
          <w:szCs w:val="22"/>
        </w:rPr>
        <w:t>Model 3 add</w:t>
      </w:r>
      <w:r w:rsidRPr="008C10B7">
        <w:rPr>
          <w:rFonts w:cs="Times New Roman"/>
          <w:sz w:val="22"/>
          <w:szCs w:val="22"/>
        </w:rPr>
        <w:t>ed</w:t>
      </w:r>
      <w:r w:rsidR="00711121" w:rsidRPr="008C10B7">
        <w:rPr>
          <w:rFonts w:cs="Times New Roman"/>
          <w:sz w:val="22"/>
          <w:szCs w:val="22"/>
        </w:rPr>
        <w:t xml:space="preserve"> travel satisfaction variables to Model 2, </w:t>
      </w:r>
      <w:r w:rsidRPr="008C10B7">
        <w:rPr>
          <w:rFonts w:cs="Times New Roman"/>
          <w:sz w:val="22"/>
          <w:szCs w:val="22"/>
        </w:rPr>
        <w:t xml:space="preserve">namely </w:t>
      </w:r>
      <w:r w:rsidR="00711121" w:rsidRPr="008C10B7">
        <w:rPr>
          <w:rFonts w:cs="Times New Roman"/>
          <w:sz w:val="22"/>
          <w:szCs w:val="22"/>
        </w:rPr>
        <w:t>walking satisfaction, cycling satisfaction, bus travel satisfaction, metro travel satisfaction</w:t>
      </w:r>
      <w:r w:rsidR="000471C9" w:rsidRPr="008C10B7">
        <w:rPr>
          <w:rFonts w:cs="Times New Roman"/>
          <w:sz w:val="22"/>
          <w:szCs w:val="22"/>
        </w:rPr>
        <w:t>,</w:t>
      </w:r>
      <w:r w:rsidR="00711121" w:rsidRPr="008C10B7">
        <w:rPr>
          <w:rFonts w:cs="Times New Roman"/>
          <w:sz w:val="22"/>
          <w:szCs w:val="22"/>
        </w:rPr>
        <w:t xml:space="preserve"> and </w:t>
      </w:r>
      <w:r w:rsidRPr="008C10B7">
        <w:rPr>
          <w:rFonts w:cs="Times New Roman"/>
          <w:sz w:val="22"/>
          <w:szCs w:val="22"/>
        </w:rPr>
        <w:t xml:space="preserve">satisfaction with </w:t>
      </w:r>
      <w:r w:rsidR="00711121" w:rsidRPr="008C10B7">
        <w:rPr>
          <w:rFonts w:cs="Times New Roman"/>
          <w:sz w:val="22"/>
          <w:szCs w:val="22"/>
        </w:rPr>
        <w:t>private car travel. Street greenery was positively associated with the likelihood of respondents</w:t>
      </w:r>
      <w:r w:rsidRPr="008C10B7">
        <w:rPr>
          <w:rFonts w:cs="Times New Roman"/>
          <w:sz w:val="22"/>
          <w:szCs w:val="22"/>
        </w:rPr>
        <w:t xml:space="preserve"> being</w:t>
      </w:r>
      <w:r w:rsidR="00711121" w:rsidRPr="008C10B7">
        <w:rPr>
          <w:rFonts w:cs="Times New Roman"/>
          <w:sz w:val="22"/>
          <w:szCs w:val="22"/>
        </w:rPr>
        <w:t xml:space="preserve"> willing to </w:t>
      </w:r>
      <w:r w:rsidR="000471C9" w:rsidRPr="008C10B7">
        <w:rPr>
          <w:rFonts w:cs="Times New Roman"/>
          <w:sz w:val="22"/>
          <w:szCs w:val="22"/>
        </w:rPr>
        <w:t xml:space="preserve">participate in </w:t>
      </w:r>
      <w:r w:rsidR="0030654E" w:rsidRPr="008C10B7">
        <w:rPr>
          <w:rFonts w:cs="Times New Roman"/>
          <w:sz w:val="22"/>
          <w:szCs w:val="22"/>
        </w:rPr>
        <w:t>AT</w:t>
      </w:r>
      <w:r w:rsidR="00711121" w:rsidRPr="008C10B7">
        <w:rPr>
          <w:rFonts w:cs="Times New Roman"/>
          <w:sz w:val="22"/>
          <w:szCs w:val="22"/>
        </w:rPr>
        <w:t xml:space="preserve"> </w:t>
      </w:r>
      <w:r w:rsidRPr="008C10B7">
        <w:rPr>
          <w:rFonts w:cs="Times New Roman"/>
          <w:sz w:val="22"/>
          <w:szCs w:val="22"/>
        </w:rPr>
        <w:t xml:space="preserve">according to </w:t>
      </w:r>
      <w:r w:rsidR="00711121" w:rsidRPr="008C10B7">
        <w:rPr>
          <w:rFonts w:cs="Times New Roman"/>
          <w:sz w:val="22"/>
          <w:szCs w:val="22"/>
        </w:rPr>
        <w:t xml:space="preserve">both Model 2 and Model 3. </w:t>
      </w:r>
      <w:bookmarkStart w:id="57" w:name="_Hlk100765876"/>
      <w:r w:rsidR="00711121" w:rsidRPr="008C10B7">
        <w:rPr>
          <w:rFonts w:cs="Times New Roman"/>
          <w:sz w:val="22"/>
          <w:szCs w:val="22"/>
        </w:rPr>
        <w:t xml:space="preserve">Participants </w:t>
      </w:r>
      <w:r w:rsidRPr="008C10B7">
        <w:rPr>
          <w:rFonts w:cs="Times New Roman"/>
          <w:sz w:val="22"/>
          <w:szCs w:val="22"/>
        </w:rPr>
        <w:t>who</w:t>
      </w:r>
      <w:r w:rsidR="00A41A65" w:rsidRPr="008C10B7">
        <w:rPr>
          <w:rFonts w:cs="Times New Roman"/>
          <w:sz w:val="22"/>
          <w:szCs w:val="22"/>
        </w:rPr>
        <w:t xml:space="preserve"> were</w:t>
      </w:r>
      <w:r w:rsidRPr="008C10B7">
        <w:rPr>
          <w:rFonts w:cs="Times New Roman"/>
          <w:sz w:val="22"/>
          <w:szCs w:val="22"/>
        </w:rPr>
        <w:t xml:space="preserve"> </w:t>
      </w:r>
      <w:r w:rsidR="00711121" w:rsidRPr="008C10B7">
        <w:rPr>
          <w:rFonts w:cs="Times New Roman"/>
          <w:sz w:val="22"/>
          <w:szCs w:val="22"/>
        </w:rPr>
        <w:t xml:space="preserve">exposed to moderate street greening </w:t>
      </w:r>
      <w:r w:rsidR="00E66329" w:rsidRPr="008C10B7">
        <w:rPr>
          <w:rFonts w:cs="Times New Roman"/>
          <w:sz w:val="22"/>
          <w:szCs w:val="22"/>
        </w:rPr>
        <w:t>were four times more likely to be involved in AT than those exposed to a small amount of street greenery</w:t>
      </w:r>
      <w:r w:rsidR="00711121" w:rsidRPr="008C10B7">
        <w:rPr>
          <w:rFonts w:cs="Times New Roman"/>
          <w:sz w:val="22"/>
          <w:szCs w:val="22"/>
        </w:rPr>
        <w:t xml:space="preserve"> (Model 2: OR = 4.093, 95% CI: 1.213</w:t>
      </w:r>
      <w:r w:rsidR="00E42EFC" w:rsidRPr="008C10B7">
        <w:rPr>
          <w:rFonts w:cs="Times New Roman"/>
          <w:sz w:val="22"/>
          <w:szCs w:val="22"/>
        </w:rPr>
        <w:t>–</w:t>
      </w:r>
      <w:r w:rsidR="00711121" w:rsidRPr="008C10B7">
        <w:rPr>
          <w:rFonts w:cs="Times New Roman"/>
          <w:sz w:val="22"/>
          <w:szCs w:val="22"/>
        </w:rPr>
        <w:t>13.794; Model 3: OR = 3.674, 95% CI: 1.162</w:t>
      </w:r>
      <w:r w:rsidR="00E42EFC" w:rsidRPr="008C10B7">
        <w:rPr>
          <w:rFonts w:cs="Times New Roman"/>
          <w:sz w:val="22"/>
          <w:szCs w:val="22"/>
        </w:rPr>
        <w:t>–</w:t>
      </w:r>
      <w:r w:rsidR="00711121" w:rsidRPr="008C10B7">
        <w:rPr>
          <w:rFonts w:cs="Times New Roman"/>
          <w:sz w:val="22"/>
          <w:szCs w:val="22"/>
        </w:rPr>
        <w:t>11.616).</w:t>
      </w:r>
      <w:bookmarkEnd w:id="57"/>
      <w:r w:rsidR="00711121" w:rsidRPr="008C10B7">
        <w:rPr>
          <w:rFonts w:cs="Times New Roman"/>
          <w:sz w:val="22"/>
          <w:szCs w:val="22"/>
        </w:rPr>
        <w:t xml:space="preserve"> Similarly, respondents with high exposure to street greening were also more likely to have a </w:t>
      </w:r>
      <w:r w:rsidRPr="008C10B7">
        <w:rPr>
          <w:rFonts w:cs="Times New Roman"/>
          <w:sz w:val="22"/>
          <w:szCs w:val="22"/>
        </w:rPr>
        <w:t xml:space="preserve">stronger </w:t>
      </w:r>
      <w:r w:rsidR="00711121" w:rsidRPr="008C10B7">
        <w:rPr>
          <w:rFonts w:cs="Times New Roman"/>
          <w:sz w:val="22"/>
          <w:szCs w:val="22"/>
        </w:rPr>
        <w:t xml:space="preserve">intention </w:t>
      </w:r>
      <w:r w:rsidR="000471C9" w:rsidRPr="008C10B7">
        <w:rPr>
          <w:rFonts w:cs="Times New Roman"/>
          <w:sz w:val="22"/>
          <w:szCs w:val="22"/>
        </w:rPr>
        <w:t xml:space="preserve">to participate in </w:t>
      </w:r>
      <w:r w:rsidR="0030654E" w:rsidRPr="008C10B7">
        <w:rPr>
          <w:rFonts w:cs="Times New Roman"/>
          <w:sz w:val="22"/>
          <w:szCs w:val="22"/>
        </w:rPr>
        <w:t>AT</w:t>
      </w:r>
      <w:r w:rsidR="00711121" w:rsidRPr="008C10B7">
        <w:rPr>
          <w:rFonts w:cs="Times New Roman"/>
          <w:sz w:val="22"/>
          <w:szCs w:val="22"/>
        </w:rPr>
        <w:t xml:space="preserve"> than those with </w:t>
      </w:r>
      <w:r w:rsidR="00711121" w:rsidRPr="008C10B7">
        <w:rPr>
          <w:rFonts w:cs="Times New Roman"/>
          <w:sz w:val="22"/>
          <w:szCs w:val="22"/>
        </w:rPr>
        <w:lastRenderedPageBreak/>
        <w:t>low exposure to street greening (Model 2: OR = 5.047, 95% CI: 1.803</w:t>
      </w:r>
      <w:r w:rsidR="00E42EFC" w:rsidRPr="008C10B7">
        <w:rPr>
          <w:rFonts w:cs="Times New Roman"/>
          <w:sz w:val="22"/>
          <w:szCs w:val="22"/>
        </w:rPr>
        <w:t>–</w:t>
      </w:r>
      <w:r w:rsidR="00711121" w:rsidRPr="008C10B7">
        <w:rPr>
          <w:rFonts w:cs="Times New Roman"/>
          <w:sz w:val="22"/>
          <w:szCs w:val="22"/>
        </w:rPr>
        <w:t>14.126; Model 3: OR = 3.863, 95% CI: 1.443</w:t>
      </w:r>
      <w:r w:rsidR="00E42EFC" w:rsidRPr="008C10B7">
        <w:rPr>
          <w:rFonts w:cs="Times New Roman"/>
          <w:sz w:val="22"/>
          <w:szCs w:val="22"/>
        </w:rPr>
        <w:t>–</w:t>
      </w:r>
      <w:r w:rsidR="00711121" w:rsidRPr="008C10B7">
        <w:rPr>
          <w:rFonts w:cs="Times New Roman"/>
          <w:sz w:val="22"/>
          <w:szCs w:val="22"/>
        </w:rPr>
        <w:t xml:space="preserve">10.340). </w:t>
      </w:r>
    </w:p>
    <w:p w14:paraId="3357BAC3" w14:textId="1D3802BA" w:rsidR="004D3D6C" w:rsidRPr="008C10B7" w:rsidRDefault="00711121" w:rsidP="00E7001C">
      <w:pPr>
        <w:spacing w:line="360" w:lineRule="auto"/>
        <w:ind w:firstLine="420"/>
        <w:jc w:val="both"/>
        <w:rPr>
          <w:rFonts w:cs="Times New Roman"/>
          <w:sz w:val="22"/>
          <w:szCs w:val="22"/>
        </w:rPr>
      </w:pPr>
      <w:bookmarkStart w:id="58" w:name="_Hlk100766217"/>
      <w:r w:rsidRPr="008C10B7">
        <w:rPr>
          <w:rFonts w:cs="Times New Roman"/>
          <w:sz w:val="22"/>
          <w:szCs w:val="22"/>
        </w:rPr>
        <w:t xml:space="preserve">In terms of </w:t>
      </w:r>
      <w:r w:rsidR="000A00AA" w:rsidRPr="008C10B7">
        <w:rPr>
          <w:rFonts w:cs="Times New Roman"/>
          <w:sz w:val="22"/>
          <w:szCs w:val="22"/>
        </w:rPr>
        <w:t xml:space="preserve">how </w:t>
      </w:r>
      <w:r w:rsidR="00A41A65" w:rsidRPr="008C10B7">
        <w:rPr>
          <w:rFonts w:cs="Times New Roman"/>
          <w:sz w:val="22"/>
          <w:szCs w:val="22"/>
        </w:rPr>
        <w:t xml:space="preserve">ownership of a </w:t>
      </w:r>
      <w:r w:rsidRPr="008C10B7">
        <w:rPr>
          <w:rFonts w:cs="Times New Roman"/>
          <w:sz w:val="22"/>
          <w:szCs w:val="22"/>
        </w:rPr>
        <w:t xml:space="preserve">mode of transport may affect </w:t>
      </w:r>
      <w:r w:rsidR="0030654E" w:rsidRPr="008C10B7">
        <w:rPr>
          <w:rFonts w:cs="Times New Roman"/>
          <w:sz w:val="22"/>
          <w:szCs w:val="22"/>
        </w:rPr>
        <w:t>AT</w:t>
      </w:r>
      <w:r w:rsidRPr="008C10B7">
        <w:rPr>
          <w:rFonts w:cs="Times New Roman"/>
          <w:sz w:val="22"/>
          <w:szCs w:val="22"/>
        </w:rPr>
        <w:t xml:space="preserve"> behaviours, </w:t>
      </w:r>
      <w:r w:rsidR="00E83917" w:rsidRPr="008C10B7">
        <w:rPr>
          <w:rFonts w:cs="Times New Roman"/>
          <w:sz w:val="22"/>
          <w:szCs w:val="22"/>
        </w:rPr>
        <w:t>r</w:t>
      </w:r>
      <w:r w:rsidR="00E66329" w:rsidRPr="008C10B7">
        <w:rPr>
          <w:rFonts w:cs="Times New Roman"/>
          <w:sz w:val="22"/>
          <w:szCs w:val="22"/>
        </w:rPr>
        <w:t xml:space="preserve">espondents who owned a bicycle were twice </w:t>
      </w:r>
      <w:r w:rsidR="00A41A65" w:rsidRPr="008C10B7">
        <w:rPr>
          <w:rFonts w:cs="Times New Roman"/>
          <w:sz w:val="22"/>
          <w:szCs w:val="22"/>
        </w:rPr>
        <w:t xml:space="preserve">as </w:t>
      </w:r>
      <w:r w:rsidR="00E66329" w:rsidRPr="008C10B7">
        <w:rPr>
          <w:rFonts w:cs="Times New Roman"/>
          <w:sz w:val="22"/>
          <w:szCs w:val="22"/>
        </w:rPr>
        <w:t xml:space="preserve">likely to have </w:t>
      </w:r>
      <w:r w:rsidR="00A41A65" w:rsidRPr="008C10B7">
        <w:rPr>
          <w:rFonts w:cs="Times New Roman"/>
          <w:sz w:val="22"/>
          <w:szCs w:val="22"/>
        </w:rPr>
        <w:t>the</w:t>
      </w:r>
      <w:r w:rsidR="00E66329" w:rsidRPr="008C10B7">
        <w:rPr>
          <w:rFonts w:cs="Times New Roman"/>
          <w:sz w:val="22"/>
          <w:szCs w:val="22"/>
        </w:rPr>
        <w:t xml:space="preserve"> intention to travel actively than those who did not, holding all the other variables constant</w:t>
      </w:r>
      <w:r w:rsidRPr="008C10B7">
        <w:rPr>
          <w:rFonts w:cs="Times New Roman"/>
          <w:sz w:val="22"/>
          <w:szCs w:val="22"/>
        </w:rPr>
        <w:t xml:space="preserve"> (Model 2: OR = 2.030, 95% CI: 1.422</w:t>
      </w:r>
      <w:r w:rsidR="00E42EFC" w:rsidRPr="008C10B7">
        <w:rPr>
          <w:rFonts w:cs="Times New Roman"/>
          <w:sz w:val="22"/>
          <w:szCs w:val="22"/>
        </w:rPr>
        <w:t>–</w:t>
      </w:r>
      <w:r w:rsidRPr="008C10B7">
        <w:rPr>
          <w:rFonts w:cs="Times New Roman"/>
          <w:sz w:val="22"/>
          <w:szCs w:val="22"/>
        </w:rPr>
        <w:t>2.890; Model 3: OR = 2.053, 95% CI: 1.392</w:t>
      </w:r>
      <w:r w:rsidR="00E42EFC" w:rsidRPr="008C10B7">
        <w:rPr>
          <w:rFonts w:cs="Times New Roman"/>
          <w:sz w:val="22"/>
          <w:szCs w:val="22"/>
        </w:rPr>
        <w:t>–</w:t>
      </w:r>
      <w:r w:rsidRPr="008C10B7">
        <w:rPr>
          <w:rFonts w:cs="Times New Roman"/>
          <w:sz w:val="22"/>
          <w:szCs w:val="22"/>
        </w:rPr>
        <w:t>3.028)</w:t>
      </w:r>
      <w:r w:rsidR="00F4586F" w:rsidRPr="008C10B7">
        <w:rPr>
          <w:rFonts w:cs="Times New Roman"/>
          <w:sz w:val="22"/>
          <w:szCs w:val="22"/>
        </w:rPr>
        <w:t>;</w:t>
      </w:r>
      <w:bookmarkEnd w:id="58"/>
      <w:r w:rsidR="00F4586F" w:rsidRPr="008C10B7">
        <w:rPr>
          <w:rFonts w:cs="Times New Roman"/>
          <w:sz w:val="22"/>
          <w:szCs w:val="22"/>
        </w:rPr>
        <w:t xml:space="preserve"> however,</w:t>
      </w:r>
      <w:r w:rsidRPr="008C10B7">
        <w:rPr>
          <w:rFonts w:cs="Times New Roman"/>
          <w:sz w:val="22"/>
          <w:szCs w:val="22"/>
        </w:rPr>
        <w:t xml:space="preserve"> participants who owned an e-bike were less likely to </w:t>
      </w:r>
      <w:r w:rsidR="0090786D" w:rsidRPr="008C10B7">
        <w:rPr>
          <w:rFonts w:cs="Times New Roman"/>
          <w:sz w:val="22"/>
          <w:szCs w:val="22"/>
        </w:rPr>
        <w:t xml:space="preserve">participate in </w:t>
      </w:r>
      <w:r w:rsidR="0030654E" w:rsidRPr="008C10B7">
        <w:rPr>
          <w:rFonts w:cs="Times New Roman"/>
          <w:sz w:val="22"/>
          <w:szCs w:val="22"/>
        </w:rPr>
        <w:t>AT</w:t>
      </w:r>
      <w:r w:rsidRPr="008C10B7">
        <w:rPr>
          <w:rFonts w:cs="Times New Roman"/>
          <w:sz w:val="22"/>
          <w:szCs w:val="22"/>
        </w:rPr>
        <w:t xml:space="preserve"> than respondents who did not own an e-bike (Model 2: OR = 0.590, 95% CI: 0.397</w:t>
      </w:r>
      <w:r w:rsidR="00E42EFC" w:rsidRPr="008C10B7">
        <w:rPr>
          <w:rFonts w:cs="Times New Roman"/>
          <w:sz w:val="22"/>
          <w:szCs w:val="22"/>
        </w:rPr>
        <w:t>–</w:t>
      </w:r>
      <w:r w:rsidRPr="008C10B7">
        <w:rPr>
          <w:rFonts w:cs="Times New Roman"/>
          <w:sz w:val="22"/>
          <w:szCs w:val="22"/>
        </w:rPr>
        <w:t>0.876; Model 3: OR = 0.632, 95% CI: 0.413</w:t>
      </w:r>
      <w:r w:rsidR="00E42EFC" w:rsidRPr="008C10B7">
        <w:rPr>
          <w:rFonts w:cs="Times New Roman"/>
          <w:sz w:val="22"/>
          <w:szCs w:val="22"/>
        </w:rPr>
        <w:t>–</w:t>
      </w:r>
      <w:r w:rsidRPr="008C10B7">
        <w:rPr>
          <w:rFonts w:cs="Times New Roman"/>
          <w:sz w:val="22"/>
          <w:szCs w:val="22"/>
        </w:rPr>
        <w:t xml:space="preserve">0.968). </w:t>
      </w:r>
      <w:r w:rsidR="000A00AA" w:rsidRPr="008C10B7">
        <w:rPr>
          <w:rFonts w:cs="Times New Roman"/>
          <w:sz w:val="22"/>
          <w:szCs w:val="22"/>
        </w:rPr>
        <w:t>R</w:t>
      </w:r>
      <w:r w:rsidRPr="008C10B7">
        <w:rPr>
          <w:rFonts w:cs="Times New Roman"/>
          <w:sz w:val="22"/>
          <w:szCs w:val="22"/>
        </w:rPr>
        <w:t xml:space="preserve">espondents who owned a private car were not significantly more likely to be active travellers than those who did not own a private car. In terms of travel satisfaction, respondents with a high level of walking satisfaction were more likely to </w:t>
      </w:r>
      <w:r w:rsidR="0090786D" w:rsidRPr="008C10B7">
        <w:rPr>
          <w:rFonts w:cs="Times New Roman"/>
          <w:sz w:val="22"/>
          <w:szCs w:val="22"/>
        </w:rPr>
        <w:t>participate in</w:t>
      </w:r>
      <w:r w:rsidRPr="008C10B7">
        <w:rPr>
          <w:rFonts w:cs="Times New Roman"/>
          <w:sz w:val="22"/>
          <w:szCs w:val="22"/>
        </w:rPr>
        <w:t xml:space="preserve"> </w:t>
      </w:r>
      <w:r w:rsidR="0030654E" w:rsidRPr="008C10B7">
        <w:rPr>
          <w:rFonts w:cs="Times New Roman"/>
          <w:sz w:val="22"/>
          <w:szCs w:val="22"/>
        </w:rPr>
        <w:t>AT</w:t>
      </w:r>
      <w:r w:rsidRPr="008C10B7">
        <w:rPr>
          <w:rFonts w:cs="Times New Roman"/>
          <w:sz w:val="22"/>
          <w:szCs w:val="22"/>
        </w:rPr>
        <w:t xml:space="preserve"> than those with a low level of walking satisfaction (OR = 5.687, 95% CI: 3.152</w:t>
      </w:r>
      <w:r w:rsidR="00E42EFC" w:rsidRPr="008C10B7">
        <w:rPr>
          <w:rFonts w:cs="Times New Roman"/>
          <w:sz w:val="22"/>
          <w:szCs w:val="22"/>
        </w:rPr>
        <w:t>–</w:t>
      </w:r>
      <w:r w:rsidRPr="008C10B7">
        <w:rPr>
          <w:rFonts w:cs="Times New Roman"/>
          <w:sz w:val="22"/>
          <w:szCs w:val="22"/>
        </w:rPr>
        <w:t xml:space="preserve">10.262), and respondents with a moderate level of walking satisfaction were similarly more likely </w:t>
      </w:r>
      <w:r w:rsidR="0090786D" w:rsidRPr="008C10B7">
        <w:rPr>
          <w:rFonts w:cs="Times New Roman"/>
          <w:sz w:val="22"/>
          <w:szCs w:val="22"/>
        </w:rPr>
        <w:t xml:space="preserve">to participate in </w:t>
      </w:r>
      <w:r w:rsidR="0030654E" w:rsidRPr="008C10B7">
        <w:rPr>
          <w:rFonts w:cs="Times New Roman"/>
          <w:sz w:val="22"/>
          <w:szCs w:val="22"/>
        </w:rPr>
        <w:t>AT</w:t>
      </w:r>
      <w:r w:rsidR="0090786D" w:rsidRPr="008C10B7">
        <w:rPr>
          <w:rFonts w:cs="Times New Roman"/>
          <w:sz w:val="22"/>
          <w:szCs w:val="22"/>
        </w:rPr>
        <w:t xml:space="preserve"> </w:t>
      </w:r>
      <w:r w:rsidRPr="008C10B7">
        <w:rPr>
          <w:rFonts w:cs="Times New Roman"/>
          <w:sz w:val="22"/>
          <w:szCs w:val="22"/>
        </w:rPr>
        <w:t xml:space="preserve">than those with a low level of walking satisfaction </w:t>
      </w:r>
      <w:r w:rsidR="00940EA8" w:rsidRPr="008C10B7">
        <w:rPr>
          <w:rFonts w:cs="Times New Roman"/>
          <w:sz w:val="22"/>
          <w:szCs w:val="22"/>
        </w:rPr>
        <w:t>(</w:t>
      </w:r>
      <w:r w:rsidRPr="008C10B7">
        <w:rPr>
          <w:rFonts w:cs="Times New Roman"/>
          <w:sz w:val="22"/>
          <w:szCs w:val="22"/>
        </w:rPr>
        <w:t>OR = 2.349, 95% CI: 1.304</w:t>
      </w:r>
      <w:r w:rsidR="00E42EFC" w:rsidRPr="008C10B7">
        <w:rPr>
          <w:rFonts w:cs="Times New Roman"/>
          <w:sz w:val="22"/>
          <w:szCs w:val="22"/>
        </w:rPr>
        <w:t>–</w:t>
      </w:r>
      <w:r w:rsidRPr="008C10B7">
        <w:rPr>
          <w:rFonts w:cs="Times New Roman"/>
          <w:sz w:val="22"/>
          <w:szCs w:val="22"/>
        </w:rPr>
        <w:t xml:space="preserve">4.232). Satisfaction with other travel modes, </w:t>
      </w:r>
      <w:r w:rsidR="00F4586F" w:rsidRPr="008C10B7">
        <w:rPr>
          <w:rFonts w:cs="Times New Roman"/>
          <w:sz w:val="22"/>
          <w:szCs w:val="22"/>
        </w:rPr>
        <w:t xml:space="preserve">such as </w:t>
      </w:r>
      <w:r w:rsidRPr="008C10B7">
        <w:rPr>
          <w:rFonts w:cs="Times New Roman"/>
          <w:sz w:val="22"/>
          <w:szCs w:val="22"/>
        </w:rPr>
        <w:t>private car, bike</w:t>
      </w:r>
      <w:r w:rsidR="0090786D" w:rsidRPr="008C10B7">
        <w:rPr>
          <w:rFonts w:cs="Times New Roman"/>
          <w:sz w:val="22"/>
          <w:szCs w:val="22"/>
        </w:rPr>
        <w:t>,</w:t>
      </w:r>
      <w:r w:rsidRPr="008C10B7">
        <w:rPr>
          <w:rFonts w:cs="Times New Roman"/>
          <w:sz w:val="22"/>
          <w:szCs w:val="22"/>
        </w:rPr>
        <w:t xml:space="preserve"> and e-bike, did not significantly influence respondents</w:t>
      </w:r>
      <w:r w:rsidR="0090786D" w:rsidRPr="008C10B7">
        <w:rPr>
          <w:rFonts w:cs="Times New Roman"/>
          <w:sz w:val="22"/>
          <w:szCs w:val="22"/>
        </w:rPr>
        <w:t>’</w:t>
      </w:r>
      <w:r w:rsidRPr="008C10B7">
        <w:rPr>
          <w:rFonts w:cs="Times New Roman"/>
          <w:sz w:val="22"/>
          <w:szCs w:val="22"/>
        </w:rPr>
        <w:t xml:space="preserve"> </w:t>
      </w:r>
      <w:r w:rsidR="000A00AA" w:rsidRPr="008C10B7">
        <w:rPr>
          <w:rFonts w:cs="Times New Roman"/>
          <w:sz w:val="22"/>
          <w:szCs w:val="22"/>
        </w:rPr>
        <w:t xml:space="preserve">intentions to participate in </w:t>
      </w:r>
      <w:r w:rsidR="0030654E" w:rsidRPr="008C10B7">
        <w:rPr>
          <w:rFonts w:cs="Times New Roman"/>
          <w:sz w:val="22"/>
          <w:szCs w:val="22"/>
        </w:rPr>
        <w:t>AT</w:t>
      </w:r>
      <w:r w:rsidRPr="008C10B7">
        <w:rPr>
          <w:rFonts w:cs="Times New Roman"/>
          <w:sz w:val="22"/>
          <w:szCs w:val="22"/>
        </w:rPr>
        <w:t>.</w:t>
      </w:r>
    </w:p>
    <w:p w14:paraId="48114E4B" w14:textId="77777777" w:rsidR="00E7001C" w:rsidRPr="008C10B7" w:rsidRDefault="00E7001C">
      <w:pPr>
        <w:pStyle w:val="Caption"/>
        <w:spacing w:line="480" w:lineRule="auto"/>
        <w:jc w:val="both"/>
        <w:rPr>
          <w:rFonts w:ascii="Times New Roman" w:hAnsi="Times New Roman"/>
          <w:b/>
          <w:bCs/>
          <w:sz w:val="22"/>
          <w:szCs w:val="22"/>
        </w:rPr>
      </w:pPr>
      <w:bookmarkStart w:id="59" w:name="_Toc77799872"/>
    </w:p>
    <w:p w14:paraId="46131448" w14:textId="42E9EE9D" w:rsidR="00C234EB" w:rsidRPr="008C10B7" w:rsidRDefault="00021746" w:rsidP="00E7001C">
      <w:pPr>
        <w:pStyle w:val="Caption"/>
        <w:spacing w:line="360" w:lineRule="auto"/>
        <w:jc w:val="both"/>
        <w:rPr>
          <w:rFonts w:ascii="Times New Roman" w:hAnsi="Times New Roman"/>
        </w:rPr>
      </w:pPr>
      <w:r w:rsidRPr="008C10B7">
        <w:rPr>
          <w:rFonts w:ascii="Times New Roman" w:hAnsi="Times New Roman"/>
          <w:b/>
          <w:bCs/>
        </w:rPr>
        <w:t xml:space="preserve">Table </w:t>
      </w:r>
      <w:r w:rsidRPr="008C10B7">
        <w:rPr>
          <w:rFonts w:ascii="Times New Roman" w:hAnsi="Times New Roman"/>
          <w:b/>
          <w:bCs/>
        </w:rPr>
        <w:fldChar w:fldCharType="begin"/>
      </w:r>
      <w:r w:rsidRPr="008C10B7">
        <w:rPr>
          <w:rFonts w:ascii="Times New Roman" w:hAnsi="Times New Roman"/>
          <w:b/>
          <w:bCs/>
        </w:rPr>
        <w:instrText xml:space="preserve"> SEQ Table \* ARABIC </w:instrText>
      </w:r>
      <w:r w:rsidRPr="008C10B7">
        <w:rPr>
          <w:rFonts w:ascii="Times New Roman" w:hAnsi="Times New Roman"/>
          <w:b/>
          <w:bCs/>
        </w:rPr>
        <w:fldChar w:fldCharType="separate"/>
      </w:r>
      <w:r w:rsidR="00AE0FBF">
        <w:rPr>
          <w:rFonts w:ascii="Times New Roman" w:hAnsi="Times New Roman"/>
          <w:b/>
          <w:bCs/>
          <w:noProof/>
        </w:rPr>
        <w:t>2</w:t>
      </w:r>
      <w:r w:rsidRPr="008C10B7">
        <w:rPr>
          <w:rFonts w:ascii="Times New Roman" w:hAnsi="Times New Roman"/>
          <w:b/>
          <w:bCs/>
        </w:rPr>
        <w:fldChar w:fldCharType="end"/>
      </w:r>
      <w:r w:rsidRPr="008C10B7">
        <w:rPr>
          <w:rFonts w:ascii="Times New Roman" w:hAnsi="Times New Roman"/>
        </w:rPr>
        <w:t xml:space="preserve"> </w:t>
      </w:r>
    </w:p>
    <w:p w14:paraId="2A56DAD1" w14:textId="4EA6C6C3" w:rsidR="004D3D6C" w:rsidRPr="008C10B7" w:rsidRDefault="00021746" w:rsidP="00E7001C">
      <w:pPr>
        <w:pStyle w:val="Caption"/>
        <w:spacing w:line="360" w:lineRule="auto"/>
        <w:jc w:val="both"/>
        <w:rPr>
          <w:rFonts w:ascii="Times New Roman" w:hAnsi="Times New Roman" w:cs="Times New Roman"/>
          <w:b/>
          <w:bCs/>
        </w:rPr>
      </w:pPr>
      <w:r w:rsidRPr="008C10B7">
        <w:rPr>
          <w:rFonts w:ascii="Times New Roman" w:hAnsi="Times New Roman"/>
        </w:rPr>
        <w:t>Baseline model predicting active travel tendenc</w:t>
      </w:r>
      <w:r w:rsidR="005664E4" w:rsidRPr="008C10B7">
        <w:rPr>
          <w:rFonts w:ascii="Times New Roman" w:hAnsi="Times New Roman"/>
        </w:rPr>
        <w:t>ies</w:t>
      </w:r>
      <w:bookmarkEnd w:id="59"/>
      <w:r w:rsidR="00C234EB" w:rsidRPr="008C10B7">
        <w:rPr>
          <w:rFonts w:ascii="Times New Roman" w:hAnsi="Times New Roman"/>
        </w:rPr>
        <w:t>.</w:t>
      </w:r>
    </w:p>
    <w:tbl>
      <w:tblPr>
        <w:tblStyle w:val="TableGrid"/>
        <w:tblW w:w="907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4"/>
        <w:gridCol w:w="1701"/>
        <w:gridCol w:w="1701"/>
        <w:gridCol w:w="1843"/>
        <w:gridCol w:w="709"/>
      </w:tblGrid>
      <w:tr w:rsidR="008C10B7" w:rsidRPr="008C10B7" w14:paraId="6BBD9AEA" w14:textId="77777777" w:rsidTr="001E79AC">
        <w:trPr>
          <w:gridAfter w:val="1"/>
          <w:wAfter w:w="709" w:type="dxa"/>
        </w:trPr>
        <w:tc>
          <w:tcPr>
            <w:tcW w:w="3124" w:type="dxa"/>
            <w:tcBorders>
              <w:top w:val="single" w:sz="4" w:space="0" w:color="auto"/>
              <w:bottom w:val="single" w:sz="4" w:space="0" w:color="auto"/>
            </w:tcBorders>
          </w:tcPr>
          <w:p w14:paraId="78619C28" w14:textId="77777777" w:rsidR="002E1DBA" w:rsidRPr="008C10B7" w:rsidRDefault="002E1DBA" w:rsidP="001E79AC">
            <w:pPr>
              <w:spacing w:line="200" w:lineRule="exact"/>
              <w:jc w:val="both"/>
              <w:rPr>
                <w:rFonts w:ascii="Times" w:hAnsi="Times" w:cs="Times New Roman"/>
                <w:sz w:val="18"/>
                <w:szCs w:val="18"/>
              </w:rPr>
            </w:pPr>
            <w:bookmarkStart w:id="60" w:name="_Toc78625155"/>
          </w:p>
        </w:tc>
        <w:tc>
          <w:tcPr>
            <w:tcW w:w="1701" w:type="dxa"/>
            <w:tcBorders>
              <w:top w:val="single" w:sz="4" w:space="0" w:color="auto"/>
              <w:bottom w:val="single" w:sz="4" w:space="0" w:color="auto"/>
            </w:tcBorders>
          </w:tcPr>
          <w:p w14:paraId="53B0A796"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Model 1</w:t>
            </w:r>
          </w:p>
          <w:p w14:paraId="3B1A057A"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OR. (95% CI)</w:t>
            </w:r>
          </w:p>
        </w:tc>
        <w:tc>
          <w:tcPr>
            <w:tcW w:w="1701" w:type="dxa"/>
            <w:tcBorders>
              <w:top w:val="single" w:sz="4" w:space="0" w:color="auto"/>
              <w:bottom w:val="single" w:sz="4" w:space="0" w:color="auto"/>
            </w:tcBorders>
          </w:tcPr>
          <w:p w14:paraId="7050E6F2"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Model 2</w:t>
            </w:r>
          </w:p>
          <w:p w14:paraId="6AB8B2A5"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OR. (95% CI)</w:t>
            </w:r>
          </w:p>
        </w:tc>
        <w:tc>
          <w:tcPr>
            <w:tcW w:w="1843" w:type="dxa"/>
            <w:tcBorders>
              <w:top w:val="single" w:sz="4" w:space="0" w:color="auto"/>
              <w:bottom w:val="single" w:sz="4" w:space="0" w:color="auto"/>
            </w:tcBorders>
          </w:tcPr>
          <w:p w14:paraId="4AAA50F6"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Model 3</w:t>
            </w:r>
          </w:p>
          <w:p w14:paraId="02F0D23A"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OR. (95% CI)</w:t>
            </w:r>
          </w:p>
        </w:tc>
      </w:tr>
      <w:tr w:rsidR="008C10B7" w:rsidRPr="008C10B7" w14:paraId="76756193" w14:textId="77777777" w:rsidTr="001E79AC">
        <w:trPr>
          <w:gridAfter w:val="1"/>
          <w:wAfter w:w="709" w:type="dxa"/>
        </w:trPr>
        <w:tc>
          <w:tcPr>
            <w:tcW w:w="3124" w:type="dxa"/>
          </w:tcPr>
          <w:p w14:paraId="63ECE46A" w14:textId="77777777" w:rsidR="002E1DBA" w:rsidRPr="008C10B7" w:rsidRDefault="002E1DBA" w:rsidP="001E79AC">
            <w:pPr>
              <w:spacing w:line="200" w:lineRule="exact"/>
              <w:jc w:val="both"/>
              <w:rPr>
                <w:rFonts w:ascii="Times" w:hAnsi="Times" w:cs="Times New Roman"/>
                <w:b/>
                <w:bCs/>
                <w:sz w:val="18"/>
                <w:szCs w:val="18"/>
              </w:rPr>
            </w:pPr>
            <w:r w:rsidRPr="008C10B7">
              <w:rPr>
                <w:rFonts w:ascii="Times" w:hAnsi="Times" w:cs="Times New Roman"/>
                <w:b/>
                <w:bCs/>
                <w:sz w:val="18"/>
                <w:szCs w:val="18"/>
              </w:rPr>
              <w:t>Fixed part</w:t>
            </w:r>
          </w:p>
        </w:tc>
        <w:tc>
          <w:tcPr>
            <w:tcW w:w="1701" w:type="dxa"/>
          </w:tcPr>
          <w:p w14:paraId="1203AC86" w14:textId="77777777" w:rsidR="002E1DBA" w:rsidRPr="008C10B7" w:rsidRDefault="002E1DBA" w:rsidP="001E79AC">
            <w:pPr>
              <w:spacing w:line="200" w:lineRule="exact"/>
              <w:jc w:val="both"/>
              <w:rPr>
                <w:rFonts w:ascii="Times" w:hAnsi="Times" w:cs="Times New Roman"/>
                <w:sz w:val="18"/>
                <w:szCs w:val="18"/>
              </w:rPr>
            </w:pPr>
          </w:p>
        </w:tc>
        <w:tc>
          <w:tcPr>
            <w:tcW w:w="1701" w:type="dxa"/>
          </w:tcPr>
          <w:p w14:paraId="31FE4761" w14:textId="77777777" w:rsidR="002E1DBA" w:rsidRPr="008C10B7" w:rsidRDefault="002E1DBA" w:rsidP="001E79AC">
            <w:pPr>
              <w:spacing w:line="200" w:lineRule="exact"/>
              <w:jc w:val="both"/>
              <w:rPr>
                <w:rFonts w:ascii="Times" w:hAnsi="Times" w:cs="Times New Roman"/>
                <w:sz w:val="18"/>
                <w:szCs w:val="18"/>
              </w:rPr>
            </w:pPr>
          </w:p>
        </w:tc>
        <w:tc>
          <w:tcPr>
            <w:tcW w:w="1843" w:type="dxa"/>
          </w:tcPr>
          <w:p w14:paraId="03051EA5" w14:textId="77777777" w:rsidR="002E1DBA" w:rsidRPr="008C10B7" w:rsidRDefault="002E1DBA" w:rsidP="001E79AC">
            <w:pPr>
              <w:spacing w:line="200" w:lineRule="exact"/>
              <w:jc w:val="both"/>
              <w:rPr>
                <w:rFonts w:ascii="Times" w:hAnsi="Times" w:cs="Times New Roman"/>
                <w:sz w:val="18"/>
                <w:szCs w:val="18"/>
              </w:rPr>
            </w:pPr>
          </w:p>
        </w:tc>
      </w:tr>
      <w:tr w:rsidR="008C10B7" w:rsidRPr="008C10B7" w14:paraId="76FA56A0" w14:textId="77777777" w:rsidTr="001E79AC">
        <w:tc>
          <w:tcPr>
            <w:tcW w:w="3124" w:type="dxa"/>
          </w:tcPr>
          <w:p w14:paraId="102D491B" w14:textId="77777777" w:rsidR="002E1DBA" w:rsidRPr="008C10B7" w:rsidRDefault="002E1DBA" w:rsidP="001E79AC">
            <w:pPr>
              <w:spacing w:line="200" w:lineRule="exact"/>
              <w:jc w:val="both"/>
              <w:rPr>
                <w:rFonts w:ascii="Times" w:hAnsi="Times" w:cs="Times New Roman"/>
                <w:b/>
                <w:bCs/>
                <w:sz w:val="18"/>
                <w:szCs w:val="18"/>
              </w:rPr>
            </w:pPr>
            <w:r w:rsidRPr="008C10B7">
              <w:rPr>
                <w:rFonts w:ascii="Times" w:hAnsi="Times" w:cs="Times New Roman"/>
                <w:b/>
                <w:bCs/>
                <w:sz w:val="18"/>
                <w:szCs w:val="18"/>
              </w:rPr>
              <w:t>Independent variables</w:t>
            </w:r>
          </w:p>
        </w:tc>
        <w:tc>
          <w:tcPr>
            <w:tcW w:w="1701" w:type="dxa"/>
          </w:tcPr>
          <w:p w14:paraId="345A4F3A" w14:textId="77777777" w:rsidR="002E1DBA" w:rsidRPr="008C10B7" w:rsidRDefault="002E1DBA" w:rsidP="001E79AC">
            <w:pPr>
              <w:spacing w:line="200" w:lineRule="exact"/>
              <w:jc w:val="both"/>
              <w:rPr>
                <w:rFonts w:ascii="Times" w:hAnsi="Times" w:cs="Times New Roman"/>
                <w:sz w:val="18"/>
                <w:szCs w:val="18"/>
              </w:rPr>
            </w:pPr>
          </w:p>
        </w:tc>
        <w:tc>
          <w:tcPr>
            <w:tcW w:w="1701" w:type="dxa"/>
          </w:tcPr>
          <w:p w14:paraId="079E2350" w14:textId="77777777" w:rsidR="002E1DBA" w:rsidRPr="008C10B7" w:rsidRDefault="002E1DBA" w:rsidP="001E79AC">
            <w:pPr>
              <w:spacing w:line="200" w:lineRule="exact"/>
              <w:jc w:val="both"/>
              <w:rPr>
                <w:rFonts w:ascii="Times" w:hAnsi="Times" w:cs="Times New Roman"/>
                <w:sz w:val="18"/>
                <w:szCs w:val="18"/>
              </w:rPr>
            </w:pPr>
          </w:p>
        </w:tc>
        <w:tc>
          <w:tcPr>
            <w:tcW w:w="2552" w:type="dxa"/>
            <w:gridSpan w:val="2"/>
          </w:tcPr>
          <w:p w14:paraId="58BD733A" w14:textId="77777777" w:rsidR="002E1DBA" w:rsidRPr="008C10B7" w:rsidRDefault="002E1DBA" w:rsidP="001E79AC">
            <w:pPr>
              <w:spacing w:line="200" w:lineRule="exact"/>
              <w:jc w:val="both"/>
              <w:rPr>
                <w:rFonts w:ascii="Times" w:hAnsi="Times" w:cs="Times New Roman"/>
                <w:sz w:val="18"/>
                <w:szCs w:val="18"/>
              </w:rPr>
            </w:pPr>
          </w:p>
        </w:tc>
      </w:tr>
      <w:tr w:rsidR="008C10B7" w:rsidRPr="008C10B7" w14:paraId="6F5C16E9" w14:textId="77777777" w:rsidTr="001E79AC">
        <w:trPr>
          <w:gridAfter w:val="1"/>
          <w:wAfter w:w="709" w:type="dxa"/>
        </w:trPr>
        <w:tc>
          <w:tcPr>
            <w:tcW w:w="3124" w:type="dxa"/>
          </w:tcPr>
          <w:p w14:paraId="7CDA412A" w14:textId="77777777" w:rsidR="002E1DBA" w:rsidRPr="008C10B7" w:rsidRDefault="002E1DBA" w:rsidP="001E79AC">
            <w:pPr>
              <w:spacing w:line="200" w:lineRule="exact"/>
              <w:ind w:firstLineChars="50" w:firstLine="90"/>
              <w:jc w:val="both"/>
              <w:rPr>
                <w:rFonts w:ascii="Times" w:hAnsi="Times" w:cs="Times New Roman"/>
                <w:sz w:val="18"/>
                <w:szCs w:val="18"/>
              </w:rPr>
            </w:pPr>
            <w:r w:rsidRPr="008C10B7">
              <w:rPr>
                <w:rFonts w:ascii="Times" w:hAnsi="Times" w:cs="Times New Roman"/>
                <w:sz w:val="18"/>
                <w:szCs w:val="18"/>
              </w:rPr>
              <w:t>GVI (ref: Low)</w:t>
            </w:r>
          </w:p>
        </w:tc>
        <w:tc>
          <w:tcPr>
            <w:tcW w:w="1701" w:type="dxa"/>
          </w:tcPr>
          <w:p w14:paraId="5C02F100" w14:textId="77777777" w:rsidR="002E1DBA" w:rsidRPr="008C10B7" w:rsidRDefault="002E1DBA" w:rsidP="001E79AC">
            <w:pPr>
              <w:spacing w:line="200" w:lineRule="exact"/>
              <w:jc w:val="both"/>
              <w:rPr>
                <w:rFonts w:ascii="Times" w:hAnsi="Times" w:cs="Times New Roman"/>
                <w:sz w:val="18"/>
                <w:szCs w:val="18"/>
              </w:rPr>
            </w:pPr>
          </w:p>
        </w:tc>
        <w:tc>
          <w:tcPr>
            <w:tcW w:w="1701" w:type="dxa"/>
          </w:tcPr>
          <w:p w14:paraId="77E479DE" w14:textId="77777777" w:rsidR="002E1DBA" w:rsidRPr="008C10B7" w:rsidRDefault="002E1DBA" w:rsidP="001E79AC">
            <w:pPr>
              <w:spacing w:line="200" w:lineRule="exact"/>
              <w:jc w:val="both"/>
              <w:rPr>
                <w:rFonts w:ascii="Times" w:hAnsi="Times" w:cs="Times New Roman"/>
                <w:sz w:val="18"/>
                <w:szCs w:val="18"/>
              </w:rPr>
            </w:pPr>
          </w:p>
        </w:tc>
        <w:tc>
          <w:tcPr>
            <w:tcW w:w="1843" w:type="dxa"/>
          </w:tcPr>
          <w:p w14:paraId="132436EE" w14:textId="77777777" w:rsidR="002E1DBA" w:rsidRPr="008C10B7" w:rsidRDefault="002E1DBA" w:rsidP="001E79AC">
            <w:pPr>
              <w:spacing w:line="200" w:lineRule="exact"/>
              <w:jc w:val="both"/>
              <w:rPr>
                <w:rFonts w:ascii="Times" w:hAnsi="Times" w:cs="Times New Roman"/>
                <w:sz w:val="18"/>
                <w:szCs w:val="18"/>
              </w:rPr>
            </w:pPr>
          </w:p>
        </w:tc>
      </w:tr>
      <w:tr w:rsidR="008C10B7" w:rsidRPr="008C10B7" w14:paraId="060F28EC" w14:textId="77777777" w:rsidTr="001E79AC">
        <w:trPr>
          <w:gridAfter w:val="1"/>
          <w:wAfter w:w="709" w:type="dxa"/>
        </w:trPr>
        <w:tc>
          <w:tcPr>
            <w:tcW w:w="3124" w:type="dxa"/>
          </w:tcPr>
          <w:p w14:paraId="3AE7C94D" w14:textId="77777777" w:rsidR="002E1DBA" w:rsidRPr="008C10B7" w:rsidRDefault="002E1DBA" w:rsidP="001E79AC">
            <w:pPr>
              <w:spacing w:line="200" w:lineRule="exact"/>
              <w:ind w:firstLineChars="50" w:firstLine="90"/>
              <w:jc w:val="both"/>
              <w:rPr>
                <w:rFonts w:ascii="Times" w:hAnsi="Times" w:cs="Times New Roman"/>
                <w:sz w:val="18"/>
                <w:szCs w:val="18"/>
              </w:rPr>
            </w:pPr>
            <w:r w:rsidRPr="008C10B7">
              <w:rPr>
                <w:rFonts w:ascii="Times" w:hAnsi="Times" w:cs="Times New Roman"/>
                <w:sz w:val="18"/>
                <w:szCs w:val="18"/>
              </w:rPr>
              <w:t>Moderate</w:t>
            </w:r>
          </w:p>
        </w:tc>
        <w:tc>
          <w:tcPr>
            <w:tcW w:w="1701" w:type="dxa"/>
          </w:tcPr>
          <w:p w14:paraId="69227519" w14:textId="77777777" w:rsidR="002E1DBA" w:rsidRPr="008C10B7" w:rsidRDefault="002E1DBA" w:rsidP="001E79AC">
            <w:pPr>
              <w:spacing w:line="200" w:lineRule="exact"/>
              <w:jc w:val="both"/>
              <w:rPr>
                <w:rFonts w:ascii="Times" w:hAnsi="Times" w:cs="Times New Roman"/>
                <w:sz w:val="18"/>
                <w:szCs w:val="18"/>
              </w:rPr>
            </w:pPr>
          </w:p>
        </w:tc>
        <w:tc>
          <w:tcPr>
            <w:tcW w:w="1701" w:type="dxa"/>
          </w:tcPr>
          <w:p w14:paraId="69F33006"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4.093*(1.213-13.794)</w:t>
            </w:r>
          </w:p>
        </w:tc>
        <w:tc>
          <w:tcPr>
            <w:tcW w:w="1843" w:type="dxa"/>
          </w:tcPr>
          <w:p w14:paraId="31863E42"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3.674*(1.162-11.616)</w:t>
            </w:r>
          </w:p>
        </w:tc>
      </w:tr>
      <w:tr w:rsidR="008C10B7" w:rsidRPr="008C10B7" w14:paraId="50F16614" w14:textId="77777777" w:rsidTr="001E79AC">
        <w:trPr>
          <w:gridAfter w:val="1"/>
          <w:wAfter w:w="709" w:type="dxa"/>
        </w:trPr>
        <w:tc>
          <w:tcPr>
            <w:tcW w:w="3124" w:type="dxa"/>
          </w:tcPr>
          <w:p w14:paraId="0EA18907" w14:textId="77777777" w:rsidR="002E1DBA" w:rsidRPr="008C10B7" w:rsidRDefault="002E1DBA" w:rsidP="001E79AC">
            <w:pPr>
              <w:spacing w:line="200" w:lineRule="exact"/>
              <w:ind w:firstLineChars="50" w:firstLine="90"/>
              <w:jc w:val="both"/>
              <w:rPr>
                <w:rFonts w:ascii="Times" w:hAnsi="Times" w:cs="Times New Roman"/>
                <w:sz w:val="18"/>
                <w:szCs w:val="18"/>
              </w:rPr>
            </w:pPr>
            <w:r w:rsidRPr="008C10B7">
              <w:rPr>
                <w:rFonts w:ascii="Times" w:hAnsi="Times" w:cs="Times New Roman"/>
                <w:sz w:val="18"/>
                <w:szCs w:val="18"/>
              </w:rPr>
              <w:t>High</w:t>
            </w:r>
          </w:p>
        </w:tc>
        <w:tc>
          <w:tcPr>
            <w:tcW w:w="1701" w:type="dxa"/>
          </w:tcPr>
          <w:p w14:paraId="66129A39" w14:textId="77777777" w:rsidR="002E1DBA" w:rsidRPr="008C10B7" w:rsidRDefault="002E1DBA" w:rsidP="001E79AC">
            <w:pPr>
              <w:spacing w:line="200" w:lineRule="exact"/>
              <w:jc w:val="both"/>
              <w:rPr>
                <w:rFonts w:ascii="Times" w:hAnsi="Times" w:cs="Times New Roman"/>
                <w:sz w:val="18"/>
                <w:szCs w:val="18"/>
              </w:rPr>
            </w:pPr>
          </w:p>
        </w:tc>
        <w:tc>
          <w:tcPr>
            <w:tcW w:w="1701" w:type="dxa"/>
          </w:tcPr>
          <w:p w14:paraId="72B35DE3"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5.047*(1.803-14.126)</w:t>
            </w:r>
          </w:p>
        </w:tc>
        <w:tc>
          <w:tcPr>
            <w:tcW w:w="1843" w:type="dxa"/>
          </w:tcPr>
          <w:p w14:paraId="6625BDDB"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3.863**(1.443-10.340)</w:t>
            </w:r>
          </w:p>
        </w:tc>
      </w:tr>
      <w:tr w:rsidR="008C10B7" w:rsidRPr="008C10B7" w14:paraId="085BAD5C" w14:textId="77777777" w:rsidTr="001E79AC">
        <w:trPr>
          <w:gridAfter w:val="1"/>
          <w:wAfter w:w="709" w:type="dxa"/>
        </w:trPr>
        <w:tc>
          <w:tcPr>
            <w:tcW w:w="3124" w:type="dxa"/>
          </w:tcPr>
          <w:p w14:paraId="57E60034" w14:textId="77777777" w:rsidR="002E1DBA" w:rsidRPr="008C10B7" w:rsidRDefault="002E1DBA" w:rsidP="001E79AC">
            <w:pPr>
              <w:spacing w:line="200" w:lineRule="exact"/>
              <w:jc w:val="both"/>
              <w:rPr>
                <w:rFonts w:ascii="Times" w:hAnsi="Times" w:cs="Times New Roman"/>
                <w:b/>
                <w:bCs/>
                <w:sz w:val="18"/>
                <w:szCs w:val="18"/>
              </w:rPr>
            </w:pPr>
            <w:r w:rsidRPr="008C10B7">
              <w:rPr>
                <w:rFonts w:ascii="Times" w:hAnsi="Times" w:cs="Times New Roman"/>
                <w:b/>
                <w:bCs/>
                <w:sz w:val="18"/>
                <w:szCs w:val="18"/>
              </w:rPr>
              <w:t>Covariates</w:t>
            </w:r>
          </w:p>
        </w:tc>
        <w:tc>
          <w:tcPr>
            <w:tcW w:w="1701" w:type="dxa"/>
          </w:tcPr>
          <w:p w14:paraId="2DA2BD28" w14:textId="77777777" w:rsidR="002E1DBA" w:rsidRPr="008C10B7" w:rsidRDefault="002E1DBA" w:rsidP="001E79AC">
            <w:pPr>
              <w:spacing w:line="200" w:lineRule="exact"/>
              <w:jc w:val="both"/>
              <w:rPr>
                <w:rFonts w:ascii="Times" w:hAnsi="Times" w:cs="Times New Roman"/>
                <w:sz w:val="18"/>
                <w:szCs w:val="18"/>
              </w:rPr>
            </w:pPr>
          </w:p>
        </w:tc>
        <w:tc>
          <w:tcPr>
            <w:tcW w:w="1701" w:type="dxa"/>
          </w:tcPr>
          <w:p w14:paraId="573F8172" w14:textId="77777777" w:rsidR="002E1DBA" w:rsidRPr="008C10B7" w:rsidRDefault="002E1DBA" w:rsidP="001E79AC">
            <w:pPr>
              <w:spacing w:line="200" w:lineRule="exact"/>
              <w:jc w:val="both"/>
              <w:rPr>
                <w:rFonts w:ascii="Times" w:hAnsi="Times" w:cs="Times New Roman"/>
                <w:sz w:val="18"/>
                <w:szCs w:val="18"/>
              </w:rPr>
            </w:pPr>
          </w:p>
        </w:tc>
        <w:tc>
          <w:tcPr>
            <w:tcW w:w="1843" w:type="dxa"/>
          </w:tcPr>
          <w:p w14:paraId="3A55CB0E" w14:textId="77777777" w:rsidR="002E1DBA" w:rsidRPr="008C10B7" w:rsidRDefault="002E1DBA" w:rsidP="001E79AC">
            <w:pPr>
              <w:spacing w:line="200" w:lineRule="exact"/>
              <w:jc w:val="both"/>
              <w:rPr>
                <w:rFonts w:ascii="Times" w:hAnsi="Times" w:cs="Times New Roman"/>
                <w:sz w:val="18"/>
                <w:szCs w:val="18"/>
              </w:rPr>
            </w:pPr>
          </w:p>
        </w:tc>
      </w:tr>
      <w:tr w:rsidR="008C10B7" w:rsidRPr="008C10B7" w14:paraId="4CA1C81F" w14:textId="77777777" w:rsidTr="001E79AC">
        <w:trPr>
          <w:gridAfter w:val="1"/>
          <w:wAfter w:w="709" w:type="dxa"/>
        </w:trPr>
        <w:tc>
          <w:tcPr>
            <w:tcW w:w="3124" w:type="dxa"/>
          </w:tcPr>
          <w:p w14:paraId="40164AA9" w14:textId="77777777" w:rsidR="002E1DBA" w:rsidRPr="008C10B7" w:rsidRDefault="002E1DBA" w:rsidP="001E79AC">
            <w:pPr>
              <w:spacing w:line="200" w:lineRule="exact"/>
              <w:jc w:val="both"/>
              <w:rPr>
                <w:rFonts w:ascii="Times" w:hAnsi="Times" w:cs="Times New Roman"/>
                <w:b/>
                <w:bCs/>
                <w:sz w:val="18"/>
                <w:szCs w:val="18"/>
              </w:rPr>
            </w:pPr>
            <w:r w:rsidRPr="008C10B7">
              <w:rPr>
                <w:rFonts w:ascii="Times" w:hAnsi="Times" w:cs="Times New Roman"/>
                <w:b/>
                <w:bCs/>
                <w:sz w:val="18"/>
                <w:szCs w:val="18"/>
              </w:rPr>
              <w:t>Demographic variables</w:t>
            </w:r>
          </w:p>
        </w:tc>
        <w:tc>
          <w:tcPr>
            <w:tcW w:w="1701" w:type="dxa"/>
          </w:tcPr>
          <w:p w14:paraId="323AFDA0" w14:textId="77777777" w:rsidR="002E1DBA" w:rsidRPr="008C10B7" w:rsidRDefault="002E1DBA" w:rsidP="001E79AC">
            <w:pPr>
              <w:spacing w:line="200" w:lineRule="exact"/>
              <w:jc w:val="both"/>
              <w:rPr>
                <w:rFonts w:ascii="Times" w:hAnsi="Times" w:cs="Times New Roman"/>
                <w:sz w:val="18"/>
                <w:szCs w:val="18"/>
              </w:rPr>
            </w:pPr>
          </w:p>
        </w:tc>
        <w:tc>
          <w:tcPr>
            <w:tcW w:w="1701" w:type="dxa"/>
          </w:tcPr>
          <w:p w14:paraId="1C20C0DD" w14:textId="77777777" w:rsidR="002E1DBA" w:rsidRPr="008C10B7" w:rsidRDefault="002E1DBA" w:rsidP="001E79AC">
            <w:pPr>
              <w:spacing w:line="200" w:lineRule="exact"/>
              <w:jc w:val="both"/>
              <w:rPr>
                <w:rFonts w:ascii="Times" w:hAnsi="Times" w:cs="Times New Roman"/>
                <w:sz w:val="18"/>
                <w:szCs w:val="18"/>
              </w:rPr>
            </w:pPr>
          </w:p>
        </w:tc>
        <w:tc>
          <w:tcPr>
            <w:tcW w:w="1843" w:type="dxa"/>
          </w:tcPr>
          <w:p w14:paraId="2F939AAE" w14:textId="77777777" w:rsidR="002E1DBA" w:rsidRPr="008C10B7" w:rsidRDefault="002E1DBA" w:rsidP="001E79AC">
            <w:pPr>
              <w:spacing w:line="200" w:lineRule="exact"/>
              <w:jc w:val="both"/>
              <w:rPr>
                <w:rFonts w:ascii="Times" w:hAnsi="Times" w:cs="Times New Roman"/>
                <w:sz w:val="18"/>
                <w:szCs w:val="18"/>
              </w:rPr>
            </w:pPr>
          </w:p>
        </w:tc>
      </w:tr>
      <w:tr w:rsidR="008C10B7" w:rsidRPr="008C10B7" w14:paraId="7AE5708E" w14:textId="77777777" w:rsidTr="001E79AC">
        <w:trPr>
          <w:gridAfter w:val="1"/>
          <w:wAfter w:w="709" w:type="dxa"/>
        </w:trPr>
        <w:tc>
          <w:tcPr>
            <w:tcW w:w="3124" w:type="dxa"/>
          </w:tcPr>
          <w:p w14:paraId="75872EF7" w14:textId="77777777" w:rsidR="002E1DBA" w:rsidRPr="008C10B7" w:rsidRDefault="002E1DBA" w:rsidP="001E79AC">
            <w:pPr>
              <w:spacing w:line="200" w:lineRule="exact"/>
              <w:ind w:firstLineChars="50" w:firstLine="90"/>
              <w:jc w:val="both"/>
              <w:rPr>
                <w:rFonts w:ascii="Times" w:hAnsi="Times" w:cs="Times New Roman"/>
                <w:sz w:val="18"/>
                <w:szCs w:val="18"/>
              </w:rPr>
            </w:pPr>
            <w:r w:rsidRPr="008C10B7">
              <w:rPr>
                <w:rFonts w:ascii="Times" w:hAnsi="Times" w:cs="Times New Roman"/>
                <w:sz w:val="18"/>
                <w:szCs w:val="18"/>
              </w:rPr>
              <w:t>Female (ref: male)</w:t>
            </w:r>
          </w:p>
        </w:tc>
        <w:tc>
          <w:tcPr>
            <w:tcW w:w="1701" w:type="dxa"/>
          </w:tcPr>
          <w:p w14:paraId="5E21B489"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0.872(0.617-1.231)</w:t>
            </w:r>
          </w:p>
        </w:tc>
        <w:tc>
          <w:tcPr>
            <w:tcW w:w="1701" w:type="dxa"/>
          </w:tcPr>
          <w:p w14:paraId="4E17E0E2"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0.883(0.621-1.256)</w:t>
            </w:r>
          </w:p>
        </w:tc>
        <w:tc>
          <w:tcPr>
            <w:tcW w:w="1843" w:type="dxa"/>
          </w:tcPr>
          <w:p w14:paraId="051B1446"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0.880(0.603-1.283)</w:t>
            </w:r>
          </w:p>
        </w:tc>
      </w:tr>
      <w:tr w:rsidR="008C10B7" w:rsidRPr="008C10B7" w14:paraId="1C2872D4" w14:textId="77777777" w:rsidTr="001E79AC">
        <w:trPr>
          <w:gridAfter w:val="1"/>
          <w:wAfter w:w="709" w:type="dxa"/>
        </w:trPr>
        <w:tc>
          <w:tcPr>
            <w:tcW w:w="3124" w:type="dxa"/>
          </w:tcPr>
          <w:p w14:paraId="4F1C0174" w14:textId="77777777" w:rsidR="002E1DBA" w:rsidRPr="008C10B7" w:rsidRDefault="002E1DBA" w:rsidP="001E79AC">
            <w:pPr>
              <w:spacing w:line="200" w:lineRule="exact"/>
              <w:ind w:firstLineChars="50" w:firstLine="90"/>
              <w:jc w:val="both"/>
              <w:rPr>
                <w:rFonts w:ascii="Times" w:hAnsi="Times" w:cs="Times New Roman"/>
                <w:sz w:val="18"/>
                <w:szCs w:val="18"/>
              </w:rPr>
            </w:pPr>
            <w:r w:rsidRPr="008C10B7">
              <w:rPr>
                <w:rFonts w:ascii="Times" w:hAnsi="Times" w:cs="Times New Roman"/>
                <w:sz w:val="18"/>
                <w:szCs w:val="18"/>
              </w:rPr>
              <w:t>Age</w:t>
            </w:r>
          </w:p>
        </w:tc>
        <w:tc>
          <w:tcPr>
            <w:tcW w:w="1701" w:type="dxa"/>
          </w:tcPr>
          <w:p w14:paraId="0070A160"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1.005(0.970-1.041)</w:t>
            </w:r>
          </w:p>
        </w:tc>
        <w:tc>
          <w:tcPr>
            <w:tcW w:w="1701" w:type="dxa"/>
          </w:tcPr>
          <w:p w14:paraId="7BEB985E"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1.001(0.966-1.037)</w:t>
            </w:r>
          </w:p>
        </w:tc>
        <w:tc>
          <w:tcPr>
            <w:tcW w:w="1843" w:type="dxa"/>
          </w:tcPr>
          <w:p w14:paraId="18414CB5"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0.995(0.958-1.033)</w:t>
            </w:r>
          </w:p>
        </w:tc>
      </w:tr>
      <w:tr w:rsidR="008C10B7" w:rsidRPr="008C10B7" w14:paraId="48C0CE22" w14:textId="77777777" w:rsidTr="001E79AC">
        <w:trPr>
          <w:gridAfter w:val="1"/>
          <w:wAfter w:w="709" w:type="dxa"/>
        </w:trPr>
        <w:tc>
          <w:tcPr>
            <w:tcW w:w="3124" w:type="dxa"/>
          </w:tcPr>
          <w:p w14:paraId="56C9F5E6" w14:textId="77777777" w:rsidR="002E1DBA" w:rsidRPr="008C10B7" w:rsidRDefault="002E1DBA" w:rsidP="001E79AC">
            <w:pPr>
              <w:spacing w:line="200" w:lineRule="exact"/>
              <w:ind w:firstLineChars="50" w:firstLine="90"/>
              <w:jc w:val="both"/>
              <w:rPr>
                <w:rFonts w:ascii="Times" w:hAnsi="Times" w:cs="Times New Roman"/>
                <w:sz w:val="18"/>
                <w:szCs w:val="18"/>
              </w:rPr>
            </w:pPr>
            <w:r w:rsidRPr="008C10B7">
              <w:rPr>
                <w:rFonts w:ascii="Times" w:hAnsi="Times" w:cs="Times New Roman"/>
                <w:sz w:val="18"/>
                <w:szCs w:val="18"/>
              </w:rPr>
              <w:t>Postgraduate and above (ref: undergraduate and below)</w:t>
            </w:r>
          </w:p>
        </w:tc>
        <w:tc>
          <w:tcPr>
            <w:tcW w:w="1701" w:type="dxa"/>
          </w:tcPr>
          <w:p w14:paraId="1CEB4BF4"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0.628*(0.400-0.985)</w:t>
            </w:r>
          </w:p>
        </w:tc>
        <w:tc>
          <w:tcPr>
            <w:tcW w:w="1701" w:type="dxa"/>
          </w:tcPr>
          <w:p w14:paraId="09CD897D"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0.655(0.415-1.034)</w:t>
            </w:r>
          </w:p>
        </w:tc>
        <w:tc>
          <w:tcPr>
            <w:tcW w:w="1843" w:type="dxa"/>
          </w:tcPr>
          <w:p w14:paraId="2D203C94"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0.671(0.409-1.101)</w:t>
            </w:r>
          </w:p>
        </w:tc>
      </w:tr>
      <w:tr w:rsidR="008C10B7" w:rsidRPr="008C10B7" w14:paraId="5C769B54" w14:textId="77777777" w:rsidTr="001E79AC">
        <w:trPr>
          <w:gridAfter w:val="1"/>
          <w:wAfter w:w="709" w:type="dxa"/>
        </w:trPr>
        <w:tc>
          <w:tcPr>
            <w:tcW w:w="3124" w:type="dxa"/>
          </w:tcPr>
          <w:p w14:paraId="27B0DC6C" w14:textId="37A50718" w:rsidR="002E1DBA" w:rsidRPr="008C10B7" w:rsidRDefault="002E1DBA" w:rsidP="001E79AC">
            <w:pPr>
              <w:spacing w:line="200" w:lineRule="exact"/>
              <w:ind w:firstLineChars="50" w:firstLine="90"/>
              <w:jc w:val="both"/>
              <w:rPr>
                <w:rFonts w:ascii="Times" w:hAnsi="Times" w:cs="Times New Roman"/>
                <w:sz w:val="18"/>
                <w:szCs w:val="18"/>
              </w:rPr>
            </w:pPr>
            <w:r w:rsidRPr="008C10B7">
              <w:rPr>
                <w:rFonts w:ascii="Times" w:hAnsi="Times" w:cs="Times New Roman"/>
                <w:sz w:val="18"/>
                <w:szCs w:val="18"/>
              </w:rPr>
              <w:t>Driving licen</w:t>
            </w:r>
            <w:r w:rsidR="00A41A65" w:rsidRPr="008C10B7">
              <w:rPr>
                <w:rFonts w:ascii="Times" w:hAnsi="Times" w:cs="Times New Roman"/>
                <w:sz w:val="18"/>
                <w:szCs w:val="18"/>
              </w:rPr>
              <w:t>c</w:t>
            </w:r>
            <w:r w:rsidRPr="008C10B7">
              <w:rPr>
                <w:rFonts w:ascii="Times" w:hAnsi="Times" w:cs="Times New Roman"/>
                <w:sz w:val="18"/>
                <w:szCs w:val="18"/>
              </w:rPr>
              <w:t>e (ref: no driving licence)</w:t>
            </w:r>
          </w:p>
        </w:tc>
        <w:tc>
          <w:tcPr>
            <w:tcW w:w="1701" w:type="dxa"/>
          </w:tcPr>
          <w:p w14:paraId="4704EE8E"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0.964(0.682-1.363)</w:t>
            </w:r>
          </w:p>
        </w:tc>
        <w:tc>
          <w:tcPr>
            <w:tcW w:w="1701" w:type="dxa"/>
          </w:tcPr>
          <w:p w14:paraId="234096D4"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1.036(0.726-1.479)</w:t>
            </w:r>
          </w:p>
        </w:tc>
        <w:tc>
          <w:tcPr>
            <w:tcW w:w="1843" w:type="dxa"/>
          </w:tcPr>
          <w:p w14:paraId="7FE7034D"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0.973(0.665-1.424)</w:t>
            </w:r>
          </w:p>
        </w:tc>
      </w:tr>
      <w:tr w:rsidR="008C10B7" w:rsidRPr="008C10B7" w14:paraId="069AAC56" w14:textId="77777777" w:rsidTr="001E79AC">
        <w:trPr>
          <w:gridAfter w:val="1"/>
          <w:wAfter w:w="709" w:type="dxa"/>
        </w:trPr>
        <w:tc>
          <w:tcPr>
            <w:tcW w:w="3124" w:type="dxa"/>
          </w:tcPr>
          <w:p w14:paraId="4D31D72E" w14:textId="77777777" w:rsidR="002E1DBA" w:rsidRPr="008C10B7" w:rsidRDefault="002E1DBA" w:rsidP="001E79AC">
            <w:pPr>
              <w:spacing w:line="200" w:lineRule="exact"/>
              <w:ind w:firstLineChars="50" w:firstLine="90"/>
              <w:jc w:val="both"/>
              <w:rPr>
                <w:rFonts w:ascii="Times" w:hAnsi="Times" w:cs="Times New Roman"/>
                <w:sz w:val="18"/>
                <w:szCs w:val="18"/>
              </w:rPr>
            </w:pPr>
            <w:r w:rsidRPr="008C10B7">
              <w:rPr>
                <w:rFonts w:ascii="Times" w:hAnsi="Times" w:cs="Times New Roman"/>
                <w:sz w:val="18"/>
                <w:szCs w:val="18"/>
              </w:rPr>
              <w:t>Income level (ref: &lt;3000 RMB per month)</w:t>
            </w:r>
          </w:p>
        </w:tc>
        <w:tc>
          <w:tcPr>
            <w:tcW w:w="1701" w:type="dxa"/>
          </w:tcPr>
          <w:p w14:paraId="0C18EE9C" w14:textId="77777777" w:rsidR="002E1DBA" w:rsidRPr="008C10B7" w:rsidRDefault="002E1DBA" w:rsidP="001E79AC">
            <w:pPr>
              <w:spacing w:line="200" w:lineRule="exact"/>
              <w:jc w:val="both"/>
              <w:rPr>
                <w:rFonts w:ascii="Times" w:hAnsi="Times" w:cs="Times New Roman"/>
                <w:sz w:val="18"/>
                <w:szCs w:val="18"/>
              </w:rPr>
            </w:pPr>
          </w:p>
        </w:tc>
        <w:tc>
          <w:tcPr>
            <w:tcW w:w="1701" w:type="dxa"/>
          </w:tcPr>
          <w:p w14:paraId="3386838E" w14:textId="77777777" w:rsidR="002E1DBA" w:rsidRPr="008C10B7" w:rsidRDefault="002E1DBA" w:rsidP="001E79AC">
            <w:pPr>
              <w:spacing w:line="200" w:lineRule="exact"/>
              <w:jc w:val="both"/>
              <w:rPr>
                <w:rFonts w:ascii="Times" w:hAnsi="Times" w:cs="Times New Roman"/>
                <w:sz w:val="18"/>
                <w:szCs w:val="18"/>
              </w:rPr>
            </w:pPr>
          </w:p>
        </w:tc>
        <w:tc>
          <w:tcPr>
            <w:tcW w:w="1843" w:type="dxa"/>
          </w:tcPr>
          <w:p w14:paraId="4A71B0DB" w14:textId="77777777" w:rsidR="002E1DBA" w:rsidRPr="008C10B7" w:rsidRDefault="002E1DBA" w:rsidP="001E79AC">
            <w:pPr>
              <w:spacing w:line="200" w:lineRule="exact"/>
              <w:jc w:val="both"/>
              <w:rPr>
                <w:rFonts w:ascii="Times" w:hAnsi="Times" w:cs="Times New Roman"/>
                <w:sz w:val="18"/>
                <w:szCs w:val="18"/>
              </w:rPr>
            </w:pPr>
          </w:p>
        </w:tc>
      </w:tr>
      <w:tr w:rsidR="008C10B7" w:rsidRPr="008C10B7" w14:paraId="6281150D" w14:textId="77777777" w:rsidTr="001E79AC">
        <w:trPr>
          <w:gridAfter w:val="1"/>
          <w:wAfter w:w="709" w:type="dxa"/>
        </w:trPr>
        <w:tc>
          <w:tcPr>
            <w:tcW w:w="3124" w:type="dxa"/>
          </w:tcPr>
          <w:p w14:paraId="76D20C7F" w14:textId="77777777" w:rsidR="002E1DBA" w:rsidRPr="008C10B7" w:rsidRDefault="002E1DBA" w:rsidP="001E79AC">
            <w:pPr>
              <w:spacing w:line="200" w:lineRule="exact"/>
              <w:ind w:firstLineChars="50" w:firstLine="90"/>
              <w:jc w:val="both"/>
              <w:rPr>
                <w:rFonts w:ascii="Times" w:hAnsi="Times" w:cs="Times New Roman"/>
                <w:sz w:val="18"/>
                <w:szCs w:val="18"/>
              </w:rPr>
            </w:pPr>
            <w:r w:rsidRPr="008C10B7">
              <w:rPr>
                <w:rFonts w:ascii="Times" w:hAnsi="Times" w:cs="Times New Roman" w:hint="eastAsia"/>
                <w:sz w:val="18"/>
                <w:szCs w:val="18"/>
              </w:rPr>
              <w:t>≥</w:t>
            </w:r>
            <w:r w:rsidRPr="008C10B7">
              <w:rPr>
                <w:rFonts w:ascii="Times" w:hAnsi="Times" w:cs="Times New Roman"/>
                <w:sz w:val="18"/>
                <w:szCs w:val="18"/>
              </w:rPr>
              <w:t>3000 RMB per month</w:t>
            </w:r>
          </w:p>
        </w:tc>
        <w:tc>
          <w:tcPr>
            <w:tcW w:w="1701" w:type="dxa"/>
          </w:tcPr>
          <w:p w14:paraId="7336593F"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0.684(0.453-1.032)</w:t>
            </w:r>
          </w:p>
        </w:tc>
        <w:tc>
          <w:tcPr>
            <w:tcW w:w="1701" w:type="dxa"/>
          </w:tcPr>
          <w:p w14:paraId="070AC27F"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0.715(0.468-1.094)</w:t>
            </w:r>
          </w:p>
        </w:tc>
        <w:tc>
          <w:tcPr>
            <w:tcW w:w="1843" w:type="dxa"/>
          </w:tcPr>
          <w:p w14:paraId="42D4384F"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0.580**(0.366-0.919)</w:t>
            </w:r>
          </w:p>
        </w:tc>
      </w:tr>
      <w:tr w:rsidR="008C10B7" w:rsidRPr="008C10B7" w14:paraId="639ABA02" w14:textId="77777777" w:rsidTr="001E79AC">
        <w:trPr>
          <w:gridAfter w:val="1"/>
          <w:wAfter w:w="709" w:type="dxa"/>
        </w:trPr>
        <w:tc>
          <w:tcPr>
            <w:tcW w:w="3124" w:type="dxa"/>
          </w:tcPr>
          <w:p w14:paraId="0D117236" w14:textId="77777777" w:rsidR="002E1DBA" w:rsidRPr="008C10B7" w:rsidRDefault="002E1DBA" w:rsidP="001E79AC">
            <w:pPr>
              <w:spacing w:line="200" w:lineRule="exact"/>
              <w:ind w:firstLineChars="50" w:firstLine="90"/>
              <w:jc w:val="both"/>
              <w:rPr>
                <w:rFonts w:ascii="Times" w:hAnsi="Times" w:cs="Times New Roman"/>
                <w:sz w:val="18"/>
                <w:szCs w:val="18"/>
              </w:rPr>
            </w:pPr>
            <w:r w:rsidRPr="008C10B7">
              <w:rPr>
                <w:rFonts w:ascii="Times" w:hAnsi="Times" w:cs="Times New Roman"/>
                <w:sz w:val="18"/>
                <w:szCs w:val="18"/>
              </w:rPr>
              <w:t>Local hukou (ref: non-local hukou)</w:t>
            </w:r>
          </w:p>
        </w:tc>
        <w:tc>
          <w:tcPr>
            <w:tcW w:w="1701" w:type="dxa"/>
          </w:tcPr>
          <w:p w14:paraId="715736F7"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1.204(0.847-1.713)</w:t>
            </w:r>
          </w:p>
        </w:tc>
        <w:tc>
          <w:tcPr>
            <w:tcW w:w="1701" w:type="dxa"/>
          </w:tcPr>
          <w:p w14:paraId="39E48828"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1.207(0.843-1.729)</w:t>
            </w:r>
          </w:p>
        </w:tc>
        <w:tc>
          <w:tcPr>
            <w:tcW w:w="1843" w:type="dxa"/>
          </w:tcPr>
          <w:p w14:paraId="0F484C10"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1.186(0.805-1.746)</w:t>
            </w:r>
          </w:p>
        </w:tc>
      </w:tr>
      <w:tr w:rsidR="008C10B7" w:rsidRPr="008C10B7" w14:paraId="042E999F" w14:textId="77777777" w:rsidTr="001E79AC">
        <w:trPr>
          <w:gridAfter w:val="1"/>
          <w:wAfter w:w="709" w:type="dxa"/>
        </w:trPr>
        <w:tc>
          <w:tcPr>
            <w:tcW w:w="3124" w:type="dxa"/>
          </w:tcPr>
          <w:p w14:paraId="41DEC168" w14:textId="77777777" w:rsidR="002E1DBA" w:rsidRPr="008C10B7" w:rsidRDefault="002E1DBA" w:rsidP="001E79AC">
            <w:pPr>
              <w:spacing w:line="200" w:lineRule="exact"/>
              <w:ind w:firstLineChars="50" w:firstLine="90"/>
              <w:jc w:val="both"/>
              <w:rPr>
                <w:rFonts w:ascii="Times" w:hAnsi="Times" w:cs="Times New Roman"/>
                <w:sz w:val="18"/>
                <w:szCs w:val="18"/>
              </w:rPr>
            </w:pPr>
            <w:r w:rsidRPr="008C10B7">
              <w:rPr>
                <w:rFonts w:ascii="Times" w:hAnsi="Times" w:cs="Times New Roman"/>
                <w:sz w:val="18"/>
                <w:szCs w:val="18"/>
              </w:rPr>
              <w:t>Partner relationship (ref: no partner relationship)</w:t>
            </w:r>
          </w:p>
        </w:tc>
        <w:tc>
          <w:tcPr>
            <w:tcW w:w="1701" w:type="dxa"/>
          </w:tcPr>
          <w:p w14:paraId="19AE9517"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0.990(0.691-1.421)</w:t>
            </w:r>
          </w:p>
        </w:tc>
        <w:tc>
          <w:tcPr>
            <w:tcW w:w="1701" w:type="dxa"/>
          </w:tcPr>
          <w:p w14:paraId="599A52D2"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1.068(0.736-1.550)</w:t>
            </w:r>
          </w:p>
        </w:tc>
        <w:tc>
          <w:tcPr>
            <w:tcW w:w="1843" w:type="dxa"/>
          </w:tcPr>
          <w:p w14:paraId="1068165D"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1.097(0.735-1.636)</w:t>
            </w:r>
          </w:p>
        </w:tc>
      </w:tr>
      <w:tr w:rsidR="008C10B7" w:rsidRPr="008C10B7" w14:paraId="40BFCB93" w14:textId="77777777" w:rsidTr="001E79AC">
        <w:trPr>
          <w:gridAfter w:val="1"/>
          <w:wAfter w:w="709" w:type="dxa"/>
        </w:trPr>
        <w:tc>
          <w:tcPr>
            <w:tcW w:w="3124" w:type="dxa"/>
          </w:tcPr>
          <w:p w14:paraId="0AC82635" w14:textId="77777777" w:rsidR="002E1DBA" w:rsidRPr="008C10B7" w:rsidRDefault="002E1DBA" w:rsidP="001E79AC">
            <w:pPr>
              <w:spacing w:line="200" w:lineRule="exact"/>
              <w:jc w:val="both"/>
              <w:rPr>
                <w:rFonts w:ascii="Times" w:hAnsi="Times" w:cs="Times New Roman"/>
                <w:b/>
                <w:bCs/>
                <w:sz w:val="18"/>
                <w:szCs w:val="18"/>
              </w:rPr>
            </w:pPr>
            <w:r w:rsidRPr="008C10B7">
              <w:rPr>
                <w:rFonts w:ascii="Times" w:hAnsi="Times" w:cs="Times New Roman"/>
                <w:b/>
                <w:bCs/>
                <w:sz w:val="18"/>
                <w:szCs w:val="18"/>
              </w:rPr>
              <w:lastRenderedPageBreak/>
              <w:t>Transport tool ownership</w:t>
            </w:r>
          </w:p>
        </w:tc>
        <w:tc>
          <w:tcPr>
            <w:tcW w:w="1701" w:type="dxa"/>
          </w:tcPr>
          <w:p w14:paraId="3B6E70A2" w14:textId="77777777" w:rsidR="002E1DBA" w:rsidRPr="008C10B7" w:rsidRDefault="002E1DBA" w:rsidP="001E79AC">
            <w:pPr>
              <w:spacing w:line="200" w:lineRule="exact"/>
              <w:jc w:val="both"/>
              <w:rPr>
                <w:rFonts w:ascii="Times" w:hAnsi="Times" w:cs="Times New Roman"/>
                <w:sz w:val="18"/>
                <w:szCs w:val="18"/>
              </w:rPr>
            </w:pPr>
          </w:p>
        </w:tc>
        <w:tc>
          <w:tcPr>
            <w:tcW w:w="1701" w:type="dxa"/>
          </w:tcPr>
          <w:p w14:paraId="16E3C53B" w14:textId="77777777" w:rsidR="002E1DBA" w:rsidRPr="008C10B7" w:rsidRDefault="002E1DBA" w:rsidP="001E79AC">
            <w:pPr>
              <w:spacing w:line="200" w:lineRule="exact"/>
              <w:jc w:val="both"/>
              <w:rPr>
                <w:rFonts w:ascii="Times" w:hAnsi="Times" w:cs="Times New Roman"/>
                <w:sz w:val="18"/>
                <w:szCs w:val="18"/>
              </w:rPr>
            </w:pPr>
          </w:p>
        </w:tc>
        <w:tc>
          <w:tcPr>
            <w:tcW w:w="1843" w:type="dxa"/>
          </w:tcPr>
          <w:p w14:paraId="3B121BC3" w14:textId="77777777" w:rsidR="002E1DBA" w:rsidRPr="008C10B7" w:rsidRDefault="002E1DBA" w:rsidP="001E79AC">
            <w:pPr>
              <w:spacing w:line="200" w:lineRule="exact"/>
              <w:jc w:val="both"/>
              <w:rPr>
                <w:rFonts w:ascii="Times" w:hAnsi="Times" w:cs="Times New Roman"/>
                <w:sz w:val="18"/>
                <w:szCs w:val="18"/>
              </w:rPr>
            </w:pPr>
          </w:p>
        </w:tc>
      </w:tr>
      <w:tr w:rsidR="008C10B7" w:rsidRPr="008C10B7" w14:paraId="5D2891B0" w14:textId="77777777" w:rsidTr="001E79AC">
        <w:trPr>
          <w:gridAfter w:val="1"/>
          <w:wAfter w:w="709" w:type="dxa"/>
        </w:trPr>
        <w:tc>
          <w:tcPr>
            <w:tcW w:w="3124" w:type="dxa"/>
          </w:tcPr>
          <w:p w14:paraId="18F1A809" w14:textId="77777777" w:rsidR="002E1DBA" w:rsidRPr="008C10B7" w:rsidRDefault="002E1DBA" w:rsidP="001E79AC">
            <w:pPr>
              <w:spacing w:line="200" w:lineRule="exact"/>
              <w:ind w:firstLineChars="50" w:firstLine="90"/>
              <w:jc w:val="both"/>
              <w:rPr>
                <w:rFonts w:ascii="Times" w:hAnsi="Times" w:cs="Times New Roman"/>
                <w:sz w:val="18"/>
                <w:szCs w:val="18"/>
              </w:rPr>
            </w:pPr>
            <w:r w:rsidRPr="008C10B7">
              <w:rPr>
                <w:rFonts w:ascii="Times" w:hAnsi="Times" w:cs="Times New Roman"/>
                <w:sz w:val="18"/>
                <w:szCs w:val="18"/>
              </w:rPr>
              <w:t>Bike ownership (ref: no bike ownership)</w:t>
            </w:r>
          </w:p>
        </w:tc>
        <w:tc>
          <w:tcPr>
            <w:tcW w:w="1701" w:type="dxa"/>
          </w:tcPr>
          <w:p w14:paraId="09C82EC0" w14:textId="77777777" w:rsidR="002E1DBA" w:rsidRPr="008C10B7" w:rsidRDefault="002E1DBA" w:rsidP="001E79AC">
            <w:pPr>
              <w:spacing w:line="200" w:lineRule="exact"/>
              <w:jc w:val="both"/>
              <w:rPr>
                <w:rFonts w:ascii="Times" w:hAnsi="Times" w:cs="Times New Roman"/>
                <w:sz w:val="18"/>
                <w:szCs w:val="18"/>
              </w:rPr>
            </w:pPr>
          </w:p>
        </w:tc>
        <w:tc>
          <w:tcPr>
            <w:tcW w:w="1701" w:type="dxa"/>
          </w:tcPr>
          <w:p w14:paraId="5FB6282E"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2.030***(1.422-2.890)</w:t>
            </w:r>
          </w:p>
        </w:tc>
        <w:tc>
          <w:tcPr>
            <w:tcW w:w="1843" w:type="dxa"/>
          </w:tcPr>
          <w:p w14:paraId="6A3061E6"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2.053***(1.392-3.028)</w:t>
            </w:r>
          </w:p>
        </w:tc>
      </w:tr>
      <w:tr w:rsidR="008C10B7" w:rsidRPr="008C10B7" w14:paraId="31F9DE49" w14:textId="77777777" w:rsidTr="001E79AC">
        <w:trPr>
          <w:gridAfter w:val="1"/>
          <w:wAfter w:w="709" w:type="dxa"/>
        </w:trPr>
        <w:tc>
          <w:tcPr>
            <w:tcW w:w="3124" w:type="dxa"/>
          </w:tcPr>
          <w:p w14:paraId="786A04AB" w14:textId="77777777" w:rsidR="002E1DBA" w:rsidRPr="008C10B7" w:rsidRDefault="002E1DBA" w:rsidP="001E79AC">
            <w:pPr>
              <w:spacing w:line="200" w:lineRule="exact"/>
              <w:ind w:firstLineChars="50" w:firstLine="90"/>
              <w:jc w:val="both"/>
              <w:rPr>
                <w:rFonts w:ascii="Times" w:hAnsi="Times" w:cs="Times New Roman"/>
                <w:sz w:val="18"/>
                <w:szCs w:val="18"/>
              </w:rPr>
            </w:pPr>
            <w:r w:rsidRPr="008C10B7">
              <w:rPr>
                <w:rFonts w:ascii="Times" w:hAnsi="Times" w:cs="Times New Roman"/>
                <w:sz w:val="18"/>
                <w:szCs w:val="18"/>
              </w:rPr>
              <w:t>E-bike ownership (ref: no e-bike ownership)</w:t>
            </w:r>
          </w:p>
        </w:tc>
        <w:tc>
          <w:tcPr>
            <w:tcW w:w="1701" w:type="dxa"/>
          </w:tcPr>
          <w:p w14:paraId="16421E5E" w14:textId="77777777" w:rsidR="002E1DBA" w:rsidRPr="008C10B7" w:rsidRDefault="002E1DBA" w:rsidP="001E79AC">
            <w:pPr>
              <w:spacing w:line="200" w:lineRule="exact"/>
              <w:jc w:val="both"/>
              <w:rPr>
                <w:rFonts w:ascii="Times" w:hAnsi="Times" w:cs="Times New Roman"/>
                <w:sz w:val="18"/>
                <w:szCs w:val="18"/>
              </w:rPr>
            </w:pPr>
          </w:p>
        </w:tc>
        <w:tc>
          <w:tcPr>
            <w:tcW w:w="1701" w:type="dxa"/>
          </w:tcPr>
          <w:p w14:paraId="0193B493"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0.590**(0.397-0.876)</w:t>
            </w:r>
          </w:p>
        </w:tc>
        <w:tc>
          <w:tcPr>
            <w:tcW w:w="1843" w:type="dxa"/>
          </w:tcPr>
          <w:p w14:paraId="1A831644"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0.632*(0.413-0.968)</w:t>
            </w:r>
          </w:p>
        </w:tc>
      </w:tr>
      <w:tr w:rsidR="008C10B7" w:rsidRPr="008C10B7" w14:paraId="08DEE28C" w14:textId="77777777" w:rsidTr="001E79AC">
        <w:trPr>
          <w:gridAfter w:val="1"/>
          <w:wAfter w:w="709" w:type="dxa"/>
        </w:trPr>
        <w:tc>
          <w:tcPr>
            <w:tcW w:w="3124" w:type="dxa"/>
          </w:tcPr>
          <w:p w14:paraId="59D1629C"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 xml:space="preserve"> Car ownership (ref: no car ownership)</w:t>
            </w:r>
          </w:p>
        </w:tc>
        <w:tc>
          <w:tcPr>
            <w:tcW w:w="1701" w:type="dxa"/>
          </w:tcPr>
          <w:p w14:paraId="50C0D2D3" w14:textId="77777777" w:rsidR="002E1DBA" w:rsidRPr="008C10B7" w:rsidRDefault="002E1DBA" w:rsidP="001E79AC">
            <w:pPr>
              <w:spacing w:line="200" w:lineRule="exact"/>
              <w:jc w:val="both"/>
              <w:rPr>
                <w:rFonts w:ascii="Times" w:hAnsi="Times" w:cs="Times New Roman"/>
                <w:sz w:val="18"/>
                <w:szCs w:val="18"/>
              </w:rPr>
            </w:pPr>
          </w:p>
        </w:tc>
        <w:tc>
          <w:tcPr>
            <w:tcW w:w="1701" w:type="dxa"/>
          </w:tcPr>
          <w:p w14:paraId="1064CA36"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0.705(0.358-1.390)</w:t>
            </w:r>
          </w:p>
        </w:tc>
        <w:tc>
          <w:tcPr>
            <w:tcW w:w="1843" w:type="dxa"/>
          </w:tcPr>
          <w:p w14:paraId="05AE4021"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1.013(0.475-2.157)</w:t>
            </w:r>
          </w:p>
        </w:tc>
      </w:tr>
      <w:tr w:rsidR="008C10B7" w:rsidRPr="008C10B7" w14:paraId="6A8796D2" w14:textId="77777777" w:rsidTr="001E79AC">
        <w:trPr>
          <w:gridAfter w:val="1"/>
          <w:wAfter w:w="709" w:type="dxa"/>
        </w:trPr>
        <w:tc>
          <w:tcPr>
            <w:tcW w:w="3124" w:type="dxa"/>
          </w:tcPr>
          <w:p w14:paraId="69A5BCF2" w14:textId="77777777" w:rsidR="002E1DBA" w:rsidRPr="008C10B7" w:rsidRDefault="002E1DBA" w:rsidP="001E79AC">
            <w:pPr>
              <w:spacing w:line="200" w:lineRule="exact"/>
              <w:jc w:val="both"/>
              <w:rPr>
                <w:rFonts w:ascii="Times" w:hAnsi="Times" w:cs="Times New Roman"/>
                <w:b/>
                <w:bCs/>
                <w:sz w:val="18"/>
                <w:szCs w:val="18"/>
              </w:rPr>
            </w:pPr>
            <w:r w:rsidRPr="008C10B7">
              <w:rPr>
                <w:rFonts w:ascii="Times" w:hAnsi="Times" w:cs="Times New Roman"/>
                <w:b/>
                <w:bCs/>
                <w:sz w:val="18"/>
                <w:szCs w:val="18"/>
              </w:rPr>
              <w:t>Travel satisfaction</w:t>
            </w:r>
          </w:p>
        </w:tc>
        <w:tc>
          <w:tcPr>
            <w:tcW w:w="1701" w:type="dxa"/>
          </w:tcPr>
          <w:p w14:paraId="164E7093" w14:textId="77777777" w:rsidR="002E1DBA" w:rsidRPr="008C10B7" w:rsidRDefault="002E1DBA" w:rsidP="001E79AC">
            <w:pPr>
              <w:spacing w:line="200" w:lineRule="exact"/>
              <w:jc w:val="both"/>
              <w:rPr>
                <w:rFonts w:ascii="Times" w:hAnsi="Times" w:cs="Times New Roman"/>
                <w:sz w:val="18"/>
                <w:szCs w:val="18"/>
              </w:rPr>
            </w:pPr>
          </w:p>
        </w:tc>
        <w:tc>
          <w:tcPr>
            <w:tcW w:w="1701" w:type="dxa"/>
          </w:tcPr>
          <w:p w14:paraId="5A417704" w14:textId="77777777" w:rsidR="002E1DBA" w:rsidRPr="008C10B7" w:rsidRDefault="002E1DBA" w:rsidP="001E79AC">
            <w:pPr>
              <w:spacing w:line="200" w:lineRule="exact"/>
              <w:jc w:val="both"/>
              <w:rPr>
                <w:rFonts w:ascii="Times" w:hAnsi="Times" w:cs="Times New Roman"/>
                <w:sz w:val="18"/>
                <w:szCs w:val="18"/>
              </w:rPr>
            </w:pPr>
          </w:p>
        </w:tc>
        <w:tc>
          <w:tcPr>
            <w:tcW w:w="1843" w:type="dxa"/>
          </w:tcPr>
          <w:p w14:paraId="1C7FB676" w14:textId="77777777" w:rsidR="002E1DBA" w:rsidRPr="008C10B7" w:rsidRDefault="002E1DBA" w:rsidP="001E79AC">
            <w:pPr>
              <w:spacing w:line="200" w:lineRule="exact"/>
              <w:jc w:val="both"/>
              <w:rPr>
                <w:rFonts w:ascii="Times" w:hAnsi="Times" w:cs="Times New Roman"/>
                <w:sz w:val="18"/>
                <w:szCs w:val="18"/>
              </w:rPr>
            </w:pPr>
          </w:p>
        </w:tc>
      </w:tr>
      <w:tr w:rsidR="008C10B7" w:rsidRPr="008C10B7" w14:paraId="58FB384C" w14:textId="77777777" w:rsidTr="001E79AC">
        <w:trPr>
          <w:gridAfter w:val="1"/>
          <w:wAfter w:w="709" w:type="dxa"/>
        </w:trPr>
        <w:tc>
          <w:tcPr>
            <w:tcW w:w="3124" w:type="dxa"/>
          </w:tcPr>
          <w:p w14:paraId="6EB1DAD7" w14:textId="77777777" w:rsidR="002E1DBA" w:rsidRPr="008C10B7" w:rsidRDefault="002E1DBA" w:rsidP="001E79AC">
            <w:pPr>
              <w:spacing w:line="200" w:lineRule="exact"/>
              <w:ind w:firstLineChars="50" w:firstLine="90"/>
              <w:jc w:val="both"/>
              <w:rPr>
                <w:rFonts w:ascii="Times" w:hAnsi="Times" w:cs="Times New Roman"/>
                <w:sz w:val="18"/>
                <w:szCs w:val="18"/>
              </w:rPr>
            </w:pPr>
            <w:r w:rsidRPr="008C10B7">
              <w:rPr>
                <w:rFonts w:ascii="Times" w:hAnsi="Times" w:cs="Times New Roman"/>
                <w:sz w:val="18"/>
                <w:szCs w:val="18"/>
              </w:rPr>
              <w:t>Car travel satisfaction (ref: Low)</w:t>
            </w:r>
          </w:p>
        </w:tc>
        <w:tc>
          <w:tcPr>
            <w:tcW w:w="1701" w:type="dxa"/>
          </w:tcPr>
          <w:p w14:paraId="3825612B" w14:textId="77777777" w:rsidR="002E1DBA" w:rsidRPr="008C10B7" w:rsidRDefault="002E1DBA" w:rsidP="001E79AC">
            <w:pPr>
              <w:spacing w:line="200" w:lineRule="exact"/>
              <w:jc w:val="both"/>
              <w:rPr>
                <w:rFonts w:ascii="Times" w:hAnsi="Times" w:cs="Times New Roman"/>
                <w:sz w:val="18"/>
                <w:szCs w:val="18"/>
              </w:rPr>
            </w:pPr>
          </w:p>
        </w:tc>
        <w:tc>
          <w:tcPr>
            <w:tcW w:w="1701" w:type="dxa"/>
          </w:tcPr>
          <w:p w14:paraId="0D0D7A3A" w14:textId="77777777" w:rsidR="002E1DBA" w:rsidRPr="008C10B7" w:rsidRDefault="002E1DBA" w:rsidP="001E79AC">
            <w:pPr>
              <w:spacing w:line="200" w:lineRule="exact"/>
              <w:jc w:val="both"/>
              <w:rPr>
                <w:rFonts w:ascii="Times" w:hAnsi="Times" w:cs="Times New Roman"/>
                <w:sz w:val="18"/>
                <w:szCs w:val="18"/>
              </w:rPr>
            </w:pPr>
          </w:p>
        </w:tc>
        <w:tc>
          <w:tcPr>
            <w:tcW w:w="1843" w:type="dxa"/>
          </w:tcPr>
          <w:p w14:paraId="5916C11C" w14:textId="77777777" w:rsidR="002E1DBA" w:rsidRPr="008C10B7" w:rsidRDefault="002E1DBA" w:rsidP="001E79AC">
            <w:pPr>
              <w:spacing w:line="200" w:lineRule="exact"/>
              <w:jc w:val="both"/>
              <w:rPr>
                <w:rFonts w:ascii="Times" w:hAnsi="Times" w:cs="Times New Roman"/>
                <w:sz w:val="18"/>
                <w:szCs w:val="18"/>
              </w:rPr>
            </w:pPr>
          </w:p>
        </w:tc>
      </w:tr>
      <w:tr w:rsidR="008C10B7" w:rsidRPr="008C10B7" w14:paraId="048671B3" w14:textId="77777777" w:rsidTr="001E79AC">
        <w:trPr>
          <w:gridAfter w:val="1"/>
          <w:wAfter w:w="709" w:type="dxa"/>
        </w:trPr>
        <w:tc>
          <w:tcPr>
            <w:tcW w:w="3124" w:type="dxa"/>
          </w:tcPr>
          <w:p w14:paraId="38AB8F61" w14:textId="77777777" w:rsidR="002E1DBA" w:rsidRPr="008C10B7" w:rsidRDefault="002E1DBA" w:rsidP="001E79AC">
            <w:pPr>
              <w:spacing w:line="200" w:lineRule="exact"/>
              <w:ind w:firstLineChars="50" w:firstLine="90"/>
              <w:jc w:val="both"/>
              <w:rPr>
                <w:rFonts w:ascii="Times" w:hAnsi="Times" w:cs="Times New Roman"/>
                <w:sz w:val="18"/>
                <w:szCs w:val="18"/>
              </w:rPr>
            </w:pPr>
            <w:r w:rsidRPr="008C10B7">
              <w:rPr>
                <w:rFonts w:ascii="Times" w:hAnsi="Times" w:cs="Times New Roman"/>
                <w:sz w:val="18"/>
                <w:szCs w:val="18"/>
              </w:rPr>
              <w:t>Moderate</w:t>
            </w:r>
          </w:p>
        </w:tc>
        <w:tc>
          <w:tcPr>
            <w:tcW w:w="1701" w:type="dxa"/>
          </w:tcPr>
          <w:p w14:paraId="28A858ED" w14:textId="77777777" w:rsidR="002E1DBA" w:rsidRPr="008C10B7" w:rsidRDefault="002E1DBA" w:rsidP="001E79AC">
            <w:pPr>
              <w:spacing w:line="200" w:lineRule="exact"/>
              <w:jc w:val="both"/>
              <w:rPr>
                <w:rFonts w:ascii="Times" w:hAnsi="Times" w:cs="Times New Roman"/>
                <w:sz w:val="18"/>
                <w:szCs w:val="18"/>
              </w:rPr>
            </w:pPr>
          </w:p>
        </w:tc>
        <w:tc>
          <w:tcPr>
            <w:tcW w:w="1701" w:type="dxa"/>
          </w:tcPr>
          <w:p w14:paraId="5D684A06" w14:textId="77777777" w:rsidR="002E1DBA" w:rsidRPr="008C10B7" w:rsidRDefault="002E1DBA" w:rsidP="001E79AC">
            <w:pPr>
              <w:spacing w:line="200" w:lineRule="exact"/>
              <w:jc w:val="both"/>
              <w:rPr>
                <w:rFonts w:ascii="Times" w:hAnsi="Times" w:cs="Times New Roman"/>
                <w:sz w:val="18"/>
                <w:szCs w:val="18"/>
              </w:rPr>
            </w:pPr>
          </w:p>
        </w:tc>
        <w:tc>
          <w:tcPr>
            <w:tcW w:w="1843" w:type="dxa"/>
          </w:tcPr>
          <w:p w14:paraId="04EC9E6D"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1.597(0.847-3.011)</w:t>
            </w:r>
          </w:p>
        </w:tc>
      </w:tr>
      <w:tr w:rsidR="008C10B7" w:rsidRPr="008C10B7" w14:paraId="7F4AC330" w14:textId="77777777" w:rsidTr="001E79AC">
        <w:trPr>
          <w:gridAfter w:val="1"/>
          <w:wAfter w:w="709" w:type="dxa"/>
        </w:trPr>
        <w:tc>
          <w:tcPr>
            <w:tcW w:w="3124" w:type="dxa"/>
          </w:tcPr>
          <w:p w14:paraId="34C4990C" w14:textId="77777777" w:rsidR="002E1DBA" w:rsidRPr="008C10B7" w:rsidRDefault="002E1DBA" w:rsidP="001E79AC">
            <w:pPr>
              <w:spacing w:line="200" w:lineRule="exact"/>
              <w:ind w:firstLineChars="50" w:firstLine="90"/>
              <w:jc w:val="both"/>
              <w:rPr>
                <w:rFonts w:ascii="Times" w:hAnsi="Times" w:cs="Times New Roman"/>
                <w:sz w:val="18"/>
                <w:szCs w:val="18"/>
              </w:rPr>
            </w:pPr>
            <w:r w:rsidRPr="008C10B7">
              <w:rPr>
                <w:rFonts w:ascii="Times" w:hAnsi="Times" w:cs="Times New Roman"/>
                <w:sz w:val="18"/>
                <w:szCs w:val="18"/>
              </w:rPr>
              <w:t>High</w:t>
            </w:r>
          </w:p>
        </w:tc>
        <w:tc>
          <w:tcPr>
            <w:tcW w:w="1701" w:type="dxa"/>
          </w:tcPr>
          <w:p w14:paraId="753043F6" w14:textId="77777777" w:rsidR="002E1DBA" w:rsidRPr="008C10B7" w:rsidRDefault="002E1DBA" w:rsidP="001E79AC">
            <w:pPr>
              <w:spacing w:line="200" w:lineRule="exact"/>
              <w:jc w:val="both"/>
              <w:rPr>
                <w:rFonts w:ascii="Times" w:hAnsi="Times" w:cs="Times New Roman"/>
                <w:sz w:val="18"/>
                <w:szCs w:val="18"/>
              </w:rPr>
            </w:pPr>
          </w:p>
        </w:tc>
        <w:tc>
          <w:tcPr>
            <w:tcW w:w="1701" w:type="dxa"/>
          </w:tcPr>
          <w:p w14:paraId="57AC3611" w14:textId="77777777" w:rsidR="002E1DBA" w:rsidRPr="008C10B7" w:rsidRDefault="002E1DBA" w:rsidP="001E79AC">
            <w:pPr>
              <w:spacing w:line="200" w:lineRule="exact"/>
              <w:jc w:val="both"/>
              <w:rPr>
                <w:rFonts w:ascii="Times" w:hAnsi="Times" w:cs="Times New Roman"/>
                <w:sz w:val="18"/>
                <w:szCs w:val="18"/>
              </w:rPr>
            </w:pPr>
          </w:p>
        </w:tc>
        <w:tc>
          <w:tcPr>
            <w:tcW w:w="1843" w:type="dxa"/>
          </w:tcPr>
          <w:p w14:paraId="04A31434"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1.252(0.658-2.390)</w:t>
            </w:r>
          </w:p>
        </w:tc>
      </w:tr>
      <w:tr w:rsidR="008C10B7" w:rsidRPr="008C10B7" w14:paraId="242A8818" w14:textId="77777777" w:rsidTr="001E79AC">
        <w:trPr>
          <w:gridAfter w:val="1"/>
          <w:wAfter w:w="709" w:type="dxa"/>
        </w:trPr>
        <w:tc>
          <w:tcPr>
            <w:tcW w:w="3124" w:type="dxa"/>
          </w:tcPr>
          <w:p w14:paraId="722F0065" w14:textId="77777777" w:rsidR="002E1DBA" w:rsidRPr="008C10B7" w:rsidRDefault="002E1DBA" w:rsidP="001E79AC">
            <w:pPr>
              <w:spacing w:line="200" w:lineRule="exact"/>
              <w:ind w:firstLineChars="50" w:firstLine="90"/>
              <w:jc w:val="both"/>
              <w:rPr>
                <w:rFonts w:ascii="Times" w:hAnsi="Times" w:cs="Times New Roman"/>
                <w:sz w:val="18"/>
                <w:szCs w:val="18"/>
              </w:rPr>
            </w:pPr>
            <w:r w:rsidRPr="008C10B7">
              <w:rPr>
                <w:rFonts w:ascii="Times" w:hAnsi="Times" w:cs="Times New Roman"/>
                <w:sz w:val="18"/>
                <w:szCs w:val="18"/>
              </w:rPr>
              <w:t>Bus travel satisfaction (ref: Low)</w:t>
            </w:r>
          </w:p>
        </w:tc>
        <w:tc>
          <w:tcPr>
            <w:tcW w:w="1701" w:type="dxa"/>
          </w:tcPr>
          <w:p w14:paraId="102F1B8E" w14:textId="77777777" w:rsidR="002E1DBA" w:rsidRPr="008C10B7" w:rsidRDefault="002E1DBA" w:rsidP="001E79AC">
            <w:pPr>
              <w:spacing w:line="200" w:lineRule="exact"/>
              <w:jc w:val="both"/>
              <w:rPr>
                <w:rFonts w:ascii="Times" w:hAnsi="Times" w:cs="Times New Roman"/>
                <w:sz w:val="18"/>
                <w:szCs w:val="18"/>
              </w:rPr>
            </w:pPr>
          </w:p>
        </w:tc>
        <w:tc>
          <w:tcPr>
            <w:tcW w:w="1701" w:type="dxa"/>
          </w:tcPr>
          <w:p w14:paraId="7A40C99C" w14:textId="77777777" w:rsidR="002E1DBA" w:rsidRPr="008C10B7" w:rsidRDefault="002E1DBA" w:rsidP="001E79AC">
            <w:pPr>
              <w:spacing w:line="200" w:lineRule="exact"/>
              <w:jc w:val="both"/>
              <w:rPr>
                <w:rFonts w:ascii="Times" w:hAnsi="Times" w:cs="Times New Roman"/>
                <w:sz w:val="18"/>
                <w:szCs w:val="18"/>
              </w:rPr>
            </w:pPr>
          </w:p>
        </w:tc>
        <w:tc>
          <w:tcPr>
            <w:tcW w:w="1843" w:type="dxa"/>
          </w:tcPr>
          <w:p w14:paraId="22835A43" w14:textId="77777777" w:rsidR="002E1DBA" w:rsidRPr="008C10B7" w:rsidRDefault="002E1DBA" w:rsidP="001E79AC">
            <w:pPr>
              <w:spacing w:line="200" w:lineRule="exact"/>
              <w:jc w:val="both"/>
              <w:rPr>
                <w:rFonts w:ascii="Times" w:hAnsi="Times" w:cs="Times New Roman"/>
                <w:sz w:val="18"/>
                <w:szCs w:val="18"/>
              </w:rPr>
            </w:pPr>
          </w:p>
        </w:tc>
      </w:tr>
      <w:tr w:rsidR="008C10B7" w:rsidRPr="008C10B7" w14:paraId="353DA32E" w14:textId="77777777" w:rsidTr="001E79AC">
        <w:trPr>
          <w:gridAfter w:val="1"/>
          <w:wAfter w:w="709" w:type="dxa"/>
        </w:trPr>
        <w:tc>
          <w:tcPr>
            <w:tcW w:w="3124" w:type="dxa"/>
          </w:tcPr>
          <w:p w14:paraId="0EB3CCB3" w14:textId="77777777" w:rsidR="002E1DBA" w:rsidRPr="008C10B7" w:rsidRDefault="002E1DBA" w:rsidP="001E79AC">
            <w:pPr>
              <w:spacing w:line="200" w:lineRule="exact"/>
              <w:ind w:firstLineChars="50" w:firstLine="90"/>
              <w:jc w:val="both"/>
              <w:rPr>
                <w:rFonts w:ascii="Times" w:hAnsi="Times" w:cs="Times New Roman"/>
                <w:sz w:val="18"/>
                <w:szCs w:val="18"/>
              </w:rPr>
            </w:pPr>
            <w:r w:rsidRPr="008C10B7">
              <w:rPr>
                <w:rFonts w:ascii="Times" w:hAnsi="Times" w:cs="Times New Roman"/>
                <w:sz w:val="18"/>
                <w:szCs w:val="18"/>
              </w:rPr>
              <w:t>Moderate</w:t>
            </w:r>
          </w:p>
        </w:tc>
        <w:tc>
          <w:tcPr>
            <w:tcW w:w="1701" w:type="dxa"/>
          </w:tcPr>
          <w:p w14:paraId="22C0A98C" w14:textId="77777777" w:rsidR="002E1DBA" w:rsidRPr="008C10B7" w:rsidRDefault="002E1DBA" w:rsidP="001E79AC">
            <w:pPr>
              <w:spacing w:line="200" w:lineRule="exact"/>
              <w:jc w:val="both"/>
              <w:rPr>
                <w:rFonts w:ascii="Times" w:hAnsi="Times" w:cs="Times New Roman"/>
                <w:sz w:val="18"/>
                <w:szCs w:val="18"/>
              </w:rPr>
            </w:pPr>
          </w:p>
        </w:tc>
        <w:tc>
          <w:tcPr>
            <w:tcW w:w="1701" w:type="dxa"/>
          </w:tcPr>
          <w:p w14:paraId="54353461" w14:textId="77777777" w:rsidR="002E1DBA" w:rsidRPr="008C10B7" w:rsidRDefault="002E1DBA" w:rsidP="001E79AC">
            <w:pPr>
              <w:spacing w:line="200" w:lineRule="exact"/>
              <w:jc w:val="both"/>
              <w:rPr>
                <w:rFonts w:ascii="Times" w:hAnsi="Times" w:cs="Times New Roman"/>
                <w:sz w:val="18"/>
                <w:szCs w:val="18"/>
              </w:rPr>
            </w:pPr>
          </w:p>
        </w:tc>
        <w:tc>
          <w:tcPr>
            <w:tcW w:w="1843" w:type="dxa"/>
          </w:tcPr>
          <w:p w14:paraId="182742E2"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1.038(0.559-1.928)</w:t>
            </w:r>
          </w:p>
        </w:tc>
      </w:tr>
      <w:tr w:rsidR="008C10B7" w:rsidRPr="008C10B7" w14:paraId="624330B2" w14:textId="77777777" w:rsidTr="001E79AC">
        <w:trPr>
          <w:gridAfter w:val="1"/>
          <w:wAfter w:w="709" w:type="dxa"/>
        </w:trPr>
        <w:tc>
          <w:tcPr>
            <w:tcW w:w="3124" w:type="dxa"/>
          </w:tcPr>
          <w:p w14:paraId="18A9F5B4" w14:textId="77777777" w:rsidR="002E1DBA" w:rsidRPr="008C10B7" w:rsidRDefault="002E1DBA" w:rsidP="001E79AC">
            <w:pPr>
              <w:spacing w:line="200" w:lineRule="exact"/>
              <w:ind w:firstLineChars="50" w:firstLine="90"/>
              <w:jc w:val="both"/>
              <w:rPr>
                <w:rFonts w:ascii="Times" w:hAnsi="Times" w:cs="Times New Roman"/>
                <w:sz w:val="18"/>
                <w:szCs w:val="18"/>
              </w:rPr>
            </w:pPr>
            <w:r w:rsidRPr="008C10B7">
              <w:rPr>
                <w:rFonts w:ascii="Times" w:hAnsi="Times" w:cs="Times New Roman"/>
                <w:sz w:val="18"/>
                <w:szCs w:val="18"/>
              </w:rPr>
              <w:t>High</w:t>
            </w:r>
          </w:p>
        </w:tc>
        <w:tc>
          <w:tcPr>
            <w:tcW w:w="1701" w:type="dxa"/>
          </w:tcPr>
          <w:p w14:paraId="4B43B3A3" w14:textId="77777777" w:rsidR="002E1DBA" w:rsidRPr="008C10B7" w:rsidRDefault="002E1DBA" w:rsidP="001E79AC">
            <w:pPr>
              <w:spacing w:line="200" w:lineRule="exact"/>
              <w:jc w:val="both"/>
              <w:rPr>
                <w:rFonts w:ascii="Times" w:hAnsi="Times" w:cs="Times New Roman"/>
                <w:sz w:val="18"/>
                <w:szCs w:val="18"/>
              </w:rPr>
            </w:pPr>
          </w:p>
        </w:tc>
        <w:tc>
          <w:tcPr>
            <w:tcW w:w="1701" w:type="dxa"/>
          </w:tcPr>
          <w:p w14:paraId="7F4F455C" w14:textId="77777777" w:rsidR="002E1DBA" w:rsidRPr="008C10B7" w:rsidRDefault="002E1DBA" w:rsidP="001E79AC">
            <w:pPr>
              <w:spacing w:line="200" w:lineRule="exact"/>
              <w:jc w:val="both"/>
              <w:rPr>
                <w:rFonts w:ascii="Times" w:hAnsi="Times" w:cs="Times New Roman"/>
                <w:sz w:val="18"/>
                <w:szCs w:val="18"/>
              </w:rPr>
            </w:pPr>
          </w:p>
        </w:tc>
        <w:tc>
          <w:tcPr>
            <w:tcW w:w="1843" w:type="dxa"/>
          </w:tcPr>
          <w:p w14:paraId="1F24CFC3"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1.252(0.656-2.390)</w:t>
            </w:r>
          </w:p>
        </w:tc>
      </w:tr>
      <w:tr w:rsidR="008C10B7" w:rsidRPr="008C10B7" w14:paraId="173A114A" w14:textId="77777777" w:rsidTr="001E79AC">
        <w:trPr>
          <w:gridAfter w:val="1"/>
          <w:wAfter w:w="709" w:type="dxa"/>
        </w:trPr>
        <w:tc>
          <w:tcPr>
            <w:tcW w:w="3124" w:type="dxa"/>
          </w:tcPr>
          <w:p w14:paraId="46B01A18" w14:textId="77777777" w:rsidR="002E1DBA" w:rsidRPr="008C10B7" w:rsidRDefault="002E1DBA" w:rsidP="001E79AC">
            <w:pPr>
              <w:spacing w:line="200" w:lineRule="exact"/>
              <w:ind w:firstLineChars="50" w:firstLine="90"/>
              <w:jc w:val="both"/>
              <w:rPr>
                <w:rFonts w:ascii="Times" w:hAnsi="Times" w:cs="Times New Roman"/>
                <w:sz w:val="18"/>
                <w:szCs w:val="18"/>
              </w:rPr>
            </w:pPr>
            <w:r w:rsidRPr="008C10B7">
              <w:rPr>
                <w:rFonts w:ascii="Times" w:hAnsi="Times" w:cs="Times New Roman"/>
                <w:sz w:val="18"/>
                <w:szCs w:val="18"/>
              </w:rPr>
              <w:t>Metro travel satisfaction (ref: Low)</w:t>
            </w:r>
          </w:p>
        </w:tc>
        <w:tc>
          <w:tcPr>
            <w:tcW w:w="1701" w:type="dxa"/>
          </w:tcPr>
          <w:p w14:paraId="6CE5E71A" w14:textId="77777777" w:rsidR="002E1DBA" w:rsidRPr="008C10B7" w:rsidRDefault="002E1DBA" w:rsidP="001E79AC">
            <w:pPr>
              <w:spacing w:line="200" w:lineRule="exact"/>
              <w:jc w:val="both"/>
              <w:rPr>
                <w:rFonts w:ascii="Times" w:hAnsi="Times" w:cs="Times New Roman"/>
                <w:sz w:val="18"/>
                <w:szCs w:val="18"/>
              </w:rPr>
            </w:pPr>
          </w:p>
        </w:tc>
        <w:tc>
          <w:tcPr>
            <w:tcW w:w="1701" w:type="dxa"/>
          </w:tcPr>
          <w:p w14:paraId="4ADFCF39" w14:textId="77777777" w:rsidR="002E1DBA" w:rsidRPr="008C10B7" w:rsidRDefault="002E1DBA" w:rsidP="001E79AC">
            <w:pPr>
              <w:spacing w:line="200" w:lineRule="exact"/>
              <w:jc w:val="both"/>
              <w:rPr>
                <w:rFonts w:ascii="Times" w:hAnsi="Times" w:cs="Times New Roman"/>
                <w:sz w:val="18"/>
                <w:szCs w:val="18"/>
              </w:rPr>
            </w:pPr>
          </w:p>
        </w:tc>
        <w:tc>
          <w:tcPr>
            <w:tcW w:w="1843" w:type="dxa"/>
          </w:tcPr>
          <w:p w14:paraId="071DA470" w14:textId="77777777" w:rsidR="002E1DBA" w:rsidRPr="008C10B7" w:rsidRDefault="002E1DBA" w:rsidP="001E79AC">
            <w:pPr>
              <w:spacing w:line="200" w:lineRule="exact"/>
              <w:jc w:val="both"/>
              <w:rPr>
                <w:rFonts w:ascii="Times" w:hAnsi="Times" w:cs="Times New Roman"/>
                <w:sz w:val="18"/>
                <w:szCs w:val="18"/>
              </w:rPr>
            </w:pPr>
          </w:p>
        </w:tc>
      </w:tr>
      <w:tr w:rsidR="008C10B7" w:rsidRPr="008C10B7" w14:paraId="6685AF7B" w14:textId="77777777" w:rsidTr="001E79AC">
        <w:trPr>
          <w:gridAfter w:val="1"/>
          <w:wAfter w:w="709" w:type="dxa"/>
        </w:trPr>
        <w:tc>
          <w:tcPr>
            <w:tcW w:w="3124" w:type="dxa"/>
          </w:tcPr>
          <w:p w14:paraId="29B60AFE" w14:textId="77777777" w:rsidR="002E1DBA" w:rsidRPr="008C10B7" w:rsidRDefault="002E1DBA" w:rsidP="001E79AC">
            <w:pPr>
              <w:spacing w:line="200" w:lineRule="exact"/>
              <w:ind w:firstLineChars="50" w:firstLine="90"/>
              <w:jc w:val="both"/>
              <w:rPr>
                <w:rFonts w:ascii="Times" w:hAnsi="Times" w:cs="Times New Roman"/>
                <w:sz w:val="18"/>
                <w:szCs w:val="18"/>
              </w:rPr>
            </w:pPr>
            <w:r w:rsidRPr="008C10B7">
              <w:rPr>
                <w:rFonts w:ascii="Times" w:hAnsi="Times" w:cs="Times New Roman"/>
                <w:sz w:val="18"/>
                <w:szCs w:val="18"/>
              </w:rPr>
              <w:t>Moderate</w:t>
            </w:r>
          </w:p>
        </w:tc>
        <w:tc>
          <w:tcPr>
            <w:tcW w:w="1701" w:type="dxa"/>
          </w:tcPr>
          <w:p w14:paraId="47D07436" w14:textId="77777777" w:rsidR="002E1DBA" w:rsidRPr="008C10B7" w:rsidRDefault="002E1DBA" w:rsidP="001E79AC">
            <w:pPr>
              <w:spacing w:line="200" w:lineRule="exact"/>
              <w:jc w:val="both"/>
              <w:rPr>
                <w:rFonts w:ascii="Times" w:hAnsi="Times" w:cs="Times New Roman"/>
                <w:sz w:val="18"/>
                <w:szCs w:val="18"/>
              </w:rPr>
            </w:pPr>
          </w:p>
        </w:tc>
        <w:tc>
          <w:tcPr>
            <w:tcW w:w="1701" w:type="dxa"/>
          </w:tcPr>
          <w:p w14:paraId="23070F77" w14:textId="77777777" w:rsidR="002E1DBA" w:rsidRPr="008C10B7" w:rsidRDefault="002E1DBA" w:rsidP="001E79AC">
            <w:pPr>
              <w:spacing w:line="200" w:lineRule="exact"/>
              <w:jc w:val="both"/>
              <w:rPr>
                <w:rFonts w:ascii="Times" w:hAnsi="Times" w:cs="Times New Roman"/>
                <w:sz w:val="18"/>
                <w:szCs w:val="18"/>
              </w:rPr>
            </w:pPr>
          </w:p>
        </w:tc>
        <w:tc>
          <w:tcPr>
            <w:tcW w:w="1843" w:type="dxa"/>
          </w:tcPr>
          <w:p w14:paraId="60E90585"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1.038(0.559-1.928)</w:t>
            </w:r>
          </w:p>
        </w:tc>
      </w:tr>
      <w:tr w:rsidR="008C10B7" w:rsidRPr="008C10B7" w14:paraId="6BBE0127" w14:textId="77777777" w:rsidTr="001E79AC">
        <w:trPr>
          <w:gridAfter w:val="1"/>
          <w:wAfter w:w="709" w:type="dxa"/>
        </w:trPr>
        <w:tc>
          <w:tcPr>
            <w:tcW w:w="3124" w:type="dxa"/>
          </w:tcPr>
          <w:p w14:paraId="31A9FEAA" w14:textId="77777777" w:rsidR="002E1DBA" w:rsidRPr="008C10B7" w:rsidRDefault="002E1DBA" w:rsidP="001E79AC">
            <w:pPr>
              <w:spacing w:line="200" w:lineRule="exact"/>
              <w:ind w:firstLineChars="50" w:firstLine="90"/>
              <w:jc w:val="both"/>
              <w:rPr>
                <w:rFonts w:ascii="Times" w:hAnsi="Times" w:cs="Times New Roman"/>
                <w:sz w:val="18"/>
                <w:szCs w:val="18"/>
              </w:rPr>
            </w:pPr>
            <w:r w:rsidRPr="008C10B7">
              <w:rPr>
                <w:rFonts w:ascii="Times" w:hAnsi="Times" w:cs="Times New Roman"/>
                <w:sz w:val="18"/>
                <w:szCs w:val="18"/>
              </w:rPr>
              <w:t>High</w:t>
            </w:r>
          </w:p>
        </w:tc>
        <w:tc>
          <w:tcPr>
            <w:tcW w:w="1701" w:type="dxa"/>
          </w:tcPr>
          <w:p w14:paraId="619B98B2" w14:textId="77777777" w:rsidR="002E1DBA" w:rsidRPr="008C10B7" w:rsidRDefault="002E1DBA" w:rsidP="001E79AC">
            <w:pPr>
              <w:spacing w:line="200" w:lineRule="exact"/>
              <w:jc w:val="both"/>
              <w:rPr>
                <w:rFonts w:ascii="Times" w:hAnsi="Times" w:cs="Times New Roman"/>
                <w:sz w:val="18"/>
                <w:szCs w:val="18"/>
              </w:rPr>
            </w:pPr>
          </w:p>
        </w:tc>
        <w:tc>
          <w:tcPr>
            <w:tcW w:w="1701" w:type="dxa"/>
          </w:tcPr>
          <w:p w14:paraId="293DD5CF" w14:textId="77777777" w:rsidR="002E1DBA" w:rsidRPr="008C10B7" w:rsidRDefault="002E1DBA" w:rsidP="001E79AC">
            <w:pPr>
              <w:spacing w:line="200" w:lineRule="exact"/>
              <w:jc w:val="both"/>
              <w:rPr>
                <w:rFonts w:ascii="Times" w:hAnsi="Times" w:cs="Times New Roman"/>
                <w:sz w:val="18"/>
                <w:szCs w:val="18"/>
              </w:rPr>
            </w:pPr>
          </w:p>
        </w:tc>
        <w:tc>
          <w:tcPr>
            <w:tcW w:w="1843" w:type="dxa"/>
          </w:tcPr>
          <w:p w14:paraId="44402451"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1.609(0.862-3.001)</w:t>
            </w:r>
          </w:p>
        </w:tc>
      </w:tr>
      <w:tr w:rsidR="008C10B7" w:rsidRPr="008C10B7" w14:paraId="54E86A2A" w14:textId="77777777" w:rsidTr="001E79AC">
        <w:trPr>
          <w:gridAfter w:val="1"/>
          <w:wAfter w:w="709" w:type="dxa"/>
        </w:trPr>
        <w:tc>
          <w:tcPr>
            <w:tcW w:w="3124" w:type="dxa"/>
          </w:tcPr>
          <w:p w14:paraId="733F2B2D" w14:textId="77777777" w:rsidR="002E1DBA" w:rsidRPr="008C10B7" w:rsidRDefault="002E1DBA" w:rsidP="001E79AC">
            <w:pPr>
              <w:spacing w:line="200" w:lineRule="exact"/>
              <w:ind w:firstLineChars="50" w:firstLine="90"/>
              <w:jc w:val="both"/>
              <w:rPr>
                <w:rFonts w:ascii="Times" w:hAnsi="Times" w:cs="Times New Roman"/>
                <w:sz w:val="18"/>
                <w:szCs w:val="18"/>
              </w:rPr>
            </w:pPr>
            <w:r w:rsidRPr="008C10B7">
              <w:rPr>
                <w:rFonts w:ascii="Times" w:hAnsi="Times" w:cs="Times New Roman"/>
                <w:sz w:val="18"/>
                <w:szCs w:val="18"/>
              </w:rPr>
              <w:t>Bike/E-bike satisfaction (ref: Low)</w:t>
            </w:r>
          </w:p>
        </w:tc>
        <w:tc>
          <w:tcPr>
            <w:tcW w:w="1701" w:type="dxa"/>
          </w:tcPr>
          <w:p w14:paraId="596860D8" w14:textId="77777777" w:rsidR="002E1DBA" w:rsidRPr="008C10B7" w:rsidRDefault="002E1DBA" w:rsidP="001E79AC">
            <w:pPr>
              <w:spacing w:line="200" w:lineRule="exact"/>
              <w:jc w:val="both"/>
              <w:rPr>
                <w:rFonts w:ascii="Times" w:hAnsi="Times" w:cs="Times New Roman"/>
                <w:sz w:val="18"/>
                <w:szCs w:val="18"/>
              </w:rPr>
            </w:pPr>
          </w:p>
        </w:tc>
        <w:tc>
          <w:tcPr>
            <w:tcW w:w="1701" w:type="dxa"/>
          </w:tcPr>
          <w:p w14:paraId="14583648" w14:textId="77777777" w:rsidR="002E1DBA" w:rsidRPr="008C10B7" w:rsidRDefault="002E1DBA" w:rsidP="001E79AC">
            <w:pPr>
              <w:spacing w:line="200" w:lineRule="exact"/>
              <w:jc w:val="both"/>
              <w:rPr>
                <w:rFonts w:ascii="Times" w:hAnsi="Times" w:cs="Times New Roman"/>
                <w:sz w:val="18"/>
                <w:szCs w:val="18"/>
              </w:rPr>
            </w:pPr>
          </w:p>
        </w:tc>
        <w:tc>
          <w:tcPr>
            <w:tcW w:w="1843" w:type="dxa"/>
          </w:tcPr>
          <w:p w14:paraId="17272CA5" w14:textId="77777777" w:rsidR="002E1DBA" w:rsidRPr="008C10B7" w:rsidRDefault="002E1DBA" w:rsidP="001E79AC">
            <w:pPr>
              <w:spacing w:line="200" w:lineRule="exact"/>
              <w:jc w:val="both"/>
              <w:rPr>
                <w:rFonts w:ascii="Times" w:hAnsi="Times" w:cs="Times New Roman"/>
                <w:sz w:val="18"/>
                <w:szCs w:val="18"/>
              </w:rPr>
            </w:pPr>
          </w:p>
        </w:tc>
      </w:tr>
      <w:tr w:rsidR="008C10B7" w:rsidRPr="008C10B7" w14:paraId="39EF2805" w14:textId="77777777" w:rsidTr="001E79AC">
        <w:trPr>
          <w:gridAfter w:val="1"/>
          <w:wAfter w:w="709" w:type="dxa"/>
        </w:trPr>
        <w:tc>
          <w:tcPr>
            <w:tcW w:w="3124" w:type="dxa"/>
          </w:tcPr>
          <w:p w14:paraId="733DBE3F" w14:textId="77777777" w:rsidR="002E1DBA" w:rsidRPr="008C10B7" w:rsidRDefault="002E1DBA" w:rsidP="001E79AC">
            <w:pPr>
              <w:spacing w:line="200" w:lineRule="exact"/>
              <w:ind w:firstLineChars="50" w:firstLine="90"/>
              <w:jc w:val="both"/>
              <w:rPr>
                <w:rFonts w:ascii="Times" w:hAnsi="Times" w:cs="Times New Roman"/>
                <w:sz w:val="18"/>
                <w:szCs w:val="18"/>
              </w:rPr>
            </w:pPr>
            <w:r w:rsidRPr="008C10B7">
              <w:rPr>
                <w:rFonts w:ascii="Times" w:hAnsi="Times" w:cs="Times New Roman"/>
                <w:sz w:val="18"/>
                <w:szCs w:val="18"/>
              </w:rPr>
              <w:t>Moderate</w:t>
            </w:r>
          </w:p>
        </w:tc>
        <w:tc>
          <w:tcPr>
            <w:tcW w:w="1701" w:type="dxa"/>
          </w:tcPr>
          <w:p w14:paraId="22B873CB" w14:textId="77777777" w:rsidR="002E1DBA" w:rsidRPr="008C10B7" w:rsidRDefault="002E1DBA" w:rsidP="001E79AC">
            <w:pPr>
              <w:spacing w:line="200" w:lineRule="exact"/>
              <w:jc w:val="both"/>
              <w:rPr>
                <w:rFonts w:ascii="Times" w:hAnsi="Times" w:cs="Times New Roman"/>
                <w:sz w:val="18"/>
                <w:szCs w:val="18"/>
              </w:rPr>
            </w:pPr>
          </w:p>
        </w:tc>
        <w:tc>
          <w:tcPr>
            <w:tcW w:w="1701" w:type="dxa"/>
          </w:tcPr>
          <w:p w14:paraId="193F04CC" w14:textId="77777777" w:rsidR="002E1DBA" w:rsidRPr="008C10B7" w:rsidRDefault="002E1DBA" w:rsidP="001E79AC">
            <w:pPr>
              <w:spacing w:line="200" w:lineRule="exact"/>
              <w:jc w:val="both"/>
              <w:rPr>
                <w:rFonts w:ascii="Times" w:hAnsi="Times" w:cs="Times New Roman"/>
                <w:sz w:val="18"/>
                <w:szCs w:val="18"/>
              </w:rPr>
            </w:pPr>
          </w:p>
        </w:tc>
        <w:tc>
          <w:tcPr>
            <w:tcW w:w="1843" w:type="dxa"/>
          </w:tcPr>
          <w:p w14:paraId="21A7B59E"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1.176(0.480-2.882)</w:t>
            </w:r>
          </w:p>
        </w:tc>
      </w:tr>
      <w:tr w:rsidR="008C10B7" w:rsidRPr="008C10B7" w14:paraId="33A03FB5" w14:textId="77777777" w:rsidTr="001E79AC">
        <w:trPr>
          <w:gridAfter w:val="1"/>
          <w:wAfter w:w="709" w:type="dxa"/>
        </w:trPr>
        <w:tc>
          <w:tcPr>
            <w:tcW w:w="3124" w:type="dxa"/>
          </w:tcPr>
          <w:p w14:paraId="26DF1572" w14:textId="77777777" w:rsidR="002E1DBA" w:rsidRPr="008C10B7" w:rsidRDefault="002E1DBA" w:rsidP="001E79AC">
            <w:pPr>
              <w:spacing w:line="200" w:lineRule="exact"/>
              <w:ind w:firstLineChars="50" w:firstLine="90"/>
              <w:jc w:val="both"/>
              <w:rPr>
                <w:rFonts w:ascii="Times" w:hAnsi="Times" w:cs="Times New Roman"/>
                <w:sz w:val="18"/>
                <w:szCs w:val="18"/>
              </w:rPr>
            </w:pPr>
            <w:r w:rsidRPr="008C10B7">
              <w:rPr>
                <w:rFonts w:ascii="Times" w:hAnsi="Times" w:cs="Times New Roman"/>
                <w:sz w:val="18"/>
                <w:szCs w:val="18"/>
              </w:rPr>
              <w:t>High</w:t>
            </w:r>
          </w:p>
        </w:tc>
        <w:tc>
          <w:tcPr>
            <w:tcW w:w="1701" w:type="dxa"/>
          </w:tcPr>
          <w:p w14:paraId="574670C8" w14:textId="77777777" w:rsidR="002E1DBA" w:rsidRPr="008C10B7" w:rsidRDefault="002E1DBA" w:rsidP="001E79AC">
            <w:pPr>
              <w:spacing w:line="200" w:lineRule="exact"/>
              <w:jc w:val="both"/>
              <w:rPr>
                <w:rFonts w:ascii="Times" w:hAnsi="Times" w:cs="Times New Roman"/>
                <w:sz w:val="18"/>
                <w:szCs w:val="18"/>
              </w:rPr>
            </w:pPr>
          </w:p>
        </w:tc>
        <w:tc>
          <w:tcPr>
            <w:tcW w:w="1701" w:type="dxa"/>
          </w:tcPr>
          <w:p w14:paraId="4461959A" w14:textId="77777777" w:rsidR="002E1DBA" w:rsidRPr="008C10B7" w:rsidRDefault="002E1DBA" w:rsidP="001E79AC">
            <w:pPr>
              <w:spacing w:line="200" w:lineRule="exact"/>
              <w:jc w:val="both"/>
              <w:rPr>
                <w:rFonts w:ascii="Times" w:hAnsi="Times" w:cs="Times New Roman"/>
                <w:sz w:val="18"/>
                <w:szCs w:val="18"/>
              </w:rPr>
            </w:pPr>
          </w:p>
        </w:tc>
        <w:tc>
          <w:tcPr>
            <w:tcW w:w="1843" w:type="dxa"/>
          </w:tcPr>
          <w:p w14:paraId="6EB512D4"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0.540(0.240-1.216)</w:t>
            </w:r>
          </w:p>
        </w:tc>
      </w:tr>
      <w:tr w:rsidR="008C10B7" w:rsidRPr="008C10B7" w14:paraId="68525237" w14:textId="77777777" w:rsidTr="001E79AC">
        <w:trPr>
          <w:gridAfter w:val="1"/>
          <w:wAfter w:w="709" w:type="dxa"/>
        </w:trPr>
        <w:tc>
          <w:tcPr>
            <w:tcW w:w="3124" w:type="dxa"/>
          </w:tcPr>
          <w:p w14:paraId="25B8E3CA" w14:textId="77777777" w:rsidR="002E1DBA" w:rsidRPr="008C10B7" w:rsidRDefault="002E1DBA" w:rsidP="001E79AC">
            <w:pPr>
              <w:spacing w:line="200" w:lineRule="exact"/>
              <w:ind w:firstLineChars="50" w:firstLine="90"/>
              <w:jc w:val="both"/>
              <w:rPr>
                <w:rFonts w:ascii="Times" w:hAnsi="Times" w:cs="Times New Roman"/>
                <w:sz w:val="18"/>
                <w:szCs w:val="18"/>
              </w:rPr>
            </w:pPr>
            <w:r w:rsidRPr="008C10B7">
              <w:rPr>
                <w:rFonts w:ascii="Times" w:hAnsi="Times" w:cs="Times New Roman"/>
                <w:sz w:val="18"/>
                <w:szCs w:val="18"/>
              </w:rPr>
              <w:t>Walking satisfaction (ref: Low)</w:t>
            </w:r>
          </w:p>
        </w:tc>
        <w:tc>
          <w:tcPr>
            <w:tcW w:w="1701" w:type="dxa"/>
          </w:tcPr>
          <w:p w14:paraId="4107787A" w14:textId="77777777" w:rsidR="002E1DBA" w:rsidRPr="008C10B7" w:rsidRDefault="002E1DBA" w:rsidP="001E79AC">
            <w:pPr>
              <w:spacing w:line="200" w:lineRule="exact"/>
              <w:jc w:val="both"/>
              <w:rPr>
                <w:rFonts w:ascii="Times" w:hAnsi="Times" w:cs="Times New Roman"/>
                <w:sz w:val="18"/>
                <w:szCs w:val="18"/>
              </w:rPr>
            </w:pPr>
          </w:p>
        </w:tc>
        <w:tc>
          <w:tcPr>
            <w:tcW w:w="1701" w:type="dxa"/>
          </w:tcPr>
          <w:p w14:paraId="56A5ADB8" w14:textId="77777777" w:rsidR="002E1DBA" w:rsidRPr="008C10B7" w:rsidRDefault="002E1DBA" w:rsidP="001E79AC">
            <w:pPr>
              <w:spacing w:line="200" w:lineRule="exact"/>
              <w:jc w:val="both"/>
              <w:rPr>
                <w:rFonts w:ascii="Times" w:hAnsi="Times" w:cs="Times New Roman"/>
                <w:sz w:val="18"/>
                <w:szCs w:val="18"/>
              </w:rPr>
            </w:pPr>
          </w:p>
        </w:tc>
        <w:tc>
          <w:tcPr>
            <w:tcW w:w="1843" w:type="dxa"/>
          </w:tcPr>
          <w:p w14:paraId="2D065E09" w14:textId="77777777" w:rsidR="002E1DBA" w:rsidRPr="008C10B7" w:rsidRDefault="002E1DBA" w:rsidP="001E79AC">
            <w:pPr>
              <w:spacing w:line="200" w:lineRule="exact"/>
              <w:jc w:val="both"/>
              <w:rPr>
                <w:rFonts w:ascii="Times" w:hAnsi="Times" w:cs="Times New Roman"/>
                <w:sz w:val="18"/>
                <w:szCs w:val="18"/>
              </w:rPr>
            </w:pPr>
          </w:p>
        </w:tc>
      </w:tr>
      <w:tr w:rsidR="008C10B7" w:rsidRPr="008C10B7" w14:paraId="1350F889" w14:textId="77777777" w:rsidTr="001E79AC">
        <w:trPr>
          <w:gridAfter w:val="1"/>
          <w:wAfter w:w="709" w:type="dxa"/>
        </w:trPr>
        <w:tc>
          <w:tcPr>
            <w:tcW w:w="3124" w:type="dxa"/>
          </w:tcPr>
          <w:p w14:paraId="3928E4BE" w14:textId="77777777" w:rsidR="002E1DBA" w:rsidRPr="008C10B7" w:rsidRDefault="002E1DBA" w:rsidP="001E79AC">
            <w:pPr>
              <w:spacing w:line="200" w:lineRule="exact"/>
              <w:ind w:firstLineChars="50" w:firstLine="90"/>
              <w:jc w:val="both"/>
              <w:rPr>
                <w:rFonts w:ascii="Times" w:hAnsi="Times" w:cs="Times New Roman"/>
                <w:sz w:val="18"/>
                <w:szCs w:val="18"/>
              </w:rPr>
            </w:pPr>
            <w:r w:rsidRPr="008C10B7">
              <w:rPr>
                <w:rFonts w:ascii="Times" w:hAnsi="Times" w:cs="Times New Roman"/>
                <w:sz w:val="18"/>
                <w:szCs w:val="18"/>
              </w:rPr>
              <w:t>Moderate</w:t>
            </w:r>
          </w:p>
        </w:tc>
        <w:tc>
          <w:tcPr>
            <w:tcW w:w="1701" w:type="dxa"/>
          </w:tcPr>
          <w:p w14:paraId="70DC21EA" w14:textId="77777777" w:rsidR="002E1DBA" w:rsidRPr="008C10B7" w:rsidRDefault="002E1DBA" w:rsidP="001E79AC">
            <w:pPr>
              <w:spacing w:line="200" w:lineRule="exact"/>
              <w:jc w:val="both"/>
              <w:rPr>
                <w:rFonts w:ascii="Times" w:hAnsi="Times" w:cs="Times New Roman"/>
                <w:sz w:val="18"/>
                <w:szCs w:val="18"/>
              </w:rPr>
            </w:pPr>
          </w:p>
        </w:tc>
        <w:tc>
          <w:tcPr>
            <w:tcW w:w="1701" w:type="dxa"/>
          </w:tcPr>
          <w:p w14:paraId="480E067E" w14:textId="77777777" w:rsidR="002E1DBA" w:rsidRPr="008C10B7" w:rsidRDefault="002E1DBA" w:rsidP="001E79AC">
            <w:pPr>
              <w:spacing w:line="200" w:lineRule="exact"/>
              <w:jc w:val="both"/>
              <w:rPr>
                <w:rFonts w:ascii="Times" w:hAnsi="Times" w:cs="Times New Roman"/>
                <w:sz w:val="18"/>
                <w:szCs w:val="18"/>
              </w:rPr>
            </w:pPr>
          </w:p>
        </w:tc>
        <w:tc>
          <w:tcPr>
            <w:tcW w:w="1843" w:type="dxa"/>
          </w:tcPr>
          <w:p w14:paraId="5D1BEC9C"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2.349**(1.304-4.232)</w:t>
            </w:r>
          </w:p>
        </w:tc>
      </w:tr>
      <w:tr w:rsidR="008C10B7" w:rsidRPr="008C10B7" w14:paraId="272B6EC2" w14:textId="77777777" w:rsidTr="001E79AC">
        <w:trPr>
          <w:gridAfter w:val="1"/>
          <w:wAfter w:w="709" w:type="dxa"/>
        </w:trPr>
        <w:tc>
          <w:tcPr>
            <w:tcW w:w="3124" w:type="dxa"/>
          </w:tcPr>
          <w:p w14:paraId="245B6DC6" w14:textId="77777777" w:rsidR="002E1DBA" w:rsidRPr="008C10B7" w:rsidRDefault="002E1DBA" w:rsidP="001E79AC">
            <w:pPr>
              <w:spacing w:line="200" w:lineRule="exact"/>
              <w:ind w:firstLineChars="50" w:firstLine="90"/>
              <w:jc w:val="both"/>
              <w:rPr>
                <w:rFonts w:ascii="Times" w:hAnsi="Times" w:cs="Times New Roman"/>
                <w:sz w:val="18"/>
                <w:szCs w:val="18"/>
              </w:rPr>
            </w:pPr>
            <w:r w:rsidRPr="008C10B7">
              <w:rPr>
                <w:rFonts w:ascii="Times" w:hAnsi="Times" w:cs="Times New Roman"/>
                <w:sz w:val="18"/>
                <w:szCs w:val="18"/>
              </w:rPr>
              <w:t>High</w:t>
            </w:r>
          </w:p>
        </w:tc>
        <w:tc>
          <w:tcPr>
            <w:tcW w:w="1701" w:type="dxa"/>
          </w:tcPr>
          <w:p w14:paraId="628EFBC7" w14:textId="77777777" w:rsidR="002E1DBA" w:rsidRPr="008C10B7" w:rsidRDefault="002E1DBA" w:rsidP="001E79AC">
            <w:pPr>
              <w:spacing w:line="200" w:lineRule="exact"/>
              <w:jc w:val="both"/>
              <w:rPr>
                <w:rFonts w:ascii="Times" w:hAnsi="Times" w:cs="Times New Roman"/>
                <w:sz w:val="18"/>
                <w:szCs w:val="18"/>
              </w:rPr>
            </w:pPr>
          </w:p>
        </w:tc>
        <w:tc>
          <w:tcPr>
            <w:tcW w:w="1701" w:type="dxa"/>
          </w:tcPr>
          <w:p w14:paraId="225DD9A3" w14:textId="77777777" w:rsidR="002E1DBA" w:rsidRPr="008C10B7" w:rsidRDefault="002E1DBA" w:rsidP="001E79AC">
            <w:pPr>
              <w:spacing w:line="200" w:lineRule="exact"/>
              <w:jc w:val="both"/>
              <w:rPr>
                <w:rFonts w:ascii="Times" w:hAnsi="Times" w:cs="Times New Roman"/>
                <w:sz w:val="18"/>
                <w:szCs w:val="18"/>
              </w:rPr>
            </w:pPr>
          </w:p>
        </w:tc>
        <w:tc>
          <w:tcPr>
            <w:tcW w:w="1843" w:type="dxa"/>
          </w:tcPr>
          <w:p w14:paraId="0572FB9D"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5.687***(3.152-10.262)</w:t>
            </w:r>
          </w:p>
        </w:tc>
      </w:tr>
      <w:tr w:rsidR="008C10B7" w:rsidRPr="008C10B7" w14:paraId="480922BC" w14:textId="77777777" w:rsidTr="001E79AC">
        <w:trPr>
          <w:gridAfter w:val="1"/>
          <w:wAfter w:w="709" w:type="dxa"/>
        </w:trPr>
        <w:tc>
          <w:tcPr>
            <w:tcW w:w="3124" w:type="dxa"/>
          </w:tcPr>
          <w:p w14:paraId="4844CF35"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Constant</w:t>
            </w:r>
          </w:p>
        </w:tc>
        <w:tc>
          <w:tcPr>
            <w:tcW w:w="1701" w:type="dxa"/>
          </w:tcPr>
          <w:p w14:paraId="12CE1014"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2.211(0.789-6.197)</w:t>
            </w:r>
          </w:p>
        </w:tc>
        <w:tc>
          <w:tcPr>
            <w:tcW w:w="1701" w:type="dxa"/>
          </w:tcPr>
          <w:p w14:paraId="064B915B"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0.772(0.257-2.322)</w:t>
            </w:r>
          </w:p>
        </w:tc>
        <w:tc>
          <w:tcPr>
            <w:tcW w:w="1843" w:type="dxa"/>
          </w:tcPr>
          <w:p w14:paraId="1C140B7B"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0.201**(0.495-0.819)</w:t>
            </w:r>
          </w:p>
        </w:tc>
      </w:tr>
      <w:tr w:rsidR="008C10B7" w:rsidRPr="008C10B7" w14:paraId="256B4100" w14:textId="77777777" w:rsidTr="001E79AC">
        <w:trPr>
          <w:gridAfter w:val="1"/>
          <w:wAfter w:w="709" w:type="dxa"/>
        </w:trPr>
        <w:tc>
          <w:tcPr>
            <w:tcW w:w="3124" w:type="dxa"/>
          </w:tcPr>
          <w:p w14:paraId="218650DA" w14:textId="77777777" w:rsidR="002E1DBA" w:rsidRPr="008C10B7" w:rsidRDefault="002E1DBA" w:rsidP="001E79AC">
            <w:pPr>
              <w:spacing w:line="200" w:lineRule="exact"/>
              <w:jc w:val="both"/>
              <w:rPr>
                <w:rFonts w:ascii="Times" w:hAnsi="Times" w:cs="Times New Roman"/>
                <w:b/>
                <w:bCs/>
                <w:sz w:val="18"/>
                <w:szCs w:val="18"/>
              </w:rPr>
            </w:pPr>
            <w:r w:rsidRPr="008C10B7">
              <w:rPr>
                <w:rFonts w:ascii="Times" w:hAnsi="Times" w:cs="Times New Roman"/>
                <w:b/>
                <w:bCs/>
                <w:sz w:val="18"/>
                <w:szCs w:val="18"/>
              </w:rPr>
              <w:t>Random part</w:t>
            </w:r>
          </w:p>
        </w:tc>
        <w:tc>
          <w:tcPr>
            <w:tcW w:w="1701" w:type="dxa"/>
          </w:tcPr>
          <w:p w14:paraId="38D88AC5" w14:textId="77777777" w:rsidR="002E1DBA" w:rsidRPr="008C10B7" w:rsidRDefault="002E1DBA" w:rsidP="001E79AC">
            <w:pPr>
              <w:spacing w:line="200" w:lineRule="exact"/>
              <w:jc w:val="both"/>
              <w:rPr>
                <w:rFonts w:ascii="Times" w:hAnsi="Times" w:cs="Times New Roman"/>
                <w:sz w:val="18"/>
                <w:szCs w:val="18"/>
              </w:rPr>
            </w:pPr>
          </w:p>
        </w:tc>
        <w:tc>
          <w:tcPr>
            <w:tcW w:w="1701" w:type="dxa"/>
          </w:tcPr>
          <w:p w14:paraId="66507DA8" w14:textId="77777777" w:rsidR="002E1DBA" w:rsidRPr="008C10B7" w:rsidRDefault="002E1DBA" w:rsidP="001E79AC">
            <w:pPr>
              <w:spacing w:line="200" w:lineRule="exact"/>
              <w:jc w:val="both"/>
              <w:rPr>
                <w:rFonts w:ascii="Times" w:hAnsi="Times" w:cs="Times New Roman"/>
                <w:sz w:val="18"/>
                <w:szCs w:val="18"/>
              </w:rPr>
            </w:pPr>
          </w:p>
        </w:tc>
        <w:tc>
          <w:tcPr>
            <w:tcW w:w="1843" w:type="dxa"/>
          </w:tcPr>
          <w:p w14:paraId="38F18AEC" w14:textId="77777777" w:rsidR="002E1DBA" w:rsidRPr="008C10B7" w:rsidRDefault="002E1DBA" w:rsidP="001E79AC">
            <w:pPr>
              <w:spacing w:line="200" w:lineRule="exact"/>
              <w:jc w:val="both"/>
              <w:rPr>
                <w:rFonts w:ascii="Times" w:hAnsi="Times" w:cs="Times New Roman"/>
                <w:sz w:val="18"/>
                <w:szCs w:val="18"/>
              </w:rPr>
            </w:pPr>
          </w:p>
        </w:tc>
      </w:tr>
      <w:tr w:rsidR="008C10B7" w:rsidRPr="008C10B7" w14:paraId="496A1CDB" w14:textId="77777777" w:rsidTr="001E79AC">
        <w:trPr>
          <w:gridAfter w:val="1"/>
          <w:wAfter w:w="709" w:type="dxa"/>
        </w:trPr>
        <w:tc>
          <w:tcPr>
            <w:tcW w:w="3124" w:type="dxa"/>
          </w:tcPr>
          <w:p w14:paraId="1EA9587F" w14:textId="77777777" w:rsidR="002E1DBA" w:rsidRPr="008C10B7" w:rsidRDefault="002E1DBA" w:rsidP="001E79AC">
            <w:pPr>
              <w:spacing w:line="200" w:lineRule="exact"/>
              <w:ind w:firstLineChars="50" w:firstLine="90"/>
              <w:jc w:val="both"/>
              <w:rPr>
                <w:rFonts w:ascii="Times" w:hAnsi="Times" w:cs="Times New Roman"/>
                <w:sz w:val="18"/>
                <w:szCs w:val="18"/>
              </w:rPr>
            </w:pPr>
            <w:r w:rsidRPr="008C10B7">
              <w:rPr>
                <w:rFonts w:ascii="Times" w:hAnsi="Times" w:cs="Times New Roman"/>
                <w:sz w:val="18"/>
                <w:szCs w:val="18"/>
              </w:rPr>
              <w:t>Var (</w:t>
            </w:r>
            <w:r w:rsidRPr="008C10B7">
              <w:rPr>
                <w:rFonts w:ascii="Times" w:hAnsi="Times" w:cs="Times New Roman" w:hint="eastAsia"/>
                <w:sz w:val="18"/>
                <w:szCs w:val="18"/>
              </w:rPr>
              <w:t>Uni</w:t>
            </w:r>
            <w:r w:rsidRPr="008C10B7">
              <w:rPr>
                <w:rFonts w:ascii="Times" w:hAnsi="Times" w:cs="Times New Roman"/>
                <w:sz w:val="18"/>
                <w:szCs w:val="18"/>
              </w:rPr>
              <w:t>versities)</w:t>
            </w:r>
          </w:p>
        </w:tc>
        <w:tc>
          <w:tcPr>
            <w:tcW w:w="1701" w:type="dxa"/>
          </w:tcPr>
          <w:p w14:paraId="61B4BC27"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1.000**</w:t>
            </w:r>
          </w:p>
        </w:tc>
        <w:tc>
          <w:tcPr>
            <w:tcW w:w="1701" w:type="dxa"/>
          </w:tcPr>
          <w:p w14:paraId="6DA310F6"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0.445**</w:t>
            </w:r>
          </w:p>
        </w:tc>
        <w:tc>
          <w:tcPr>
            <w:tcW w:w="1843" w:type="dxa"/>
          </w:tcPr>
          <w:p w14:paraId="23CEA3AE"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0.376**</w:t>
            </w:r>
          </w:p>
        </w:tc>
      </w:tr>
      <w:tr w:rsidR="008C10B7" w:rsidRPr="008C10B7" w14:paraId="6E95CA05" w14:textId="77777777" w:rsidTr="001E79AC">
        <w:trPr>
          <w:gridAfter w:val="1"/>
          <w:wAfter w:w="709" w:type="dxa"/>
        </w:trPr>
        <w:tc>
          <w:tcPr>
            <w:tcW w:w="3124" w:type="dxa"/>
          </w:tcPr>
          <w:p w14:paraId="06E1E4D0"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Number of individuals</w:t>
            </w:r>
          </w:p>
        </w:tc>
        <w:tc>
          <w:tcPr>
            <w:tcW w:w="1701" w:type="dxa"/>
          </w:tcPr>
          <w:p w14:paraId="2313BE94"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811</w:t>
            </w:r>
          </w:p>
        </w:tc>
        <w:tc>
          <w:tcPr>
            <w:tcW w:w="1701" w:type="dxa"/>
          </w:tcPr>
          <w:p w14:paraId="47830463"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811</w:t>
            </w:r>
          </w:p>
        </w:tc>
        <w:tc>
          <w:tcPr>
            <w:tcW w:w="1843" w:type="dxa"/>
          </w:tcPr>
          <w:p w14:paraId="084C34E4"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811</w:t>
            </w:r>
          </w:p>
        </w:tc>
      </w:tr>
      <w:tr w:rsidR="008C10B7" w:rsidRPr="008C10B7" w14:paraId="3C275AC8" w14:textId="77777777" w:rsidTr="001E79AC">
        <w:trPr>
          <w:gridAfter w:val="1"/>
          <w:wAfter w:w="709" w:type="dxa"/>
        </w:trPr>
        <w:tc>
          <w:tcPr>
            <w:tcW w:w="3124" w:type="dxa"/>
          </w:tcPr>
          <w:p w14:paraId="03740EB1"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Number of schools</w:t>
            </w:r>
          </w:p>
        </w:tc>
        <w:tc>
          <w:tcPr>
            <w:tcW w:w="1701" w:type="dxa"/>
          </w:tcPr>
          <w:p w14:paraId="16644CEF"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10</w:t>
            </w:r>
          </w:p>
        </w:tc>
        <w:tc>
          <w:tcPr>
            <w:tcW w:w="1701" w:type="dxa"/>
          </w:tcPr>
          <w:p w14:paraId="20E81BE2"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10</w:t>
            </w:r>
          </w:p>
        </w:tc>
        <w:tc>
          <w:tcPr>
            <w:tcW w:w="1843" w:type="dxa"/>
          </w:tcPr>
          <w:p w14:paraId="03826347"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10</w:t>
            </w:r>
          </w:p>
        </w:tc>
      </w:tr>
      <w:tr w:rsidR="008C10B7" w:rsidRPr="008C10B7" w14:paraId="5DD5BC42" w14:textId="77777777" w:rsidTr="001E79AC">
        <w:trPr>
          <w:gridAfter w:val="1"/>
          <w:wAfter w:w="709" w:type="dxa"/>
        </w:trPr>
        <w:tc>
          <w:tcPr>
            <w:tcW w:w="3124" w:type="dxa"/>
          </w:tcPr>
          <w:p w14:paraId="4CD28924"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Log likelihood</w:t>
            </w:r>
          </w:p>
        </w:tc>
        <w:tc>
          <w:tcPr>
            <w:tcW w:w="1701" w:type="dxa"/>
          </w:tcPr>
          <w:p w14:paraId="43E405CA"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-454.969</w:t>
            </w:r>
          </w:p>
        </w:tc>
        <w:tc>
          <w:tcPr>
            <w:tcW w:w="1701" w:type="dxa"/>
          </w:tcPr>
          <w:p w14:paraId="1DBEFCD0"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-439.117</w:t>
            </w:r>
          </w:p>
        </w:tc>
        <w:tc>
          <w:tcPr>
            <w:tcW w:w="1843" w:type="dxa"/>
          </w:tcPr>
          <w:p w14:paraId="42F576A7"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-395.968</w:t>
            </w:r>
          </w:p>
        </w:tc>
      </w:tr>
      <w:tr w:rsidR="008C10B7" w:rsidRPr="008C10B7" w14:paraId="24CB5E0E" w14:textId="77777777" w:rsidTr="001E79AC">
        <w:trPr>
          <w:gridAfter w:val="1"/>
          <w:wAfter w:w="709" w:type="dxa"/>
        </w:trPr>
        <w:tc>
          <w:tcPr>
            <w:tcW w:w="3124" w:type="dxa"/>
            <w:tcBorders>
              <w:bottom w:val="single" w:sz="4" w:space="0" w:color="auto"/>
            </w:tcBorders>
          </w:tcPr>
          <w:p w14:paraId="6BA416C7"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AIC</w:t>
            </w:r>
          </w:p>
        </w:tc>
        <w:tc>
          <w:tcPr>
            <w:tcW w:w="1701" w:type="dxa"/>
            <w:tcBorders>
              <w:bottom w:val="single" w:sz="4" w:space="0" w:color="auto"/>
            </w:tcBorders>
          </w:tcPr>
          <w:p w14:paraId="110AB23A"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927.937</w:t>
            </w:r>
          </w:p>
        </w:tc>
        <w:tc>
          <w:tcPr>
            <w:tcW w:w="1701" w:type="dxa"/>
            <w:tcBorders>
              <w:bottom w:val="single" w:sz="4" w:space="0" w:color="auto"/>
            </w:tcBorders>
          </w:tcPr>
          <w:p w14:paraId="62641E21"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906.235</w:t>
            </w:r>
          </w:p>
        </w:tc>
        <w:tc>
          <w:tcPr>
            <w:tcW w:w="1843" w:type="dxa"/>
            <w:tcBorders>
              <w:bottom w:val="single" w:sz="4" w:space="0" w:color="auto"/>
            </w:tcBorders>
          </w:tcPr>
          <w:p w14:paraId="35E4C7A2" w14:textId="77777777" w:rsidR="002E1DBA" w:rsidRPr="008C10B7" w:rsidRDefault="002E1DBA" w:rsidP="001E79AC">
            <w:pPr>
              <w:spacing w:line="200" w:lineRule="exact"/>
              <w:jc w:val="both"/>
              <w:rPr>
                <w:rFonts w:ascii="Times" w:hAnsi="Times" w:cs="Times New Roman"/>
                <w:sz w:val="18"/>
                <w:szCs w:val="18"/>
              </w:rPr>
            </w:pPr>
            <w:r w:rsidRPr="008C10B7">
              <w:rPr>
                <w:rFonts w:ascii="Times" w:hAnsi="Times" w:cs="Times New Roman"/>
                <w:sz w:val="18"/>
                <w:szCs w:val="18"/>
              </w:rPr>
              <w:t>839.937</w:t>
            </w:r>
          </w:p>
        </w:tc>
      </w:tr>
    </w:tbl>
    <w:p w14:paraId="28E40E83" w14:textId="77777777" w:rsidR="002E1DBA" w:rsidRPr="008C10B7" w:rsidRDefault="002E1DBA" w:rsidP="002E1DBA">
      <w:r w:rsidRPr="008C10B7">
        <w:rPr>
          <w:rFonts w:ascii="Times" w:hAnsi="Times" w:cs="Times New Roman"/>
          <w:sz w:val="18"/>
          <w:szCs w:val="16"/>
        </w:rPr>
        <w:t>OR = odds ratio; CI = confidence interval; AIC = Akaike information criterion. *p&lt; 0.05, **p&lt; 0.01, ***p&lt; 0.001.</w:t>
      </w:r>
    </w:p>
    <w:p w14:paraId="3DDB3AA1" w14:textId="3DFB200F" w:rsidR="008F776A" w:rsidRPr="008C10B7" w:rsidRDefault="002E1DBA">
      <w:pPr>
        <w:pStyle w:val="Heading2"/>
        <w:keepNext/>
        <w:keepLines/>
        <w:spacing w:before="0" w:beforeAutospacing="0" w:after="0" w:afterAutospacing="0" w:line="480" w:lineRule="auto"/>
        <w:jc w:val="both"/>
        <w:rPr>
          <w:rFonts w:eastAsiaTheme="majorEastAsia" w:cstheme="majorHAnsi"/>
          <w:b w:val="0"/>
          <w:i/>
          <w:iCs/>
          <w:sz w:val="24"/>
          <w:szCs w:val="24"/>
          <w:lang w:val="en-GB" w:eastAsia="en-US"/>
        </w:rPr>
      </w:pPr>
      <w:r w:rsidRPr="008C10B7">
        <w:rPr>
          <w:rFonts w:eastAsiaTheme="majorEastAsia" w:cstheme="majorHAnsi"/>
          <w:b w:val="0"/>
          <w:i/>
          <w:iCs/>
          <w:sz w:val="24"/>
          <w:szCs w:val="24"/>
          <w:lang w:val="en-GB" w:eastAsia="en-US"/>
        </w:rPr>
        <w:tab/>
      </w:r>
    </w:p>
    <w:p w14:paraId="1FC95A6E" w14:textId="6F241043" w:rsidR="004D3D6C" w:rsidRPr="008C10B7" w:rsidRDefault="00711121" w:rsidP="00206AA5">
      <w:pPr>
        <w:pStyle w:val="Heading2"/>
        <w:keepNext/>
        <w:keepLines/>
        <w:spacing w:before="0" w:beforeAutospacing="0" w:after="0" w:afterAutospacing="0" w:line="480" w:lineRule="auto"/>
        <w:jc w:val="both"/>
        <w:rPr>
          <w:rFonts w:eastAsiaTheme="majorEastAsia" w:cstheme="majorHAnsi"/>
          <w:b w:val="0"/>
          <w:i/>
          <w:iCs/>
          <w:sz w:val="22"/>
          <w:szCs w:val="32"/>
          <w:lang w:val="en-GB" w:eastAsia="en-US"/>
        </w:rPr>
      </w:pPr>
      <w:r w:rsidRPr="008C10B7">
        <w:rPr>
          <w:rFonts w:eastAsiaTheme="majorEastAsia" w:cstheme="majorHAnsi"/>
          <w:b w:val="0"/>
          <w:i/>
          <w:iCs/>
          <w:sz w:val="22"/>
          <w:szCs w:val="22"/>
          <w:lang w:val="en-GB" w:eastAsia="en-US"/>
        </w:rPr>
        <w:t>4.3</w:t>
      </w:r>
      <w:r w:rsidR="00C234EB" w:rsidRPr="008C10B7">
        <w:rPr>
          <w:rFonts w:eastAsiaTheme="majorEastAsia" w:cstheme="majorHAnsi"/>
          <w:b w:val="0"/>
          <w:i/>
          <w:iCs/>
          <w:sz w:val="22"/>
          <w:szCs w:val="22"/>
          <w:lang w:val="en-GB" w:eastAsia="en-US"/>
        </w:rPr>
        <w:t>.</w:t>
      </w:r>
      <w:r w:rsidR="00262E9E" w:rsidRPr="008C10B7">
        <w:rPr>
          <w:rFonts w:eastAsiaTheme="majorEastAsia" w:cstheme="majorHAnsi"/>
          <w:b w:val="0"/>
          <w:i/>
          <w:iCs/>
          <w:sz w:val="22"/>
          <w:szCs w:val="22"/>
          <w:lang w:val="en-GB" w:eastAsia="en-US"/>
        </w:rPr>
        <w:tab/>
      </w:r>
      <w:r w:rsidRPr="008C10B7">
        <w:rPr>
          <w:rFonts w:eastAsiaTheme="majorEastAsia" w:cstheme="majorHAnsi"/>
          <w:b w:val="0"/>
          <w:i/>
          <w:iCs/>
          <w:sz w:val="22"/>
          <w:szCs w:val="22"/>
          <w:lang w:val="en-GB" w:eastAsia="en-US"/>
        </w:rPr>
        <w:t xml:space="preserve">Robustness of </w:t>
      </w:r>
      <w:r w:rsidR="0090786D" w:rsidRPr="008C10B7">
        <w:rPr>
          <w:rFonts w:eastAsiaTheme="majorEastAsia" w:cstheme="majorHAnsi"/>
          <w:b w:val="0"/>
          <w:i/>
          <w:iCs/>
          <w:sz w:val="22"/>
          <w:szCs w:val="22"/>
          <w:lang w:val="en-GB" w:eastAsia="en-US"/>
        </w:rPr>
        <w:t>the e</w:t>
      </w:r>
      <w:r w:rsidR="003A09E1" w:rsidRPr="008C10B7">
        <w:rPr>
          <w:rFonts w:eastAsiaTheme="majorEastAsia" w:cstheme="majorHAnsi"/>
          <w:b w:val="0"/>
          <w:i/>
          <w:iCs/>
          <w:sz w:val="22"/>
          <w:szCs w:val="22"/>
          <w:lang w:val="en-GB" w:eastAsia="en-US"/>
        </w:rPr>
        <w:t>ffects</w:t>
      </w:r>
      <w:bookmarkEnd w:id="60"/>
    </w:p>
    <w:p w14:paraId="0A9EE8A2" w14:textId="30235B09" w:rsidR="004D3D6C" w:rsidRPr="008C10B7" w:rsidRDefault="00711121" w:rsidP="00206AA5">
      <w:pPr>
        <w:spacing w:line="480" w:lineRule="auto"/>
        <w:jc w:val="both"/>
        <w:rPr>
          <w:rFonts w:cs="Times New Roman"/>
          <w:sz w:val="22"/>
          <w:szCs w:val="22"/>
        </w:rPr>
      </w:pPr>
      <w:r w:rsidRPr="008C10B7">
        <w:rPr>
          <w:rFonts w:cs="Times New Roman"/>
          <w:sz w:val="22"/>
          <w:szCs w:val="22"/>
        </w:rPr>
        <w:t xml:space="preserve">Table 3 summarises the results of the robustness tests for the GVI and respondent </w:t>
      </w:r>
      <w:r w:rsidR="0030654E" w:rsidRPr="008C10B7">
        <w:rPr>
          <w:rFonts w:cs="Times New Roman"/>
          <w:sz w:val="22"/>
          <w:szCs w:val="22"/>
        </w:rPr>
        <w:t>AT</w:t>
      </w:r>
      <w:r w:rsidRPr="008C10B7">
        <w:rPr>
          <w:rFonts w:cs="Times New Roman"/>
          <w:sz w:val="22"/>
          <w:szCs w:val="22"/>
        </w:rPr>
        <w:t xml:space="preserve"> correlations. Despite </w:t>
      </w:r>
      <w:r w:rsidR="00793FC6" w:rsidRPr="008C10B7">
        <w:rPr>
          <w:rFonts w:cs="Times New Roman"/>
          <w:sz w:val="22"/>
          <w:szCs w:val="22"/>
        </w:rPr>
        <w:t xml:space="preserve">a </w:t>
      </w:r>
      <w:r w:rsidR="0090786D" w:rsidRPr="008C10B7">
        <w:rPr>
          <w:rFonts w:cs="Times New Roman"/>
          <w:sz w:val="22"/>
          <w:szCs w:val="22"/>
        </w:rPr>
        <w:t>few</w:t>
      </w:r>
      <w:r w:rsidRPr="008C10B7">
        <w:rPr>
          <w:rFonts w:cs="Times New Roman"/>
          <w:sz w:val="22"/>
          <w:szCs w:val="22"/>
        </w:rPr>
        <w:t xml:space="preserve"> differences in the odds ratio coefficients, the </w:t>
      </w:r>
      <w:r w:rsidR="00793FC6" w:rsidRPr="008C10B7">
        <w:rPr>
          <w:rFonts w:cs="Times New Roman"/>
          <w:sz w:val="22"/>
          <w:szCs w:val="22"/>
        </w:rPr>
        <w:t xml:space="preserve">association between </w:t>
      </w:r>
      <w:r w:rsidRPr="008C10B7">
        <w:rPr>
          <w:rFonts w:cs="Times New Roman"/>
          <w:sz w:val="22"/>
          <w:szCs w:val="22"/>
        </w:rPr>
        <w:t xml:space="preserve">street GVI </w:t>
      </w:r>
      <w:r w:rsidR="0090786D" w:rsidRPr="008C10B7">
        <w:rPr>
          <w:rFonts w:cs="Times New Roman"/>
          <w:sz w:val="22"/>
          <w:szCs w:val="22"/>
        </w:rPr>
        <w:t xml:space="preserve">and </w:t>
      </w:r>
      <w:r w:rsidR="0030654E" w:rsidRPr="008C10B7">
        <w:rPr>
          <w:rFonts w:cs="Times New Roman"/>
          <w:sz w:val="22"/>
          <w:szCs w:val="22"/>
        </w:rPr>
        <w:t>AT</w:t>
      </w:r>
      <w:r w:rsidRPr="008C10B7">
        <w:rPr>
          <w:rFonts w:cs="Times New Roman"/>
          <w:sz w:val="22"/>
          <w:szCs w:val="22"/>
        </w:rPr>
        <w:t xml:space="preserve"> tendency remains </w:t>
      </w:r>
      <w:r w:rsidR="00EB32C4" w:rsidRPr="008C10B7">
        <w:rPr>
          <w:rFonts w:cs="Times New Roman"/>
          <w:sz w:val="22"/>
          <w:szCs w:val="22"/>
        </w:rPr>
        <w:t xml:space="preserve">statistically </w:t>
      </w:r>
      <w:r w:rsidRPr="008C10B7">
        <w:rPr>
          <w:rFonts w:cs="Times New Roman"/>
          <w:sz w:val="22"/>
          <w:szCs w:val="22"/>
        </w:rPr>
        <w:t>significant, and its coefficient remains constant across all models used in the robustness tests.</w:t>
      </w:r>
    </w:p>
    <w:p w14:paraId="5A05A410" w14:textId="175E6580" w:rsidR="008F776A" w:rsidRDefault="008F776A" w:rsidP="00E7001C">
      <w:pPr>
        <w:spacing w:line="360" w:lineRule="auto"/>
        <w:jc w:val="both"/>
        <w:rPr>
          <w:rFonts w:cs="Times New Roman"/>
          <w:sz w:val="20"/>
          <w:szCs w:val="20"/>
        </w:rPr>
      </w:pPr>
    </w:p>
    <w:p w14:paraId="1B68AD6E" w14:textId="77777777" w:rsidR="004972C5" w:rsidRPr="008C10B7" w:rsidRDefault="004972C5" w:rsidP="00E7001C">
      <w:pPr>
        <w:spacing w:line="360" w:lineRule="auto"/>
        <w:jc w:val="both"/>
        <w:rPr>
          <w:rFonts w:cs="Times New Roman"/>
          <w:sz w:val="20"/>
          <w:szCs w:val="20"/>
        </w:rPr>
      </w:pPr>
    </w:p>
    <w:p w14:paraId="0B75C4CB" w14:textId="6FDEE2B2" w:rsidR="00C234EB" w:rsidRPr="008C10B7" w:rsidRDefault="00021746" w:rsidP="00E7001C">
      <w:pPr>
        <w:pStyle w:val="Caption"/>
        <w:spacing w:line="360" w:lineRule="auto"/>
        <w:jc w:val="both"/>
        <w:rPr>
          <w:rFonts w:ascii="Times New Roman" w:hAnsi="Times New Roman"/>
          <w:szCs w:val="16"/>
        </w:rPr>
      </w:pPr>
      <w:bookmarkStart w:id="61" w:name="_Toc77799873"/>
      <w:r w:rsidRPr="008C10B7">
        <w:rPr>
          <w:rFonts w:ascii="Times New Roman" w:hAnsi="Times New Roman"/>
          <w:b/>
          <w:bCs/>
          <w:szCs w:val="16"/>
        </w:rPr>
        <w:t xml:space="preserve">Table </w:t>
      </w:r>
      <w:r w:rsidRPr="008C10B7">
        <w:rPr>
          <w:rFonts w:ascii="Times New Roman" w:hAnsi="Times New Roman"/>
          <w:b/>
          <w:bCs/>
          <w:szCs w:val="16"/>
        </w:rPr>
        <w:fldChar w:fldCharType="begin"/>
      </w:r>
      <w:r w:rsidRPr="008C10B7">
        <w:rPr>
          <w:rFonts w:ascii="Times New Roman" w:hAnsi="Times New Roman"/>
          <w:b/>
          <w:bCs/>
          <w:szCs w:val="16"/>
        </w:rPr>
        <w:instrText xml:space="preserve"> SEQ Table \* ARABIC </w:instrText>
      </w:r>
      <w:r w:rsidRPr="008C10B7">
        <w:rPr>
          <w:rFonts w:ascii="Times New Roman" w:hAnsi="Times New Roman"/>
          <w:b/>
          <w:bCs/>
          <w:szCs w:val="16"/>
        </w:rPr>
        <w:fldChar w:fldCharType="separate"/>
      </w:r>
      <w:r w:rsidR="00AE0FBF">
        <w:rPr>
          <w:rFonts w:ascii="Times New Roman" w:hAnsi="Times New Roman"/>
          <w:b/>
          <w:bCs/>
          <w:noProof/>
          <w:szCs w:val="16"/>
        </w:rPr>
        <w:t>3</w:t>
      </w:r>
      <w:r w:rsidRPr="008C10B7">
        <w:rPr>
          <w:rFonts w:ascii="Times New Roman" w:hAnsi="Times New Roman"/>
          <w:b/>
          <w:bCs/>
          <w:szCs w:val="16"/>
        </w:rPr>
        <w:fldChar w:fldCharType="end"/>
      </w:r>
      <w:r w:rsidRPr="008C10B7">
        <w:rPr>
          <w:rFonts w:ascii="Times New Roman" w:hAnsi="Times New Roman"/>
          <w:szCs w:val="16"/>
        </w:rPr>
        <w:t xml:space="preserve"> </w:t>
      </w:r>
    </w:p>
    <w:p w14:paraId="77553640" w14:textId="3ECC6EE1" w:rsidR="004D3D6C" w:rsidRPr="008C10B7" w:rsidRDefault="00021746" w:rsidP="00E7001C">
      <w:pPr>
        <w:pStyle w:val="Caption"/>
        <w:spacing w:line="360" w:lineRule="auto"/>
        <w:jc w:val="both"/>
        <w:rPr>
          <w:rFonts w:ascii="Times New Roman" w:hAnsi="Times New Roman"/>
          <w:szCs w:val="16"/>
        </w:rPr>
      </w:pPr>
      <w:r w:rsidRPr="008C10B7">
        <w:rPr>
          <w:rFonts w:ascii="Times New Roman" w:hAnsi="Times New Roman"/>
          <w:szCs w:val="16"/>
        </w:rPr>
        <w:t>Robustness tests.</w:t>
      </w:r>
      <w:bookmarkEnd w:id="61"/>
    </w:p>
    <w:tbl>
      <w:tblPr>
        <w:tblStyle w:val="TableGrid"/>
        <w:tblW w:w="851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1"/>
        <w:gridCol w:w="1812"/>
        <w:gridCol w:w="1812"/>
        <w:gridCol w:w="1795"/>
        <w:gridCol w:w="1701"/>
      </w:tblGrid>
      <w:tr w:rsidR="008C10B7" w:rsidRPr="008C10B7" w14:paraId="30086B7B" w14:textId="77777777" w:rsidTr="001E79AC">
        <w:tc>
          <w:tcPr>
            <w:tcW w:w="1391" w:type="dxa"/>
            <w:tcBorders>
              <w:top w:val="single" w:sz="4" w:space="0" w:color="auto"/>
              <w:bottom w:val="single" w:sz="4" w:space="0" w:color="auto"/>
            </w:tcBorders>
          </w:tcPr>
          <w:p w14:paraId="68F93914" w14:textId="77777777" w:rsidR="002E1DBA" w:rsidRPr="008C10B7" w:rsidRDefault="002E1DBA" w:rsidP="001E79AC">
            <w:pPr>
              <w:spacing w:line="200" w:lineRule="exact"/>
              <w:jc w:val="both"/>
              <w:rPr>
                <w:rFonts w:ascii="Times" w:hAnsi="Times" w:cs="Times New Roman"/>
                <w:sz w:val="18"/>
                <w:szCs w:val="16"/>
              </w:rPr>
            </w:pPr>
          </w:p>
        </w:tc>
        <w:tc>
          <w:tcPr>
            <w:tcW w:w="1812" w:type="dxa"/>
            <w:tcBorders>
              <w:top w:val="single" w:sz="4" w:space="0" w:color="auto"/>
              <w:bottom w:val="single" w:sz="4" w:space="0" w:color="auto"/>
            </w:tcBorders>
          </w:tcPr>
          <w:p w14:paraId="3C0FA57C"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Model 2a</w:t>
            </w:r>
          </w:p>
          <w:p w14:paraId="3F4C4B22"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OR. (95% CI)</w:t>
            </w:r>
          </w:p>
          <w:p w14:paraId="6CEB1CF5"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No car ownership</w:t>
            </w:r>
          </w:p>
        </w:tc>
        <w:tc>
          <w:tcPr>
            <w:tcW w:w="1812" w:type="dxa"/>
            <w:tcBorders>
              <w:top w:val="single" w:sz="4" w:space="0" w:color="auto"/>
              <w:bottom w:val="single" w:sz="4" w:space="0" w:color="auto"/>
            </w:tcBorders>
          </w:tcPr>
          <w:p w14:paraId="12C2D965"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Model 3a</w:t>
            </w:r>
          </w:p>
          <w:p w14:paraId="581AAADE"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OR. (95% CI)</w:t>
            </w:r>
          </w:p>
          <w:p w14:paraId="1219E2D0"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No car ownership</w:t>
            </w:r>
          </w:p>
        </w:tc>
        <w:tc>
          <w:tcPr>
            <w:tcW w:w="1795" w:type="dxa"/>
            <w:tcBorders>
              <w:top w:val="single" w:sz="4" w:space="0" w:color="auto"/>
              <w:bottom w:val="single" w:sz="4" w:space="0" w:color="auto"/>
            </w:tcBorders>
          </w:tcPr>
          <w:p w14:paraId="061F0914"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Model 2b</w:t>
            </w:r>
          </w:p>
          <w:p w14:paraId="6FABEAA0"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OR. (95% CI)</w:t>
            </w:r>
          </w:p>
          <w:p w14:paraId="3154FC54"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Change the dependent variable</w:t>
            </w:r>
          </w:p>
        </w:tc>
        <w:tc>
          <w:tcPr>
            <w:tcW w:w="1701" w:type="dxa"/>
            <w:tcBorders>
              <w:top w:val="single" w:sz="4" w:space="0" w:color="auto"/>
              <w:bottom w:val="single" w:sz="4" w:space="0" w:color="auto"/>
            </w:tcBorders>
          </w:tcPr>
          <w:p w14:paraId="2460F444"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Model 3b</w:t>
            </w:r>
          </w:p>
          <w:p w14:paraId="36878EB3"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OR. (95% CI)</w:t>
            </w:r>
          </w:p>
          <w:p w14:paraId="097A3323"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Change the dependent variable</w:t>
            </w:r>
          </w:p>
        </w:tc>
      </w:tr>
      <w:tr w:rsidR="008C10B7" w:rsidRPr="008C10B7" w14:paraId="45BE51C4" w14:textId="77777777" w:rsidTr="001E79AC">
        <w:tc>
          <w:tcPr>
            <w:tcW w:w="1391" w:type="dxa"/>
          </w:tcPr>
          <w:p w14:paraId="4E101624" w14:textId="77777777" w:rsidR="002E1DBA" w:rsidRPr="008C10B7" w:rsidRDefault="002E1DBA" w:rsidP="001E79AC">
            <w:pPr>
              <w:spacing w:line="200" w:lineRule="exact"/>
              <w:ind w:firstLineChars="50" w:firstLine="90"/>
              <w:jc w:val="both"/>
              <w:rPr>
                <w:rFonts w:ascii="Times" w:hAnsi="Times" w:cs="Times New Roman"/>
                <w:sz w:val="18"/>
                <w:szCs w:val="16"/>
              </w:rPr>
            </w:pPr>
            <w:r w:rsidRPr="008C10B7">
              <w:rPr>
                <w:rFonts w:ascii="Times" w:hAnsi="Times" w:cs="Times New Roman"/>
                <w:sz w:val="18"/>
                <w:szCs w:val="16"/>
              </w:rPr>
              <w:t>GVI (ref: low)</w:t>
            </w:r>
          </w:p>
        </w:tc>
        <w:tc>
          <w:tcPr>
            <w:tcW w:w="1812" w:type="dxa"/>
          </w:tcPr>
          <w:p w14:paraId="5A2E2F5B" w14:textId="77777777" w:rsidR="002E1DBA" w:rsidRPr="008C10B7" w:rsidRDefault="002E1DBA" w:rsidP="001E79AC">
            <w:pPr>
              <w:spacing w:line="200" w:lineRule="exact"/>
              <w:jc w:val="both"/>
              <w:rPr>
                <w:rFonts w:ascii="Times" w:hAnsi="Times" w:cs="Times New Roman"/>
                <w:sz w:val="18"/>
                <w:szCs w:val="16"/>
              </w:rPr>
            </w:pPr>
          </w:p>
        </w:tc>
        <w:tc>
          <w:tcPr>
            <w:tcW w:w="1812" w:type="dxa"/>
          </w:tcPr>
          <w:p w14:paraId="38DB8C74" w14:textId="77777777" w:rsidR="002E1DBA" w:rsidRPr="008C10B7" w:rsidRDefault="002E1DBA" w:rsidP="001E79AC">
            <w:pPr>
              <w:spacing w:line="200" w:lineRule="exact"/>
              <w:jc w:val="both"/>
              <w:rPr>
                <w:rFonts w:ascii="Times" w:hAnsi="Times" w:cs="Times New Roman"/>
                <w:sz w:val="18"/>
                <w:szCs w:val="16"/>
              </w:rPr>
            </w:pPr>
          </w:p>
        </w:tc>
        <w:tc>
          <w:tcPr>
            <w:tcW w:w="1795" w:type="dxa"/>
          </w:tcPr>
          <w:p w14:paraId="59A8022D" w14:textId="77777777" w:rsidR="002E1DBA" w:rsidRPr="008C10B7" w:rsidRDefault="002E1DBA" w:rsidP="001E79AC">
            <w:pPr>
              <w:spacing w:line="200" w:lineRule="exact"/>
              <w:jc w:val="both"/>
              <w:rPr>
                <w:rFonts w:ascii="Times" w:hAnsi="Times" w:cs="Times New Roman"/>
                <w:sz w:val="18"/>
                <w:szCs w:val="16"/>
              </w:rPr>
            </w:pPr>
          </w:p>
        </w:tc>
        <w:tc>
          <w:tcPr>
            <w:tcW w:w="1701" w:type="dxa"/>
          </w:tcPr>
          <w:p w14:paraId="1D684F7E" w14:textId="77777777" w:rsidR="002E1DBA" w:rsidRPr="008C10B7" w:rsidRDefault="002E1DBA" w:rsidP="001E79AC">
            <w:pPr>
              <w:spacing w:line="200" w:lineRule="exact"/>
              <w:jc w:val="both"/>
              <w:rPr>
                <w:rFonts w:ascii="Times" w:hAnsi="Times" w:cs="Times New Roman"/>
                <w:sz w:val="18"/>
                <w:szCs w:val="16"/>
              </w:rPr>
            </w:pPr>
          </w:p>
        </w:tc>
      </w:tr>
      <w:tr w:rsidR="008C10B7" w:rsidRPr="008C10B7" w14:paraId="1CEDD401" w14:textId="77777777" w:rsidTr="001E79AC">
        <w:tc>
          <w:tcPr>
            <w:tcW w:w="1391" w:type="dxa"/>
          </w:tcPr>
          <w:p w14:paraId="3153A080" w14:textId="77777777" w:rsidR="002E1DBA" w:rsidRPr="008C10B7" w:rsidRDefault="002E1DBA" w:rsidP="001E79AC">
            <w:pPr>
              <w:spacing w:line="200" w:lineRule="exact"/>
              <w:ind w:firstLineChars="50" w:firstLine="90"/>
              <w:jc w:val="both"/>
              <w:rPr>
                <w:rFonts w:ascii="Times" w:hAnsi="Times" w:cs="Times New Roman"/>
                <w:sz w:val="18"/>
                <w:szCs w:val="16"/>
              </w:rPr>
            </w:pPr>
            <w:r w:rsidRPr="008C10B7">
              <w:rPr>
                <w:rFonts w:ascii="Times" w:hAnsi="Times" w:cs="Times New Roman"/>
                <w:sz w:val="18"/>
                <w:szCs w:val="16"/>
              </w:rPr>
              <w:t>Medium</w:t>
            </w:r>
          </w:p>
        </w:tc>
        <w:tc>
          <w:tcPr>
            <w:tcW w:w="1812" w:type="dxa"/>
          </w:tcPr>
          <w:p w14:paraId="70410F3C"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4.552**(1.435-14.441)</w:t>
            </w:r>
          </w:p>
        </w:tc>
        <w:tc>
          <w:tcPr>
            <w:tcW w:w="1812" w:type="dxa"/>
          </w:tcPr>
          <w:p w14:paraId="0AF26E9B"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3.976*(1.333-11.862)</w:t>
            </w:r>
          </w:p>
        </w:tc>
        <w:tc>
          <w:tcPr>
            <w:tcW w:w="1795" w:type="dxa"/>
          </w:tcPr>
          <w:p w14:paraId="1189E2E3"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2.298***(1.387-3.810)</w:t>
            </w:r>
          </w:p>
        </w:tc>
        <w:tc>
          <w:tcPr>
            <w:tcW w:w="1701" w:type="dxa"/>
          </w:tcPr>
          <w:p w14:paraId="71D1E93E"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2.046**(1.277-3.280)</w:t>
            </w:r>
          </w:p>
        </w:tc>
      </w:tr>
      <w:tr w:rsidR="008C10B7" w:rsidRPr="008C10B7" w14:paraId="79E11B2A" w14:textId="77777777" w:rsidTr="001E79AC">
        <w:tc>
          <w:tcPr>
            <w:tcW w:w="1391" w:type="dxa"/>
          </w:tcPr>
          <w:p w14:paraId="6AEAF42A" w14:textId="77777777" w:rsidR="002E1DBA" w:rsidRPr="008C10B7" w:rsidRDefault="002E1DBA" w:rsidP="001E79AC">
            <w:pPr>
              <w:spacing w:line="200" w:lineRule="exact"/>
              <w:ind w:firstLineChars="50" w:firstLine="90"/>
              <w:jc w:val="both"/>
              <w:rPr>
                <w:rFonts w:ascii="Times" w:hAnsi="Times" w:cs="Times New Roman"/>
                <w:sz w:val="18"/>
                <w:szCs w:val="16"/>
              </w:rPr>
            </w:pPr>
            <w:r w:rsidRPr="008C10B7">
              <w:rPr>
                <w:rFonts w:ascii="Times" w:hAnsi="Times" w:cs="Times New Roman"/>
                <w:sz w:val="18"/>
                <w:szCs w:val="16"/>
              </w:rPr>
              <w:lastRenderedPageBreak/>
              <w:t>High</w:t>
            </w:r>
          </w:p>
        </w:tc>
        <w:tc>
          <w:tcPr>
            <w:tcW w:w="1812" w:type="dxa"/>
          </w:tcPr>
          <w:p w14:paraId="52A5EC3D"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5.462***(2.046-14.579)</w:t>
            </w:r>
          </w:p>
        </w:tc>
        <w:tc>
          <w:tcPr>
            <w:tcW w:w="1812" w:type="dxa"/>
          </w:tcPr>
          <w:p w14:paraId="4264B91A"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4.121**(1.610-10.546)</w:t>
            </w:r>
          </w:p>
        </w:tc>
        <w:tc>
          <w:tcPr>
            <w:tcW w:w="1795" w:type="dxa"/>
          </w:tcPr>
          <w:p w14:paraId="2D1DE53A"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2.110***(1.340-3.322)</w:t>
            </w:r>
          </w:p>
        </w:tc>
        <w:tc>
          <w:tcPr>
            <w:tcW w:w="1701" w:type="dxa"/>
          </w:tcPr>
          <w:p w14:paraId="6EEFA02F"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1.847**(1.197-2.850)</w:t>
            </w:r>
          </w:p>
        </w:tc>
      </w:tr>
      <w:tr w:rsidR="008C10B7" w:rsidRPr="008C10B7" w14:paraId="3E106857" w14:textId="77777777" w:rsidTr="001E79AC">
        <w:tc>
          <w:tcPr>
            <w:tcW w:w="1391" w:type="dxa"/>
          </w:tcPr>
          <w:p w14:paraId="4BDC1045"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Log likelihood</w:t>
            </w:r>
          </w:p>
        </w:tc>
        <w:tc>
          <w:tcPr>
            <w:tcW w:w="1812" w:type="dxa"/>
          </w:tcPr>
          <w:p w14:paraId="54690434"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-406.093</w:t>
            </w:r>
          </w:p>
        </w:tc>
        <w:tc>
          <w:tcPr>
            <w:tcW w:w="1812" w:type="dxa"/>
          </w:tcPr>
          <w:p w14:paraId="5BD31043"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-367.767</w:t>
            </w:r>
          </w:p>
        </w:tc>
        <w:tc>
          <w:tcPr>
            <w:tcW w:w="1795" w:type="dxa"/>
          </w:tcPr>
          <w:p w14:paraId="4B23BE38"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-502.512</w:t>
            </w:r>
          </w:p>
        </w:tc>
        <w:tc>
          <w:tcPr>
            <w:tcW w:w="1701" w:type="dxa"/>
          </w:tcPr>
          <w:p w14:paraId="3545490E"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-509.362</w:t>
            </w:r>
          </w:p>
        </w:tc>
      </w:tr>
      <w:tr w:rsidR="008C10B7" w:rsidRPr="008C10B7" w14:paraId="46242E43" w14:textId="77777777" w:rsidTr="001E79AC">
        <w:tc>
          <w:tcPr>
            <w:tcW w:w="1391" w:type="dxa"/>
            <w:tcBorders>
              <w:bottom w:val="single" w:sz="4" w:space="0" w:color="auto"/>
            </w:tcBorders>
          </w:tcPr>
          <w:p w14:paraId="167FABAC"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AIC</w:t>
            </w:r>
          </w:p>
        </w:tc>
        <w:tc>
          <w:tcPr>
            <w:tcW w:w="1812" w:type="dxa"/>
            <w:tcBorders>
              <w:bottom w:val="single" w:sz="4" w:space="0" w:color="auto"/>
            </w:tcBorders>
          </w:tcPr>
          <w:p w14:paraId="3AE9A5B3"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838.185</w:t>
            </w:r>
          </w:p>
        </w:tc>
        <w:tc>
          <w:tcPr>
            <w:tcW w:w="1812" w:type="dxa"/>
            <w:tcBorders>
              <w:bottom w:val="single" w:sz="4" w:space="0" w:color="auto"/>
            </w:tcBorders>
          </w:tcPr>
          <w:p w14:paraId="3086910E"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781.5342</w:t>
            </w:r>
          </w:p>
        </w:tc>
        <w:tc>
          <w:tcPr>
            <w:tcW w:w="1795" w:type="dxa"/>
            <w:tcBorders>
              <w:bottom w:val="single" w:sz="4" w:space="0" w:color="auto"/>
            </w:tcBorders>
          </w:tcPr>
          <w:p w14:paraId="35779570"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1031.024</w:t>
            </w:r>
          </w:p>
        </w:tc>
        <w:tc>
          <w:tcPr>
            <w:tcW w:w="1701" w:type="dxa"/>
            <w:tcBorders>
              <w:bottom w:val="single" w:sz="4" w:space="0" w:color="auto"/>
            </w:tcBorders>
          </w:tcPr>
          <w:p w14:paraId="47ACAAE0"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1066.724</w:t>
            </w:r>
          </w:p>
        </w:tc>
      </w:tr>
    </w:tbl>
    <w:p w14:paraId="750FA6D7" w14:textId="77777777" w:rsidR="002E1DBA" w:rsidRPr="008C10B7" w:rsidRDefault="002E1DBA" w:rsidP="002E1DBA">
      <w:r w:rsidRPr="008C10B7">
        <w:rPr>
          <w:rFonts w:ascii="Times" w:hAnsi="Times" w:cs="Times New Roman"/>
          <w:sz w:val="18"/>
          <w:szCs w:val="16"/>
        </w:rPr>
        <w:t>OR = odds ratio; CI = confidence interval; AIC = Akaike information criterion. *p&lt; 0.05, **p&lt; 0.01, ***p&lt; 0.001.</w:t>
      </w:r>
    </w:p>
    <w:p w14:paraId="73187998" w14:textId="77777777" w:rsidR="004D3D6C" w:rsidRPr="008C10B7" w:rsidRDefault="004D3D6C" w:rsidP="00E7001C">
      <w:pPr>
        <w:spacing w:line="360" w:lineRule="auto"/>
        <w:jc w:val="both"/>
        <w:rPr>
          <w:rFonts w:cs="Times New Roman"/>
          <w:sz w:val="22"/>
          <w:szCs w:val="22"/>
        </w:rPr>
      </w:pPr>
    </w:p>
    <w:p w14:paraId="0CFDA738" w14:textId="781637F8" w:rsidR="004D3D6C" w:rsidRPr="008C10B7" w:rsidRDefault="00711121" w:rsidP="00E7001C">
      <w:pPr>
        <w:spacing w:line="360" w:lineRule="auto"/>
        <w:jc w:val="both"/>
        <w:rPr>
          <w:rFonts w:cs="Times New Roman"/>
          <w:sz w:val="22"/>
          <w:szCs w:val="22"/>
        </w:rPr>
      </w:pPr>
      <w:r w:rsidRPr="008C10B7">
        <w:rPr>
          <w:rFonts w:cs="Times New Roman"/>
          <w:sz w:val="22"/>
          <w:szCs w:val="22"/>
        </w:rPr>
        <w:t xml:space="preserve">We also re-analysed the association between AT and green space by replacing </w:t>
      </w:r>
      <w:r w:rsidR="00793FC6" w:rsidRPr="008C10B7">
        <w:rPr>
          <w:rFonts w:cs="Times New Roman"/>
          <w:sz w:val="22"/>
          <w:szCs w:val="22"/>
        </w:rPr>
        <w:t xml:space="preserve">the </w:t>
      </w:r>
      <w:r w:rsidRPr="008C10B7">
        <w:rPr>
          <w:rFonts w:cs="Times New Roman"/>
          <w:sz w:val="22"/>
          <w:szCs w:val="22"/>
        </w:rPr>
        <w:t xml:space="preserve">GVI with </w:t>
      </w:r>
      <w:r w:rsidR="0090786D" w:rsidRPr="008C10B7">
        <w:rPr>
          <w:rFonts w:cs="Times New Roman"/>
          <w:sz w:val="22"/>
          <w:szCs w:val="22"/>
        </w:rPr>
        <w:t xml:space="preserve">the </w:t>
      </w:r>
      <w:r w:rsidRPr="008C10B7">
        <w:rPr>
          <w:rFonts w:cs="Times New Roman"/>
          <w:sz w:val="22"/>
          <w:szCs w:val="22"/>
        </w:rPr>
        <w:t xml:space="preserve">NDVI. Table 4 </w:t>
      </w:r>
      <w:r w:rsidR="0090786D" w:rsidRPr="008C10B7">
        <w:rPr>
          <w:rFonts w:cs="Times New Roman"/>
          <w:sz w:val="22"/>
          <w:szCs w:val="22"/>
        </w:rPr>
        <w:t xml:space="preserve">illustrates </w:t>
      </w:r>
      <w:r w:rsidRPr="008C10B7">
        <w:rPr>
          <w:rFonts w:cs="Times New Roman"/>
          <w:sz w:val="22"/>
          <w:szCs w:val="22"/>
        </w:rPr>
        <w:t xml:space="preserve">the relationship between </w:t>
      </w:r>
      <w:r w:rsidR="0030654E" w:rsidRPr="008C10B7">
        <w:rPr>
          <w:rFonts w:cs="Times New Roman"/>
          <w:sz w:val="22"/>
          <w:szCs w:val="22"/>
        </w:rPr>
        <w:t>AT</w:t>
      </w:r>
      <w:r w:rsidRPr="008C10B7">
        <w:rPr>
          <w:rFonts w:cs="Times New Roman"/>
          <w:sz w:val="22"/>
          <w:szCs w:val="22"/>
        </w:rPr>
        <w:t xml:space="preserve"> intentions and </w:t>
      </w:r>
      <w:r w:rsidR="0090786D" w:rsidRPr="008C10B7">
        <w:rPr>
          <w:rFonts w:cs="Times New Roman"/>
          <w:sz w:val="22"/>
          <w:szCs w:val="22"/>
        </w:rPr>
        <w:t xml:space="preserve">the </w:t>
      </w:r>
      <w:r w:rsidRPr="008C10B7">
        <w:rPr>
          <w:rFonts w:cs="Times New Roman"/>
          <w:sz w:val="22"/>
          <w:szCs w:val="22"/>
        </w:rPr>
        <w:t xml:space="preserve">NDVI, </w:t>
      </w:r>
      <w:r w:rsidR="00793FC6" w:rsidRPr="008C10B7">
        <w:rPr>
          <w:rFonts w:cs="Times New Roman"/>
          <w:sz w:val="22"/>
          <w:szCs w:val="22"/>
        </w:rPr>
        <w:t xml:space="preserve">in </w:t>
      </w:r>
      <w:r w:rsidRPr="008C10B7">
        <w:rPr>
          <w:rFonts w:cs="Times New Roman"/>
          <w:sz w:val="22"/>
          <w:szCs w:val="22"/>
        </w:rPr>
        <w:t xml:space="preserve">contrast with </w:t>
      </w:r>
      <w:r w:rsidR="00793FC6" w:rsidRPr="008C10B7">
        <w:rPr>
          <w:rFonts w:cs="Times New Roman"/>
          <w:sz w:val="22"/>
          <w:szCs w:val="22"/>
        </w:rPr>
        <w:t xml:space="preserve">the </w:t>
      </w:r>
      <w:r w:rsidRPr="008C10B7">
        <w:rPr>
          <w:rFonts w:cs="Times New Roman"/>
          <w:sz w:val="22"/>
          <w:szCs w:val="22"/>
        </w:rPr>
        <w:t xml:space="preserve">models using </w:t>
      </w:r>
      <w:r w:rsidR="0090786D" w:rsidRPr="008C10B7">
        <w:rPr>
          <w:rFonts w:cs="Times New Roman"/>
          <w:sz w:val="22"/>
          <w:szCs w:val="22"/>
        </w:rPr>
        <w:t xml:space="preserve">the </w:t>
      </w:r>
      <w:r w:rsidRPr="008C10B7">
        <w:rPr>
          <w:rFonts w:cs="Times New Roman"/>
          <w:sz w:val="22"/>
          <w:szCs w:val="22"/>
        </w:rPr>
        <w:t xml:space="preserve">GVI. Both </w:t>
      </w:r>
      <w:r w:rsidR="0090786D" w:rsidRPr="008C10B7">
        <w:rPr>
          <w:rFonts w:cs="Times New Roman"/>
          <w:sz w:val="22"/>
          <w:szCs w:val="22"/>
        </w:rPr>
        <w:t>M</w:t>
      </w:r>
      <w:r w:rsidRPr="008C10B7">
        <w:rPr>
          <w:rFonts w:cs="Times New Roman"/>
          <w:sz w:val="22"/>
          <w:szCs w:val="22"/>
        </w:rPr>
        <w:t xml:space="preserve">odel 4 and </w:t>
      </w:r>
      <w:r w:rsidR="0090786D" w:rsidRPr="008C10B7">
        <w:rPr>
          <w:rFonts w:cs="Times New Roman"/>
          <w:sz w:val="22"/>
          <w:szCs w:val="22"/>
        </w:rPr>
        <w:t>M</w:t>
      </w:r>
      <w:r w:rsidRPr="008C10B7">
        <w:rPr>
          <w:rFonts w:cs="Times New Roman"/>
          <w:sz w:val="22"/>
          <w:szCs w:val="22"/>
        </w:rPr>
        <w:t>odel 5</w:t>
      </w:r>
      <w:r w:rsidR="0090786D" w:rsidRPr="008C10B7">
        <w:rPr>
          <w:rFonts w:cs="Times New Roman"/>
          <w:sz w:val="22"/>
          <w:szCs w:val="22"/>
        </w:rPr>
        <w:t xml:space="preserve"> demonstrated</w:t>
      </w:r>
      <w:r w:rsidRPr="008C10B7">
        <w:rPr>
          <w:rFonts w:cs="Times New Roman"/>
          <w:sz w:val="22"/>
          <w:szCs w:val="22"/>
        </w:rPr>
        <w:t xml:space="preserve"> that the relationship between </w:t>
      </w:r>
      <w:r w:rsidR="0090786D" w:rsidRPr="008C10B7">
        <w:rPr>
          <w:rFonts w:cs="Times New Roman"/>
          <w:sz w:val="22"/>
          <w:szCs w:val="22"/>
        </w:rPr>
        <w:t xml:space="preserve">the </w:t>
      </w:r>
      <w:r w:rsidRPr="008C10B7">
        <w:rPr>
          <w:rFonts w:cs="Times New Roman"/>
          <w:sz w:val="22"/>
          <w:szCs w:val="22"/>
        </w:rPr>
        <w:t xml:space="preserve">NDVI and </w:t>
      </w:r>
      <w:r w:rsidR="0030654E" w:rsidRPr="008C10B7">
        <w:rPr>
          <w:rFonts w:cs="Times New Roman"/>
          <w:sz w:val="22"/>
          <w:szCs w:val="22"/>
        </w:rPr>
        <w:t>AT</w:t>
      </w:r>
      <w:r w:rsidRPr="008C10B7">
        <w:rPr>
          <w:rFonts w:cs="Times New Roman"/>
          <w:sz w:val="22"/>
          <w:szCs w:val="22"/>
        </w:rPr>
        <w:t xml:space="preserve"> is not significant, indicating a difference between street green</w:t>
      </w:r>
      <w:r w:rsidR="00CC29AF" w:rsidRPr="008C10B7">
        <w:rPr>
          <w:rFonts w:cs="Times New Roman"/>
          <w:sz w:val="22"/>
          <w:szCs w:val="22"/>
        </w:rPr>
        <w:t>ery</w:t>
      </w:r>
      <w:r w:rsidRPr="008C10B7">
        <w:rPr>
          <w:rFonts w:cs="Times New Roman"/>
          <w:sz w:val="22"/>
          <w:szCs w:val="22"/>
        </w:rPr>
        <w:t xml:space="preserve"> measured using </w:t>
      </w:r>
      <w:r w:rsidR="00A43014" w:rsidRPr="008C10B7">
        <w:rPr>
          <w:rFonts w:cs="Times New Roman" w:hint="eastAsia"/>
          <w:sz w:val="22"/>
          <w:szCs w:val="22"/>
        </w:rPr>
        <w:t>s</w:t>
      </w:r>
      <w:r w:rsidR="00A43014" w:rsidRPr="008C10B7">
        <w:rPr>
          <w:rFonts w:cs="Times New Roman"/>
          <w:sz w:val="22"/>
          <w:szCs w:val="22"/>
        </w:rPr>
        <w:t>treet-view images</w:t>
      </w:r>
      <w:r w:rsidRPr="008C10B7">
        <w:rPr>
          <w:rFonts w:cs="Times New Roman"/>
          <w:sz w:val="22"/>
          <w:szCs w:val="22"/>
        </w:rPr>
        <w:t xml:space="preserve"> and green</w:t>
      </w:r>
      <w:r w:rsidR="00CC29AF" w:rsidRPr="008C10B7">
        <w:rPr>
          <w:rFonts w:cs="Times New Roman"/>
          <w:sz w:val="22"/>
          <w:szCs w:val="22"/>
        </w:rPr>
        <w:t>ery</w:t>
      </w:r>
      <w:r w:rsidRPr="008C10B7">
        <w:rPr>
          <w:rFonts w:cs="Times New Roman"/>
          <w:sz w:val="22"/>
          <w:szCs w:val="22"/>
        </w:rPr>
        <w:t xml:space="preserve"> analysed vertically </w:t>
      </w:r>
      <w:r w:rsidR="00793FC6" w:rsidRPr="008C10B7">
        <w:rPr>
          <w:rFonts w:cs="Times New Roman"/>
          <w:sz w:val="22"/>
          <w:szCs w:val="22"/>
        </w:rPr>
        <w:t>via</w:t>
      </w:r>
      <w:r w:rsidRPr="008C10B7">
        <w:rPr>
          <w:rFonts w:cs="Times New Roman"/>
          <w:sz w:val="22"/>
          <w:szCs w:val="22"/>
        </w:rPr>
        <w:t xml:space="preserve"> remote sensing.</w:t>
      </w:r>
      <w:r w:rsidR="00270930" w:rsidRPr="008C10B7">
        <w:rPr>
          <w:rFonts w:cs="Times New Roman"/>
          <w:sz w:val="22"/>
          <w:szCs w:val="22"/>
        </w:rPr>
        <w:t xml:space="preserve"> </w:t>
      </w:r>
    </w:p>
    <w:p w14:paraId="0B119CD0" w14:textId="7677D2AA" w:rsidR="00021746" w:rsidRPr="008C10B7" w:rsidRDefault="00021746" w:rsidP="00E7001C">
      <w:pPr>
        <w:spacing w:line="360" w:lineRule="auto"/>
        <w:jc w:val="both"/>
        <w:rPr>
          <w:rFonts w:cs="Times New Roman"/>
          <w:sz w:val="20"/>
          <w:szCs w:val="20"/>
        </w:rPr>
      </w:pPr>
    </w:p>
    <w:p w14:paraId="53C275D4" w14:textId="44F0721A" w:rsidR="00C234EB" w:rsidRPr="008C10B7" w:rsidRDefault="00021746" w:rsidP="00E7001C">
      <w:pPr>
        <w:pStyle w:val="Caption"/>
        <w:spacing w:line="360" w:lineRule="auto"/>
        <w:jc w:val="both"/>
        <w:rPr>
          <w:rFonts w:ascii="Times New Roman" w:hAnsi="Times New Roman"/>
          <w:szCs w:val="16"/>
        </w:rPr>
      </w:pPr>
      <w:bookmarkStart w:id="62" w:name="_Toc77799874"/>
      <w:r w:rsidRPr="008C10B7">
        <w:rPr>
          <w:rFonts w:ascii="Times New Roman" w:hAnsi="Times New Roman"/>
          <w:b/>
          <w:bCs/>
          <w:szCs w:val="16"/>
        </w:rPr>
        <w:t xml:space="preserve">Table </w:t>
      </w:r>
      <w:r w:rsidRPr="008C10B7">
        <w:rPr>
          <w:rFonts w:ascii="Times New Roman" w:hAnsi="Times New Roman"/>
          <w:b/>
          <w:bCs/>
          <w:szCs w:val="16"/>
        </w:rPr>
        <w:fldChar w:fldCharType="begin"/>
      </w:r>
      <w:r w:rsidRPr="008C10B7">
        <w:rPr>
          <w:rFonts w:ascii="Times New Roman" w:hAnsi="Times New Roman"/>
          <w:b/>
          <w:bCs/>
          <w:szCs w:val="16"/>
        </w:rPr>
        <w:instrText xml:space="preserve"> SEQ Table \* ARABIC </w:instrText>
      </w:r>
      <w:r w:rsidRPr="008C10B7">
        <w:rPr>
          <w:rFonts w:ascii="Times New Roman" w:hAnsi="Times New Roman"/>
          <w:b/>
          <w:bCs/>
          <w:szCs w:val="16"/>
        </w:rPr>
        <w:fldChar w:fldCharType="separate"/>
      </w:r>
      <w:r w:rsidR="00AE0FBF">
        <w:rPr>
          <w:rFonts w:ascii="Times New Roman" w:hAnsi="Times New Roman"/>
          <w:b/>
          <w:bCs/>
          <w:noProof/>
          <w:szCs w:val="16"/>
        </w:rPr>
        <w:t>4</w:t>
      </w:r>
      <w:r w:rsidRPr="008C10B7">
        <w:rPr>
          <w:rFonts w:ascii="Times New Roman" w:hAnsi="Times New Roman"/>
          <w:b/>
          <w:bCs/>
          <w:szCs w:val="16"/>
        </w:rPr>
        <w:fldChar w:fldCharType="end"/>
      </w:r>
      <w:r w:rsidRPr="008C10B7">
        <w:rPr>
          <w:rFonts w:ascii="Times New Roman" w:hAnsi="Times New Roman"/>
          <w:szCs w:val="16"/>
        </w:rPr>
        <w:t xml:space="preserve"> </w:t>
      </w:r>
    </w:p>
    <w:p w14:paraId="09FDA07B" w14:textId="5E4AC3F9" w:rsidR="004D3D6C" w:rsidRPr="008C10B7" w:rsidRDefault="00021746" w:rsidP="00E7001C">
      <w:pPr>
        <w:pStyle w:val="Caption"/>
        <w:spacing w:line="360" w:lineRule="auto"/>
        <w:jc w:val="both"/>
        <w:rPr>
          <w:rFonts w:ascii="Times New Roman" w:hAnsi="Times New Roman" w:cs="Times New Roman"/>
          <w:szCs w:val="12"/>
        </w:rPr>
      </w:pPr>
      <w:r w:rsidRPr="008C10B7">
        <w:rPr>
          <w:rFonts w:ascii="Times New Roman" w:hAnsi="Times New Roman"/>
          <w:szCs w:val="16"/>
        </w:rPr>
        <w:t>GVI vs. NDVI</w:t>
      </w:r>
      <w:bookmarkEnd w:id="62"/>
      <w:r w:rsidR="00C234EB" w:rsidRPr="008C10B7">
        <w:rPr>
          <w:rFonts w:ascii="Times New Roman" w:hAnsi="Times New Roman"/>
          <w:szCs w:val="16"/>
        </w:rPr>
        <w:t>.</w:t>
      </w:r>
    </w:p>
    <w:tbl>
      <w:tblPr>
        <w:tblStyle w:val="TableGrid"/>
        <w:tblW w:w="851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1843"/>
        <w:gridCol w:w="1984"/>
        <w:gridCol w:w="1701"/>
        <w:gridCol w:w="1560"/>
      </w:tblGrid>
      <w:tr w:rsidR="008C10B7" w:rsidRPr="008C10B7" w14:paraId="76ABB418" w14:textId="77777777" w:rsidTr="001E79AC">
        <w:tc>
          <w:tcPr>
            <w:tcW w:w="1423" w:type="dxa"/>
            <w:tcBorders>
              <w:top w:val="single" w:sz="4" w:space="0" w:color="auto"/>
              <w:bottom w:val="single" w:sz="4" w:space="0" w:color="auto"/>
            </w:tcBorders>
          </w:tcPr>
          <w:p w14:paraId="511AEA21" w14:textId="77777777" w:rsidR="002E1DBA" w:rsidRPr="008C10B7" w:rsidRDefault="002E1DBA" w:rsidP="001E79AC">
            <w:pPr>
              <w:spacing w:line="200" w:lineRule="exact"/>
              <w:jc w:val="both"/>
              <w:rPr>
                <w:rFonts w:ascii="Times" w:hAnsi="Times" w:cs="Times New Roman"/>
                <w:sz w:val="18"/>
                <w:szCs w:val="16"/>
              </w:rPr>
            </w:pPr>
            <w:bookmarkStart w:id="63" w:name="_Toc78625156"/>
          </w:p>
        </w:tc>
        <w:tc>
          <w:tcPr>
            <w:tcW w:w="1843" w:type="dxa"/>
            <w:tcBorders>
              <w:top w:val="single" w:sz="4" w:space="0" w:color="auto"/>
              <w:bottom w:val="single" w:sz="4" w:space="0" w:color="auto"/>
            </w:tcBorders>
          </w:tcPr>
          <w:p w14:paraId="1094D0E7"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Model 2</w:t>
            </w:r>
          </w:p>
          <w:p w14:paraId="381EEA63"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OR. (95% CI)</w:t>
            </w:r>
          </w:p>
          <w:p w14:paraId="1512A1D9"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GVI</w:t>
            </w:r>
          </w:p>
        </w:tc>
        <w:tc>
          <w:tcPr>
            <w:tcW w:w="1984" w:type="dxa"/>
            <w:tcBorders>
              <w:top w:val="single" w:sz="4" w:space="0" w:color="auto"/>
              <w:bottom w:val="single" w:sz="4" w:space="0" w:color="auto"/>
            </w:tcBorders>
          </w:tcPr>
          <w:p w14:paraId="06D7B90F"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Model 3</w:t>
            </w:r>
          </w:p>
          <w:p w14:paraId="1CE322E8"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OR. (95% CI)</w:t>
            </w:r>
          </w:p>
          <w:p w14:paraId="50BEE96F"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GVI</w:t>
            </w:r>
          </w:p>
        </w:tc>
        <w:tc>
          <w:tcPr>
            <w:tcW w:w="1701" w:type="dxa"/>
            <w:tcBorders>
              <w:top w:val="single" w:sz="4" w:space="0" w:color="auto"/>
              <w:bottom w:val="single" w:sz="4" w:space="0" w:color="auto"/>
            </w:tcBorders>
          </w:tcPr>
          <w:p w14:paraId="470E2848"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Model 4</w:t>
            </w:r>
          </w:p>
          <w:p w14:paraId="052C2DA6"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OR. (95% CI)</w:t>
            </w:r>
          </w:p>
          <w:p w14:paraId="0ADFE478"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NDVI</w:t>
            </w:r>
          </w:p>
        </w:tc>
        <w:tc>
          <w:tcPr>
            <w:tcW w:w="1560" w:type="dxa"/>
            <w:tcBorders>
              <w:top w:val="single" w:sz="4" w:space="0" w:color="auto"/>
              <w:bottom w:val="single" w:sz="4" w:space="0" w:color="auto"/>
            </w:tcBorders>
          </w:tcPr>
          <w:p w14:paraId="4A4C74AF"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Model 5</w:t>
            </w:r>
          </w:p>
          <w:p w14:paraId="7225340A"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OR. (95% CI)</w:t>
            </w:r>
          </w:p>
          <w:p w14:paraId="184A5501"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NDVI</w:t>
            </w:r>
          </w:p>
        </w:tc>
      </w:tr>
      <w:tr w:rsidR="008C10B7" w:rsidRPr="008C10B7" w14:paraId="6ACE6957" w14:textId="77777777" w:rsidTr="001E79AC">
        <w:tc>
          <w:tcPr>
            <w:tcW w:w="1423" w:type="dxa"/>
          </w:tcPr>
          <w:p w14:paraId="3428E76B" w14:textId="77777777" w:rsidR="002E1DBA" w:rsidRPr="008C10B7" w:rsidRDefault="002E1DBA" w:rsidP="001E79AC">
            <w:pPr>
              <w:spacing w:line="200" w:lineRule="exact"/>
              <w:ind w:firstLineChars="50" w:firstLine="90"/>
              <w:jc w:val="both"/>
              <w:rPr>
                <w:rFonts w:ascii="Times" w:hAnsi="Times" w:cs="Times New Roman"/>
                <w:sz w:val="18"/>
                <w:szCs w:val="16"/>
              </w:rPr>
            </w:pPr>
            <w:r w:rsidRPr="008C10B7">
              <w:rPr>
                <w:rFonts w:ascii="Times" w:hAnsi="Times" w:cs="Times New Roman"/>
                <w:sz w:val="18"/>
                <w:szCs w:val="16"/>
              </w:rPr>
              <w:t>GVI (ref: low)</w:t>
            </w:r>
          </w:p>
        </w:tc>
        <w:tc>
          <w:tcPr>
            <w:tcW w:w="1843" w:type="dxa"/>
          </w:tcPr>
          <w:p w14:paraId="2042C086" w14:textId="77777777" w:rsidR="002E1DBA" w:rsidRPr="008C10B7" w:rsidRDefault="002E1DBA" w:rsidP="001E79AC">
            <w:pPr>
              <w:spacing w:line="200" w:lineRule="exact"/>
              <w:jc w:val="both"/>
              <w:rPr>
                <w:rFonts w:ascii="Times" w:hAnsi="Times" w:cs="Times New Roman"/>
                <w:sz w:val="18"/>
                <w:szCs w:val="16"/>
              </w:rPr>
            </w:pPr>
          </w:p>
        </w:tc>
        <w:tc>
          <w:tcPr>
            <w:tcW w:w="1984" w:type="dxa"/>
          </w:tcPr>
          <w:p w14:paraId="3BE0A78D" w14:textId="77777777" w:rsidR="002E1DBA" w:rsidRPr="008C10B7" w:rsidRDefault="002E1DBA" w:rsidP="001E79AC">
            <w:pPr>
              <w:spacing w:line="200" w:lineRule="exact"/>
              <w:jc w:val="both"/>
              <w:rPr>
                <w:rFonts w:ascii="Times" w:hAnsi="Times" w:cs="Times New Roman"/>
                <w:sz w:val="18"/>
                <w:szCs w:val="16"/>
              </w:rPr>
            </w:pPr>
          </w:p>
        </w:tc>
        <w:tc>
          <w:tcPr>
            <w:tcW w:w="1701" w:type="dxa"/>
          </w:tcPr>
          <w:p w14:paraId="3488A204" w14:textId="77777777" w:rsidR="002E1DBA" w:rsidRPr="008C10B7" w:rsidRDefault="002E1DBA" w:rsidP="001E79AC">
            <w:pPr>
              <w:spacing w:line="200" w:lineRule="exact"/>
              <w:jc w:val="both"/>
              <w:rPr>
                <w:rFonts w:ascii="Times" w:hAnsi="Times" w:cs="Times New Roman"/>
                <w:sz w:val="18"/>
                <w:szCs w:val="16"/>
              </w:rPr>
            </w:pPr>
          </w:p>
        </w:tc>
        <w:tc>
          <w:tcPr>
            <w:tcW w:w="1560" w:type="dxa"/>
          </w:tcPr>
          <w:p w14:paraId="78BC4C77" w14:textId="77777777" w:rsidR="002E1DBA" w:rsidRPr="008C10B7" w:rsidRDefault="002E1DBA" w:rsidP="001E79AC">
            <w:pPr>
              <w:spacing w:line="200" w:lineRule="exact"/>
              <w:jc w:val="both"/>
              <w:rPr>
                <w:rFonts w:ascii="Times" w:hAnsi="Times" w:cs="Times New Roman"/>
                <w:sz w:val="18"/>
                <w:szCs w:val="16"/>
              </w:rPr>
            </w:pPr>
          </w:p>
        </w:tc>
      </w:tr>
      <w:tr w:rsidR="008C10B7" w:rsidRPr="008C10B7" w14:paraId="1B1A358D" w14:textId="77777777" w:rsidTr="001E79AC">
        <w:tc>
          <w:tcPr>
            <w:tcW w:w="1423" w:type="dxa"/>
          </w:tcPr>
          <w:p w14:paraId="0BAC0F0B" w14:textId="77777777" w:rsidR="002E1DBA" w:rsidRPr="008C10B7" w:rsidRDefault="002E1DBA" w:rsidP="001E79AC">
            <w:pPr>
              <w:spacing w:line="200" w:lineRule="exact"/>
              <w:ind w:firstLineChars="50" w:firstLine="90"/>
              <w:jc w:val="both"/>
              <w:rPr>
                <w:rFonts w:ascii="Times" w:hAnsi="Times" w:cs="Times New Roman"/>
                <w:sz w:val="18"/>
                <w:szCs w:val="16"/>
              </w:rPr>
            </w:pPr>
            <w:r w:rsidRPr="008C10B7">
              <w:rPr>
                <w:rFonts w:ascii="Times" w:hAnsi="Times" w:cs="Times New Roman"/>
                <w:sz w:val="18"/>
                <w:szCs w:val="16"/>
              </w:rPr>
              <w:t>Medium</w:t>
            </w:r>
          </w:p>
        </w:tc>
        <w:tc>
          <w:tcPr>
            <w:tcW w:w="1843" w:type="dxa"/>
          </w:tcPr>
          <w:p w14:paraId="62C9C3C7"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4.093*(1.213-13.794)</w:t>
            </w:r>
          </w:p>
        </w:tc>
        <w:tc>
          <w:tcPr>
            <w:tcW w:w="1984" w:type="dxa"/>
          </w:tcPr>
          <w:p w14:paraId="71689EA1"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3.674*(1.162-11.616)</w:t>
            </w:r>
          </w:p>
        </w:tc>
        <w:tc>
          <w:tcPr>
            <w:tcW w:w="1701" w:type="dxa"/>
          </w:tcPr>
          <w:p w14:paraId="559A718F"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2.394(0.629-9.119)</w:t>
            </w:r>
          </w:p>
        </w:tc>
        <w:tc>
          <w:tcPr>
            <w:tcW w:w="1560" w:type="dxa"/>
          </w:tcPr>
          <w:p w14:paraId="21036A85"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2.418(0.724-8.077)</w:t>
            </w:r>
          </w:p>
        </w:tc>
      </w:tr>
      <w:tr w:rsidR="008C10B7" w:rsidRPr="008C10B7" w14:paraId="5D225BAD" w14:textId="77777777" w:rsidTr="001E79AC">
        <w:tc>
          <w:tcPr>
            <w:tcW w:w="1423" w:type="dxa"/>
          </w:tcPr>
          <w:p w14:paraId="578535C4" w14:textId="77777777" w:rsidR="002E1DBA" w:rsidRPr="008C10B7" w:rsidRDefault="002E1DBA" w:rsidP="001E79AC">
            <w:pPr>
              <w:spacing w:line="200" w:lineRule="exact"/>
              <w:ind w:firstLineChars="50" w:firstLine="90"/>
              <w:jc w:val="both"/>
              <w:rPr>
                <w:rFonts w:ascii="Times" w:hAnsi="Times" w:cs="Times New Roman"/>
                <w:sz w:val="18"/>
                <w:szCs w:val="16"/>
              </w:rPr>
            </w:pPr>
            <w:r w:rsidRPr="008C10B7">
              <w:rPr>
                <w:rFonts w:ascii="Times" w:hAnsi="Times" w:cs="Times New Roman"/>
                <w:sz w:val="18"/>
                <w:szCs w:val="16"/>
              </w:rPr>
              <w:t>High</w:t>
            </w:r>
          </w:p>
        </w:tc>
        <w:tc>
          <w:tcPr>
            <w:tcW w:w="1843" w:type="dxa"/>
          </w:tcPr>
          <w:p w14:paraId="2C6C8E59"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5.047*(1.803-14.126)</w:t>
            </w:r>
          </w:p>
        </w:tc>
        <w:tc>
          <w:tcPr>
            <w:tcW w:w="1984" w:type="dxa"/>
          </w:tcPr>
          <w:p w14:paraId="5B9DC69F"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3.863**(1.443-10.340)</w:t>
            </w:r>
          </w:p>
        </w:tc>
        <w:tc>
          <w:tcPr>
            <w:tcW w:w="1701" w:type="dxa"/>
          </w:tcPr>
          <w:p w14:paraId="4ED996E1"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3.570(0.933-13.652)</w:t>
            </w:r>
          </w:p>
        </w:tc>
        <w:tc>
          <w:tcPr>
            <w:tcW w:w="1560" w:type="dxa"/>
          </w:tcPr>
          <w:p w14:paraId="0C7E1CC5"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2.896(0.864-9.704)</w:t>
            </w:r>
          </w:p>
        </w:tc>
      </w:tr>
      <w:tr w:rsidR="008C10B7" w:rsidRPr="008C10B7" w14:paraId="5FDD0316" w14:textId="77777777" w:rsidTr="001E79AC">
        <w:tc>
          <w:tcPr>
            <w:tcW w:w="1423" w:type="dxa"/>
          </w:tcPr>
          <w:p w14:paraId="0A23D8D6"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Log likelihood</w:t>
            </w:r>
          </w:p>
        </w:tc>
        <w:tc>
          <w:tcPr>
            <w:tcW w:w="1843" w:type="dxa"/>
          </w:tcPr>
          <w:p w14:paraId="1C424D2E"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-439.117</w:t>
            </w:r>
          </w:p>
        </w:tc>
        <w:tc>
          <w:tcPr>
            <w:tcW w:w="1984" w:type="dxa"/>
          </w:tcPr>
          <w:p w14:paraId="3697A378"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-395.968</w:t>
            </w:r>
          </w:p>
        </w:tc>
        <w:tc>
          <w:tcPr>
            <w:tcW w:w="1701" w:type="dxa"/>
          </w:tcPr>
          <w:p w14:paraId="7267108D"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-441.338</w:t>
            </w:r>
          </w:p>
        </w:tc>
        <w:tc>
          <w:tcPr>
            <w:tcW w:w="1560" w:type="dxa"/>
          </w:tcPr>
          <w:p w14:paraId="76F2E8E1"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-397.762</w:t>
            </w:r>
          </w:p>
        </w:tc>
      </w:tr>
      <w:tr w:rsidR="008C10B7" w:rsidRPr="008C10B7" w14:paraId="165EA041" w14:textId="77777777" w:rsidTr="001E79AC">
        <w:tc>
          <w:tcPr>
            <w:tcW w:w="1423" w:type="dxa"/>
            <w:tcBorders>
              <w:bottom w:val="single" w:sz="4" w:space="0" w:color="auto"/>
            </w:tcBorders>
          </w:tcPr>
          <w:p w14:paraId="3CCC4CDE"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AIC</w:t>
            </w:r>
          </w:p>
        </w:tc>
        <w:tc>
          <w:tcPr>
            <w:tcW w:w="1843" w:type="dxa"/>
            <w:tcBorders>
              <w:bottom w:val="single" w:sz="4" w:space="0" w:color="auto"/>
            </w:tcBorders>
          </w:tcPr>
          <w:p w14:paraId="04ADAD61"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906.235</w:t>
            </w:r>
          </w:p>
        </w:tc>
        <w:tc>
          <w:tcPr>
            <w:tcW w:w="1984" w:type="dxa"/>
            <w:tcBorders>
              <w:bottom w:val="single" w:sz="4" w:space="0" w:color="auto"/>
            </w:tcBorders>
          </w:tcPr>
          <w:p w14:paraId="15E115B8"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839.937</w:t>
            </w:r>
          </w:p>
        </w:tc>
        <w:tc>
          <w:tcPr>
            <w:tcW w:w="1701" w:type="dxa"/>
            <w:tcBorders>
              <w:bottom w:val="single" w:sz="4" w:space="0" w:color="auto"/>
            </w:tcBorders>
          </w:tcPr>
          <w:p w14:paraId="770ADF26"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910.676</w:t>
            </w:r>
          </w:p>
        </w:tc>
        <w:tc>
          <w:tcPr>
            <w:tcW w:w="1560" w:type="dxa"/>
            <w:tcBorders>
              <w:bottom w:val="single" w:sz="4" w:space="0" w:color="auto"/>
            </w:tcBorders>
          </w:tcPr>
          <w:p w14:paraId="771FB48E" w14:textId="77777777" w:rsidR="002E1DBA" w:rsidRPr="008C10B7" w:rsidRDefault="002E1DBA" w:rsidP="001E79AC">
            <w:pPr>
              <w:spacing w:line="200" w:lineRule="exact"/>
              <w:jc w:val="both"/>
              <w:rPr>
                <w:rFonts w:ascii="Times" w:hAnsi="Times" w:cs="Times New Roman"/>
                <w:sz w:val="18"/>
                <w:szCs w:val="16"/>
              </w:rPr>
            </w:pPr>
            <w:r w:rsidRPr="008C10B7">
              <w:rPr>
                <w:rFonts w:ascii="Times" w:hAnsi="Times" w:cs="Times New Roman"/>
                <w:sz w:val="18"/>
                <w:szCs w:val="16"/>
              </w:rPr>
              <w:t>843.524</w:t>
            </w:r>
          </w:p>
        </w:tc>
      </w:tr>
    </w:tbl>
    <w:p w14:paraId="47368A0C" w14:textId="77777777" w:rsidR="002E1DBA" w:rsidRPr="008C10B7" w:rsidRDefault="002E1DBA" w:rsidP="002E1DBA">
      <w:r w:rsidRPr="008C10B7">
        <w:rPr>
          <w:rFonts w:ascii="Times" w:hAnsi="Times" w:cs="Times New Roman"/>
          <w:sz w:val="18"/>
          <w:szCs w:val="16"/>
        </w:rPr>
        <w:t>OR = odds ratio; CI = confidence interval; AIC = Akaike information criterion. *p&lt; 0.05, **p&lt; 0.01, ***p&lt; 0.001.</w:t>
      </w:r>
    </w:p>
    <w:p w14:paraId="105C5A26" w14:textId="77777777" w:rsidR="00802DC5" w:rsidRPr="008C10B7" w:rsidRDefault="00802DC5" w:rsidP="00E7001C">
      <w:pPr>
        <w:pStyle w:val="ListParagraph"/>
        <w:autoSpaceDE w:val="0"/>
        <w:autoSpaceDN w:val="0"/>
        <w:adjustRightInd w:val="0"/>
        <w:spacing w:line="360" w:lineRule="auto"/>
        <w:ind w:left="0"/>
        <w:contextualSpacing w:val="0"/>
        <w:jc w:val="both"/>
        <w:outlineLvl w:val="0"/>
        <w:rPr>
          <w:rFonts w:cstheme="majorHAnsi"/>
          <w:b/>
          <w:sz w:val="22"/>
          <w:szCs w:val="28"/>
        </w:rPr>
      </w:pPr>
    </w:p>
    <w:p w14:paraId="39875310" w14:textId="3F147B8D" w:rsidR="00262E9E" w:rsidRPr="008C10B7" w:rsidRDefault="00262E9E" w:rsidP="00E7001C">
      <w:pPr>
        <w:pStyle w:val="ListParagraph"/>
        <w:autoSpaceDE w:val="0"/>
        <w:autoSpaceDN w:val="0"/>
        <w:adjustRightInd w:val="0"/>
        <w:spacing w:line="360" w:lineRule="auto"/>
        <w:ind w:left="0"/>
        <w:contextualSpacing w:val="0"/>
        <w:jc w:val="both"/>
        <w:outlineLvl w:val="0"/>
        <w:rPr>
          <w:rFonts w:cstheme="majorHAnsi"/>
          <w:b/>
          <w:sz w:val="22"/>
          <w:szCs w:val="28"/>
        </w:rPr>
      </w:pPr>
      <w:r w:rsidRPr="008C10B7">
        <w:rPr>
          <w:rFonts w:cstheme="majorHAnsi"/>
          <w:b/>
          <w:sz w:val="22"/>
          <w:szCs w:val="28"/>
        </w:rPr>
        <w:t>5</w:t>
      </w:r>
      <w:r w:rsidR="00183700" w:rsidRPr="008C10B7">
        <w:rPr>
          <w:rFonts w:cstheme="majorHAnsi"/>
          <w:b/>
          <w:sz w:val="22"/>
          <w:szCs w:val="28"/>
        </w:rPr>
        <w:t>.</w:t>
      </w:r>
      <w:r w:rsidRPr="008C10B7">
        <w:rPr>
          <w:rFonts w:cstheme="majorHAnsi"/>
          <w:b/>
          <w:sz w:val="22"/>
          <w:szCs w:val="28"/>
        </w:rPr>
        <w:t xml:space="preserve"> </w:t>
      </w:r>
      <w:r w:rsidRPr="008C10B7">
        <w:rPr>
          <w:rFonts w:cstheme="majorHAnsi"/>
          <w:b/>
          <w:sz w:val="22"/>
          <w:szCs w:val="28"/>
          <w:lang w:eastAsia="zh-CN"/>
        </w:rPr>
        <w:t>Discussion</w:t>
      </w:r>
      <w:bookmarkEnd w:id="63"/>
    </w:p>
    <w:p w14:paraId="22E4A3E0" w14:textId="01239D61" w:rsidR="004D3D6C" w:rsidRPr="008C10B7" w:rsidRDefault="00711121" w:rsidP="00E7001C">
      <w:pPr>
        <w:pStyle w:val="Heading2"/>
        <w:keepNext/>
        <w:keepLines/>
        <w:spacing w:before="0" w:beforeAutospacing="0" w:after="0" w:afterAutospacing="0" w:line="360" w:lineRule="auto"/>
        <w:jc w:val="both"/>
        <w:rPr>
          <w:rFonts w:eastAsiaTheme="majorEastAsia" w:cstheme="majorHAnsi"/>
          <w:b w:val="0"/>
          <w:i/>
          <w:iCs/>
          <w:sz w:val="22"/>
          <w:szCs w:val="32"/>
          <w:lang w:val="en-GB" w:eastAsia="en-US"/>
        </w:rPr>
      </w:pPr>
      <w:bookmarkStart w:id="64" w:name="_Toc78625157"/>
      <w:r w:rsidRPr="008C10B7">
        <w:rPr>
          <w:rFonts w:eastAsiaTheme="majorEastAsia" w:cstheme="majorHAnsi"/>
          <w:b w:val="0"/>
          <w:i/>
          <w:iCs/>
          <w:sz w:val="22"/>
          <w:szCs w:val="22"/>
          <w:lang w:val="en-GB" w:eastAsia="en-US"/>
        </w:rPr>
        <w:t>5.</w:t>
      </w:r>
      <w:r w:rsidR="00764EDF" w:rsidRPr="008C10B7">
        <w:rPr>
          <w:rFonts w:eastAsiaTheme="majorEastAsia" w:cstheme="majorHAnsi"/>
          <w:b w:val="0"/>
          <w:i/>
          <w:iCs/>
          <w:sz w:val="22"/>
          <w:szCs w:val="22"/>
          <w:lang w:val="en-GB" w:eastAsia="en-US"/>
        </w:rPr>
        <w:t>1</w:t>
      </w:r>
      <w:r w:rsidR="00C234EB" w:rsidRPr="008C10B7">
        <w:rPr>
          <w:rFonts w:eastAsiaTheme="majorEastAsia" w:cstheme="majorHAnsi"/>
          <w:b w:val="0"/>
          <w:i/>
          <w:iCs/>
          <w:sz w:val="22"/>
          <w:szCs w:val="22"/>
          <w:lang w:val="en-GB" w:eastAsia="en-US"/>
        </w:rPr>
        <w:t>.</w:t>
      </w:r>
      <w:r w:rsidR="00262E9E" w:rsidRPr="008C10B7">
        <w:rPr>
          <w:rFonts w:eastAsiaTheme="majorEastAsia" w:cstheme="majorHAnsi"/>
          <w:b w:val="0"/>
          <w:i/>
          <w:iCs/>
          <w:sz w:val="22"/>
          <w:szCs w:val="22"/>
          <w:lang w:val="en-GB" w:eastAsia="en-US"/>
        </w:rPr>
        <w:tab/>
      </w:r>
      <w:r w:rsidRPr="008C10B7">
        <w:rPr>
          <w:rFonts w:eastAsiaTheme="majorEastAsia" w:cstheme="majorHAnsi"/>
          <w:b w:val="0"/>
          <w:i/>
          <w:iCs/>
          <w:sz w:val="22"/>
          <w:szCs w:val="22"/>
          <w:lang w:val="en-GB" w:eastAsia="en-US"/>
        </w:rPr>
        <w:t xml:space="preserve">Urban </w:t>
      </w:r>
      <w:r w:rsidR="0090786D" w:rsidRPr="008C10B7">
        <w:rPr>
          <w:rFonts w:eastAsiaTheme="majorEastAsia" w:cstheme="majorHAnsi"/>
          <w:b w:val="0"/>
          <w:i/>
          <w:iCs/>
          <w:sz w:val="22"/>
          <w:szCs w:val="22"/>
          <w:lang w:val="en-GB" w:eastAsia="en-US"/>
        </w:rPr>
        <w:t>greenery and travel mode</w:t>
      </w:r>
      <w:bookmarkEnd w:id="64"/>
    </w:p>
    <w:p w14:paraId="5AE454FB" w14:textId="4DCF9760" w:rsidR="0090786D" w:rsidRPr="008C10B7" w:rsidRDefault="00711121" w:rsidP="00E7001C">
      <w:pPr>
        <w:spacing w:line="360" w:lineRule="auto"/>
        <w:jc w:val="both"/>
        <w:rPr>
          <w:rFonts w:ascii="SimSun" w:hAnsi="SimSun" w:cs="Times New Roman"/>
          <w:sz w:val="22"/>
          <w:szCs w:val="22"/>
        </w:rPr>
      </w:pPr>
      <w:r w:rsidRPr="008C10B7">
        <w:rPr>
          <w:rFonts w:cs="Times New Roman"/>
          <w:sz w:val="22"/>
          <w:szCs w:val="22"/>
        </w:rPr>
        <w:t xml:space="preserve">Urban green spaces </w:t>
      </w:r>
      <w:r w:rsidR="00121F0A" w:rsidRPr="008C10B7">
        <w:rPr>
          <w:rFonts w:cs="Times New Roman"/>
          <w:sz w:val="22"/>
          <w:szCs w:val="22"/>
        </w:rPr>
        <w:t xml:space="preserve">fulfil </w:t>
      </w:r>
      <w:r w:rsidRPr="008C10B7">
        <w:rPr>
          <w:rFonts w:cs="Times New Roman"/>
          <w:sz w:val="22"/>
          <w:szCs w:val="22"/>
        </w:rPr>
        <w:t xml:space="preserve">important sensory functions that have visual effects and reflect the aesthetic landscape </w:t>
      </w:r>
      <w:r w:rsidRPr="008C10B7">
        <w:rPr>
          <w:rFonts w:cs="Times New Roman"/>
          <w:sz w:val="22"/>
          <w:szCs w:val="22"/>
        </w:rPr>
        <w:fldChar w:fldCharType="begin" w:fldLock="1"/>
      </w:r>
      <w:r w:rsidR="00B74AD7" w:rsidRPr="008C10B7">
        <w:rPr>
          <w:rFonts w:cs="Times New Roman"/>
          <w:sz w:val="22"/>
          <w:szCs w:val="22"/>
        </w:rPr>
        <w:instrText>ADDIN CSL_CITATION {"citationItems":[{"id":"ITEM-1","itemData":{"DOI":"10.1016/j.landurbplan.2008.12.004","ISSN":"01692046","abstract":"The Green View index was developed to evaluate the visibility of urban forests. It was estimated through a combination of field surveys and photography interpretation and tested in Berkeley, California. The results showed that the overall Green View value in Berkeley was 24.79%. It has a strong correlation (R2 = 0.86) with the canopy cover of tree/shrubs, which was 31.49%. Besides the absolute amount of canopy cover, Green View is also influenced by the distribution pattern of trees. The ANOVA analysis indicated that the size of trees, the distance between trees and viewers, the existence of vegetation other than trees and shrubs all had a significant impact on values of Green View. The study shows that the use of large-size trees is important for creating a view with more greenery in a city. Green View can be used to evaluate the visual impact of various planning and management practices on urban forests. © 2008 Elsevier B.V. All rights reserved.","author":[{"dropping-particle":"","family":"Yang","given":"Jun","non-dropping-particle":"","parse-names":false,"suffix":""},{"dropping-particle":"","family":"Zhao","given":"Linsen","non-dropping-particle":"","parse-names":false,"suffix":""},{"dropping-particle":"","family":"Mcbride","given":"Joe","non-dropping-particle":"","parse-names":false,"suffix":""},{"dropping-particle":"","family":"Gong","given":"Peng","non-dropping-particle":"","parse-names":false,"suffix":""}],"container-title":"Landscape and Urban Planning","id":"ITEM-1","issue":"2","issued":{"date-parts":[["2009","6","15"]]},"page":"97-104","publisher":"Elsevier","title":"Can you see green? Assessing the visibility of urban forests in cities","type":"article-journal","volume":"91"},"uris":["http://www.mendeley.com/documents/?uuid=83dd9b1f-86ca-37a3-922d-690411f3844f"]}],"mendeley":{"formattedCitation":"(J. Yang et al., 2009)","manualFormatting":"(Yang et al., 2009)","plainTextFormattedCitation":"(J. Yang et al., 2009)","previouslyFormattedCitation":"(J. Yang et al., 2009)"},"properties":{"noteIndex":0},"schema":"https://github.com/citation-style-language/schema/raw/master/csl-citation.json"}</w:instrText>
      </w:r>
      <w:r w:rsidRPr="008C10B7">
        <w:rPr>
          <w:rFonts w:cs="Times New Roman"/>
          <w:sz w:val="22"/>
          <w:szCs w:val="22"/>
        </w:rPr>
        <w:fldChar w:fldCharType="separate"/>
      </w:r>
      <w:r w:rsidRPr="008C10B7">
        <w:rPr>
          <w:rFonts w:cs="Times New Roman"/>
          <w:sz w:val="22"/>
          <w:szCs w:val="22"/>
        </w:rPr>
        <w:t>(Yang et al., 2009)</w:t>
      </w:r>
      <w:r w:rsidRPr="008C10B7">
        <w:rPr>
          <w:rFonts w:cs="Times New Roman"/>
          <w:sz w:val="22"/>
          <w:szCs w:val="22"/>
        </w:rPr>
        <w:fldChar w:fldCharType="end"/>
      </w:r>
      <w:r w:rsidRPr="008C10B7">
        <w:rPr>
          <w:rFonts w:cs="Times New Roman"/>
          <w:sz w:val="22"/>
          <w:szCs w:val="22"/>
        </w:rPr>
        <w:t xml:space="preserve">. However, only greenery </w:t>
      </w:r>
      <w:r w:rsidR="00121F0A" w:rsidRPr="008C10B7">
        <w:rPr>
          <w:rFonts w:cs="Times New Roman"/>
          <w:sz w:val="22"/>
          <w:szCs w:val="22"/>
        </w:rPr>
        <w:t xml:space="preserve">that can be </w:t>
      </w:r>
      <w:r w:rsidRPr="008C10B7">
        <w:rPr>
          <w:rFonts w:cs="Times New Roman"/>
          <w:sz w:val="22"/>
          <w:szCs w:val="22"/>
        </w:rPr>
        <w:t>seen from the pedestrian</w:t>
      </w:r>
      <w:r w:rsidR="0090786D" w:rsidRPr="008C10B7">
        <w:rPr>
          <w:rFonts w:cs="Times New Roman"/>
          <w:sz w:val="22"/>
          <w:szCs w:val="22"/>
        </w:rPr>
        <w:t>’</w:t>
      </w:r>
      <w:r w:rsidRPr="008C10B7">
        <w:rPr>
          <w:rFonts w:cs="Times New Roman"/>
          <w:sz w:val="22"/>
          <w:szCs w:val="22"/>
        </w:rPr>
        <w:t>s view</w:t>
      </w:r>
      <w:r w:rsidR="00121F0A" w:rsidRPr="008C10B7">
        <w:rPr>
          <w:rFonts w:cs="Times New Roman"/>
          <w:sz w:val="22"/>
          <w:szCs w:val="22"/>
        </w:rPr>
        <w:t>point</w:t>
      </w:r>
      <w:r w:rsidRPr="008C10B7">
        <w:rPr>
          <w:rFonts w:cs="Times New Roman"/>
          <w:sz w:val="22"/>
          <w:szCs w:val="22"/>
        </w:rPr>
        <w:t xml:space="preserve"> can </w:t>
      </w:r>
      <w:r w:rsidR="00121F0A" w:rsidRPr="008C10B7">
        <w:rPr>
          <w:rFonts w:cs="Times New Roman"/>
          <w:sz w:val="22"/>
          <w:szCs w:val="22"/>
        </w:rPr>
        <w:t xml:space="preserve">actually </w:t>
      </w:r>
      <w:r w:rsidRPr="008C10B7">
        <w:rPr>
          <w:rFonts w:cs="Times New Roman"/>
          <w:sz w:val="22"/>
          <w:szCs w:val="22"/>
        </w:rPr>
        <w:t>influence or reflect the pedestrian</w:t>
      </w:r>
      <w:r w:rsidR="0090786D" w:rsidRPr="008C10B7">
        <w:rPr>
          <w:rFonts w:cs="Times New Roman"/>
          <w:sz w:val="22"/>
          <w:szCs w:val="22"/>
        </w:rPr>
        <w:t>’</w:t>
      </w:r>
      <w:r w:rsidRPr="008C10B7">
        <w:rPr>
          <w:rFonts w:cs="Times New Roman"/>
          <w:sz w:val="22"/>
          <w:szCs w:val="22"/>
        </w:rPr>
        <w:t xml:space="preserve">s real experience of green exposure </w:t>
      </w:r>
      <w:r w:rsidRPr="008C10B7">
        <w:rPr>
          <w:rFonts w:cs="Times New Roman"/>
          <w:sz w:val="22"/>
          <w:szCs w:val="22"/>
        </w:rPr>
        <w:fldChar w:fldCharType="begin" w:fldLock="1"/>
      </w:r>
      <w:r w:rsidR="00B74AD7" w:rsidRPr="008C10B7">
        <w:rPr>
          <w:rFonts w:cs="Times New Roman"/>
          <w:sz w:val="22"/>
          <w:szCs w:val="22"/>
        </w:rPr>
        <w:instrText>ADDIN CSL_CITATION {"citationItems":[{"id":"ITEM-1","itemData":{"DOI":"10.1016/j.ufug.2015.06.006","ISSN":"16108167","abstract":"We explored Google Street View (GSV) as a street-level, urban greenery assessment tool. Street-level greenery has long played a critical role in the visual quality of urban landscapes. This living landscape element can and should be assessed for the quality of visual impact with the GSV information, and the assessed street-level greenery information could be incorporated into urban landscape planning and management. Information on street-level views of urban greenery assessment, however, is rare or nonexistent. Planners and managers' ability to plan and manage urban landscapes effectively and efficiently is, therefore, limited. GSV is one tool that might provide street-level, profile views of urban landscape and greenery, yet no research on GSV for urban planning seems available in literature. We modified an existing Green View Index (GVI) formula and conducted a case study assessment of street greenery using GSV images in the area of East Village, Manhattan District, New York City. We found that GSV to be well suited for assessing street-level greenery. We suggest further that the modified GVI may be a relatively objective measurement of street-level greenery, and that GSV in combination with GVI may be well suited in guiding urban landscape planning and management.","author":[{"dropping-particle":"","family":"Li","given":"Xiaojiang","non-dropping-particle":"","parse-names":false,"suffix":""},{"dropping-particle":"","family":"Zhang","given":"Chuanrong","non-dropping-particle":"","parse-names":false,"suffix":""},{"dropping-particle":"","family":"Li","given":"Weidong","non-dropping-particle":"","parse-names":false,"suffix":""},{"dropping-particle":"","family":"Ricard","given":"Robert","non-dropping-particle":"","parse-names":false,"suffix":""},{"dropping-particle":"","family":"Meng","given":"Qingyan","non-dropping-particle":"","parse-names":false,"suffix":""},{"dropping-particle":"","family":"Zhang","given":"Weixing","non-dropping-particle":"","parse-names":false,"suffix":""}],"container-title":"Urban Forestry and Urban Greening","id":"ITEM-1","issue":"3","issued":{"date-parts":[["2015","1","1"]]},"page":"675-685","publisher":"Elsevier GmbH","title":"Assessing street-level urban greenery using Google Street View and a modified green view index","type":"article-journal","volume":"14"},"uris":["http://www.mendeley.com/documents/?uuid=e0991eed-fc7a-3946-ada1-0eeac6e42bdd"]}],"mendeley":{"formattedCitation":"(Li et al., 2015)","plainTextFormattedCitation":"(Li et al., 2015)","previouslyFormattedCitation":"(Li et al., 2015)"},"properties":{"noteIndex":0},"schema":"https://github.com/citation-style-language/schema/raw/master/csl-citation.json"}</w:instrText>
      </w:r>
      <w:r w:rsidRPr="008C10B7">
        <w:rPr>
          <w:rFonts w:cs="Times New Roman"/>
          <w:sz w:val="22"/>
          <w:szCs w:val="22"/>
        </w:rPr>
        <w:fldChar w:fldCharType="separate"/>
      </w:r>
      <w:r w:rsidR="008C7EFD" w:rsidRPr="008C10B7">
        <w:rPr>
          <w:rFonts w:cs="Times New Roman"/>
          <w:sz w:val="22"/>
          <w:szCs w:val="22"/>
        </w:rPr>
        <w:t>(Li et al., 2015)</w:t>
      </w:r>
      <w:r w:rsidRPr="008C10B7">
        <w:rPr>
          <w:rFonts w:cs="Times New Roman"/>
          <w:sz w:val="22"/>
          <w:szCs w:val="22"/>
        </w:rPr>
        <w:fldChar w:fldCharType="end"/>
      </w:r>
      <w:r w:rsidRPr="008C10B7">
        <w:rPr>
          <w:rFonts w:cs="Times New Roman"/>
          <w:sz w:val="22"/>
          <w:szCs w:val="22"/>
        </w:rPr>
        <w:t xml:space="preserve">. In this </w:t>
      </w:r>
      <w:r w:rsidR="00DB2F11" w:rsidRPr="008C10B7">
        <w:rPr>
          <w:rFonts w:cs="Times New Roman"/>
          <w:sz w:val="22"/>
          <w:szCs w:val="22"/>
        </w:rPr>
        <w:t>study</w:t>
      </w:r>
      <w:r w:rsidRPr="008C10B7">
        <w:rPr>
          <w:rFonts w:cs="Times New Roman"/>
          <w:sz w:val="22"/>
          <w:szCs w:val="22"/>
        </w:rPr>
        <w:t>, green spaces were analysed from street-view images, demonstrat</w:t>
      </w:r>
      <w:r w:rsidR="00A0563F" w:rsidRPr="008C10B7">
        <w:rPr>
          <w:rFonts w:cs="Times New Roman"/>
          <w:sz w:val="22"/>
          <w:szCs w:val="22"/>
        </w:rPr>
        <w:t>ing</w:t>
      </w:r>
      <w:r w:rsidRPr="008C10B7">
        <w:rPr>
          <w:rFonts w:cs="Times New Roman"/>
          <w:sz w:val="22"/>
          <w:szCs w:val="22"/>
        </w:rPr>
        <w:t xml:space="preserve"> that exposure to </w:t>
      </w:r>
      <w:r w:rsidR="008A7787" w:rsidRPr="008C10B7">
        <w:rPr>
          <w:rFonts w:cs="Times New Roman"/>
          <w:sz w:val="22"/>
          <w:szCs w:val="22"/>
        </w:rPr>
        <w:t>green street</w:t>
      </w:r>
      <w:r w:rsidRPr="008C10B7">
        <w:rPr>
          <w:rFonts w:cs="Times New Roman"/>
          <w:sz w:val="22"/>
          <w:szCs w:val="22"/>
        </w:rPr>
        <w:t xml:space="preserve"> space was </w:t>
      </w:r>
      <w:r w:rsidR="00C42D92" w:rsidRPr="008C10B7">
        <w:rPr>
          <w:rFonts w:cs="Times New Roman"/>
          <w:sz w:val="22"/>
          <w:szCs w:val="22"/>
        </w:rPr>
        <w:t xml:space="preserve">statistically </w:t>
      </w:r>
      <w:r w:rsidRPr="008C10B7">
        <w:rPr>
          <w:rFonts w:cs="Times New Roman"/>
          <w:sz w:val="22"/>
          <w:szCs w:val="22"/>
        </w:rPr>
        <w:t xml:space="preserve">significantly and positively associated with </w:t>
      </w:r>
      <w:r w:rsidR="00121F0A" w:rsidRPr="008C10B7">
        <w:rPr>
          <w:rFonts w:cs="Times New Roman"/>
          <w:sz w:val="22"/>
          <w:szCs w:val="22"/>
        </w:rPr>
        <w:t xml:space="preserve">university </w:t>
      </w:r>
      <w:r w:rsidRPr="008C10B7">
        <w:rPr>
          <w:rFonts w:cs="Times New Roman"/>
          <w:sz w:val="22"/>
          <w:szCs w:val="22"/>
        </w:rPr>
        <w:t>students</w:t>
      </w:r>
      <w:r w:rsidR="0090786D" w:rsidRPr="008C10B7">
        <w:rPr>
          <w:rFonts w:cs="Times New Roman"/>
          <w:sz w:val="22"/>
          <w:szCs w:val="22"/>
        </w:rPr>
        <w:t>’</w:t>
      </w:r>
      <w:r w:rsidRPr="008C10B7">
        <w:rPr>
          <w:rFonts w:cs="Times New Roman"/>
          <w:sz w:val="22"/>
          <w:szCs w:val="22"/>
        </w:rPr>
        <w:t xml:space="preserve"> willingness to </w:t>
      </w:r>
      <w:r w:rsidR="0090786D" w:rsidRPr="008C10B7">
        <w:rPr>
          <w:rFonts w:cs="Times New Roman"/>
          <w:sz w:val="22"/>
          <w:szCs w:val="22"/>
        </w:rPr>
        <w:t xml:space="preserve">participate in </w:t>
      </w:r>
      <w:r w:rsidR="0030654E" w:rsidRPr="008C10B7">
        <w:rPr>
          <w:rFonts w:cs="Times New Roman"/>
          <w:sz w:val="22"/>
          <w:szCs w:val="22"/>
        </w:rPr>
        <w:t>AT</w:t>
      </w:r>
      <w:r w:rsidRPr="008C10B7">
        <w:rPr>
          <w:rFonts w:cs="Times New Roman"/>
          <w:sz w:val="22"/>
          <w:szCs w:val="22"/>
        </w:rPr>
        <w:t xml:space="preserve"> after controlling for individual socio-demographic and transport characteristics. Th</w:t>
      </w:r>
      <w:r w:rsidR="00121F0A" w:rsidRPr="008C10B7">
        <w:rPr>
          <w:rFonts w:cs="Times New Roman"/>
          <w:sz w:val="22"/>
          <w:szCs w:val="22"/>
        </w:rPr>
        <w:t>ese</w:t>
      </w:r>
      <w:r w:rsidRPr="008C10B7">
        <w:rPr>
          <w:rFonts w:cs="Times New Roman"/>
          <w:sz w:val="22"/>
          <w:szCs w:val="22"/>
        </w:rPr>
        <w:t xml:space="preserve"> finding</w:t>
      </w:r>
      <w:r w:rsidR="00C42D92" w:rsidRPr="008C10B7">
        <w:rPr>
          <w:rFonts w:cs="Times New Roman"/>
          <w:sz w:val="22"/>
          <w:szCs w:val="22"/>
        </w:rPr>
        <w:t>s</w:t>
      </w:r>
      <w:r w:rsidRPr="008C10B7">
        <w:rPr>
          <w:rFonts w:cs="Times New Roman"/>
          <w:sz w:val="22"/>
          <w:szCs w:val="22"/>
        </w:rPr>
        <w:t xml:space="preserve"> confirm </w:t>
      </w:r>
      <w:r w:rsidR="00A0563F" w:rsidRPr="008C10B7">
        <w:rPr>
          <w:rFonts w:cs="Times New Roman"/>
          <w:sz w:val="22"/>
          <w:szCs w:val="22"/>
        </w:rPr>
        <w:t>those of</w:t>
      </w:r>
      <w:r w:rsidR="00C42D92" w:rsidRPr="008C10B7">
        <w:rPr>
          <w:rFonts w:cs="Times New Roman"/>
          <w:sz w:val="22"/>
          <w:szCs w:val="22"/>
        </w:rPr>
        <w:t xml:space="preserve"> </w:t>
      </w:r>
      <w:r w:rsidRPr="008C10B7">
        <w:rPr>
          <w:rFonts w:cs="Times New Roman"/>
          <w:sz w:val="22"/>
          <w:szCs w:val="22"/>
        </w:rPr>
        <w:t xml:space="preserve">previous studies </w:t>
      </w:r>
      <w:r w:rsidRPr="008C10B7">
        <w:rPr>
          <w:rFonts w:cs="Times New Roman"/>
          <w:sz w:val="22"/>
          <w:szCs w:val="22"/>
        </w:rPr>
        <w:fldChar w:fldCharType="begin" w:fldLock="1"/>
      </w:r>
      <w:r w:rsidR="00B74AD7" w:rsidRPr="008C10B7">
        <w:rPr>
          <w:rFonts w:cs="Times New Roman"/>
          <w:sz w:val="22"/>
          <w:szCs w:val="22"/>
        </w:rPr>
        <w:instrText>ADDIN CSL_CITATION {"citationItems":[{"id":"ITEM-1","itemData":{"DOI":"10.1136/bjsports-2012-092006","ISSN":"03063674","PMID":"23632744","abstract":"Background Green space is widely hypothesised to promote physical activity. Few studies, however, examine whether this is the case for walking and moderate-tovigorous physical activity (MVPA). We investigated to what extent neighbourhood green space was associated with weekly participation and frequency of walking and MVPA in a large cross-sectional survey of Australian adults 45 years and older. Methods Logit and negative binomial regression were used to estimate the degree of association between walking, MVPA and neighbourhood green space in a sample of 203 883 adults from the Australian 45 and Up Study. Walking and MVPA were measured using the Active Australia Survey. Green space was measured as a percentage of the total land-use within 1 km radius of residence. We controlled for a range of individual and neighbourhood characteristics. Results 86.6% of the sample walked and 85.8% participated in MVPA at least once a week. These rates fell steeply with age. Compared with residents of neighbourhoods containing 0-20% green space, those in greener areas were significantly more likely to walk and participate in MVPAs at least once a week (trend for both p&lt;0.001). Among those participating at least once a week, residents of neighbourhoods containing 80%+ green space participated with a greater frequency of walking (incidence rate ratio (IRR) 1.09, 95% CI 1.05 to 1.13) and MVPA (IRR 1.10, 95% CI 1.05 to 1.15). Conclusions Our findings suggest that the amount of green space available to adults in middle-to-older age within their neighbourhood environments could help to promote walking and MVPA.","author":[{"dropping-particle":"","family":"Astell-Burt","given":"Thomas","non-dropping-particle":"","parse-names":false,"suffix":""},{"dropping-particle":"","family":"Feng","given":"Xiaoqi","non-dropping-particle":"","parse-names":false,"suffix":""},{"dropping-particle":"","family":"Kolt","given":"Gregory S.","non-dropping-particle":"","parse-names":false,"suffix":""}],"container-title":"British Journal of Sports Medicine","id":"ITEM-1","issue":"5","issued":{"date-parts":[["2014","3","1"]]},"page":"404-406","publisher":"BMJ Publishing Group Ltd and British Association of Sport and Exercise Medicine","title":"Green space is associated with walking and moderate-to-vigorous physical activity (MVPA) in middle-to-older-aged adults: Findings from 203 883 Australians in the 45 and Up Study","type":"article-journal","volume":"48"},"uris":["http://www.mendeley.com/documents/?uuid=ad1fdf57-b240-38da-9732-e4de23bf9008"]},{"id":"ITEM-2","itemData":{"DOI":"10.1016/j.socscimed.2018.05.022","ISSN":"18735347","PMID":"29758477","abstract":"Accumulating evidence shows that urban greenspaces have great health benefits, but establishing a causal relationship is difficult. It is often hypothesized that walking and physical activity are mediators in the relationship between urban greenspaces and health outcomes. Furthermore, most urban greenspace–physical activity studies have focused on parks rather than on landscaped streets, even though the latter are the most popular places for physical activity. The lack of research attention for landscaped streets is largely due to the fact that street greenery is difficult to measure, especially at eye level. Using readily available Google Street View images, we developed methods and tools to assess the availability of eye-level street greenery. A two-layered study was developed that 1) examined the association between urban greenspaces and the odds of walking (versus not walking) for 90,445 participants in the Hong Kong Travel Characteristics Survey and 2) carried out sensitivity analysis of the association between urban greenspaces and total walking time for a subset of 6770 participants. Multilevel regression models were developed to reveal the associations between street greenery and walking behaviors while controlling for sociodemographic characteristics and other activity-influencing built environment factors, taking into account the inherent clustering within the data. The results showed that both street greenery and the number of parks were associated with higher odds of walking; street greenery but not parks was associated with total walking time. Our results suggest that walking behavior is at least as strongly affected by eye-level street greenery as by parks. They also implicitly support the health benefits of urban greenspaces via walking and physical activity. With the large sample size, our findings pertain to the entire population of Hong Kong. Furthermore, the use of Google Street View is a sound and effective way to assess eye-level greenery, which may benefit further health studies.","author":[{"dropping-particle":"","family":"Lu","given":"Yi","non-dropping-particle":"","parse-names":false,"suffix":""},{"dropping-particle":"","family":"Sarkar","given":"Chinmoy","non-dropping-particle":"","parse-names":false,"suffix":""},{"dropping-particle":"","family":"Xiao","given":"Yang","non-dropping-particle":"","parse-names":false,"suffix":""}],"container-title":"Social Science and Medicine","id":"ITEM-2","issued":{"date-parts":[["2018","7","1"]]},"page":"41-49","publisher":"Elsevier Ltd","title":"The effect of street-level greenery on walking behavior: Evidence from Hong Kong","type":"article-journal","volume":"208"},"uris":["http://www.mendeley.com/documents/?uuid=494a1764-4eb0-35c9-89ba-835969c53d71"]},{"id":"ITEM-3","itemData":{"DOI":"10.1016/j.cities.2019.01.003","ISSN":"02642751","abstract":"Cycling is one type of physical activities with documented health and environmental benefits. Little consensus has been reached about the impacts of urban greenness on cycling behavior because of the widely varying estimation techniques, especially at street scale. We objectively measured the urban greenness in two ways: overhead-view greenness by Normalized Difference Vegetation Index (NDVI) and eye-level street greenness by Google Street View (GSV) images. Multilevel logistic regression models were used to examine the association between urban greenness and the odds of cycling (versus not cycling) for 5701 Hong Kong participants after controlling activity-influencing built environment and individual-level covariates. We found the odds of cycling were positively associated with eye-level street greenness but not with overhead-view greenness across three buffer zones: 400 m, 800 m and 1600 m. In addition, the odds of cycling were negatively associated with population density, number of bus stops, and terrain slope, while positively associated with bike lane density. To build a cycling-friendly city, planners and designers might need to pay more attention to improve citizens’ daily exposure to urban greenness, instead of traditional greenspace indices such as greenspace area or number of parks. The GSV technique is a novel and reliable method for measuring eye-level urban greenness with potential usage in further healthy city studies.","author":[{"dropping-particle":"","family":"Lu","given":"Yi","non-dropping-particle":"","parse-names":false,"suffix":""},{"dropping-particle":"","family":"Yang","given":"Yiyang","non-dropping-particle":"","parse-names":false,"suffix":""},{"dropping-particle":"","family":"Sun","given":"Guibo","non-dropping-particle":"","parse-names":false,"suffix":""},{"dropping-particle":"","family":"Gou","given":"Zhonghua","non-dropping-particle":"","parse-names":false,"suffix":""}],"container-title":"Cities","id":"ITEM-3","issued":{"date-parts":[["2019","5","1"]]},"page":"10-18","publisher":"Elsevier Ltd","title":"Associations between overhead-view and eye-level urban greenness and cycling behaviors","type":"article-journal","volume":"88"},"uris":["http://www.mendeley.com/documents/?uuid=cc7f8048-112d-3a41-8013-69e57e493902"]}],"mendeley":{"formattedCitation":"(Astell-Burt et al., 2014; Lu et al., 2018, 2019)","plainTextFormattedCitation":"(Astell-Burt et al., 2014; Lu et al., 2018, 2019)","previouslyFormattedCitation":"(Astell-Burt et al., 2014; Lu et al., 2018, 2019)"},"properties":{"noteIndex":0},"schema":"https://github.com/citation-style-language/schema/raw/master/csl-citation.json"}</w:instrText>
      </w:r>
      <w:r w:rsidRPr="008C10B7">
        <w:rPr>
          <w:rFonts w:cs="Times New Roman"/>
          <w:sz w:val="22"/>
          <w:szCs w:val="22"/>
        </w:rPr>
        <w:fldChar w:fldCharType="separate"/>
      </w:r>
      <w:r w:rsidR="008C7EFD" w:rsidRPr="008C10B7">
        <w:rPr>
          <w:rFonts w:cs="Times New Roman"/>
          <w:sz w:val="22"/>
          <w:szCs w:val="22"/>
        </w:rPr>
        <w:t>(Astell-Burt et al., 2014; Lu et al., 2018, 2019</w:t>
      </w:r>
      <w:r w:rsidR="008D0E59" w:rsidRPr="008C10B7">
        <w:rPr>
          <w:rFonts w:cs="Times New Roman"/>
          <w:sz w:val="22"/>
          <w:szCs w:val="22"/>
        </w:rPr>
        <w:t>b</w:t>
      </w:r>
      <w:r w:rsidR="008C7EFD" w:rsidRPr="008C10B7">
        <w:rPr>
          <w:rFonts w:cs="Times New Roman"/>
          <w:sz w:val="22"/>
          <w:szCs w:val="22"/>
        </w:rPr>
        <w:t>)</w:t>
      </w:r>
      <w:r w:rsidRPr="008C10B7">
        <w:rPr>
          <w:rFonts w:cs="Times New Roman"/>
          <w:sz w:val="22"/>
          <w:szCs w:val="22"/>
        </w:rPr>
        <w:fldChar w:fldCharType="end"/>
      </w:r>
      <w:r w:rsidRPr="008C10B7">
        <w:rPr>
          <w:rFonts w:cs="Times New Roman"/>
          <w:sz w:val="22"/>
          <w:szCs w:val="22"/>
        </w:rPr>
        <w:t>.</w:t>
      </w:r>
    </w:p>
    <w:p w14:paraId="1DD44297" w14:textId="19C16830" w:rsidR="009F4122" w:rsidRPr="008C10B7" w:rsidRDefault="0090786D" w:rsidP="00E7001C">
      <w:pPr>
        <w:spacing w:line="360" w:lineRule="auto"/>
        <w:ind w:firstLine="420"/>
        <w:jc w:val="both"/>
        <w:rPr>
          <w:rFonts w:cs="Times New Roman"/>
          <w:sz w:val="22"/>
          <w:szCs w:val="22"/>
        </w:rPr>
      </w:pPr>
      <w:r w:rsidRPr="008C10B7">
        <w:rPr>
          <w:rFonts w:cs="Times New Roman"/>
          <w:sz w:val="22"/>
          <w:szCs w:val="22"/>
        </w:rPr>
        <w:lastRenderedPageBreak/>
        <w:t>Compared with</w:t>
      </w:r>
      <w:r w:rsidR="0053276B" w:rsidRPr="008C10B7">
        <w:rPr>
          <w:rFonts w:cs="Times New Roman"/>
          <w:sz w:val="22"/>
          <w:szCs w:val="22"/>
        </w:rPr>
        <w:t xml:space="preserve"> </w:t>
      </w:r>
      <w:r w:rsidRPr="008C10B7">
        <w:rPr>
          <w:rFonts w:cs="Times New Roman"/>
          <w:sz w:val="22"/>
          <w:szCs w:val="22"/>
        </w:rPr>
        <w:t xml:space="preserve">the </w:t>
      </w:r>
      <w:r w:rsidR="0053276B" w:rsidRPr="008C10B7">
        <w:rPr>
          <w:rFonts w:cs="Times New Roman"/>
          <w:sz w:val="22"/>
          <w:szCs w:val="22"/>
        </w:rPr>
        <w:t xml:space="preserve">travel behaviour of university students in other countries </w:t>
      </w:r>
      <w:r w:rsidR="0053276B" w:rsidRPr="008C10B7">
        <w:rPr>
          <w:rFonts w:cs="Times New Roman"/>
          <w:sz w:val="22"/>
          <w:szCs w:val="22"/>
        </w:rPr>
        <w:fldChar w:fldCharType="begin" w:fldLock="1"/>
      </w:r>
      <w:r w:rsidR="00B74AD7" w:rsidRPr="008C10B7">
        <w:rPr>
          <w:rFonts w:cs="Times New Roman"/>
          <w:sz w:val="22"/>
          <w:szCs w:val="22"/>
        </w:rPr>
        <w:instrText>ADDIN CSL_CITATION {"citationItems":[{"id":"ITEM-1","itemData":{"DOI":"10.1016/j.tranpol.2010.07.006","ISSN":"0967070X","abstract":"With their irregular class schedules and considerable freedom in the campus environment, university students are an example of a social group that tends to have complex and unique travel behavior. This study examined travel patterns of 130 students who study and live on campus in a rural university of Thailand. All survey participants completed a travel diary for seven consecutive days in a typical school week. Other than overall travel patterns, such as trip generation, mode split, distance traveled, and travel time, this study also investigated the differences in traffic patterns of four student groups, categorized by their gender and whether they own a private vehicle or not. It was found that students of both genders appeared to have similar travel patterns in all aspects. Whether they own a private vehicle does not appear to impact daily trip generation nor the total distance traveled of the students, but it does have an effect on the travel modes used by students. Those students who own a private vehicle mostly rely on driving the vehicle, while those who do not own a vehicle rely on three modes of travel: primarily being a passenger on or in a friend's private vehicle, and to a lesser extent, driving a friend's vehicle, and taking a bus (the only form of public transport on the campus). The results indicate a high social interdependency among university students, which makes the development of a model to simulate travel behavior of university students a complicated task. © 2010 Elsevier Ltd.","author":[{"dropping-particle":"","family":"Limanond","given":"Thirayoot","non-dropping-particle":"","parse-names":false,"suffix":""},{"dropping-particle":"","family":"Butsingkorn","given":"Tanissara","non-dropping-particle":"","parse-names":false,"suffix":""},{"dropping-particle":"","family":"Chermkhunthod","given":"Chutima","non-dropping-particle":"","parse-names":false,"suffix":""}],"container-title":"Transport Policy","id":"ITEM-1","issue":"1","issued":{"date-parts":[["2011","1","1"]]},"page":"163-171","publisher":"Pergamon","title":"Travel behavior of university students who live on campus: A case study of a rural university in Asia","type":"article-journal","volume":"18"},"uris":["http://www.mendeley.com/documents/?uuid=b32abac8-cacf-3c2c-b824-5850c3885795"]},{"id":"ITEM-2","itemData":{"DOI":"10.1080/03081060.2012.701818","ISSN":"03081060","abstract":"This paper conducts a statistical analysis of student travel behavior at Virginia Commonwealth University (VCU). The data source is the 'University NHTS' project launched by the Virginia Department of Transportation (VDOT) in 2009. Through this empirical study, it has been found that university student travel behavior is different from that of the general population; urban universities have lower percentages of nonmotorized trips than college-town universities; undergraduate students are likely to make more daily trips than graduate students - similarly, on-campus students make more frequent trips than off-campus students; the most frequent student activities are home and academic activities; and student group categories have virtually no impact on daily activity profiles, though activity types do have a dramatic impact on daily activity profiles. Based on these research findings, the paper makes a series of recommendations regarding trip generation, trip distribution, mode choice, and activity-based modeling. © 2012 Copyright Taylor and Francis Group, LLC.","author":[{"dropping-particle":"","family":"Chen","given":"Xueming","non-dropping-particle":"","parse-names":false,"suffix":""}],"container-title":"Transportation Planning and Technology","id":"ITEM-2","issue":"5","issued":{"date-parts":[["2012","7"]]},"page":"591-610","publisher":" Taylor &amp; Francis Group ","title":"Statistical and activity-based modeling of university student travel behavior","type":"article-journal","volume":"35"},"uris":["http://www.mendeley.com/documents/?uuid=8c3d784d-d467-3474-a0b7-145e2297d407"]}],"mendeley":{"formattedCitation":"(Xueming Chen, 2012; Limanond et al., 2011)","manualFormatting":"(Chen, 2012; Limanond et al., 2011)","plainTextFormattedCitation":"(Xueming Chen, 2012; Limanond et al., 2011)","previouslyFormattedCitation":"(Xueming Chen, 2012; Limanond et al., 2011)"},"properties":{"noteIndex":0},"schema":"https://github.com/citation-style-language/schema/raw/master/csl-citation.json"}</w:instrText>
      </w:r>
      <w:r w:rsidR="0053276B" w:rsidRPr="008C10B7">
        <w:rPr>
          <w:rFonts w:cs="Times New Roman"/>
          <w:sz w:val="22"/>
          <w:szCs w:val="22"/>
        </w:rPr>
        <w:fldChar w:fldCharType="separate"/>
      </w:r>
      <w:r w:rsidR="0053276B" w:rsidRPr="008C10B7">
        <w:rPr>
          <w:rFonts w:cs="Times New Roman"/>
          <w:sz w:val="22"/>
          <w:szCs w:val="22"/>
        </w:rPr>
        <w:t>(Chen, 2012; Limanond et al., 2011)</w:t>
      </w:r>
      <w:r w:rsidR="0053276B" w:rsidRPr="008C10B7">
        <w:rPr>
          <w:rFonts w:cs="Times New Roman"/>
          <w:sz w:val="22"/>
          <w:szCs w:val="22"/>
        </w:rPr>
        <w:fldChar w:fldCharType="end"/>
      </w:r>
      <w:r w:rsidR="0053276B" w:rsidRPr="008C10B7">
        <w:rPr>
          <w:rFonts w:cs="Times New Roman"/>
          <w:sz w:val="22"/>
          <w:szCs w:val="22"/>
        </w:rPr>
        <w:t xml:space="preserve">, </w:t>
      </w:r>
      <w:r w:rsidR="00711121" w:rsidRPr="008C10B7">
        <w:rPr>
          <w:rFonts w:cs="Times New Roman"/>
          <w:sz w:val="22"/>
          <w:szCs w:val="22"/>
        </w:rPr>
        <w:t xml:space="preserve">Chinese university students do not have </w:t>
      </w:r>
      <w:r w:rsidR="00121F0A" w:rsidRPr="008C10B7">
        <w:rPr>
          <w:rFonts w:cs="Times New Roman"/>
          <w:sz w:val="22"/>
          <w:szCs w:val="22"/>
        </w:rPr>
        <w:t>much</w:t>
      </w:r>
      <w:r w:rsidR="00711121" w:rsidRPr="008C10B7">
        <w:rPr>
          <w:rFonts w:cs="Times New Roman"/>
          <w:sz w:val="22"/>
          <w:szCs w:val="22"/>
        </w:rPr>
        <w:t xml:space="preserve"> need to travel, which </w:t>
      </w:r>
      <w:r w:rsidR="00121F0A" w:rsidRPr="008C10B7">
        <w:rPr>
          <w:rFonts w:cs="Times New Roman"/>
          <w:sz w:val="22"/>
          <w:szCs w:val="22"/>
        </w:rPr>
        <w:t xml:space="preserve">is </w:t>
      </w:r>
      <w:r w:rsidR="0076241D" w:rsidRPr="008C10B7">
        <w:rPr>
          <w:rFonts w:cs="Times New Roman"/>
          <w:sz w:val="22"/>
          <w:szCs w:val="22"/>
        </w:rPr>
        <w:t xml:space="preserve">most </w:t>
      </w:r>
      <w:r w:rsidR="00121F0A" w:rsidRPr="008C10B7">
        <w:rPr>
          <w:rFonts w:cs="Times New Roman"/>
          <w:sz w:val="22"/>
          <w:szCs w:val="22"/>
        </w:rPr>
        <w:t xml:space="preserve">likely </w:t>
      </w:r>
      <w:r w:rsidR="00711121" w:rsidRPr="008C10B7">
        <w:rPr>
          <w:rFonts w:cs="Times New Roman"/>
          <w:sz w:val="22"/>
          <w:szCs w:val="22"/>
        </w:rPr>
        <w:t>due to the functional</w:t>
      </w:r>
      <w:r w:rsidR="00966BC5" w:rsidRPr="008C10B7">
        <w:rPr>
          <w:rFonts w:cs="Times New Roman"/>
          <w:sz w:val="22"/>
          <w:szCs w:val="22"/>
        </w:rPr>
        <w:t xml:space="preserve">ity </w:t>
      </w:r>
      <w:r w:rsidR="0076241D" w:rsidRPr="008C10B7">
        <w:rPr>
          <w:rFonts w:cs="Times New Roman"/>
          <w:sz w:val="22"/>
          <w:szCs w:val="22"/>
        </w:rPr>
        <w:t xml:space="preserve">of </w:t>
      </w:r>
      <w:r w:rsidR="00121F0A" w:rsidRPr="008C10B7">
        <w:rPr>
          <w:rFonts w:cs="Times New Roman"/>
          <w:sz w:val="22"/>
          <w:szCs w:val="22"/>
        </w:rPr>
        <w:t>how</w:t>
      </w:r>
      <w:r w:rsidR="00711121" w:rsidRPr="008C10B7">
        <w:rPr>
          <w:rFonts w:cs="Times New Roman"/>
          <w:sz w:val="22"/>
          <w:szCs w:val="22"/>
        </w:rPr>
        <w:t xml:space="preserve"> Chinese universit</w:t>
      </w:r>
      <w:r w:rsidR="00966BC5" w:rsidRPr="008C10B7">
        <w:rPr>
          <w:rFonts w:cs="Times New Roman"/>
          <w:sz w:val="22"/>
          <w:szCs w:val="22"/>
        </w:rPr>
        <w:t xml:space="preserve">y </w:t>
      </w:r>
      <w:r w:rsidR="00121F0A" w:rsidRPr="008C10B7">
        <w:rPr>
          <w:rFonts w:cs="Times New Roman"/>
          <w:sz w:val="22"/>
          <w:szCs w:val="22"/>
        </w:rPr>
        <w:t>campuses are designed</w:t>
      </w:r>
      <w:r w:rsidR="00711121" w:rsidRPr="008C10B7">
        <w:rPr>
          <w:rFonts w:cs="Times New Roman"/>
          <w:sz w:val="22"/>
          <w:szCs w:val="22"/>
        </w:rPr>
        <w:t xml:space="preserve">. Therefore, </w:t>
      </w:r>
      <w:r w:rsidR="008A7787" w:rsidRPr="008C10B7">
        <w:rPr>
          <w:rFonts w:cs="Times New Roman"/>
          <w:sz w:val="22"/>
          <w:szCs w:val="22"/>
        </w:rPr>
        <w:t>green street</w:t>
      </w:r>
      <w:r w:rsidR="00711121" w:rsidRPr="008C10B7">
        <w:rPr>
          <w:rFonts w:cs="Times New Roman"/>
          <w:sz w:val="22"/>
          <w:szCs w:val="22"/>
        </w:rPr>
        <w:t xml:space="preserve"> space on campus is one of the most significant ways </w:t>
      </w:r>
      <w:r w:rsidR="00121F0A" w:rsidRPr="008C10B7">
        <w:rPr>
          <w:rFonts w:cs="Times New Roman"/>
          <w:sz w:val="22"/>
          <w:szCs w:val="22"/>
        </w:rPr>
        <w:t xml:space="preserve">in </w:t>
      </w:r>
      <w:r w:rsidR="00C42D92" w:rsidRPr="008C10B7">
        <w:rPr>
          <w:rFonts w:cs="Times New Roman"/>
          <w:sz w:val="22"/>
          <w:szCs w:val="22"/>
        </w:rPr>
        <w:t xml:space="preserve">which </w:t>
      </w:r>
      <w:r w:rsidR="00711121" w:rsidRPr="008C10B7">
        <w:rPr>
          <w:rFonts w:cs="Times New Roman"/>
          <w:sz w:val="22"/>
          <w:szCs w:val="22"/>
        </w:rPr>
        <w:t xml:space="preserve">students are exposed to green space and </w:t>
      </w:r>
      <w:r w:rsidR="00121F0A" w:rsidRPr="008C10B7">
        <w:rPr>
          <w:rFonts w:cs="Times New Roman"/>
          <w:sz w:val="22"/>
          <w:szCs w:val="22"/>
        </w:rPr>
        <w:t xml:space="preserve">it </w:t>
      </w:r>
      <w:r w:rsidR="00711121" w:rsidRPr="008C10B7">
        <w:rPr>
          <w:rFonts w:cs="Times New Roman"/>
          <w:sz w:val="22"/>
          <w:szCs w:val="22"/>
        </w:rPr>
        <w:t xml:space="preserve">can potentially promote </w:t>
      </w:r>
      <w:r w:rsidR="0030654E" w:rsidRPr="008C10B7">
        <w:rPr>
          <w:rFonts w:cs="Times New Roman"/>
          <w:sz w:val="22"/>
          <w:szCs w:val="22"/>
        </w:rPr>
        <w:t>AT</w:t>
      </w:r>
      <w:r w:rsidR="00711121" w:rsidRPr="008C10B7">
        <w:rPr>
          <w:rFonts w:cs="Times New Roman"/>
          <w:sz w:val="22"/>
          <w:szCs w:val="22"/>
        </w:rPr>
        <w:t xml:space="preserve">. Our findings suggest that bicycle ownership among university students positively influences </w:t>
      </w:r>
      <w:r w:rsidR="00966BC5" w:rsidRPr="008C10B7">
        <w:rPr>
          <w:rFonts w:cs="Times New Roman"/>
          <w:sz w:val="22"/>
          <w:szCs w:val="22"/>
        </w:rPr>
        <w:t xml:space="preserve">participation in </w:t>
      </w:r>
      <w:r w:rsidR="0030654E" w:rsidRPr="008C10B7">
        <w:rPr>
          <w:rFonts w:cs="Times New Roman"/>
          <w:sz w:val="22"/>
          <w:szCs w:val="22"/>
        </w:rPr>
        <w:t>AT</w:t>
      </w:r>
      <w:r w:rsidR="00711121" w:rsidRPr="008C10B7">
        <w:rPr>
          <w:rFonts w:cs="Times New Roman"/>
          <w:sz w:val="22"/>
          <w:szCs w:val="22"/>
        </w:rPr>
        <w:t xml:space="preserve">, while e-bike ownership diminishes the tendency </w:t>
      </w:r>
      <w:r w:rsidR="00121F0A" w:rsidRPr="008C10B7">
        <w:rPr>
          <w:rFonts w:cs="Times New Roman"/>
          <w:sz w:val="22"/>
          <w:szCs w:val="22"/>
        </w:rPr>
        <w:t xml:space="preserve">to use </w:t>
      </w:r>
      <w:r w:rsidR="0030654E" w:rsidRPr="008C10B7">
        <w:rPr>
          <w:rFonts w:cs="Times New Roman"/>
          <w:sz w:val="22"/>
          <w:szCs w:val="22"/>
        </w:rPr>
        <w:t>AT</w:t>
      </w:r>
      <w:r w:rsidR="00711121" w:rsidRPr="008C10B7">
        <w:rPr>
          <w:rFonts w:cs="Times New Roman"/>
          <w:sz w:val="22"/>
          <w:szCs w:val="22"/>
        </w:rPr>
        <w:t>. This m</w:t>
      </w:r>
      <w:r w:rsidR="00966BC5" w:rsidRPr="008C10B7">
        <w:rPr>
          <w:rFonts w:cs="Times New Roman"/>
          <w:sz w:val="22"/>
          <w:szCs w:val="22"/>
        </w:rPr>
        <w:t>ight</w:t>
      </w:r>
      <w:r w:rsidR="00711121" w:rsidRPr="008C10B7">
        <w:rPr>
          <w:rFonts w:cs="Times New Roman"/>
          <w:sz w:val="22"/>
          <w:szCs w:val="22"/>
        </w:rPr>
        <w:t xml:space="preserve"> be because bicycle use on </w:t>
      </w:r>
      <w:r w:rsidR="005D7A2A" w:rsidRPr="008C10B7">
        <w:rPr>
          <w:rFonts w:cs="Times New Roman"/>
          <w:sz w:val="22"/>
          <w:szCs w:val="22"/>
        </w:rPr>
        <w:t xml:space="preserve">Chinese university </w:t>
      </w:r>
      <w:r w:rsidR="00711121" w:rsidRPr="008C10B7">
        <w:rPr>
          <w:rFonts w:cs="Times New Roman"/>
          <w:sz w:val="22"/>
          <w:szCs w:val="22"/>
        </w:rPr>
        <w:t>campus</w:t>
      </w:r>
      <w:r w:rsidR="005D7A2A" w:rsidRPr="008C10B7">
        <w:rPr>
          <w:rFonts w:cs="Times New Roman"/>
          <w:sz w:val="22"/>
          <w:szCs w:val="22"/>
        </w:rPr>
        <w:t>es</w:t>
      </w:r>
      <w:r w:rsidR="00711121" w:rsidRPr="008C10B7">
        <w:rPr>
          <w:rFonts w:cs="Times New Roman"/>
          <w:sz w:val="22"/>
          <w:szCs w:val="22"/>
        </w:rPr>
        <w:t xml:space="preserve"> is already sufficient to meet mobility needs due to the relatively short travel distance</w:t>
      </w:r>
      <w:r w:rsidR="00966BC5" w:rsidRPr="008C10B7">
        <w:rPr>
          <w:rFonts w:cs="Times New Roman"/>
          <w:sz w:val="22"/>
          <w:szCs w:val="22"/>
        </w:rPr>
        <w:t xml:space="preserve">s </w:t>
      </w:r>
      <w:r w:rsidR="005D7A2A" w:rsidRPr="008C10B7">
        <w:rPr>
          <w:rFonts w:cs="Times New Roman"/>
          <w:sz w:val="22"/>
          <w:szCs w:val="22"/>
        </w:rPr>
        <w:t>involved</w:t>
      </w:r>
      <w:r w:rsidR="00711121" w:rsidRPr="008C10B7">
        <w:rPr>
          <w:rFonts w:cs="Times New Roman"/>
          <w:sz w:val="22"/>
          <w:szCs w:val="22"/>
        </w:rPr>
        <w:t xml:space="preserve">. </w:t>
      </w:r>
      <w:r w:rsidR="00966BC5" w:rsidRPr="008C10B7">
        <w:rPr>
          <w:rFonts w:cs="Times New Roman"/>
          <w:sz w:val="22"/>
          <w:szCs w:val="22"/>
        </w:rPr>
        <w:t xml:space="preserve">A previous study demonstrated that </w:t>
      </w:r>
      <w:r w:rsidR="00711121" w:rsidRPr="008C10B7">
        <w:rPr>
          <w:rFonts w:cs="Times New Roman"/>
          <w:sz w:val="22"/>
          <w:szCs w:val="22"/>
        </w:rPr>
        <w:t>86.6% of Chinese university students choose to walk when travelling less than 1</w:t>
      </w:r>
      <w:r w:rsidR="001A01C2">
        <w:rPr>
          <w:rFonts w:cs="Times New Roman"/>
          <w:sz w:val="22"/>
          <w:szCs w:val="22"/>
        </w:rPr>
        <w:t xml:space="preserve"> </w:t>
      </w:r>
      <w:r w:rsidR="00711121" w:rsidRPr="008C10B7">
        <w:rPr>
          <w:rFonts w:cs="Times New Roman"/>
          <w:sz w:val="22"/>
          <w:szCs w:val="22"/>
        </w:rPr>
        <w:t>km, and 41.6% chose to cycle within 1</w:t>
      </w:r>
      <w:r w:rsidR="00966BC5" w:rsidRPr="008C10B7">
        <w:rPr>
          <w:rFonts w:cs="Times New Roman"/>
          <w:sz w:val="22"/>
          <w:szCs w:val="22"/>
        </w:rPr>
        <w:t>–</w:t>
      </w:r>
      <w:r w:rsidR="00711121" w:rsidRPr="008C10B7">
        <w:rPr>
          <w:rFonts w:cs="Times New Roman"/>
          <w:sz w:val="22"/>
          <w:szCs w:val="22"/>
        </w:rPr>
        <w:t>4</w:t>
      </w:r>
      <w:r w:rsidR="001A01C2">
        <w:rPr>
          <w:rFonts w:cs="Times New Roman"/>
          <w:sz w:val="22"/>
          <w:szCs w:val="22"/>
        </w:rPr>
        <w:t xml:space="preserve"> </w:t>
      </w:r>
      <w:r w:rsidR="00711121" w:rsidRPr="008C10B7">
        <w:rPr>
          <w:rFonts w:cs="Times New Roman"/>
          <w:sz w:val="22"/>
          <w:szCs w:val="22"/>
        </w:rPr>
        <w:t xml:space="preserve">km </w:t>
      </w:r>
      <w:r w:rsidR="00711121" w:rsidRPr="008C10B7">
        <w:rPr>
          <w:rFonts w:cs="Times New Roman"/>
          <w:sz w:val="22"/>
          <w:szCs w:val="22"/>
        </w:rPr>
        <w:fldChar w:fldCharType="begin" w:fldLock="1"/>
      </w:r>
      <w:r w:rsidR="00B74AD7" w:rsidRPr="008C10B7">
        <w:rPr>
          <w:rFonts w:cs="Times New Roman"/>
          <w:sz w:val="22"/>
          <w:szCs w:val="22"/>
        </w:rPr>
        <w:instrText>ADDIN CSL_CITATION {"citationItems":[{"id":"ITEM-1","itemData":{"DOI":"10.1016/j.tranpol.2015.09.006","ISSN":"1879310X","abstract":"This paper applies a nonparametric statistical method, hierarchical tree-based regression (HTBR) model, to explore university student travel frequency and mode choice patterns in China, using the data collected by a web-based travel survey. In this study, HTBR models were constructed to predict student travel frequency and classify student mode choice. It was found that student grade, school location city, public transit station coverage ratio (PTSCR) and family income have impacts on student travel frequency, and travel distance, bicycle ownership, school location city, PTSCR and student gender are significantly correlated to student mode choice. The study results reveal travel characteristics of university students in China at a disaggregate level and provide information to better understand their travel behaviors.","author":[{"dropping-particle":"","family":"Zhan","given":"Guangjun","non-dropping-particle":"","parse-names":false,"suffix":""},{"dropping-particle":"","family":"Yan","given":"Xuedong","non-dropping-particle":"","parse-names":false,"suffix":""},{"dropping-particle":"","family":"Zhu","given":"Shanjiang","non-dropping-particle":"","parse-names":false,"suffix":""},{"dropping-particle":"","family":"Wang","given":"Yun","non-dropping-particle":"","parse-names":false,"suffix":""}],"container-title":"Transport Policy","id":"ITEM-1","issued":{"date-parts":[["2016","1","1"]]},"page":"55-65","publisher":"Elsevier Ltd","title":"Using hierarchical tree-based regression model to examine university student travel frequency and mode choice patterns in China","type":"article-journal","volume":"45"},"uris":["http://www.mendeley.com/documents/?uuid=a9878f11-2f7b-372b-9740-341dc3de119f"]}],"mendeley":{"formattedCitation":"(Zhan et al., 2016)","plainTextFormattedCitation":"(Zhan et al., 2016)","previouslyFormattedCitation":"(Zhan et al., 2016)"},"properties":{"noteIndex":0},"schema":"https://github.com/citation-style-language/schema/raw/master/csl-citation.json"}</w:instrText>
      </w:r>
      <w:r w:rsidR="00711121" w:rsidRPr="008C10B7">
        <w:rPr>
          <w:rFonts w:cs="Times New Roman"/>
          <w:sz w:val="22"/>
          <w:szCs w:val="22"/>
        </w:rPr>
        <w:fldChar w:fldCharType="separate"/>
      </w:r>
      <w:r w:rsidR="008C7EFD" w:rsidRPr="008C10B7">
        <w:rPr>
          <w:rFonts w:cs="Times New Roman"/>
          <w:sz w:val="22"/>
          <w:szCs w:val="22"/>
        </w:rPr>
        <w:t>(Zhan et al., 2016)</w:t>
      </w:r>
      <w:r w:rsidR="00711121" w:rsidRPr="008C10B7">
        <w:rPr>
          <w:rFonts w:cs="Times New Roman"/>
          <w:sz w:val="22"/>
          <w:szCs w:val="22"/>
        </w:rPr>
        <w:fldChar w:fldCharType="end"/>
      </w:r>
      <w:r w:rsidR="00711121" w:rsidRPr="008C10B7">
        <w:rPr>
          <w:rFonts w:cs="Times New Roman"/>
          <w:sz w:val="22"/>
          <w:szCs w:val="22"/>
        </w:rPr>
        <w:t xml:space="preserve">, which </w:t>
      </w:r>
      <w:r w:rsidR="005D7A2A" w:rsidRPr="008C10B7">
        <w:rPr>
          <w:rFonts w:cs="Times New Roman"/>
          <w:sz w:val="22"/>
          <w:szCs w:val="22"/>
        </w:rPr>
        <w:t xml:space="preserve">would </w:t>
      </w:r>
      <w:r w:rsidR="00711121" w:rsidRPr="008C10B7">
        <w:rPr>
          <w:rFonts w:cs="Times New Roman"/>
          <w:sz w:val="22"/>
          <w:szCs w:val="22"/>
        </w:rPr>
        <w:t xml:space="preserve">cover a large area of </w:t>
      </w:r>
      <w:r w:rsidR="00966BC5" w:rsidRPr="008C10B7">
        <w:rPr>
          <w:rFonts w:cs="Times New Roman"/>
          <w:sz w:val="22"/>
          <w:szCs w:val="22"/>
        </w:rPr>
        <w:t xml:space="preserve">a </w:t>
      </w:r>
      <w:r w:rsidR="00711121" w:rsidRPr="008C10B7">
        <w:rPr>
          <w:rFonts w:cs="Times New Roman"/>
          <w:sz w:val="22"/>
          <w:szCs w:val="22"/>
        </w:rPr>
        <w:t xml:space="preserve">university campus. </w:t>
      </w:r>
    </w:p>
    <w:p w14:paraId="386F8F2F" w14:textId="6057DD55" w:rsidR="004D3D6C" w:rsidRPr="008C10B7" w:rsidRDefault="00711121" w:rsidP="00E7001C">
      <w:pPr>
        <w:spacing w:line="360" w:lineRule="auto"/>
        <w:ind w:firstLine="420"/>
        <w:jc w:val="both"/>
        <w:rPr>
          <w:rFonts w:cs="Times New Roman"/>
          <w:sz w:val="22"/>
          <w:szCs w:val="22"/>
        </w:rPr>
      </w:pPr>
      <w:r w:rsidRPr="008C10B7">
        <w:rPr>
          <w:rFonts w:cs="Times New Roman"/>
          <w:sz w:val="22"/>
          <w:szCs w:val="22"/>
        </w:rPr>
        <w:t>E-bikes are</w:t>
      </w:r>
      <w:r w:rsidR="00966BC5" w:rsidRPr="008C10B7">
        <w:rPr>
          <w:rFonts w:cs="Times New Roman"/>
          <w:sz w:val="22"/>
          <w:szCs w:val="22"/>
        </w:rPr>
        <w:t xml:space="preserve"> now</w:t>
      </w:r>
      <w:r w:rsidRPr="008C10B7">
        <w:rPr>
          <w:rFonts w:cs="Times New Roman"/>
          <w:sz w:val="22"/>
          <w:szCs w:val="22"/>
        </w:rPr>
        <w:t xml:space="preserve"> more accessible, so most students who choose to travel by e-bike would </w:t>
      </w:r>
      <w:r w:rsidR="005D7A2A" w:rsidRPr="008C10B7">
        <w:rPr>
          <w:rFonts w:cs="Times New Roman"/>
          <w:sz w:val="22"/>
          <w:szCs w:val="22"/>
        </w:rPr>
        <w:t>be able to</w:t>
      </w:r>
      <w:r w:rsidRPr="008C10B7">
        <w:rPr>
          <w:rFonts w:cs="Times New Roman"/>
          <w:sz w:val="22"/>
          <w:szCs w:val="22"/>
        </w:rPr>
        <w:t xml:space="preserve"> travel </w:t>
      </w:r>
      <w:r w:rsidR="005D7A2A" w:rsidRPr="008C10B7">
        <w:rPr>
          <w:rFonts w:cs="Times New Roman"/>
          <w:sz w:val="22"/>
          <w:szCs w:val="22"/>
        </w:rPr>
        <w:t>a longer distance</w:t>
      </w:r>
      <w:r w:rsidRPr="008C10B7">
        <w:rPr>
          <w:rFonts w:cs="Times New Roman"/>
          <w:sz w:val="22"/>
          <w:szCs w:val="22"/>
        </w:rPr>
        <w:t xml:space="preserve">. </w:t>
      </w:r>
      <w:r w:rsidRPr="008C10B7">
        <w:rPr>
          <w:rFonts w:cs="Times New Roman"/>
          <w:sz w:val="22"/>
          <w:szCs w:val="22"/>
        </w:rPr>
        <w:fldChar w:fldCharType="begin" w:fldLock="1"/>
      </w:r>
      <w:r w:rsidR="00B74AD7" w:rsidRPr="008C10B7">
        <w:rPr>
          <w:rFonts w:cs="Times New Roman"/>
          <w:sz w:val="22"/>
          <w:szCs w:val="22"/>
        </w:rPr>
        <w:instrText>ADDIN CSL_CITATION {"citationItems":[{"id":"ITEM-1","itemData":{"DOI":"10.1016/j.jth.2017.08.008","ISSN":"22141405","abstract":"Objective To better understand trip-chaining patterns and mode choice of various urban forms, this study examines the effects of land use on travel mode choice and analyzes the concept of neighborhood design in the substitution of short car trips by other transportation modes. Methods A ‘tour’ is defined as a home-to-home loop of individual trips, including all the stops made along the way. This paper develops tour-based, mode-choice models and conducts integrative assessments to determine the relative influences of the various factors associated with tour-based travel and activity space environments for short round trips. Results The short round trips most likely to require a car tended to be either commuting trips, trips involving heavy goods, or trips that link two or more stops. Transit trips for short-distance travel were likely to involve trip chaining, while most shopping trips comprised a single outing with no trip chaining. A key to increasing travel by walking was a concentration of retail shops and service providers near people's homes whereas street networks and a good regional accessibility encouraged cycling and transit use respectively, although potential spurious effects cannot be fully determined. Conclusions Policymakers in LA who hope to increase walking should focus on the concentration of business activity in a compact commercial core in residential areas, while transit agencies in LA should consider trends like chained trip-making and restructure communities and central places with much greater transit accessibility. These strategies for local urban design and regional accessibility are likely to affect people's decisions concerning travel mode mostly in non-work travel without intervening stops; therefore, personal vehicle use can be reduced more easily by focusing on trips for leisure time activities and personal business activities near residential locations rather than on work commutes.","author":[{"dropping-particle":"","family":"Lee","given":"Jeongwoo","non-dropping-particle":"","parse-names":false,"suffix":""},{"dropping-particle":"","family":"He","given":"Sylvia Y.","non-dropping-particle":"","parse-names":false,"suffix":""},{"dropping-particle":"","family":"Sohn","given":"Dong Wook","non-dropping-particle":"","parse-names":false,"suffix":""}],"container-title":"Journal of Transport and Health","id":"ITEM-1","issued":{"date-parts":[["2017","12","1"]]},"page":"134-148","publisher":"Elsevier Ltd","title":"Potential of converting short car trips to active trips: The role of the built environment in tour-based travel","type":"article-journal","volume":"7"},"uris":["http://www.mendeley.com/documents/?uuid=20af5434-c5ef-3f33-87b4-645c259cb676"]}],"mendeley":{"formattedCitation":"(Lee et al., 2017)","manualFormatting":"Lee et al. (2017)","plainTextFormattedCitation":"(Lee et al., 2017)","previouslyFormattedCitation":"(Lee et al., 2017)"},"properties":{"noteIndex":0},"schema":"https://github.com/citation-style-language/schema/raw/master/csl-citation.json"}</w:instrText>
      </w:r>
      <w:r w:rsidRPr="008C10B7">
        <w:rPr>
          <w:rFonts w:cs="Times New Roman"/>
          <w:sz w:val="22"/>
          <w:szCs w:val="22"/>
        </w:rPr>
        <w:fldChar w:fldCharType="separate"/>
      </w:r>
      <w:r w:rsidRPr="008C10B7">
        <w:rPr>
          <w:rFonts w:cs="Times New Roman"/>
          <w:sz w:val="22"/>
          <w:szCs w:val="22"/>
        </w:rPr>
        <w:t>Lee et al. (2017)</w:t>
      </w:r>
      <w:r w:rsidRPr="008C10B7">
        <w:rPr>
          <w:rFonts w:cs="Times New Roman"/>
          <w:sz w:val="22"/>
          <w:szCs w:val="22"/>
        </w:rPr>
        <w:fldChar w:fldCharType="end"/>
      </w:r>
      <w:r w:rsidRPr="008C10B7">
        <w:rPr>
          <w:rFonts w:cs="Times New Roman"/>
          <w:sz w:val="22"/>
          <w:szCs w:val="22"/>
        </w:rPr>
        <w:t xml:space="preserve"> reported </w:t>
      </w:r>
      <w:r w:rsidR="00966BC5" w:rsidRPr="008C10B7">
        <w:rPr>
          <w:rFonts w:cs="Times New Roman"/>
          <w:sz w:val="22"/>
          <w:szCs w:val="22"/>
        </w:rPr>
        <w:t xml:space="preserve">that the </w:t>
      </w:r>
      <w:r w:rsidRPr="008C10B7">
        <w:rPr>
          <w:rFonts w:cs="Times New Roman"/>
          <w:sz w:val="22"/>
          <w:szCs w:val="22"/>
        </w:rPr>
        <w:t xml:space="preserve">GVI </w:t>
      </w:r>
      <w:r w:rsidR="005D7A2A" w:rsidRPr="008C10B7">
        <w:rPr>
          <w:rFonts w:cs="Times New Roman"/>
          <w:sz w:val="22"/>
          <w:szCs w:val="22"/>
        </w:rPr>
        <w:t xml:space="preserve">increases </w:t>
      </w:r>
      <w:r w:rsidRPr="008C10B7">
        <w:rPr>
          <w:rFonts w:cs="Times New Roman"/>
          <w:sz w:val="22"/>
          <w:szCs w:val="22"/>
        </w:rPr>
        <w:t>with longer travel distances</w:t>
      </w:r>
      <w:r w:rsidR="00966BC5" w:rsidRPr="008C10B7">
        <w:rPr>
          <w:rFonts w:cs="Times New Roman"/>
          <w:sz w:val="22"/>
          <w:szCs w:val="22"/>
        </w:rPr>
        <w:t>. L</w:t>
      </w:r>
      <w:r w:rsidRPr="008C10B7">
        <w:rPr>
          <w:rFonts w:cs="Times New Roman"/>
          <w:sz w:val="22"/>
          <w:szCs w:val="22"/>
        </w:rPr>
        <w:t xml:space="preserve">ong-distance travel can reduce the probability of </w:t>
      </w:r>
      <w:r w:rsidR="005D7A2A" w:rsidRPr="008C10B7">
        <w:rPr>
          <w:rFonts w:cs="Times New Roman"/>
          <w:sz w:val="22"/>
          <w:szCs w:val="22"/>
        </w:rPr>
        <w:t xml:space="preserve">using </w:t>
      </w:r>
      <w:r w:rsidRPr="008C10B7">
        <w:rPr>
          <w:rFonts w:cs="Times New Roman"/>
          <w:sz w:val="22"/>
          <w:szCs w:val="22"/>
        </w:rPr>
        <w:t>AT</w:t>
      </w:r>
      <w:r w:rsidR="008A7787" w:rsidRPr="008C10B7">
        <w:rPr>
          <w:rFonts w:cs="Times New Roman"/>
          <w:sz w:val="22"/>
          <w:szCs w:val="22"/>
        </w:rPr>
        <w:t xml:space="preserve">; </w:t>
      </w:r>
      <w:r w:rsidRPr="008C10B7">
        <w:rPr>
          <w:rFonts w:cs="Times New Roman"/>
          <w:sz w:val="22"/>
          <w:szCs w:val="22"/>
        </w:rPr>
        <w:t>therefore</w:t>
      </w:r>
      <w:r w:rsidR="008A7787" w:rsidRPr="008C10B7">
        <w:rPr>
          <w:rFonts w:cs="Times New Roman"/>
          <w:sz w:val="22"/>
          <w:szCs w:val="22"/>
        </w:rPr>
        <w:t>, e-bike ownership may negatively affect</w:t>
      </w:r>
      <w:r w:rsidRPr="008C10B7">
        <w:rPr>
          <w:rFonts w:cs="Times New Roman"/>
          <w:sz w:val="22"/>
          <w:szCs w:val="22"/>
        </w:rPr>
        <w:t xml:space="preserve"> the intention to </w:t>
      </w:r>
      <w:r w:rsidR="00966BC5" w:rsidRPr="008C10B7">
        <w:rPr>
          <w:rFonts w:cs="Times New Roman"/>
          <w:sz w:val="22"/>
          <w:szCs w:val="22"/>
        </w:rPr>
        <w:t xml:space="preserve">participate in </w:t>
      </w:r>
      <w:r w:rsidR="0030654E" w:rsidRPr="008C10B7">
        <w:rPr>
          <w:rFonts w:cs="Times New Roman"/>
          <w:sz w:val="22"/>
          <w:szCs w:val="22"/>
        </w:rPr>
        <w:t>AT</w:t>
      </w:r>
      <w:r w:rsidRPr="008C10B7">
        <w:rPr>
          <w:rFonts w:cs="Times New Roman"/>
          <w:sz w:val="22"/>
          <w:szCs w:val="22"/>
        </w:rPr>
        <w:t xml:space="preserve">. The non-significant effect of private cars on </w:t>
      </w:r>
      <w:r w:rsidR="005D7A2A" w:rsidRPr="008C10B7">
        <w:rPr>
          <w:rFonts w:cs="Times New Roman"/>
          <w:sz w:val="22"/>
          <w:szCs w:val="22"/>
        </w:rPr>
        <w:t xml:space="preserve">university </w:t>
      </w:r>
      <w:r w:rsidRPr="008C10B7">
        <w:rPr>
          <w:rFonts w:cs="Times New Roman"/>
          <w:sz w:val="22"/>
          <w:szCs w:val="22"/>
        </w:rPr>
        <w:t>students</w:t>
      </w:r>
      <w:r w:rsidR="00966BC5" w:rsidRPr="008C10B7">
        <w:rPr>
          <w:rFonts w:cs="Times New Roman"/>
          <w:sz w:val="22"/>
          <w:szCs w:val="22"/>
        </w:rPr>
        <w:t>’</w:t>
      </w:r>
      <w:r w:rsidRPr="008C10B7">
        <w:rPr>
          <w:rFonts w:cs="Times New Roman"/>
          <w:sz w:val="22"/>
          <w:szCs w:val="22"/>
        </w:rPr>
        <w:t xml:space="preserve"> </w:t>
      </w:r>
      <w:r w:rsidR="00966BC5" w:rsidRPr="008C10B7">
        <w:rPr>
          <w:rFonts w:cs="Times New Roman"/>
          <w:sz w:val="22"/>
          <w:szCs w:val="22"/>
        </w:rPr>
        <w:t>decision</w:t>
      </w:r>
      <w:r w:rsidRPr="008C10B7">
        <w:rPr>
          <w:rFonts w:cs="Times New Roman"/>
          <w:sz w:val="22"/>
          <w:szCs w:val="22"/>
        </w:rPr>
        <w:t xml:space="preserve"> to </w:t>
      </w:r>
      <w:r w:rsidR="00966BC5" w:rsidRPr="008C10B7">
        <w:rPr>
          <w:rFonts w:cs="Times New Roman"/>
          <w:sz w:val="22"/>
          <w:szCs w:val="22"/>
        </w:rPr>
        <w:t xml:space="preserve">participate in </w:t>
      </w:r>
      <w:r w:rsidR="0030654E" w:rsidRPr="008C10B7">
        <w:rPr>
          <w:rFonts w:cs="Times New Roman"/>
          <w:sz w:val="22"/>
          <w:szCs w:val="22"/>
        </w:rPr>
        <w:t>AT</w:t>
      </w:r>
      <w:r w:rsidRPr="008C10B7">
        <w:rPr>
          <w:rFonts w:cs="Times New Roman"/>
          <w:sz w:val="22"/>
          <w:szCs w:val="22"/>
        </w:rPr>
        <w:t xml:space="preserve"> may be caused by fewer students own</w:t>
      </w:r>
      <w:r w:rsidR="00966BC5" w:rsidRPr="008C10B7">
        <w:rPr>
          <w:rFonts w:cs="Times New Roman"/>
          <w:sz w:val="22"/>
          <w:szCs w:val="22"/>
        </w:rPr>
        <w:t>ing</w:t>
      </w:r>
      <w:r w:rsidRPr="008C10B7">
        <w:rPr>
          <w:rFonts w:cs="Times New Roman"/>
          <w:sz w:val="22"/>
          <w:szCs w:val="22"/>
        </w:rPr>
        <w:t xml:space="preserve"> private vehicles. Our study also found that walking satisfaction among Guangzhou </w:t>
      </w:r>
      <w:r w:rsidR="00C42D92" w:rsidRPr="008C10B7">
        <w:rPr>
          <w:rFonts w:cs="Times New Roman"/>
          <w:sz w:val="22"/>
          <w:szCs w:val="22"/>
        </w:rPr>
        <w:t>u</w:t>
      </w:r>
      <w:r w:rsidRPr="008C10B7">
        <w:rPr>
          <w:rFonts w:cs="Times New Roman"/>
          <w:sz w:val="22"/>
          <w:szCs w:val="22"/>
        </w:rPr>
        <w:t xml:space="preserve">niversity students had a positive effect on AT. At the same time, other modes of travel were less associated with AT, which may also be </w:t>
      </w:r>
      <w:r w:rsidR="009F4122" w:rsidRPr="008C10B7">
        <w:rPr>
          <w:rFonts w:cs="Times New Roman"/>
          <w:sz w:val="22"/>
          <w:szCs w:val="22"/>
        </w:rPr>
        <w:t>because</w:t>
      </w:r>
      <w:r w:rsidRPr="008C10B7">
        <w:rPr>
          <w:rFonts w:cs="Times New Roman"/>
          <w:sz w:val="22"/>
          <w:szCs w:val="22"/>
        </w:rPr>
        <w:t xml:space="preserve"> the main mode of travel </w:t>
      </w:r>
      <w:r w:rsidR="005D7A2A" w:rsidRPr="008C10B7">
        <w:rPr>
          <w:rFonts w:cs="Times New Roman"/>
          <w:sz w:val="22"/>
          <w:szCs w:val="22"/>
        </w:rPr>
        <w:t xml:space="preserve">used </w:t>
      </w:r>
      <w:r w:rsidRPr="008C10B7">
        <w:rPr>
          <w:rFonts w:cs="Times New Roman"/>
          <w:sz w:val="22"/>
          <w:szCs w:val="22"/>
        </w:rPr>
        <w:t xml:space="preserve">on university campuses is walking. Our findings provide evidence to support </w:t>
      </w:r>
      <w:r w:rsidRPr="008C10B7">
        <w:rPr>
          <w:rFonts w:cs="Times New Roman"/>
          <w:sz w:val="22"/>
          <w:szCs w:val="22"/>
        </w:rPr>
        <w:fldChar w:fldCharType="begin" w:fldLock="1"/>
      </w:r>
      <w:r w:rsidR="00B74AD7" w:rsidRPr="008C10B7">
        <w:rPr>
          <w:rFonts w:cs="Times New Roman"/>
          <w:sz w:val="22"/>
          <w:szCs w:val="22"/>
        </w:rPr>
        <w:instrText>ADDIN CSL_CITATION {"citationItems":[{"id":"ITEM-1","itemData":{"DOI":"10.1016/j.cities.2019.01.003","ISSN":"02642751","abstract":"Cycling is one type of physical activities with documented health and environmental benefits. Little consensus has been reached about the impacts of urban greenness on cycling behavior because of the widely varying estimation techniques, especially at street scale. We objectively measured the urban greenness in two ways: overhead-view greenness by Normalized Difference Vegetation Index (NDVI) and eye-level street greenness by Google Street View (GSV) images. Multilevel logistic regression models were used to examine the association between urban greenness and the odds of cycling (versus not cycling) for 5701 Hong Kong participants after controlling activity-influencing built environment and individual-level covariates. We found the odds of cycling were positively associated with eye-level street greenness but not with overhead-view greenness across three buffer zones: 400 m, 800 m and 1600 m. In addition, the odds of cycling were negatively associated with population density, number of bus stops, and terrain slope, while positively associated with bike lane density. To build a cycling-friendly city, planners and designers might need to pay more attention to improve citizens’ daily exposure to urban greenness, instead of traditional greenspace indices such as greenspace area or number of parks. The GSV technique is a novel and reliable method for measuring eye-level urban greenness with potential usage in further healthy city studies.","author":[{"dropping-particle":"","family":"Lu","given":"Yi","non-dropping-particle":"","parse-names":false,"suffix":""},{"dropping-particle":"","family":"Yang","given":"Yiyang","non-dropping-particle":"","parse-names":false,"suffix":""},{"dropping-particle":"","family":"Sun","given":"Guibo","non-dropping-particle":"","parse-names":false,"suffix":""},{"dropping-particle":"","family":"Gou","given":"Zhonghua","non-dropping-particle":"","parse-names":false,"suffix":""}],"container-title":"Cities","id":"ITEM-1","issued":{"date-parts":[["2019","5","1"]]},"page":"10-18","publisher":"Elsevier Ltd","title":"Associations between overhead-view and eye-level urban greenness and cycling behaviors","type":"article-journal","volume":"88"},"uris":["http://www.mendeley.com/documents/?uuid=cc7f8048-112d-3a41-8013-69e57e493902"]}],"mendeley":{"formattedCitation":"(Lu et al., 2019)","manualFormatting":"Lu et al. (2019)","plainTextFormattedCitation":"(Lu et al., 2019)","previouslyFormattedCitation":"(Lu et al., 2019)"},"properties":{"noteIndex":0},"schema":"https://github.com/citation-style-language/schema/raw/master/csl-citation.json"}</w:instrText>
      </w:r>
      <w:r w:rsidRPr="008C10B7">
        <w:rPr>
          <w:rFonts w:cs="Times New Roman"/>
          <w:sz w:val="22"/>
          <w:szCs w:val="22"/>
        </w:rPr>
        <w:fldChar w:fldCharType="separate"/>
      </w:r>
      <w:r w:rsidRPr="008C10B7">
        <w:rPr>
          <w:rFonts w:cs="Times New Roman"/>
          <w:sz w:val="22"/>
          <w:szCs w:val="22"/>
        </w:rPr>
        <w:t>Lu et al.</w:t>
      </w:r>
      <w:r w:rsidR="0076241D" w:rsidRPr="008C10B7">
        <w:rPr>
          <w:rFonts w:cs="Times New Roman"/>
          <w:sz w:val="22"/>
          <w:szCs w:val="22"/>
        </w:rPr>
        <w:t>'s</w:t>
      </w:r>
      <w:r w:rsidRPr="008C10B7">
        <w:rPr>
          <w:rFonts w:cs="Times New Roman"/>
          <w:sz w:val="22"/>
          <w:szCs w:val="22"/>
        </w:rPr>
        <w:t xml:space="preserve"> (2019</w:t>
      </w:r>
      <w:r w:rsidR="008D0E59" w:rsidRPr="008C10B7">
        <w:rPr>
          <w:rFonts w:cs="Times New Roman"/>
          <w:sz w:val="22"/>
          <w:szCs w:val="22"/>
        </w:rPr>
        <w:t>b</w:t>
      </w:r>
      <w:r w:rsidRPr="008C10B7">
        <w:rPr>
          <w:rFonts w:cs="Times New Roman"/>
          <w:sz w:val="22"/>
          <w:szCs w:val="22"/>
        </w:rPr>
        <w:t>)</w:t>
      </w:r>
      <w:r w:rsidRPr="008C10B7">
        <w:rPr>
          <w:rFonts w:cs="Times New Roman"/>
          <w:sz w:val="22"/>
          <w:szCs w:val="22"/>
        </w:rPr>
        <w:fldChar w:fldCharType="end"/>
      </w:r>
      <w:r w:rsidR="0076241D" w:rsidRPr="008C10B7">
        <w:rPr>
          <w:rFonts w:cs="Times New Roman"/>
          <w:sz w:val="22"/>
          <w:szCs w:val="22"/>
        </w:rPr>
        <w:t xml:space="preserve"> view</w:t>
      </w:r>
      <w:r w:rsidRPr="008C10B7">
        <w:rPr>
          <w:rFonts w:cs="Times New Roman"/>
          <w:sz w:val="22"/>
          <w:szCs w:val="22"/>
        </w:rPr>
        <w:t xml:space="preserve"> that streetscape greening is crucial in promoting </w:t>
      </w:r>
      <w:r w:rsidR="0030654E" w:rsidRPr="008C10B7">
        <w:rPr>
          <w:rFonts w:cs="Times New Roman"/>
          <w:sz w:val="22"/>
          <w:szCs w:val="22"/>
        </w:rPr>
        <w:t>AT</w:t>
      </w:r>
      <w:r w:rsidRPr="008C10B7">
        <w:rPr>
          <w:rFonts w:cs="Times New Roman"/>
          <w:sz w:val="22"/>
          <w:szCs w:val="22"/>
        </w:rPr>
        <w:t xml:space="preserve">. Therefore, to promote </w:t>
      </w:r>
      <w:r w:rsidR="0030654E" w:rsidRPr="008C10B7">
        <w:rPr>
          <w:rFonts w:cs="Times New Roman"/>
          <w:sz w:val="22"/>
          <w:szCs w:val="22"/>
        </w:rPr>
        <w:t>AT</w:t>
      </w:r>
      <w:r w:rsidRPr="008C10B7">
        <w:rPr>
          <w:rFonts w:cs="Times New Roman"/>
          <w:sz w:val="22"/>
          <w:szCs w:val="22"/>
        </w:rPr>
        <w:t xml:space="preserve"> among university students, it is necessary to increase </w:t>
      </w:r>
      <w:r w:rsidR="005D7A2A" w:rsidRPr="008C10B7">
        <w:rPr>
          <w:rFonts w:cs="Times New Roman"/>
          <w:sz w:val="22"/>
          <w:szCs w:val="22"/>
        </w:rPr>
        <w:t xml:space="preserve">exposure to </w:t>
      </w:r>
      <w:r w:rsidRPr="008C10B7">
        <w:rPr>
          <w:rFonts w:cs="Times New Roman"/>
          <w:sz w:val="22"/>
          <w:szCs w:val="22"/>
        </w:rPr>
        <w:t>campus greenery.</w:t>
      </w:r>
    </w:p>
    <w:p w14:paraId="2AD4CA81" w14:textId="77777777" w:rsidR="004D3D6C" w:rsidRPr="008C10B7" w:rsidRDefault="004D3D6C" w:rsidP="00E7001C">
      <w:pPr>
        <w:spacing w:line="360" w:lineRule="auto"/>
        <w:jc w:val="both"/>
        <w:rPr>
          <w:rFonts w:cs="Times New Roman"/>
          <w:sz w:val="22"/>
          <w:szCs w:val="22"/>
        </w:rPr>
      </w:pPr>
    </w:p>
    <w:p w14:paraId="406974D4" w14:textId="79B1F0A6" w:rsidR="004D3D6C" w:rsidRPr="008C10B7" w:rsidRDefault="00711121" w:rsidP="00E7001C">
      <w:pPr>
        <w:pStyle w:val="Heading2"/>
        <w:keepNext/>
        <w:keepLines/>
        <w:spacing w:before="0" w:beforeAutospacing="0" w:after="0" w:afterAutospacing="0" w:line="360" w:lineRule="auto"/>
        <w:jc w:val="both"/>
        <w:rPr>
          <w:rFonts w:eastAsiaTheme="majorEastAsia" w:cstheme="majorHAnsi"/>
          <w:b w:val="0"/>
          <w:i/>
          <w:iCs/>
          <w:sz w:val="22"/>
          <w:szCs w:val="32"/>
          <w:lang w:val="en-GB" w:eastAsia="en-US"/>
        </w:rPr>
      </w:pPr>
      <w:bookmarkStart w:id="65" w:name="_Toc78625158"/>
      <w:r w:rsidRPr="008C10B7">
        <w:rPr>
          <w:rFonts w:eastAsiaTheme="majorEastAsia" w:cstheme="majorHAnsi"/>
          <w:b w:val="0"/>
          <w:i/>
          <w:iCs/>
          <w:sz w:val="22"/>
          <w:szCs w:val="22"/>
          <w:lang w:val="en-GB" w:eastAsia="en-US"/>
        </w:rPr>
        <w:t>5.</w:t>
      </w:r>
      <w:r w:rsidR="00764EDF" w:rsidRPr="008C10B7">
        <w:rPr>
          <w:rFonts w:eastAsiaTheme="majorEastAsia" w:cstheme="majorHAnsi"/>
          <w:b w:val="0"/>
          <w:i/>
          <w:iCs/>
          <w:sz w:val="22"/>
          <w:szCs w:val="22"/>
          <w:lang w:val="en-GB" w:eastAsia="en-US"/>
        </w:rPr>
        <w:t>2</w:t>
      </w:r>
      <w:r w:rsidR="00C234EB" w:rsidRPr="008C10B7">
        <w:rPr>
          <w:rFonts w:eastAsiaTheme="majorEastAsia" w:cstheme="majorHAnsi"/>
          <w:b w:val="0"/>
          <w:i/>
          <w:iCs/>
          <w:sz w:val="22"/>
          <w:szCs w:val="22"/>
          <w:lang w:val="en-GB" w:eastAsia="en-US"/>
        </w:rPr>
        <w:t>.</w:t>
      </w:r>
      <w:r w:rsidR="00262E9E" w:rsidRPr="008C10B7">
        <w:rPr>
          <w:rFonts w:eastAsiaTheme="majorEastAsia" w:cstheme="majorHAnsi"/>
          <w:b w:val="0"/>
          <w:i/>
          <w:iCs/>
          <w:sz w:val="22"/>
          <w:szCs w:val="22"/>
          <w:lang w:val="en-GB" w:eastAsia="en-US"/>
        </w:rPr>
        <w:tab/>
      </w:r>
      <w:r w:rsidR="00A62B27" w:rsidRPr="008C10B7">
        <w:rPr>
          <w:rFonts w:eastAsiaTheme="majorEastAsia" w:cstheme="majorHAnsi"/>
          <w:b w:val="0"/>
          <w:i/>
          <w:iCs/>
          <w:sz w:val="22"/>
          <w:szCs w:val="22"/>
          <w:lang w:val="en-GB" w:eastAsia="en-US"/>
        </w:rPr>
        <w:t xml:space="preserve">Differences </w:t>
      </w:r>
      <w:r w:rsidR="005A2041" w:rsidRPr="008C10B7">
        <w:rPr>
          <w:rFonts w:eastAsiaTheme="majorEastAsia" w:cstheme="majorHAnsi"/>
          <w:b w:val="0"/>
          <w:i/>
          <w:iCs/>
          <w:sz w:val="22"/>
          <w:szCs w:val="22"/>
          <w:lang w:val="en-GB" w:eastAsia="en-US"/>
        </w:rPr>
        <w:t>between university students and other social groups</w:t>
      </w:r>
      <w:bookmarkEnd w:id="65"/>
    </w:p>
    <w:p w14:paraId="6CA667AC" w14:textId="1131796B" w:rsidR="008A7787" w:rsidRPr="008C10B7" w:rsidRDefault="00711121" w:rsidP="00E7001C">
      <w:pPr>
        <w:spacing w:line="360" w:lineRule="auto"/>
        <w:jc w:val="both"/>
        <w:rPr>
          <w:rFonts w:ascii="SimSun" w:hAnsi="SimSun" w:cs="Times New Roman"/>
          <w:sz w:val="22"/>
          <w:szCs w:val="22"/>
        </w:rPr>
      </w:pPr>
      <w:r w:rsidRPr="008C10B7">
        <w:rPr>
          <w:rFonts w:cs="Times New Roman"/>
          <w:sz w:val="22"/>
          <w:szCs w:val="22"/>
        </w:rPr>
        <w:t>Previous studies have suggested that the effect of green space on AT may vary by gender, age, education</w:t>
      </w:r>
      <w:r w:rsidR="00781DB0" w:rsidRPr="008C10B7">
        <w:rPr>
          <w:rFonts w:cs="Times New Roman"/>
          <w:sz w:val="22"/>
          <w:szCs w:val="22"/>
        </w:rPr>
        <w:t>al</w:t>
      </w:r>
      <w:r w:rsidRPr="008C10B7">
        <w:rPr>
          <w:rFonts w:cs="Times New Roman"/>
          <w:sz w:val="22"/>
          <w:szCs w:val="22"/>
        </w:rPr>
        <w:t xml:space="preserve"> attainment</w:t>
      </w:r>
      <w:r w:rsidR="005A2041" w:rsidRPr="008C10B7">
        <w:rPr>
          <w:rFonts w:cs="Times New Roman"/>
          <w:sz w:val="22"/>
          <w:szCs w:val="22"/>
        </w:rPr>
        <w:t>,</w:t>
      </w:r>
      <w:r w:rsidRPr="008C10B7">
        <w:rPr>
          <w:rFonts w:cs="Times New Roman"/>
          <w:sz w:val="22"/>
          <w:szCs w:val="22"/>
        </w:rPr>
        <w:t xml:space="preserve"> and income status </w:t>
      </w:r>
      <w:r w:rsidRPr="008C10B7">
        <w:rPr>
          <w:rFonts w:cs="Times New Roman"/>
          <w:sz w:val="22"/>
          <w:szCs w:val="22"/>
        </w:rPr>
        <w:fldChar w:fldCharType="begin" w:fldLock="1"/>
      </w:r>
      <w:r w:rsidR="00B74AD7" w:rsidRPr="008C10B7">
        <w:rPr>
          <w:rFonts w:cs="Times New Roman"/>
          <w:sz w:val="22"/>
          <w:szCs w:val="22"/>
        </w:rPr>
        <w:instrText>ADDIN CSL_CITATION {"citationItems":[{"id":"ITEM-1","itemData":{"DOI":"10.1136/bjsports-2012-092006","ISSN":"03063674","PMID":"23632744","abstract":"Background Green space is widely hypothesised to promote physical activity. Few studies, however, examine whether this is the case for walking and moderate-tovigorous physical activity (MVPA). We investigated to what extent neighbourhood green space was associated with weekly participation and frequency of walking and MVPA in a large cross-sectional survey of Australian adults 45 years and older. Methods Logit and negative binomial regression were used to estimate the degree of association between walking, MVPA and neighbourhood green space in a sample of 203 883 adults from the Australian 45 and Up Study. Walking and MVPA were measured using the Active Australia Survey. Green space was measured as a percentage of the total land-use within 1 km radius of residence. We controlled for a range of individual and neighbourhood characteristics. Results 86.6% of the sample walked and 85.8% participated in MVPA at least once a week. These rates fell steeply with age. Compared with residents of neighbourhoods containing 0-20% green space, those in greener areas were significantly more likely to walk and participate in MVPAs at least once a week (trend for both p&lt;0.001). Among those participating at least once a week, residents of neighbourhoods containing 80%+ green space participated with a greater frequency of walking (incidence rate ratio (IRR) 1.09, 95% CI 1.05 to 1.13) and MVPA (IRR 1.10, 95% CI 1.05 to 1.15). Conclusions Our findings suggest that the amount of green space available to adults in middle-to-older age within their neighbourhood environments could help to promote walking and MVPA.","author":[{"dropping-particle":"","family":"Astell-Burt","given":"Thomas","non-dropping-particle":"","parse-names":false,"suffix":""},{"dropping-particle":"","family":"Feng","given":"Xiaoqi","non-dropping-particle":"","parse-names":false,"suffix":""},{"dropping-particle":"","family":"Kolt","given":"Gregory S.","non-dropping-particle":"","parse-names":false,"suffix":""}],"container-title":"British Journal of Sports Medicine","id":"ITEM-1","issue":"5","issued":{"date-parts":[["2014","3","1"]]},"page":"404-406","publisher":"BMJ Publishing Group Ltd and British Association of Sport and Exercise Medicine","title":"Green space is associated with walking and moderate-to-vigorous physical activity (MVPA) in middle-to-older-aged adults: Findings from 203 883 Australians in the 45 and Up Study","type":"article-journal","volume":"48"},"uris":["http://www.mendeley.com/documents/?uuid=ad1fdf57-b240-38da-9732-e4de23bf9008"]},{"id":"ITEM-2","itemData":{"DOI":"10.1016/j.cities.2019.01.003","ISSN":"02642751","abstract":"Cycling is one type of physical activities with documented health and environmental benefits. Little consensus has been reached about the impacts of urban greenness on cycling behavior because of the widely varying estimation techniques, especially at street scale. We objectively measured the urban greenness in two ways: overhead-view greenness by Normalized Difference Vegetation Index (NDVI) and eye-level street greenness by Google Street View (GSV) images. Multilevel logistic regression models were used to examine the association between urban greenness and the odds of cycling (versus not cycling) for 5701 Hong Kong participants after controlling activity-influencing built environment and individual-level covariates. We found the odds of cycling were positively associated with eye-level street greenness but not with overhead-view greenness across three buffer zones: 400 m, 800 m and 1600 m. In addition, the odds of cycling were negatively associated with population density, number of bus stops, and terrain slope, while positively associated with bike lane density. To build a cycling-friendly city, planners and designers might need to pay more attention to improve citizens’ daily exposure to urban greenness, instead of traditional greenspace indices such as greenspace area or number of parks. The GSV technique is a novel and reliable method for measuring eye-level urban greenness with potential usage in further healthy city studies.","author":[{"dropping-particle":"","family":"Lu","given":"Yi","non-dropping-particle":"","parse-names":false,"suffix":""},{"dropping-particle":"","family":"Yang","given":"Yiyang","non-dropping-particle":"","parse-names":false,"suffix":""},{"dropping-particle":"","family":"Sun","given":"Guibo","non-dropping-particle":"","parse-names":false,"suffix":""},{"dropping-particle":"","family":"Gou","given":"Zhonghua","non-dropping-particle":"","parse-names":false,"suffix":""}],"container-title":"Cities","id":"ITEM-2","issued":{"date-parts":[["2019","5","1"]]},"page":"10-18","publisher":"Elsevier Ltd","title":"Associations between overhead-view and eye-level urban greenness and cycling behaviors","type":"article-journal","volume":"88"},"uris":["http://www.mendeley.com/documents/?uuid=cc7f8048-112d-3a41-8013-69e57e493902"]}],"mendeley":{"formattedCitation":"(Astell-Burt et al., 2014; Lu et al., 2019)","plainTextFormattedCitation":"(Astell-Burt et al., 2014; Lu et al., 2019)","previouslyFormattedCitation":"(Astell-Burt et al., 2014; Lu et al., 2019)"},"properties":{"noteIndex":0},"schema":"https://github.com/citation-style-language/schema/raw/master/csl-citation.json"}</w:instrText>
      </w:r>
      <w:r w:rsidRPr="008C10B7">
        <w:rPr>
          <w:rFonts w:cs="Times New Roman"/>
          <w:sz w:val="22"/>
          <w:szCs w:val="22"/>
        </w:rPr>
        <w:fldChar w:fldCharType="separate"/>
      </w:r>
      <w:r w:rsidR="008C7EFD" w:rsidRPr="008C10B7">
        <w:rPr>
          <w:rFonts w:cs="Times New Roman"/>
          <w:sz w:val="22"/>
          <w:szCs w:val="22"/>
        </w:rPr>
        <w:t>(Astell-Burt et al., 2014; Lu et al., 2019</w:t>
      </w:r>
      <w:r w:rsidR="008D0E59" w:rsidRPr="008C10B7">
        <w:rPr>
          <w:rFonts w:cs="Times New Roman"/>
          <w:sz w:val="22"/>
          <w:szCs w:val="22"/>
        </w:rPr>
        <w:t>b</w:t>
      </w:r>
      <w:r w:rsidR="008C7EFD" w:rsidRPr="008C10B7">
        <w:rPr>
          <w:rFonts w:cs="Times New Roman"/>
          <w:sz w:val="22"/>
          <w:szCs w:val="22"/>
        </w:rPr>
        <w:t>)</w:t>
      </w:r>
      <w:r w:rsidRPr="008C10B7">
        <w:rPr>
          <w:rFonts w:cs="Times New Roman"/>
          <w:sz w:val="22"/>
          <w:szCs w:val="22"/>
        </w:rPr>
        <w:fldChar w:fldCharType="end"/>
      </w:r>
      <w:r w:rsidRPr="008C10B7">
        <w:rPr>
          <w:rFonts w:cs="Times New Roman"/>
          <w:sz w:val="22"/>
          <w:szCs w:val="22"/>
        </w:rPr>
        <w:t xml:space="preserve">. However, our study found no </w:t>
      </w:r>
      <w:r w:rsidR="00C42D92" w:rsidRPr="008C10B7">
        <w:rPr>
          <w:rFonts w:cs="Times New Roman"/>
          <w:sz w:val="22"/>
          <w:szCs w:val="22"/>
        </w:rPr>
        <w:t xml:space="preserve">statistically </w:t>
      </w:r>
      <w:r w:rsidRPr="008C10B7">
        <w:rPr>
          <w:rFonts w:cs="Times New Roman"/>
          <w:sz w:val="22"/>
          <w:szCs w:val="22"/>
        </w:rPr>
        <w:t>significant association between AT and individual demographic factors</w:t>
      </w:r>
      <w:r w:rsidR="00C42D92" w:rsidRPr="008C10B7">
        <w:rPr>
          <w:rFonts w:cs="Times New Roman"/>
          <w:sz w:val="22"/>
          <w:szCs w:val="22"/>
        </w:rPr>
        <w:t>,</w:t>
      </w:r>
      <w:r w:rsidRPr="008C10B7">
        <w:rPr>
          <w:rFonts w:cs="Times New Roman"/>
          <w:sz w:val="22"/>
          <w:szCs w:val="22"/>
        </w:rPr>
        <w:t xml:space="preserve"> such as</w:t>
      </w:r>
      <w:r w:rsidR="00781DB0" w:rsidRPr="008C10B7">
        <w:rPr>
          <w:rFonts w:cs="Times New Roman"/>
          <w:sz w:val="22"/>
          <w:szCs w:val="22"/>
        </w:rPr>
        <w:t xml:space="preserve"> the</w:t>
      </w:r>
      <w:r w:rsidRPr="008C10B7">
        <w:rPr>
          <w:rFonts w:cs="Times New Roman"/>
          <w:sz w:val="22"/>
          <w:szCs w:val="22"/>
        </w:rPr>
        <w:t xml:space="preserve"> gender, age, hukou status</w:t>
      </w:r>
      <w:r w:rsidR="005A2041" w:rsidRPr="008C10B7">
        <w:rPr>
          <w:rFonts w:cs="Times New Roman"/>
          <w:sz w:val="22"/>
          <w:szCs w:val="22"/>
        </w:rPr>
        <w:t>,</w:t>
      </w:r>
      <w:r w:rsidRPr="008C10B7">
        <w:rPr>
          <w:rFonts w:cs="Times New Roman"/>
          <w:sz w:val="22"/>
          <w:szCs w:val="22"/>
        </w:rPr>
        <w:t xml:space="preserve"> and income of Guangzhou </w:t>
      </w:r>
      <w:r w:rsidR="00C42D92" w:rsidRPr="008C10B7">
        <w:rPr>
          <w:rFonts w:cs="Times New Roman"/>
          <w:sz w:val="22"/>
          <w:szCs w:val="22"/>
        </w:rPr>
        <w:t>u</w:t>
      </w:r>
      <w:r w:rsidRPr="008C10B7">
        <w:rPr>
          <w:rFonts w:cs="Times New Roman"/>
          <w:sz w:val="22"/>
          <w:szCs w:val="22"/>
        </w:rPr>
        <w:t xml:space="preserve">niversity students. </w:t>
      </w:r>
      <w:r w:rsidRPr="008C10B7">
        <w:rPr>
          <w:rFonts w:cs="Times New Roman"/>
          <w:sz w:val="22"/>
          <w:szCs w:val="22"/>
        </w:rPr>
        <w:lastRenderedPageBreak/>
        <w:t xml:space="preserve">This </w:t>
      </w:r>
      <w:r w:rsidR="005A2041" w:rsidRPr="008C10B7">
        <w:rPr>
          <w:rFonts w:cs="Times New Roman"/>
          <w:sz w:val="22"/>
          <w:szCs w:val="22"/>
        </w:rPr>
        <w:t>might</w:t>
      </w:r>
      <w:r w:rsidRPr="008C10B7">
        <w:rPr>
          <w:rFonts w:cs="Times New Roman"/>
          <w:sz w:val="22"/>
          <w:szCs w:val="22"/>
        </w:rPr>
        <w:t xml:space="preserve"> be due to the small differences in demographic characteristics </w:t>
      </w:r>
      <w:r w:rsidR="00781DB0" w:rsidRPr="008C10B7">
        <w:rPr>
          <w:rFonts w:cs="Times New Roman"/>
          <w:sz w:val="22"/>
          <w:szCs w:val="22"/>
        </w:rPr>
        <w:t xml:space="preserve">among </w:t>
      </w:r>
      <w:r w:rsidRPr="008C10B7">
        <w:rPr>
          <w:rFonts w:cs="Times New Roman"/>
          <w:sz w:val="22"/>
          <w:szCs w:val="22"/>
        </w:rPr>
        <w:t xml:space="preserve">the university student population. The study also found that university students with a postgraduate degree had a lower tendency to </w:t>
      </w:r>
      <w:r w:rsidR="005A2041" w:rsidRPr="008C10B7">
        <w:rPr>
          <w:rFonts w:cs="Times New Roman"/>
          <w:sz w:val="22"/>
          <w:szCs w:val="22"/>
        </w:rPr>
        <w:t xml:space="preserve">participate in </w:t>
      </w:r>
      <w:r w:rsidRPr="008C10B7">
        <w:rPr>
          <w:rFonts w:cs="Times New Roman"/>
          <w:sz w:val="22"/>
          <w:szCs w:val="22"/>
        </w:rPr>
        <w:t xml:space="preserve">AT than </w:t>
      </w:r>
      <w:r w:rsidR="00D76A7E" w:rsidRPr="008C10B7">
        <w:rPr>
          <w:rFonts w:cs="Times New Roman"/>
          <w:sz w:val="22"/>
          <w:szCs w:val="22"/>
        </w:rPr>
        <w:t xml:space="preserve">those with a </w:t>
      </w:r>
      <w:r w:rsidR="00C665C0" w:rsidRPr="008C10B7">
        <w:rPr>
          <w:rFonts w:cs="Times New Roman"/>
          <w:sz w:val="22"/>
          <w:szCs w:val="22"/>
        </w:rPr>
        <w:t>bachelor’s</w:t>
      </w:r>
      <w:r w:rsidR="00D76A7E" w:rsidRPr="008C10B7">
        <w:rPr>
          <w:rFonts w:cs="Times New Roman"/>
          <w:sz w:val="22"/>
          <w:szCs w:val="22"/>
        </w:rPr>
        <w:t xml:space="preserve"> degree</w:t>
      </w:r>
      <w:r w:rsidRPr="008C10B7">
        <w:rPr>
          <w:rFonts w:cs="Times New Roman"/>
          <w:sz w:val="22"/>
          <w:szCs w:val="22"/>
        </w:rPr>
        <w:t xml:space="preserve"> </w:t>
      </w:r>
      <w:r w:rsidR="00D76A7E" w:rsidRPr="008C10B7">
        <w:rPr>
          <w:rFonts w:cs="Times New Roman"/>
          <w:sz w:val="22"/>
          <w:szCs w:val="22"/>
        </w:rPr>
        <w:t>or</w:t>
      </w:r>
      <w:r w:rsidRPr="008C10B7">
        <w:rPr>
          <w:rFonts w:cs="Times New Roman"/>
          <w:sz w:val="22"/>
          <w:szCs w:val="22"/>
        </w:rPr>
        <w:t xml:space="preserve"> below after excluding transport characteristics. This result may be because graduate students</w:t>
      </w:r>
      <w:r w:rsidR="00A9673B" w:rsidRPr="008C10B7">
        <w:rPr>
          <w:rFonts w:cs="Times New Roman"/>
          <w:sz w:val="22"/>
          <w:szCs w:val="22"/>
        </w:rPr>
        <w:t>’</w:t>
      </w:r>
      <w:r w:rsidRPr="008C10B7">
        <w:rPr>
          <w:rFonts w:cs="Times New Roman"/>
          <w:sz w:val="22"/>
          <w:szCs w:val="22"/>
        </w:rPr>
        <w:t xml:space="preserve"> travel is not confined to </w:t>
      </w:r>
      <w:r w:rsidR="00D76A7E" w:rsidRPr="008C10B7">
        <w:rPr>
          <w:rFonts w:cs="Times New Roman"/>
          <w:sz w:val="22"/>
          <w:szCs w:val="22"/>
        </w:rPr>
        <w:t xml:space="preserve">the university </w:t>
      </w:r>
      <w:r w:rsidRPr="008C10B7">
        <w:rPr>
          <w:rFonts w:cs="Times New Roman"/>
          <w:sz w:val="22"/>
          <w:szCs w:val="22"/>
        </w:rPr>
        <w:t>campus</w:t>
      </w:r>
      <w:r w:rsidR="00D76A7E" w:rsidRPr="008C10B7">
        <w:rPr>
          <w:rFonts w:cs="Times New Roman"/>
          <w:sz w:val="22"/>
          <w:szCs w:val="22"/>
        </w:rPr>
        <w:t>,</w:t>
      </w:r>
      <w:r w:rsidRPr="008C10B7">
        <w:rPr>
          <w:rFonts w:cs="Times New Roman"/>
          <w:sz w:val="22"/>
          <w:szCs w:val="22"/>
        </w:rPr>
        <w:t xml:space="preserve"> due to family life and work</w:t>
      </w:r>
      <w:r w:rsidR="00D76A7E" w:rsidRPr="008C10B7">
        <w:rPr>
          <w:rFonts w:cs="Times New Roman"/>
          <w:sz w:val="22"/>
          <w:szCs w:val="22"/>
        </w:rPr>
        <w:t xml:space="preserve"> commitments</w:t>
      </w:r>
      <w:r w:rsidRPr="008C10B7">
        <w:rPr>
          <w:rFonts w:cs="Times New Roman"/>
          <w:sz w:val="22"/>
          <w:szCs w:val="22"/>
        </w:rPr>
        <w:t xml:space="preserve">, resulting in longer travel distances. </w:t>
      </w:r>
    </w:p>
    <w:p w14:paraId="6526642F" w14:textId="2E2C7D3E" w:rsidR="00FF380A" w:rsidRPr="008C10B7" w:rsidRDefault="00711121" w:rsidP="008D0E59">
      <w:pPr>
        <w:spacing w:line="360" w:lineRule="auto"/>
        <w:ind w:firstLine="420"/>
        <w:jc w:val="both"/>
        <w:rPr>
          <w:rFonts w:cs="Times New Roman"/>
          <w:sz w:val="22"/>
          <w:szCs w:val="22"/>
        </w:rPr>
      </w:pPr>
      <w:r w:rsidRPr="008C10B7">
        <w:rPr>
          <w:rFonts w:cs="Times New Roman"/>
          <w:sz w:val="22"/>
          <w:szCs w:val="22"/>
        </w:rPr>
        <w:t xml:space="preserve">We also found that the </w:t>
      </w:r>
      <w:r w:rsidR="00FF380A" w:rsidRPr="008C10B7">
        <w:rPr>
          <w:rFonts w:cs="Times New Roman"/>
          <w:sz w:val="22"/>
          <w:szCs w:val="22"/>
        </w:rPr>
        <w:t>green space</w:t>
      </w:r>
      <w:r w:rsidR="00D76A7E" w:rsidRPr="008C10B7">
        <w:rPr>
          <w:rFonts w:cs="Times New Roman"/>
          <w:sz w:val="22"/>
          <w:szCs w:val="22"/>
        </w:rPr>
        <w:t>s</w:t>
      </w:r>
      <w:r w:rsidR="00FF380A" w:rsidRPr="008C10B7">
        <w:rPr>
          <w:rFonts w:cs="Times New Roman"/>
          <w:sz w:val="22"/>
          <w:szCs w:val="22"/>
        </w:rPr>
        <w:t xml:space="preserve"> on campuses</w:t>
      </w:r>
      <w:r w:rsidRPr="008C10B7">
        <w:rPr>
          <w:rFonts w:cs="Times New Roman"/>
          <w:sz w:val="22"/>
          <w:szCs w:val="22"/>
        </w:rPr>
        <w:t>, as measured by the NDVI, w</w:t>
      </w:r>
      <w:r w:rsidR="00D76A7E" w:rsidRPr="008C10B7">
        <w:rPr>
          <w:rFonts w:cs="Times New Roman"/>
          <w:sz w:val="22"/>
          <w:szCs w:val="22"/>
        </w:rPr>
        <w:t>ere</w:t>
      </w:r>
      <w:r w:rsidRPr="008C10B7">
        <w:rPr>
          <w:rFonts w:cs="Times New Roman"/>
          <w:sz w:val="22"/>
          <w:szCs w:val="22"/>
        </w:rPr>
        <w:t xml:space="preserve"> less associated with AT. </w:t>
      </w:r>
      <w:bookmarkStart w:id="66" w:name="_Hlk100843041"/>
      <w:r w:rsidR="00A304A1" w:rsidRPr="008C10B7">
        <w:rPr>
          <w:rFonts w:cs="Times New Roman"/>
          <w:sz w:val="22"/>
          <w:szCs w:val="22"/>
        </w:rPr>
        <w:t xml:space="preserve">This is in line with the findings of </w:t>
      </w:r>
      <w:r w:rsidR="00E10BFF" w:rsidRPr="008C10B7">
        <w:rPr>
          <w:rFonts w:cs="Times New Roman"/>
          <w:sz w:val="22"/>
          <w:szCs w:val="22"/>
        </w:rPr>
        <w:t>Lu et al.</w:t>
      </w:r>
      <w:r w:rsidR="0076241D" w:rsidRPr="008C10B7">
        <w:rPr>
          <w:rFonts w:cs="Times New Roman"/>
          <w:sz w:val="22"/>
          <w:szCs w:val="22"/>
        </w:rPr>
        <w:t>’s</w:t>
      </w:r>
      <w:r w:rsidR="00E10BFF" w:rsidRPr="008C10B7">
        <w:rPr>
          <w:rFonts w:cs="Times New Roman"/>
          <w:sz w:val="22"/>
          <w:szCs w:val="22"/>
        </w:rPr>
        <w:t xml:space="preserve"> (2019</w:t>
      </w:r>
      <w:r w:rsidR="00E50BE8" w:rsidRPr="008C10B7">
        <w:rPr>
          <w:rFonts w:cs="Times New Roman"/>
          <w:sz w:val="22"/>
          <w:szCs w:val="22"/>
        </w:rPr>
        <w:t>a</w:t>
      </w:r>
      <w:r w:rsidR="00E10BFF" w:rsidRPr="008C10B7">
        <w:rPr>
          <w:rFonts w:cs="Times New Roman"/>
          <w:sz w:val="22"/>
          <w:szCs w:val="22"/>
        </w:rPr>
        <w:t>)</w:t>
      </w:r>
      <w:bookmarkEnd w:id="66"/>
      <w:r w:rsidR="0076241D" w:rsidRPr="008C10B7">
        <w:rPr>
          <w:rFonts w:cs="Times New Roman"/>
          <w:sz w:val="22"/>
          <w:szCs w:val="22"/>
        </w:rPr>
        <w:t xml:space="preserve"> study</w:t>
      </w:r>
      <w:r w:rsidR="00E10BFF" w:rsidRPr="008C10B7">
        <w:rPr>
          <w:rFonts w:cs="Times New Roman"/>
          <w:sz w:val="22"/>
          <w:szCs w:val="22"/>
        </w:rPr>
        <w:t xml:space="preserve">. </w:t>
      </w:r>
      <w:r w:rsidR="00D76A7E" w:rsidRPr="008C10B7">
        <w:rPr>
          <w:rFonts w:cs="Times New Roman"/>
          <w:sz w:val="22"/>
          <w:szCs w:val="22"/>
        </w:rPr>
        <w:t xml:space="preserve">It may be that previous </w:t>
      </w:r>
      <w:r w:rsidRPr="008C10B7">
        <w:rPr>
          <w:rFonts w:cs="Times New Roman"/>
          <w:sz w:val="22"/>
          <w:szCs w:val="22"/>
        </w:rPr>
        <w:t xml:space="preserve">studies that failed to confirm the association between green space and </w:t>
      </w:r>
      <w:r w:rsidR="0030654E" w:rsidRPr="008C10B7">
        <w:rPr>
          <w:rFonts w:cs="Times New Roman"/>
          <w:sz w:val="22"/>
          <w:szCs w:val="22"/>
        </w:rPr>
        <w:t>AT</w:t>
      </w:r>
      <w:r w:rsidRPr="008C10B7">
        <w:rPr>
          <w:rFonts w:cs="Times New Roman"/>
          <w:sz w:val="22"/>
          <w:szCs w:val="22"/>
        </w:rPr>
        <w:t xml:space="preserve"> </w:t>
      </w:r>
      <w:r w:rsidR="00C64CE9" w:rsidRPr="008C10B7">
        <w:rPr>
          <w:rFonts w:cs="Times New Roman"/>
          <w:sz w:val="22"/>
          <w:szCs w:val="22"/>
        </w:rPr>
        <w:t>used</w:t>
      </w:r>
      <w:r w:rsidRPr="008C10B7">
        <w:rPr>
          <w:rFonts w:cs="Times New Roman"/>
          <w:sz w:val="22"/>
          <w:szCs w:val="22"/>
        </w:rPr>
        <w:t xml:space="preserve"> </w:t>
      </w:r>
      <w:r w:rsidR="00A62B27" w:rsidRPr="008C10B7">
        <w:rPr>
          <w:rFonts w:cs="Times New Roman"/>
          <w:sz w:val="22"/>
          <w:szCs w:val="22"/>
        </w:rPr>
        <w:t xml:space="preserve">inappropriate </w:t>
      </w:r>
      <w:r w:rsidRPr="008C10B7">
        <w:rPr>
          <w:rFonts w:cs="Times New Roman"/>
          <w:sz w:val="22"/>
          <w:szCs w:val="22"/>
        </w:rPr>
        <w:t xml:space="preserve">measurement approaches </w:t>
      </w:r>
      <w:r w:rsidRPr="008C10B7">
        <w:rPr>
          <w:rFonts w:cs="Times New Roman"/>
          <w:sz w:val="22"/>
          <w:szCs w:val="22"/>
        </w:rPr>
        <w:fldChar w:fldCharType="begin" w:fldLock="1"/>
      </w:r>
      <w:r w:rsidR="00B74AD7" w:rsidRPr="008C10B7">
        <w:rPr>
          <w:rFonts w:cs="Times New Roman"/>
          <w:sz w:val="22"/>
          <w:szCs w:val="22"/>
        </w:rPr>
        <w:instrText>ADDIN CSL_CITATION {"citationItems":[{"id":"ITEM-1","itemData":{"DOI":"10.1016/j.cities.2019.01.003","ISSN":"02642751","abstract":"Cycling is one type of physical activities with documented health and environmental benefits. Little consensus has been reached about the impacts of urban greenness on cycling behavior because of the widely varying estimation techniques, especially at street scale. We objectively measured the urban greenness in two ways: overhead-view greenness by Normalized Difference Vegetation Index (NDVI) and eye-level street greenness by Google Street View (GSV) images. Multilevel logistic regression models were used to examine the association between urban greenness and the odds of cycling (versus not cycling) for 5701 Hong Kong participants after controlling activity-influencing built environment and individual-level covariates. We found the odds of cycling were positively associated with eye-level street greenness but not with overhead-view greenness across three buffer zones: 400 m, 800 m and 1600 m. In addition, the odds of cycling were negatively associated with population density, number of bus stops, and terrain slope, while positively associated with bike lane density. To build a cycling-friendly city, planners and designers might need to pay more attention to improve citizens’ daily exposure to urban greenness, instead of traditional greenspace indices such as greenspace area or number of parks. The GSV technique is a novel and reliable method for measuring eye-level urban greenness with potential usage in further healthy city studies.","author":[{"dropping-particle":"","family":"Lu","given":"Yi","non-dropping-particle":"","parse-names":false,"suffix":""},{"dropping-particle":"","family":"Yang","given":"Yiyang","non-dropping-particle":"","parse-names":false,"suffix":""},{"dropping-particle":"","family":"Sun","given":"Guibo","non-dropping-particle":"","parse-names":false,"suffix":""},{"dropping-particle":"","family":"Gou","given":"Zhonghua","non-dropping-particle":"","parse-names":false,"suffix":""}],"container-title":"Cities","id":"ITEM-1","issued":{"date-parts":[["2019","5","1"]]},"page":"10-18","publisher":"Elsevier Ltd","title":"Associations between overhead-view and eye-level urban greenness and cycling behaviors","type":"article-journal","volume":"88"},"uris":["http://www.mendeley.com/documents/?uuid=cc7f8048-112d-3a41-8013-69e57e493902"]}],"mendeley":{"formattedCitation":"(Lu et al., 2019)","plainTextFormattedCitation":"(Lu et al., 2019)","previouslyFormattedCitation":"(Lu et al., 2019)"},"properties":{"noteIndex":0},"schema":"https://github.com/citation-style-language/schema/raw/master/csl-citation.json"}</w:instrText>
      </w:r>
      <w:r w:rsidRPr="008C10B7">
        <w:rPr>
          <w:rFonts w:cs="Times New Roman"/>
          <w:sz w:val="22"/>
          <w:szCs w:val="22"/>
        </w:rPr>
        <w:fldChar w:fldCharType="separate"/>
      </w:r>
      <w:r w:rsidR="008C7EFD" w:rsidRPr="008C10B7">
        <w:rPr>
          <w:rFonts w:cs="Times New Roman"/>
          <w:sz w:val="22"/>
          <w:szCs w:val="22"/>
        </w:rPr>
        <w:t>(Lu et al., 2019</w:t>
      </w:r>
      <w:r w:rsidR="008D0E59" w:rsidRPr="008C10B7">
        <w:rPr>
          <w:rFonts w:cs="Times New Roman"/>
          <w:sz w:val="22"/>
          <w:szCs w:val="22"/>
        </w:rPr>
        <w:t>b</w:t>
      </w:r>
      <w:r w:rsidR="008C7EFD" w:rsidRPr="008C10B7">
        <w:rPr>
          <w:rFonts w:cs="Times New Roman"/>
          <w:sz w:val="22"/>
          <w:szCs w:val="22"/>
        </w:rPr>
        <w:t>)</w:t>
      </w:r>
      <w:r w:rsidRPr="008C10B7">
        <w:rPr>
          <w:rFonts w:cs="Times New Roman"/>
          <w:sz w:val="22"/>
          <w:szCs w:val="22"/>
        </w:rPr>
        <w:fldChar w:fldCharType="end"/>
      </w:r>
      <w:r w:rsidRPr="008C10B7">
        <w:rPr>
          <w:rFonts w:cs="Times New Roman"/>
          <w:sz w:val="22"/>
          <w:szCs w:val="22"/>
        </w:rPr>
        <w:t xml:space="preserve">. For example, </w:t>
      </w:r>
      <w:r w:rsidRPr="008C10B7">
        <w:rPr>
          <w:rFonts w:cs="Times New Roman"/>
          <w:sz w:val="22"/>
          <w:szCs w:val="22"/>
        </w:rPr>
        <w:fldChar w:fldCharType="begin" w:fldLock="1"/>
      </w:r>
      <w:r w:rsidR="00B74AD7" w:rsidRPr="008C10B7">
        <w:rPr>
          <w:rFonts w:cs="Times New Roman"/>
          <w:sz w:val="22"/>
          <w:szCs w:val="22"/>
        </w:rPr>
        <w:instrText>ADDIN CSL_CITATION {"citationItems":[{"id":"ITEM-1","itemData":{"DOI":"10.1016/j.jth.2018.11.003","ISSN":"22141405","abstract":"Being physically active in natural environments has been linked with multiple mental and physical health benefits. However, not all urban contexts can provide their residents the same access to green areas for walking and sport activities. Mediterranean cities provide open spaces for physical activity that differ from those of Northern European cities. This study explores both conventional spaces in the form of public parks and urban green spaces, i.e. beaches, tree-lined streets, boulevards and public squares, in relation to the daily walking levels of residents in a Mediterranean city, such as Barcelona by presenting findings based on examining and assessing spatio-temporal exposure levels measured with the help of smartphones and publicly available GIS layers. To achieve this, both exposure and daily walking time were measured from GIS and GPS-based smartphone tracking data for 127 adult individuals from Barcelona, Spain. Based on these measurements, it was determined that the presence of large-scale open spaces for physical activity, such as beaches or large parks in the participants’ daily walking routes, proved to have the highest association with daily walking time. Also, underexplored forms of nature, such as street trees were also positively correlated with individual walking levels. Additionally, small-scale public spaces, such as public squares and boulevards, indicated a considerably negative association with walking time. The findings from this study confirm existing evidence on the health benefits of urban greenness and broaden the analytical focus on the role and impact of green space provision on physical health. Altogether, street trees and the presence of both blue and traditional green spaces proved to be significant factors of increased walking levels.","author":[{"dropping-particle":"","family":"Vich","given":"Guillem","non-dropping-particle":"","parse-names":false,"suffix":""},{"dropping-particle":"","family":"Marquet","given":"Oriol","non-dropping-particle":"","parse-names":false,"suffix":""},{"dropping-particle":"","family":"Miralles-Guasch","given":"Carme","non-dropping-particle":"","parse-names":false,"suffix":""}],"container-title":"Journal of Transport and Health","id":"ITEM-1","issued":{"date-parts":[["2019","3","1"]]},"page":"50-59","publisher":"Elsevier Ltd","title":"Green streetscape and walking: Exploring active mobility patterns in dense and compact cities","type":"article-journal","volume":"12"},"uris":["http://www.mendeley.com/documents/?uuid=3014c8aa-1183-3c8c-b346-fc3e0892f299"]}],"mendeley":{"formattedCitation":"(Vich et al., 2019)","manualFormatting":"Vich et al. (2019)","plainTextFormattedCitation":"(Vich et al., 2019)","previouslyFormattedCitation":"(Vich et al., 2019)"},"properties":{"noteIndex":0},"schema":"https://github.com/citation-style-language/schema/raw/master/csl-citation.json"}</w:instrText>
      </w:r>
      <w:r w:rsidRPr="008C10B7">
        <w:rPr>
          <w:rFonts w:cs="Times New Roman"/>
          <w:sz w:val="22"/>
          <w:szCs w:val="22"/>
        </w:rPr>
        <w:fldChar w:fldCharType="separate"/>
      </w:r>
      <w:r w:rsidRPr="008C10B7">
        <w:rPr>
          <w:rFonts w:cs="Times New Roman"/>
          <w:sz w:val="22"/>
          <w:szCs w:val="22"/>
        </w:rPr>
        <w:t>Vich et al. (2019)</w:t>
      </w:r>
      <w:r w:rsidRPr="008C10B7">
        <w:rPr>
          <w:rFonts w:cs="Times New Roman"/>
          <w:sz w:val="22"/>
          <w:szCs w:val="22"/>
        </w:rPr>
        <w:fldChar w:fldCharType="end"/>
      </w:r>
      <w:r w:rsidRPr="008C10B7">
        <w:rPr>
          <w:rFonts w:cs="Times New Roman"/>
          <w:sz w:val="22"/>
          <w:szCs w:val="22"/>
        </w:rPr>
        <w:t xml:space="preserve"> and </w:t>
      </w:r>
      <w:r w:rsidRPr="008C10B7">
        <w:rPr>
          <w:rFonts w:cs="Times New Roman"/>
          <w:sz w:val="22"/>
          <w:szCs w:val="22"/>
        </w:rPr>
        <w:fldChar w:fldCharType="begin" w:fldLock="1"/>
      </w:r>
      <w:r w:rsidR="00B74AD7" w:rsidRPr="008C10B7">
        <w:rPr>
          <w:rFonts w:cs="Times New Roman"/>
          <w:sz w:val="22"/>
          <w:szCs w:val="22"/>
        </w:rPr>
        <w:instrText>ADDIN CSL_CITATION {"citationItems":[{"id":"ITEM-1","itemData":{"DOI":"10.1186/s12889-016-3264-x","ISSN":"14712458","PMID":"27516181","abstract":"Background: The current political agenda aims to promote active environments and physical activity while commuting to work, but research on it has provided mixed results. This study examines whether the proximity of green space and people's residence in different travel-related urban zones contributes to commuting physical activity. Methods: Population-based cross-sectional health examination survey, Health 2011 study, and geographical information system (GIS) data were utilized. The GIS data on green space and travel-related urban zones were linked to the individuals of the Health 2011 study, based on their home geocoordinates. Commuting physical activity was self-reported. Logistic regression models were applied, and age, gender, education, leisure-time and occupational physical activity were adjusted. Analyses were limited to those of working age, living in the core-urban areas of Finland and having completed information on commuting physical activity (n = 2 098). Results: Home location in a pedestrian zone of a main centre (odds ratio = 1.63; 95 % confidence interval = 1.06-2.51) or a pedestrian zone of a sub-centre (2.03; 1.09-3.80) and higher proportion of cycling and pedestrian networks (3.28; 1.71-6.31) contributed to higher levels of commuting physical activity. The contribution remained after adjusting for all the environmental attributes and individuals. Based on interaction analyses, women living in a public transport zone were almost two times more likely to be physically active while commuting compared to men. A high proportion of recreational green space contributed negatively to the levels of commuting physical activity (0.73; 0.57-0.94) after adjusting for several background factors. Based on interaction analyses, individuals aged from 44 to 54 years and living in sub-centres, men living in pedestrian zones of sub-centres, and those individuals who are physically inactive during leisure-time were less likely to be physically active while commuting. Conclusions: Good pedestrian and cycling infrastructure may play an important role in promoting commuting physical activity among the employed population, regardless of educational background, leisure-time and occupational physical activity. Close proximity to green space and a high proportion of green space near the home may not be sufficient to initiate commuting physical activity in Finland, where homes surrounded by green areas are often situated in car-oriented zones far from work places.","author":[{"dropping-particle":"","family":"Mäki-Opas","given":"Tomi E.","non-dropping-particle":"","parse-names":false,"suffix":""},{"dropping-particle":"","family":"Borodulin","given":"Katja","non-dropping-particle":"","parse-names":false,"suffix":""},{"dropping-particle":"","family":"Valkeinen","given":"Heli","non-dropping-particle":"","parse-names":false,"suffix":""},{"dropping-particle":"","family":"Stenholm","given":"Sari","non-dropping-particle":"","parse-names":false,"suffix":""},{"dropping-particle":"","family":"Kunst","given":"Anton E.","non-dropping-particle":"","parse-names":false,"suffix":""},{"dropping-particle":"","family":"Abel","given":"Thomas","non-dropping-particle":"","parse-names":false,"suffix":""},{"dropping-particle":"","family":"Härkänen","given":"Tommi","non-dropping-particle":"","parse-names":false,"suffix":""},{"dropping-particle":"","family":"Kopperoinen","given":"Leena","non-dropping-particle":"","parse-names":false,"suffix":""},{"dropping-particle":"","family":"Itkonen","given":"Pekka","non-dropping-particle":"","parse-names":false,"suffix":""},{"dropping-particle":"","family":"Prättälä","given":"Ritva","non-dropping-particle":"","parse-names":false,"suffix":""},{"dropping-particle":"","family":"Karvonen","given":"Sakari","non-dropping-particle":"","parse-names":false,"suffix":""},{"dropping-particle":"","family":"Koskinen","given":"Seppo","non-dropping-particle":"","parse-names":false,"suffix":""}],"container-title":"BMC Public Health","id":"ITEM-1","issue":"1","issued":{"date-parts":[["2016","8","11"]]},"page":"760","publisher":"BioMed Central Ltd.","title":"The contribution of travel-related urban zones, cycling and pedestrian networks and green space to commuting physical activity among adults - A cross-sectional population-based study using geographical information systems","type":"article-journal","volume":"16"},"uris":["http://www.mendeley.com/documents/?uuid=e9567e8f-cf5b-3e10-af94-a3a91804e1ce"]}],"mendeley":{"formattedCitation":"(Mäki-Opas et al., 2016)","manualFormatting":"Mäki-Opas et al. (2016)","plainTextFormattedCitation":"(Mäki-Opas et al., 2016)","previouslyFormattedCitation":"(Mäki-Opas et al., 2016)"},"properties":{"noteIndex":0},"schema":"https://github.com/citation-style-language/schema/raw/master/csl-citation.json"}</w:instrText>
      </w:r>
      <w:r w:rsidRPr="008C10B7">
        <w:rPr>
          <w:rFonts w:cs="Times New Roman"/>
          <w:sz w:val="22"/>
          <w:szCs w:val="22"/>
        </w:rPr>
        <w:fldChar w:fldCharType="separate"/>
      </w:r>
      <w:r w:rsidRPr="008C10B7">
        <w:rPr>
          <w:rFonts w:cs="Times New Roman"/>
          <w:sz w:val="22"/>
          <w:szCs w:val="22"/>
        </w:rPr>
        <w:t>Mäki-Opas et al. (2016)</w:t>
      </w:r>
      <w:r w:rsidRPr="008C10B7">
        <w:rPr>
          <w:rFonts w:cs="Times New Roman"/>
          <w:sz w:val="22"/>
          <w:szCs w:val="22"/>
        </w:rPr>
        <w:fldChar w:fldCharType="end"/>
      </w:r>
      <w:r w:rsidRPr="008C10B7">
        <w:rPr>
          <w:rFonts w:cs="Times New Roman"/>
          <w:sz w:val="22"/>
          <w:szCs w:val="22"/>
        </w:rPr>
        <w:t xml:space="preserve"> found that green space </w:t>
      </w:r>
      <w:r w:rsidR="00A9673B" w:rsidRPr="008C10B7">
        <w:rPr>
          <w:rFonts w:cs="Times New Roman"/>
          <w:sz w:val="22"/>
          <w:szCs w:val="22"/>
        </w:rPr>
        <w:t xml:space="preserve">is </w:t>
      </w:r>
      <w:r w:rsidRPr="008C10B7">
        <w:rPr>
          <w:rFonts w:cs="Times New Roman"/>
          <w:sz w:val="22"/>
          <w:szCs w:val="22"/>
        </w:rPr>
        <w:t>significantly negatively associated with walking time. However, these studies use</w:t>
      </w:r>
      <w:r w:rsidR="00A9673B" w:rsidRPr="008C10B7">
        <w:rPr>
          <w:rFonts w:cs="Times New Roman"/>
          <w:sz w:val="22"/>
          <w:szCs w:val="22"/>
        </w:rPr>
        <w:t>d</w:t>
      </w:r>
      <w:r w:rsidRPr="008C10B7">
        <w:rPr>
          <w:rFonts w:cs="Times New Roman"/>
          <w:sz w:val="22"/>
          <w:szCs w:val="22"/>
        </w:rPr>
        <w:t xml:space="preserve"> remote sensing data</w:t>
      </w:r>
      <w:r w:rsidR="00A9673B" w:rsidRPr="008C10B7">
        <w:rPr>
          <w:rFonts w:cs="Times New Roman"/>
          <w:sz w:val="22"/>
          <w:szCs w:val="22"/>
        </w:rPr>
        <w:t xml:space="preserve"> as the measurement methods and</w:t>
      </w:r>
      <w:r w:rsidR="00C64CE9" w:rsidRPr="008C10B7">
        <w:rPr>
          <w:rFonts w:cs="Times New Roman"/>
          <w:sz w:val="22"/>
          <w:szCs w:val="22"/>
        </w:rPr>
        <w:t>,</w:t>
      </w:r>
      <w:r w:rsidR="00A9673B" w:rsidRPr="008C10B7">
        <w:rPr>
          <w:rFonts w:cs="Times New Roman"/>
          <w:sz w:val="22"/>
          <w:szCs w:val="22"/>
        </w:rPr>
        <w:t xml:space="preserve"> </w:t>
      </w:r>
      <w:r w:rsidR="00C64CE9" w:rsidRPr="008C10B7">
        <w:rPr>
          <w:rFonts w:cs="Times New Roman"/>
          <w:sz w:val="22"/>
          <w:szCs w:val="22"/>
        </w:rPr>
        <w:t>consequentl</w:t>
      </w:r>
      <w:r w:rsidR="00A9673B" w:rsidRPr="008C10B7">
        <w:rPr>
          <w:rFonts w:cs="Times New Roman"/>
          <w:sz w:val="22"/>
          <w:szCs w:val="22"/>
        </w:rPr>
        <w:t>y, they</w:t>
      </w:r>
      <w:r w:rsidRPr="008C10B7">
        <w:rPr>
          <w:rFonts w:cs="Times New Roman"/>
          <w:sz w:val="22"/>
          <w:szCs w:val="22"/>
        </w:rPr>
        <w:t xml:space="preserve"> </w:t>
      </w:r>
      <w:r w:rsidR="00C42D92" w:rsidRPr="008C10B7">
        <w:rPr>
          <w:rFonts w:cs="Times New Roman"/>
          <w:sz w:val="22"/>
          <w:szCs w:val="22"/>
        </w:rPr>
        <w:t xml:space="preserve">may </w:t>
      </w:r>
      <w:r w:rsidR="00C64CE9" w:rsidRPr="008C10B7">
        <w:rPr>
          <w:rFonts w:cs="Times New Roman"/>
          <w:sz w:val="22"/>
          <w:szCs w:val="22"/>
        </w:rPr>
        <w:t>not provide an accurate picture</w:t>
      </w:r>
      <w:r w:rsidR="00FF380A" w:rsidRPr="008C10B7">
        <w:rPr>
          <w:rFonts w:cs="Times New Roman"/>
          <w:sz w:val="22"/>
          <w:szCs w:val="22"/>
        </w:rPr>
        <w:t xml:space="preserve"> </w:t>
      </w:r>
      <w:r w:rsidRPr="008C10B7">
        <w:rPr>
          <w:rFonts w:cs="Times New Roman"/>
          <w:sz w:val="22"/>
          <w:szCs w:val="22"/>
        </w:rPr>
        <w:t xml:space="preserve">of the </w:t>
      </w:r>
      <w:r w:rsidR="00FF380A" w:rsidRPr="008C10B7">
        <w:rPr>
          <w:rFonts w:cs="Times New Roman"/>
          <w:sz w:val="22"/>
          <w:szCs w:val="22"/>
        </w:rPr>
        <w:t>green space</w:t>
      </w:r>
      <w:r w:rsidRPr="008C10B7">
        <w:rPr>
          <w:rFonts w:cs="Times New Roman"/>
          <w:sz w:val="22"/>
          <w:szCs w:val="22"/>
        </w:rPr>
        <w:t>, nor do they assess the qua</w:t>
      </w:r>
      <w:r w:rsidR="00FF380A" w:rsidRPr="008C10B7">
        <w:rPr>
          <w:rFonts w:cs="Times New Roman"/>
          <w:sz w:val="22"/>
          <w:szCs w:val="22"/>
        </w:rPr>
        <w:t>li</w:t>
      </w:r>
      <w:r w:rsidRPr="008C10B7">
        <w:rPr>
          <w:rFonts w:cs="Times New Roman"/>
          <w:sz w:val="22"/>
          <w:szCs w:val="22"/>
        </w:rPr>
        <w:t xml:space="preserve">ty of the green environment. </w:t>
      </w:r>
      <w:r w:rsidR="00A9673B" w:rsidRPr="008C10B7">
        <w:rPr>
          <w:rFonts w:cs="Times New Roman"/>
          <w:sz w:val="22"/>
          <w:szCs w:val="22"/>
        </w:rPr>
        <w:t>However</w:t>
      </w:r>
      <w:r w:rsidR="00FF380A" w:rsidRPr="008C10B7">
        <w:rPr>
          <w:rFonts w:cs="Times New Roman"/>
          <w:sz w:val="22"/>
          <w:szCs w:val="22"/>
        </w:rPr>
        <w:t>, the green spaces on closed university campuses are scattered</w:t>
      </w:r>
      <w:r w:rsidR="008A7787" w:rsidRPr="008C10B7">
        <w:rPr>
          <w:rFonts w:cs="Times New Roman"/>
          <w:sz w:val="22"/>
          <w:szCs w:val="22"/>
        </w:rPr>
        <w:t>,</w:t>
      </w:r>
      <w:r w:rsidR="00FF380A" w:rsidRPr="008C10B7">
        <w:rPr>
          <w:rFonts w:cs="Times New Roman"/>
          <w:sz w:val="22"/>
          <w:szCs w:val="22"/>
        </w:rPr>
        <w:t xml:space="preserve"> and most of them </w:t>
      </w:r>
      <w:r w:rsidR="00C64CE9" w:rsidRPr="008C10B7">
        <w:rPr>
          <w:rFonts w:cs="Times New Roman"/>
          <w:sz w:val="22"/>
          <w:szCs w:val="22"/>
        </w:rPr>
        <w:t xml:space="preserve">take the form of </w:t>
      </w:r>
      <w:r w:rsidR="00FF380A" w:rsidRPr="008C10B7">
        <w:rPr>
          <w:rFonts w:cs="Times New Roman"/>
          <w:sz w:val="22"/>
          <w:szCs w:val="22"/>
        </w:rPr>
        <w:t xml:space="preserve">street greenery. This may also have </w:t>
      </w:r>
      <w:r w:rsidR="008A7787" w:rsidRPr="008C10B7">
        <w:rPr>
          <w:rFonts w:cs="Times New Roman"/>
          <w:sz w:val="22"/>
          <w:szCs w:val="22"/>
        </w:rPr>
        <w:t xml:space="preserve">an </w:t>
      </w:r>
      <w:r w:rsidR="00FF380A" w:rsidRPr="008C10B7">
        <w:rPr>
          <w:rFonts w:cs="Times New Roman"/>
          <w:sz w:val="22"/>
          <w:szCs w:val="22"/>
        </w:rPr>
        <w:t xml:space="preserve">impact on the green space assessed </w:t>
      </w:r>
      <w:r w:rsidR="00A9673B" w:rsidRPr="008C10B7">
        <w:rPr>
          <w:rFonts w:cs="Times New Roman"/>
          <w:sz w:val="22"/>
          <w:szCs w:val="22"/>
        </w:rPr>
        <w:t>using</w:t>
      </w:r>
      <w:r w:rsidR="00FF380A" w:rsidRPr="008C10B7">
        <w:rPr>
          <w:rFonts w:cs="Times New Roman"/>
          <w:sz w:val="22"/>
          <w:szCs w:val="22"/>
        </w:rPr>
        <w:t xml:space="preserve"> remote sensing.</w:t>
      </w:r>
    </w:p>
    <w:p w14:paraId="5E82E862" w14:textId="77777777" w:rsidR="004D3D6C" w:rsidRPr="008C10B7" w:rsidRDefault="004D3D6C" w:rsidP="00E7001C">
      <w:pPr>
        <w:spacing w:line="360" w:lineRule="auto"/>
        <w:jc w:val="both"/>
        <w:rPr>
          <w:rFonts w:cs="Times New Roman"/>
          <w:sz w:val="22"/>
          <w:szCs w:val="22"/>
        </w:rPr>
      </w:pPr>
    </w:p>
    <w:p w14:paraId="5F19E286" w14:textId="11C17F2C" w:rsidR="004D3D6C" w:rsidRPr="008C10B7" w:rsidRDefault="00711121" w:rsidP="00E7001C">
      <w:pPr>
        <w:pStyle w:val="Heading2"/>
        <w:keepNext/>
        <w:keepLines/>
        <w:spacing w:before="0" w:beforeAutospacing="0" w:after="0" w:afterAutospacing="0" w:line="360" w:lineRule="auto"/>
        <w:jc w:val="both"/>
        <w:rPr>
          <w:rFonts w:eastAsiaTheme="majorEastAsia" w:cstheme="majorHAnsi"/>
          <w:b w:val="0"/>
          <w:i/>
          <w:iCs/>
          <w:sz w:val="22"/>
          <w:szCs w:val="32"/>
          <w:lang w:val="en-GB" w:eastAsia="en-US"/>
        </w:rPr>
      </w:pPr>
      <w:bookmarkStart w:id="67" w:name="_Toc78625159"/>
      <w:r w:rsidRPr="008C10B7">
        <w:rPr>
          <w:rFonts w:eastAsiaTheme="majorEastAsia" w:cstheme="majorHAnsi"/>
          <w:b w:val="0"/>
          <w:i/>
          <w:iCs/>
          <w:sz w:val="22"/>
          <w:szCs w:val="22"/>
          <w:lang w:val="en-GB" w:eastAsia="en-US"/>
        </w:rPr>
        <w:t>5.</w:t>
      </w:r>
      <w:r w:rsidR="00764EDF" w:rsidRPr="008C10B7">
        <w:rPr>
          <w:rFonts w:eastAsiaTheme="majorEastAsia" w:cstheme="majorHAnsi"/>
          <w:b w:val="0"/>
          <w:i/>
          <w:iCs/>
          <w:sz w:val="22"/>
          <w:szCs w:val="22"/>
          <w:lang w:val="en-GB" w:eastAsia="en-US"/>
        </w:rPr>
        <w:t>3</w:t>
      </w:r>
      <w:r w:rsidR="00C234EB" w:rsidRPr="008C10B7">
        <w:rPr>
          <w:rFonts w:eastAsiaTheme="majorEastAsia" w:cstheme="majorHAnsi"/>
          <w:b w:val="0"/>
          <w:i/>
          <w:iCs/>
          <w:sz w:val="22"/>
          <w:szCs w:val="22"/>
          <w:lang w:val="en-GB" w:eastAsia="en-US"/>
        </w:rPr>
        <w:t>.</w:t>
      </w:r>
      <w:r w:rsidR="00262E9E" w:rsidRPr="008C10B7">
        <w:rPr>
          <w:rFonts w:eastAsiaTheme="majorEastAsia" w:cstheme="majorHAnsi"/>
          <w:b w:val="0"/>
          <w:i/>
          <w:iCs/>
          <w:sz w:val="22"/>
          <w:szCs w:val="22"/>
          <w:lang w:val="en-GB" w:eastAsia="en-US"/>
        </w:rPr>
        <w:tab/>
      </w:r>
      <w:r w:rsidRPr="008C10B7">
        <w:rPr>
          <w:rFonts w:eastAsiaTheme="majorEastAsia" w:cstheme="majorHAnsi"/>
          <w:b w:val="0"/>
          <w:i/>
          <w:iCs/>
          <w:sz w:val="22"/>
          <w:szCs w:val="22"/>
          <w:lang w:val="en-GB" w:eastAsia="en-US"/>
        </w:rPr>
        <w:t xml:space="preserve">Implications for </w:t>
      </w:r>
      <w:r w:rsidR="005F39AE" w:rsidRPr="008C10B7">
        <w:rPr>
          <w:rFonts w:eastAsiaTheme="majorEastAsia" w:cstheme="majorHAnsi"/>
          <w:b w:val="0"/>
          <w:i/>
          <w:iCs/>
          <w:sz w:val="22"/>
          <w:szCs w:val="22"/>
          <w:lang w:val="en-GB" w:eastAsia="en-US"/>
        </w:rPr>
        <w:t>urban design and planning</w:t>
      </w:r>
      <w:bookmarkEnd w:id="67"/>
    </w:p>
    <w:p w14:paraId="7F14103C" w14:textId="443507D4" w:rsidR="004D3D6C" w:rsidRPr="008C10B7" w:rsidRDefault="00711121" w:rsidP="008C645A">
      <w:pPr>
        <w:spacing w:line="360" w:lineRule="auto"/>
        <w:jc w:val="both"/>
        <w:rPr>
          <w:rFonts w:cs="Times New Roman"/>
          <w:sz w:val="22"/>
          <w:szCs w:val="22"/>
        </w:rPr>
      </w:pPr>
      <w:r w:rsidRPr="008C10B7">
        <w:rPr>
          <w:rFonts w:cs="Times New Roman"/>
          <w:sz w:val="22"/>
          <w:szCs w:val="22"/>
        </w:rPr>
        <w:t xml:space="preserve">As a study </w:t>
      </w:r>
      <w:r w:rsidR="00EB069E" w:rsidRPr="008C10B7">
        <w:rPr>
          <w:rFonts w:cs="Times New Roman"/>
          <w:sz w:val="22"/>
          <w:szCs w:val="22"/>
        </w:rPr>
        <w:t xml:space="preserve">that </w:t>
      </w:r>
      <w:r w:rsidRPr="008C10B7">
        <w:rPr>
          <w:rFonts w:cs="Times New Roman"/>
          <w:sz w:val="22"/>
          <w:szCs w:val="22"/>
        </w:rPr>
        <w:t>explor</w:t>
      </w:r>
      <w:r w:rsidR="00EB069E" w:rsidRPr="008C10B7">
        <w:rPr>
          <w:rFonts w:cs="Times New Roman"/>
          <w:sz w:val="22"/>
          <w:szCs w:val="22"/>
        </w:rPr>
        <w:t>es</w:t>
      </w:r>
      <w:r w:rsidRPr="008C10B7">
        <w:rPr>
          <w:rFonts w:cs="Times New Roman"/>
          <w:sz w:val="22"/>
          <w:szCs w:val="22"/>
        </w:rPr>
        <w:t xml:space="preserve"> gated university campuses in China, several conclusions can be drawn about urban planning based on the findings. First, green space on streets within Chinese university campuses can have a positive impact on </w:t>
      </w:r>
      <w:r w:rsidR="0030654E" w:rsidRPr="008C10B7">
        <w:rPr>
          <w:rFonts w:cs="Times New Roman"/>
          <w:sz w:val="22"/>
          <w:szCs w:val="22"/>
        </w:rPr>
        <w:t>AT</w:t>
      </w:r>
      <w:r w:rsidRPr="008C10B7">
        <w:rPr>
          <w:rFonts w:cs="Times New Roman"/>
          <w:sz w:val="22"/>
          <w:szCs w:val="22"/>
        </w:rPr>
        <w:t xml:space="preserve">. </w:t>
      </w:r>
      <w:proofErr w:type="gramStart"/>
      <w:r w:rsidR="00DD27CF" w:rsidRPr="008C10B7">
        <w:rPr>
          <w:rFonts w:cs="Times New Roman"/>
          <w:sz w:val="22"/>
          <w:szCs w:val="22"/>
        </w:rPr>
        <w:t>In order to</w:t>
      </w:r>
      <w:proofErr w:type="gramEnd"/>
      <w:r w:rsidR="00DD27CF" w:rsidRPr="008C10B7">
        <w:rPr>
          <w:rFonts w:cs="Times New Roman"/>
          <w:sz w:val="22"/>
          <w:szCs w:val="22"/>
        </w:rPr>
        <w:t xml:space="preserve"> </w:t>
      </w:r>
      <w:r w:rsidRPr="008C10B7">
        <w:rPr>
          <w:rFonts w:cs="Times New Roman"/>
          <w:sz w:val="22"/>
          <w:szCs w:val="22"/>
        </w:rPr>
        <w:t xml:space="preserve">build environmentally friendly and sustainable cities, urban planners and designers </w:t>
      </w:r>
      <w:r w:rsidR="005F39AE" w:rsidRPr="008C10B7">
        <w:rPr>
          <w:rFonts w:cs="Times New Roman"/>
          <w:sz w:val="22"/>
          <w:szCs w:val="22"/>
        </w:rPr>
        <w:t xml:space="preserve">need to focus on </w:t>
      </w:r>
      <w:r w:rsidRPr="008C10B7">
        <w:rPr>
          <w:rFonts w:cs="Times New Roman"/>
          <w:sz w:val="22"/>
          <w:szCs w:val="22"/>
        </w:rPr>
        <w:t xml:space="preserve">the use of accessible green spaces in cities. </w:t>
      </w:r>
      <w:r w:rsidR="00DD27CF" w:rsidRPr="008C10B7">
        <w:rPr>
          <w:rFonts w:cs="Times New Roman"/>
          <w:sz w:val="22"/>
          <w:szCs w:val="22"/>
        </w:rPr>
        <w:t xml:space="preserve">Therefore, it is necessary to increase </w:t>
      </w:r>
      <w:r w:rsidRPr="008C10B7">
        <w:rPr>
          <w:rFonts w:cs="Times New Roman"/>
          <w:sz w:val="22"/>
          <w:szCs w:val="22"/>
        </w:rPr>
        <w:t xml:space="preserve">the quality and quantity of green spaces that citizens are exposed to </w:t>
      </w:r>
      <w:r w:rsidR="00C42D92" w:rsidRPr="008C10B7">
        <w:rPr>
          <w:rFonts w:cs="Times New Roman"/>
          <w:sz w:val="22"/>
          <w:szCs w:val="22"/>
        </w:rPr>
        <w:t>(</w:t>
      </w:r>
      <w:r w:rsidR="00A33027" w:rsidRPr="008C10B7">
        <w:rPr>
          <w:rFonts w:cs="Times New Roman"/>
          <w:sz w:val="22"/>
          <w:szCs w:val="22"/>
        </w:rPr>
        <w:t>Ta et al., 2021</w:t>
      </w:r>
      <w:r w:rsidR="00C42D92" w:rsidRPr="008C10B7">
        <w:rPr>
          <w:rFonts w:cs="Times New Roman"/>
          <w:sz w:val="22"/>
          <w:szCs w:val="22"/>
        </w:rPr>
        <w:t>)</w:t>
      </w:r>
      <w:r w:rsidRPr="008C10B7">
        <w:rPr>
          <w:rFonts w:cs="Times New Roman"/>
          <w:sz w:val="22"/>
          <w:szCs w:val="22"/>
        </w:rPr>
        <w:t>, rather than simply increasing the number of parks</w:t>
      </w:r>
      <w:r w:rsidR="008A7787" w:rsidRPr="008C10B7">
        <w:rPr>
          <w:rFonts w:cs="Times New Roman"/>
          <w:sz w:val="22"/>
          <w:szCs w:val="22"/>
        </w:rPr>
        <w:t>, which</w:t>
      </w:r>
      <w:r w:rsidRPr="008C10B7">
        <w:rPr>
          <w:rFonts w:cs="Times New Roman"/>
          <w:sz w:val="22"/>
          <w:szCs w:val="22"/>
        </w:rPr>
        <w:t xml:space="preserve"> ha</w:t>
      </w:r>
      <w:r w:rsidR="005F39AE" w:rsidRPr="008C10B7">
        <w:rPr>
          <w:rFonts w:cs="Times New Roman"/>
          <w:sz w:val="22"/>
          <w:szCs w:val="22"/>
        </w:rPr>
        <w:t>s</w:t>
      </w:r>
      <w:r w:rsidRPr="008C10B7">
        <w:rPr>
          <w:rFonts w:cs="Times New Roman"/>
          <w:sz w:val="22"/>
          <w:szCs w:val="22"/>
        </w:rPr>
        <w:t xml:space="preserve"> been the case in the past. </w:t>
      </w:r>
      <w:bookmarkStart w:id="68" w:name="_Hlk100825916"/>
      <w:r w:rsidR="00EE56D4">
        <w:rPr>
          <w:sz w:val="22"/>
          <w:szCs w:val="22"/>
        </w:rPr>
        <w:t>This argument is also in line with Zhou et al.’s (2022) findings shown that</w:t>
      </w:r>
      <w:r w:rsidR="00EE56D4" w:rsidRPr="00EE56D4">
        <w:rPr>
          <w:sz w:val="22"/>
          <w:szCs w:val="22"/>
        </w:rPr>
        <w:t xml:space="preserve"> simply increasing urban built environment areas is not effective in improving travel times</w:t>
      </w:r>
      <w:r w:rsidR="0028092E">
        <w:rPr>
          <w:rStyle w:val="reference-citation-wrapper"/>
          <w:sz w:val="22"/>
          <w:szCs w:val="22"/>
        </w:rPr>
        <w:t>.</w:t>
      </w:r>
      <w:r w:rsidR="00EE56D4" w:rsidRPr="00EE56D4">
        <w:rPr>
          <w:rStyle w:val="reference-citation-wrapper"/>
          <w:sz w:val="22"/>
          <w:szCs w:val="22"/>
        </w:rPr>
        <w:t xml:space="preserve"> </w:t>
      </w:r>
      <w:r w:rsidR="005140A2" w:rsidRPr="008C10B7">
        <w:rPr>
          <w:rFonts w:cs="Times New Roman"/>
          <w:sz w:val="22"/>
          <w:szCs w:val="22"/>
        </w:rPr>
        <w:t xml:space="preserve">This </w:t>
      </w:r>
      <w:r w:rsidR="0076241D" w:rsidRPr="008C10B7">
        <w:rPr>
          <w:rFonts w:cs="Times New Roman"/>
          <w:sz w:val="22"/>
          <w:szCs w:val="22"/>
        </w:rPr>
        <w:t xml:space="preserve">could </w:t>
      </w:r>
      <w:r w:rsidR="005140A2" w:rsidRPr="008C10B7">
        <w:rPr>
          <w:rFonts w:cs="Times New Roman"/>
          <w:sz w:val="22"/>
          <w:szCs w:val="22"/>
        </w:rPr>
        <w:t xml:space="preserve">be </w:t>
      </w:r>
      <w:r w:rsidR="0076241D" w:rsidRPr="008C10B7">
        <w:rPr>
          <w:rFonts w:cs="Times New Roman"/>
          <w:sz w:val="22"/>
          <w:szCs w:val="22"/>
        </w:rPr>
        <w:t xml:space="preserve">done </w:t>
      </w:r>
      <w:r w:rsidR="005140A2" w:rsidRPr="008C10B7">
        <w:rPr>
          <w:rFonts w:cs="Times New Roman"/>
          <w:sz w:val="22"/>
          <w:szCs w:val="22"/>
        </w:rPr>
        <w:t>by</w:t>
      </w:r>
      <w:r w:rsidR="005140A2" w:rsidRPr="008C10B7">
        <w:t xml:space="preserve"> </w:t>
      </w:r>
      <w:r w:rsidR="005140A2" w:rsidRPr="008C10B7">
        <w:rPr>
          <w:rFonts w:cs="Times New Roman"/>
          <w:sz w:val="22"/>
          <w:szCs w:val="22"/>
        </w:rPr>
        <w:t xml:space="preserve">combining greenery with </w:t>
      </w:r>
      <w:r w:rsidR="0076241D" w:rsidRPr="008C10B7">
        <w:rPr>
          <w:rFonts w:cs="Times New Roman"/>
          <w:sz w:val="22"/>
          <w:szCs w:val="22"/>
        </w:rPr>
        <w:t xml:space="preserve">the </w:t>
      </w:r>
      <w:r w:rsidR="005140A2" w:rsidRPr="008C10B7">
        <w:rPr>
          <w:rFonts w:cs="Times New Roman"/>
          <w:sz w:val="22"/>
          <w:szCs w:val="22"/>
        </w:rPr>
        <w:t xml:space="preserve">travel </w:t>
      </w:r>
      <w:r w:rsidR="0076241D" w:rsidRPr="008C10B7">
        <w:rPr>
          <w:rFonts w:cs="Times New Roman"/>
          <w:sz w:val="22"/>
          <w:szCs w:val="22"/>
        </w:rPr>
        <w:t>routes that people commonly use,</w:t>
      </w:r>
      <w:r w:rsidR="005140A2" w:rsidRPr="008C10B7">
        <w:rPr>
          <w:rFonts w:cs="Times New Roman"/>
          <w:sz w:val="22"/>
          <w:szCs w:val="22"/>
        </w:rPr>
        <w:t xml:space="preserve"> </w:t>
      </w:r>
      <w:r w:rsidR="0076241D" w:rsidRPr="008C10B7">
        <w:rPr>
          <w:rFonts w:cs="Times New Roman"/>
          <w:sz w:val="22"/>
          <w:szCs w:val="22"/>
        </w:rPr>
        <w:t>f</w:t>
      </w:r>
      <w:r w:rsidR="005140A2" w:rsidRPr="008C10B7">
        <w:rPr>
          <w:rFonts w:cs="Times New Roman"/>
          <w:sz w:val="22"/>
          <w:szCs w:val="22"/>
        </w:rPr>
        <w:t xml:space="preserve">or instance, linking workplaces and residences by ecological </w:t>
      </w:r>
      <w:r w:rsidR="005140A2" w:rsidRPr="008C10B7">
        <w:rPr>
          <w:rFonts w:cs="Times New Roman"/>
          <w:sz w:val="22"/>
          <w:szCs w:val="22"/>
        </w:rPr>
        <w:lastRenderedPageBreak/>
        <w:t xml:space="preserve">corridors. However, further research is still needed </w:t>
      </w:r>
      <w:r w:rsidR="009E3DBF" w:rsidRPr="008C10B7">
        <w:rPr>
          <w:rFonts w:cs="Times New Roman"/>
          <w:sz w:val="22"/>
          <w:szCs w:val="22"/>
        </w:rPr>
        <w:t>to explore</w:t>
      </w:r>
      <w:r w:rsidR="005140A2" w:rsidRPr="008C10B7">
        <w:rPr>
          <w:rFonts w:cs="Times New Roman"/>
          <w:sz w:val="22"/>
          <w:szCs w:val="22"/>
        </w:rPr>
        <w:t xml:space="preserve"> </w:t>
      </w:r>
      <w:r w:rsidR="0076241D" w:rsidRPr="008C10B7">
        <w:rPr>
          <w:rFonts w:cs="Times New Roman"/>
          <w:sz w:val="22"/>
          <w:szCs w:val="22"/>
        </w:rPr>
        <w:t xml:space="preserve">what measures would be most effective at increasing </w:t>
      </w:r>
      <w:r w:rsidR="005140A2" w:rsidRPr="008C10B7">
        <w:rPr>
          <w:rFonts w:cs="Times New Roman"/>
          <w:sz w:val="22"/>
          <w:szCs w:val="22"/>
        </w:rPr>
        <w:t xml:space="preserve">people's exposure to greenery. </w:t>
      </w:r>
      <w:bookmarkEnd w:id="68"/>
      <w:r w:rsidRPr="008C10B7">
        <w:rPr>
          <w:rFonts w:cs="Times New Roman"/>
          <w:sz w:val="22"/>
          <w:szCs w:val="22"/>
        </w:rPr>
        <w:t xml:space="preserve">Second, this study </w:t>
      </w:r>
      <w:r w:rsidR="005F39AE" w:rsidRPr="008C10B7">
        <w:rPr>
          <w:rFonts w:cs="Times New Roman"/>
          <w:sz w:val="22"/>
          <w:szCs w:val="22"/>
        </w:rPr>
        <w:t xml:space="preserve">demonstrates </w:t>
      </w:r>
      <w:r w:rsidRPr="008C10B7">
        <w:rPr>
          <w:rFonts w:cs="Times New Roman"/>
          <w:sz w:val="22"/>
          <w:szCs w:val="22"/>
        </w:rPr>
        <w:t xml:space="preserve">that </w:t>
      </w:r>
      <w:r w:rsidR="00DD27CF" w:rsidRPr="008C10B7">
        <w:rPr>
          <w:rFonts w:cs="Times New Roman"/>
          <w:sz w:val="22"/>
          <w:szCs w:val="22"/>
        </w:rPr>
        <w:t xml:space="preserve">the tendency to use </w:t>
      </w:r>
      <w:r w:rsidR="005F39AE" w:rsidRPr="008C10B7">
        <w:rPr>
          <w:rFonts w:cs="Times New Roman"/>
          <w:sz w:val="22"/>
          <w:szCs w:val="22"/>
        </w:rPr>
        <w:t xml:space="preserve">AT </w:t>
      </w:r>
      <w:r w:rsidRPr="008C10B7">
        <w:rPr>
          <w:rFonts w:cs="Times New Roman"/>
          <w:sz w:val="22"/>
          <w:szCs w:val="22"/>
        </w:rPr>
        <w:t xml:space="preserve">is influenced by bicycle ownership. The lack of a good cycle path system in urban areas may </w:t>
      </w:r>
      <w:r w:rsidR="00DD27CF" w:rsidRPr="008C10B7">
        <w:rPr>
          <w:rFonts w:cs="Times New Roman"/>
          <w:sz w:val="22"/>
          <w:szCs w:val="22"/>
        </w:rPr>
        <w:t xml:space="preserve">restrict </w:t>
      </w:r>
      <w:r w:rsidRPr="008C10B7">
        <w:rPr>
          <w:rFonts w:cs="Times New Roman"/>
          <w:sz w:val="22"/>
          <w:szCs w:val="22"/>
        </w:rPr>
        <w:t>cycling trips due to</w:t>
      </w:r>
      <w:r w:rsidR="00DD27CF" w:rsidRPr="008C10B7">
        <w:rPr>
          <w:rFonts w:cs="Times New Roman"/>
          <w:sz w:val="22"/>
          <w:szCs w:val="22"/>
        </w:rPr>
        <w:t xml:space="preserve"> concerns about</w:t>
      </w:r>
      <w:r w:rsidRPr="008C10B7">
        <w:rPr>
          <w:rFonts w:cs="Times New Roman"/>
          <w:sz w:val="22"/>
          <w:szCs w:val="22"/>
        </w:rPr>
        <w:t xml:space="preserve"> traffic safety </w:t>
      </w:r>
      <w:r w:rsidRPr="008C10B7">
        <w:rPr>
          <w:rFonts w:cs="Times New Roman"/>
          <w:sz w:val="22"/>
          <w:szCs w:val="22"/>
        </w:rPr>
        <w:fldChar w:fldCharType="begin" w:fldLock="1"/>
      </w:r>
      <w:r w:rsidR="00B74AD7" w:rsidRPr="008C10B7">
        <w:rPr>
          <w:rFonts w:cs="Times New Roman"/>
          <w:sz w:val="22"/>
          <w:szCs w:val="22"/>
        </w:rPr>
        <w:instrText>ADDIN CSL_CITATION {"citationItems":[{"id":"ITEM-1","itemData":{"DOI":"10.1016/j.cities.2019.01.003","ISSN":"02642751","abstract":"Cycling is one type of physical activities with documented health and environmental benefits. Little consensus has been reached about the impacts of urban greenness on cycling behavior because of the widely varying estimation techniques, especially at street scale. We objectively measured the urban greenness in two ways: overhead-view greenness by Normalized Difference Vegetation Index (NDVI) and eye-level street greenness by Google Street View (GSV) images. Multilevel logistic regression models were used to examine the association between urban greenness and the odds of cycling (versus not cycling) for 5701 Hong Kong participants after controlling activity-influencing built environment and individual-level covariates. We found the odds of cycling were positively associated with eye-level street greenness but not with overhead-view greenness across three buffer zones: 400 m, 800 m and 1600 m. In addition, the odds of cycling were negatively associated with population density, number of bus stops, and terrain slope, while positively associated with bike lane density. To build a cycling-friendly city, planners and designers might need to pay more attention to improve citizens’ daily exposure to urban greenness, instead of traditional greenspace indices such as greenspace area or number of parks. The GSV technique is a novel and reliable method for measuring eye-level urban greenness with potential usage in further healthy city studies.","author":[{"dropping-particle":"","family":"Lu","given":"Yi","non-dropping-particle":"","parse-names":false,"suffix":""},{"dropping-particle":"","family":"Yang","given":"Yiyang","non-dropping-particle":"","parse-names":false,"suffix":""},{"dropping-particle":"","family":"Sun","given":"Guibo","non-dropping-particle":"","parse-names":false,"suffix":""},{"dropping-particle":"","family":"Gou","given":"Zhonghua","non-dropping-particle":"","parse-names":false,"suffix":""}],"container-title":"Cities","id":"ITEM-1","issued":{"date-parts":[["2019","5","1"]]},"page":"10-18","publisher":"Elsevier Ltd","title":"Associations between overhead-view and eye-level urban greenness and cycling behaviors","type":"article-journal","volume":"88"},"uris":["http://www.mendeley.com/documents/?uuid=cc7f8048-112d-3a41-8013-69e57e493902"]}],"mendeley":{"formattedCitation":"(Lu et al., 2019)","plainTextFormattedCitation":"(Lu et al., 2019)","previouslyFormattedCitation":"(Lu et al., 2019)"},"properties":{"noteIndex":0},"schema":"https://github.com/citation-style-language/schema/raw/master/csl-citation.json"}</w:instrText>
      </w:r>
      <w:r w:rsidRPr="008C10B7">
        <w:rPr>
          <w:rFonts w:cs="Times New Roman"/>
          <w:sz w:val="22"/>
          <w:szCs w:val="22"/>
        </w:rPr>
        <w:fldChar w:fldCharType="separate"/>
      </w:r>
      <w:r w:rsidR="008C7EFD" w:rsidRPr="008C10B7">
        <w:rPr>
          <w:rFonts w:cs="Times New Roman"/>
          <w:sz w:val="22"/>
          <w:szCs w:val="22"/>
        </w:rPr>
        <w:t>(Lu et al., 2019</w:t>
      </w:r>
      <w:r w:rsidR="008D0E59" w:rsidRPr="008C10B7">
        <w:rPr>
          <w:rFonts w:cs="Times New Roman"/>
          <w:sz w:val="22"/>
          <w:szCs w:val="22"/>
        </w:rPr>
        <w:t>b</w:t>
      </w:r>
      <w:r w:rsidR="008C7EFD" w:rsidRPr="008C10B7">
        <w:rPr>
          <w:rFonts w:cs="Times New Roman"/>
          <w:sz w:val="22"/>
          <w:szCs w:val="22"/>
        </w:rPr>
        <w:t>)</w:t>
      </w:r>
      <w:r w:rsidRPr="008C10B7">
        <w:rPr>
          <w:rFonts w:cs="Times New Roman"/>
          <w:sz w:val="22"/>
          <w:szCs w:val="22"/>
        </w:rPr>
        <w:fldChar w:fldCharType="end"/>
      </w:r>
      <w:r w:rsidRPr="008C10B7">
        <w:rPr>
          <w:rFonts w:cs="Times New Roman"/>
          <w:sz w:val="22"/>
          <w:szCs w:val="22"/>
        </w:rPr>
        <w:t>. Therefore, in addition to increasing</w:t>
      </w:r>
      <w:r w:rsidR="00DD27CF" w:rsidRPr="008C10B7">
        <w:rPr>
          <w:rFonts w:cs="Times New Roman"/>
          <w:sz w:val="22"/>
          <w:szCs w:val="22"/>
        </w:rPr>
        <w:t xml:space="preserve"> the amount of</w:t>
      </w:r>
      <w:r w:rsidRPr="008C10B7">
        <w:rPr>
          <w:rFonts w:cs="Times New Roman"/>
          <w:sz w:val="22"/>
          <w:szCs w:val="22"/>
        </w:rPr>
        <w:t xml:space="preserve"> accessible green exposure, urban planners should also improve </w:t>
      </w:r>
      <w:r w:rsidR="00DD27CF" w:rsidRPr="008C10B7">
        <w:rPr>
          <w:rFonts w:cs="Times New Roman"/>
          <w:sz w:val="22"/>
          <w:szCs w:val="22"/>
        </w:rPr>
        <w:t xml:space="preserve">conditions for </w:t>
      </w:r>
      <w:r w:rsidRPr="008C10B7">
        <w:rPr>
          <w:rFonts w:cs="Times New Roman"/>
          <w:sz w:val="22"/>
          <w:szCs w:val="22"/>
        </w:rPr>
        <w:t>cycling trips, including cycl</w:t>
      </w:r>
      <w:r w:rsidR="0076241D" w:rsidRPr="008C10B7">
        <w:rPr>
          <w:rFonts w:cs="Times New Roman"/>
          <w:sz w:val="22"/>
          <w:szCs w:val="22"/>
        </w:rPr>
        <w:t>e</w:t>
      </w:r>
      <w:r w:rsidRPr="008C10B7">
        <w:rPr>
          <w:rFonts w:cs="Times New Roman"/>
          <w:sz w:val="22"/>
          <w:szCs w:val="22"/>
        </w:rPr>
        <w:t xml:space="preserve"> routes, </w:t>
      </w:r>
      <w:r w:rsidR="00DD27CF" w:rsidRPr="008C10B7">
        <w:rPr>
          <w:rFonts w:cs="Times New Roman"/>
          <w:sz w:val="22"/>
          <w:szCs w:val="22"/>
        </w:rPr>
        <w:t xml:space="preserve">cycle </w:t>
      </w:r>
      <w:r w:rsidRPr="008C10B7">
        <w:rPr>
          <w:rFonts w:cs="Times New Roman"/>
          <w:sz w:val="22"/>
          <w:szCs w:val="22"/>
        </w:rPr>
        <w:t>lanes, and shortcuts. It is also possible to increase bicycle use effectively by linking street greenery, large green spaces</w:t>
      </w:r>
      <w:r w:rsidR="005F39AE" w:rsidRPr="008C10B7">
        <w:rPr>
          <w:rFonts w:cs="Times New Roman"/>
          <w:sz w:val="22"/>
          <w:szCs w:val="22"/>
        </w:rPr>
        <w:t>,</w:t>
      </w:r>
      <w:r w:rsidRPr="008C10B7">
        <w:rPr>
          <w:rFonts w:cs="Times New Roman"/>
          <w:sz w:val="22"/>
          <w:szCs w:val="22"/>
        </w:rPr>
        <w:t xml:space="preserve"> and other </w:t>
      </w:r>
      <w:r w:rsidR="00DD27CF" w:rsidRPr="008C10B7">
        <w:rPr>
          <w:rFonts w:cs="Times New Roman"/>
          <w:sz w:val="22"/>
          <w:szCs w:val="22"/>
        </w:rPr>
        <w:t xml:space="preserve">cycling </w:t>
      </w:r>
      <w:r w:rsidRPr="008C10B7">
        <w:rPr>
          <w:rFonts w:cs="Times New Roman"/>
          <w:sz w:val="22"/>
          <w:szCs w:val="22"/>
        </w:rPr>
        <w:t>infrastructure to create integrated bicycle networks.</w:t>
      </w:r>
      <w:r w:rsidR="00CF3AF0" w:rsidRPr="008C10B7">
        <w:rPr>
          <w:sz w:val="22"/>
          <w:szCs w:val="22"/>
        </w:rPr>
        <w:t xml:space="preserve"> </w:t>
      </w:r>
    </w:p>
    <w:p w14:paraId="01038172" w14:textId="321790F4" w:rsidR="0097494D" w:rsidRPr="008C10B7" w:rsidRDefault="0097494D" w:rsidP="00E7001C">
      <w:pPr>
        <w:spacing w:line="360" w:lineRule="auto"/>
        <w:jc w:val="both"/>
        <w:rPr>
          <w:rFonts w:cs="Times New Roman"/>
          <w:sz w:val="22"/>
          <w:szCs w:val="22"/>
        </w:rPr>
      </w:pPr>
    </w:p>
    <w:p w14:paraId="4133F3FF" w14:textId="339C2890" w:rsidR="00153B29" w:rsidRPr="008C10B7" w:rsidRDefault="00153B29" w:rsidP="00153B29">
      <w:pPr>
        <w:pStyle w:val="Heading2"/>
        <w:keepNext/>
        <w:keepLines/>
        <w:spacing w:before="0" w:beforeAutospacing="0" w:after="0" w:afterAutospacing="0" w:line="360" w:lineRule="auto"/>
        <w:jc w:val="both"/>
        <w:rPr>
          <w:rFonts w:eastAsiaTheme="majorEastAsia" w:cstheme="majorHAnsi"/>
          <w:b w:val="0"/>
          <w:i/>
          <w:iCs/>
          <w:sz w:val="22"/>
          <w:szCs w:val="32"/>
          <w:lang w:val="en-GB"/>
        </w:rPr>
      </w:pPr>
      <w:bookmarkStart w:id="69" w:name="_Hlk100823950"/>
      <w:r w:rsidRPr="008C10B7">
        <w:rPr>
          <w:rFonts w:eastAsiaTheme="majorEastAsia" w:cstheme="majorHAnsi"/>
          <w:b w:val="0"/>
          <w:i/>
          <w:iCs/>
          <w:sz w:val="22"/>
          <w:szCs w:val="22"/>
          <w:lang w:val="en-GB" w:eastAsia="en-US"/>
        </w:rPr>
        <w:t>5.4.</w:t>
      </w:r>
      <w:r w:rsidRPr="008C10B7">
        <w:rPr>
          <w:rFonts w:eastAsiaTheme="majorEastAsia" w:cstheme="majorHAnsi"/>
          <w:b w:val="0"/>
          <w:i/>
          <w:iCs/>
          <w:sz w:val="22"/>
          <w:szCs w:val="22"/>
          <w:lang w:val="en-GB" w:eastAsia="en-US"/>
        </w:rPr>
        <w:tab/>
        <w:t>Strength</w:t>
      </w:r>
      <w:r w:rsidRPr="008C10B7">
        <w:rPr>
          <w:rFonts w:eastAsiaTheme="majorEastAsia" w:cstheme="majorHAnsi" w:hint="eastAsia"/>
          <w:b w:val="0"/>
          <w:i/>
          <w:iCs/>
          <w:sz w:val="22"/>
          <w:szCs w:val="22"/>
          <w:lang w:val="en-GB"/>
        </w:rPr>
        <w:t>s</w:t>
      </w:r>
      <w:r w:rsidRPr="008C10B7">
        <w:rPr>
          <w:rFonts w:eastAsiaTheme="majorEastAsia" w:cstheme="majorHAnsi"/>
          <w:b w:val="0"/>
          <w:i/>
          <w:iCs/>
          <w:sz w:val="22"/>
          <w:szCs w:val="22"/>
          <w:lang w:val="en-GB"/>
        </w:rPr>
        <w:t xml:space="preserve"> and limitations</w:t>
      </w:r>
    </w:p>
    <w:p w14:paraId="7EC4D500" w14:textId="7FDA6232" w:rsidR="00153B29" w:rsidRPr="008C10B7" w:rsidRDefault="00153B29" w:rsidP="00153B29">
      <w:pPr>
        <w:spacing w:line="360" w:lineRule="auto"/>
        <w:jc w:val="both"/>
        <w:rPr>
          <w:rFonts w:cs="Times New Roman"/>
          <w:sz w:val="22"/>
          <w:szCs w:val="22"/>
        </w:rPr>
      </w:pPr>
      <w:r w:rsidRPr="008C10B7">
        <w:rPr>
          <w:rFonts w:cs="Times New Roman"/>
          <w:sz w:val="22"/>
          <w:szCs w:val="22"/>
        </w:rPr>
        <w:t xml:space="preserve">This study is one of the first to examine the relationship between natural outdoor green environments and active travel behaviour among university students on gated campuses in China. It has three strengths. Firstly, we measured </w:t>
      </w:r>
      <w:r w:rsidR="00EE31B6" w:rsidRPr="008C10B7">
        <w:rPr>
          <w:rFonts w:cs="Times New Roman"/>
          <w:sz w:val="22"/>
          <w:szCs w:val="22"/>
        </w:rPr>
        <w:t xml:space="preserve">exposure to the </w:t>
      </w:r>
      <w:r w:rsidRPr="008C10B7">
        <w:rPr>
          <w:rFonts w:cs="Times New Roman"/>
          <w:sz w:val="22"/>
          <w:szCs w:val="22"/>
        </w:rPr>
        <w:t xml:space="preserve">natural environment based on street-view images from the human-eye perspective. Secondly, we explored the association between street-level </w:t>
      </w:r>
      <w:r w:rsidR="00EE31B6" w:rsidRPr="008C10B7">
        <w:rPr>
          <w:rFonts w:cs="Times New Roman"/>
          <w:sz w:val="22"/>
          <w:szCs w:val="22"/>
        </w:rPr>
        <w:t xml:space="preserve">exposure to </w:t>
      </w:r>
      <w:r w:rsidRPr="008C10B7">
        <w:rPr>
          <w:rFonts w:cs="Times New Roman"/>
          <w:sz w:val="22"/>
          <w:szCs w:val="22"/>
        </w:rPr>
        <w:t>green</w:t>
      </w:r>
      <w:r w:rsidR="00EE31B6" w:rsidRPr="008C10B7">
        <w:rPr>
          <w:rFonts w:cs="Times New Roman"/>
          <w:sz w:val="22"/>
          <w:szCs w:val="22"/>
        </w:rPr>
        <w:t>ery</w:t>
      </w:r>
      <w:r w:rsidRPr="008C10B7">
        <w:rPr>
          <w:rFonts w:cs="Times New Roman"/>
          <w:sz w:val="22"/>
          <w:szCs w:val="22"/>
        </w:rPr>
        <w:t xml:space="preserve"> and active travel on Chinese university campuses and the influence of university students' travel characteristics on active travel behaviour. Thirdly, this study provided policymakers and urban planners with recommendations for creating an urban environment </w:t>
      </w:r>
      <w:r w:rsidR="008C2E03" w:rsidRPr="008C10B7">
        <w:rPr>
          <w:rFonts w:cs="Times New Roman"/>
          <w:sz w:val="22"/>
          <w:szCs w:val="22"/>
        </w:rPr>
        <w:t xml:space="preserve">that encourages </w:t>
      </w:r>
      <w:r w:rsidRPr="008C10B7">
        <w:rPr>
          <w:rFonts w:cs="Times New Roman"/>
          <w:sz w:val="22"/>
          <w:szCs w:val="22"/>
        </w:rPr>
        <w:t>green travel</w:t>
      </w:r>
      <w:r w:rsidR="008C645A" w:rsidRPr="008C10B7">
        <w:rPr>
          <w:rFonts w:cs="Times New Roman"/>
          <w:sz w:val="22"/>
          <w:szCs w:val="22"/>
        </w:rPr>
        <w:t>.</w:t>
      </w:r>
    </w:p>
    <w:p w14:paraId="788342DC" w14:textId="6232EAE1" w:rsidR="00153B29" w:rsidRPr="008C10B7" w:rsidRDefault="00153B29" w:rsidP="00617F79">
      <w:pPr>
        <w:spacing w:line="360" w:lineRule="auto"/>
        <w:ind w:firstLine="420"/>
        <w:jc w:val="both"/>
        <w:rPr>
          <w:rFonts w:cs="Times New Roman"/>
          <w:sz w:val="22"/>
          <w:szCs w:val="22"/>
        </w:rPr>
      </w:pPr>
      <w:r w:rsidRPr="008C10B7">
        <w:rPr>
          <w:rFonts w:cs="Times New Roman"/>
          <w:sz w:val="22"/>
          <w:szCs w:val="22"/>
        </w:rPr>
        <w:t xml:space="preserve">Our study also has several limitations. </w:t>
      </w:r>
      <w:bookmarkStart w:id="70" w:name="_Hlk100841835"/>
      <w:r w:rsidRPr="008C10B7">
        <w:rPr>
          <w:rFonts w:cs="Times New Roman"/>
          <w:sz w:val="22"/>
          <w:szCs w:val="22"/>
        </w:rPr>
        <w:t xml:space="preserve">Firstly, </w:t>
      </w:r>
      <w:r w:rsidR="008C2E03" w:rsidRPr="008C10B7">
        <w:rPr>
          <w:rFonts w:cs="Times New Roman"/>
          <w:sz w:val="22"/>
          <w:szCs w:val="22"/>
        </w:rPr>
        <w:t>it is set in a unique</w:t>
      </w:r>
      <w:r w:rsidR="00617F79" w:rsidRPr="008C10B7">
        <w:rPr>
          <w:rFonts w:cs="Times New Roman"/>
          <w:sz w:val="22"/>
          <w:szCs w:val="22"/>
        </w:rPr>
        <w:t xml:space="preserve"> built environment context </w:t>
      </w:r>
      <w:r w:rsidR="008C2E03" w:rsidRPr="008C10B7">
        <w:rPr>
          <w:rFonts w:cs="Times New Roman"/>
          <w:sz w:val="22"/>
          <w:szCs w:val="22"/>
        </w:rPr>
        <w:t>in</w:t>
      </w:r>
      <w:r w:rsidR="00617F79" w:rsidRPr="008C10B7">
        <w:rPr>
          <w:rFonts w:cs="Times New Roman"/>
          <w:sz w:val="22"/>
          <w:szCs w:val="22"/>
        </w:rPr>
        <w:t xml:space="preserve"> China, where university campuses are generally </w:t>
      </w:r>
      <w:r w:rsidR="00B26180" w:rsidRPr="008C10B7">
        <w:rPr>
          <w:rFonts w:cs="Times New Roman"/>
          <w:sz w:val="22"/>
          <w:szCs w:val="22"/>
        </w:rPr>
        <w:t>gated</w:t>
      </w:r>
      <w:r w:rsidR="00617F79" w:rsidRPr="008C10B7">
        <w:rPr>
          <w:rFonts w:cs="Times New Roman"/>
          <w:sz w:val="22"/>
          <w:szCs w:val="22"/>
        </w:rPr>
        <w:t xml:space="preserve">, </w:t>
      </w:r>
      <w:r w:rsidR="008C2E03" w:rsidRPr="008C10B7">
        <w:rPr>
          <w:rFonts w:cs="Times New Roman"/>
          <w:sz w:val="22"/>
          <w:szCs w:val="22"/>
        </w:rPr>
        <w:t xml:space="preserve">whereas </w:t>
      </w:r>
      <w:r w:rsidR="00617F79" w:rsidRPr="008C10B7">
        <w:rPr>
          <w:rFonts w:cs="Times New Roman"/>
          <w:sz w:val="22"/>
          <w:szCs w:val="22"/>
        </w:rPr>
        <w:t xml:space="preserve">most universities in western countries are open. </w:t>
      </w:r>
      <w:r w:rsidR="00B26180" w:rsidRPr="008C10B7">
        <w:rPr>
          <w:rFonts w:cs="Times New Roman"/>
          <w:sz w:val="22"/>
          <w:szCs w:val="22"/>
        </w:rPr>
        <w:t>T</w:t>
      </w:r>
      <w:r w:rsidR="008C2E03" w:rsidRPr="008C10B7">
        <w:rPr>
          <w:rFonts w:cs="Times New Roman"/>
          <w:sz w:val="22"/>
          <w:szCs w:val="22"/>
        </w:rPr>
        <w:t>herefore, if similar studies were conducted in western universities, t</w:t>
      </w:r>
      <w:r w:rsidR="00B26180" w:rsidRPr="008C10B7">
        <w:rPr>
          <w:rFonts w:cs="Times New Roman"/>
          <w:sz w:val="22"/>
          <w:szCs w:val="22"/>
        </w:rPr>
        <w:t>he findings may differ</w:t>
      </w:r>
      <w:r w:rsidR="008C2E03" w:rsidRPr="008C10B7">
        <w:rPr>
          <w:rFonts w:cs="Times New Roman"/>
          <w:sz w:val="22"/>
          <w:szCs w:val="22"/>
        </w:rPr>
        <w:t xml:space="preserve">, so </w:t>
      </w:r>
      <w:r w:rsidR="00B26180" w:rsidRPr="008C10B7">
        <w:rPr>
          <w:rFonts w:cs="Times New Roman"/>
          <w:sz w:val="22"/>
          <w:szCs w:val="22"/>
        </w:rPr>
        <w:t>a further comparative study</w:t>
      </w:r>
      <w:r w:rsidR="008C2E03" w:rsidRPr="008C10B7">
        <w:rPr>
          <w:rFonts w:cs="Times New Roman"/>
          <w:sz w:val="22"/>
          <w:szCs w:val="22"/>
        </w:rPr>
        <w:t xml:space="preserve"> would be useful</w:t>
      </w:r>
      <w:r w:rsidR="00617F79" w:rsidRPr="008C10B7">
        <w:rPr>
          <w:rFonts w:cs="Times New Roman"/>
          <w:sz w:val="22"/>
          <w:szCs w:val="22"/>
        </w:rPr>
        <w:t>.</w:t>
      </w:r>
      <w:r w:rsidRPr="008C10B7">
        <w:rPr>
          <w:rFonts w:cs="Times New Roman"/>
          <w:sz w:val="22"/>
          <w:szCs w:val="22"/>
        </w:rPr>
        <w:t xml:space="preserve"> </w:t>
      </w:r>
      <w:bookmarkEnd w:id="70"/>
      <w:r w:rsidRPr="008C10B7">
        <w:rPr>
          <w:rFonts w:cs="Times New Roman"/>
          <w:sz w:val="22"/>
          <w:szCs w:val="22"/>
        </w:rPr>
        <w:t xml:space="preserve">Secondly, </w:t>
      </w:r>
      <w:r w:rsidR="008C2E03" w:rsidRPr="008C10B7">
        <w:rPr>
          <w:rFonts w:cs="Times New Roman"/>
          <w:sz w:val="22"/>
          <w:szCs w:val="22"/>
        </w:rPr>
        <w:t xml:space="preserve">the </w:t>
      </w:r>
      <w:r w:rsidRPr="008C10B7">
        <w:rPr>
          <w:rFonts w:cs="Times New Roman"/>
          <w:sz w:val="22"/>
          <w:szCs w:val="22"/>
        </w:rPr>
        <w:t xml:space="preserve">precise residential locations of respondents were geocoded through self-reported </w:t>
      </w:r>
      <w:r w:rsidR="008C2E03" w:rsidRPr="008C10B7">
        <w:rPr>
          <w:rFonts w:cs="Times New Roman"/>
          <w:sz w:val="22"/>
          <w:szCs w:val="22"/>
        </w:rPr>
        <w:t xml:space="preserve">university </w:t>
      </w:r>
      <w:r w:rsidRPr="008C10B7">
        <w:rPr>
          <w:rFonts w:cs="Times New Roman"/>
          <w:sz w:val="22"/>
          <w:szCs w:val="22"/>
        </w:rPr>
        <w:t xml:space="preserve">campuses. These locations may not be </w:t>
      </w:r>
      <w:r w:rsidR="008C2E03" w:rsidRPr="008C10B7">
        <w:rPr>
          <w:rFonts w:cs="Times New Roman"/>
          <w:sz w:val="22"/>
          <w:szCs w:val="22"/>
        </w:rPr>
        <w:t xml:space="preserve">as </w:t>
      </w:r>
      <w:r w:rsidRPr="008C10B7">
        <w:rPr>
          <w:rFonts w:cs="Times New Roman"/>
          <w:sz w:val="22"/>
          <w:szCs w:val="22"/>
        </w:rPr>
        <w:t xml:space="preserve">accurate </w:t>
      </w:r>
      <w:r w:rsidR="008C2E03" w:rsidRPr="008C10B7">
        <w:rPr>
          <w:rFonts w:cs="Times New Roman"/>
          <w:sz w:val="22"/>
          <w:szCs w:val="22"/>
        </w:rPr>
        <w:t>as</w:t>
      </w:r>
      <w:r w:rsidRPr="008C10B7">
        <w:rPr>
          <w:rFonts w:cs="Times New Roman"/>
          <w:sz w:val="22"/>
          <w:szCs w:val="22"/>
        </w:rPr>
        <w:t xml:space="preserve"> locations tracked using Global Positioning System (GPS)</w:t>
      </w:r>
      <w:r w:rsidR="008C2E03" w:rsidRPr="008C10B7">
        <w:rPr>
          <w:rFonts w:cs="Times New Roman"/>
          <w:sz w:val="22"/>
          <w:szCs w:val="22"/>
        </w:rPr>
        <w:t xml:space="preserve"> data</w:t>
      </w:r>
      <w:r w:rsidRPr="008C10B7">
        <w:rPr>
          <w:rFonts w:cs="Times New Roman"/>
          <w:sz w:val="22"/>
          <w:szCs w:val="22"/>
        </w:rPr>
        <w:t xml:space="preserve">, and it </w:t>
      </w:r>
      <w:r w:rsidR="008C2E03" w:rsidRPr="008C10B7">
        <w:rPr>
          <w:rFonts w:cs="Times New Roman"/>
          <w:sz w:val="22"/>
          <w:szCs w:val="22"/>
        </w:rPr>
        <w:t>wa</w:t>
      </w:r>
      <w:r w:rsidRPr="008C10B7">
        <w:rPr>
          <w:rFonts w:cs="Times New Roman"/>
          <w:sz w:val="22"/>
          <w:szCs w:val="22"/>
        </w:rPr>
        <w:t>s</w:t>
      </w:r>
      <w:r w:rsidR="008C2E03" w:rsidRPr="008C10B7">
        <w:rPr>
          <w:rFonts w:cs="Times New Roman"/>
          <w:sz w:val="22"/>
          <w:szCs w:val="22"/>
        </w:rPr>
        <w:t xml:space="preserve"> also</w:t>
      </w:r>
      <w:r w:rsidRPr="008C10B7">
        <w:rPr>
          <w:rFonts w:cs="Times New Roman"/>
          <w:sz w:val="22"/>
          <w:szCs w:val="22"/>
        </w:rPr>
        <w:t xml:space="preserve"> not possible to identify specific green space exposure routes and exposure times. T</w:t>
      </w:r>
      <w:r w:rsidR="00B26180" w:rsidRPr="008C10B7">
        <w:rPr>
          <w:rFonts w:cs="Times New Roman"/>
          <w:sz w:val="22"/>
          <w:szCs w:val="22"/>
        </w:rPr>
        <w:t>o some extent, t</w:t>
      </w:r>
      <w:r w:rsidRPr="008C10B7">
        <w:rPr>
          <w:rFonts w:cs="Times New Roman"/>
          <w:sz w:val="22"/>
          <w:szCs w:val="22"/>
        </w:rPr>
        <w:t xml:space="preserve">his </w:t>
      </w:r>
      <w:r w:rsidR="00B26180" w:rsidRPr="008C10B7">
        <w:rPr>
          <w:rFonts w:cs="Times New Roman"/>
          <w:sz w:val="22"/>
          <w:szCs w:val="22"/>
        </w:rPr>
        <w:t xml:space="preserve">may </w:t>
      </w:r>
      <w:r w:rsidRPr="008C10B7">
        <w:rPr>
          <w:rFonts w:cs="Times New Roman"/>
          <w:sz w:val="22"/>
          <w:szCs w:val="22"/>
        </w:rPr>
        <w:t>prevent us from identifying a direct</w:t>
      </w:r>
      <w:r w:rsidR="008C2E03" w:rsidRPr="008C10B7">
        <w:rPr>
          <w:rFonts w:cs="Times New Roman"/>
          <w:sz w:val="22"/>
          <w:szCs w:val="22"/>
        </w:rPr>
        <w:t>,</w:t>
      </w:r>
      <w:r w:rsidRPr="008C10B7">
        <w:rPr>
          <w:rFonts w:cs="Times New Roman"/>
          <w:sz w:val="22"/>
          <w:szCs w:val="22"/>
        </w:rPr>
        <w:t xml:space="preserve"> reliable link between street greenery and active travel on university campuses.</w:t>
      </w:r>
      <w:bookmarkStart w:id="71" w:name="_Hlk100841628"/>
      <w:r w:rsidRPr="008C10B7">
        <w:rPr>
          <w:rFonts w:cs="Times New Roman"/>
          <w:sz w:val="22"/>
          <w:szCs w:val="22"/>
        </w:rPr>
        <w:t xml:space="preserve"> </w:t>
      </w:r>
      <w:bookmarkStart w:id="72" w:name="_Hlk100828410"/>
      <w:r w:rsidR="002D5876" w:rsidRPr="008C10B7">
        <w:rPr>
          <w:rFonts w:cs="Times New Roman"/>
          <w:sz w:val="22"/>
          <w:szCs w:val="22"/>
        </w:rPr>
        <w:t>Third</w:t>
      </w:r>
      <w:bookmarkStart w:id="73" w:name="_Hlk100841540"/>
      <w:bookmarkEnd w:id="71"/>
      <w:r w:rsidR="00DD531E" w:rsidRPr="008C10B7">
        <w:rPr>
          <w:rFonts w:cs="Times New Roman"/>
          <w:sz w:val="22"/>
          <w:szCs w:val="22"/>
        </w:rPr>
        <w:t>,</w:t>
      </w:r>
      <w:r w:rsidR="00454102" w:rsidRPr="008C10B7">
        <w:t xml:space="preserve"> </w:t>
      </w:r>
      <w:r w:rsidR="00454102" w:rsidRPr="008C10B7">
        <w:rPr>
          <w:rFonts w:cs="Times New Roman"/>
          <w:sz w:val="22"/>
          <w:szCs w:val="22"/>
        </w:rPr>
        <w:t xml:space="preserve">although online surveys have the advantage of high response rates and </w:t>
      </w:r>
      <w:r w:rsidR="008C2E03" w:rsidRPr="008C10B7">
        <w:rPr>
          <w:rFonts w:cs="Times New Roman"/>
          <w:sz w:val="22"/>
          <w:szCs w:val="22"/>
        </w:rPr>
        <w:t xml:space="preserve">saving </w:t>
      </w:r>
      <w:r w:rsidR="00454102" w:rsidRPr="008C10B7">
        <w:rPr>
          <w:rFonts w:cs="Times New Roman"/>
          <w:sz w:val="22"/>
          <w:szCs w:val="22"/>
        </w:rPr>
        <w:t>time, the</w:t>
      </w:r>
      <w:r w:rsidR="008C2E03" w:rsidRPr="008C10B7">
        <w:rPr>
          <w:rFonts w:cs="Times New Roman"/>
          <w:sz w:val="22"/>
          <w:szCs w:val="22"/>
        </w:rPr>
        <w:t>ir</w:t>
      </w:r>
      <w:r w:rsidR="00454102" w:rsidRPr="008C10B7">
        <w:rPr>
          <w:rFonts w:cs="Times New Roman"/>
          <w:sz w:val="22"/>
          <w:szCs w:val="22"/>
        </w:rPr>
        <w:t xml:space="preserve"> drawbacks </w:t>
      </w:r>
      <w:r w:rsidR="008C2E03" w:rsidRPr="008C10B7">
        <w:rPr>
          <w:rFonts w:cs="Times New Roman"/>
          <w:sz w:val="22"/>
          <w:szCs w:val="22"/>
        </w:rPr>
        <w:t xml:space="preserve">include </w:t>
      </w:r>
      <w:r w:rsidR="008C2E03" w:rsidRPr="008C10B7">
        <w:rPr>
          <w:rFonts w:cs="Times New Roman"/>
          <w:sz w:val="22"/>
          <w:szCs w:val="22"/>
        </w:rPr>
        <w:lastRenderedPageBreak/>
        <w:t>limited</w:t>
      </w:r>
      <w:r w:rsidR="00454102" w:rsidRPr="008C10B7">
        <w:rPr>
          <w:rFonts w:cs="Times New Roman"/>
          <w:sz w:val="22"/>
          <w:szCs w:val="22"/>
        </w:rPr>
        <w:t xml:space="preserve"> relevance and duplicate responses.</w:t>
      </w:r>
      <w:r w:rsidR="00DD531E" w:rsidRPr="008C10B7">
        <w:rPr>
          <w:rFonts w:cs="Times New Roman"/>
          <w:sz w:val="22"/>
          <w:szCs w:val="22"/>
        </w:rPr>
        <w:t xml:space="preserve"> </w:t>
      </w:r>
      <w:r w:rsidR="00454102" w:rsidRPr="008C10B7">
        <w:rPr>
          <w:rFonts w:cs="Times New Roman"/>
          <w:sz w:val="22"/>
          <w:szCs w:val="22"/>
        </w:rPr>
        <w:t xml:space="preserve">Finally, </w:t>
      </w:r>
      <w:r w:rsidR="0086465F" w:rsidRPr="008C10B7">
        <w:rPr>
          <w:rFonts w:cs="Times New Roman"/>
          <w:sz w:val="22"/>
          <w:szCs w:val="22"/>
        </w:rPr>
        <w:t>t</w:t>
      </w:r>
      <w:r w:rsidR="00DD531E" w:rsidRPr="008C10B7">
        <w:rPr>
          <w:rFonts w:cs="Times New Roman"/>
          <w:sz w:val="22"/>
          <w:szCs w:val="22"/>
        </w:rPr>
        <w:t>his research was conducted during the Covid-19 pandemic, and the</w:t>
      </w:r>
      <w:r w:rsidR="008C2E03" w:rsidRPr="008C10B7">
        <w:rPr>
          <w:rFonts w:cs="Times New Roman"/>
          <w:sz w:val="22"/>
          <w:szCs w:val="22"/>
        </w:rPr>
        <w:t>refore</w:t>
      </w:r>
      <w:r w:rsidR="00DD531E" w:rsidRPr="008C10B7">
        <w:rPr>
          <w:rFonts w:cs="Times New Roman"/>
          <w:sz w:val="22"/>
          <w:szCs w:val="22"/>
        </w:rPr>
        <w:t xml:space="preserve"> results m</w:t>
      </w:r>
      <w:r w:rsidR="00B26180" w:rsidRPr="008C10B7">
        <w:rPr>
          <w:rFonts w:cs="Times New Roman"/>
          <w:sz w:val="22"/>
          <w:szCs w:val="22"/>
        </w:rPr>
        <w:t>ight</w:t>
      </w:r>
      <w:r w:rsidR="00DD531E" w:rsidRPr="008C10B7">
        <w:rPr>
          <w:rFonts w:cs="Times New Roman"/>
          <w:sz w:val="22"/>
          <w:szCs w:val="22"/>
        </w:rPr>
        <w:t xml:space="preserve"> </w:t>
      </w:r>
      <w:r w:rsidR="008C2E03" w:rsidRPr="008C10B7">
        <w:rPr>
          <w:rFonts w:cs="Times New Roman"/>
          <w:sz w:val="22"/>
          <w:szCs w:val="22"/>
        </w:rPr>
        <w:t xml:space="preserve">differ from those that would be obtained </w:t>
      </w:r>
      <w:r w:rsidR="00DD531E" w:rsidRPr="008C10B7">
        <w:rPr>
          <w:rFonts w:cs="Times New Roman"/>
          <w:sz w:val="22"/>
          <w:szCs w:val="22"/>
        </w:rPr>
        <w:t>in normal times.</w:t>
      </w:r>
      <w:bookmarkEnd w:id="72"/>
      <w:bookmarkEnd w:id="73"/>
    </w:p>
    <w:bookmarkEnd w:id="69"/>
    <w:p w14:paraId="0124BFF8" w14:textId="77777777" w:rsidR="00153B29" w:rsidRPr="008C10B7" w:rsidRDefault="00153B29" w:rsidP="00153B29">
      <w:pPr>
        <w:spacing w:line="360" w:lineRule="auto"/>
        <w:jc w:val="both"/>
        <w:rPr>
          <w:rFonts w:cs="Times New Roman"/>
          <w:sz w:val="22"/>
          <w:szCs w:val="22"/>
        </w:rPr>
      </w:pPr>
    </w:p>
    <w:p w14:paraId="29233FA1" w14:textId="2C142EF5" w:rsidR="004D3D6C" w:rsidRPr="008C10B7" w:rsidRDefault="00711121" w:rsidP="00E7001C">
      <w:pPr>
        <w:pStyle w:val="ListParagraph"/>
        <w:autoSpaceDE w:val="0"/>
        <w:autoSpaceDN w:val="0"/>
        <w:adjustRightInd w:val="0"/>
        <w:spacing w:line="360" w:lineRule="auto"/>
        <w:ind w:left="0"/>
        <w:contextualSpacing w:val="0"/>
        <w:jc w:val="both"/>
        <w:outlineLvl w:val="0"/>
        <w:rPr>
          <w:rFonts w:cstheme="majorHAnsi"/>
          <w:b/>
          <w:sz w:val="22"/>
          <w:szCs w:val="28"/>
        </w:rPr>
      </w:pPr>
      <w:bookmarkStart w:id="74" w:name="_Toc78625160"/>
      <w:r w:rsidRPr="008C10B7">
        <w:rPr>
          <w:rFonts w:cstheme="majorHAnsi"/>
          <w:b/>
          <w:sz w:val="22"/>
          <w:szCs w:val="28"/>
        </w:rPr>
        <w:t>6</w:t>
      </w:r>
      <w:r w:rsidR="00C234EB" w:rsidRPr="008C10B7">
        <w:rPr>
          <w:rFonts w:cstheme="majorHAnsi"/>
          <w:b/>
          <w:sz w:val="22"/>
          <w:szCs w:val="28"/>
        </w:rPr>
        <w:t>.</w:t>
      </w:r>
      <w:r w:rsidRPr="008C10B7">
        <w:rPr>
          <w:rFonts w:cstheme="majorHAnsi"/>
          <w:b/>
          <w:sz w:val="22"/>
          <w:szCs w:val="28"/>
        </w:rPr>
        <w:t xml:space="preserve"> Conclusion</w:t>
      </w:r>
      <w:r w:rsidR="0094212C" w:rsidRPr="008C10B7">
        <w:rPr>
          <w:rFonts w:cstheme="majorHAnsi"/>
          <w:b/>
          <w:sz w:val="22"/>
          <w:szCs w:val="28"/>
        </w:rPr>
        <w:t>s</w:t>
      </w:r>
      <w:bookmarkEnd w:id="74"/>
    </w:p>
    <w:p w14:paraId="23884E3C" w14:textId="7AFB5634" w:rsidR="00CF3AF0" w:rsidRPr="008C10B7" w:rsidRDefault="00194077" w:rsidP="00E7001C">
      <w:pPr>
        <w:spacing w:line="360" w:lineRule="auto"/>
        <w:jc w:val="both"/>
        <w:rPr>
          <w:sz w:val="22"/>
          <w:szCs w:val="22"/>
        </w:rPr>
      </w:pPr>
      <w:r w:rsidRPr="008C10B7">
        <w:rPr>
          <w:sz w:val="22"/>
          <w:szCs w:val="22"/>
        </w:rPr>
        <w:t>Chinese</w:t>
      </w:r>
      <w:r w:rsidR="00CF3AF0" w:rsidRPr="008C10B7">
        <w:rPr>
          <w:sz w:val="22"/>
          <w:szCs w:val="22"/>
        </w:rPr>
        <w:t xml:space="preserve"> university campuses have different travel mode</w:t>
      </w:r>
      <w:r w:rsidR="00624378" w:rsidRPr="008C10B7">
        <w:rPr>
          <w:sz w:val="22"/>
          <w:szCs w:val="22"/>
        </w:rPr>
        <w:t xml:space="preserve"> patterns</w:t>
      </w:r>
      <w:r w:rsidR="00D940B1" w:rsidRPr="008C10B7">
        <w:rPr>
          <w:sz w:val="22"/>
          <w:szCs w:val="22"/>
        </w:rPr>
        <w:t xml:space="preserve"> to those of wider society</w:t>
      </w:r>
      <w:r w:rsidR="00CF3AF0" w:rsidRPr="008C10B7">
        <w:rPr>
          <w:sz w:val="22"/>
          <w:szCs w:val="22"/>
        </w:rPr>
        <w:t xml:space="preserve">. This study </w:t>
      </w:r>
      <w:r w:rsidR="00D940B1" w:rsidRPr="008C10B7">
        <w:rPr>
          <w:sz w:val="22"/>
          <w:szCs w:val="22"/>
        </w:rPr>
        <w:t xml:space="preserve">is the first to </w:t>
      </w:r>
      <w:r w:rsidR="00CF3AF0" w:rsidRPr="008C10B7">
        <w:rPr>
          <w:sz w:val="22"/>
          <w:szCs w:val="22"/>
        </w:rPr>
        <w:t xml:space="preserve">explore </w:t>
      </w:r>
      <w:r w:rsidR="008A7787" w:rsidRPr="008C10B7">
        <w:rPr>
          <w:sz w:val="22"/>
          <w:szCs w:val="22"/>
        </w:rPr>
        <w:t xml:space="preserve">the association between </w:t>
      </w:r>
      <w:r w:rsidR="00D940B1" w:rsidRPr="008C10B7">
        <w:rPr>
          <w:sz w:val="22"/>
          <w:szCs w:val="22"/>
        </w:rPr>
        <w:t xml:space="preserve">exposure to </w:t>
      </w:r>
      <w:r w:rsidR="008A7787" w:rsidRPr="008C10B7">
        <w:rPr>
          <w:sz w:val="22"/>
          <w:szCs w:val="22"/>
        </w:rPr>
        <w:t xml:space="preserve">visible </w:t>
      </w:r>
      <w:r w:rsidR="00D940B1" w:rsidRPr="008C10B7">
        <w:rPr>
          <w:sz w:val="22"/>
          <w:szCs w:val="22"/>
        </w:rPr>
        <w:t xml:space="preserve">street </w:t>
      </w:r>
      <w:r w:rsidR="008A7787" w:rsidRPr="008C10B7">
        <w:rPr>
          <w:sz w:val="22"/>
          <w:szCs w:val="22"/>
        </w:rPr>
        <w:t>green</w:t>
      </w:r>
      <w:r w:rsidR="00D940B1" w:rsidRPr="008C10B7">
        <w:rPr>
          <w:sz w:val="22"/>
          <w:szCs w:val="22"/>
        </w:rPr>
        <w:t>ery</w:t>
      </w:r>
      <w:r w:rsidR="008A7787" w:rsidRPr="008C10B7">
        <w:rPr>
          <w:sz w:val="22"/>
          <w:szCs w:val="22"/>
        </w:rPr>
        <w:t xml:space="preserve"> on closed university campuses and </w:t>
      </w:r>
      <w:r w:rsidR="004334EF" w:rsidRPr="008C10B7">
        <w:rPr>
          <w:sz w:val="22"/>
          <w:szCs w:val="22"/>
        </w:rPr>
        <w:t xml:space="preserve">the </w:t>
      </w:r>
      <w:r w:rsidR="008A7787" w:rsidRPr="008C10B7">
        <w:rPr>
          <w:sz w:val="22"/>
          <w:szCs w:val="22"/>
        </w:rPr>
        <w:t>AT behaviours of university students</w:t>
      </w:r>
      <w:r w:rsidR="00CF3AF0" w:rsidRPr="008C10B7">
        <w:rPr>
          <w:sz w:val="22"/>
          <w:szCs w:val="22"/>
        </w:rPr>
        <w:t xml:space="preserve">. </w:t>
      </w:r>
      <w:r w:rsidR="004334EF" w:rsidRPr="008C10B7">
        <w:rPr>
          <w:sz w:val="22"/>
          <w:szCs w:val="22"/>
        </w:rPr>
        <w:t>It</w:t>
      </w:r>
      <w:r w:rsidR="00CF3AF0" w:rsidRPr="008C10B7">
        <w:rPr>
          <w:sz w:val="22"/>
          <w:szCs w:val="22"/>
        </w:rPr>
        <w:t xml:space="preserve"> used </w:t>
      </w:r>
      <w:r w:rsidR="00663130" w:rsidRPr="008C10B7">
        <w:rPr>
          <w:sz w:val="22"/>
          <w:szCs w:val="22"/>
        </w:rPr>
        <w:t>street-view images</w:t>
      </w:r>
      <w:r w:rsidR="00CF3AF0" w:rsidRPr="008C10B7">
        <w:rPr>
          <w:sz w:val="22"/>
          <w:szCs w:val="22"/>
        </w:rPr>
        <w:t>, questionnaire data</w:t>
      </w:r>
      <w:r w:rsidR="00624378" w:rsidRPr="008C10B7">
        <w:rPr>
          <w:sz w:val="22"/>
          <w:szCs w:val="22"/>
        </w:rPr>
        <w:t>,</w:t>
      </w:r>
      <w:r w:rsidR="00A66918" w:rsidRPr="008C10B7">
        <w:rPr>
          <w:sz w:val="22"/>
          <w:szCs w:val="22"/>
        </w:rPr>
        <w:t xml:space="preserve"> </w:t>
      </w:r>
      <w:r w:rsidR="00CF3AF0" w:rsidRPr="008C10B7">
        <w:rPr>
          <w:sz w:val="22"/>
          <w:szCs w:val="22"/>
        </w:rPr>
        <w:t xml:space="preserve">and multilevel logistic regression modelling to explore these relationships. We found that campus street greenery and transport ownership were </w:t>
      </w:r>
      <w:r w:rsidR="00B16C04" w:rsidRPr="008C10B7">
        <w:rPr>
          <w:sz w:val="22"/>
          <w:szCs w:val="22"/>
        </w:rPr>
        <w:t xml:space="preserve">statistically </w:t>
      </w:r>
      <w:r w:rsidR="00CF3AF0" w:rsidRPr="008C10B7">
        <w:rPr>
          <w:sz w:val="22"/>
          <w:szCs w:val="22"/>
        </w:rPr>
        <w:t xml:space="preserve">significantly associated with </w:t>
      </w:r>
      <w:r w:rsidR="004334EF" w:rsidRPr="008C10B7">
        <w:rPr>
          <w:sz w:val="22"/>
          <w:szCs w:val="22"/>
        </w:rPr>
        <w:t xml:space="preserve">the intention to use </w:t>
      </w:r>
      <w:r w:rsidR="0030654E" w:rsidRPr="008C10B7">
        <w:rPr>
          <w:sz w:val="22"/>
          <w:szCs w:val="22"/>
        </w:rPr>
        <w:t>AT</w:t>
      </w:r>
      <w:r w:rsidR="00CF3AF0" w:rsidRPr="008C10B7">
        <w:rPr>
          <w:sz w:val="22"/>
          <w:szCs w:val="22"/>
        </w:rPr>
        <w:t xml:space="preserve">. </w:t>
      </w:r>
      <w:r w:rsidRPr="008C10B7">
        <w:rPr>
          <w:sz w:val="22"/>
          <w:szCs w:val="22"/>
        </w:rPr>
        <w:t xml:space="preserve">Street greenery on campus </w:t>
      </w:r>
      <w:r w:rsidR="00CF3AF0" w:rsidRPr="008C10B7">
        <w:rPr>
          <w:sz w:val="22"/>
          <w:szCs w:val="22"/>
        </w:rPr>
        <w:t>is positively associated with university students</w:t>
      </w:r>
      <w:r w:rsidR="00624378" w:rsidRPr="008C10B7">
        <w:rPr>
          <w:sz w:val="22"/>
          <w:szCs w:val="22"/>
        </w:rPr>
        <w:t>’</w:t>
      </w:r>
      <w:r w:rsidR="00CF3AF0" w:rsidRPr="008C10B7">
        <w:rPr>
          <w:sz w:val="22"/>
          <w:szCs w:val="22"/>
        </w:rPr>
        <w:t xml:space="preserve"> tendency to </w:t>
      </w:r>
      <w:r w:rsidR="00624378" w:rsidRPr="008C10B7">
        <w:rPr>
          <w:sz w:val="22"/>
          <w:szCs w:val="22"/>
        </w:rPr>
        <w:t xml:space="preserve">participate </w:t>
      </w:r>
      <w:r w:rsidR="008A7787" w:rsidRPr="008C10B7">
        <w:rPr>
          <w:sz w:val="22"/>
          <w:szCs w:val="22"/>
        </w:rPr>
        <w:t>in AT, and travel modes also affect</w:t>
      </w:r>
      <w:r w:rsidR="00624378" w:rsidRPr="008C10B7">
        <w:rPr>
          <w:sz w:val="22"/>
          <w:szCs w:val="22"/>
        </w:rPr>
        <w:t xml:space="preserve"> </w:t>
      </w:r>
      <w:r w:rsidR="0030654E" w:rsidRPr="008C10B7">
        <w:rPr>
          <w:sz w:val="22"/>
          <w:szCs w:val="22"/>
        </w:rPr>
        <w:t>AT</w:t>
      </w:r>
      <w:r w:rsidR="00CF3AF0" w:rsidRPr="008C10B7">
        <w:rPr>
          <w:sz w:val="22"/>
          <w:szCs w:val="22"/>
        </w:rPr>
        <w:t xml:space="preserve">. Bike ownership is positively associated with </w:t>
      </w:r>
      <w:r w:rsidR="0030654E" w:rsidRPr="008C10B7">
        <w:rPr>
          <w:sz w:val="22"/>
          <w:szCs w:val="22"/>
        </w:rPr>
        <w:t>AT</w:t>
      </w:r>
      <w:r w:rsidR="00965CF7" w:rsidRPr="008C10B7">
        <w:rPr>
          <w:sz w:val="22"/>
          <w:szCs w:val="22"/>
        </w:rPr>
        <w:t>,</w:t>
      </w:r>
      <w:r w:rsidR="00CF3AF0" w:rsidRPr="008C10B7">
        <w:rPr>
          <w:sz w:val="22"/>
          <w:szCs w:val="22"/>
        </w:rPr>
        <w:t xml:space="preserve"> </w:t>
      </w:r>
      <w:r w:rsidR="005F277E" w:rsidRPr="008C10B7">
        <w:rPr>
          <w:sz w:val="22"/>
          <w:szCs w:val="22"/>
        </w:rPr>
        <w:t>while</w:t>
      </w:r>
      <w:r w:rsidR="00CF3AF0" w:rsidRPr="008C10B7">
        <w:rPr>
          <w:sz w:val="22"/>
          <w:szCs w:val="22"/>
        </w:rPr>
        <w:t xml:space="preserve"> </w:t>
      </w:r>
      <w:r w:rsidR="00624378" w:rsidRPr="008C10B7">
        <w:rPr>
          <w:sz w:val="22"/>
          <w:szCs w:val="22"/>
        </w:rPr>
        <w:t xml:space="preserve">owning an </w:t>
      </w:r>
      <w:r w:rsidR="00CF3AF0" w:rsidRPr="008C10B7">
        <w:rPr>
          <w:sz w:val="22"/>
          <w:szCs w:val="22"/>
        </w:rPr>
        <w:t>e-bike</w:t>
      </w:r>
      <w:r w:rsidR="005F277E" w:rsidRPr="008C10B7">
        <w:rPr>
          <w:sz w:val="22"/>
          <w:szCs w:val="22"/>
        </w:rPr>
        <w:t xml:space="preserve"> </w:t>
      </w:r>
      <w:r w:rsidR="00CF3AF0" w:rsidRPr="008C10B7">
        <w:rPr>
          <w:sz w:val="22"/>
          <w:szCs w:val="22"/>
        </w:rPr>
        <w:t xml:space="preserve">has a negative impact on </w:t>
      </w:r>
      <w:r w:rsidR="0030654E" w:rsidRPr="008C10B7">
        <w:rPr>
          <w:sz w:val="22"/>
          <w:szCs w:val="22"/>
        </w:rPr>
        <w:t>AT</w:t>
      </w:r>
      <w:r w:rsidR="00CF3AF0" w:rsidRPr="008C10B7">
        <w:rPr>
          <w:sz w:val="22"/>
          <w:szCs w:val="22"/>
        </w:rPr>
        <w:t>. From a methodological perspective, the data source of street</w:t>
      </w:r>
      <w:r w:rsidR="008A7787" w:rsidRPr="008C10B7">
        <w:rPr>
          <w:sz w:val="22"/>
          <w:szCs w:val="22"/>
        </w:rPr>
        <w:t xml:space="preserve"> </w:t>
      </w:r>
      <w:r w:rsidR="00CF3AF0" w:rsidRPr="008C10B7">
        <w:rPr>
          <w:sz w:val="22"/>
          <w:szCs w:val="22"/>
        </w:rPr>
        <w:t>view images may be</w:t>
      </w:r>
      <w:r w:rsidR="008A7787" w:rsidRPr="008C10B7">
        <w:rPr>
          <w:sz w:val="22"/>
          <w:szCs w:val="22"/>
        </w:rPr>
        <w:t>nefit</w:t>
      </w:r>
      <w:r w:rsidR="00CF3AF0" w:rsidRPr="008C10B7">
        <w:rPr>
          <w:sz w:val="22"/>
          <w:szCs w:val="22"/>
        </w:rPr>
        <w:t xml:space="preserve"> further research </w:t>
      </w:r>
      <w:r w:rsidR="00965CF7" w:rsidRPr="008C10B7">
        <w:rPr>
          <w:sz w:val="22"/>
          <w:szCs w:val="22"/>
        </w:rPr>
        <w:t>on</w:t>
      </w:r>
      <w:r w:rsidR="00CF3AF0" w:rsidRPr="008C10B7">
        <w:rPr>
          <w:sz w:val="22"/>
          <w:szCs w:val="22"/>
        </w:rPr>
        <w:t xml:space="preserve"> </w:t>
      </w:r>
      <w:r w:rsidR="00B16C04" w:rsidRPr="008C10B7">
        <w:rPr>
          <w:sz w:val="22"/>
          <w:szCs w:val="22"/>
        </w:rPr>
        <w:t xml:space="preserve">sustainable urban and </w:t>
      </w:r>
      <w:r w:rsidR="00CF3AF0" w:rsidRPr="008C10B7">
        <w:rPr>
          <w:sz w:val="22"/>
          <w:szCs w:val="22"/>
        </w:rPr>
        <w:t>transpor</w:t>
      </w:r>
      <w:r w:rsidR="005F277E" w:rsidRPr="008C10B7">
        <w:rPr>
          <w:sz w:val="22"/>
          <w:szCs w:val="22"/>
        </w:rPr>
        <w:t>t</w:t>
      </w:r>
      <w:r w:rsidR="00B16C04" w:rsidRPr="008C10B7">
        <w:rPr>
          <w:sz w:val="22"/>
          <w:szCs w:val="22"/>
        </w:rPr>
        <w:t xml:space="preserve"> development</w:t>
      </w:r>
      <w:r w:rsidR="00CF3AF0" w:rsidRPr="008C10B7">
        <w:rPr>
          <w:sz w:val="22"/>
          <w:szCs w:val="22"/>
        </w:rPr>
        <w:t>. To achieve the goal of green transport through urban planning, policymakers need to focus on both greening urban areas and improving the environment for cycling</w:t>
      </w:r>
      <w:r w:rsidR="00B16C04" w:rsidRPr="008C10B7">
        <w:rPr>
          <w:sz w:val="22"/>
          <w:szCs w:val="22"/>
        </w:rPr>
        <w:t xml:space="preserve"> and walking</w:t>
      </w:r>
      <w:r w:rsidR="00CF3AF0" w:rsidRPr="008C10B7">
        <w:rPr>
          <w:sz w:val="22"/>
          <w:szCs w:val="22"/>
        </w:rPr>
        <w:t>.</w:t>
      </w:r>
    </w:p>
    <w:p w14:paraId="31488AEB" w14:textId="01B16E50" w:rsidR="004D3D6C" w:rsidRPr="008C10B7" w:rsidRDefault="00711121" w:rsidP="00E7001C">
      <w:pPr>
        <w:pStyle w:val="ListParagraph"/>
        <w:autoSpaceDE w:val="0"/>
        <w:autoSpaceDN w:val="0"/>
        <w:adjustRightInd w:val="0"/>
        <w:spacing w:line="360" w:lineRule="auto"/>
        <w:ind w:left="0"/>
        <w:jc w:val="both"/>
        <w:outlineLvl w:val="0"/>
        <w:rPr>
          <w:b/>
        </w:rPr>
      </w:pPr>
      <w:r w:rsidRPr="008C10B7">
        <w:rPr>
          <w:rFonts w:ascii="Times" w:hAnsi="Times"/>
          <w:sz w:val="22"/>
          <w:szCs w:val="22"/>
        </w:rPr>
        <w:br w:type="page"/>
      </w:r>
      <w:bookmarkStart w:id="75" w:name="_Toc78625161"/>
      <w:r w:rsidR="002E423D" w:rsidRPr="008C10B7">
        <w:rPr>
          <w:b/>
        </w:rPr>
        <w:lastRenderedPageBreak/>
        <w:t>R</w:t>
      </w:r>
      <w:r w:rsidRPr="008C10B7">
        <w:rPr>
          <w:b/>
        </w:rPr>
        <w:t>eferences</w:t>
      </w:r>
      <w:bookmarkEnd w:id="75"/>
    </w:p>
    <w:p w14:paraId="1A51820B" w14:textId="2150948E" w:rsidR="00802DC5" w:rsidRPr="008C10B7" w:rsidRDefault="00802DC5" w:rsidP="007E655E">
      <w:pPr>
        <w:autoSpaceDE w:val="0"/>
        <w:autoSpaceDN w:val="0"/>
        <w:adjustRightInd w:val="0"/>
        <w:ind w:left="420" w:hanging="420"/>
        <w:jc w:val="both"/>
        <w:rPr>
          <w:rFonts w:cs="Times New Roman"/>
          <w:sz w:val="20"/>
        </w:rPr>
      </w:pPr>
      <w:r w:rsidRPr="008C10B7">
        <w:rPr>
          <w:rFonts w:cs="Times New Roman"/>
        </w:rPr>
        <w:fldChar w:fldCharType="begin" w:fldLock="1"/>
      </w:r>
      <w:r w:rsidRPr="008C10B7">
        <w:rPr>
          <w:rFonts w:cs="Times New Roman"/>
        </w:rPr>
        <w:instrText xml:space="preserve">ADDIN Mendeley Bibliography CSL_BIBLIOGRAPHY </w:instrText>
      </w:r>
      <w:r w:rsidRPr="008C10B7">
        <w:rPr>
          <w:rFonts w:cs="Times New Roman"/>
        </w:rPr>
        <w:fldChar w:fldCharType="separate"/>
      </w:r>
      <w:r w:rsidRPr="008C10B7">
        <w:rPr>
          <w:rFonts w:cs="Times New Roman"/>
          <w:sz w:val="20"/>
        </w:rPr>
        <w:t xml:space="preserve">An, R., Shen, J., Yang, Q., &amp; Yang, Y. (2019). Impact of built environment on physical activity and obesity among children and adolescents in China: A narrative systematic review. </w:t>
      </w:r>
      <w:r w:rsidRPr="008C10B7">
        <w:rPr>
          <w:rFonts w:cs="Times New Roman"/>
          <w:i/>
          <w:iCs/>
          <w:sz w:val="20"/>
        </w:rPr>
        <w:t>Journal of Sport and Health Science</w:t>
      </w:r>
      <w:r w:rsidRPr="008C10B7">
        <w:rPr>
          <w:rFonts w:cs="Times New Roman"/>
          <w:sz w:val="20"/>
        </w:rPr>
        <w:t xml:space="preserve"> </w:t>
      </w:r>
      <w:r w:rsidRPr="008C10B7">
        <w:rPr>
          <w:rFonts w:cs="Times New Roman"/>
          <w:i/>
          <w:iCs/>
          <w:sz w:val="20"/>
        </w:rPr>
        <w:t>8</w:t>
      </w:r>
      <w:r w:rsidRPr="008C10B7">
        <w:rPr>
          <w:rFonts w:cs="Times New Roman"/>
          <w:sz w:val="20"/>
        </w:rPr>
        <w:t>(2), 153–169. https://doi.org/10.1016/j.jshs.2018.11.003</w:t>
      </w:r>
    </w:p>
    <w:p w14:paraId="43F6B14B" w14:textId="7777777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Astell-Burt, T., Feng, X., &amp; Kolt, G. S. (2014). Green space is associated with walking and moderate-to-vigorous physical activity (MVPA) in middle-to-older-aged adults: Findings from 203 883 Australians in the 45 and Up Study. </w:t>
      </w:r>
      <w:r w:rsidRPr="008C10B7">
        <w:rPr>
          <w:rFonts w:cs="Times New Roman"/>
          <w:i/>
          <w:iCs/>
          <w:sz w:val="20"/>
        </w:rPr>
        <w:t>British Journal of Sports Medicine</w:t>
      </w:r>
      <w:r w:rsidRPr="008C10B7">
        <w:rPr>
          <w:rFonts w:cs="Times New Roman"/>
          <w:sz w:val="20"/>
        </w:rPr>
        <w:t xml:space="preserve">, </w:t>
      </w:r>
      <w:r w:rsidRPr="008C10B7">
        <w:rPr>
          <w:rFonts w:cs="Times New Roman"/>
          <w:i/>
          <w:iCs/>
          <w:sz w:val="20"/>
        </w:rPr>
        <w:t>48</w:t>
      </w:r>
      <w:r w:rsidRPr="008C10B7">
        <w:rPr>
          <w:rFonts w:cs="Times New Roman"/>
          <w:sz w:val="20"/>
        </w:rPr>
        <w:t>(5), 404–406. https://doi.org/10.1136/bjsports-2012-092006</w:t>
      </w:r>
    </w:p>
    <w:p w14:paraId="69FC6728" w14:textId="1B55693D"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Badrinarayanan, V., Kendall, A., &amp; Cipolla, R. (2017). SegNet: A deep convolutional encoder-decoder architecture for image segmentation. </w:t>
      </w:r>
      <w:r w:rsidRPr="008C10B7">
        <w:rPr>
          <w:rFonts w:cs="Times New Roman"/>
          <w:i/>
          <w:iCs/>
          <w:sz w:val="20"/>
        </w:rPr>
        <w:t>IEEE Transactions on Pattern Analysis and Machine Intelligence</w:t>
      </w:r>
      <w:r w:rsidRPr="008C10B7">
        <w:rPr>
          <w:rFonts w:cs="Times New Roman"/>
          <w:sz w:val="20"/>
        </w:rPr>
        <w:t xml:space="preserve">, </w:t>
      </w:r>
      <w:r w:rsidRPr="008C10B7">
        <w:rPr>
          <w:rFonts w:cs="Times New Roman"/>
          <w:i/>
          <w:iCs/>
          <w:sz w:val="20"/>
        </w:rPr>
        <w:t>39</w:t>
      </w:r>
      <w:r w:rsidRPr="008C10B7">
        <w:rPr>
          <w:rFonts w:cs="Times New Roman"/>
          <w:sz w:val="20"/>
        </w:rPr>
        <w:t>(12), 2481–2495. https://doi.org/10.1109/tpami.2016.2644615</w:t>
      </w:r>
    </w:p>
    <w:p w14:paraId="23A73858" w14:textId="08351CE2"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Boakye, K. A., Amram, O., Schuna, J. M., Duncan, G. E., &amp; Hystad, P. (2021). GPS-based built environment measures associated with adult physical activity. </w:t>
      </w:r>
      <w:r w:rsidRPr="008C10B7">
        <w:rPr>
          <w:rFonts w:cs="Times New Roman"/>
          <w:i/>
          <w:iCs/>
          <w:sz w:val="20"/>
        </w:rPr>
        <w:t>Health and Place</w:t>
      </w:r>
      <w:r w:rsidRPr="008C10B7">
        <w:rPr>
          <w:rFonts w:cs="Times New Roman"/>
          <w:sz w:val="20"/>
        </w:rPr>
        <w:t xml:space="preserve">, </w:t>
      </w:r>
      <w:r w:rsidRPr="008C10B7">
        <w:rPr>
          <w:rFonts w:cs="Times New Roman"/>
          <w:i/>
          <w:iCs/>
          <w:sz w:val="20"/>
        </w:rPr>
        <w:t>70</w:t>
      </w:r>
      <w:r w:rsidRPr="008C10B7">
        <w:rPr>
          <w:rFonts w:cs="Times New Roman"/>
          <w:sz w:val="20"/>
        </w:rPr>
        <w:t>, 102602. https://doi.org/10.1016/j.healthplace.2021.102602</w:t>
      </w:r>
    </w:p>
    <w:p w14:paraId="61295CC9" w14:textId="7777777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Bonham, J., &amp; Koth, B. (2010). Universities and the cycling culture. </w:t>
      </w:r>
      <w:r w:rsidRPr="008C10B7">
        <w:rPr>
          <w:rFonts w:cs="Times New Roman"/>
          <w:i/>
          <w:iCs/>
          <w:sz w:val="20"/>
        </w:rPr>
        <w:t>Transportation Research Part D: Transport and Environment</w:t>
      </w:r>
      <w:r w:rsidRPr="008C10B7">
        <w:rPr>
          <w:rFonts w:cs="Times New Roman"/>
          <w:sz w:val="20"/>
        </w:rPr>
        <w:t xml:space="preserve">, </w:t>
      </w:r>
      <w:r w:rsidRPr="008C10B7">
        <w:rPr>
          <w:rFonts w:cs="Times New Roman"/>
          <w:i/>
          <w:iCs/>
          <w:sz w:val="20"/>
        </w:rPr>
        <w:t>15</w:t>
      </w:r>
      <w:r w:rsidRPr="008C10B7">
        <w:rPr>
          <w:rFonts w:cs="Times New Roman"/>
          <w:sz w:val="20"/>
        </w:rPr>
        <w:t>(2), 94–102. https://doi.org/10.1016/j.trd.2009.09.006</w:t>
      </w:r>
    </w:p>
    <w:p w14:paraId="5B0191A2" w14:textId="64CCD386" w:rsidR="006C285F" w:rsidRDefault="006C285F">
      <w:pPr>
        <w:autoSpaceDE w:val="0"/>
        <w:autoSpaceDN w:val="0"/>
        <w:adjustRightInd w:val="0"/>
        <w:ind w:left="480" w:hanging="480"/>
        <w:jc w:val="both"/>
        <w:rPr>
          <w:rFonts w:cs="Times New Roman"/>
          <w:sz w:val="20"/>
        </w:rPr>
      </w:pPr>
      <w:r>
        <w:rPr>
          <w:rFonts w:cs="Times New Roman"/>
          <w:sz w:val="20"/>
        </w:rPr>
        <w:t>Cao, M. (2019). Exploring the relation between transport and social equity: Empirical evidence from London and Beijing. PhD thesis, London, UCL.</w:t>
      </w:r>
    </w:p>
    <w:p w14:paraId="0AD97C8A" w14:textId="75445F1B" w:rsidR="00802DC5" w:rsidRPr="008C10B7" w:rsidRDefault="00802DC5">
      <w:pPr>
        <w:autoSpaceDE w:val="0"/>
        <w:autoSpaceDN w:val="0"/>
        <w:adjustRightInd w:val="0"/>
        <w:ind w:left="480" w:hanging="480"/>
        <w:jc w:val="both"/>
        <w:rPr>
          <w:rFonts w:ascii="SimSun" w:hAnsi="SimSun" w:cs="Times New Roman"/>
          <w:sz w:val="20"/>
        </w:rPr>
      </w:pPr>
      <w:r w:rsidRPr="008C10B7">
        <w:rPr>
          <w:rFonts w:cs="Times New Roman"/>
          <w:sz w:val="20"/>
        </w:rPr>
        <w:t xml:space="preserve">Cavill, N., &amp; Watkins, F. (2007). Cycling and health: An exploratory study of views about cycling in an area of North Liverpool, UK. </w:t>
      </w:r>
      <w:r w:rsidRPr="008C10B7">
        <w:rPr>
          <w:rFonts w:cs="Times New Roman"/>
          <w:i/>
          <w:iCs/>
          <w:sz w:val="20"/>
        </w:rPr>
        <w:t>Health Education</w:t>
      </w:r>
      <w:r w:rsidRPr="008C10B7">
        <w:rPr>
          <w:rFonts w:cs="Times New Roman"/>
          <w:sz w:val="20"/>
        </w:rPr>
        <w:t xml:space="preserve">, </w:t>
      </w:r>
      <w:r w:rsidRPr="008C10B7">
        <w:rPr>
          <w:rFonts w:cs="Times New Roman"/>
          <w:i/>
          <w:iCs/>
          <w:sz w:val="20"/>
        </w:rPr>
        <w:t>107</w:t>
      </w:r>
      <w:r w:rsidRPr="008C10B7">
        <w:rPr>
          <w:rFonts w:cs="Times New Roman"/>
          <w:sz w:val="20"/>
        </w:rPr>
        <w:t>(5), 404–420. https://doi.org/10.1108/09654280710778556</w:t>
      </w:r>
    </w:p>
    <w:p w14:paraId="55FAF172" w14:textId="3E505250" w:rsidR="00185616" w:rsidRPr="008C10B7" w:rsidRDefault="00185616" w:rsidP="00206AA5">
      <w:pPr>
        <w:autoSpaceDE w:val="0"/>
        <w:autoSpaceDN w:val="0"/>
        <w:adjustRightInd w:val="0"/>
        <w:ind w:left="480" w:hanging="480"/>
        <w:jc w:val="both"/>
        <w:rPr>
          <w:rFonts w:cs="Times New Roman"/>
          <w:sz w:val="20"/>
        </w:rPr>
      </w:pPr>
      <w:r w:rsidRPr="008C10B7">
        <w:rPr>
          <w:rFonts w:cs="Times New Roman"/>
          <w:sz w:val="20"/>
        </w:rPr>
        <w:t xml:space="preserve">Chacra, D. A., &amp; Zelek, J. (2016). Road segmentation in street view images using texture information. </w:t>
      </w:r>
      <w:r w:rsidRPr="008C10B7">
        <w:rPr>
          <w:rFonts w:cs="Times New Roman"/>
          <w:i/>
          <w:iCs/>
          <w:sz w:val="20"/>
        </w:rPr>
        <w:t>13</w:t>
      </w:r>
      <w:r w:rsidRPr="008C10B7">
        <w:rPr>
          <w:rFonts w:cs="Times New Roman"/>
          <w:i/>
          <w:iCs/>
          <w:sz w:val="20"/>
          <w:vertAlign w:val="superscript"/>
        </w:rPr>
        <w:t>th</w:t>
      </w:r>
      <w:r w:rsidRPr="008C10B7">
        <w:rPr>
          <w:rFonts w:cs="Times New Roman"/>
          <w:i/>
          <w:iCs/>
          <w:sz w:val="20"/>
        </w:rPr>
        <w:t xml:space="preserve"> Conference on Computer and Robot Vision (CRV),</w:t>
      </w:r>
      <w:r w:rsidRPr="008C10B7">
        <w:rPr>
          <w:rFonts w:cs="Times New Roman"/>
          <w:sz w:val="20"/>
        </w:rPr>
        <w:t xml:space="preserve"> 424-431. https://doi:10.1109/CRV.2016.47.</w:t>
      </w:r>
    </w:p>
    <w:p w14:paraId="0509DF10" w14:textId="0E8ADAA7" w:rsidR="00802DC5"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Chen, X. (2012). Statistical and activity-based modeling of university student travel behavior. </w:t>
      </w:r>
      <w:r w:rsidRPr="008C10B7">
        <w:rPr>
          <w:rFonts w:cs="Times New Roman"/>
          <w:i/>
          <w:iCs/>
          <w:sz w:val="20"/>
        </w:rPr>
        <w:t>Transportation Planning and Technology</w:t>
      </w:r>
      <w:r w:rsidRPr="008C10B7">
        <w:rPr>
          <w:rFonts w:cs="Times New Roman"/>
          <w:sz w:val="20"/>
        </w:rPr>
        <w:t xml:space="preserve">, </w:t>
      </w:r>
      <w:r w:rsidRPr="008C10B7">
        <w:rPr>
          <w:rFonts w:cs="Times New Roman"/>
          <w:i/>
          <w:iCs/>
          <w:sz w:val="20"/>
        </w:rPr>
        <w:t>35</w:t>
      </w:r>
      <w:r w:rsidRPr="008C10B7">
        <w:rPr>
          <w:rFonts w:cs="Times New Roman"/>
          <w:sz w:val="20"/>
        </w:rPr>
        <w:t>(5), 591–610. https://doi.org/10.1080/03081060.2012.701818</w:t>
      </w:r>
    </w:p>
    <w:p w14:paraId="7FF2E672" w14:textId="19619462" w:rsidR="006C285F" w:rsidRPr="008C10B7" w:rsidRDefault="006C285F" w:rsidP="00206AA5">
      <w:pPr>
        <w:autoSpaceDE w:val="0"/>
        <w:autoSpaceDN w:val="0"/>
        <w:adjustRightInd w:val="0"/>
        <w:ind w:left="480" w:hanging="480"/>
        <w:jc w:val="both"/>
        <w:rPr>
          <w:rFonts w:cs="Times New Roman"/>
          <w:sz w:val="20"/>
        </w:rPr>
      </w:pPr>
      <w:r>
        <w:rPr>
          <w:rFonts w:cs="Times New Roman"/>
          <w:sz w:val="20"/>
        </w:rPr>
        <w:t>Chen, L., Lu, Y., Ye, Y., Xiao, Y., &amp; Yang, L. (2022). Examining the association between the built environment and pedestrian volume using street view images.</w:t>
      </w:r>
      <w:r w:rsidRPr="006C285F">
        <w:rPr>
          <w:rFonts w:cs="Times New Roman"/>
          <w:i/>
          <w:iCs/>
          <w:sz w:val="20"/>
        </w:rPr>
        <w:t xml:space="preserve"> Cities,</w:t>
      </w:r>
      <w:r>
        <w:rPr>
          <w:rFonts w:cs="Times New Roman"/>
          <w:sz w:val="20"/>
        </w:rPr>
        <w:t xml:space="preserve"> 103734. doi:10.1016/j.cities.2022.103734.</w:t>
      </w:r>
    </w:p>
    <w:p w14:paraId="56727B1C" w14:textId="102C0156"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Christiansen, L. B., Cerin, E., Badland, H., Kerr, J., Davey, R., Troelsen, J., van Dyck, D., Mitáš, J., Schofield, G., Sugiyama, T., Salvo, D., Sarmiento, O. L., Reis, R., Adams, M., Frank, L., &amp; Sallis, J. F. (2016). International comparisons of the associations between objective measures of the built environment and transport-related walking and cycling: IPEN adult study. </w:t>
      </w:r>
      <w:r w:rsidRPr="008C10B7">
        <w:rPr>
          <w:rFonts w:cs="Times New Roman"/>
          <w:i/>
          <w:iCs/>
          <w:sz w:val="20"/>
        </w:rPr>
        <w:t>Journal of Transport and Health</w:t>
      </w:r>
      <w:r w:rsidRPr="008C10B7">
        <w:rPr>
          <w:rFonts w:cs="Times New Roman"/>
          <w:sz w:val="20"/>
        </w:rPr>
        <w:t xml:space="preserve">, </w:t>
      </w:r>
      <w:r w:rsidRPr="008C10B7">
        <w:rPr>
          <w:rFonts w:cs="Times New Roman"/>
          <w:i/>
          <w:iCs/>
          <w:sz w:val="20"/>
        </w:rPr>
        <w:t>3</w:t>
      </w:r>
      <w:r w:rsidRPr="008C10B7">
        <w:rPr>
          <w:rFonts w:cs="Times New Roman"/>
          <w:sz w:val="20"/>
        </w:rPr>
        <w:t>(4), 467–478. https://doi.org/10.1016/j.jth.2016.02.010</w:t>
      </w:r>
    </w:p>
    <w:p w14:paraId="033BFF69" w14:textId="2EDDB6F7" w:rsidR="00576593" w:rsidRPr="008C10B7" w:rsidRDefault="00576593" w:rsidP="00206AA5">
      <w:pPr>
        <w:autoSpaceDE w:val="0"/>
        <w:autoSpaceDN w:val="0"/>
        <w:adjustRightInd w:val="0"/>
        <w:ind w:left="480" w:hanging="480"/>
        <w:jc w:val="both"/>
        <w:rPr>
          <w:rFonts w:cs="Times New Roman"/>
          <w:sz w:val="20"/>
        </w:rPr>
      </w:pPr>
      <w:bookmarkStart w:id="76" w:name="_Hlk101010108"/>
      <w:r w:rsidRPr="008C10B7">
        <w:rPr>
          <w:rFonts w:cs="Times New Roman"/>
          <w:sz w:val="20"/>
        </w:rPr>
        <w:t xml:space="preserve">Cole, L. (2003). </w:t>
      </w:r>
      <w:r w:rsidRPr="008C10B7">
        <w:rPr>
          <w:rFonts w:cs="Times New Roman"/>
          <w:i/>
          <w:iCs/>
          <w:sz w:val="20"/>
        </w:rPr>
        <w:t>Assessing Sustainability on Canadian University Campuses: Development of Sustainability Assessment Framework</w:t>
      </w:r>
      <w:r w:rsidRPr="008C10B7">
        <w:rPr>
          <w:rFonts w:cs="Times New Roman"/>
          <w:sz w:val="20"/>
        </w:rPr>
        <w:t xml:space="preserve"> (Doctoral dissertation, Royal Roads University).</w:t>
      </w:r>
    </w:p>
    <w:bookmarkEnd w:id="76"/>
    <w:p w14:paraId="253ECB28" w14:textId="7777777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Ding, D., &amp; Gebel, K. (2012). Built environment, physical activity, and obesity: What have we learned from reviewing the literature? </w:t>
      </w:r>
      <w:r w:rsidRPr="008C10B7">
        <w:rPr>
          <w:rFonts w:cs="Times New Roman"/>
          <w:i/>
          <w:iCs/>
          <w:sz w:val="20"/>
        </w:rPr>
        <w:t>Health and Place</w:t>
      </w:r>
      <w:r w:rsidRPr="008C10B7">
        <w:rPr>
          <w:rFonts w:cs="Times New Roman"/>
          <w:sz w:val="20"/>
        </w:rPr>
        <w:t xml:space="preserve">, </w:t>
      </w:r>
      <w:r w:rsidRPr="008C10B7">
        <w:rPr>
          <w:rFonts w:cs="Times New Roman"/>
          <w:i/>
          <w:iCs/>
          <w:sz w:val="20"/>
        </w:rPr>
        <w:t>18</w:t>
      </w:r>
      <w:r w:rsidRPr="008C10B7">
        <w:rPr>
          <w:rFonts w:cs="Times New Roman"/>
          <w:sz w:val="20"/>
        </w:rPr>
        <w:t>(1), 100–105. https://doi.org/10.1016/j.healthplace.2011.08.021</w:t>
      </w:r>
    </w:p>
    <w:p w14:paraId="75047AE5" w14:textId="0FEE3706"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Du, H., Jiang, H., Song, X., Zhan, D., &amp; Bao, Z. (2016). Assessing the </w:t>
      </w:r>
      <w:r w:rsidR="005B265C" w:rsidRPr="008C10B7">
        <w:rPr>
          <w:rFonts w:cs="Times New Roman"/>
          <w:sz w:val="20"/>
        </w:rPr>
        <w:t>v</w:t>
      </w:r>
      <w:r w:rsidRPr="008C10B7">
        <w:rPr>
          <w:rFonts w:cs="Times New Roman"/>
          <w:sz w:val="20"/>
        </w:rPr>
        <w:t xml:space="preserve">isual </w:t>
      </w:r>
      <w:r w:rsidR="005B265C" w:rsidRPr="008C10B7">
        <w:rPr>
          <w:rFonts w:cs="Times New Roman"/>
          <w:sz w:val="20"/>
        </w:rPr>
        <w:t>a</w:t>
      </w:r>
      <w:r w:rsidRPr="008C10B7">
        <w:rPr>
          <w:rFonts w:cs="Times New Roman"/>
          <w:sz w:val="20"/>
        </w:rPr>
        <w:t xml:space="preserve">esthetic </w:t>
      </w:r>
      <w:r w:rsidR="005B265C" w:rsidRPr="008C10B7">
        <w:rPr>
          <w:rFonts w:cs="Times New Roman"/>
          <w:sz w:val="20"/>
        </w:rPr>
        <w:t>q</w:t>
      </w:r>
      <w:r w:rsidRPr="008C10B7">
        <w:rPr>
          <w:rFonts w:cs="Times New Roman"/>
          <w:sz w:val="20"/>
        </w:rPr>
        <w:t xml:space="preserve">uality of </w:t>
      </w:r>
      <w:r w:rsidR="005B265C" w:rsidRPr="008C10B7">
        <w:rPr>
          <w:rFonts w:cs="Times New Roman"/>
          <w:sz w:val="20"/>
        </w:rPr>
        <w:t>v</w:t>
      </w:r>
      <w:r w:rsidRPr="008C10B7">
        <w:rPr>
          <w:rFonts w:cs="Times New Roman"/>
          <w:sz w:val="20"/>
        </w:rPr>
        <w:t xml:space="preserve">egetation </w:t>
      </w:r>
      <w:r w:rsidR="005B265C" w:rsidRPr="008C10B7">
        <w:rPr>
          <w:rFonts w:cs="Times New Roman"/>
          <w:sz w:val="20"/>
        </w:rPr>
        <w:t>l</w:t>
      </w:r>
      <w:r w:rsidRPr="008C10B7">
        <w:rPr>
          <w:rFonts w:cs="Times New Roman"/>
          <w:sz w:val="20"/>
        </w:rPr>
        <w:t xml:space="preserve">andscape in </w:t>
      </w:r>
      <w:r w:rsidR="005B265C" w:rsidRPr="008C10B7">
        <w:rPr>
          <w:rFonts w:cs="Times New Roman"/>
          <w:sz w:val="20"/>
        </w:rPr>
        <w:t>u</w:t>
      </w:r>
      <w:r w:rsidRPr="008C10B7">
        <w:rPr>
          <w:rFonts w:cs="Times New Roman"/>
          <w:sz w:val="20"/>
        </w:rPr>
        <w:t xml:space="preserve">rban </w:t>
      </w:r>
      <w:r w:rsidR="005B265C" w:rsidRPr="008C10B7">
        <w:rPr>
          <w:rFonts w:cs="Times New Roman"/>
          <w:sz w:val="20"/>
        </w:rPr>
        <w:t>g</w:t>
      </w:r>
      <w:r w:rsidRPr="008C10B7">
        <w:rPr>
          <w:rFonts w:cs="Times New Roman"/>
          <w:sz w:val="20"/>
        </w:rPr>
        <w:t xml:space="preserve">reen </w:t>
      </w:r>
      <w:r w:rsidR="005B265C" w:rsidRPr="008C10B7">
        <w:rPr>
          <w:rFonts w:cs="Times New Roman"/>
          <w:sz w:val="20"/>
        </w:rPr>
        <w:t>s</w:t>
      </w:r>
      <w:r w:rsidRPr="008C10B7">
        <w:rPr>
          <w:rFonts w:cs="Times New Roman"/>
          <w:sz w:val="20"/>
        </w:rPr>
        <w:t xml:space="preserve">pace from a </w:t>
      </w:r>
      <w:r w:rsidR="005B265C" w:rsidRPr="008C10B7">
        <w:rPr>
          <w:rFonts w:cs="Times New Roman"/>
          <w:sz w:val="20"/>
        </w:rPr>
        <w:t>v</w:t>
      </w:r>
      <w:r w:rsidRPr="008C10B7">
        <w:rPr>
          <w:rFonts w:cs="Times New Roman"/>
          <w:sz w:val="20"/>
        </w:rPr>
        <w:t xml:space="preserve">isitor’s </w:t>
      </w:r>
      <w:r w:rsidR="005B265C" w:rsidRPr="008C10B7">
        <w:rPr>
          <w:rFonts w:cs="Times New Roman"/>
          <w:sz w:val="20"/>
        </w:rPr>
        <w:t>p</w:t>
      </w:r>
      <w:r w:rsidRPr="008C10B7">
        <w:rPr>
          <w:rFonts w:cs="Times New Roman"/>
          <w:sz w:val="20"/>
        </w:rPr>
        <w:t xml:space="preserve">erspective. </w:t>
      </w:r>
      <w:r w:rsidRPr="008C10B7">
        <w:rPr>
          <w:rFonts w:cs="Times New Roman"/>
          <w:i/>
          <w:iCs/>
          <w:sz w:val="20"/>
        </w:rPr>
        <w:t>Journal of Urban Planning and Development</w:t>
      </w:r>
      <w:r w:rsidRPr="008C10B7">
        <w:rPr>
          <w:rFonts w:cs="Times New Roman"/>
          <w:sz w:val="20"/>
        </w:rPr>
        <w:t xml:space="preserve">, </w:t>
      </w:r>
      <w:r w:rsidRPr="008C10B7">
        <w:rPr>
          <w:rFonts w:cs="Times New Roman"/>
          <w:i/>
          <w:iCs/>
          <w:sz w:val="20"/>
        </w:rPr>
        <w:t>142</w:t>
      </w:r>
      <w:r w:rsidRPr="008C10B7">
        <w:rPr>
          <w:rFonts w:cs="Times New Roman"/>
          <w:sz w:val="20"/>
        </w:rPr>
        <w:t>(3), 04016007. https://doi.org/10.1061/(asce)up.1943-5444.0000329</w:t>
      </w:r>
    </w:p>
    <w:p w14:paraId="36459733" w14:textId="7777777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lastRenderedPageBreak/>
        <w:t xml:space="preserve">Etminani-Ghasrodashti, R., Paydar, M., &amp; Hamidi, S. (2018). University-related travel behavior: Young adults’ decision-making in Iran. </w:t>
      </w:r>
      <w:r w:rsidRPr="008C10B7">
        <w:rPr>
          <w:rFonts w:cs="Times New Roman"/>
          <w:i/>
          <w:iCs/>
          <w:sz w:val="20"/>
        </w:rPr>
        <w:t>Sustainable Cities and Society</w:t>
      </w:r>
      <w:r w:rsidRPr="008C10B7">
        <w:rPr>
          <w:rFonts w:cs="Times New Roman"/>
          <w:sz w:val="20"/>
        </w:rPr>
        <w:t xml:space="preserve">, </w:t>
      </w:r>
      <w:r w:rsidRPr="008C10B7">
        <w:rPr>
          <w:rFonts w:cs="Times New Roman"/>
          <w:i/>
          <w:iCs/>
          <w:sz w:val="20"/>
        </w:rPr>
        <w:t>43</w:t>
      </w:r>
      <w:r w:rsidRPr="008C10B7">
        <w:rPr>
          <w:rFonts w:cs="Times New Roman"/>
          <w:sz w:val="20"/>
        </w:rPr>
        <w:t>, 495–508. https://doi.org/10.1016/j.scs.2018.09.011</w:t>
      </w:r>
    </w:p>
    <w:p w14:paraId="26C6498F" w14:textId="1E53B7CC"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Fraser, S. D. S., &amp; Lock, K. (2011). Cycling for transport and public health: A systematic review of the effect of the environment on cycling. </w:t>
      </w:r>
      <w:r w:rsidRPr="008C10B7">
        <w:rPr>
          <w:rFonts w:cs="Times New Roman"/>
          <w:i/>
          <w:iCs/>
          <w:sz w:val="20"/>
        </w:rPr>
        <w:t>European Journal of Public Health 21</w:t>
      </w:r>
      <w:r w:rsidRPr="008C10B7">
        <w:rPr>
          <w:rFonts w:cs="Times New Roman"/>
          <w:sz w:val="20"/>
        </w:rPr>
        <w:t>(6), 738–743. https://doi.org/10.1093/eurpub/ckq145</w:t>
      </w:r>
    </w:p>
    <w:p w14:paraId="2000B81C" w14:textId="4018DCE4"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Goldstein, H. (2011). </w:t>
      </w:r>
      <w:r w:rsidRPr="008C10B7">
        <w:rPr>
          <w:rFonts w:cs="Times New Roman"/>
          <w:i/>
          <w:iCs/>
          <w:sz w:val="20"/>
        </w:rPr>
        <w:t xml:space="preserve">Multilevel </w:t>
      </w:r>
      <w:r w:rsidR="005B265C" w:rsidRPr="008C10B7">
        <w:rPr>
          <w:rFonts w:cs="Times New Roman"/>
          <w:i/>
          <w:iCs/>
          <w:sz w:val="20"/>
        </w:rPr>
        <w:t>S</w:t>
      </w:r>
      <w:r w:rsidRPr="008C10B7">
        <w:rPr>
          <w:rFonts w:cs="Times New Roman"/>
          <w:i/>
          <w:iCs/>
          <w:sz w:val="20"/>
        </w:rPr>
        <w:t xml:space="preserve">tatistical </w:t>
      </w:r>
      <w:r w:rsidR="005B265C" w:rsidRPr="008C10B7">
        <w:rPr>
          <w:rFonts w:cs="Times New Roman"/>
          <w:i/>
          <w:iCs/>
          <w:sz w:val="20"/>
        </w:rPr>
        <w:t>M</w:t>
      </w:r>
      <w:r w:rsidRPr="008C10B7">
        <w:rPr>
          <w:rFonts w:cs="Times New Roman"/>
          <w:i/>
          <w:iCs/>
          <w:sz w:val="20"/>
        </w:rPr>
        <w:t>odels</w:t>
      </w:r>
      <w:r w:rsidR="005B265C" w:rsidRPr="008C10B7">
        <w:rPr>
          <w:rFonts w:cs="Times New Roman"/>
          <w:i/>
          <w:iCs/>
          <w:sz w:val="20"/>
        </w:rPr>
        <w:t xml:space="preserve"> (4</w:t>
      </w:r>
      <w:r w:rsidR="005B265C" w:rsidRPr="008C10B7">
        <w:rPr>
          <w:rFonts w:cs="Times New Roman"/>
          <w:i/>
          <w:iCs/>
          <w:sz w:val="20"/>
          <w:vertAlign w:val="superscript"/>
        </w:rPr>
        <w:t>th</w:t>
      </w:r>
      <w:r w:rsidR="005B265C" w:rsidRPr="008C10B7">
        <w:rPr>
          <w:rFonts w:cs="Times New Roman"/>
          <w:i/>
          <w:iCs/>
          <w:sz w:val="20"/>
        </w:rPr>
        <w:t xml:space="preserve"> ed.)</w:t>
      </w:r>
      <w:r w:rsidRPr="008C10B7">
        <w:rPr>
          <w:rFonts w:cs="Times New Roman"/>
          <w:sz w:val="20"/>
        </w:rPr>
        <w:t xml:space="preserve">. </w:t>
      </w:r>
      <w:r w:rsidR="005B265C" w:rsidRPr="008C10B7">
        <w:rPr>
          <w:rFonts w:cs="Times New Roman"/>
          <w:sz w:val="20"/>
        </w:rPr>
        <w:t xml:space="preserve">Chichester: </w:t>
      </w:r>
      <w:r w:rsidRPr="008C10B7">
        <w:rPr>
          <w:rFonts w:cs="Times New Roman"/>
          <w:sz w:val="20"/>
        </w:rPr>
        <w:t>John Wiley &amp; Sons.</w:t>
      </w:r>
    </w:p>
    <w:p w14:paraId="56A3D6BF" w14:textId="46B4B8D6"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Greenland, S., Mansournia, M. A., &amp; Altman, D. G. (2016). Sparse data bias: A problem hiding in plain sight. </w:t>
      </w:r>
      <w:r w:rsidRPr="008C10B7">
        <w:rPr>
          <w:rFonts w:cs="Times New Roman"/>
          <w:i/>
          <w:iCs/>
          <w:sz w:val="20"/>
        </w:rPr>
        <w:t>BMJ (Online)</w:t>
      </w:r>
      <w:r w:rsidRPr="008C10B7">
        <w:rPr>
          <w:rFonts w:cs="Times New Roman"/>
          <w:sz w:val="20"/>
        </w:rPr>
        <w:t xml:space="preserve">, </w:t>
      </w:r>
      <w:r w:rsidRPr="008C10B7">
        <w:rPr>
          <w:rFonts w:cs="Times New Roman"/>
          <w:i/>
          <w:iCs/>
          <w:sz w:val="20"/>
        </w:rPr>
        <w:t>35</w:t>
      </w:r>
      <w:r w:rsidR="005B265C" w:rsidRPr="008C10B7">
        <w:rPr>
          <w:rFonts w:cs="Times New Roman"/>
          <w:i/>
          <w:iCs/>
          <w:sz w:val="20"/>
        </w:rPr>
        <w:t>2,</w:t>
      </w:r>
      <w:r w:rsidR="005B265C" w:rsidRPr="008C10B7">
        <w:rPr>
          <w:rFonts w:cs="Times New Roman"/>
          <w:sz w:val="20"/>
        </w:rPr>
        <w:t xml:space="preserve"> i1981</w:t>
      </w:r>
      <w:r w:rsidRPr="008C10B7">
        <w:rPr>
          <w:rFonts w:cs="Times New Roman"/>
          <w:sz w:val="20"/>
        </w:rPr>
        <w:t>. https://doi.org/10.1136/bmj.i1981</w:t>
      </w:r>
    </w:p>
    <w:p w14:paraId="66724FA6" w14:textId="2487372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Hartig, T., Mitchell, R., de Vries, S., &amp; Frumkin, H. (2014). Nature and</w:t>
      </w:r>
      <w:r w:rsidR="005B265C" w:rsidRPr="008C10B7">
        <w:rPr>
          <w:rFonts w:cs="Times New Roman"/>
          <w:sz w:val="20"/>
        </w:rPr>
        <w:t xml:space="preserve"> h</w:t>
      </w:r>
      <w:r w:rsidRPr="008C10B7">
        <w:rPr>
          <w:rFonts w:cs="Times New Roman"/>
          <w:sz w:val="20"/>
        </w:rPr>
        <w:t xml:space="preserve">ealth. </w:t>
      </w:r>
      <w:r w:rsidRPr="008C10B7">
        <w:rPr>
          <w:rFonts w:cs="Times New Roman"/>
          <w:i/>
          <w:iCs/>
          <w:sz w:val="20"/>
        </w:rPr>
        <w:t>Annual Review of Public Health</w:t>
      </w:r>
      <w:r w:rsidRPr="008C10B7">
        <w:rPr>
          <w:rFonts w:cs="Times New Roman"/>
          <w:sz w:val="20"/>
        </w:rPr>
        <w:t xml:space="preserve">, </w:t>
      </w:r>
      <w:r w:rsidRPr="008C10B7">
        <w:rPr>
          <w:rFonts w:cs="Times New Roman"/>
          <w:i/>
          <w:iCs/>
          <w:sz w:val="20"/>
        </w:rPr>
        <w:t>35</w:t>
      </w:r>
      <w:r w:rsidRPr="008C10B7">
        <w:rPr>
          <w:rFonts w:cs="Times New Roman"/>
          <w:sz w:val="20"/>
        </w:rPr>
        <w:t>(1), 207–228. https://doi.org/10.1146/annurev-publhealth-032013-182443</w:t>
      </w:r>
    </w:p>
    <w:p w14:paraId="4A669395" w14:textId="7777777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Hasnine, M. S., Lin, T. Y., Weiss, A., &amp; Habib, K. N. (2018). Determinants of travel mode choices of post-secondary students in a large metropolitan area: The case of the city of Toronto. </w:t>
      </w:r>
      <w:r w:rsidRPr="008C10B7">
        <w:rPr>
          <w:rFonts w:cs="Times New Roman"/>
          <w:i/>
          <w:iCs/>
          <w:sz w:val="20"/>
        </w:rPr>
        <w:t>Journal of Transport Geography</w:t>
      </w:r>
      <w:r w:rsidRPr="008C10B7">
        <w:rPr>
          <w:rFonts w:cs="Times New Roman"/>
          <w:sz w:val="20"/>
        </w:rPr>
        <w:t xml:space="preserve">, </w:t>
      </w:r>
      <w:r w:rsidRPr="008C10B7">
        <w:rPr>
          <w:rFonts w:cs="Times New Roman"/>
          <w:i/>
          <w:iCs/>
          <w:sz w:val="20"/>
        </w:rPr>
        <w:t>70</w:t>
      </w:r>
      <w:r w:rsidRPr="008C10B7">
        <w:rPr>
          <w:rFonts w:cs="Times New Roman"/>
          <w:sz w:val="20"/>
        </w:rPr>
        <w:t>, 161–171. https://doi.org/10.1016/j.jtrangeo.2018.06.003</w:t>
      </w:r>
    </w:p>
    <w:p w14:paraId="5C3893C5" w14:textId="7777777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Helbich, M. (2018). Toward dynamic urban environmental exposure assessments in mental health research. </w:t>
      </w:r>
      <w:r w:rsidRPr="008C10B7">
        <w:rPr>
          <w:rFonts w:cs="Times New Roman"/>
          <w:i/>
          <w:iCs/>
          <w:sz w:val="20"/>
        </w:rPr>
        <w:t>Environmental Research</w:t>
      </w:r>
      <w:r w:rsidRPr="008C10B7">
        <w:rPr>
          <w:rFonts w:cs="Times New Roman"/>
          <w:sz w:val="20"/>
        </w:rPr>
        <w:t xml:space="preserve">, </w:t>
      </w:r>
      <w:r w:rsidRPr="008C10B7">
        <w:rPr>
          <w:rFonts w:cs="Times New Roman"/>
          <w:i/>
          <w:iCs/>
          <w:sz w:val="20"/>
        </w:rPr>
        <w:t>161</w:t>
      </w:r>
      <w:r w:rsidRPr="008C10B7">
        <w:rPr>
          <w:rFonts w:cs="Times New Roman"/>
          <w:sz w:val="20"/>
        </w:rPr>
        <w:t>, 129–135. https://doi.org/10.1016/j.envres.2017.11.006</w:t>
      </w:r>
    </w:p>
    <w:p w14:paraId="0189C1D7" w14:textId="7777777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Helbich, M., Yao, Y., Liu, Y., Zhang, J., Liu, P., &amp; Wang, R. (2019). Using deep learning to examine street view green and blue spaces and their associations with geriatric depression in Beijing, China. </w:t>
      </w:r>
      <w:r w:rsidRPr="008C10B7">
        <w:rPr>
          <w:rFonts w:cs="Times New Roman"/>
          <w:i/>
          <w:iCs/>
          <w:sz w:val="20"/>
        </w:rPr>
        <w:t>Environment International</w:t>
      </w:r>
      <w:r w:rsidRPr="008C10B7">
        <w:rPr>
          <w:rFonts w:cs="Times New Roman"/>
          <w:sz w:val="20"/>
        </w:rPr>
        <w:t xml:space="preserve">, </w:t>
      </w:r>
      <w:r w:rsidRPr="008C10B7">
        <w:rPr>
          <w:rFonts w:cs="Times New Roman"/>
          <w:i/>
          <w:iCs/>
          <w:sz w:val="20"/>
        </w:rPr>
        <w:t>126</w:t>
      </w:r>
      <w:r w:rsidRPr="008C10B7">
        <w:rPr>
          <w:rFonts w:cs="Times New Roman"/>
          <w:sz w:val="20"/>
        </w:rPr>
        <w:t>, 107–117. https://doi.org/10.1016/j.envint.2019.02.013</w:t>
      </w:r>
    </w:p>
    <w:p w14:paraId="1CDDFD58" w14:textId="1B47A256"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Hoedl, S., Titze, S., &amp; Oja, P. (2010). The </w:t>
      </w:r>
      <w:r w:rsidR="005B265C" w:rsidRPr="008C10B7">
        <w:rPr>
          <w:rFonts w:cs="Times New Roman"/>
          <w:sz w:val="20"/>
        </w:rPr>
        <w:t>b</w:t>
      </w:r>
      <w:r w:rsidRPr="008C10B7">
        <w:rPr>
          <w:rFonts w:cs="Times New Roman"/>
          <w:sz w:val="20"/>
        </w:rPr>
        <w:t xml:space="preserve">ikeability and </w:t>
      </w:r>
      <w:r w:rsidR="005B265C" w:rsidRPr="008C10B7">
        <w:rPr>
          <w:rFonts w:cs="Times New Roman"/>
          <w:sz w:val="20"/>
        </w:rPr>
        <w:t>w</w:t>
      </w:r>
      <w:r w:rsidRPr="008C10B7">
        <w:rPr>
          <w:rFonts w:cs="Times New Roman"/>
          <w:sz w:val="20"/>
        </w:rPr>
        <w:t xml:space="preserve">alkability evaluation table: Reliability and application. </w:t>
      </w:r>
      <w:r w:rsidRPr="008C10B7">
        <w:rPr>
          <w:rFonts w:cs="Times New Roman"/>
          <w:i/>
          <w:iCs/>
          <w:sz w:val="20"/>
        </w:rPr>
        <w:t>American Journal of Preventive Medicine</w:t>
      </w:r>
      <w:r w:rsidRPr="008C10B7">
        <w:rPr>
          <w:rFonts w:cs="Times New Roman"/>
          <w:sz w:val="20"/>
        </w:rPr>
        <w:t xml:space="preserve">, </w:t>
      </w:r>
      <w:r w:rsidRPr="008C10B7">
        <w:rPr>
          <w:rFonts w:cs="Times New Roman"/>
          <w:i/>
          <w:iCs/>
          <w:sz w:val="20"/>
        </w:rPr>
        <w:t>39</w:t>
      </w:r>
      <w:r w:rsidRPr="008C10B7">
        <w:rPr>
          <w:rFonts w:cs="Times New Roman"/>
          <w:sz w:val="20"/>
        </w:rPr>
        <w:t>(5), 457–459. https://doi.org/10.1016/j.amepre.2010.07.005</w:t>
      </w:r>
    </w:p>
    <w:p w14:paraId="0B4CE134" w14:textId="7777777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Hogendorf, M., Oude Groeniger, J., Noordzij, J. M., Beenackers, M. A., &amp; van Lenthe, F. J. (2020). Longitudinal effects of urban green space on walking and cycling: A fixed effects analysis. </w:t>
      </w:r>
      <w:r w:rsidRPr="008C10B7">
        <w:rPr>
          <w:rFonts w:cs="Times New Roman"/>
          <w:i/>
          <w:iCs/>
          <w:sz w:val="20"/>
        </w:rPr>
        <w:t>Health and Place</w:t>
      </w:r>
      <w:r w:rsidRPr="008C10B7">
        <w:rPr>
          <w:rFonts w:cs="Times New Roman"/>
          <w:sz w:val="20"/>
        </w:rPr>
        <w:t xml:space="preserve">, </w:t>
      </w:r>
      <w:r w:rsidRPr="008C10B7">
        <w:rPr>
          <w:rFonts w:cs="Times New Roman"/>
          <w:i/>
          <w:iCs/>
          <w:sz w:val="20"/>
        </w:rPr>
        <w:t>61</w:t>
      </w:r>
      <w:r w:rsidRPr="008C10B7">
        <w:rPr>
          <w:rFonts w:cs="Times New Roman"/>
          <w:sz w:val="20"/>
        </w:rPr>
        <w:t>, 102264. https://doi.org/10.1016/j.healthplace.2019.102264</w:t>
      </w:r>
    </w:p>
    <w:p w14:paraId="1F684AC4" w14:textId="7777777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Hu, J., Zhong, G., Cheng, Z., &amp; Wang, D. (2012). GIS-based road safety evaluation model for cyclist in campus of Higher Education Mega Center. </w:t>
      </w:r>
      <w:r w:rsidRPr="008C10B7">
        <w:rPr>
          <w:rFonts w:cs="Times New Roman"/>
          <w:i/>
          <w:iCs/>
          <w:sz w:val="20"/>
        </w:rPr>
        <w:t>IEEE Conference on Intelligent Transportation Systems, Proceedings, ITSC</w:t>
      </w:r>
      <w:r w:rsidRPr="008C10B7">
        <w:rPr>
          <w:rFonts w:cs="Times New Roman"/>
          <w:sz w:val="20"/>
        </w:rPr>
        <w:t>, 1127–1131. https://doi.org/10.1109/itsc.2012.6338868</w:t>
      </w:r>
    </w:p>
    <w:p w14:paraId="3E38B6D0" w14:textId="11C6009F" w:rsidR="00C03115" w:rsidRPr="008C10B7" w:rsidRDefault="00C03115" w:rsidP="00206AA5">
      <w:pPr>
        <w:autoSpaceDE w:val="0"/>
        <w:autoSpaceDN w:val="0"/>
        <w:adjustRightInd w:val="0"/>
        <w:ind w:left="480" w:hanging="480"/>
        <w:jc w:val="both"/>
        <w:rPr>
          <w:rFonts w:cs="Times New Roman"/>
          <w:sz w:val="20"/>
        </w:rPr>
      </w:pPr>
      <w:r w:rsidRPr="008C10B7">
        <w:rPr>
          <w:rFonts w:cs="Times New Roman"/>
          <w:sz w:val="20"/>
        </w:rPr>
        <w:t xml:space="preserve">Kang, Y., Zhang, F., Gao, S., Lin, H., &amp; Liu, Y. (2020). A review of urban physical environment sensing using street view imagery in public health studies. </w:t>
      </w:r>
      <w:r w:rsidRPr="008C10B7">
        <w:rPr>
          <w:rFonts w:cs="Times New Roman"/>
          <w:i/>
          <w:iCs/>
          <w:sz w:val="20"/>
        </w:rPr>
        <w:t>Annals of GIS, 26</w:t>
      </w:r>
      <w:r w:rsidRPr="008C10B7">
        <w:rPr>
          <w:rFonts w:cs="Times New Roman"/>
          <w:sz w:val="20"/>
        </w:rPr>
        <w:t>(3), 261–275. https://doi.org/10.1080/19475683.2020.1791954</w:t>
      </w:r>
    </w:p>
    <w:p w14:paraId="1DD43638" w14:textId="237982D4"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Khattak, A., Wang, X., Son, S., &amp; Agnello, P. (2011). Travel by </w:t>
      </w:r>
      <w:r w:rsidR="005B265C" w:rsidRPr="008C10B7">
        <w:rPr>
          <w:rFonts w:cs="Times New Roman"/>
          <w:sz w:val="20"/>
        </w:rPr>
        <w:t>u</w:t>
      </w:r>
      <w:r w:rsidRPr="008C10B7">
        <w:rPr>
          <w:rFonts w:cs="Times New Roman"/>
          <w:sz w:val="20"/>
        </w:rPr>
        <w:t xml:space="preserve">niversity </w:t>
      </w:r>
      <w:r w:rsidR="005B265C" w:rsidRPr="008C10B7">
        <w:rPr>
          <w:rFonts w:cs="Times New Roman"/>
          <w:sz w:val="20"/>
        </w:rPr>
        <w:t>s</w:t>
      </w:r>
      <w:r w:rsidRPr="008C10B7">
        <w:rPr>
          <w:rFonts w:cs="Times New Roman"/>
          <w:sz w:val="20"/>
        </w:rPr>
        <w:t xml:space="preserve">tudents in Virginia. </w:t>
      </w:r>
      <w:r w:rsidRPr="008C10B7">
        <w:rPr>
          <w:rFonts w:cs="Times New Roman"/>
          <w:i/>
          <w:iCs/>
          <w:sz w:val="20"/>
        </w:rPr>
        <w:t>Transportation Research Record: Journal of the Transportation Research Board</w:t>
      </w:r>
      <w:r w:rsidRPr="008C10B7">
        <w:rPr>
          <w:rFonts w:cs="Times New Roman"/>
          <w:sz w:val="20"/>
        </w:rPr>
        <w:t xml:space="preserve">, </w:t>
      </w:r>
      <w:r w:rsidRPr="008C10B7">
        <w:rPr>
          <w:rFonts w:cs="Times New Roman"/>
          <w:i/>
          <w:iCs/>
          <w:sz w:val="20"/>
        </w:rPr>
        <w:t>2255</w:t>
      </w:r>
      <w:r w:rsidRPr="008C10B7">
        <w:rPr>
          <w:rFonts w:cs="Times New Roman"/>
          <w:sz w:val="20"/>
        </w:rPr>
        <w:t>(1), 137–145. https://doi.org/10.3141/2255-15</w:t>
      </w:r>
    </w:p>
    <w:p w14:paraId="77D84722" w14:textId="2065CB56"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Krenn, P</w:t>
      </w:r>
      <w:r w:rsidR="005B265C" w:rsidRPr="008C10B7">
        <w:rPr>
          <w:rFonts w:cs="Times New Roman"/>
          <w:sz w:val="20"/>
        </w:rPr>
        <w:t xml:space="preserve">. </w:t>
      </w:r>
      <w:r w:rsidRPr="008C10B7">
        <w:rPr>
          <w:rFonts w:cs="Times New Roman"/>
          <w:sz w:val="20"/>
        </w:rPr>
        <w:t xml:space="preserve">J., Oja, P., &amp; Titze, S. (2014). Route choices of transport bicyclists: A comparison of actually used and shortest routes. </w:t>
      </w:r>
      <w:r w:rsidRPr="008C10B7">
        <w:rPr>
          <w:rFonts w:cs="Times New Roman"/>
          <w:i/>
          <w:iCs/>
          <w:sz w:val="20"/>
        </w:rPr>
        <w:t>International Journal of Behavioral Nutrition and Physical Activity</w:t>
      </w:r>
      <w:r w:rsidRPr="008C10B7">
        <w:rPr>
          <w:rFonts w:cs="Times New Roman"/>
          <w:sz w:val="20"/>
        </w:rPr>
        <w:t xml:space="preserve">, </w:t>
      </w:r>
      <w:r w:rsidRPr="008C10B7">
        <w:rPr>
          <w:rFonts w:cs="Times New Roman"/>
          <w:i/>
          <w:iCs/>
          <w:sz w:val="20"/>
        </w:rPr>
        <w:t>11</w:t>
      </w:r>
      <w:r w:rsidRPr="008C10B7">
        <w:rPr>
          <w:rFonts w:cs="Times New Roman"/>
          <w:sz w:val="20"/>
        </w:rPr>
        <w:t>(1), 1–7. https://doi.org/10.1186/1479-5868-11-31</w:t>
      </w:r>
    </w:p>
    <w:p w14:paraId="3F2DEC8C" w14:textId="5E948202"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Krenn, </w:t>
      </w:r>
      <w:r w:rsidR="005B265C" w:rsidRPr="008C10B7">
        <w:rPr>
          <w:rFonts w:cs="Times New Roman"/>
          <w:sz w:val="20"/>
        </w:rPr>
        <w:t>P. J.</w:t>
      </w:r>
      <w:r w:rsidRPr="008C10B7">
        <w:rPr>
          <w:rFonts w:cs="Times New Roman"/>
          <w:sz w:val="20"/>
        </w:rPr>
        <w:t xml:space="preserve">, Oja, P., &amp; Titze, S. (2015). Development of a </w:t>
      </w:r>
      <w:r w:rsidR="005B265C" w:rsidRPr="008C10B7">
        <w:rPr>
          <w:rFonts w:cs="Times New Roman"/>
          <w:sz w:val="20"/>
        </w:rPr>
        <w:t>b</w:t>
      </w:r>
      <w:r w:rsidRPr="008C10B7">
        <w:rPr>
          <w:rFonts w:cs="Times New Roman"/>
          <w:sz w:val="20"/>
        </w:rPr>
        <w:t xml:space="preserve">ikeability </w:t>
      </w:r>
      <w:r w:rsidR="005B265C" w:rsidRPr="008C10B7">
        <w:rPr>
          <w:rFonts w:cs="Times New Roman"/>
          <w:sz w:val="20"/>
        </w:rPr>
        <w:t>i</w:t>
      </w:r>
      <w:r w:rsidRPr="008C10B7">
        <w:rPr>
          <w:rFonts w:cs="Times New Roman"/>
          <w:sz w:val="20"/>
        </w:rPr>
        <w:t xml:space="preserve">ndex to </w:t>
      </w:r>
      <w:r w:rsidR="005B265C" w:rsidRPr="008C10B7">
        <w:rPr>
          <w:rFonts w:cs="Times New Roman"/>
          <w:sz w:val="20"/>
        </w:rPr>
        <w:t>a</w:t>
      </w:r>
      <w:r w:rsidRPr="008C10B7">
        <w:rPr>
          <w:rFonts w:cs="Times New Roman"/>
          <w:sz w:val="20"/>
        </w:rPr>
        <w:t xml:space="preserve">ssess the </w:t>
      </w:r>
      <w:r w:rsidR="005B265C" w:rsidRPr="008C10B7">
        <w:rPr>
          <w:rFonts w:cs="Times New Roman"/>
          <w:sz w:val="20"/>
        </w:rPr>
        <w:t>b</w:t>
      </w:r>
      <w:r w:rsidRPr="008C10B7">
        <w:rPr>
          <w:rFonts w:cs="Times New Roman"/>
          <w:sz w:val="20"/>
        </w:rPr>
        <w:t>icycle-</w:t>
      </w:r>
      <w:r w:rsidR="005B265C" w:rsidRPr="008C10B7">
        <w:rPr>
          <w:rFonts w:cs="Times New Roman"/>
          <w:sz w:val="20"/>
        </w:rPr>
        <w:t>f</w:t>
      </w:r>
      <w:r w:rsidRPr="008C10B7">
        <w:rPr>
          <w:rFonts w:cs="Times New Roman"/>
          <w:sz w:val="20"/>
        </w:rPr>
        <w:t xml:space="preserve">riendliness of </w:t>
      </w:r>
      <w:r w:rsidR="005B265C" w:rsidRPr="008C10B7">
        <w:rPr>
          <w:rFonts w:cs="Times New Roman"/>
          <w:sz w:val="20"/>
        </w:rPr>
        <w:t>u</w:t>
      </w:r>
      <w:r w:rsidRPr="008C10B7">
        <w:rPr>
          <w:rFonts w:cs="Times New Roman"/>
          <w:sz w:val="20"/>
        </w:rPr>
        <w:t xml:space="preserve">rban </w:t>
      </w:r>
      <w:r w:rsidR="005B265C" w:rsidRPr="008C10B7">
        <w:rPr>
          <w:rFonts w:cs="Times New Roman"/>
          <w:sz w:val="20"/>
        </w:rPr>
        <w:t>e</w:t>
      </w:r>
      <w:r w:rsidRPr="008C10B7">
        <w:rPr>
          <w:rFonts w:cs="Times New Roman"/>
          <w:sz w:val="20"/>
        </w:rPr>
        <w:t xml:space="preserve">nvironments. </w:t>
      </w:r>
      <w:r w:rsidRPr="008C10B7">
        <w:rPr>
          <w:rFonts w:cs="Times New Roman"/>
          <w:i/>
          <w:iCs/>
          <w:sz w:val="20"/>
        </w:rPr>
        <w:t>Open Journal of Civil Engineering</w:t>
      </w:r>
      <w:r w:rsidRPr="008C10B7">
        <w:rPr>
          <w:rFonts w:cs="Times New Roman"/>
          <w:sz w:val="20"/>
        </w:rPr>
        <w:t xml:space="preserve">, </w:t>
      </w:r>
      <w:r w:rsidRPr="008C10B7">
        <w:rPr>
          <w:rFonts w:cs="Times New Roman"/>
          <w:i/>
          <w:iCs/>
          <w:sz w:val="20"/>
        </w:rPr>
        <w:t>5</w:t>
      </w:r>
      <w:r w:rsidRPr="008C10B7">
        <w:rPr>
          <w:rFonts w:cs="Times New Roman"/>
          <w:sz w:val="20"/>
        </w:rPr>
        <w:t>(4), 451–459. https://doi.org/10.4236/ojce.2015.54045</w:t>
      </w:r>
    </w:p>
    <w:p w14:paraId="5FD880D0" w14:textId="7777777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lastRenderedPageBreak/>
        <w:t xml:space="preserve">Laddu, D., Paluch, A. E., &amp; LaMonte, M. J. (2021). The role of the built environment in promoting movement and physical activity across the lifespan: Implications for public health. </w:t>
      </w:r>
      <w:r w:rsidRPr="008C10B7">
        <w:rPr>
          <w:rFonts w:cs="Times New Roman"/>
          <w:i/>
          <w:iCs/>
          <w:sz w:val="20"/>
        </w:rPr>
        <w:t>Progress in Cardiovascular Diseases</w:t>
      </w:r>
      <w:r w:rsidRPr="008C10B7">
        <w:rPr>
          <w:rFonts w:cs="Times New Roman"/>
          <w:sz w:val="20"/>
        </w:rPr>
        <w:t xml:space="preserve">, </w:t>
      </w:r>
      <w:r w:rsidRPr="008C10B7">
        <w:rPr>
          <w:rFonts w:cs="Times New Roman"/>
          <w:i/>
          <w:iCs/>
          <w:sz w:val="20"/>
        </w:rPr>
        <w:t>64</w:t>
      </w:r>
      <w:r w:rsidRPr="008C10B7">
        <w:rPr>
          <w:rFonts w:cs="Times New Roman"/>
          <w:sz w:val="20"/>
        </w:rPr>
        <w:t>, 33–40. https://doi.org/10.1016/j.pcad.2020.12.009</w:t>
      </w:r>
    </w:p>
    <w:p w14:paraId="0FD2901F" w14:textId="7777777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Lee, J., He, S. Y., &amp; Sohn, D. W. (2017). Potential of converting short car trips to active trips: The role of the built environment in tour-based travel. </w:t>
      </w:r>
      <w:r w:rsidRPr="008C10B7">
        <w:rPr>
          <w:rFonts w:cs="Times New Roman"/>
          <w:i/>
          <w:iCs/>
          <w:sz w:val="20"/>
        </w:rPr>
        <w:t>Journal of Transport and Health</w:t>
      </w:r>
      <w:r w:rsidRPr="008C10B7">
        <w:rPr>
          <w:rFonts w:cs="Times New Roman"/>
          <w:sz w:val="20"/>
        </w:rPr>
        <w:t xml:space="preserve">, </w:t>
      </w:r>
      <w:r w:rsidRPr="008C10B7">
        <w:rPr>
          <w:rFonts w:cs="Times New Roman"/>
          <w:i/>
          <w:iCs/>
          <w:sz w:val="20"/>
        </w:rPr>
        <w:t>7</w:t>
      </w:r>
      <w:r w:rsidRPr="008C10B7">
        <w:rPr>
          <w:rFonts w:cs="Times New Roman"/>
          <w:sz w:val="20"/>
        </w:rPr>
        <w:t>, 134–148. https://doi.org/10.1016/j.jth.2017.08.008</w:t>
      </w:r>
    </w:p>
    <w:p w14:paraId="1BEF9F99" w14:textId="7777777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Li, X., &amp; Ghosh, D. (2018). Associations between body mass index and urban “Green” streetscape in Cleveland, Ohio, USA. </w:t>
      </w:r>
      <w:r w:rsidRPr="008C10B7">
        <w:rPr>
          <w:rFonts w:cs="Times New Roman"/>
          <w:i/>
          <w:iCs/>
          <w:sz w:val="20"/>
        </w:rPr>
        <w:t>International Journal of Environmental Research and Public Health</w:t>
      </w:r>
      <w:r w:rsidRPr="008C10B7">
        <w:rPr>
          <w:rFonts w:cs="Times New Roman"/>
          <w:sz w:val="20"/>
        </w:rPr>
        <w:t xml:space="preserve">, </w:t>
      </w:r>
      <w:r w:rsidRPr="008C10B7">
        <w:rPr>
          <w:rFonts w:cs="Times New Roman"/>
          <w:i/>
          <w:iCs/>
          <w:sz w:val="20"/>
        </w:rPr>
        <w:t>15</w:t>
      </w:r>
      <w:r w:rsidRPr="008C10B7">
        <w:rPr>
          <w:rFonts w:cs="Times New Roman"/>
          <w:sz w:val="20"/>
        </w:rPr>
        <w:t>(10), 2186. https://doi.org/10.3390/ijerph15102186</w:t>
      </w:r>
    </w:p>
    <w:p w14:paraId="52CA7C1C" w14:textId="7777777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Li, X., Zhang, C., Li, W., Ricard, R., Meng, Q., &amp; Zhang, W. (2015). Assessing street-level urban greenery using Google Street View and a modified green view index. </w:t>
      </w:r>
      <w:r w:rsidRPr="008C10B7">
        <w:rPr>
          <w:rFonts w:cs="Times New Roman"/>
          <w:i/>
          <w:iCs/>
          <w:sz w:val="20"/>
        </w:rPr>
        <w:t>Urban Forestry and Urban Greening</w:t>
      </w:r>
      <w:r w:rsidRPr="008C10B7">
        <w:rPr>
          <w:rFonts w:cs="Times New Roman"/>
          <w:sz w:val="20"/>
        </w:rPr>
        <w:t xml:space="preserve">, </w:t>
      </w:r>
      <w:r w:rsidRPr="008C10B7">
        <w:rPr>
          <w:rFonts w:cs="Times New Roman"/>
          <w:i/>
          <w:iCs/>
          <w:sz w:val="20"/>
        </w:rPr>
        <w:t>14</w:t>
      </w:r>
      <w:r w:rsidRPr="008C10B7">
        <w:rPr>
          <w:rFonts w:cs="Times New Roman"/>
          <w:sz w:val="20"/>
        </w:rPr>
        <w:t>(3), 675–685. https://doi.org/10.1016/j.ufug.2015.06.006</w:t>
      </w:r>
    </w:p>
    <w:p w14:paraId="757B2DE2" w14:textId="04C6AF29" w:rsidR="009E77BC" w:rsidRPr="008C10B7" w:rsidRDefault="009E77BC" w:rsidP="00206AA5">
      <w:pPr>
        <w:autoSpaceDE w:val="0"/>
        <w:autoSpaceDN w:val="0"/>
        <w:adjustRightInd w:val="0"/>
        <w:ind w:left="480" w:hanging="480"/>
        <w:jc w:val="both"/>
        <w:rPr>
          <w:rFonts w:ascii="SimSun" w:hAnsi="SimSun" w:cs="Times New Roman"/>
          <w:sz w:val="20"/>
        </w:rPr>
      </w:pPr>
      <w:r w:rsidRPr="008C10B7">
        <w:rPr>
          <w:rFonts w:cs="Times New Roman"/>
          <w:sz w:val="20"/>
        </w:rPr>
        <w:t xml:space="preserve">Limanond, T., Butsingkorn, T., &amp; Chermkhunthod, C. (2011). Travel behavior of university students who live on campus: A case study of a rural university in Asia. </w:t>
      </w:r>
      <w:r w:rsidRPr="008C10B7">
        <w:rPr>
          <w:rFonts w:cs="Times New Roman"/>
          <w:i/>
          <w:iCs/>
          <w:sz w:val="20"/>
        </w:rPr>
        <w:t>Transport Policy</w:t>
      </w:r>
      <w:r w:rsidRPr="008C10B7">
        <w:rPr>
          <w:rFonts w:cs="Times New Roman"/>
          <w:sz w:val="20"/>
        </w:rPr>
        <w:t xml:space="preserve">, </w:t>
      </w:r>
      <w:r w:rsidRPr="008C10B7">
        <w:rPr>
          <w:rFonts w:cs="Times New Roman"/>
          <w:i/>
          <w:iCs/>
          <w:sz w:val="20"/>
        </w:rPr>
        <w:t>18</w:t>
      </w:r>
      <w:r w:rsidRPr="008C10B7">
        <w:rPr>
          <w:rFonts w:cs="Times New Roman"/>
          <w:sz w:val="20"/>
        </w:rPr>
        <w:t>(1), 163–171. https://doi.org/10.1016/j.tranpol.2010.07.006</w:t>
      </w:r>
    </w:p>
    <w:p w14:paraId="7B17F68D" w14:textId="7777777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Liu, X. (2017). The governance in the development of public universities in China. </w:t>
      </w:r>
      <w:r w:rsidRPr="008C10B7">
        <w:rPr>
          <w:rFonts w:cs="Times New Roman"/>
          <w:i/>
          <w:iCs/>
          <w:sz w:val="20"/>
        </w:rPr>
        <w:t>Journal of Higher Education Policy and Management</w:t>
      </w:r>
      <w:r w:rsidRPr="008C10B7">
        <w:rPr>
          <w:rFonts w:cs="Times New Roman"/>
          <w:sz w:val="20"/>
        </w:rPr>
        <w:t xml:space="preserve">, </w:t>
      </w:r>
      <w:r w:rsidRPr="008C10B7">
        <w:rPr>
          <w:rFonts w:cs="Times New Roman"/>
          <w:i/>
          <w:iCs/>
          <w:sz w:val="20"/>
        </w:rPr>
        <w:t>39</w:t>
      </w:r>
      <w:r w:rsidRPr="008C10B7">
        <w:rPr>
          <w:rFonts w:cs="Times New Roman"/>
          <w:sz w:val="20"/>
        </w:rPr>
        <w:t>(3), 266–281. https://doi.org/10.1080/1360080x.2017.1300122</w:t>
      </w:r>
    </w:p>
    <w:p w14:paraId="615A78FB" w14:textId="7777777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Liu, Y., Wang, R., Lu, Y., Li, Z., Chen, H., Cao, M., Zhang, Y., &amp; Song, Y. (2020). Natural outdoor environment, neighbourhood social cohesion and mental health: Using multilevel structural equation modelling, streetscape and remote-sensing metrics. </w:t>
      </w:r>
      <w:r w:rsidRPr="008C10B7">
        <w:rPr>
          <w:rFonts w:cs="Times New Roman"/>
          <w:i/>
          <w:iCs/>
          <w:sz w:val="20"/>
        </w:rPr>
        <w:t>Urban Forestry and Urban Greening</w:t>
      </w:r>
      <w:r w:rsidRPr="008C10B7">
        <w:rPr>
          <w:rFonts w:cs="Times New Roman"/>
          <w:sz w:val="20"/>
        </w:rPr>
        <w:t xml:space="preserve">, </w:t>
      </w:r>
      <w:r w:rsidRPr="008C10B7">
        <w:rPr>
          <w:rFonts w:cs="Times New Roman"/>
          <w:i/>
          <w:iCs/>
          <w:sz w:val="20"/>
        </w:rPr>
        <w:t>48</w:t>
      </w:r>
      <w:r w:rsidRPr="008C10B7">
        <w:rPr>
          <w:rFonts w:cs="Times New Roman"/>
          <w:sz w:val="20"/>
        </w:rPr>
        <w:t>, 126576. https://doi.org/10.1016/j.ufug.2019.126576</w:t>
      </w:r>
    </w:p>
    <w:p w14:paraId="66E01577" w14:textId="4B8D8983"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Long, J., Shelhamer, E., &amp; Darrell, T. (2015). Fully </w:t>
      </w:r>
      <w:r w:rsidR="00F1033B" w:rsidRPr="008C10B7">
        <w:rPr>
          <w:rFonts w:cs="Times New Roman"/>
          <w:sz w:val="20"/>
        </w:rPr>
        <w:t>c</w:t>
      </w:r>
      <w:r w:rsidRPr="008C10B7">
        <w:rPr>
          <w:rFonts w:cs="Times New Roman"/>
          <w:sz w:val="20"/>
        </w:rPr>
        <w:t xml:space="preserve">onvolutional </w:t>
      </w:r>
      <w:r w:rsidR="00F1033B" w:rsidRPr="008C10B7">
        <w:rPr>
          <w:rFonts w:cs="Times New Roman"/>
          <w:sz w:val="20"/>
        </w:rPr>
        <w:t>n</w:t>
      </w:r>
      <w:r w:rsidRPr="008C10B7">
        <w:rPr>
          <w:rFonts w:cs="Times New Roman"/>
          <w:sz w:val="20"/>
        </w:rPr>
        <w:t xml:space="preserve">etworks for </w:t>
      </w:r>
      <w:r w:rsidR="00F1033B" w:rsidRPr="008C10B7">
        <w:rPr>
          <w:rFonts w:cs="Times New Roman"/>
          <w:sz w:val="20"/>
        </w:rPr>
        <w:t>s</w:t>
      </w:r>
      <w:r w:rsidRPr="008C10B7">
        <w:rPr>
          <w:rFonts w:cs="Times New Roman"/>
          <w:sz w:val="20"/>
        </w:rPr>
        <w:t xml:space="preserve">emantic </w:t>
      </w:r>
      <w:r w:rsidR="00F1033B" w:rsidRPr="008C10B7">
        <w:rPr>
          <w:rFonts w:cs="Times New Roman"/>
          <w:sz w:val="20"/>
        </w:rPr>
        <w:t>s</w:t>
      </w:r>
      <w:r w:rsidRPr="008C10B7">
        <w:rPr>
          <w:rFonts w:cs="Times New Roman"/>
          <w:sz w:val="20"/>
        </w:rPr>
        <w:t xml:space="preserve">egmentation. </w:t>
      </w:r>
      <w:r w:rsidRPr="008C10B7">
        <w:rPr>
          <w:rFonts w:cs="Times New Roman"/>
          <w:i/>
          <w:iCs/>
          <w:sz w:val="20"/>
        </w:rPr>
        <w:t xml:space="preserve">Proceedings of the IEEE </w:t>
      </w:r>
      <w:r w:rsidR="00F1033B" w:rsidRPr="008C10B7">
        <w:rPr>
          <w:rFonts w:cs="Times New Roman"/>
          <w:i/>
          <w:iCs/>
          <w:sz w:val="20"/>
        </w:rPr>
        <w:t>C</w:t>
      </w:r>
      <w:r w:rsidRPr="008C10B7">
        <w:rPr>
          <w:rFonts w:cs="Times New Roman"/>
          <w:i/>
          <w:iCs/>
          <w:sz w:val="20"/>
        </w:rPr>
        <w:t xml:space="preserve">onference on </w:t>
      </w:r>
      <w:r w:rsidR="00F1033B" w:rsidRPr="008C10B7">
        <w:rPr>
          <w:rFonts w:cs="Times New Roman"/>
          <w:i/>
          <w:iCs/>
          <w:sz w:val="20"/>
        </w:rPr>
        <w:t>C</w:t>
      </w:r>
      <w:r w:rsidRPr="008C10B7">
        <w:rPr>
          <w:rFonts w:cs="Times New Roman"/>
          <w:i/>
          <w:iCs/>
          <w:sz w:val="20"/>
        </w:rPr>
        <w:t xml:space="preserve">omputer </w:t>
      </w:r>
      <w:r w:rsidR="00F1033B" w:rsidRPr="008C10B7">
        <w:rPr>
          <w:rFonts w:cs="Times New Roman"/>
          <w:i/>
          <w:iCs/>
          <w:sz w:val="20"/>
        </w:rPr>
        <w:t>V</w:t>
      </w:r>
      <w:r w:rsidRPr="008C10B7">
        <w:rPr>
          <w:rFonts w:cs="Times New Roman"/>
          <w:i/>
          <w:iCs/>
          <w:sz w:val="20"/>
        </w:rPr>
        <w:t xml:space="preserve">ision and </w:t>
      </w:r>
      <w:r w:rsidR="00F1033B" w:rsidRPr="008C10B7">
        <w:rPr>
          <w:rFonts w:cs="Times New Roman"/>
          <w:i/>
          <w:iCs/>
          <w:sz w:val="20"/>
        </w:rPr>
        <w:t>P</w:t>
      </w:r>
      <w:r w:rsidRPr="008C10B7">
        <w:rPr>
          <w:rFonts w:cs="Times New Roman"/>
          <w:i/>
          <w:iCs/>
          <w:sz w:val="20"/>
        </w:rPr>
        <w:t xml:space="preserve">attern </w:t>
      </w:r>
      <w:r w:rsidR="00F1033B" w:rsidRPr="008C10B7">
        <w:rPr>
          <w:rFonts w:cs="Times New Roman"/>
          <w:i/>
          <w:iCs/>
          <w:sz w:val="20"/>
        </w:rPr>
        <w:t>R</w:t>
      </w:r>
      <w:r w:rsidRPr="008C10B7">
        <w:rPr>
          <w:rFonts w:cs="Times New Roman"/>
          <w:i/>
          <w:iCs/>
          <w:sz w:val="20"/>
        </w:rPr>
        <w:t>ecognition</w:t>
      </w:r>
      <w:r w:rsidR="00F1033B" w:rsidRPr="008C10B7">
        <w:rPr>
          <w:rFonts w:cs="Times New Roman"/>
          <w:i/>
          <w:iCs/>
          <w:sz w:val="20"/>
        </w:rPr>
        <w:t>,</w:t>
      </w:r>
      <w:r w:rsidRPr="008C10B7">
        <w:rPr>
          <w:rFonts w:cs="Times New Roman"/>
          <w:i/>
          <w:iCs/>
          <w:sz w:val="20"/>
        </w:rPr>
        <w:t xml:space="preserve"> </w:t>
      </w:r>
      <w:r w:rsidRPr="008C10B7">
        <w:rPr>
          <w:rFonts w:cs="Times New Roman"/>
          <w:sz w:val="20"/>
        </w:rPr>
        <w:t>3431-3440. https://doi.org/10.1109/cvpr.2015.7298965</w:t>
      </w:r>
    </w:p>
    <w:p w14:paraId="0FE135B8" w14:textId="3F7E34EF" w:rsidR="00175A0C" w:rsidRPr="008C10B7" w:rsidRDefault="00175A0C" w:rsidP="00206AA5">
      <w:pPr>
        <w:autoSpaceDE w:val="0"/>
        <w:autoSpaceDN w:val="0"/>
        <w:adjustRightInd w:val="0"/>
        <w:ind w:left="480" w:hanging="480"/>
        <w:jc w:val="both"/>
        <w:rPr>
          <w:rFonts w:cs="Times New Roman"/>
          <w:sz w:val="20"/>
        </w:rPr>
      </w:pPr>
      <w:r w:rsidRPr="008C10B7">
        <w:rPr>
          <w:rFonts w:cs="Times New Roman"/>
          <w:sz w:val="20"/>
        </w:rPr>
        <w:t xml:space="preserve">Lu, Y., Sun, G., Gou, Z., Liu, Y., &amp; Zhang, X. (2019). A dose–response effect between built environment characteristics and transport walking for youths. </w:t>
      </w:r>
      <w:r w:rsidRPr="008C10B7">
        <w:rPr>
          <w:rFonts w:cs="Times New Roman"/>
          <w:i/>
          <w:iCs/>
          <w:sz w:val="20"/>
        </w:rPr>
        <w:t xml:space="preserve">Journal of Transport </w:t>
      </w:r>
      <w:r w:rsidR="005343A4" w:rsidRPr="008C10B7">
        <w:rPr>
          <w:rFonts w:cs="Times New Roman"/>
          <w:i/>
          <w:iCs/>
          <w:sz w:val="20"/>
        </w:rPr>
        <w:t>and</w:t>
      </w:r>
      <w:r w:rsidRPr="008C10B7">
        <w:rPr>
          <w:rFonts w:cs="Times New Roman"/>
          <w:i/>
          <w:iCs/>
          <w:sz w:val="20"/>
        </w:rPr>
        <w:t xml:space="preserve"> Health</w:t>
      </w:r>
      <w:r w:rsidRPr="008C10B7">
        <w:rPr>
          <w:rFonts w:cs="Times New Roman"/>
          <w:sz w:val="20"/>
        </w:rPr>
        <w:t>,</w:t>
      </w:r>
      <w:r w:rsidRPr="008C10B7">
        <w:rPr>
          <w:rFonts w:cs="Times New Roman"/>
          <w:i/>
          <w:iCs/>
          <w:sz w:val="20"/>
        </w:rPr>
        <w:t xml:space="preserve"> 14</w:t>
      </w:r>
      <w:r w:rsidRPr="008C10B7">
        <w:rPr>
          <w:rFonts w:cs="Times New Roman"/>
          <w:sz w:val="20"/>
        </w:rPr>
        <w:t>, 100616.</w:t>
      </w:r>
    </w:p>
    <w:p w14:paraId="29DF2828" w14:textId="7777777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Lu, Y., Yang, Y., Sun, G., &amp; Gou, Z. (2019). Associations between overhead-view and eye-level urban greenness and cycling behaviors. </w:t>
      </w:r>
      <w:r w:rsidRPr="008C10B7">
        <w:rPr>
          <w:rFonts w:cs="Times New Roman"/>
          <w:i/>
          <w:iCs/>
          <w:sz w:val="20"/>
        </w:rPr>
        <w:t>Cities</w:t>
      </w:r>
      <w:r w:rsidRPr="008C10B7">
        <w:rPr>
          <w:rFonts w:cs="Times New Roman"/>
          <w:sz w:val="20"/>
        </w:rPr>
        <w:t xml:space="preserve">, </w:t>
      </w:r>
      <w:r w:rsidRPr="008C10B7">
        <w:rPr>
          <w:rFonts w:cs="Times New Roman"/>
          <w:i/>
          <w:iCs/>
          <w:sz w:val="20"/>
        </w:rPr>
        <w:t>88</w:t>
      </w:r>
      <w:r w:rsidRPr="008C10B7">
        <w:rPr>
          <w:rFonts w:cs="Times New Roman"/>
          <w:sz w:val="20"/>
        </w:rPr>
        <w:t>, 10–18. https://doi.org/10.1016/j.cities.2019.01.003</w:t>
      </w:r>
    </w:p>
    <w:p w14:paraId="71145654" w14:textId="7777777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Maas, J., Verheij, R. A., Spreeuwenberg, P., &amp; Groenewegen, P. P. (2008). Physical activity as a possible mechanism behind the relationship between green space and health: A multilevel analysis. </w:t>
      </w:r>
      <w:r w:rsidRPr="008C10B7">
        <w:rPr>
          <w:rFonts w:cs="Times New Roman"/>
          <w:i/>
          <w:iCs/>
          <w:sz w:val="20"/>
        </w:rPr>
        <w:t>BMC Public Health</w:t>
      </w:r>
      <w:r w:rsidRPr="008C10B7">
        <w:rPr>
          <w:rFonts w:cs="Times New Roman"/>
          <w:sz w:val="20"/>
        </w:rPr>
        <w:t xml:space="preserve">, </w:t>
      </w:r>
      <w:r w:rsidRPr="008C10B7">
        <w:rPr>
          <w:rFonts w:cs="Times New Roman"/>
          <w:i/>
          <w:iCs/>
          <w:sz w:val="20"/>
        </w:rPr>
        <w:t>8</w:t>
      </w:r>
      <w:r w:rsidRPr="008C10B7">
        <w:rPr>
          <w:rFonts w:cs="Times New Roman"/>
          <w:sz w:val="20"/>
        </w:rPr>
        <w:t>(1), 1–13. https://doi.org/10.1186/1471-2458-8-206</w:t>
      </w:r>
    </w:p>
    <w:p w14:paraId="3440BF84" w14:textId="3EF1F591"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Mäki-Opas, T. E., Borodulin, K., Valkeinen, H., Stenholm, S., Kunst, A. E., Abel, T., Härkänen, T., Kopperoinen, L., Itkonen, P., Prättälä, R., Karvonen, S., &amp; Koskinen, S. (2016). The contribution of travel-related urban zones, cycling and pedestrian networks and green space to commuting physical activity among adults - A cross-sectional population-based study using geographical information systems. </w:t>
      </w:r>
      <w:r w:rsidRPr="008C10B7">
        <w:rPr>
          <w:rFonts w:cs="Times New Roman"/>
          <w:i/>
          <w:iCs/>
          <w:sz w:val="20"/>
        </w:rPr>
        <w:t>BMC Public Health</w:t>
      </w:r>
      <w:r w:rsidRPr="008C10B7">
        <w:rPr>
          <w:rFonts w:cs="Times New Roman"/>
          <w:sz w:val="20"/>
        </w:rPr>
        <w:t xml:space="preserve">, </w:t>
      </w:r>
      <w:r w:rsidRPr="008C10B7">
        <w:rPr>
          <w:rFonts w:cs="Times New Roman"/>
          <w:i/>
          <w:iCs/>
          <w:sz w:val="20"/>
        </w:rPr>
        <w:t>16</w:t>
      </w:r>
      <w:r w:rsidRPr="008C10B7">
        <w:rPr>
          <w:rFonts w:cs="Times New Roman"/>
          <w:sz w:val="20"/>
        </w:rPr>
        <w:t>(1), 760. https://doi.org/10.1186/s12889-016-3264-x</w:t>
      </w:r>
    </w:p>
    <w:p w14:paraId="63668494" w14:textId="6C3663D1" w:rsidR="00175A0C" w:rsidRPr="008C10B7" w:rsidRDefault="00175A0C" w:rsidP="00206AA5">
      <w:pPr>
        <w:autoSpaceDE w:val="0"/>
        <w:autoSpaceDN w:val="0"/>
        <w:adjustRightInd w:val="0"/>
        <w:ind w:left="480" w:hanging="480"/>
        <w:jc w:val="both"/>
        <w:rPr>
          <w:rFonts w:cs="Times New Roman"/>
          <w:sz w:val="20"/>
        </w:rPr>
      </w:pPr>
      <w:r w:rsidRPr="008C10B7">
        <w:rPr>
          <w:rFonts w:cs="Times New Roman"/>
          <w:sz w:val="20"/>
        </w:rPr>
        <w:t xml:space="preserve">Mäki-Opas, T. E., de Munter, J., Maas, J., Den Hertog, F., &amp; Kunst, A. E. (2014). The association between physical environment and cycling to school among Turkish and Moroccan adolescents in Amsterdam. </w:t>
      </w:r>
      <w:r w:rsidRPr="008C10B7">
        <w:rPr>
          <w:rFonts w:cs="Times New Roman"/>
          <w:i/>
          <w:iCs/>
          <w:sz w:val="20"/>
        </w:rPr>
        <w:t xml:space="preserve">International </w:t>
      </w:r>
      <w:r w:rsidR="005343A4" w:rsidRPr="008C10B7">
        <w:rPr>
          <w:rFonts w:cs="Times New Roman"/>
          <w:i/>
          <w:iCs/>
          <w:sz w:val="20"/>
        </w:rPr>
        <w:t>J</w:t>
      </w:r>
      <w:r w:rsidRPr="008C10B7">
        <w:rPr>
          <w:rFonts w:cs="Times New Roman"/>
          <w:i/>
          <w:iCs/>
          <w:sz w:val="20"/>
        </w:rPr>
        <w:t xml:space="preserve">ournal of </w:t>
      </w:r>
      <w:r w:rsidR="005343A4" w:rsidRPr="008C10B7">
        <w:rPr>
          <w:rFonts w:cs="Times New Roman"/>
          <w:i/>
          <w:iCs/>
          <w:sz w:val="20"/>
        </w:rPr>
        <w:t>P</w:t>
      </w:r>
      <w:r w:rsidRPr="008C10B7">
        <w:rPr>
          <w:rFonts w:cs="Times New Roman"/>
          <w:i/>
          <w:iCs/>
          <w:sz w:val="20"/>
        </w:rPr>
        <w:t xml:space="preserve">ublic </w:t>
      </w:r>
      <w:r w:rsidR="005343A4" w:rsidRPr="008C10B7">
        <w:rPr>
          <w:rFonts w:cs="Times New Roman"/>
          <w:i/>
          <w:iCs/>
          <w:sz w:val="20"/>
        </w:rPr>
        <w:t>H</w:t>
      </w:r>
      <w:r w:rsidRPr="008C10B7">
        <w:rPr>
          <w:rFonts w:cs="Times New Roman"/>
          <w:i/>
          <w:iCs/>
          <w:sz w:val="20"/>
        </w:rPr>
        <w:t>ealth</w:t>
      </w:r>
      <w:r w:rsidRPr="008C10B7">
        <w:rPr>
          <w:rFonts w:cs="Times New Roman"/>
          <w:sz w:val="20"/>
        </w:rPr>
        <w:t xml:space="preserve">, </w:t>
      </w:r>
      <w:r w:rsidRPr="008C10B7">
        <w:rPr>
          <w:rFonts w:cs="Times New Roman"/>
          <w:i/>
          <w:iCs/>
          <w:sz w:val="20"/>
        </w:rPr>
        <w:t>59</w:t>
      </w:r>
      <w:r w:rsidRPr="008C10B7">
        <w:rPr>
          <w:rFonts w:cs="Times New Roman"/>
          <w:sz w:val="20"/>
        </w:rPr>
        <w:t>(4), 629-636.</w:t>
      </w:r>
    </w:p>
    <w:p w14:paraId="32FFED1E" w14:textId="1E7097D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Mertens, L., Compernolle, S., Deforche, B., Mackenbach, J. D., Lakerveld, J., Brug, J., Roda, C., Feuillet, T., Oppert, J. M., Glonti, K., Rutter, H., Bardos, H., De Bourdeaudhuij, I., &amp; Van Dyck, D. (2017). </w:t>
      </w:r>
      <w:r w:rsidRPr="008C10B7">
        <w:rPr>
          <w:rFonts w:cs="Times New Roman"/>
          <w:sz w:val="20"/>
        </w:rPr>
        <w:lastRenderedPageBreak/>
        <w:t xml:space="preserve">Built environmental correlates of cycling for transport across Europe. </w:t>
      </w:r>
      <w:r w:rsidRPr="008C10B7">
        <w:rPr>
          <w:rFonts w:cs="Times New Roman"/>
          <w:i/>
          <w:iCs/>
          <w:sz w:val="20"/>
        </w:rPr>
        <w:t>Health and Place</w:t>
      </w:r>
      <w:r w:rsidRPr="008C10B7">
        <w:rPr>
          <w:rFonts w:cs="Times New Roman"/>
          <w:sz w:val="20"/>
        </w:rPr>
        <w:t xml:space="preserve">, </w:t>
      </w:r>
      <w:r w:rsidRPr="008C10B7">
        <w:rPr>
          <w:rFonts w:cs="Times New Roman"/>
          <w:i/>
          <w:iCs/>
          <w:sz w:val="20"/>
        </w:rPr>
        <w:t>44</w:t>
      </w:r>
      <w:r w:rsidRPr="008C10B7">
        <w:rPr>
          <w:rFonts w:cs="Times New Roman"/>
          <w:sz w:val="20"/>
        </w:rPr>
        <w:t>, 35–42. https://doi.org/10.1016/j.healthplace.2017.01.007</w:t>
      </w:r>
    </w:p>
    <w:p w14:paraId="607DCBD3" w14:textId="2FA9C828" w:rsidR="00175A0C" w:rsidRPr="008C10B7" w:rsidRDefault="00175A0C" w:rsidP="00206AA5">
      <w:pPr>
        <w:autoSpaceDE w:val="0"/>
        <w:autoSpaceDN w:val="0"/>
        <w:adjustRightInd w:val="0"/>
        <w:ind w:left="480" w:hanging="480"/>
        <w:jc w:val="both"/>
        <w:rPr>
          <w:rFonts w:cs="Times New Roman"/>
          <w:sz w:val="20"/>
        </w:rPr>
      </w:pPr>
      <w:r w:rsidRPr="008C10B7">
        <w:rPr>
          <w:rFonts w:cs="Times New Roman"/>
          <w:sz w:val="20"/>
        </w:rPr>
        <w:t xml:space="preserve">Moran, M., Plaut, P., &amp; Baron-Epel, O. (2016). Do children walk where they bike? Exploring built environment correlates of children’s walking and bicycling. </w:t>
      </w:r>
      <w:r w:rsidRPr="008C10B7">
        <w:rPr>
          <w:rFonts w:cs="Times New Roman"/>
          <w:i/>
          <w:iCs/>
          <w:sz w:val="20"/>
        </w:rPr>
        <w:t>Journal of Transport and Land Use</w:t>
      </w:r>
      <w:r w:rsidRPr="008C10B7">
        <w:rPr>
          <w:rFonts w:cs="Times New Roman"/>
          <w:sz w:val="20"/>
        </w:rPr>
        <w:t>,</w:t>
      </w:r>
      <w:r w:rsidRPr="008C10B7">
        <w:rPr>
          <w:rFonts w:cs="Times New Roman"/>
          <w:i/>
          <w:iCs/>
          <w:sz w:val="20"/>
        </w:rPr>
        <w:t xml:space="preserve"> 9</w:t>
      </w:r>
      <w:r w:rsidRPr="008C10B7">
        <w:rPr>
          <w:rFonts w:cs="Times New Roman"/>
          <w:sz w:val="20"/>
        </w:rPr>
        <w:t>(2), 43–65.</w:t>
      </w:r>
    </w:p>
    <w:p w14:paraId="1F385A4A" w14:textId="4C3531AD"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Moudon, A. V., Lee, C., Cheadle, A. D., Garvin, C., Johnson, D., Schmid, T. L., Weathers, R. D., &amp; Lin, L. (2016). Operational </w:t>
      </w:r>
      <w:r w:rsidR="00F1033B" w:rsidRPr="008C10B7">
        <w:rPr>
          <w:rFonts w:cs="Times New Roman"/>
          <w:sz w:val="20"/>
        </w:rPr>
        <w:t>d</w:t>
      </w:r>
      <w:r w:rsidRPr="008C10B7">
        <w:rPr>
          <w:rFonts w:cs="Times New Roman"/>
          <w:sz w:val="20"/>
        </w:rPr>
        <w:t xml:space="preserve">efinitions of </w:t>
      </w:r>
      <w:r w:rsidR="00F1033B" w:rsidRPr="008C10B7">
        <w:rPr>
          <w:rFonts w:cs="Times New Roman"/>
          <w:sz w:val="20"/>
        </w:rPr>
        <w:t>w</w:t>
      </w:r>
      <w:r w:rsidRPr="008C10B7">
        <w:rPr>
          <w:rFonts w:cs="Times New Roman"/>
          <w:sz w:val="20"/>
        </w:rPr>
        <w:t xml:space="preserve">alkable </w:t>
      </w:r>
      <w:r w:rsidR="00F1033B" w:rsidRPr="008C10B7">
        <w:rPr>
          <w:rFonts w:cs="Times New Roman"/>
          <w:sz w:val="20"/>
        </w:rPr>
        <w:t>n</w:t>
      </w:r>
      <w:r w:rsidRPr="008C10B7">
        <w:rPr>
          <w:rFonts w:cs="Times New Roman"/>
          <w:sz w:val="20"/>
        </w:rPr>
        <w:t xml:space="preserve">eighborhood: Theoretical and </w:t>
      </w:r>
      <w:r w:rsidR="00F1033B" w:rsidRPr="008C10B7">
        <w:rPr>
          <w:rFonts w:cs="Times New Roman"/>
          <w:sz w:val="20"/>
        </w:rPr>
        <w:t>e</w:t>
      </w:r>
      <w:r w:rsidRPr="008C10B7">
        <w:rPr>
          <w:rFonts w:cs="Times New Roman"/>
          <w:sz w:val="20"/>
        </w:rPr>
        <w:t xml:space="preserve">mpirical </w:t>
      </w:r>
      <w:r w:rsidR="00F1033B" w:rsidRPr="008C10B7">
        <w:rPr>
          <w:rFonts w:cs="Times New Roman"/>
          <w:sz w:val="20"/>
        </w:rPr>
        <w:t>i</w:t>
      </w:r>
      <w:r w:rsidRPr="008C10B7">
        <w:rPr>
          <w:rFonts w:cs="Times New Roman"/>
          <w:sz w:val="20"/>
        </w:rPr>
        <w:t xml:space="preserve">nsights. </w:t>
      </w:r>
      <w:r w:rsidRPr="008C10B7">
        <w:rPr>
          <w:rFonts w:cs="Times New Roman"/>
          <w:i/>
          <w:iCs/>
          <w:sz w:val="20"/>
        </w:rPr>
        <w:t>Journal of Physical Activity and Health</w:t>
      </w:r>
      <w:r w:rsidRPr="008C10B7">
        <w:rPr>
          <w:rFonts w:cs="Times New Roman"/>
          <w:sz w:val="20"/>
        </w:rPr>
        <w:t xml:space="preserve">, </w:t>
      </w:r>
      <w:r w:rsidRPr="008C10B7">
        <w:rPr>
          <w:rFonts w:cs="Times New Roman"/>
          <w:i/>
          <w:iCs/>
          <w:sz w:val="20"/>
        </w:rPr>
        <w:t>3</w:t>
      </w:r>
      <w:r w:rsidRPr="008C10B7">
        <w:rPr>
          <w:rFonts w:cs="Times New Roman"/>
          <w:sz w:val="20"/>
        </w:rPr>
        <w:t>(s1), S99–S117. https://doi.org/10.1123/jpah.3.s1.s99</w:t>
      </w:r>
    </w:p>
    <w:p w14:paraId="4FEC79CF" w14:textId="7777777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Moura, F., Cambra, P., &amp; Gonçalves, A. B. (2017). Measuring walkability for distinct pedestrian groups with a participatory assessment method: A case study in Lisbon. </w:t>
      </w:r>
      <w:r w:rsidRPr="008C10B7">
        <w:rPr>
          <w:rFonts w:cs="Times New Roman"/>
          <w:i/>
          <w:iCs/>
          <w:sz w:val="20"/>
        </w:rPr>
        <w:t>Landscape and Urban Planning</w:t>
      </w:r>
      <w:r w:rsidRPr="008C10B7">
        <w:rPr>
          <w:rFonts w:cs="Times New Roman"/>
          <w:sz w:val="20"/>
        </w:rPr>
        <w:t xml:space="preserve">, </w:t>
      </w:r>
      <w:r w:rsidRPr="008C10B7">
        <w:rPr>
          <w:rFonts w:cs="Times New Roman"/>
          <w:i/>
          <w:iCs/>
          <w:sz w:val="20"/>
        </w:rPr>
        <w:t>157</w:t>
      </w:r>
      <w:r w:rsidRPr="008C10B7">
        <w:rPr>
          <w:rFonts w:cs="Times New Roman"/>
          <w:sz w:val="20"/>
        </w:rPr>
        <w:t>, 282–296. https://doi.org/10.1016/j.landurbplan.2016.07.002</w:t>
      </w:r>
    </w:p>
    <w:p w14:paraId="3E09EB7E" w14:textId="7777777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Mouratidis, K. (2019). Built environment and leisure satisfaction: The role of commute time, social interaction, and active travel. </w:t>
      </w:r>
      <w:r w:rsidRPr="008C10B7">
        <w:rPr>
          <w:rFonts w:cs="Times New Roman"/>
          <w:i/>
          <w:iCs/>
          <w:sz w:val="20"/>
        </w:rPr>
        <w:t>Journal of Transport Geography</w:t>
      </w:r>
      <w:r w:rsidRPr="008C10B7">
        <w:rPr>
          <w:rFonts w:cs="Times New Roman"/>
          <w:sz w:val="20"/>
        </w:rPr>
        <w:t xml:space="preserve">, </w:t>
      </w:r>
      <w:r w:rsidRPr="008C10B7">
        <w:rPr>
          <w:rFonts w:cs="Times New Roman"/>
          <w:i/>
          <w:iCs/>
          <w:sz w:val="20"/>
        </w:rPr>
        <w:t>80</w:t>
      </w:r>
      <w:r w:rsidRPr="008C10B7">
        <w:rPr>
          <w:rFonts w:cs="Times New Roman"/>
          <w:sz w:val="20"/>
        </w:rPr>
        <w:t>, 102491. https://doi.org/10.1016/j.jtrangeo.2019.102491</w:t>
      </w:r>
    </w:p>
    <w:p w14:paraId="1D9C0CD4" w14:textId="7777777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Nawrath, M., Kowarik, I., &amp; Fischer, L. K. (2019). The influence of green streets on cycling behavior in European cities. </w:t>
      </w:r>
      <w:r w:rsidRPr="008C10B7">
        <w:rPr>
          <w:rFonts w:cs="Times New Roman"/>
          <w:i/>
          <w:iCs/>
          <w:sz w:val="20"/>
        </w:rPr>
        <w:t>Landscape and Urban Planning</w:t>
      </w:r>
      <w:r w:rsidRPr="008C10B7">
        <w:rPr>
          <w:rFonts w:cs="Times New Roman"/>
          <w:sz w:val="20"/>
        </w:rPr>
        <w:t xml:space="preserve">, </w:t>
      </w:r>
      <w:r w:rsidRPr="008C10B7">
        <w:rPr>
          <w:rFonts w:cs="Times New Roman"/>
          <w:i/>
          <w:iCs/>
          <w:sz w:val="20"/>
        </w:rPr>
        <w:t>190</w:t>
      </w:r>
      <w:r w:rsidRPr="008C10B7">
        <w:rPr>
          <w:rFonts w:cs="Times New Roman"/>
          <w:sz w:val="20"/>
        </w:rPr>
        <w:t>, 103598. https://doi.org/10.1016/j.landurbplan.2019.103598</w:t>
      </w:r>
    </w:p>
    <w:p w14:paraId="06A4E282" w14:textId="7777777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Nieuwenhuijsen, M. J., Khreis, H., Triguero-Mas, M., Gascon, M., &amp; Dadvand, P. (2017). Fifty shades of green. </w:t>
      </w:r>
      <w:r w:rsidRPr="008C10B7">
        <w:rPr>
          <w:rFonts w:cs="Times New Roman"/>
          <w:i/>
          <w:iCs/>
          <w:sz w:val="20"/>
        </w:rPr>
        <w:t>Epidemiology,</w:t>
      </w:r>
      <w:r w:rsidRPr="008C10B7">
        <w:rPr>
          <w:rFonts w:cs="Times New Roman"/>
          <w:sz w:val="20"/>
        </w:rPr>
        <w:t xml:space="preserve"> </w:t>
      </w:r>
      <w:r w:rsidRPr="008C10B7">
        <w:rPr>
          <w:rFonts w:cs="Times New Roman"/>
          <w:i/>
          <w:iCs/>
          <w:sz w:val="20"/>
        </w:rPr>
        <w:t>28</w:t>
      </w:r>
      <w:r w:rsidRPr="008C10B7">
        <w:rPr>
          <w:rFonts w:cs="Times New Roman"/>
          <w:sz w:val="20"/>
        </w:rPr>
        <w:t>(1), 63–71. https://doi.org/10.1097/ede.0000000000000549</w:t>
      </w:r>
    </w:p>
    <w:p w14:paraId="7E923F42" w14:textId="7777777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Norwood, P., Eberth, B., Farrar, S., Anable, J., &amp; Ludbrook, A. (2014). Active travel intervention and physical activity behaviour: An evaluation. </w:t>
      </w:r>
      <w:r w:rsidRPr="008C10B7">
        <w:rPr>
          <w:rFonts w:cs="Times New Roman"/>
          <w:i/>
          <w:iCs/>
          <w:sz w:val="20"/>
        </w:rPr>
        <w:t>Social Science and Medicine</w:t>
      </w:r>
      <w:r w:rsidRPr="008C10B7">
        <w:rPr>
          <w:rFonts w:cs="Times New Roman"/>
          <w:sz w:val="20"/>
        </w:rPr>
        <w:t xml:space="preserve">, </w:t>
      </w:r>
      <w:r w:rsidRPr="008C10B7">
        <w:rPr>
          <w:rFonts w:cs="Times New Roman"/>
          <w:i/>
          <w:iCs/>
          <w:sz w:val="20"/>
        </w:rPr>
        <w:t>113</w:t>
      </w:r>
      <w:r w:rsidRPr="008C10B7">
        <w:rPr>
          <w:rFonts w:cs="Times New Roman"/>
          <w:sz w:val="20"/>
        </w:rPr>
        <w:t>, 50–58. https://doi.org/10.1016/j.socscimed.2014.05.003</w:t>
      </w:r>
    </w:p>
    <w:p w14:paraId="320067FB" w14:textId="7777777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Passi-Solar, Á., Margozzini, P., Cortinez-O’Ryan, A., Muñoz, J. C., &amp; Mindell, J. S. (2020). Nutritional and metabolic benefits associated with active and public transport: Results from the Chilean National Health Survey, ENS 2016–2017. </w:t>
      </w:r>
      <w:r w:rsidRPr="008C10B7">
        <w:rPr>
          <w:rFonts w:cs="Times New Roman"/>
          <w:i/>
          <w:iCs/>
          <w:sz w:val="20"/>
        </w:rPr>
        <w:t>Journal of Transport and Health</w:t>
      </w:r>
      <w:r w:rsidRPr="008C10B7">
        <w:rPr>
          <w:rFonts w:cs="Times New Roman"/>
          <w:sz w:val="20"/>
        </w:rPr>
        <w:t xml:space="preserve">, </w:t>
      </w:r>
      <w:r w:rsidRPr="008C10B7">
        <w:rPr>
          <w:rFonts w:cs="Times New Roman"/>
          <w:i/>
          <w:iCs/>
          <w:sz w:val="20"/>
        </w:rPr>
        <w:t>17</w:t>
      </w:r>
      <w:r w:rsidRPr="008C10B7">
        <w:rPr>
          <w:rFonts w:cs="Times New Roman"/>
          <w:sz w:val="20"/>
        </w:rPr>
        <w:t>, 100819. https://doi.org/10.1016/j.jth.2019.100819</w:t>
      </w:r>
    </w:p>
    <w:p w14:paraId="54A1CD91" w14:textId="4D7FDD50"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Pereira, M. F., Almendra, R., Vale, D. S., &amp; Santana, P. (2020). The relationship between built environment and health in the Lisbon Metropolitan area – can walkability explain diabetes’ hospital admissions? </w:t>
      </w:r>
      <w:r w:rsidRPr="008C10B7">
        <w:rPr>
          <w:rFonts w:cs="Times New Roman"/>
          <w:i/>
          <w:iCs/>
          <w:sz w:val="20"/>
        </w:rPr>
        <w:t xml:space="preserve">Journal of Transport </w:t>
      </w:r>
      <w:r w:rsidR="00F1033B" w:rsidRPr="008C10B7">
        <w:rPr>
          <w:rFonts w:cs="Times New Roman"/>
          <w:i/>
          <w:iCs/>
          <w:sz w:val="20"/>
        </w:rPr>
        <w:t>and</w:t>
      </w:r>
      <w:r w:rsidRPr="008C10B7">
        <w:rPr>
          <w:rFonts w:cs="Times New Roman"/>
          <w:i/>
          <w:iCs/>
          <w:sz w:val="20"/>
        </w:rPr>
        <w:t xml:space="preserve"> Health</w:t>
      </w:r>
      <w:r w:rsidRPr="008C10B7">
        <w:rPr>
          <w:rFonts w:cs="Times New Roman"/>
          <w:sz w:val="20"/>
        </w:rPr>
        <w:t xml:space="preserve">, </w:t>
      </w:r>
      <w:r w:rsidRPr="008C10B7">
        <w:rPr>
          <w:rFonts w:cs="Times New Roman"/>
          <w:i/>
          <w:iCs/>
          <w:sz w:val="20"/>
        </w:rPr>
        <w:t>18</w:t>
      </w:r>
      <w:r w:rsidRPr="008C10B7">
        <w:rPr>
          <w:rFonts w:cs="Times New Roman"/>
          <w:sz w:val="20"/>
        </w:rPr>
        <w:t>, 100893. https://doi.org/10.1016/j.jth.2020.100893</w:t>
      </w:r>
    </w:p>
    <w:p w14:paraId="5E581528" w14:textId="7777777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Pérez del Pulgar, C., Anguelovski, I., &amp; Connolly, J. (2020). Toward a green and playful city: Understanding the social and political production of children’s relational wellbeing in Barcelona. </w:t>
      </w:r>
      <w:r w:rsidRPr="008C10B7">
        <w:rPr>
          <w:rFonts w:cs="Times New Roman"/>
          <w:i/>
          <w:iCs/>
          <w:sz w:val="20"/>
        </w:rPr>
        <w:t>Cities</w:t>
      </w:r>
      <w:r w:rsidRPr="008C10B7">
        <w:rPr>
          <w:rFonts w:cs="Times New Roman"/>
          <w:sz w:val="20"/>
        </w:rPr>
        <w:t xml:space="preserve">, </w:t>
      </w:r>
      <w:r w:rsidRPr="008C10B7">
        <w:rPr>
          <w:rFonts w:cs="Times New Roman"/>
          <w:i/>
          <w:iCs/>
          <w:sz w:val="20"/>
        </w:rPr>
        <w:t>96</w:t>
      </w:r>
      <w:r w:rsidRPr="008C10B7">
        <w:rPr>
          <w:rFonts w:cs="Times New Roman"/>
          <w:sz w:val="20"/>
        </w:rPr>
        <w:t>, 102438. https://doi.org/10.1016/j.cities.2019.102438</w:t>
      </w:r>
    </w:p>
    <w:p w14:paraId="047BCE5E" w14:textId="4996337D"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Porter, A. K., Kohl, H. W., Pérez, A., Reininger, B., Pettee Gabriel, K., &amp; Salvo, D. (2020). Bikeability: Assessing the </w:t>
      </w:r>
      <w:r w:rsidR="00F1033B" w:rsidRPr="008C10B7">
        <w:rPr>
          <w:rFonts w:cs="Times New Roman"/>
          <w:sz w:val="20"/>
        </w:rPr>
        <w:t>o</w:t>
      </w:r>
      <w:r w:rsidRPr="008C10B7">
        <w:rPr>
          <w:rFonts w:cs="Times New Roman"/>
          <w:sz w:val="20"/>
        </w:rPr>
        <w:t xml:space="preserve">bjectively </w:t>
      </w:r>
      <w:r w:rsidR="00F1033B" w:rsidRPr="008C10B7">
        <w:rPr>
          <w:rFonts w:cs="Times New Roman"/>
          <w:sz w:val="20"/>
        </w:rPr>
        <w:t>m</w:t>
      </w:r>
      <w:r w:rsidRPr="008C10B7">
        <w:rPr>
          <w:rFonts w:cs="Times New Roman"/>
          <w:sz w:val="20"/>
        </w:rPr>
        <w:t xml:space="preserve">easured </w:t>
      </w:r>
      <w:r w:rsidR="00F1033B" w:rsidRPr="008C10B7">
        <w:rPr>
          <w:rFonts w:cs="Times New Roman"/>
          <w:sz w:val="20"/>
        </w:rPr>
        <w:t>e</w:t>
      </w:r>
      <w:r w:rsidRPr="008C10B7">
        <w:rPr>
          <w:rFonts w:cs="Times New Roman"/>
          <w:sz w:val="20"/>
        </w:rPr>
        <w:t xml:space="preserve">nvironment in </w:t>
      </w:r>
      <w:r w:rsidR="00F1033B" w:rsidRPr="008C10B7">
        <w:rPr>
          <w:rFonts w:cs="Times New Roman"/>
          <w:sz w:val="20"/>
        </w:rPr>
        <w:t>r</w:t>
      </w:r>
      <w:r w:rsidRPr="008C10B7">
        <w:rPr>
          <w:rFonts w:cs="Times New Roman"/>
          <w:sz w:val="20"/>
        </w:rPr>
        <w:t xml:space="preserve">elation to </w:t>
      </w:r>
      <w:r w:rsidR="00F1033B" w:rsidRPr="008C10B7">
        <w:rPr>
          <w:rFonts w:cs="Times New Roman"/>
          <w:sz w:val="20"/>
        </w:rPr>
        <w:t>r</w:t>
      </w:r>
      <w:r w:rsidRPr="008C10B7">
        <w:rPr>
          <w:rFonts w:cs="Times New Roman"/>
          <w:sz w:val="20"/>
        </w:rPr>
        <w:t xml:space="preserve">ecreation and </w:t>
      </w:r>
      <w:r w:rsidR="00F1033B" w:rsidRPr="008C10B7">
        <w:rPr>
          <w:rFonts w:cs="Times New Roman"/>
          <w:sz w:val="20"/>
        </w:rPr>
        <w:t>t</w:t>
      </w:r>
      <w:r w:rsidRPr="008C10B7">
        <w:rPr>
          <w:rFonts w:cs="Times New Roman"/>
          <w:sz w:val="20"/>
        </w:rPr>
        <w:t xml:space="preserve">ransportation </w:t>
      </w:r>
      <w:r w:rsidR="00F1033B" w:rsidRPr="008C10B7">
        <w:rPr>
          <w:rFonts w:cs="Times New Roman"/>
          <w:sz w:val="20"/>
        </w:rPr>
        <w:t>b</w:t>
      </w:r>
      <w:r w:rsidRPr="008C10B7">
        <w:rPr>
          <w:rFonts w:cs="Times New Roman"/>
          <w:sz w:val="20"/>
        </w:rPr>
        <w:t xml:space="preserve">icycling. </w:t>
      </w:r>
      <w:r w:rsidRPr="008C10B7">
        <w:rPr>
          <w:rFonts w:cs="Times New Roman"/>
          <w:i/>
          <w:iCs/>
          <w:sz w:val="20"/>
        </w:rPr>
        <w:t>Environment and Behavior</w:t>
      </w:r>
      <w:r w:rsidRPr="008C10B7">
        <w:rPr>
          <w:rFonts w:cs="Times New Roman"/>
          <w:sz w:val="20"/>
        </w:rPr>
        <w:t xml:space="preserve">, </w:t>
      </w:r>
      <w:r w:rsidRPr="008C10B7">
        <w:rPr>
          <w:rFonts w:cs="Times New Roman"/>
          <w:i/>
          <w:iCs/>
          <w:sz w:val="20"/>
        </w:rPr>
        <w:t>52</w:t>
      </w:r>
      <w:r w:rsidRPr="008C10B7">
        <w:rPr>
          <w:rFonts w:cs="Times New Roman"/>
          <w:sz w:val="20"/>
        </w:rPr>
        <w:t>(8), 861–894. https://doi.org/10.1177/0013916518825289</w:t>
      </w:r>
    </w:p>
    <w:p w14:paraId="1CA893F0" w14:textId="7777777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Regmi, P. R., Waithaka, E., Paudyal, A., Simkhada, P., &amp; Van Teijlingen, E. (2017). Guide to the design and application of online questionnaire surveys. </w:t>
      </w:r>
      <w:r w:rsidRPr="008C10B7">
        <w:rPr>
          <w:rFonts w:cs="Times New Roman"/>
          <w:i/>
          <w:iCs/>
          <w:sz w:val="20"/>
        </w:rPr>
        <w:t>Nepal Journal of Epidemiology</w:t>
      </w:r>
      <w:r w:rsidRPr="008C10B7">
        <w:rPr>
          <w:rFonts w:cs="Times New Roman"/>
          <w:sz w:val="20"/>
        </w:rPr>
        <w:t xml:space="preserve">, </w:t>
      </w:r>
      <w:r w:rsidRPr="008C10B7">
        <w:rPr>
          <w:rFonts w:cs="Times New Roman"/>
          <w:i/>
          <w:iCs/>
          <w:sz w:val="20"/>
        </w:rPr>
        <w:t>6</w:t>
      </w:r>
      <w:r w:rsidRPr="008C10B7">
        <w:rPr>
          <w:rFonts w:cs="Times New Roman"/>
          <w:sz w:val="20"/>
        </w:rPr>
        <w:t>(4), 640–644. https://doi.org/10.3126/nje.v6i4.17258</w:t>
      </w:r>
    </w:p>
    <w:p w14:paraId="0A4022FA" w14:textId="7777777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lastRenderedPageBreak/>
        <w:t xml:space="preserve">Rodríguez, D. A., &amp; Joo, J. (2004). The relationship between non-motorized mode choice and the local physical environment. </w:t>
      </w:r>
      <w:r w:rsidRPr="008C10B7">
        <w:rPr>
          <w:rFonts w:cs="Times New Roman"/>
          <w:i/>
          <w:iCs/>
          <w:sz w:val="20"/>
        </w:rPr>
        <w:t>Transportation Research Part D: Transport and Environment</w:t>
      </w:r>
      <w:r w:rsidRPr="008C10B7">
        <w:rPr>
          <w:rFonts w:cs="Times New Roman"/>
          <w:sz w:val="20"/>
        </w:rPr>
        <w:t xml:space="preserve">, </w:t>
      </w:r>
      <w:r w:rsidRPr="008C10B7">
        <w:rPr>
          <w:rFonts w:cs="Times New Roman"/>
          <w:i/>
          <w:iCs/>
          <w:sz w:val="20"/>
        </w:rPr>
        <w:t>9</w:t>
      </w:r>
      <w:r w:rsidRPr="008C10B7">
        <w:rPr>
          <w:rFonts w:cs="Times New Roman"/>
          <w:sz w:val="20"/>
        </w:rPr>
        <w:t>(2), 151–173. https://doi.org/10.1016/j.trd.2003.11.001</w:t>
      </w:r>
    </w:p>
    <w:p w14:paraId="1834C2C3" w14:textId="1CEB142E"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Sallis, J. F., Cerin, E., Kerr, J., Adams, M. A., Sugiyama, T., Christiansen, L. B., Schipperijn, J., Davey, R., Salvo, D., Frank, L. D., De Bourdeaudhuij, I., &amp; Owen, N. (2020). Built </w:t>
      </w:r>
      <w:r w:rsidR="00F1033B" w:rsidRPr="008C10B7">
        <w:rPr>
          <w:rFonts w:cs="Times New Roman"/>
          <w:sz w:val="20"/>
        </w:rPr>
        <w:t>e</w:t>
      </w:r>
      <w:r w:rsidRPr="008C10B7">
        <w:rPr>
          <w:rFonts w:cs="Times New Roman"/>
          <w:sz w:val="20"/>
        </w:rPr>
        <w:t xml:space="preserve">nvironment, </w:t>
      </w:r>
      <w:r w:rsidR="00F1033B" w:rsidRPr="008C10B7">
        <w:rPr>
          <w:rFonts w:cs="Times New Roman"/>
          <w:sz w:val="20"/>
        </w:rPr>
        <w:t>p</w:t>
      </w:r>
      <w:r w:rsidRPr="008C10B7">
        <w:rPr>
          <w:rFonts w:cs="Times New Roman"/>
          <w:sz w:val="20"/>
        </w:rPr>
        <w:t xml:space="preserve">hysical </w:t>
      </w:r>
      <w:r w:rsidR="00F1033B" w:rsidRPr="008C10B7">
        <w:rPr>
          <w:rFonts w:cs="Times New Roman"/>
          <w:sz w:val="20"/>
        </w:rPr>
        <w:t>a</w:t>
      </w:r>
      <w:r w:rsidRPr="008C10B7">
        <w:rPr>
          <w:rFonts w:cs="Times New Roman"/>
          <w:sz w:val="20"/>
        </w:rPr>
        <w:t xml:space="preserve">ctivity, and </w:t>
      </w:r>
      <w:r w:rsidR="00F1033B" w:rsidRPr="008C10B7">
        <w:rPr>
          <w:rFonts w:cs="Times New Roman"/>
          <w:sz w:val="20"/>
        </w:rPr>
        <w:t>o</w:t>
      </w:r>
      <w:r w:rsidRPr="008C10B7">
        <w:rPr>
          <w:rFonts w:cs="Times New Roman"/>
          <w:sz w:val="20"/>
        </w:rPr>
        <w:t xml:space="preserve">besity: Findings from the </w:t>
      </w:r>
      <w:r w:rsidR="00F1033B" w:rsidRPr="008C10B7">
        <w:rPr>
          <w:rFonts w:cs="Times New Roman"/>
          <w:sz w:val="20"/>
        </w:rPr>
        <w:t>i</w:t>
      </w:r>
      <w:r w:rsidRPr="008C10B7">
        <w:rPr>
          <w:rFonts w:cs="Times New Roman"/>
          <w:sz w:val="20"/>
        </w:rPr>
        <w:t xml:space="preserve">nternational </w:t>
      </w:r>
      <w:r w:rsidR="00F1033B" w:rsidRPr="008C10B7">
        <w:rPr>
          <w:rFonts w:cs="Times New Roman"/>
          <w:sz w:val="20"/>
        </w:rPr>
        <w:t>p</w:t>
      </w:r>
      <w:r w:rsidRPr="008C10B7">
        <w:rPr>
          <w:rFonts w:cs="Times New Roman"/>
          <w:sz w:val="20"/>
        </w:rPr>
        <w:t xml:space="preserve">hysical </w:t>
      </w:r>
      <w:r w:rsidR="00F1033B" w:rsidRPr="008C10B7">
        <w:rPr>
          <w:rFonts w:cs="Times New Roman"/>
          <w:sz w:val="20"/>
        </w:rPr>
        <w:t>a</w:t>
      </w:r>
      <w:r w:rsidRPr="008C10B7">
        <w:rPr>
          <w:rFonts w:cs="Times New Roman"/>
          <w:sz w:val="20"/>
        </w:rPr>
        <w:t xml:space="preserve">ctivity and </w:t>
      </w:r>
      <w:r w:rsidR="00F1033B" w:rsidRPr="008C10B7">
        <w:rPr>
          <w:rFonts w:cs="Times New Roman"/>
          <w:sz w:val="20"/>
        </w:rPr>
        <w:t>e</w:t>
      </w:r>
      <w:r w:rsidRPr="008C10B7">
        <w:rPr>
          <w:rFonts w:cs="Times New Roman"/>
          <w:sz w:val="20"/>
        </w:rPr>
        <w:t xml:space="preserve">nvironment </w:t>
      </w:r>
      <w:r w:rsidR="00F1033B" w:rsidRPr="008C10B7">
        <w:rPr>
          <w:rFonts w:cs="Times New Roman"/>
          <w:sz w:val="20"/>
        </w:rPr>
        <w:t>n</w:t>
      </w:r>
      <w:r w:rsidRPr="008C10B7">
        <w:rPr>
          <w:rFonts w:cs="Times New Roman"/>
          <w:sz w:val="20"/>
        </w:rPr>
        <w:t xml:space="preserve">etwork (IPEN) </w:t>
      </w:r>
      <w:r w:rsidR="00F1033B" w:rsidRPr="008C10B7">
        <w:rPr>
          <w:rFonts w:cs="Times New Roman"/>
          <w:sz w:val="20"/>
        </w:rPr>
        <w:t>a</w:t>
      </w:r>
      <w:r w:rsidRPr="008C10B7">
        <w:rPr>
          <w:rFonts w:cs="Times New Roman"/>
          <w:sz w:val="20"/>
        </w:rPr>
        <w:t xml:space="preserve">dult </w:t>
      </w:r>
      <w:r w:rsidR="00F1033B" w:rsidRPr="008C10B7">
        <w:rPr>
          <w:rFonts w:cs="Times New Roman"/>
          <w:sz w:val="20"/>
        </w:rPr>
        <w:t>s</w:t>
      </w:r>
      <w:r w:rsidRPr="008C10B7">
        <w:rPr>
          <w:rFonts w:cs="Times New Roman"/>
          <w:sz w:val="20"/>
        </w:rPr>
        <w:t xml:space="preserve">tudy. </w:t>
      </w:r>
      <w:r w:rsidRPr="008C10B7">
        <w:rPr>
          <w:rFonts w:cs="Times New Roman"/>
          <w:i/>
          <w:iCs/>
          <w:sz w:val="20"/>
        </w:rPr>
        <w:t>Annual Review of Public Health</w:t>
      </w:r>
      <w:r w:rsidRPr="008C10B7">
        <w:rPr>
          <w:rFonts w:cs="Times New Roman"/>
          <w:sz w:val="20"/>
        </w:rPr>
        <w:t xml:space="preserve">, </w:t>
      </w:r>
      <w:r w:rsidRPr="008C10B7">
        <w:rPr>
          <w:rFonts w:cs="Times New Roman"/>
          <w:i/>
          <w:iCs/>
          <w:sz w:val="20"/>
        </w:rPr>
        <w:t>41</w:t>
      </w:r>
      <w:r w:rsidRPr="008C10B7">
        <w:rPr>
          <w:rFonts w:cs="Times New Roman"/>
          <w:sz w:val="20"/>
        </w:rPr>
        <w:t>(1), 119–139. https://doi.org/10.1146/annurev-publhealth-040218-043657</w:t>
      </w:r>
    </w:p>
    <w:p w14:paraId="677786C6" w14:textId="7777777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Shannon, T., Giles-Corti, B., Pikora, T., Bulsara, M., Shilton, T., &amp; Bull, F. (2006). Active commuting in a university setting: Assessing commuting habits and potential for modal change. </w:t>
      </w:r>
      <w:r w:rsidRPr="008C10B7">
        <w:rPr>
          <w:rFonts w:cs="Times New Roman"/>
          <w:i/>
          <w:iCs/>
          <w:sz w:val="20"/>
        </w:rPr>
        <w:t>Transport Policy</w:t>
      </w:r>
      <w:r w:rsidRPr="008C10B7">
        <w:rPr>
          <w:rFonts w:cs="Times New Roman"/>
          <w:sz w:val="20"/>
        </w:rPr>
        <w:t xml:space="preserve">, </w:t>
      </w:r>
      <w:r w:rsidRPr="008C10B7">
        <w:rPr>
          <w:rFonts w:cs="Times New Roman"/>
          <w:i/>
          <w:iCs/>
          <w:sz w:val="20"/>
        </w:rPr>
        <w:t>13</w:t>
      </w:r>
      <w:r w:rsidRPr="008C10B7">
        <w:rPr>
          <w:rFonts w:cs="Times New Roman"/>
          <w:sz w:val="20"/>
        </w:rPr>
        <w:t>(3), 240–253. https://doi.org/10.1016/j.tranpol.2005.11.002</w:t>
      </w:r>
    </w:p>
    <w:p w14:paraId="6F7A4586" w14:textId="7489C211"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Silva, R. A., Rogers, K., &amp; Buckley, T. J. (2018). Advancing </w:t>
      </w:r>
      <w:r w:rsidR="00F1033B" w:rsidRPr="008C10B7">
        <w:rPr>
          <w:rFonts w:cs="Times New Roman"/>
          <w:sz w:val="20"/>
        </w:rPr>
        <w:t>e</w:t>
      </w:r>
      <w:r w:rsidRPr="008C10B7">
        <w:rPr>
          <w:rFonts w:cs="Times New Roman"/>
          <w:sz w:val="20"/>
        </w:rPr>
        <w:t xml:space="preserve">nvironmental </w:t>
      </w:r>
      <w:r w:rsidR="00F1033B" w:rsidRPr="008C10B7">
        <w:rPr>
          <w:rFonts w:cs="Times New Roman"/>
          <w:sz w:val="20"/>
        </w:rPr>
        <w:t>e</w:t>
      </w:r>
      <w:r w:rsidRPr="008C10B7">
        <w:rPr>
          <w:rFonts w:cs="Times New Roman"/>
          <w:sz w:val="20"/>
        </w:rPr>
        <w:t xml:space="preserve">pidemiology to </w:t>
      </w:r>
      <w:r w:rsidR="00F1033B" w:rsidRPr="008C10B7">
        <w:rPr>
          <w:rFonts w:cs="Times New Roman"/>
          <w:sz w:val="20"/>
        </w:rPr>
        <w:t>a</w:t>
      </w:r>
      <w:r w:rsidRPr="008C10B7">
        <w:rPr>
          <w:rFonts w:cs="Times New Roman"/>
          <w:sz w:val="20"/>
        </w:rPr>
        <w:t xml:space="preserve">ssess the </w:t>
      </w:r>
      <w:r w:rsidR="00F1033B" w:rsidRPr="008C10B7">
        <w:rPr>
          <w:rFonts w:cs="Times New Roman"/>
          <w:sz w:val="20"/>
        </w:rPr>
        <w:t>b</w:t>
      </w:r>
      <w:r w:rsidRPr="008C10B7">
        <w:rPr>
          <w:rFonts w:cs="Times New Roman"/>
          <w:sz w:val="20"/>
        </w:rPr>
        <w:t xml:space="preserve">eneficial </w:t>
      </w:r>
      <w:r w:rsidR="00F1033B" w:rsidRPr="008C10B7">
        <w:rPr>
          <w:rFonts w:cs="Times New Roman"/>
          <w:sz w:val="20"/>
        </w:rPr>
        <w:t>i</w:t>
      </w:r>
      <w:r w:rsidRPr="008C10B7">
        <w:rPr>
          <w:rFonts w:cs="Times New Roman"/>
          <w:sz w:val="20"/>
        </w:rPr>
        <w:t xml:space="preserve">nfluence of the </w:t>
      </w:r>
      <w:r w:rsidR="00F1033B" w:rsidRPr="008C10B7">
        <w:rPr>
          <w:rFonts w:cs="Times New Roman"/>
          <w:sz w:val="20"/>
        </w:rPr>
        <w:t>n</w:t>
      </w:r>
      <w:r w:rsidRPr="008C10B7">
        <w:rPr>
          <w:rFonts w:cs="Times New Roman"/>
          <w:sz w:val="20"/>
        </w:rPr>
        <w:t xml:space="preserve">atural </w:t>
      </w:r>
      <w:r w:rsidR="00F1033B" w:rsidRPr="008C10B7">
        <w:rPr>
          <w:rFonts w:cs="Times New Roman"/>
          <w:sz w:val="20"/>
        </w:rPr>
        <w:t>e</w:t>
      </w:r>
      <w:r w:rsidRPr="008C10B7">
        <w:rPr>
          <w:rFonts w:cs="Times New Roman"/>
          <w:sz w:val="20"/>
        </w:rPr>
        <w:t xml:space="preserve">nvironment on </w:t>
      </w:r>
      <w:r w:rsidR="00F1033B" w:rsidRPr="008C10B7">
        <w:rPr>
          <w:rFonts w:cs="Times New Roman"/>
          <w:sz w:val="20"/>
        </w:rPr>
        <w:t>h</w:t>
      </w:r>
      <w:r w:rsidRPr="008C10B7">
        <w:rPr>
          <w:rFonts w:cs="Times New Roman"/>
          <w:sz w:val="20"/>
        </w:rPr>
        <w:t xml:space="preserve">uman </w:t>
      </w:r>
      <w:r w:rsidR="00F1033B" w:rsidRPr="008C10B7">
        <w:rPr>
          <w:rFonts w:cs="Times New Roman"/>
          <w:sz w:val="20"/>
        </w:rPr>
        <w:t>h</w:t>
      </w:r>
      <w:r w:rsidRPr="008C10B7">
        <w:rPr>
          <w:rFonts w:cs="Times New Roman"/>
          <w:sz w:val="20"/>
        </w:rPr>
        <w:t xml:space="preserve">ealth and </w:t>
      </w:r>
      <w:r w:rsidR="00F1033B" w:rsidRPr="008C10B7">
        <w:rPr>
          <w:rFonts w:cs="Times New Roman"/>
          <w:sz w:val="20"/>
        </w:rPr>
        <w:t>w</w:t>
      </w:r>
      <w:r w:rsidRPr="008C10B7">
        <w:rPr>
          <w:rFonts w:cs="Times New Roman"/>
          <w:sz w:val="20"/>
        </w:rPr>
        <w:t>ell-</w:t>
      </w:r>
      <w:r w:rsidR="00F1033B" w:rsidRPr="008C10B7">
        <w:rPr>
          <w:rFonts w:cs="Times New Roman"/>
          <w:sz w:val="20"/>
        </w:rPr>
        <w:t>b</w:t>
      </w:r>
      <w:r w:rsidRPr="008C10B7">
        <w:rPr>
          <w:rFonts w:cs="Times New Roman"/>
          <w:sz w:val="20"/>
        </w:rPr>
        <w:t xml:space="preserve">eing. </w:t>
      </w:r>
      <w:r w:rsidRPr="008C10B7">
        <w:rPr>
          <w:rFonts w:cs="Times New Roman"/>
          <w:i/>
          <w:iCs/>
          <w:sz w:val="20"/>
        </w:rPr>
        <w:t>Environmental Science and Technology</w:t>
      </w:r>
      <w:r w:rsidRPr="008C10B7">
        <w:rPr>
          <w:rFonts w:cs="Times New Roman"/>
          <w:sz w:val="20"/>
        </w:rPr>
        <w:t xml:space="preserve">, </w:t>
      </w:r>
      <w:r w:rsidRPr="008C10B7">
        <w:rPr>
          <w:rFonts w:cs="Times New Roman"/>
          <w:i/>
          <w:iCs/>
          <w:sz w:val="20"/>
        </w:rPr>
        <w:t>52</w:t>
      </w:r>
      <w:r w:rsidRPr="008C10B7">
        <w:rPr>
          <w:rFonts w:cs="Times New Roman"/>
          <w:sz w:val="20"/>
        </w:rPr>
        <w:t>(17), 9545–9555. https://doi.org/10.1021/acs.est.8b01781</w:t>
      </w:r>
    </w:p>
    <w:p w14:paraId="40CA1F97" w14:textId="7777777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Sugiyama, T., Giles-Corti, B., Summers, J., du Toit, L., Leslie, E., &amp; Owen, N. (2013). Initiating and maintaining recreational walking: A longitudinal study on the influence of neighborhood green space. </w:t>
      </w:r>
      <w:r w:rsidRPr="008C10B7">
        <w:rPr>
          <w:rFonts w:cs="Times New Roman"/>
          <w:i/>
          <w:iCs/>
          <w:sz w:val="20"/>
        </w:rPr>
        <w:t>Preventive Medicine</w:t>
      </w:r>
      <w:r w:rsidRPr="008C10B7">
        <w:rPr>
          <w:rFonts w:cs="Times New Roman"/>
          <w:sz w:val="20"/>
        </w:rPr>
        <w:t xml:space="preserve">, </w:t>
      </w:r>
      <w:r w:rsidRPr="008C10B7">
        <w:rPr>
          <w:rFonts w:cs="Times New Roman"/>
          <w:i/>
          <w:iCs/>
          <w:sz w:val="20"/>
        </w:rPr>
        <w:t>57</w:t>
      </w:r>
      <w:r w:rsidRPr="008C10B7">
        <w:rPr>
          <w:rFonts w:cs="Times New Roman"/>
          <w:sz w:val="20"/>
        </w:rPr>
        <w:t>(3), 178–182. https://doi.org/10.1016/j.ypmed.2013.05.015</w:t>
      </w:r>
    </w:p>
    <w:p w14:paraId="252AABB7" w14:textId="7777777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Sun, C., Cheng, J., Lin, A., &amp; Peng, M. (2018). Gated university campus and its implications for socio-spatial inequality: Evidence from students’ accessibility to local public transport. </w:t>
      </w:r>
      <w:r w:rsidRPr="008C10B7">
        <w:rPr>
          <w:rFonts w:cs="Times New Roman"/>
          <w:i/>
          <w:iCs/>
          <w:sz w:val="20"/>
        </w:rPr>
        <w:t>Habitat International</w:t>
      </w:r>
      <w:r w:rsidRPr="008C10B7">
        <w:rPr>
          <w:rFonts w:cs="Times New Roman"/>
          <w:sz w:val="20"/>
        </w:rPr>
        <w:t xml:space="preserve">, </w:t>
      </w:r>
      <w:r w:rsidRPr="008C10B7">
        <w:rPr>
          <w:rFonts w:cs="Times New Roman"/>
          <w:i/>
          <w:iCs/>
          <w:sz w:val="20"/>
        </w:rPr>
        <w:t>80</w:t>
      </w:r>
      <w:r w:rsidRPr="008C10B7">
        <w:rPr>
          <w:rFonts w:cs="Times New Roman"/>
          <w:sz w:val="20"/>
        </w:rPr>
        <w:t>, 11–27. https://doi.org/10.1016/j.habitatint.2018.08.008</w:t>
      </w:r>
    </w:p>
    <w:p w14:paraId="710A465F" w14:textId="12E7A592"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Sun, Y, Du, Y., Wang, Y., &amp; Zhuang, L. (2017). Examining associations of environmental characteristics with recreational cycling behaviour by street-level strava data. </w:t>
      </w:r>
      <w:r w:rsidRPr="008C10B7">
        <w:rPr>
          <w:rFonts w:cs="Times New Roman"/>
          <w:i/>
          <w:iCs/>
          <w:sz w:val="20"/>
        </w:rPr>
        <w:t>International Journal of Environmental Research and Public Health</w:t>
      </w:r>
      <w:r w:rsidRPr="008C10B7">
        <w:rPr>
          <w:rFonts w:cs="Times New Roman"/>
          <w:sz w:val="20"/>
        </w:rPr>
        <w:t xml:space="preserve">, </w:t>
      </w:r>
      <w:r w:rsidRPr="008C10B7">
        <w:rPr>
          <w:rFonts w:cs="Times New Roman"/>
          <w:i/>
          <w:iCs/>
          <w:sz w:val="20"/>
        </w:rPr>
        <w:t>14</w:t>
      </w:r>
      <w:r w:rsidRPr="008C10B7">
        <w:rPr>
          <w:rFonts w:cs="Times New Roman"/>
          <w:sz w:val="20"/>
        </w:rPr>
        <w:t>(6), 644. https://doi.org/10.3390/ijerph14060644</w:t>
      </w:r>
    </w:p>
    <w:p w14:paraId="323AA1E0" w14:textId="529E3E44"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Sun, Y, Guo, Y., &amp; Zhao, Y. (2020). Understanding the determinants of learner engagement in MOOCs: An adaptive structuration perspective. </w:t>
      </w:r>
      <w:r w:rsidRPr="008C10B7">
        <w:rPr>
          <w:rFonts w:cs="Times New Roman"/>
          <w:i/>
          <w:iCs/>
          <w:sz w:val="20"/>
        </w:rPr>
        <w:t>Computers and Education</w:t>
      </w:r>
      <w:r w:rsidRPr="008C10B7">
        <w:rPr>
          <w:rFonts w:cs="Times New Roman"/>
          <w:sz w:val="20"/>
        </w:rPr>
        <w:t xml:space="preserve">, </w:t>
      </w:r>
      <w:r w:rsidRPr="008C10B7">
        <w:rPr>
          <w:rFonts w:cs="Times New Roman"/>
          <w:i/>
          <w:iCs/>
          <w:sz w:val="20"/>
        </w:rPr>
        <w:t>157</w:t>
      </w:r>
      <w:r w:rsidRPr="008C10B7">
        <w:rPr>
          <w:rFonts w:cs="Times New Roman"/>
          <w:sz w:val="20"/>
        </w:rPr>
        <w:t>, 103963. https://doi.org/10.1016/j.compedu.2020.103963</w:t>
      </w:r>
    </w:p>
    <w:p w14:paraId="0E60CF7E" w14:textId="63E605E7" w:rsidR="00802DC5" w:rsidRPr="008C10B7" w:rsidRDefault="00802DC5">
      <w:pPr>
        <w:autoSpaceDE w:val="0"/>
        <w:autoSpaceDN w:val="0"/>
        <w:adjustRightInd w:val="0"/>
        <w:ind w:left="480" w:hanging="480"/>
        <w:jc w:val="both"/>
        <w:rPr>
          <w:rFonts w:ascii="SimSun" w:hAnsi="SimSun" w:cs="Times New Roman"/>
          <w:sz w:val="20"/>
        </w:rPr>
      </w:pPr>
      <w:r w:rsidRPr="008C10B7">
        <w:rPr>
          <w:rFonts w:cs="Times New Roman"/>
          <w:sz w:val="20"/>
        </w:rPr>
        <w:t xml:space="preserve">Sun, Y, Wang, Z., Zhang, Y., &amp; Sundell, J. (2011). In China, </w:t>
      </w:r>
      <w:r w:rsidR="00955119" w:rsidRPr="008C10B7">
        <w:rPr>
          <w:rFonts w:cs="Times New Roman"/>
          <w:sz w:val="20"/>
        </w:rPr>
        <w:t>s</w:t>
      </w:r>
      <w:r w:rsidRPr="008C10B7">
        <w:rPr>
          <w:rFonts w:cs="Times New Roman"/>
          <w:sz w:val="20"/>
        </w:rPr>
        <w:t xml:space="preserve">tudents in </w:t>
      </w:r>
      <w:r w:rsidR="00955119" w:rsidRPr="008C10B7">
        <w:rPr>
          <w:rFonts w:cs="Times New Roman"/>
          <w:sz w:val="20"/>
        </w:rPr>
        <w:t>c</w:t>
      </w:r>
      <w:r w:rsidRPr="008C10B7">
        <w:rPr>
          <w:rFonts w:cs="Times New Roman"/>
          <w:sz w:val="20"/>
        </w:rPr>
        <w:t xml:space="preserve">rowded </w:t>
      </w:r>
      <w:r w:rsidR="00955119" w:rsidRPr="008C10B7">
        <w:rPr>
          <w:rFonts w:cs="Times New Roman"/>
          <w:sz w:val="20"/>
        </w:rPr>
        <w:t>d</w:t>
      </w:r>
      <w:r w:rsidRPr="008C10B7">
        <w:rPr>
          <w:rFonts w:cs="Times New Roman"/>
          <w:sz w:val="20"/>
        </w:rPr>
        <w:t xml:space="preserve">ormitories with a </w:t>
      </w:r>
      <w:r w:rsidR="00955119" w:rsidRPr="008C10B7">
        <w:rPr>
          <w:rFonts w:cs="Times New Roman"/>
          <w:sz w:val="20"/>
        </w:rPr>
        <w:t>l</w:t>
      </w:r>
      <w:r w:rsidRPr="008C10B7">
        <w:rPr>
          <w:rFonts w:cs="Times New Roman"/>
          <w:sz w:val="20"/>
        </w:rPr>
        <w:t xml:space="preserve">ow </w:t>
      </w:r>
      <w:r w:rsidR="00955119" w:rsidRPr="008C10B7">
        <w:rPr>
          <w:rFonts w:cs="Times New Roman"/>
          <w:sz w:val="20"/>
        </w:rPr>
        <w:t>v</w:t>
      </w:r>
      <w:r w:rsidRPr="008C10B7">
        <w:rPr>
          <w:rFonts w:cs="Times New Roman"/>
          <w:sz w:val="20"/>
        </w:rPr>
        <w:t xml:space="preserve">entilation </w:t>
      </w:r>
      <w:r w:rsidR="00955119" w:rsidRPr="008C10B7">
        <w:rPr>
          <w:rFonts w:cs="Times New Roman"/>
          <w:sz w:val="20"/>
        </w:rPr>
        <w:t>r</w:t>
      </w:r>
      <w:r w:rsidRPr="008C10B7">
        <w:rPr>
          <w:rFonts w:cs="Times New Roman"/>
          <w:sz w:val="20"/>
        </w:rPr>
        <w:t xml:space="preserve">ate </w:t>
      </w:r>
      <w:r w:rsidR="00955119" w:rsidRPr="008C10B7">
        <w:rPr>
          <w:rFonts w:cs="Times New Roman"/>
          <w:sz w:val="20"/>
        </w:rPr>
        <w:t>h</w:t>
      </w:r>
      <w:r w:rsidRPr="008C10B7">
        <w:rPr>
          <w:rFonts w:cs="Times New Roman"/>
          <w:sz w:val="20"/>
        </w:rPr>
        <w:t xml:space="preserve">ave </w:t>
      </w:r>
      <w:r w:rsidR="00955119" w:rsidRPr="008C10B7">
        <w:rPr>
          <w:rFonts w:cs="Times New Roman"/>
          <w:sz w:val="20"/>
        </w:rPr>
        <w:t>m</w:t>
      </w:r>
      <w:r w:rsidRPr="008C10B7">
        <w:rPr>
          <w:rFonts w:cs="Times New Roman"/>
          <w:sz w:val="20"/>
        </w:rPr>
        <w:t xml:space="preserve">ore </w:t>
      </w:r>
      <w:r w:rsidR="00955119" w:rsidRPr="008C10B7">
        <w:rPr>
          <w:rFonts w:cs="Times New Roman"/>
          <w:sz w:val="20"/>
        </w:rPr>
        <w:t>c</w:t>
      </w:r>
      <w:r w:rsidRPr="008C10B7">
        <w:rPr>
          <w:rFonts w:cs="Times New Roman"/>
          <w:sz w:val="20"/>
        </w:rPr>
        <w:t xml:space="preserve">ommon </w:t>
      </w:r>
      <w:r w:rsidR="00955119" w:rsidRPr="008C10B7">
        <w:rPr>
          <w:rFonts w:cs="Times New Roman"/>
          <w:sz w:val="20"/>
        </w:rPr>
        <w:t>c</w:t>
      </w:r>
      <w:r w:rsidRPr="008C10B7">
        <w:rPr>
          <w:rFonts w:cs="Times New Roman"/>
          <w:sz w:val="20"/>
        </w:rPr>
        <w:t xml:space="preserve">olds: Evidence for </w:t>
      </w:r>
      <w:r w:rsidR="00955119" w:rsidRPr="008C10B7">
        <w:rPr>
          <w:rFonts w:cs="Times New Roman"/>
          <w:sz w:val="20"/>
        </w:rPr>
        <w:t>a</w:t>
      </w:r>
      <w:r w:rsidRPr="008C10B7">
        <w:rPr>
          <w:rFonts w:cs="Times New Roman"/>
          <w:sz w:val="20"/>
        </w:rPr>
        <w:t xml:space="preserve">irborne </w:t>
      </w:r>
      <w:r w:rsidR="00955119" w:rsidRPr="008C10B7">
        <w:rPr>
          <w:rFonts w:cs="Times New Roman"/>
          <w:sz w:val="20"/>
        </w:rPr>
        <w:t>t</w:t>
      </w:r>
      <w:r w:rsidRPr="008C10B7">
        <w:rPr>
          <w:rFonts w:cs="Times New Roman"/>
          <w:sz w:val="20"/>
        </w:rPr>
        <w:t xml:space="preserve">ransmission. </w:t>
      </w:r>
      <w:r w:rsidRPr="008C10B7">
        <w:rPr>
          <w:rFonts w:cs="Times New Roman"/>
          <w:i/>
          <w:iCs/>
          <w:sz w:val="20"/>
        </w:rPr>
        <w:t>PLoS ONE</w:t>
      </w:r>
      <w:r w:rsidRPr="008C10B7">
        <w:rPr>
          <w:rFonts w:cs="Times New Roman"/>
          <w:sz w:val="20"/>
        </w:rPr>
        <w:t xml:space="preserve">, </w:t>
      </w:r>
      <w:r w:rsidRPr="008C10B7">
        <w:rPr>
          <w:rFonts w:cs="Times New Roman"/>
          <w:i/>
          <w:iCs/>
          <w:sz w:val="20"/>
        </w:rPr>
        <w:t>6</w:t>
      </w:r>
      <w:r w:rsidRPr="008C10B7">
        <w:rPr>
          <w:rFonts w:cs="Times New Roman"/>
          <w:sz w:val="20"/>
        </w:rPr>
        <w:t>(11), e27140. https://doi.org/10.1371/journal.pone.0027140</w:t>
      </w:r>
    </w:p>
    <w:p w14:paraId="0A7D50DA" w14:textId="398D853A" w:rsidR="00B16C04" w:rsidRPr="008C10B7" w:rsidRDefault="00B16C04" w:rsidP="00206AA5">
      <w:pPr>
        <w:autoSpaceDE w:val="0"/>
        <w:autoSpaceDN w:val="0"/>
        <w:adjustRightInd w:val="0"/>
        <w:ind w:left="480" w:hanging="480"/>
        <w:jc w:val="both"/>
        <w:rPr>
          <w:rFonts w:cs="Times New Roman"/>
          <w:sz w:val="20"/>
        </w:rPr>
      </w:pPr>
      <w:r w:rsidRPr="008C10B7">
        <w:rPr>
          <w:rFonts w:cs="Times New Roman"/>
          <w:sz w:val="20"/>
        </w:rPr>
        <w:t>Ta, N., Li, H., Zhu, Q., &amp; Wu, J. (2021).</w:t>
      </w:r>
      <w:r w:rsidRPr="008C10B7">
        <w:t xml:space="preserve"> </w:t>
      </w:r>
      <w:r w:rsidRPr="008C10B7">
        <w:rPr>
          <w:rFonts w:cs="Times New Roman"/>
          <w:sz w:val="20"/>
        </w:rPr>
        <w:t xml:space="preserve">Contributions of the quantity and quality of neighborhood green space to residential satisfaction in suburban Shanghai. </w:t>
      </w:r>
      <w:r w:rsidRPr="008C10B7">
        <w:rPr>
          <w:rFonts w:cs="Times New Roman"/>
          <w:i/>
          <w:iCs/>
          <w:sz w:val="20"/>
        </w:rPr>
        <w:t>Urban Forestry and Urban Greening</w:t>
      </w:r>
      <w:r w:rsidRPr="008C10B7">
        <w:rPr>
          <w:rFonts w:cs="Times New Roman"/>
          <w:sz w:val="20"/>
        </w:rPr>
        <w:t xml:space="preserve">, </w:t>
      </w:r>
      <w:r w:rsidR="006C285F">
        <w:rPr>
          <w:rFonts w:cs="Times New Roman"/>
          <w:sz w:val="20"/>
        </w:rPr>
        <w:t>64, 127293</w:t>
      </w:r>
      <w:r w:rsidRPr="008C10B7">
        <w:rPr>
          <w:rFonts w:cs="Times New Roman"/>
          <w:sz w:val="20"/>
        </w:rPr>
        <w:t>. https://doi.org/10.1016/j.ufug.2021.127293</w:t>
      </w:r>
    </w:p>
    <w:p w14:paraId="589FFB23" w14:textId="3E1E8BA4"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Tolley, R. (1996). Green campuses: Cutting the environmental cost of commuting. </w:t>
      </w:r>
      <w:r w:rsidRPr="008C10B7">
        <w:rPr>
          <w:rFonts w:cs="Times New Roman"/>
          <w:i/>
          <w:iCs/>
          <w:sz w:val="20"/>
        </w:rPr>
        <w:t>Journal of Transport Geography</w:t>
      </w:r>
      <w:r w:rsidRPr="008C10B7">
        <w:rPr>
          <w:rFonts w:cs="Times New Roman"/>
          <w:sz w:val="20"/>
        </w:rPr>
        <w:t xml:space="preserve"> </w:t>
      </w:r>
      <w:r w:rsidRPr="008C10B7">
        <w:rPr>
          <w:rFonts w:cs="Times New Roman"/>
          <w:i/>
          <w:iCs/>
          <w:sz w:val="20"/>
        </w:rPr>
        <w:t>4</w:t>
      </w:r>
      <w:r w:rsidRPr="008C10B7">
        <w:rPr>
          <w:rFonts w:cs="Times New Roman"/>
          <w:sz w:val="20"/>
        </w:rPr>
        <w:t>(3), 213–217. https://doi.org/10.1016/0966-6923(96)00022-1</w:t>
      </w:r>
    </w:p>
    <w:p w14:paraId="0C7259C4" w14:textId="7777777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Tsai, W. L., Yngve, L., Zhou, Y., Beyer, K. M. M., Bersch, A., Malecki, K. M., &amp; Jackson, L. E. (2019). Street-level neighborhood greenery linked to active transportation: A case study in Milwaukee and Green Bay, WI, USA. </w:t>
      </w:r>
      <w:r w:rsidRPr="008C10B7">
        <w:rPr>
          <w:rFonts w:cs="Times New Roman"/>
          <w:i/>
          <w:iCs/>
          <w:sz w:val="20"/>
        </w:rPr>
        <w:t>Landscape and Urban Planning</w:t>
      </w:r>
      <w:r w:rsidRPr="008C10B7">
        <w:rPr>
          <w:rFonts w:cs="Times New Roman"/>
          <w:sz w:val="20"/>
        </w:rPr>
        <w:t xml:space="preserve">, </w:t>
      </w:r>
      <w:r w:rsidRPr="008C10B7">
        <w:rPr>
          <w:rFonts w:cs="Times New Roman"/>
          <w:i/>
          <w:iCs/>
          <w:sz w:val="20"/>
        </w:rPr>
        <w:t>191</w:t>
      </w:r>
      <w:r w:rsidRPr="008C10B7">
        <w:rPr>
          <w:rFonts w:cs="Times New Roman"/>
          <w:sz w:val="20"/>
        </w:rPr>
        <w:t>, 103619. https://doi.org/10.1016/j.landurbplan.2019.103619</w:t>
      </w:r>
    </w:p>
    <w:p w14:paraId="19EA64D6" w14:textId="64AF81FD"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Tucker, C. J. (1979). Red and photographic infrared linear combinations for monitoring vegetation. </w:t>
      </w:r>
      <w:r w:rsidRPr="008C10B7">
        <w:rPr>
          <w:rFonts w:cs="Times New Roman"/>
          <w:i/>
          <w:iCs/>
          <w:sz w:val="20"/>
        </w:rPr>
        <w:t>Remote Sensing of Environment</w:t>
      </w:r>
      <w:r w:rsidRPr="008C10B7">
        <w:rPr>
          <w:rFonts w:cs="Times New Roman"/>
          <w:sz w:val="20"/>
        </w:rPr>
        <w:t xml:space="preserve">, </w:t>
      </w:r>
      <w:r w:rsidRPr="008C10B7">
        <w:rPr>
          <w:rFonts w:cs="Times New Roman"/>
          <w:i/>
          <w:iCs/>
          <w:sz w:val="20"/>
        </w:rPr>
        <w:t>8</w:t>
      </w:r>
      <w:r w:rsidRPr="008C10B7">
        <w:rPr>
          <w:rFonts w:cs="Times New Roman"/>
          <w:sz w:val="20"/>
        </w:rPr>
        <w:t>(2), 127–150. https://doi.org/10.1016/0034-4257(79)90013-0</w:t>
      </w:r>
    </w:p>
    <w:p w14:paraId="3C1AAE50" w14:textId="19060A9D" w:rsidR="00175A0C" w:rsidRPr="008C10B7" w:rsidRDefault="00175A0C" w:rsidP="00206AA5">
      <w:pPr>
        <w:autoSpaceDE w:val="0"/>
        <w:autoSpaceDN w:val="0"/>
        <w:adjustRightInd w:val="0"/>
        <w:ind w:left="480" w:hanging="480"/>
        <w:jc w:val="both"/>
        <w:rPr>
          <w:rFonts w:cs="Times New Roman"/>
          <w:sz w:val="20"/>
        </w:rPr>
      </w:pPr>
      <w:r w:rsidRPr="008C10B7">
        <w:rPr>
          <w:rFonts w:cs="Times New Roman"/>
          <w:sz w:val="20"/>
        </w:rPr>
        <w:lastRenderedPageBreak/>
        <w:t xml:space="preserve">Van Cauwenberg, J., Clarys, P., De Bourdeaudhuij, I., Van Holle, V., Verté, D., De Witte, N., </w:t>
      </w:r>
      <w:r w:rsidR="00CD2D5A" w:rsidRPr="008C10B7">
        <w:rPr>
          <w:rFonts w:ascii="Times" w:hAnsi="Times" w:cs="Times"/>
          <w:sz w:val="20"/>
          <w:szCs w:val="20"/>
          <w:shd w:val="clear" w:color="auto" w:fill="FFFFFF"/>
        </w:rPr>
        <w:t>De Donder, L., Buffel, T., Dury, S.,</w:t>
      </w:r>
      <w:r w:rsidRPr="008C10B7">
        <w:rPr>
          <w:rFonts w:cs="Times New Roman"/>
          <w:sz w:val="20"/>
        </w:rPr>
        <w:t xml:space="preserve"> &amp; Deforche, B. (2012). Physical environmental factors related to walking and cycling in older adults: the Belgian aging studies. </w:t>
      </w:r>
      <w:r w:rsidRPr="008C10B7">
        <w:rPr>
          <w:rFonts w:cs="Times New Roman"/>
          <w:i/>
          <w:iCs/>
          <w:sz w:val="20"/>
        </w:rPr>
        <w:t xml:space="preserve">BMC </w:t>
      </w:r>
      <w:r w:rsidR="005343A4" w:rsidRPr="008C10B7">
        <w:rPr>
          <w:rFonts w:cs="Times New Roman"/>
          <w:i/>
          <w:iCs/>
          <w:sz w:val="20"/>
        </w:rPr>
        <w:t>P</w:t>
      </w:r>
      <w:r w:rsidRPr="008C10B7">
        <w:rPr>
          <w:rFonts w:cs="Times New Roman"/>
          <w:i/>
          <w:iCs/>
          <w:sz w:val="20"/>
        </w:rPr>
        <w:t xml:space="preserve">ublic </w:t>
      </w:r>
      <w:r w:rsidR="005343A4" w:rsidRPr="008C10B7">
        <w:rPr>
          <w:rFonts w:cs="Times New Roman"/>
          <w:i/>
          <w:iCs/>
          <w:sz w:val="20"/>
        </w:rPr>
        <w:t>H</w:t>
      </w:r>
      <w:r w:rsidRPr="008C10B7">
        <w:rPr>
          <w:rFonts w:cs="Times New Roman"/>
          <w:i/>
          <w:iCs/>
          <w:sz w:val="20"/>
        </w:rPr>
        <w:t>ealth</w:t>
      </w:r>
      <w:r w:rsidRPr="008C10B7">
        <w:rPr>
          <w:rFonts w:cs="Times New Roman"/>
          <w:sz w:val="20"/>
        </w:rPr>
        <w:t xml:space="preserve">, </w:t>
      </w:r>
      <w:r w:rsidRPr="008C10B7">
        <w:rPr>
          <w:rFonts w:cs="Times New Roman"/>
          <w:i/>
          <w:iCs/>
          <w:sz w:val="20"/>
        </w:rPr>
        <w:t>12</w:t>
      </w:r>
      <w:r w:rsidRPr="008C10B7">
        <w:rPr>
          <w:rFonts w:cs="Times New Roman"/>
          <w:sz w:val="20"/>
        </w:rPr>
        <w:t>(1), 1-13.</w:t>
      </w:r>
    </w:p>
    <w:p w14:paraId="1FC9B2A6" w14:textId="0DEA8EE3" w:rsidR="00802DC5" w:rsidRPr="008C10B7" w:rsidRDefault="00B201C0" w:rsidP="00206AA5">
      <w:pPr>
        <w:autoSpaceDE w:val="0"/>
        <w:autoSpaceDN w:val="0"/>
        <w:adjustRightInd w:val="0"/>
        <w:ind w:left="480" w:hanging="480"/>
        <w:jc w:val="both"/>
        <w:rPr>
          <w:rFonts w:cs="Times New Roman"/>
          <w:sz w:val="20"/>
        </w:rPr>
      </w:pPr>
      <w:r w:rsidRPr="008C10B7">
        <w:rPr>
          <w:rFonts w:cs="Times New Roman"/>
          <w:sz w:val="20"/>
        </w:rPr>
        <w:t>V</w:t>
      </w:r>
      <w:r w:rsidR="00802DC5" w:rsidRPr="008C10B7">
        <w:rPr>
          <w:rFonts w:cs="Times New Roman"/>
          <w:sz w:val="20"/>
        </w:rPr>
        <w:t xml:space="preserve">an Loon, J., Shah, T., Fisher, P., Thompson, M., Minaker, L., Raine, K., &amp; Frank, L. D. (2013). From the </w:t>
      </w:r>
      <w:r w:rsidR="00955119" w:rsidRPr="008C10B7">
        <w:rPr>
          <w:rFonts w:cs="Times New Roman"/>
          <w:sz w:val="20"/>
        </w:rPr>
        <w:t>e</w:t>
      </w:r>
      <w:r w:rsidR="00802DC5" w:rsidRPr="008C10B7">
        <w:rPr>
          <w:rFonts w:cs="Times New Roman"/>
          <w:sz w:val="20"/>
        </w:rPr>
        <w:t xml:space="preserve">nvironment to </w:t>
      </w:r>
      <w:r w:rsidR="00955119" w:rsidRPr="008C10B7">
        <w:rPr>
          <w:rFonts w:cs="Times New Roman"/>
          <w:sz w:val="20"/>
        </w:rPr>
        <w:t>h</w:t>
      </w:r>
      <w:r w:rsidR="00802DC5" w:rsidRPr="008C10B7">
        <w:rPr>
          <w:rFonts w:cs="Times New Roman"/>
          <w:sz w:val="20"/>
        </w:rPr>
        <w:t xml:space="preserve">ealth: Built </w:t>
      </w:r>
      <w:r w:rsidR="00955119" w:rsidRPr="008C10B7">
        <w:rPr>
          <w:rFonts w:cs="Times New Roman"/>
          <w:sz w:val="20"/>
        </w:rPr>
        <w:t>e</w:t>
      </w:r>
      <w:r w:rsidR="00802DC5" w:rsidRPr="008C10B7">
        <w:rPr>
          <w:rFonts w:cs="Times New Roman"/>
          <w:sz w:val="20"/>
        </w:rPr>
        <w:t xml:space="preserve">nvironment </w:t>
      </w:r>
      <w:r w:rsidR="00955119" w:rsidRPr="008C10B7">
        <w:rPr>
          <w:rFonts w:cs="Times New Roman"/>
          <w:sz w:val="20"/>
        </w:rPr>
        <w:t>i</w:t>
      </w:r>
      <w:r w:rsidR="00802DC5" w:rsidRPr="008C10B7">
        <w:rPr>
          <w:rFonts w:cs="Times New Roman"/>
          <w:sz w:val="20"/>
        </w:rPr>
        <w:t xml:space="preserve">mpacts on </w:t>
      </w:r>
      <w:r w:rsidR="00955119" w:rsidRPr="008C10B7">
        <w:rPr>
          <w:rFonts w:cs="Times New Roman"/>
          <w:sz w:val="20"/>
        </w:rPr>
        <w:t>a</w:t>
      </w:r>
      <w:r w:rsidR="00802DC5" w:rsidRPr="008C10B7">
        <w:rPr>
          <w:rFonts w:cs="Times New Roman"/>
          <w:sz w:val="20"/>
        </w:rPr>
        <w:t xml:space="preserve">ctive </w:t>
      </w:r>
      <w:r w:rsidR="00955119" w:rsidRPr="008C10B7">
        <w:rPr>
          <w:rFonts w:cs="Times New Roman"/>
          <w:sz w:val="20"/>
        </w:rPr>
        <w:t>t</w:t>
      </w:r>
      <w:r w:rsidR="00802DC5" w:rsidRPr="008C10B7">
        <w:rPr>
          <w:rFonts w:cs="Times New Roman"/>
          <w:sz w:val="20"/>
        </w:rPr>
        <w:t xml:space="preserve">ransportation, </w:t>
      </w:r>
      <w:r w:rsidR="00955119" w:rsidRPr="008C10B7">
        <w:rPr>
          <w:rFonts w:cs="Times New Roman"/>
          <w:sz w:val="20"/>
        </w:rPr>
        <w:t>p</w:t>
      </w:r>
      <w:r w:rsidR="00802DC5" w:rsidRPr="008C10B7">
        <w:rPr>
          <w:rFonts w:cs="Times New Roman"/>
          <w:sz w:val="20"/>
        </w:rPr>
        <w:t xml:space="preserve">hysical </w:t>
      </w:r>
      <w:r w:rsidR="00955119" w:rsidRPr="008C10B7">
        <w:rPr>
          <w:rFonts w:cs="Times New Roman"/>
          <w:sz w:val="20"/>
        </w:rPr>
        <w:t>a</w:t>
      </w:r>
      <w:r w:rsidR="00802DC5" w:rsidRPr="008C10B7">
        <w:rPr>
          <w:rFonts w:cs="Times New Roman"/>
          <w:sz w:val="20"/>
        </w:rPr>
        <w:t xml:space="preserve">ctivity and </w:t>
      </w:r>
      <w:r w:rsidR="00955119" w:rsidRPr="008C10B7">
        <w:rPr>
          <w:rFonts w:cs="Times New Roman"/>
          <w:sz w:val="20"/>
        </w:rPr>
        <w:t>o</w:t>
      </w:r>
      <w:r w:rsidR="00802DC5" w:rsidRPr="008C10B7">
        <w:rPr>
          <w:rFonts w:cs="Times New Roman"/>
          <w:sz w:val="20"/>
        </w:rPr>
        <w:t xml:space="preserve">besity. </w:t>
      </w:r>
      <w:r w:rsidR="00802DC5" w:rsidRPr="008C10B7">
        <w:rPr>
          <w:rFonts w:cs="Times New Roman"/>
          <w:i/>
          <w:iCs/>
          <w:sz w:val="20"/>
        </w:rPr>
        <w:t>Canadian Journal of Diabetes</w:t>
      </w:r>
      <w:r w:rsidR="00802DC5" w:rsidRPr="008C10B7">
        <w:rPr>
          <w:rFonts w:cs="Times New Roman"/>
          <w:sz w:val="20"/>
        </w:rPr>
        <w:t xml:space="preserve">, </w:t>
      </w:r>
      <w:r w:rsidR="00802DC5" w:rsidRPr="008C10B7">
        <w:rPr>
          <w:rFonts w:cs="Times New Roman"/>
          <w:i/>
          <w:iCs/>
          <w:sz w:val="20"/>
        </w:rPr>
        <w:t>37</w:t>
      </w:r>
      <w:r w:rsidR="00802DC5" w:rsidRPr="008C10B7">
        <w:rPr>
          <w:rFonts w:cs="Times New Roman"/>
          <w:sz w:val="20"/>
        </w:rPr>
        <w:t>, S275. https://doi.org/10.1016/j.jcjd.2013.03.294</w:t>
      </w:r>
    </w:p>
    <w:p w14:paraId="0729AA97" w14:textId="1D302C60" w:rsidR="00175A0C" w:rsidRPr="008C10B7" w:rsidRDefault="00175A0C" w:rsidP="00206AA5">
      <w:pPr>
        <w:autoSpaceDE w:val="0"/>
        <w:autoSpaceDN w:val="0"/>
        <w:adjustRightInd w:val="0"/>
        <w:ind w:left="480" w:hanging="480"/>
        <w:jc w:val="both"/>
        <w:rPr>
          <w:rFonts w:cs="Times New Roman"/>
          <w:sz w:val="20"/>
        </w:rPr>
      </w:pPr>
      <w:r w:rsidRPr="008C10B7">
        <w:rPr>
          <w:rFonts w:cs="Times New Roman"/>
          <w:sz w:val="20"/>
        </w:rPr>
        <w:t xml:space="preserve">Verhoeven, H., Ghekiere, A., Van Cauwenberg, J., Van Dyck, D., De Bourdeaudhuij, I., Clarys, P., &amp; Deforche, B. (2017). Which physical and social environmental factors are most important for adolescents’ cycling for transport? An experimental study using manipulated photographs. </w:t>
      </w:r>
      <w:r w:rsidRPr="008C10B7">
        <w:rPr>
          <w:rFonts w:cs="Times New Roman"/>
          <w:i/>
          <w:iCs/>
          <w:sz w:val="20"/>
        </w:rPr>
        <w:t xml:space="preserve">International </w:t>
      </w:r>
      <w:r w:rsidR="005343A4" w:rsidRPr="008C10B7">
        <w:rPr>
          <w:rFonts w:cs="Times New Roman"/>
          <w:i/>
          <w:iCs/>
          <w:sz w:val="20"/>
        </w:rPr>
        <w:t>J</w:t>
      </w:r>
      <w:r w:rsidRPr="008C10B7">
        <w:rPr>
          <w:rFonts w:cs="Times New Roman"/>
          <w:i/>
          <w:iCs/>
          <w:sz w:val="20"/>
        </w:rPr>
        <w:t xml:space="preserve">ournal of </w:t>
      </w:r>
      <w:r w:rsidR="005343A4" w:rsidRPr="008C10B7">
        <w:rPr>
          <w:rFonts w:cs="Times New Roman"/>
          <w:i/>
          <w:iCs/>
          <w:sz w:val="20"/>
        </w:rPr>
        <w:t>B</w:t>
      </w:r>
      <w:r w:rsidRPr="008C10B7">
        <w:rPr>
          <w:rFonts w:cs="Times New Roman"/>
          <w:i/>
          <w:iCs/>
          <w:sz w:val="20"/>
        </w:rPr>
        <w:t xml:space="preserve">ehavioral </w:t>
      </w:r>
      <w:r w:rsidR="005343A4" w:rsidRPr="008C10B7">
        <w:rPr>
          <w:rFonts w:cs="Times New Roman"/>
          <w:i/>
          <w:iCs/>
          <w:sz w:val="20"/>
        </w:rPr>
        <w:t>N</w:t>
      </w:r>
      <w:r w:rsidRPr="008C10B7">
        <w:rPr>
          <w:rFonts w:cs="Times New Roman"/>
          <w:i/>
          <w:iCs/>
          <w:sz w:val="20"/>
        </w:rPr>
        <w:t xml:space="preserve">utrition and </w:t>
      </w:r>
      <w:r w:rsidR="005343A4" w:rsidRPr="008C10B7">
        <w:rPr>
          <w:rFonts w:cs="Times New Roman"/>
          <w:i/>
          <w:iCs/>
          <w:sz w:val="20"/>
        </w:rPr>
        <w:t>P</w:t>
      </w:r>
      <w:r w:rsidRPr="008C10B7">
        <w:rPr>
          <w:rFonts w:cs="Times New Roman"/>
          <w:i/>
          <w:iCs/>
          <w:sz w:val="20"/>
        </w:rPr>
        <w:t xml:space="preserve">hysical </w:t>
      </w:r>
      <w:r w:rsidR="005343A4" w:rsidRPr="008C10B7">
        <w:rPr>
          <w:rFonts w:cs="Times New Roman"/>
          <w:i/>
          <w:iCs/>
          <w:sz w:val="20"/>
        </w:rPr>
        <w:t>A</w:t>
      </w:r>
      <w:r w:rsidRPr="008C10B7">
        <w:rPr>
          <w:rFonts w:cs="Times New Roman"/>
          <w:i/>
          <w:iCs/>
          <w:sz w:val="20"/>
        </w:rPr>
        <w:t>ctivity</w:t>
      </w:r>
      <w:r w:rsidRPr="008C10B7">
        <w:rPr>
          <w:rFonts w:cs="Times New Roman"/>
          <w:sz w:val="20"/>
        </w:rPr>
        <w:t xml:space="preserve">, </w:t>
      </w:r>
      <w:r w:rsidRPr="008C10B7">
        <w:rPr>
          <w:rFonts w:cs="Times New Roman"/>
          <w:i/>
          <w:iCs/>
          <w:sz w:val="20"/>
        </w:rPr>
        <w:t>14</w:t>
      </w:r>
      <w:r w:rsidRPr="008C10B7">
        <w:rPr>
          <w:rFonts w:cs="Times New Roman"/>
          <w:sz w:val="20"/>
        </w:rPr>
        <w:t>(1), 1-13.</w:t>
      </w:r>
      <w:r w:rsidR="006C285F">
        <w:rPr>
          <w:rFonts w:cs="Times New Roman"/>
          <w:sz w:val="20"/>
        </w:rPr>
        <w:t xml:space="preserve"> doi:10.1186/s12966-017-056-z.</w:t>
      </w:r>
    </w:p>
    <w:p w14:paraId="17D74A4C" w14:textId="7777777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Vich, G., Marquet, O., &amp; Miralles-Guasch, C. (2019). Green streetscape and walking: Exploring active mobility patterns in dense and compact cities. </w:t>
      </w:r>
      <w:r w:rsidRPr="008C10B7">
        <w:rPr>
          <w:rFonts w:cs="Times New Roman"/>
          <w:i/>
          <w:iCs/>
          <w:sz w:val="20"/>
        </w:rPr>
        <w:t>Journal of Transport and Health</w:t>
      </w:r>
      <w:r w:rsidRPr="008C10B7">
        <w:rPr>
          <w:rFonts w:cs="Times New Roman"/>
          <w:sz w:val="20"/>
        </w:rPr>
        <w:t xml:space="preserve">, </w:t>
      </w:r>
      <w:r w:rsidRPr="008C10B7">
        <w:rPr>
          <w:rFonts w:cs="Times New Roman"/>
          <w:i/>
          <w:iCs/>
          <w:sz w:val="20"/>
        </w:rPr>
        <w:t>12</w:t>
      </w:r>
      <w:r w:rsidRPr="008C10B7">
        <w:rPr>
          <w:rFonts w:cs="Times New Roman"/>
          <w:sz w:val="20"/>
        </w:rPr>
        <w:t>, 50–59. https://doi.org/10.1016/j.jth.2018.11.003</w:t>
      </w:r>
    </w:p>
    <w:p w14:paraId="6697CAA5" w14:textId="76DB9846"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Wang, L., Zhou, Y., Wang, F., Ding, L., Love, P. E. D., &amp; Li, S. (2021</w:t>
      </w:r>
      <w:r w:rsidR="00C522C4">
        <w:rPr>
          <w:rFonts w:cs="Times New Roman"/>
          <w:sz w:val="20"/>
        </w:rPr>
        <w:t>b</w:t>
      </w:r>
      <w:r w:rsidRPr="008C10B7">
        <w:rPr>
          <w:rFonts w:cs="Times New Roman"/>
          <w:sz w:val="20"/>
        </w:rPr>
        <w:t xml:space="preserve">). The </w:t>
      </w:r>
      <w:r w:rsidR="00955119" w:rsidRPr="008C10B7">
        <w:rPr>
          <w:rFonts w:cs="Times New Roman"/>
          <w:sz w:val="20"/>
        </w:rPr>
        <w:t>i</w:t>
      </w:r>
      <w:r w:rsidRPr="008C10B7">
        <w:rPr>
          <w:rFonts w:cs="Times New Roman"/>
          <w:sz w:val="20"/>
        </w:rPr>
        <w:t xml:space="preserve">nfluence of the </w:t>
      </w:r>
      <w:r w:rsidR="00955119" w:rsidRPr="008C10B7">
        <w:rPr>
          <w:rFonts w:cs="Times New Roman"/>
          <w:sz w:val="20"/>
        </w:rPr>
        <w:t>b</w:t>
      </w:r>
      <w:r w:rsidRPr="008C10B7">
        <w:rPr>
          <w:rFonts w:cs="Times New Roman"/>
          <w:sz w:val="20"/>
        </w:rPr>
        <w:t xml:space="preserve">uilt </w:t>
      </w:r>
      <w:r w:rsidR="00955119" w:rsidRPr="008C10B7">
        <w:rPr>
          <w:rFonts w:cs="Times New Roman"/>
          <w:sz w:val="20"/>
        </w:rPr>
        <w:t>e</w:t>
      </w:r>
      <w:r w:rsidRPr="008C10B7">
        <w:rPr>
          <w:rFonts w:cs="Times New Roman"/>
          <w:sz w:val="20"/>
        </w:rPr>
        <w:t xml:space="preserve">nvironment on </w:t>
      </w:r>
      <w:r w:rsidR="00955119" w:rsidRPr="008C10B7">
        <w:rPr>
          <w:rFonts w:cs="Times New Roman"/>
          <w:sz w:val="20"/>
        </w:rPr>
        <w:t>p</w:t>
      </w:r>
      <w:r w:rsidRPr="008C10B7">
        <w:rPr>
          <w:rFonts w:cs="Times New Roman"/>
          <w:sz w:val="20"/>
        </w:rPr>
        <w:t xml:space="preserve">eople’s </w:t>
      </w:r>
      <w:r w:rsidR="00955119" w:rsidRPr="008C10B7">
        <w:rPr>
          <w:rFonts w:cs="Times New Roman"/>
          <w:sz w:val="20"/>
        </w:rPr>
        <w:t>m</w:t>
      </w:r>
      <w:r w:rsidRPr="008C10B7">
        <w:rPr>
          <w:rFonts w:cs="Times New Roman"/>
          <w:sz w:val="20"/>
        </w:rPr>
        <w:t xml:space="preserve">ental </w:t>
      </w:r>
      <w:r w:rsidR="00955119" w:rsidRPr="008C10B7">
        <w:rPr>
          <w:rFonts w:cs="Times New Roman"/>
          <w:sz w:val="20"/>
        </w:rPr>
        <w:t>h</w:t>
      </w:r>
      <w:r w:rsidRPr="008C10B7">
        <w:rPr>
          <w:rFonts w:cs="Times New Roman"/>
          <w:sz w:val="20"/>
        </w:rPr>
        <w:t xml:space="preserve">ealth: An </w:t>
      </w:r>
      <w:r w:rsidR="00955119" w:rsidRPr="008C10B7">
        <w:rPr>
          <w:rFonts w:cs="Times New Roman"/>
          <w:sz w:val="20"/>
        </w:rPr>
        <w:t>e</w:t>
      </w:r>
      <w:r w:rsidRPr="008C10B7">
        <w:rPr>
          <w:rFonts w:cs="Times New Roman"/>
          <w:sz w:val="20"/>
        </w:rPr>
        <w:t xml:space="preserve">mpirical </w:t>
      </w:r>
      <w:r w:rsidR="00955119" w:rsidRPr="008C10B7">
        <w:rPr>
          <w:rFonts w:cs="Times New Roman"/>
          <w:sz w:val="20"/>
        </w:rPr>
        <w:t>c</w:t>
      </w:r>
      <w:r w:rsidRPr="008C10B7">
        <w:rPr>
          <w:rFonts w:cs="Times New Roman"/>
          <w:sz w:val="20"/>
        </w:rPr>
        <w:t xml:space="preserve">lassification of </w:t>
      </w:r>
      <w:r w:rsidR="00955119" w:rsidRPr="008C10B7">
        <w:rPr>
          <w:rFonts w:cs="Times New Roman"/>
          <w:sz w:val="20"/>
        </w:rPr>
        <w:t>c</w:t>
      </w:r>
      <w:r w:rsidRPr="008C10B7">
        <w:rPr>
          <w:rFonts w:cs="Times New Roman"/>
          <w:sz w:val="20"/>
        </w:rPr>
        <w:t xml:space="preserve">ausal </w:t>
      </w:r>
      <w:r w:rsidR="00955119" w:rsidRPr="008C10B7">
        <w:rPr>
          <w:rFonts w:cs="Times New Roman"/>
          <w:sz w:val="20"/>
        </w:rPr>
        <w:t>f</w:t>
      </w:r>
      <w:r w:rsidRPr="008C10B7">
        <w:rPr>
          <w:rFonts w:cs="Times New Roman"/>
          <w:sz w:val="20"/>
        </w:rPr>
        <w:t xml:space="preserve">actors. </w:t>
      </w:r>
      <w:r w:rsidRPr="008C10B7">
        <w:rPr>
          <w:rFonts w:cs="Times New Roman"/>
          <w:i/>
          <w:iCs/>
          <w:sz w:val="20"/>
        </w:rPr>
        <w:t>Sustainable Cities and Society</w:t>
      </w:r>
      <w:r w:rsidRPr="008C10B7">
        <w:rPr>
          <w:rFonts w:cs="Times New Roman"/>
          <w:sz w:val="20"/>
        </w:rPr>
        <w:t xml:space="preserve">, </w:t>
      </w:r>
      <w:r w:rsidRPr="008C10B7">
        <w:rPr>
          <w:rFonts w:cs="Times New Roman"/>
          <w:i/>
          <w:iCs/>
          <w:sz w:val="20"/>
        </w:rPr>
        <w:t>74</w:t>
      </w:r>
      <w:r w:rsidRPr="008C10B7">
        <w:rPr>
          <w:rFonts w:cs="Times New Roman"/>
          <w:sz w:val="20"/>
        </w:rPr>
        <w:t>, 103185. https://doi.org/10.1016/j.scs.2021.103185</w:t>
      </w:r>
    </w:p>
    <w:p w14:paraId="6846025E" w14:textId="24F0F24A"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Wang, R., Feng, Z., Pearce, J., Yao, Y., Li, X., &amp; Liu, Y. (2021</w:t>
      </w:r>
      <w:r w:rsidR="00C522C4">
        <w:rPr>
          <w:rFonts w:cs="Times New Roman"/>
          <w:sz w:val="20"/>
        </w:rPr>
        <w:t>a</w:t>
      </w:r>
      <w:r w:rsidRPr="008C10B7">
        <w:rPr>
          <w:rFonts w:cs="Times New Roman"/>
          <w:sz w:val="20"/>
        </w:rPr>
        <w:t xml:space="preserve">). The distribution of greenspace quantity and quality and their association with neighbourhood socioeconomic conditions in Guangzhou, China: A new approach using deep learning method and street view images. </w:t>
      </w:r>
      <w:r w:rsidRPr="008C10B7">
        <w:rPr>
          <w:rFonts w:cs="Times New Roman"/>
          <w:i/>
          <w:iCs/>
          <w:sz w:val="20"/>
        </w:rPr>
        <w:t>Sustainable Cities and Society</w:t>
      </w:r>
      <w:r w:rsidRPr="008C10B7">
        <w:rPr>
          <w:rFonts w:cs="Times New Roman"/>
          <w:sz w:val="20"/>
        </w:rPr>
        <w:t xml:space="preserve">, </w:t>
      </w:r>
      <w:r w:rsidRPr="008C10B7">
        <w:rPr>
          <w:rFonts w:cs="Times New Roman"/>
          <w:i/>
          <w:iCs/>
          <w:sz w:val="20"/>
        </w:rPr>
        <w:t>66</w:t>
      </w:r>
      <w:r w:rsidRPr="008C10B7">
        <w:rPr>
          <w:rFonts w:cs="Times New Roman"/>
          <w:sz w:val="20"/>
        </w:rPr>
        <w:t>, 102664. https://doi.org/10.1016/j.scs.2020.102664</w:t>
      </w:r>
    </w:p>
    <w:p w14:paraId="60D5B59A" w14:textId="5B305C2A"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Wang, R., Helbich, M., Yao, Y., Zhang, J., Liu, P., Yuan, Y., &amp; Liu, Y. (2019). Urban greenery and mental wellbeing in adults: Cross-sectional mediation analyses on multiple pathways across different greenery measures. </w:t>
      </w:r>
      <w:r w:rsidRPr="008C10B7">
        <w:rPr>
          <w:rFonts w:cs="Times New Roman"/>
          <w:i/>
          <w:iCs/>
          <w:sz w:val="20"/>
        </w:rPr>
        <w:t>Environmental Research</w:t>
      </w:r>
      <w:r w:rsidRPr="008C10B7">
        <w:rPr>
          <w:rFonts w:cs="Times New Roman"/>
          <w:sz w:val="20"/>
        </w:rPr>
        <w:t xml:space="preserve">, </w:t>
      </w:r>
      <w:r w:rsidRPr="008C10B7">
        <w:rPr>
          <w:rFonts w:cs="Times New Roman"/>
          <w:i/>
          <w:iCs/>
          <w:sz w:val="20"/>
        </w:rPr>
        <w:t>176</w:t>
      </w:r>
      <w:r w:rsidRPr="008C10B7">
        <w:rPr>
          <w:rFonts w:cs="Times New Roman"/>
          <w:sz w:val="20"/>
        </w:rPr>
        <w:t>, 108535. https://doi.org/10.1016/j.envres.2019.108535</w:t>
      </w:r>
    </w:p>
    <w:p w14:paraId="10F45EA6" w14:textId="234CF076" w:rsidR="00C522C4" w:rsidRDefault="00E50BE8" w:rsidP="00C522C4">
      <w:pPr>
        <w:autoSpaceDE w:val="0"/>
        <w:autoSpaceDN w:val="0"/>
        <w:adjustRightInd w:val="0"/>
        <w:ind w:left="480" w:hanging="480"/>
        <w:jc w:val="both"/>
        <w:rPr>
          <w:rFonts w:cs="Times New Roman"/>
          <w:sz w:val="20"/>
        </w:rPr>
      </w:pPr>
      <w:r w:rsidRPr="008C10B7">
        <w:rPr>
          <w:rFonts w:cs="Times New Roman"/>
          <w:sz w:val="20"/>
        </w:rPr>
        <w:t>Wang, R., Lu, Y., Zhang, J., Liu, P., Yao, Y., &amp; Liu, Y. (2019</w:t>
      </w:r>
      <w:r w:rsidR="00C522C4">
        <w:rPr>
          <w:rFonts w:cs="Times New Roman"/>
          <w:sz w:val="20"/>
        </w:rPr>
        <w:t>a</w:t>
      </w:r>
      <w:r w:rsidRPr="008C10B7">
        <w:rPr>
          <w:rFonts w:cs="Times New Roman"/>
          <w:sz w:val="20"/>
        </w:rPr>
        <w:t xml:space="preserve">). The relationship between visual enclosure for neighbourhood street walkability and elders’ mental health in China: using street view images. </w:t>
      </w:r>
      <w:r w:rsidRPr="008C10B7">
        <w:rPr>
          <w:rFonts w:cs="Times New Roman"/>
          <w:i/>
          <w:iCs/>
          <w:sz w:val="20"/>
        </w:rPr>
        <w:t xml:space="preserve">Journal of Transport </w:t>
      </w:r>
      <w:r w:rsidR="005343A4" w:rsidRPr="008C10B7">
        <w:rPr>
          <w:rFonts w:cs="Times New Roman"/>
          <w:i/>
          <w:iCs/>
          <w:sz w:val="20"/>
        </w:rPr>
        <w:t>and</w:t>
      </w:r>
      <w:r w:rsidRPr="008C10B7">
        <w:rPr>
          <w:rFonts w:cs="Times New Roman"/>
          <w:i/>
          <w:iCs/>
          <w:sz w:val="20"/>
        </w:rPr>
        <w:t xml:space="preserve"> Health</w:t>
      </w:r>
      <w:r w:rsidRPr="008C10B7">
        <w:rPr>
          <w:rFonts w:cs="Times New Roman"/>
          <w:sz w:val="20"/>
        </w:rPr>
        <w:t xml:space="preserve">, </w:t>
      </w:r>
      <w:r w:rsidRPr="008C10B7">
        <w:rPr>
          <w:rFonts w:cs="Times New Roman"/>
          <w:i/>
          <w:iCs/>
          <w:sz w:val="20"/>
        </w:rPr>
        <w:t>13</w:t>
      </w:r>
      <w:r w:rsidRPr="008C10B7">
        <w:rPr>
          <w:rFonts w:cs="Times New Roman"/>
          <w:sz w:val="20"/>
        </w:rPr>
        <w:t>, 90-102.</w:t>
      </w:r>
    </w:p>
    <w:p w14:paraId="11548700" w14:textId="4540EAA0" w:rsidR="00C522C4" w:rsidRPr="008C10B7" w:rsidRDefault="00C522C4" w:rsidP="00E50BE8">
      <w:pPr>
        <w:autoSpaceDE w:val="0"/>
        <w:autoSpaceDN w:val="0"/>
        <w:adjustRightInd w:val="0"/>
        <w:ind w:left="480" w:hanging="480"/>
        <w:jc w:val="both"/>
        <w:rPr>
          <w:rFonts w:cs="Times New Roman"/>
          <w:sz w:val="20"/>
        </w:rPr>
      </w:pPr>
      <w:r>
        <w:rPr>
          <w:rFonts w:cs="Times New Roman"/>
          <w:sz w:val="20"/>
        </w:rPr>
        <w:t>Wang, R., Xu, S., Xiao, X., Yang, L., Lu, Y., Dong, G., &amp; Zhao, X. (2022a) Exposure to eye-level greenspace reduces health inequalities of high blood pressure: A gender difference perspective. Hygiene and Environmental Health Advances, 1, 100001. doi:10.1016/j.heha.2022.100001.</w:t>
      </w:r>
    </w:p>
    <w:p w14:paraId="01A4AC8A" w14:textId="3952C093" w:rsidR="00802DC5"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Wang, X., Khattak, A. J., &amp; Son, S. (2012). What can be </w:t>
      </w:r>
      <w:r w:rsidR="00955119" w:rsidRPr="008C10B7">
        <w:rPr>
          <w:rFonts w:cs="Times New Roman"/>
          <w:sz w:val="20"/>
        </w:rPr>
        <w:t>l</w:t>
      </w:r>
      <w:r w:rsidRPr="008C10B7">
        <w:rPr>
          <w:rFonts w:cs="Times New Roman"/>
          <w:sz w:val="20"/>
        </w:rPr>
        <w:t xml:space="preserve">earned from </w:t>
      </w:r>
      <w:r w:rsidR="00955119" w:rsidRPr="008C10B7">
        <w:rPr>
          <w:rFonts w:cs="Times New Roman"/>
          <w:sz w:val="20"/>
        </w:rPr>
        <w:t>a</w:t>
      </w:r>
      <w:r w:rsidRPr="008C10B7">
        <w:rPr>
          <w:rFonts w:cs="Times New Roman"/>
          <w:sz w:val="20"/>
        </w:rPr>
        <w:t xml:space="preserve">nalyzing </w:t>
      </w:r>
      <w:r w:rsidR="00955119" w:rsidRPr="008C10B7">
        <w:rPr>
          <w:rFonts w:cs="Times New Roman"/>
          <w:sz w:val="20"/>
        </w:rPr>
        <w:t>u</w:t>
      </w:r>
      <w:r w:rsidRPr="008C10B7">
        <w:rPr>
          <w:rFonts w:cs="Times New Roman"/>
          <w:sz w:val="20"/>
        </w:rPr>
        <w:t xml:space="preserve">niversity </w:t>
      </w:r>
      <w:r w:rsidR="00955119" w:rsidRPr="008C10B7">
        <w:rPr>
          <w:rFonts w:cs="Times New Roman"/>
          <w:sz w:val="20"/>
        </w:rPr>
        <w:t>s</w:t>
      </w:r>
      <w:r w:rsidRPr="008C10B7">
        <w:rPr>
          <w:rFonts w:cs="Times New Roman"/>
          <w:sz w:val="20"/>
        </w:rPr>
        <w:t xml:space="preserve">tudent </w:t>
      </w:r>
      <w:r w:rsidR="00955119" w:rsidRPr="008C10B7">
        <w:rPr>
          <w:rFonts w:cs="Times New Roman"/>
          <w:sz w:val="20"/>
        </w:rPr>
        <w:t>t</w:t>
      </w:r>
      <w:r w:rsidRPr="008C10B7">
        <w:rPr>
          <w:rFonts w:cs="Times New Roman"/>
          <w:sz w:val="20"/>
        </w:rPr>
        <w:t xml:space="preserve">ravel </w:t>
      </w:r>
      <w:r w:rsidR="00955119" w:rsidRPr="008C10B7">
        <w:rPr>
          <w:rFonts w:cs="Times New Roman"/>
          <w:sz w:val="20"/>
        </w:rPr>
        <w:t>d</w:t>
      </w:r>
      <w:r w:rsidRPr="008C10B7">
        <w:rPr>
          <w:rFonts w:cs="Times New Roman"/>
          <w:sz w:val="20"/>
        </w:rPr>
        <w:t xml:space="preserve">emand? </w:t>
      </w:r>
      <w:r w:rsidRPr="008C10B7">
        <w:rPr>
          <w:rFonts w:cs="Times New Roman"/>
          <w:i/>
          <w:iCs/>
          <w:sz w:val="20"/>
        </w:rPr>
        <w:t>Transportation Research Record: Journal of the Transportation Research Board</w:t>
      </w:r>
      <w:r w:rsidRPr="008C10B7">
        <w:rPr>
          <w:rFonts w:cs="Times New Roman"/>
          <w:sz w:val="20"/>
        </w:rPr>
        <w:t xml:space="preserve">, </w:t>
      </w:r>
      <w:r w:rsidRPr="008C10B7">
        <w:rPr>
          <w:rFonts w:cs="Times New Roman"/>
          <w:i/>
          <w:iCs/>
          <w:sz w:val="20"/>
        </w:rPr>
        <w:t>2322</w:t>
      </w:r>
      <w:r w:rsidRPr="008C10B7">
        <w:rPr>
          <w:rFonts w:cs="Times New Roman"/>
          <w:sz w:val="20"/>
        </w:rPr>
        <w:t>(1), 129–137. https://doi.org/10.3141/2322-14</w:t>
      </w:r>
    </w:p>
    <w:p w14:paraId="36B29328" w14:textId="28797D37" w:rsidR="00C522C4" w:rsidRPr="008C10B7" w:rsidRDefault="00C522C4" w:rsidP="00206AA5">
      <w:pPr>
        <w:autoSpaceDE w:val="0"/>
        <w:autoSpaceDN w:val="0"/>
        <w:adjustRightInd w:val="0"/>
        <w:ind w:left="480" w:hanging="480"/>
        <w:jc w:val="both"/>
        <w:rPr>
          <w:rFonts w:cs="Times New Roman"/>
          <w:sz w:val="20"/>
        </w:rPr>
      </w:pPr>
      <w:r>
        <w:rPr>
          <w:rFonts w:cs="Times New Roman"/>
          <w:sz w:val="20"/>
        </w:rPr>
        <w:t>Wang, X., Liu, Y., Zhu, C., Yao, Y., &amp; Helbich, M. (2022b). Associations between the streetscape built environment and walking to school among primary schoolchildren in Beijing, China. Journal of Transport Geography, 99, 103303. doi:10.1016/j.jtrangeo.2022.103303.</w:t>
      </w:r>
    </w:p>
    <w:p w14:paraId="1DE2C4F9" w14:textId="14606B20"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Wu, W., Yao, Y., Song, Y., He, D., &amp; Wang, R. (2021). Perceived influence of street-level visible greenness exposure in the work and residential environment on life satisfaction: Evidence from Beijing, China. </w:t>
      </w:r>
      <w:r w:rsidRPr="008C10B7">
        <w:rPr>
          <w:rFonts w:cs="Times New Roman"/>
          <w:i/>
          <w:iCs/>
          <w:sz w:val="20"/>
        </w:rPr>
        <w:t xml:space="preserve">Urban Forestry </w:t>
      </w:r>
      <w:r w:rsidR="00955119" w:rsidRPr="008C10B7">
        <w:rPr>
          <w:rFonts w:cs="Times New Roman"/>
          <w:i/>
          <w:iCs/>
          <w:sz w:val="20"/>
        </w:rPr>
        <w:t>and</w:t>
      </w:r>
      <w:r w:rsidRPr="008C10B7">
        <w:rPr>
          <w:rFonts w:cs="Times New Roman"/>
          <w:i/>
          <w:iCs/>
          <w:sz w:val="20"/>
        </w:rPr>
        <w:t xml:space="preserve"> Urban Greening</w:t>
      </w:r>
      <w:r w:rsidRPr="008C10B7">
        <w:rPr>
          <w:rFonts w:cs="Times New Roman"/>
          <w:sz w:val="20"/>
        </w:rPr>
        <w:t xml:space="preserve">, </w:t>
      </w:r>
      <w:r w:rsidRPr="008C10B7">
        <w:rPr>
          <w:rFonts w:cs="Times New Roman"/>
          <w:i/>
          <w:iCs/>
          <w:sz w:val="20"/>
        </w:rPr>
        <w:t>62</w:t>
      </w:r>
      <w:r w:rsidRPr="008C10B7">
        <w:rPr>
          <w:rFonts w:cs="Times New Roman"/>
          <w:sz w:val="20"/>
        </w:rPr>
        <w:t>, 127161. https://doi.org/10.1016/j.ufug.2021.127161</w:t>
      </w:r>
    </w:p>
    <w:p w14:paraId="1FAB52F2" w14:textId="6D20DFDE" w:rsidR="00802DC5" w:rsidRPr="008C10B7" w:rsidRDefault="00802DC5">
      <w:pPr>
        <w:autoSpaceDE w:val="0"/>
        <w:autoSpaceDN w:val="0"/>
        <w:adjustRightInd w:val="0"/>
        <w:ind w:left="480" w:hanging="480"/>
        <w:jc w:val="both"/>
        <w:rPr>
          <w:rFonts w:ascii="SimSun" w:hAnsi="SimSun" w:cs="Times New Roman"/>
          <w:sz w:val="20"/>
        </w:rPr>
      </w:pPr>
      <w:r w:rsidRPr="008C10B7">
        <w:rPr>
          <w:rFonts w:cs="Times New Roman"/>
          <w:sz w:val="20"/>
        </w:rPr>
        <w:lastRenderedPageBreak/>
        <w:t xml:space="preserve">Xiao, Y., Wang, Z., Li, Z., &amp; Tang, Z. (2017). An assessment of urban park access in Shanghai – Implications for the social equity in urban China. </w:t>
      </w:r>
      <w:r w:rsidRPr="008C10B7">
        <w:rPr>
          <w:rFonts w:cs="Times New Roman"/>
          <w:i/>
          <w:iCs/>
          <w:sz w:val="20"/>
        </w:rPr>
        <w:t>Landscape and Urban Planning</w:t>
      </w:r>
      <w:r w:rsidRPr="008C10B7">
        <w:rPr>
          <w:rFonts w:cs="Times New Roman"/>
          <w:sz w:val="20"/>
        </w:rPr>
        <w:t xml:space="preserve">, </w:t>
      </w:r>
      <w:r w:rsidRPr="008C10B7">
        <w:rPr>
          <w:rFonts w:cs="Times New Roman"/>
          <w:i/>
          <w:iCs/>
          <w:sz w:val="20"/>
        </w:rPr>
        <w:t>157</w:t>
      </w:r>
      <w:r w:rsidRPr="008C10B7">
        <w:rPr>
          <w:rFonts w:cs="Times New Roman"/>
          <w:sz w:val="20"/>
        </w:rPr>
        <w:t>, 383–393. https://doi.org/10.1016/j.landurbplan.2016.08.007</w:t>
      </w:r>
    </w:p>
    <w:p w14:paraId="213941EF" w14:textId="62D74F81" w:rsidR="008E4498" w:rsidRPr="008C10B7" w:rsidRDefault="008E4498" w:rsidP="00206AA5">
      <w:pPr>
        <w:autoSpaceDE w:val="0"/>
        <w:autoSpaceDN w:val="0"/>
        <w:adjustRightInd w:val="0"/>
        <w:ind w:left="480" w:hanging="480"/>
        <w:jc w:val="both"/>
        <w:rPr>
          <w:rFonts w:cs="Times New Roman"/>
          <w:sz w:val="20"/>
        </w:rPr>
      </w:pPr>
      <w:r w:rsidRPr="008C10B7">
        <w:rPr>
          <w:rFonts w:cs="Times New Roman"/>
          <w:sz w:val="20"/>
        </w:rPr>
        <w:t xml:space="preserve">Xiong, C., Li, Q., &amp; Lu, X. (2021). Automated regional seismic damage assessment of buildings using an unmanned aerial vehicle and a convolutional neural network. </w:t>
      </w:r>
      <w:r w:rsidRPr="008C10B7">
        <w:rPr>
          <w:rFonts w:cs="Times New Roman"/>
          <w:i/>
          <w:iCs/>
          <w:sz w:val="20"/>
        </w:rPr>
        <w:t>Automation in Construction, 109,</w:t>
      </w:r>
      <w:r w:rsidRPr="008C10B7">
        <w:rPr>
          <w:rFonts w:cs="Times New Roman"/>
          <w:sz w:val="20"/>
        </w:rPr>
        <w:t xml:space="preserve"> 102994.</w:t>
      </w:r>
      <w:r w:rsidRPr="008C10B7">
        <w:t xml:space="preserve"> </w:t>
      </w:r>
      <w:r w:rsidRPr="008C10B7">
        <w:rPr>
          <w:rFonts w:cs="Times New Roman"/>
          <w:sz w:val="20"/>
        </w:rPr>
        <w:t>https://doi.org/10.1016/j.autcon.2019.102994</w:t>
      </w:r>
    </w:p>
    <w:p w14:paraId="0A99DEE1" w14:textId="534561CC" w:rsidR="00802DC5" w:rsidRDefault="00802DC5" w:rsidP="00206AA5">
      <w:pPr>
        <w:autoSpaceDE w:val="0"/>
        <w:autoSpaceDN w:val="0"/>
        <w:adjustRightInd w:val="0"/>
        <w:ind w:left="480" w:hanging="480"/>
        <w:jc w:val="both"/>
        <w:rPr>
          <w:rFonts w:cs="Times New Roman"/>
          <w:sz w:val="20"/>
        </w:rPr>
      </w:pPr>
      <w:r w:rsidRPr="008C10B7">
        <w:rPr>
          <w:rFonts w:cs="Times New Roman"/>
          <w:sz w:val="20"/>
        </w:rPr>
        <w:t>Yang, H., He, D., Lu, Y., Ren, C., &amp; Huang, X. (2021</w:t>
      </w:r>
      <w:r w:rsidR="00C522C4">
        <w:rPr>
          <w:rFonts w:cs="Times New Roman"/>
          <w:sz w:val="20"/>
        </w:rPr>
        <w:t>b</w:t>
      </w:r>
      <w:r w:rsidRPr="008C10B7">
        <w:rPr>
          <w:rFonts w:cs="Times New Roman"/>
          <w:sz w:val="20"/>
        </w:rPr>
        <w:t xml:space="preserve">). Disentangling residential self-selection from the influence of built environment characteristics on adiposity outcomes among undergraduate students in China. </w:t>
      </w:r>
      <w:r w:rsidRPr="008C10B7">
        <w:rPr>
          <w:rFonts w:cs="Times New Roman"/>
          <w:i/>
          <w:iCs/>
          <w:sz w:val="20"/>
        </w:rPr>
        <w:t>Cities</w:t>
      </w:r>
      <w:r w:rsidRPr="008C10B7">
        <w:rPr>
          <w:rFonts w:cs="Times New Roman"/>
          <w:sz w:val="20"/>
        </w:rPr>
        <w:t xml:space="preserve">, </w:t>
      </w:r>
      <w:r w:rsidRPr="008C10B7">
        <w:rPr>
          <w:rFonts w:cs="Times New Roman"/>
          <w:i/>
          <w:iCs/>
          <w:sz w:val="20"/>
        </w:rPr>
        <w:t>113</w:t>
      </w:r>
      <w:r w:rsidRPr="008C10B7">
        <w:rPr>
          <w:rFonts w:cs="Times New Roman"/>
          <w:sz w:val="20"/>
        </w:rPr>
        <w:t>, 103165. https://doi.org/10.1016/j.cities.2021.103165</w:t>
      </w:r>
    </w:p>
    <w:p w14:paraId="27C59F49" w14:textId="19974C12" w:rsidR="00C522C4" w:rsidRPr="008C10B7" w:rsidRDefault="00C522C4" w:rsidP="00206AA5">
      <w:pPr>
        <w:autoSpaceDE w:val="0"/>
        <w:autoSpaceDN w:val="0"/>
        <w:adjustRightInd w:val="0"/>
        <w:ind w:left="480" w:hanging="480"/>
        <w:jc w:val="both"/>
        <w:rPr>
          <w:rFonts w:cs="Times New Roman"/>
          <w:sz w:val="20"/>
        </w:rPr>
      </w:pPr>
      <w:r>
        <w:rPr>
          <w:rFonts w:cs="Times New Roman"/>
          <w:sz w:val="20"/>
        </w:rPr>
        <w:t xml:space="preserve">Yang, H., He, D., Lu, Y., Ren, C., &amp; Huang, X. (2021b). Disentangling residential self-selection from the influence of built environment characteristics on adiposity outcomes among undergraduate students in China. </w:t>
      </w:r>
      <w:r w:rsidRPr="00C522C4">
        <w:rPr>
          <w:rFonts w:cs="Times New Roman"/>
          <w:i/>
          <w:iCs/>
          <w:sz w:val="20"/>
        </w:rPr>
        <w:t>Cities</w:t>
      </w:r>
      <w:r>
        <w:rPr>
          <w:rFonts w:cs="Times New Roman"/>
          <w:sz w:val="20"/>
        </w:rPr>
        <w:t>, 113, 103165. doi:10.1016/j.cities.2021.103165.</w:t>
      </w:r>
    </w:p>
    <w:p w14:paraId="1AEEECAE" w14:textId="77777777" w:rsidR="007B524A" w:rsidRDefault="007B524A" w:rsidP="00206AA5">
      <w:pPr>
        <w:autoSpaceDE w:val="0"/>
        <w:autoSpaceDN w:val="0"/>
        <w:adjustRightInd w:val="0"/>
        <w:ind w:left="480" w:hanging="480"/>
        <w:jc w:val="both"/>
        <w:rPr>
          <w:rFonts w:cs="Times New Roman"/>
          <w:sz w:val="20"/>
        </w:rPr>
      </w:pPr>
      <w:r w:rsidRPr="008C10B7">
        <w:rPr>
          <w:rFonts w:cs="Times New Roman"/>
          <w:sz w:val="20"/>
        </w:rPr>
        <w:t>Yang,</w:t>
      </w:r>
      <w:r>
        <w:rPr>
          <w:rFonts w:cs="Times New Roman"/>
          <w:sz w:val="20"/>
        </w:rPr>
        <w:t xml:space="preserve"> J.,</w:t>
      </w:r>
      <w:r w:rsidRPr="008C10B7">
        <w:rPr>
          <w:rFonts w:cs="Times New Roman"/>
          <w:sz w:val="20"/>
        </w:rPr>
        <w:t xml:space="preserve"> Zhao, L., Mcbride, J., &amp; Gong, P. (2009). Can you see green? Assessing the visibility of urban forests in cities. </w:t>
      </w:r>
      <w:r w:rsidRPr="008C10B7">
        <w:rPr>
          <w:rFonts w:cs="Times New Roman"/>
          <w:i/>
          <w:iCs/>
          <w:sz w:val="20"/>
        </w:rPr>
        <w:t>Landscape and Urban Planning, 91</w:t>
      </w:r>
      <w:r w:rsidRPr="008C10B7">
        <w:rPr>
          <w:rFonts w:cs="Times New Roman"/>
          <w:sz w:val="20"/>
        </w:rPr>
        <w:t>(2), 97–104. https://doi.org/10.1016/j.landurbplan.2008.12.004</w:t>
      </w:r>
    </w:p>
    <w:p w14:paraId="6B2BFC5D" w14:textId="220AFF40"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Yang, L., Liu, J., Lu, Y., Ao, Y., Guo, Y., Huang, W., Zhao, R., &amp; Wang, R. (2020). Global and local associations between urban greenery and travel propensity of older adults in Hong Kong. </w:t>
      </w:r>
      <w:r w:rsidRPr="008C10B7">
        <w:rPr>
          <w:rFonts w:cs="Times New Roman"/>
          <w:i/>
          <w:iCs/>
          <w:sz w:val="20"/>
        </w:rPr>
        <w:t>Sustainable Cities and Society</w:t>
      </w:r>
      <w:r w:rsidRPr="008C10B7">
        <w:rPr>
          <w:rFonts w:cs="Times New Roman"/>
          <w:sz w:val="20"/>
        </w:rPr>
        <w:t xml:space="preserve">, </w:t>
      </w:r>
      <w:r w:rsidRPr="008C10B7">
        <w:rPr>
          <w:rFonts w:cs="Times New Roman"/>
          <w:i/>
          <w:iCs/>
          <w:sz w:val="20"/>
        </w:rPr>
        <w:t>63</w:t>
      </w:r>
      <w:r w:rsidRPr="008C10B7">
        <w:rPr>
          <w:rFonts w:cs="Times New Roman"/>
          <w:sz w:val="20"/>
        </w:rPr>
        <w:t>, 102442. https://doi.org/10.1016/j.scs.2020.102442</w:t>
      </w:r>
    </w:p>
    <w:p w14:paraId="2320BE7F" w14:textId="0384D7DD" w:rsidR="002177FE" w:rsidRPr="008C10B7" w:rsidRDefault="00175A0C" w:rsidP="007B524A">
      <w:pPr>
        <w:autoSpaceDE w:val="0"/>
        <w:autoSpaceDN w:val="0"/>
        <w:adjustRightInd w:val="0"/>
        <w:ind w:left="480" w:hanging="480"/>
        <w:jc w:val="both"/>
        <w:rPr>
          <w:rFonts w:cs="Times New Roman"/>
          <w:sz w:val="20"/>
        </w:rPr>
      </w:pPr>
      <w:r w:rsidRPr="008C10B7">
        <w:rPr>
          <w:rFonts w:cs="Times New Roman"/>
          <w:sz w:val="20"/>
        </w:rPr>
        <w:t xml:space="preserve">Yang, Y., Wu, X., Zhou, P., Gou, Z., &amp; Lu, Y. (2019). Towards a cycling-friendly city: An updated review of the associations between built environment and cycling behaviors (2007–2017). </w:t>
      </w:r>
      <w:r w:rsidRPr="008C10B7">
        <w:rPr>
          <w:rFonts w:cs="Times New Roman"/>
          <w:i/>
          <w:iCs/>
          <w:sz w:val="20"/>
        </w:rPr>
        <w:t xml:space="preserve">Journal of Transport </w:t>
      </w:r>
      <w:r w:rsidR="005343A4" w:rsidRPr="008C10B7">
        <w:rPr>
          <w:rFonts w:cs="Times New Roman"/>
          <w:i/>
          <w:iCs/>
          <w:sz w:val="20"/>
        </w:rPr>
        <w:t>and</w:t>
      </w:r>
      <w:r w:rsidRPr="008C10B7">
        <w:rPr>
          <w:rFonts w:cs="Times New Roman"/>
          <w:i/>
          <w:iCs/>
          <w:sz w:val="20"/>
        </w:rPr>
        <w:t xml:space="preserve"> Health</w:t>
      </w:r>
      <w:r w:rsidRPr="008C10B7">
        <w:rPr>
          <w:rFonts w:cs="Times New Roman"/>
          <w:sz w:val="20"/>
        </w:rPr>
        <w:t xml:space="preserve">, </w:t>
      </w:r>
      <w:r w:rsidRPr="008C10B7">
        <w:rPr>
          <w:rFonts w:cs="Times New Roman"/>
          <w:i/>
          <w:iCs/>
          <w:sz w:val="20"/>
        </w:rPr>
        <w:t>14</w:t>
      </w:r>
      <w:r w:rsidRPr="008C10B7">
        <w:rPr>
          <w:rFonts w:cs="Times New Roman"/>
          <w:sz w:val="20"/>
        </w:rPr>
        <w:t>, 100613.</w:t>
      </w:r>
    </w:p>
    <w:p w14:paraId="117D6A62" w14:textId="09FB28A5"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Yao, Y., Liang, Z., Yuan, Z., Liu, P., Bie, Y., Zhang, J., Wang, R., Wang, J., &amp; Guan, Q. (2019). A human-machine adversarial scoring framework for urban perception assessment using street-view images. </w:t>
      </w:r>
      <w:r w:rsidRPr="008C10B7">
        <w:rPr>
          <w:rFonts w:cs="Times New Roman"/>
          <w:i/>
          <w:iCs/>
          <w:sz w:val="20"/>
        </w:rPr>
        <w:t>International Journal of Geographical Information Science</w:t>
      </w:r>
      <w:r w:rsidRPr="008C10B7">
        <w:rPr>
          <w:rFonts w:cs="Times New Roman"/>
          <w:sz w:val="20"/>
        </w:rPr>
        <w:t xml:space="preserve">, </w:t>
      </w:r>
      <w:r w:rsidRPr="008C10B7">
        <w:rPr>
          <w:rFonts w:cs="Times New Roman"/>
          <w:i/>
          <w:iCs/>
          <w:sz w:val="20"/>
        </w:rPr>
        <w:t>33</w:t>
      </w:r>
      <w:r w:rsidRPr="008C10B7">
        <w:rPr>
          <w:rFonts w:cs="Times New Roman"/>
          <w:sz w:val="20"/>
        </w:rPr>
        <w:t>(12), 2363–2384. https://doi.org/10.1080/13658816.2019.1643024</w:t>
      </w:r>
    </w:p>
    <w:p w14:paraId="0352E623" w14:textId="1072494F" w:rsidR="00326054" w:rsidRPr="008C10B7" w:rsidRDefault="00326054" w:rsidP="00206AA5">
      <w:pPr>
        <w:autoSpaceDE w:val="0"/>
        <w:autoSpaceDN w:val="0"/>
        <w:adjustRightInd w:val="0"/>
        <w:ind w:left="480" w:hanging="480"/>
        <w:jc w:val="both"/>
        <w:rPr>
          <w:rFonts w:cs="Times New Roman"/>
          <w:sz w:val="20"/>
        </w:rPr>
      </w:pPr>
      <w:r w:rsidRPr="008C10B7">
        <w:rPr>
          <w:rFonts w:cs="Times New Roman"/>
          <w:sz w:val="20"/>
        </w:rPr>
        <w:t xml:space="preserve">Yin, L., &amp; Wang, Z. (2016). Measuring visual enclosure for street walkability: Using machine learning algorithms and Google Street View imagery. </w:t>
      </w:r>
      <w:r w:rsidRPr="008C10B7">
        <w:rPr>
          <w:rFonts w:cs="Times New Roman"/>
          <w:i/>
          <w:iCs/>
          <w:sz w:val="20"/>
        </w:rPr>
        <w:t>Applied geography</w:t>
      </w:r>
      <w:r w:rsidRPr="008C10B7">
        <w:rPr>
          <w:rFonts w:cs="Times New Roman"/>
          <w:sz w:val="20"/>
        </w:rPr>
        <w:t xml:space="preserve">, </w:t>
      </w:r>
      <w:r w:rsidRPr="008C10B7">
        <w:rPr>
          <w:rFonts w:cs="Times New Roman"/>
          <w:i/>
          <w:iCs/>
          <w:sz w:val="20"/>
        </w:rPr>
        <w:t>76</w:t>
      </w:r>
      <w:r w:rsidRPr="008C10B7">
        <w:rPr>
          <w:rFonts w:cs="Times New Roman"/>
          <w:sz w:val="20"/>
        </w:rPr>
        <w:t>, 147-153.</w:t>
      </w:r>
    </w:p>
    <w:p w14:paraId="6E047B36" w14:textId="77777777"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 xml:space="preserve">Zhan, G., Yan, X., Zhu, S., &amp; Wang, Y. (2016). Using hierarchical tree-based regression model to examine university student travel frequency and mode choice patterns in China. </w:t>
      </w:r>
      <w:r w:rsidRPr="008C10B7">
        <w:rPr>
          <w:rFonts w:cs="Times New Roman"/>
          <w:i/>
          <w:iCs/>
          <w:sz w:val="20"/>
        </w:rPr>
        <w:t>Transport Policy</w:t>
      </w:r>
      <w:r w:rsidRPr="008C10B7">
        <w:rPr>
          <w:rFonts w:cs="Times New Roman"/>
          <w:sz w:val="20"/>
        </w:rPr>
        <w:t xml:space="preserve">, </w:t>
      </w:r>
      <w:r w:rsidRPr="008C10B7">
        <w:rPr>
          <w:rFonts w:cs="Times New Roman"/>
          <w:i/>
          <w:iCs/>
          <w:sz w:val="20"/>
        </w:rPr>
        <w:t>45</w:t>
      </w:r>
      <w:r w:rsidRPr="008C10B7">
        <w:rPr>
          <w:rFonts w:cs="Times New Roman"/>
          <w:sz w:val="20"/>
        </w:rPr>
        <w:t>, 55–65. https://doi.org/10.1016/j.tranpol.2015.09.006</w:t>
      </w:r>
    </w:p>
    <w:p w14:paraId="3CF7AFE4" w14:textId="1138706E" w:rsidR="00802DC5" w:rsidRPr="008C10B7" w:rsidRDefault="00802DC5" w:rsidP="00206AA5">
      <w:pPr>
        <w:autoSpaceDE w:val="0"/>
        <w:autoSpaceDN w:val="0"/>
        <w:adjustRightInd w:val="0"/>
        <w:ind w:left="480" w:hanging="480"/>
        <w:jc w:val="both"/>
        <w:rPr>
          <w:rFonts w:cs="Times New Roman"/>
          <w:sz w:val="20"/>
        </w:rPr>
      </w:pPr>
      <w:r w:rsidRPr="008C10B7">
        <w:rPr>
          <w:rFonts w:cs="Times New Roman"/>
          <w:sz w:val="20"/>
        </w:rPr>
        <w:t>Zhou, B., Zhao, H., Puig, X., Xiao, T., Fidler, S., Barriuso, A., &amp; Torralba, A. (2019</w:t>
      </w:r>
      <w:r w:rsidR="007B524A">
        <w:rPr>
          <w:rFonts w:cs="Times New Roman"/>
          <w:sz w:val="20"/>
        </w:rPr>
        <w:t>a</w:t>
      </w:r>
      <w:r w:rsidRPr="008C10B7">
        <w:rPr>
          <w:rFonts w:cs="Times New Roman"/>
          <w:sz w:val="20"/>
        </w:rPr>
        <w:t xml:space="preserve">). Semantic </w:t>
      </w:r>
      <w:r w:rsidR="00955119" w:rsidRPr="008C10B7">
        <w:rPr>
          <w:rFonts w:cs="Times New Roman"/>
          <w:sz w:val="20"/>
        </w:rPr>
        <w:t>u</w:t>
      </w:r>
      <w:r w:rsidRPr="008C10B7">
        <w:rPr>
          <w:rFonts w:cs="Times New Roman"/>
          <w:sz w:val="20"/>
        </w:rPr>
        <w:t xml:space="preserve">nderstanding of </w:t>
      </w:r>
      <w:r w:rsidR="00955119" w:rsidRPr="008C10B7">
        <w:rPr>
          <w:rFonts w:cs="Times New Roman"/>
          <w:sz w:val="20"/>
        </w:rPr>
        <w:t>s</w:t>
      </w:r>
      <w:r w:rsidRPr="008C10B7">
        <w:rPr>
          <w:rFonts w:cs="Times New Roman"/>
          <w:sz w:val="20"/>
        </w:rPr>
        <w:t xml:space="preserve">cenes </w:t>
      </w:r>
      <w:r w:rsidR="00955119" w:rsidRPr="008C10B7">
        <w:rPr>
          <w:rFonts w:cs="Times New Roman"/>
          <w:sz w:val="20"/>
        </w:rPr>
        <w:t>t</w:t>
      </w:r>
      <w:r w:rsidRPr="008C10B7">
        <w:rPr>
          <w:rFonts w:cs="Times New Roman"/>
          <w:sz w:val="20"/>
        </w:rPr>
        <w:t xml:space="preserve">hrough the ADE20K </w:t>
      </w:r>
      <w:r w:rsidR="00955119" w:rsidRPr="008C10B7">
        <w:rPr>
          <w:rFonts w:cs="Times New Roman"/>
          <w:sz w:val="20"/>
        </w:rPr>
        <w:t>d</w:t>
      </w:r>
      <w:r w:rsidRPr="008C10B7">
        <w:rPr>
          <w:rFonts w:cs="Times New Roman"/>
          <w:sz w:val="20"/>
        </w:rPr>
        <w:t xml:space="preserve">ataset. </w:t>
      </w:r>
      <w:r w:rsidRPr="008C10B7">
        <w:rPr>
          <w:rFonts w:cs="Times New Roman"/>
          <w:i/>
          <w:iCs/>
          <w:sz w:val="20"/>
        </w:rPr>
        <w:t>International Journal of Computer Vision</w:t>
      </w:r>
      <w:r w:rsidRPr="008C10B7">
        <w:rPr>
          <w:rFonts w:cs="Times New Roman"/>
          <w:sz w:val="20"/>
        </w:rPr>
        <w:t xml:space="preserve">, </w:t>
      </w:r>
      <w:r w:rsidRPr="008C10B7">
        <w:rPr>
          <w:rFonts w:cs="Times New Roman"/>
          <w:i/>
          <w:iCs/>
          <w:sz w:val="20"/>
        </w:rPr>
        <w:t>127</w:t>
      </w:r>
      <w:r w:rsidRPr="008C10B7">
        <w:rPr>
          <w:rFonts w:cs="Times New Roman"/>
          <w:sz w:val="20"/>
        </w:rPr>
        <w:t>(3), 302–321. https://doi.org/10.1007/s11263-018-1140-0</w:t>
      </w:r>
    </w:p>
    <w:p w14:paraId="05239F9D" w14:textId="06AE12BD" w:rsidR="00802DC5" w:rsidRDefault="00802DC5" w:rsidP="00206AA5">
      <w:pPr>
        <w:autoSpaceDE w:val="0"/>
        <w:autoSpaceDN w:val="0"/>
        <w:adjustRightInd w:val="0"/>
        <w:ind w:left="480" w:hanging="480"/>
        <w:jc w:val="both"/>
        <w:rPr>
          <w:rFonts w:cs="Times New Roman"/>
          <w:sz w:val="20"/>
        </w:rPr>
      </w:pPr>
      <w:r w:rsidRPr="008C10B7">
        <w:rPr>
          <w:rFonts w:cs="Times New Roman"/>
          <w:sz w:val="20"/>
        </w:rPr>
        <w:t>Zhou, H., He, S., Cai, Y., Wang, M., &amp; Su, S. (2019</w:t>
      </w:r>
      <w:r w:rsidR="007B524A">
        <w:rPr>
          <w:rFonts w:cs="Times New Roman"/>
          <w:sz w:val="20"/>
        </w:rPr>
        <w:t>b</w:t>
      </w:r>
      <w:r w:rsidRPr="008C10B7">
        <w:rPr>
          <w:rFonts w:cs="Times New Roman"/>
          <w:sz w:val="20"/>
        </w:rPr>
        <w:t xml:space="preserve">). Social inequalities in neighborhood visual walkability: Using street view imagery and deep learning technologies to facilitate healthy city planning. </w:t>
      </w:r>
      <w:r w:rsidRPr="008C10B7">
        <w:rPr>
          <w:rFonts w:cs="Times New Roman"/>
          <w:i/>
          <w:iCs/>
          <w:sz w:val="20"/>
        </w:rPr>
        <w:t>Sustainable Cities and Society</w:t>
      </w:r>
      <w:r w:rsidRPr="008C10B7">
        <w:rPr>
          <w:rFonts w:cs="Times New Roman"/>
          <w:sz w:val="20"/>
        </w:rPr>
        <w:t xml:space="preserve">, </w:t>
      </w:r>
      <w:r w:rsidRPr="008C10B7">
        <w:rPr>
          <w:rFonts w:cs="Times New Roman"/>
          <w:i/>
          <w:iCs/>
          <w:sz w:val="20"/>
        </w:rPr>
        <w:t>50</w:t>
      </w:r>
      <w:r w:rsidRPr="008C10B7">
        <w:rPr>
          <w:rFonts w:cs="Times New Roman"/>
          <w:sz w:val="20"/>
        </w:rPr>
        <w:t>, 101605. https://doi.org/10.1016/j.scs.2019.101605</w:t>
      </w:r>
    </w:p>
    <w:p w14:paraId="5F118306" w14:textId="593D11EC" w:rsidR="007B524A" w:rsidRPr="008C10B7" w:rsidRDefault="007B524A" w:rsidP="00206AA5">
      <w:pPr>
        <w:autoSpaceDE w:val="0"/>
        <w:autoSpaceDN w:val="0"/>
        <w:adjustRightInd w:val="0"/>
        <w:ind w:left="480" w:hanging="480"/>
        <w:jc w:val="both"/>
        <w:rPr>
          <w:rFonts w:cs="Times New Roman"/>
          <w:sz w:val="20"/>
        </w:rPr>
      </w:pPr>
      <w:r>
        <w:rPr>
          <w:rFonts w:cs="Times New Roman"/>
          <w:sz w:val="20"/>
        </w:rPr>
        <w:t xml:space="preserve">Zhou, M., Wang, D., &amp; Guan, X. (2022). Co-evolution of the built environment and travel behaviour in Shenzhen, China. </w:t>
      </w:r>
      <w:r w:rsidRPr="007B524A">
        <w:rPr>
          <w:rFonts w:cs="Times New Roman"/>
          <w:i/>
          <w:iCs/>
          <w:sz w:val="20"/>
        </w:rPr>
        <w:t>Transportation Research Part D: Transport and Environment</w:t>
      </w:r>
      <w:r>
        <w:rPr>
          <w:rFonts w:cs="Times New Roman"/>
          <w:sz w:val="20"/>
        </w:rPr>
        <w:t>, 107, 103291.</w:t>
      </w:r>
    </w:p>
    <w:p w14:paraId="41695037" w14:textId="0EE19190" w:rsidR="00D34063" w:rsidRPr="008C10B7" w:rsidRDefault="00802DC5" w:rsidP="00206AA5">
      <w:pPr>
        <w:autoSpaceDE w:val="0"/>
        <w:autoSpaceDN w:val="0"/>
        <w:adjustRightInd w:val="0"/>
        <w:jc w:val="both"/>
        <w:rPr>
          <w:rFonts w:ascii="Times" w:hAnsi="Times"/>
          <w:lang w:eastAsia="en-US"/>
        </w:rPr>
      </w:pPr>
      <w:r w:rsidRPr="008C10B7">
        <w:rPr>
          <w:rFonts w:cs="Times New Roman"/>
        </w:rPr>
        <w:fldChar w:fldCharType="end"/>
      </w:r>
      <w:bookmarkStart w:id="77" w:name="Check29"/>
      <w:bookmarkStart w:id="78" w:name="Check30"/>
      <w:bookmarkStart w:id="79" w:name="Check31"/>
      <w:bookmarkStart w:id="80" w:name="Check32"/>
      <w:bookmarkStart w:id="81" w:name="Dropdown5"/>
      <w:bookmarkStart w:id="82" w:name="Check35"/>
      <w:bookmarkStart w:id="83" w:name="Check37"/>
      <w:bookmarkStart w:id="84" w:name="Check38"/>
      <w:bookmarkStart w:id="85" w:name="Check39"/>
      <w:bookmarkStart w:id="86" w:name="Dropdown6"/>
      <w:bookmarkStart w:id="87" w:name="Check42"/>
      <w:bookmarkStart w:id="88" w:name="Check43"/>
      <w:bookmarkStart w:id="89" w:name="Check44"/>
      <w:bookmarkStart w:id="90" w:name="Check45"/>
      <w:bookmarkStart w:id="91" w:name="Check46"/>
      <w:bookmarkStart w:id="92" w:name="Check47"/>
      <w:bookmarkStart w:id="93" w:name="Check48"/>
      <w:bookmarkStart w:id="94" w:name="Dropdown7"/>
      <w:bookmarkStart w:id="95" w:name="Check51"/>
      <w:bookmarkStart w:id="96" w:name="Check52"/>
      <w:bookmarkStart w:id="97" w:name="Check53"/>
      <w:bookmarkStart w:id="98" w:name="Check54"/>
      <w:bookmarkStart w:id="99" w:name="Check55"/>
      <w:bookmarkStart w:id="100" w:name="Check5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sectPr w:rsidR="00D34063" w:rsidRPr="008C10B7" w:rsidSect="00E7001C">
      <w:footerReference w:type="default" r:id="rId20"/>
      <w:footerReference w:type="first" r:id="rId21"/>
      <w:pgSz w:w="11906" w:h="16838" w:code="9"/>
      <w:pgMar w:top="1440" w:right="1797" w:bottom="1440" w:left="1797" w:header="851" w:footer="992" w:gutter="0"/>
      <w:lnNumType w:countBy="1" w:restart="continuous"/>
      <w:pgNumType w:start="1"/>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B0B71" w14:textId="77777777" w:rsidR="00E26717" w:rsidRDefault="00E26717">
      <w:r>
        <w:separator/>
      </w:r>
    </w:p>
  </w:endnote>
  <w:endnote w:type="continuationSeparator" w:id="0">
    <w:p w14:paraId="3955BDAC" w14:textId="77777777" w:rsidR="00E26717" w:rsidRDefault="00E26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36706738"/>
      <w:docPartObj>
        <w:docPartGallery w:val="Page Numbers (Bottom of Page)"/>
        <w:docPartUnique/>
      </w:docPartObj>
    </w:sdtPr>
    <w:sdtEndPr>
      <w:rPr>
        <w:rStyle w:val="PageNumber"/>
      </w:rPr>
    </w:sdtEndPr>
    <w:sdtContent>
      <w:p w14:paraId="4BD367F5" w14:textId="4D16B952" w:rsidR="00C73BC7" w:rsidRDefault="00C73BC7" w:rsidP="00130D4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4ED878" w14:textId="77777777" w:rsidR="00C73BC7" w:rsidRDefault="00C73B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04F1A" w14:textId="2F1A17DE" w:rsidR="00C73BC7" w:rsidRDefault="00C73BC7">
    <w:pPr>
      <w:pStyle w:val="Footer"/>
      <w:jc w:val="center"/>
    </w:pPr>
  </w:p>
  <w:p w14:paraId="31CC5D07" w14:textId="19471E10" w:rsidR="00C73BC7" w:rsidRPr="00E96DE0" w:rsidRDefault="00C73BC7" w:rsidP="00206AA5">
    <w:pPr>
      <w:pStyle w:val="Footer"/>
      <w:jc w:val="center"/>
      <w:rPr>
        <w:rFonts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4504189"/>
      <w:docPartObj>
        <w:docPartGallery w:val="Page Numbers (Bottom of Page)"/>
        <w:docPartUnique/>
      </w:docPartObj>
    </w:sdtPr>
    <w:sdtEndPr>
      <w:rPr>
        <w:noProof/>
        <w:sz w:val="20"/>
        <w:szCs w:val="20"/>
      </w:rPr>
    </w:sdtEndPr>
    <w:sdtContent>
      <w:p w14:paraId="4FB38A33" w14:textId="1519B0CE" w:rsidR="00C73BC7" w:rsidRPr="00206AA5" w:rsidRDefault="00C73BC7">
        <w:pPr>
          <w:pStyle w:val="Footer"/>
          <w:jc w:val="center"/>
          <w:rPr>
            <w:sz w:val="20"/>
            <w:szCs w:val="20"/>
          </w:rPr>
        </w:pPr>
        <w:r w:rsidRPr="00206AA5">
          <w:rPr>
            <w:sz w:val="20"/>
            <w:szCs w:val="20"/>
          </w:rPr>
          <w:fldChar w:fldCharType="begin"/>
        </w:r>
        <w:r w:rsidRPr="00206AA5">
          <w:rPr>
            <w:sz w:val="20"/>
            <w:szCs w:val="20"/>
          </w:rPr>
          <w:instrText xml:space="preserve"> PAGE   \* MERGEFORMAT </w:instrText>
        </w:r>
        <w:r w:rsidRPr="00206AA5">
          <w:rPr>
            <w:sz w:val="20"/>
            <w:szCs w:val="20"/>
          </w:rPr>
          <w:fldChar w:fldCharType="separate"/>
        </w:r>
        <w:r w:rsidRPr="00206AA5">
          <w:rPr>
            <w:noProof/>
            <w:sz w:val="20"/>
            <w:szCs w:val="20"/>
          </w:rPr>
          <w:t>31</w:t>
        </w:r>
        <w:r w:rsidRPr="00206AA5">
          <w:rPr>
            <w:noProof/>
            <w:sz w:val="20"/>
            <w:szCs w:val="20"/>
          </w:rPr>
          <w:fldChar w:fldCharType="end"/>
        </w:r>
      </w:p>
    </w:sdtContent>
  </w:sdt>
  <w:p w14:paraId="7FAD5230" w14:textId="77777777" w:rsidR="00C73BC7" w:rsidRPr="004E2B85" w:rsidRDefault="00C73BC7" w:rsidP="004E2B85">
    <w:pPr>
      <w:tabs>
        <w:tab w:val="left" w:pos="4600"/>
      </w:tabs>
      <w:rPr>
        <w:rFonts w:ascii="Times" w:hAnsi="Times"/>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3739048"/>
      <w:docPartObj>
        <w:docPartGallery w:val="Page Numbers (Bottom of Page)"/>
        <w:docPartUnique/>
      </w:docPartObj>
    </w:sdtPr>
    <w:sdtEndPr>
      <w:rPr>
        <w:noProof/>
      </w:rPr>
    </w:sdtEndPr>
    <w:sdtContent>
      <w:p w14:paraId="434A4D81" w14:textId="5FED3549" w:rsidR="00C73BC7" w:rsidRDefault="00C73BC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1EAAF0D" w14:textId="77777777" w:rsidR="00C73BC7" w:rsidRDefault="00C73B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06F42" w14:textId="77777777" w:rsidR="00E26717" w:rsidRDefault="00E26717">
      <w:r>
        <w:separator/>
      </w:r>
    </w:p>
  </w:footnote>
  <w:footnote w:type="continuationSeparator" w:id="0">
    <w:p w14:paraId="46FE2439" w14:textId="77777777" w:rsidR="00E26717" w:rsidRDefault="00E267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C37FD"/>
    <w:multiLevelType w:val="multilevel"/>
    <w:tmpl w:val="D5C8DDB2"/>
    <w:lvl w:ilvl="0">
      <w:start w:val="1"/>
      <w:numFmt w:val="decimal"/>
      <w:suff w:val="space"/>
      <w:lvlText w:val="Chapter %1"/>
      <w:lvlJc w:val="left"/>
      <w:pPr>
        <w:ind w:left="0" w:firstLine="0"/>
      </w:pPr>
      <w:rPr>
        <w:rFonts w:ascii="Helvetica" w:hAnsi="Helvetica" w:hint="default"/>
        <w:b/>
        <w:i w:val="0"/>
        <w:color w:val="auto"/>
        <w:sz w:val="32"/>
        <w:szCs w:val="32"/>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5D24861"/>
    <w:multiLevelType w:val="multilevel"/>
    <w:tmpl w:val="15D2486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 w15:restartNumberingAfterBreak="0">
    <w:nsid w:val="17F83B75"/>
    <w:multiLevelType w:val="hybridMultilevel"/>
    <w:tmpl w:val="4220591C"/>
    <w:lvl w:ilvl="0" w:tplc="F778742C">
      <w:start w:val="1"/>
      <w:numFmt w:val="decimal"/>
      <w:lvlText w:val="%1."/>
      <w:lvlJc w:val="left"/>
      <w:pPr>
        <w:ind w:left="345" w:hanging="240"/>
      </w:pPr>
      <w:rPr>
        <w:rFonts w:ascii="Times New Roman" w:eastAsia="Times New Roman" w:hAnsi="Times New Roman" w:cs="Times New Roman" w:hint="default"/>
        <w:w w:val="100"/>
        <w:sz w:val="24"/>
        <w:szCs w:val="24"/>
      </w:rPr>
    </w:lvl>
    <w:lvl w:ilvl="1" w:tplc="19F886EC">
      <w:numFmt w:val="bullet"/>
      <w:lvlText w:val="•"/>
      <w:lvlJc w:val="left"/>
      <w:pPr>
        <w:ind w:left="1192" w:hanging="240"/>
      </w:pPr>
      <w:rPr>
        <w:rFonts w:hint="default"/>
      </w:rPr>
    </w:lvl>
    <w:lvl w:ilvl="2" w:tplc="B584006E">
      <w:numFmt w:val="bullet"/>
      <w:lvlText w:val="•"/>
      <w:lvlJc w:val="left"/>
      <w:pPr>
        <w:ind w:left="2044" w:hanging="240"/>
      </w:pPr>
      <w:rPr>
        <w:rFonts w:hint="default"/>
      </w:rPr>
    </w:lvl>
    <w:lvl w:ilvl="3" w:tplc="DE840C50">
      <w:numFmt w:val="bullet"/>
      <w:lvlText w:val="•"/>
      <w:lvlJc w:val="left"/>
      <w:pPr>
        <w:ind w:left="2896" w:hanging="240"/>
      </w:pPr>
      <w:rPr>
        <w:rFonts w:hint="default"/>
      </w:rPr>
    </w:lvl>
    <w:lvl w:ilvl="4" w:tplc="AA54F074">
      <w:numFmt w:val="bullet"/>
      <w:lvlText w:val="•"/>
      <w:lvlJc w:val="left"/>
      <w:pPr>
        <w:ind w:left="3748" w:hanging="240"/>
      </w:pPr>
      <w:rPr>
        <w:rFonts w:hint="default"/>
      </w:rPr>
    </w:lvl>
    <w:lvl w:ilvl="5" w:tplc="582C1B4C">
      <w:numFmt w:val="bullet"/>
      <w:lvlText w:val="•"/>
      <w:lvlJc w:val="left"/>
      <w:pPr>
        <w:ind w:left="4600" w:hanging="240"/>
      </w:pPr>
      <w:rPr>
        <w:rFonts w:hint="default"/>
      </w:rPr>
    </w:lvl>
    <w:lvl w:ilvl="6" w:tplc="76DE9AFC">
      <w:numFmt w:val="bullet"/>
      <w:lvlText w:val="•"/>
      <w:lvlJc w:val="left"/>
      <w:pPr>
        <w:ind w:left="5452" w:hanging="240"/>
      </w:pPr>
      <w:rPr>
        <w:rFonts w:hint="default"/>
      </w:rPr>
    </w:lvl>
    <w:lvl w:ilvl="7" w:tplc="4B1AB8B0">
      <w:numFmt w:val="bullet"/>
      <w:lvlText w:val="•"/>
      <w:lvlJc w:val="left"/>
      <w:pPr>
        <w:ind w:left="6304" w:hanging="240"/>
      </w:pPr>
      <w:rPr>
        <w:rFonts w:hint="default"/>
      </w:rPr>
    </w:lvl>
    <w:lvl w:ilvl="8" w:tplc="ED5432C8">
      <w:numFmt w:val="bullet"/>
      <w:lvlText w:val="•"/>
      <w:lvlJc w:val="left"/>
      <w:pPr>
        <w:ind w:left="7156" w:hanging="240"/>
      </w:pPr>
      <w:rPr>
        <w:rFonts w:hint="default"/>
      </w:rPr>
    </w:lvl>
  </w:abstractNum>
  <w:abstractNum w:abstractNumId="3" w15:restartNumberingAfterBreak="0">
    <w:nsid w:val="18C611B9"/>
    <w:multiLevelType w:val="multilevel"/>
    <w:tmpl w:val="18C611B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246C7775"/>
    <w:multiLevelType w:val="hybridMultilevel"/>
    <w:tmpl w:val="14708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F80878"/>
    <w:multiLevelType w:val="hybridMultilevel"/>
    <w:tmpl w:val="4220591C"/>
    <w:lvl w:ilvl="0" w:tplc="F778742C">
      <w:start w:val="1"/>
      <w:numFmt w:val="decimal"/>
      <w:lvlText w:val="%1."/>
      <w:lvlJc w:val="left"/>
      <w:pPr>
        <w:ind w:left="345" w:hanging="240"/>
      </w:pPr>
      <w:rPr>
        <w:rFonts w:ascii="Times New Roman" w:eastAsia="Times New Roman" w:hAnsi="Times New Roman" w:cs="Times New Roman" w:hint="default"/>
        <w:w w:val="100"/>
        <w:sz w:val="24"/>
        <w:szCs w:val="24"/>
      </w:rPr>
    </w:lvl>
    <w:lvl w:ilvl="1" w:tplc="19F886EC">
      <w:numFmt w:val="bullet"/>
      <w:lvlText w:val="•"/>
      <w:lvlJc w:val="left"/>
      <w:pPr>
        <w:ind w:left="1192" w:hanging="240"/>
      </w:pPr>
      <w:rPr>
        <w:rFonts w:hint="default"/>
      </w:rPr>
    </w:lvl>
    <w:lvl w:ilvl="2" w:tplc="B584006E">
      <w:numFmt w:val="bullet"/>
      <w:lvlText w:val="•"/>
      <w:lvlJc w:val="left"/>
      <w:pPr>
        <w:ind w:left="2044" w:hanging="240"/>
      </w:pPr>
      <w:rPr>
        <w:rFonts w:hint="default"/>
      </w:rPr>
    </w:lvl>
    <w:lvl w:ilvl="3" w:tplc="DE840C50">
      <w:numFmt w:val="bullet"/>
      <w:lvlText w:val="•"/>
      <w:lvlJc w:val="left"/>
      <w:pPr>
        <w:ind w:left="2896" w:hanging="240"/>
      </w:pPr>
      <w:rPr>
        <w:rFonts w:hint="default"/>
      </w:rPr>
    </w:lvl>
    <w:lvl w:ilvl="4" w:tplc="AA54F074">
      <w:numFmt w:val="bullet"/>
      <w:lvlText w:val="•"/>
      <w:lvlJc w:val="left"/>
      <w:pPr>
        <w:ind w:left="3748" w:hanging="240"/>
      </w:pPr>
      <w:rPr>
        <w:rFonts w:hint="default"/>
      </w:rPr>
    </w:lvl>
    <w:lvl w:ilvl="5" w:tplc="582C1B4C">
      <w:numFmt w:val="bullet"/>
      <w:lvlText w:val="•"/>
      <w:lvlJc w:val="left"/>
      <w:pPr>
        <w:ind w:left="4600" w:hanging="240"/>
      </w:pPr>
      <w:rPr>
        <w:rFonts w:hint="default"/>
      </w:rPr>
    </w:lvl>
    <w:lvl w:ilvl="6" w:tplc="76DE9AFC">
      <w:numFmt w:val="bullet"/>
      <w:lvlText w:val="•"/>
      <w:lvlJc w:val="left"/>
      <w:pPr>
        <w:ind w:left="5452" w:hanging="240"/>
      </w:pPr>
      <w:rPr>
        <w:rFonts w:hint="default"/>
      </w:rPr>
    </w:lvl>
    <w:lvl w:ilvl="7" w:tplc="4B1AB8B0">
      <w:numFmt w:val="bullet"/>
      <w:lvlText w:val="•"/>
      <w:lvlJc w:val="left"/>
      <w:pPr>
        <w:ind w:left="6304" w:hanging="240"/>
      </w:pPr>
      <w:rPr>
        <w:rFonts w:hint="default"/>
      </w:rPr>
    </w:lvl>
    <w:lvl w:ilvl="8" w:tplc="ED5432C8">
      <w:numFmt w:val="bullet"/>
      <w:lvlText w:val="•"/>
      <w:lvlJc w:val="left"/>
      <w:pPr>
        <w:ind w:left="7156" w:hanging="240"/>
      </w:pPr>
      <w:rPr>
        <w:rFonts w:hint="default"/>
      </w:rPr>
    </w:lvl>
  </w:abstractNum>
  <w:abstractNum w:abstractNumId="6" w15:restartNumberingAfterBreak="0">
    <w:nsid w:val="2CC113BC"/>
    <w:multiLevelType w:val="hybridMultilevel"/>
    <w:tmpl w:val="8196C6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FA05733"/>
    <w:multiLevelType w:val="hybridMultilevel"/>
    <w:tmpl w:val="1160F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FB5D1C"/>
    <w:multiLevelType w:val="multilevel"/>
    <w:tmpl w:val="2FFB5D1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 w15:restartNumberingAfterBreak="0">
    <w:nsid w:val="37C37726"/>
    <w:multiLevelType w:val="hybridMultilevel"/>
    <w:tmpl w:val="4220591C"/>
    <w:lvl w:ilvl="0" w:tplc="F778742C">
      <w:start w:val="1"/>
      <w:numFmt w:val="decimal"/>
      <w:lvlText w:val="%1."/>
      <w:lvlJc w:val="left"/>
      <w:pPr>
        <w:ind w:left="345" w:hanging="240"/>
      </w:pPr>
      <w:rPr>
        <w:rFonts w:ascii="Times New Roman" w:eastAsia="Times New Roman" w:hAnsi="Times New Roman" w:cs="Times New Roman" w:hint="default"/>
        <w:w w:val="100"/>
        <w:sz w:val="24"/>
        <w:szCs w:val="24"/>
      </w:rPr>
    </w:lvl>
    <w:lvl w:ilvl="1" w:tplc="19F886EC">
      <w:numFmt w:val="bullet"/>
      <w:lvlText w:val="•"/>
      <w:lvlJc w:val="left"/>
      <w:pPr>
        <w:ind w:left="1192" w:hanging="240"/>
      </w:pPr>
      <w:rPr>
        <w:rFonts w:hint="default"/>
      </w:rPr>
    </w:lvl>
    <w:lvl w:ilvl="2" w:tplc="B584006E">
      <w:numFmt w:val="bullet"/>
      <w:lvlText w:val="•"/>
      <w:lvlJc w:val="left"/>
      <w:pPr>
        <w:ind w:left="2044" w:hanging="240"/>
      </w:pPr>
      <w:rPr>
        <w:rFonts w:hint="default"/>
      </w:rPr>
    </w:lvl>
    <w:lvl w:ilvl="3" w:tplc="DE840C50">
      <w:numFmt w:val="bullet"/>
      <w:lvlText w:val="•"/>
      <w:lvlJc w:val="left"/>
      <w:pPr>
        <w:ind w:left="2896" w:hanging="240"/>
      </w:pPr>
      <w:rPr>
        <w:rFonts w:hint="default"/>
      </w:rPr>
    </w:lvl>
    <w:lvl w:ilvl="4" w:tplc="AA54F074">
      <w:numFmt w:val="bullet"/>
      <w:lvlText w:val="•"/>
      <w:lvlJc w:val="left"/>
      <w:pPr>
        <w:ind w:left="3748" w:hanging="240"/>
      </w:pPr>
      <w:rPr>
        <w:rFonts w:hint="default"/>
      </w:rPr>
    </w:lvl>
    <w:lvl w:ilvl="5" w:tplc="582C1B4C">
      <w:numFmt w:val="bullet"/>
      <w:lvlText w:val="•"/>
      <w:lvlJc w:val="left"/>
      <w:pPr>
        <w:ind w:left="4600" w:hanging="240"/>
      </w:pPr>
      <w:rPr>
        <w:rFonts w:hint="default"/>
      </w:rPr>
    </w:lvl>
    <w:lvl w:ilvl="6" w:tplc="76DE9AFC">
      <w:numFmt w:val="bullet"/>
      <w:lvlText w:val="•"/>
      <w:lvlJc w:val="left"/>
      <w:pPr>
        <w:ind w:left="5452" w:hanging="240"/>
      </w:pPr>
      <w:rPr>
        <w:rFonts w:hint="default"/>
      </w:rPr>
    </w:lvl>
    <w:lvl w:ilvl="7" w:tplc="4B1AB8B0">
      <w:numFmt w:val="bullet"/>
      <w:lvlText w:val="•"/>
      <w:lvlJc w:val="left"/>
      <w:pPr>
        <w:ind w:left="6304" w:hanging="240"/>
      </w:pPr>
      <w:rPr>
        <w:rFonts w:hint="default"/>
      </w:rPr>
    </w:lvl>
    <w:lvl w:ilvl="8" w:tplc="ED5432C8">
      <w:numFmt w:val="bullet"/>
      <w:lvlText w:val="•"/>
      <w:lvlJc w:val="left"/>
      <w:pPr>
        <w:ind w:left="7156" w:hanging="240"/>
      </w:pPr>
      <w:rPr>
        <w:rFonts w:hint="default"/>
      </w:rPr>
    </w:lvl>
  </w:abstractNum>
  <w:abstractNum w:abstractNumId="10" w15:restartNumberingAfterBreak="0">
    <w:nsid w:val="3BE2189A"/>
    <w:multiLevelType w:val="hybridMultilevel"/>
    <w:tmpl w:val="06D6BDE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945925"/>
    <w:multiLevelType w:val="hybridMultilevel"/>
    <w:tmpl w:val="78721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136480"/>
    <w:multiLevelType w:val="hybridMultilevel"/>
    <w:tmpl w:val="A90470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A17448"/>
    <w:multiLevelType w:val="hybridMultilevel"/>
    <w:tmpl w:val="4220591C"/>
    <w:lvl w:ilvl="0" w:tplc="F778742C">
      <w:start w:val="1"/>
      <w:numFmt w:val="decimal"/>
      <w:lvlText w:val="%1."/>
      <w:lvlJc w:val="left"/>
      <w:pPr>
        <w:ind w:left="345" w:hanging="240"/>
      </w:pPr>
      <w:rPr>
        <w:rFonts w:ascii="Times New Roman" w:eastAsia="Times New Roman" w:hAnsi="Times New Roman" w:cs="Times New Roman" w:hint="default"/>
        <w:w w:val="100"/>
        <w:sz w:val="24"/>
        <w:szCs w:val="24"/>
      </w:rPr>
    </w:lvl>
    <w:lvl w:ilvl="1" w:tplc="19F886EC">
      <w:numFmt w:val="bullet"/>
      <w:lvlText w:val="•"/>
      <w:lvlJc w:val="left"/>
      <w:pPr>
        <w:ind w:left="1192" w:hanging="240"/>
      </w:pPr>
      <w:rPr>
        <w:rFonts w:hint="default"/>
      </w:rPr>
    </w:lvl>
    <w:lvl w:ilvl="2" w:tplc="B584006E">
      <w:numFmt w:val="bullet"/>
      <w:lvlText w:val="•"/>
      <w:lvlJc w:val="left"/>
      <w:pPr>
        <w:ind w:left="2044" w:hanging="240"/>
      </w:pPr>
      <w:rPr>
        <w:rFonts w:hint="default"/>
      </w:rPr>
    </w:lvl>
    <w:lvl w:ilvl="3" w:tplc="DE840C50">
      <w:numFmt w:val="bullet"/>
      <w:lvlText w:val="•"/>
      <w:lvlJc w:val="left"/>
      <w:pPr>
        <w:ind w:left="2896" w:hanging="240"/>
      </w:pPr>
      <w:rPr>
        <w:rFonts w:hint="default"/>
      </w:rPr>
    </w:lvl>
    <w:lvl w:ilvl="4" w:tplc="AA54F074">
      <w:numFmt w:val="bullet"/>
      <w:lvlText w:val="•"/>
      <w:lvlJc w:val="left"/>
      <w:pPr>
        <w:ind w:left="3748" w:hanging="240"/>
      </w:pPr>
      <w:rPr>
        <w:rFonts w:hint="default"/>
      </w:rPr>
    </w:lvl>
    <w:lvl w:ilvl="5" w:tplc="582C1B4C">
      <w:numFmt w:val="bullet"/>
      <w:lvlText w:val="•"/>
      <w:lvlJc w:val="left"/>
      <w:pPr>
        <w:ind w:left="4600" w:hanging="240"/>
      </w:pPr>
      <w:rPr>
        <w:rFonts w:hint="default"/>
      </w:rPr>
    </w:lvl>
    <w:lvl w:ilvl="6" w:tplc="76DE9AFC">
      <w:numFmt w:val="bullet"/>
      <w:lvlText w:val="•"/>
      <w:lvlJc w:val="left"/>
      <w:pPr>
        <w:ind w:left="5452" w:hanging="240"/>
      </w:pPr>
      <w:rPr>
        <w:rFonts w:hint="default"/>
      </w:rPr>
    </w:lvl>
    <w:lvl w:ilvl="7" w:tplc="4B1AB8B0">
      <w:numFmt w:val="bullet"/>
      <w:lvlText w:val="•"/>
      <w:lvlJc w:val="left"/>
      <w:pPr>
        <w:ind w:left="6304" w:hanging="240"/>
      </w:pPr>
      <w:rPr>
        <w:rFonts w:hint="default"/>
      </w:rPr>
    </w:lvl>
    <w:lvl w:ilvl="8" w:tplc="ED5432C8">
      <w:numFmt w:val="bullet"/>
      <w:lvlText w:val="•"/>
      <w:lvlJc w:val="left"/>
      <w:pPr>
        <w:ind w:left="7156" w:hanging="240"/>
      </w:pPr>
      <w:rPr>
        <w:rFonts w:hint="default"/>
      </w:rPr>
    </w:lvl>
  </w:abstractNum>
  <w:abstractNum w:abstractNumId="14" w15:restartNumberingAfterBreak="0">
    <w:nsid w:val="62DD78A0"/>
    <w:multiLevelType w:val="hybridMultilevel"/>
    <w:tmpl w:val="D5B285E2"/>
    <w:lvl w:ilvl="0" w:tplc="942035AC">
      <w:numFmt w:val="bullet"/>
      <w:lvlText w:val="□"/>
      <w:lvlJc w:val="left"/>
      <w:pPr>
        <w:ind w:left="416" w:hanging="205"/>
      </w:pPr>
      <w:rPr>
        <w:rFonts w:ascii="Times New Roman" w:eastAsia="Times New Roman" w:hAnsi="Times New Roman" w:cs="Times New Roman" w:hint="default"/>
        <w:w w:val="100"/>
        <w:sz w:val="24"/>
        <w:szCs w:val="24"/>
      </w:rPr>
    </w:lvl>
    <w:lvl w:ilvl="1" w:tplc="520CF218">
      <w:numFmt w:val="bullet"/>
      <w:lvlText w:val="•"/>
      <w:lvlJc w:val="left"/>
      <w:pPr>
        <w:ind w:left="1264" w:hanging="205"/>
      </w:pPr>
      <w:rPr>
        <w:rFonts w:hint="default"/>
      </w:rPr>
    </w:lvl>
    <w:lvl w:ilvl="2" w:tplc="363615BC">
      <w:numFmt w:val="bullet"/>
      <w:lvlText w:val="•"/>
      <w:lvlJc w:val="left"/>
      <w:pPr>
        <w:ind w:left="2108" w:hanging="205"/>
      </w:pPr>
      <w:rPr>
        <w:rFonts w:hint="default"/>
      </w:rPr>
    </w:lvl>
    <w:lvl w:ilvl="3" w:tplc="2564EBF2">
      <w:numFmt w:val="bullet"/>
      <w:lvlText w:val="•"/>
      <w:lvlJc w:val="left"/>
      <w:pPr>
        <w:ind w:left="2952" w:hanging="205"/>
      </w:pPr>
      <w:rPr>
        <w:rFonts w:hint="default"/>
      </w:rPr>
    </w:lvl>
    <w:lvl w:ilvl="4" w:tplc="3CD074F4">
      <w:numFmt w:val="bullet"/>
      <w:lvlText w:val="•"/>
      <w:lvlJc w:val="left"/>
      <w:pPr>
        <w:ind w:left="3796" w:hanging="205"/>
      </w:pPr>
      <w:rPr>
        <w:rFonts w:hint="default"/>
      </w:rPr>
    </w:lvl>
    <w:lvl w:ilvl="5" w:tplc="38FCA984">
      <w:numFmt w:val="bullet"/>
      <w:lvlText w:val="•"/>
      <w:lvlJc w:val="left"/>
      <w:pPr>
        <w:ind w:left="4640" w:hanging="205"/>
      </w:pPr>
      <w:rPr>
        <w:rFonts w:hint="default"/>
      </w:rPr>
    </w:lvl>
    <w:lvl w:ilvl="6" w:tplc="CFD6F924">
      <w:numFmt w:val="bullet"/>
      <w:lvlText w:val="•"/>
      <w:lvlJc w:val="left"/>
      <w:pPr>
        <w:ind w:left="5484" w:hanging="205"/>
      </w:pPr>
      <w:rPr>
        <w:rFonts w:hint="default"/>
      </w:rPr>
    </w:lvl>
    <w:lvl w:ilvl="7" w:tplc="7AA6CA66">
      <w:numFmt w:val="bullet"/>
      <w:lvlText w:val="•"/>
      <w:lvlJc w:val="left"/>
      <w:pPr>
        <w:ind w:left="6328" w:hanging="205"/>
      </w:pPr>
      <w:rPr>
        <w:rFonts w:hint="default"/>
      </w:rPr>
    </w:lvl>
    <w:lvl w:ilvl="8" w:tplc="614282F2">
      <w:numFmt w:val="bullet"/>
      <w:lvlText w:val="•"/>
      <w:lvlJc w:val="left"/>
      <w:pPr>
        <w:ind w:left="7172" w:hanging="205"/>
      </w:pPr>
      <w:rPr>
        <w:rFonts w:hint="default"/>
      </w:rPr>
    </w:lvl>
  </w:abstractNum>
  <w:abstractNum w:abstractNumId="15" w15:restartNumberingAfterBreak="0">
    <w:nsid w:val="658B421A"/>
    <w:multiLevelType w:val="hybridMultilevel"/>
    <w:tmpl w:val="4220591C"/>
    <w:lvl w:ilvl="0" w:tplc="F778742C">
      <w:start w:val="1"/>
      <w:numFmt w:val="decimal"/>
      <w:lvlText w:val="%1."/>
      <w:lvlJc w:val="left"/>
      <w:pPr>
        <w:ind w:left="345" w:hanging="240"/>
      </w:pPr>
      <w:rPr>
        <w:rFonts w:ascii="Times New Roman" w:eastAsia="Times New Roman" w:hAnsi="Times New Roman" w:cs="Times New Roman" w:hint="default"/>
        <w:w w:val="100"/>
        <w:sz w:val="24"/>
        <w:szCs w:val="24"/>
      </w:rPr>
    </w:lvl>
    <w:lvl w:ilvl="1" w:tplc="19F886EC">
      <w:numFmt w:val="bullet"/>
      <w:lvlText w:val="•"/>
      <w:lvlJc w:val="left"/>
      <w:pPr>
        <w:ind w:left="1192" w:hanging="240"/>
      </w:pPr>
      <w:rPr>
        <w:rFonts w:hint="default"/>
      </w:rPr>
    </w:lvl>
    <w:lvl w:ilvl="2" w:tplc="B584006E">
      <w:numFmt w:val="bullet"/>
      <w:lvlText w:val="•"/>
      <w:lvlJc w:val="left"/>
      <w:pPr>
        <w:ind w:left="2044" w:hanging="240"/>
      </w:pPr>
      <w:rPr>
        <w:rFonts w:hint="default"/>
      </w:rPr>
    </w:lvl>
    <w:lvl w:ilvl="3" w:tplc="DE840C50">
      <w:numFmt w:val="bullet"/>
      <w:lvlText w:val="•"/>
      <w:lvlJc w:val="left"/>
      <w:pPr>
        <w:ind w:left="2896" w:hanging="240"/>
      </w:pPr>
      <w:rPr>
        <w:rFonts w:hint="default"/>
      </w:rPr>
    </w:lvl>
    <w:lvl w:ilvl="4" w:tplc="AA54F074">
      <w:numFmt w:val="bullet"/>
      <w:lvlText w:val="•"/>
      <w:lvlJc w:val="left"/>
      <w:pPr>
        <w:ind w:left="3748" w:hanging="240"/>
      </w:pPr>
      <w:rPr>
        <w:rFonts w:hint="default"/>
      </w:rPr>
    </w:lvl>
    <w:lvl w:ilvl="5" w:tplc="582C1B4C">
      <w:numFmt w:val="bullet"/>
      <w:lvlText w:val="•"/>
      <w:lvlJc w:val="left"/>
      <w:pPr>
        <w:ind w:left="4600" w:hanging="240"/>
      </w:pPr>
      <w:rPr>
        <w:rFonts w:hint="default"/>
      </w:rPr>
    </w:lvl>
    <w:lvl w:ilvl="6" w:tplc="76DE9AFC">
      <w:numFmt w:val="bullet"/>
      <w:lvlText w:val="•"/>
      <w:lvlJc w:val="left"/>
      <w:pPr>
        <w:ind w:left="5452" w:hanging="240"/>
      </w:pPr>
      <w:rPr>
        <w:rFonts w:hint="default"/>
      </w:rPr>
    </w:lvl>
    <w:lvl w:ilvl="7" w:tplc="4B1AB8B0">
      <w:numFmt w:val="bullet"/>
      <w:lvlText w:val="•"/>
      <w:lvlJc w:val="left"/>
      <w:pPr>
        <w:ind w:left="6304" w:hanging="240"/>
      </w:pPr>
      <w:rPr>
        <w:rFonts w:hint="default"/>
      </w:rPr>
    </w:lvl>
    <w:lvl w:ilvl="8" w:tplc="ED5432C8">
      <w:numFmt w:val="bullet"/>
      <w:lvlText w:val="•"/>
      <w:lvlJc w:val="left"/>
      <w:pPr>
        <w:ind w:left="7156" w:hanging="240"/>
      </w:pPr>
      <w:rPr>
        <w:rFonts w:hint="default"/>
      </w:rPr>
    </w:lvl>
  </w:abstractNum>
  <w:abstractNum w:abstractNumId="16" w15:restartNumberingAfterBreak="0">
    <w:nsid w:val="6A342C2A"/>
    <w:multiLevelType w:val="hybridMultilevel"/>
    <w:tmpl w:val="06900B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28108B4"/>
    <w:multiLevelType w:val="hybridMultilevel"/>
    <w:tmpl w:val="83D4C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2671E1"/>
    <w:multiLevelType w:val="hybridMultilevel"/>
    <w:tmpl w:val="303CD5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5D7CEC"/>
    <w:multiLevelType w:val="hybridMultilevel"/>
    <w:tmpl w:val="85DE040C"/>
    <w:lvl w:ilvl="0" w:tplc="B0DA3344">
      <w:start w:val="1"/>
      <w:numFmt w:val="decimal"/>
      <w:lvlText w:val="%1."/>
      <w:lvlJc w:val="left"/>
      <w:pPr>
        <w:ind w:left="345" w:hanging="240"/>
      </w:pPr>
      <w:rPr>
        <w:rFonts w:ascii="Times New Roman" w:eastAsia="Times New Roman" w:hAnsi="Times New Roman" w:cs="Times New Roman" w:hint="default"/>
        <w:w w:val="100"/>
        <w:sz w:val="24"/>
        <w:szCs w:val="24"/>
      </w:rPr>
    </w:lvl>
    <w:lvl w:ilvl="1" w:tplc="0FF2FC9E">
      <w:numFmt w:val="bullet"/>
      <w:lvlText w:val="•"/>
      <w:lvlJc w:val="left"/>
      <w:pPr>
        <w:ind w:left="1192" w:hanging="240"/>
      </w:pPr>
      <w:rPr>
        <w:rFonts w:hint="default"/>
      </w:rPr>
    </w:lvl>
    <w:lvl w:ilvl="2" w:tplc="C8AA9E62">
      <w:numFmt w:val="bullet"/>
      <w:lvlText w:val="•"/>
      <w:lvlJc w:val="left"/>
      <w:pPr>
        <w:ind w:left="2044" w:hanging="240"/>
      </w:pPr>
      <w:rPr>
        <w:rFonts w:hint="default"/>
      </w:rPr>
    </w:lvl>
    <w:lvl w:ilvl="3" w:tplc="BE2AE594">
      <w:numFmt w:val="bullet"/>
      <w:lvlText w:val="•"/>
      <w:lvlJc w:val="left"/>
      <w:pPr>
        <w:ind w:left="2896" w:hanging="240"/>
      </w:pPr>
      <w:rPr>
        <w:rFonts w:hint="default"/>
      </w:rPr>
    </w:lvl>
    <w:lvl w:ilvl="4" w:tplc="F96E8E66">
      <w:numFmt w:val="bullet"/>
      <w:lvlText w:val="•"/>
      <w:lvlJc w:val="left"/>
      <w:pPr>
        <w:ind w:left="3748" w:hanging="240"/>
      </w:pPr>
      <w:rPr>
        <w:rFonts w:hint="default"/>
      </w:rPr>
    </w:lvl>
    <w:lvl w:ilvl="5" w:tplc="80B66BBA">
      <w:numFmt w:val="bullet"/>
      <w:lvlText w:val="•"/>
      <w:lvlJc w:val="left"/>
      <w:pPr>
        <w:ind w:left="4600" w:hanging="240"/>
      </w:pPr>
      <w:rPr>
        <w:rFonts w:hint="default"/>
      </w:rPr>
    </w:lvl>
    <w:lvl w:ilvl="6" w:tplc="341A5A0E">
      <w:numFmt w:val="bullet"/>
      <w:lvlText w:val="•"/>
      <w:lvlJc w:val="left"/>
      <w:pPr>
        <w:ind w:left="5452" w:hanging="240"/>
      </w:pPr>
      <w:rPr>
        <w:rFonts w:hint="default"/>
      </w:rPr>
    </w:lvl>
    <w:lvl w:ilvl="7" w:tplc="254EA5A6">
      <w:numFmt w:val="bullet"/>
      <w:lvlText w:val="•"/>
      <w:lvlJc w:val="left"/>
      <w:pPr>
        <w:ind w:left="6304" w:hanging="240"/>
      </w:pPr>
      <w:rPr>
        <w:rFonts w:hint="default"/>
      </w:rPr>
    </w:lvl>
    <w:lvl w:ilvl="8" w:tplc="8064DEB2">
      <w:numFmt w:val="bullet"/>
      <w:lvlText w:val="•"/>
      <w:lvlJc w:val="left"/>
      <w:pPr>
        <w:ind w:left="7156" w:hanging="240"/>
      </w:pPr>
      <w:rPr>
        <w:rFonts w:hint="default"/>
      </w:rPr>
    </w:lvl>
  </w:abstractNum>
  <w:abstractNum w:abstractNumId="20" w15:restartNumberingAfterBreak="0">
    <w:nsid w:val="7E7B0F40"/>
    <w:multiLevelType w:val="hybridMultilevel"/>
    <w:tmpl w:val="796A77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8"/>
  </w:num>
  <w:num w:numId="2">
    <w:abstractNumId w:val="3"/>
  </w:num>
  <w:num w:numId="3">
    <w:abstractNumId w:val="1"/>
  </w:num>
  <w:num w:numId="4">
    <w:abstractNumId w:val="0"/>
  </w:num>
  <w:num w:numId="5">
    <w:abstractNumId w:val="5"/>
  </w:num>
  <w:num w:numId="6">
    <w:abstractNumId w:val="14"/>
  </w:num>
  <w:num w:numId="7">
    <w:abstractNumId w:val="9"/>
  </w:num>
  <w:num w:numId="8">
    <w:abstractNumId w:val="19"/>
  </w:num>
  <w:num w:numId="9">
    <w:abstractNumId w:val="12"/>
  </w:num>
  <w:num w:numId="10">
    <w:abstractNumId w:val="17"/>
  </w:num>
  <w:num w:numId="11">
    <w:abstractNumId w:val="18"/>
  </w:num>
  <w:num w:numId="12">
    <w:abstractNumId w:val="6"/>
  </w:num>
  <w:num w:numId="13">
    <w:abstractNumId w:val="11"/>
  </w:num>
  <w:num w:numId="14">
    <w:abstractNumId w:val="4"/>
  </w:num>
  <w:num w:numId="15">
    <w:abstractNumId w:val="7"/>
  </w:num>
  <w:num w:numId="16">
    <w:abstractNumId w:val="10"/>
  </w:num>
  <w:num w:numId="17">
    <w:abstractNumId w:val="16"/>
  </w:num>
  <w:num w:numId="18">
    <w:abstractNumId w:val="15"/>
  </w:num>
  <w:num w:numId="19">
    <w:abstractNumId w:val="13"/>
  </w:num>
  <w:num w:numId="20">
    <w:abstractNumId w:val="2"/>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zh-CN" w:vendorID="64" w:dllVersion="0" w:nlCheck="1" w:checkStyle="1"/>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I1NTc3MTQyNzU3szRQ0lEKTi0uzszPAykwNKgFAJhNiNwtAAAA"/>
  </w:docVars>
  <w:rsids>
    <w:rsidRoot w:val="00126E73"/>
    <w:rsid w:val="00000A61"/>
    <w:rsid w:val="00001257"/>
    <w:rsid w:val="0000155A"/>
    <w:rsid w:val="0000376F"/>
    <w:rsid w:val="00012D4B"/>
    <w:rsid w:val="00013B29"/>
    <w:rsid w:val="00014B1A"/>
    <w:rsid w:val="00021746"/>
    <w:rsid w:val="0003003E"/>
    <w:rsid w:val="00033917"/>
    <w:rsid w:val="00034135"/>
    <w:rsid w:val="00035CA8"/>
    <w:rsid w:val="00037AA4"/>
    <w:rsid w:val="0004079E"/>
    <w:rsid w:val="00041755"/>
    <w:rsid w:val="00043649"/>
    <w:rsid w:val="000471C9"/>
    <w:rsid w:val="00050D13"/>
    <w:rsid w:val="000538E9"/>
    <w:rsid w:val="00057061"/>
    <w:rsid w:val="0006650A"/>
    <w:rsid w:val="000711A0"/>
    <w:rsid w:val="00071606"/>
    <w:rsid w:val="0007624F"/>
    <w:rsid w:val="00081E72"/>
    <w:rsid w:val="00085FEA"/>
    <w:rsid w:val="00092524"/>
    <w:rsid w:val="0009364D"/>
    <w:rsid w:val="00093B8F"/>
    <w:rsid w:val="000A00AA"/>
    <w:rsid w:val="000A062A"/>
    <w:rsid w:val="000A29F0"/>
    <w:rsid w:val="000A353E"/>
    <w:rsid w:val="000A46BE"/>
    <w:rsid w:val="000A5B84"/>
    <w:rsid w:val="000B545F"/>
    <w:rsid w:val="000B7BD3"/>
    <w:rsid w:val="000D39B2"/>
    <w:rsid w:val="000E0D56"/>
    <w:rsid w:val="000E0ECE"/>
    <w:rsid w:val="000E58A9"/>
    <w:rsid w:val="000F612F"/>
    <w:rsid w:val="000F775A"/>
    <w:rsid w:val="00101ACB"/>
    <w:rsid w:val="0010338E"/>
    <w:rsid w:val="00104A87"/>
    <w:rsid w:val="00107685"/>
    <w:rsid w:val="00113E2B"/>
    <w:rsid w:val="001157C4"/>
    <w:rsid w:val="001209B8"/>
    <w:rsid w:val="00121F0A"/>
    <w:rsid w:val="00126E73"/>
    <w:rsid w:val="0013043A"/>
    <w:rsid w:val="00130D49"/>
    <w:rsid w:val="00141D77"/>
    <w:rsid w:val="00142826"/>
    <w:rsid w:val="00150538"/>
    <w:rsid w:val="00152B86"/>
    <w:rsid w:val="00152E62"/>
    <w:rsid w:val="00153B29"/>
    <w:rsid w:val="0015729A"/>
    <w:rsid w:val="001611BB"/>
    <w:rsid w:val="00162506"/>
    <w:rsid w:val="00171824"/>
    <w:rsid w:val="00175A0C"/>
    <w:rsid w:val="0017612D"/>
    <w:rsid w:val="001800EB"/>
    <w:rsid w:val="00183700"/>
    <w:rsid w:val="00183B4D"/>
    <w:rsid w:val="00185616"/>
    <w:rsid w:val="00192523"/>
    <w:rsid w:val="00192EB2"/>
    <w:rsid w:val="00193E45"/>
    <w:rsid w:val="00194077"/>
    <w:rsid w:val="001A01C2"/>
    <w:rsid w:val="001A1DA0"/>
    <w:rsid w:val="001A79EC"/>
    <w:rsid w:val="001B0B62"/>
    <w:rsid w:val="001B0BF2"/>
    <w:rsid w:val="001B26B0"/>
    <w:rsid w:val="001B3329"/>
    <w:rsid w:val="001C3738"/>
    <w:rsid w:val="001D1D09"/>
    <w:rsid w:val="001D545C"/>
    <w:rsid w:val="001D5A11"/>
    <w:rsid w:val="001D70FD"/>
    <w:rsid w:val="001E3ACF"/>
    <w:rsid w:val="001E3F36"/>
    <w:rsid w:val="001E4014"/>
    <w:rsid w:val="001E79AC"/>
    <w:rsid w:val="001F133D"/>
    <w:rsid w:val="001F6381"/>
    <w:rsid w:val="001F6C81"/>
    <w:rsid w:val="0020060D"/>
    <w:rsid w:val="00201A90"/>
    <w:rsid w:val="00201CC7"/>
    <w:rsid w:val="00202368"/>
    <w:rsid w:val="00202EE2"/>
    <w:rsid w:val="00203C3C"/>
    <w:rsid w:val="00205E7D"/>
    <w:rsid w:val="00206AA5"/>
    <w:rsid w:val="00207D46"/>
    <w:rsid w:val="002177FE"/>
    <w:rsid w:val="0022224D"/>
    <w:rsid w:val="00224456"/>
    <w:rsid w:val="0022786F"/>
    <w:rsid w:val="00231778"/>
    <w:rsid w:val="00231F38"/>
    <w:rsid w:val="00233B43"/>
    <w:rsid w:val="002433F2"/>
    <w:rsid w:val="00244C44"/>
    <w:rsid w:val="00246FC9"/>
    <w:rsid w:val="00252553"/>
    <w:rsid w:val="00253D73"/>
    <w:rsid w:val="00256EA6"/>
    <w:rsid w:val="00262E9E"/>
    <w:rsid w:val="00270930"/>
    <w:rsid w:val="00271892"/>
    <w:rsid w:val="0027665D"/>
    <w:rsid w:val="0028092E"/>
    <w:rsid w:val="00282AE3"/>
    <w:rsid w:val="00286248"/>
    <w:rsid w:val="002923BE"/>
    <w:rsid w:val="00293834"/>
    <w:rsid w:val="002A0C18"/>
    <w:rsid w:val="002B262C"/>
    <w:rsid w:val="002B689D"/>
    <w:rsid w:val="002C0ED1"/>
    <w:rsid w:val="002C47CE"/>
    <w:rsid w:val="002D0B2D"/>
    <w:rsid w:val="002D1902"/>
    <w:rsid w:val="002D5876"/>
    <w:rsid w:val="002D5B3E"/>
    <w:rsid w:val="002D5D78"/>
    <w:rsid w:val="002E1DBA"/>
    <w:rsid w:val="002E423D"/>
    <w:rsid w:val="002E72FA"/>
    <w:rsid w:val="002E7B11"/>
    <w:rsid w:val="002F4036"/>
    <w:rsid w:val="002F51AE"/>
    <w:rsid w:val="002F64A6"/>
    <w:rsid w:val="00306428"/>
    <w:rsid w:val="0030654E"/>
    <w:rsid w:val="00307D8F"/>
    <w:rsid w:val="00312524"/>
    <w:rsid w:val="00312EBA"/>
    <w:rsid w:val="00314FDA"/>
    <w:rsid w:val="00316975"/>
    <w:rsid w:val="0032120E"/>
    <w:rsid w:val="00321DCE"/>
    <w:rsid w:val="00322B90"/>
    <w:rsid w:val="00322D72"/>
    <w:rsid w:val="00324E04"/>
    <w:rsid w:val="00325B98"/>
    <w:rsid w:val="00326054"/>
    <w:rsid w:val="003309F1"/>
    <w:rsid w:val="00332018"/>
    <w:rsid w:val="003341C2"/>
    <w:rsid w:val="00334A99"/>
    <w:rsid w:val="00336C6D"/>
    <w:rsid w:val="0035272B"/>
    <w:rsid w:val="00356EC4"/>
    <w:rsid w:val="00362C1E"/>
    <w:rsid w:val="00366284"/>
    <w:rsid w:val="00374FB0"/>
    <w:rsid w:val="00382CF2"/>
    <w:rsid w:val="00383467"/>
    <w:rsid w:val="0039399B"/>
    <w:rsid w:val="0039460C"/>
    <w:rsid w:val="00397CC9"/>
    <w:rsid w:val="003A0575"/>
    <w:rsid w:val="003A09E1"/>
    <w:rsid w:val="003A52BC"/>
    <w:rsid w:val="003A5903"/>
    <w:rsid w:val="003A773C"/>
    <w:rsid w:val="003B0A24"/>
    <w:rsid w:val="003B6F77"/>
    <w:rsid w:val="003B7D6C"/>
    <w:rsid w:val="003B7F58"/>
    <w:rsid w:val="003C0202"/>
    <w:rsid w:val="003C1E5D"/>
    <w:rsid w:val="003C1E9C"/>
    <w:rsid w:val="003C67E9"/>
    <w:rsid w:val="003C75E4"/>
    <w:rsid w:val="003D081F"/>
    <w:rsid w:val="003D218C"/>
    <w:rsid w:val="003D5BD1"/>
    <w:rsid w:val="003D6133"/>
    <w:rsid w:val="003E1F13"/>
    <w:rsid w:val="003E4DB4"/>
    <w:rsid w:val="003E76FA"/>
    <w:rsid w:val="003F50A2"/>
    <w:rsid w:val="003F6FDA"/>
    <w:rsid w:val="00403606"/>
    <w:rsid w:val="00403810"/>
    <w:rsid w:val="00403A6B"/>
    <w:rsid w:val="00405171"/>
    <w:rsid w:val="004055AC"/>
    <w:rsid w:val="00405CA5"/>
    <w:rsid w:val="00407BC5"/>
    <w:rsid w:val="00410267"/>
    <w:rsid w:val="0041282F"/>
    <w:rsid w:val="00412D5C"/>
    <w:rsid w:val="004149B5"/>
    <w:rsid w:val="00425404"/>
    <w:rsid w:val="0043092C"/>
    <w:rsid w:val="004334EF"/>
    <w:rsid w:val="00433F79"/>
    <w:rsid w:val="00437E05"/>
    <w:rsid w:val="004424AE"/>
    <w:rsid w:val="00442963"/>
    <w:rsid w:val="00446094"/>
    <w:rsid w:val="00446953"/>
    <w:rsid w:val="00452C13"/>
    <w:rsid w:val="00453C64"/>
    <w:rsid w:val="00454102"/>
    <w:rsid w:val="00460C4B"/>
    <w:rsid w:val="00465D37"/>
    <w:rsid w:val="00467909"/>
    <w:rsid w:val="004716E5"/>
    <w:rsid w:val="00475A22"/>
    <w:rsid w:val="00476AE3"/>
    <w:rsid w:val="004807F0"/>
    <w:rsid w:val="004909D6"/>
    <w:rsid w:val="004972C5"/>
    <w:rsid w:val="004A035E"/>
    <w:rsid w:val="004A39C3"/>
    <w:rsid w:val="004B092E"/>
    <w:rsid w:val="004B1741"/>
    <w:rsid w:val="004B5253"/>
    <w:rsid w:val="004C0393"/>
    <w:rsid w:val="004C120A"/>
    <w:rsid w:val="004C4DDA"/>
    <w:rsid w:val="004C6148"/>
    <w:rsid w:val="004C626E"/>
    <w:rsid w:val="004C6DAB"/>
    <w:rsid w:val="004D3D6C"/>
    <w:rsid w:val="004D688C"/>
    <w:rsid w:val="004D6A0B"/>
    <w:rsid w:val="004E0E20"/>
    <w:rsid w:val="004E2B85"/>
    <w:rsid w:val="004E2BBA"/>
    <w:rsid w:val="004E42B1"/>
    <w:rsid w:val="004F28C4"/>
    <w:rsid w:val="00501B1B"/>
    <w:rsid w:val="00501E2A"/>
    <w:rsid w:val="00510647"/>
    <w:rsid w:val="005140A2"/>
    <w:rsid w:val="00521106"/>
    <w:rsid w:val="0052162B"/>
    <w:rsid w:val="00521A74"/>
    <w:rsid w:val="00531A11"/>
    <w:rsid w:val="0053276B"/>
    <w:rsid w:val="005343A4"/>
    <w:rsid w:val="005347C2"/>
    <w:rsid w:val="005349C2"/>
    <w:rsid w:val="0054486D"/>
    <w:rsid w:val="00546CE3"/>
    <w:rsid w:val="00550B0B"/>
    <w:rsid w:val="00551ED5"/>
    <w:rsid w:val="00554941"/>
    <w:rsid w:val="00554F66"/>
    <w:rsid w:val="0055714C"/>
    <w:rsid w:val="00557188"/>
    <w:rsid w:val="00563723"/>
    <w:rsid w:val="005664E4"/>
    <w:rsid w:val="005731C4"/>
    <w:rsid w:val="00574180"/>
    <w:rsid w:val="00576593"/>
    <w:rsid w:val="00582C6F"/>
    <w:rsid w:val="00585C99"/>
    <w:rsid w:val="00586503"/>
    <w:rsid w:val="00594B57"/>
    <w:rsid w:val="00597AB1"/>
    <w:rsid w:val="005A07DE"/>
    <w:rsid w:val="005A2041"/>
    <w:rsid w:val="005A38AB"/>
    <w:rsid w:val="005A58C2"/>
    <w:rsid w:val="005B067E"/>
    <w:rsid w:val="005B1844"/>
    <w:rsid w:val="005B265C"/>
    <w:rsid w:val="005B4F11"/>
    <w:rsid w:val="005C05BE"/>
    <w:rsid w:val="005C0846"/>
    <w:rsid w:val="005C2A77"/>
    <w:rsid w:val="005C3D7E"/>
    <w:rsid w:val="005C4886"/>
    <w:rsid w:val="005C48CE"/>
    <w:rsid w:val="005C7341"/>
    <w:rsid w:val="005D2635"/>
    <w:rsid w:val="005D4327"/>
    <w:rsid w:val="005D48CC"/>
    <w:rsid w:val="005D493D"/>
    <w:rsid w:val="005D4A24"/>
    <w:rsid w:val="005D52B9"/>
    <w:rsid w:val="005D6B7D"/>
    <w:rsid w:val="005D7A2A"/>
    <w:rsid w:val="005E5119"/>
    <w:rsid w:val="005F277E"/>
    <w:rsid w:val="005F349F"/>
    <w:rsid w:val="005F39AE"/>
    <w:rsid w:val="00602348"/>
    <w:rsid w:val="00606E08"/>
    <w:rsid w:val="006077CA"/>
    <w:rsid w:val="00610966"/>
    <w:rsid w:val="00613BFF"/>
    <w:rsid w:val="006163A1"/>
    <w:rsid w:val="00616492"/>
    <w:rsid w:val="0061663C"/>
    <w:rsid w:val="00617D7B"/>
    <w:rsid w:val="00617F79"/>
    <w:rsid w:val="0062175A"/>
    <w:rsid w:val="00622494"/>
    <w:rsid w:val="00623D35"/>
    <w:rsid w:val="00624378"/>
    <w:rsid w:val="00631446"/>
    <w:rsid w:val="006333DC"/>
    <w:rsid w:val="006338FD"/>
    <w:rsid w:val="00636767"/>
    <w:rsid w:val="00636933"/>
    <w:rsid w:val="00640D9F"/>
    <w:rsid w:val="00645067"/>
    <w:rsid w:val="00645F4B"/>
    <w:rsid w:val="006505B2"/>
    <w:rsid w:val="00651DB6"/>
    <w:rsid w:val="00660437"/>
    <w:rsid w:val="00663130"/>
    <w:rsid w:val="00672B18"/>
    <w:rsid w:val="00675362"/>
    <w:rsid w:val="00680C05"/>
    <w:rsid w:val="00683D37"/>
    <w:rsid w:val="006846F7"/>
    <w:rsid w:val="00686316"/>
    <w:rsid w:val="006872EA"/>
    <w:rsid w:val="00687CE9"/>
    <w:rsid w:val="00693664"/>
    <w:rsid w:val="00695184"/>
    <w:rsid w:val="00696A91"/>
    <w:rsid w:val="00697699"/>
    <w:rsid w:val="006A53BB"/>
    <w:rsid w:val="006A55D9"/>
    <w:rsid w:val="006B19BB"/>
    <w:rsid w:val="006C285F"/>
    <w:rsid w:val="006D5269"/>
    <w:rsid w:val="006D73C3"/>
    <w:rsid w:val="006E1BAB"/>
    <w:rsid w:val="006E595D"/>
    <w:rsid w:val="006E5AA1"/>
    <w:rsid w:val="006F0D70"/>
    <w:rsid w:val="006F3D18"/>
    <w:rsid w:val="006F3E72"/>
    <w:rsid w:val="006F5062"/>
    <w:rsid w:val="00711121"/>
    <w:rsid w:val="00711DE4"/>
    <w:rsid w:val="00720860"/>
    <w:rsid w:val="00722134"/>
    <w:rsid w:val="007225CC"/>
    <w:rsid w:val="00722A84"/>
    <w:rsid w:val="00722D94"/>
    <w:rsid w:val="00724CE0"/>
    <w:rsid w:val="00724DB9"/>
    <w:rsid w:val="0073206F"/>
    <w:rsid w:val="007416E5"/>
    <w:rsid w:val="00755234"/>
    <w:rsid w:val="00760149"/>
    <w:rsid w:val="00761FEF"/>
    <w:rsid w:val="0076241D"/>
    <w:rsid w:val="0076256E"/>
    <w:rsid w:val="00764EDF"/>
    <w:rsid w:val="0076764C"/>
    <w:rsid w:val="00772533"/>
    <w:rsid w:val="00773067"/>
    <w:rsid w:val="00775AD2"/>
    <w:rsid w:val="00777596"/>
    <w:rsid w:val="00781DB0"/>
    <w:rsid w:val="00785576"/>
    <w:rsid w:val="00793FC6"/>
    <w:rsid w:val="007972F9"/>
    <w:rsid w:val="007A30C2"/>
    <w:rsid w:val="007B0D84"/>
    <w:rsid w:val="007B33BC"/>
    <w:rsid w:val="007B524A"/>
    <w:rsid w:val="007B68B0"/>
    <w:rsid w:val="007C0A3D"/>
    <w:rsid w:val="007C1EB5"/>
    <w:rsid w:val="007C5CC4"/>
    <w:rsid w:val="007D1E74"/>
    <w:rsid w:val="007D3B31"/>
    <w:rsid w:val="007D4654"/>
    <w:rsid w:val="007D634F"/>
    <w:rsid w:val="007D6676"/>
    <w:rsid w:val="007E2422"/>
    <w:rsid w:val="007E3261"/>
    <w:rsid w:val="007E655E"/>
    <w:rsid w:val="007E7DDB"/>
    <w:rsid w:val="007F7F38"/>
    <w:rsid w:val="00802DC5"/>
    <w:rsid w:val="00807435"/>
    <w:rsid w:val="008108FC"/>
    <w:rsid w:val="0082224A"/>
    <w:rsid w:val="00822273"/>
    <w:rsid w:val="00827443"/>
    <w:rsid w:val="008333D3"/>
    <w:rsid w:val="00841F61"/>
    <w:rsid w:val="0085019C"/>
    <w:rsid w:val="00852081"/>
    <w:rsid w:val="0086465F"/>
    <w:rsid w:val="008660E4"/>
    <w:rsid w:val="00867CC0"/>
    <w:rsid w:val="00867F3A"/>
    <w:rsid w:val="00872A13"/>
    <w:rsid w:val="0087457E"/>
    <w:rsid w:val="00875EC2"/>
    <w:rsid w:val="00876047"/>
    <w:rsid w:val="00876D43"/>
    <w:rsid w:val="00880AC3"/>
    <w:rsid w:val="008825B6"/>
    <w:rsid w:val="00885054"/>
    <w:rsid w:val="00891D4D"/>
    <w:rsid w:val="008934A8"/>
    <w:rsid w:val="00894BEC"/>
    <w:rsid w:val="008A2C40"/>
    <w:rsid w:val="008A3004"/>
    <w:rsid w:val="008A4142"/>
    <w:rsid w:val="008A43BB"/>
    <w:rsid w:val="008A7787"/>
    <w:rsid w:val="008B0BFA"/>
    <w:rsid w:val="008B4945"/>
    <w:rsid w:val="008B4B61"/>
    <w:rsid w:val="008B5D48"/>
    <w:rsid w:val="008C10B7"/>
    <w:rsid w:val="008C2E03"/>
    <w:rsid w:val="008C3F66"/>
    <w:rsid w:val="008C3F87"/>
    <w:rsid w:val="008C645A"/>
    <w:rsid w:val="008C7EFD"/>
    <w:rsid w:val="008C7F65"/>
    <w:rsid w:val="008D0E59"/>
    <w:rsid w:val="008D3B84"/>
    <w:rsid w:val="008D6154"/>
    <w:rsid w:val="008E074B"/>
    <w:rsid w:val="008E106D"/>
    <w:rsid w:val="008E110E"/>
    <w:rsid w:val="008E13AC"/>
    <w:rsid w:val="008E32EA"/>
    <w:rsid w:val="008E3BDD"/>
    <w:rsid w:val="008E4498"/>
    <w:rsid w:val="008F49AD"/>
    <w:rsid w:val="008F776A"/>
    <w:rsid w:val="008F77E7"/>
    <w:rsid w:val="00900AE9"/>
    <w:rsid w:val="00901BA4"/>
    <w:rsid w:val="009048B3"/>
    <w:rsid w:val="00904F23"/>
    <w:rsid w:val="00905E6F"/>
    <w:rsid w:val="00906FC2"/>
    <w:rsid w:val="0090786D"/>
    <w:rsid w:val="00916F43"/>
    <w:rsid w:val="0091721B"/>
    <w:rsid w:val="009179E7"/>
    <w:rsid w:val="009258BD"/>
    <w:rsid w:val="0093320B"/>
    <w:rsid w:val="00935929"/>
    <w:rsid w:val="00940EA8"/>
    <w:rsid w:val="00941136"/>
    <w:rsid w:val="0094212C"/>
    <w:rsid w:val="00943ABB"/>
    <w:rsid w:val="00944AAA"/>
    <w:rsid w:val="00947CD4"/>
    <w:rsid w:val="009505C1"/>
    <w:rsid w:val="009537B6"/>
    <w:rsid w:val="009542C3"/>
    <w:rsid w:val="00955119"/>
    <w:rsid w:val="0096391E"/>
    <w:rsid w:val="00965001"/>
    <w:rsid w:val="00965096"/>
    <w:rsid w:val="00965CF7"/>
    <w:rsid w:val="00966BC5"/>
    <w:rsid w:val="009672B2"/>
    <w:rsid w:val="00971153"/>
    <w:rsid w:val="00971EB4"/>
    <w:rsid w:val="0097223A"/>
    <w:rsid w:val="00972446"/>
    <w:rsid w:val="0097494D"/>
    <w:rsid w:val="009756D9"/>
    <w:rsid w:val="00981202"/>
    <w:rsid w:val="009831E6"/>
    <w:rsid w:val="00986BB0"/>
    <w:rsid w:val="00990C92"/>
    <w:rsid w:val="00995712"/>
    <w:rsid w:val="00996D8E"/>
    <w:rsid w:val="009A0CA7"/>
    <w:rsid w:val="009A7CAC"/>
    <w:rsid w:val="009B0879"/>
    <w:rsid w:val="009B6E10"/>
    <w:rsid w:val="009C227C"/>
    <w:rsid w:val="009C6A53"/>
    <w:rsid w:val="009C77A6"/>
    <w:rsid w:val="009D1148"/>
    <w:rsid w:val="009D1A45"/>
    <w:rsid w:val="009D38C9"/>
    <w:rsid w:val="009D3AC5"/>
    <w:rsid w:val="009D50BF"/>
    <w:rsid w:val="009D6916"/>
    <w:rsid w:val="009E3DBF"/>
    <w:rsid w:val="009E6488"/>
    <w:rsid w:val="009E773E"/>
    <w:rsid w:val="009E77BC"/>
    <w:rsid w:val="009F1504"/>
    <w:rsid w:val="009F4122"/>
    <w:rsid w:val="009F42D5"/>
    <w:rsid w:val="00A00831"/>
    <w:rsid w:val="00A01BAF"/>
    <w:rsid w:val="00A039A3"/>
    <w:rsid w:val="00A050B0"/>
    <w:rsid w:val="00A05615"/>
    <w:rsid w:val="00A0563F"/>
    <w:rsid w:val="00A10223"/>
    <w:rsid w:val="00A13B2A"/>
    <w:rsid w:val="00A21E9F"/>
    <w:rsid w:val="00A21F25"/>
    <w:rsid w:val="00A228A8"/>
    <w:rsid w:val="00A22DA2"/>
    <w:rsid w:val="00A2301E"/>
    <w:rsid w:val="00A23ED0"/>
    <w:rsid w:val="00A24EAC"/>
    <w:rsid w:val="00A2662A"/>
    <w:rsid w:val="00A304A1"/>
    <w:rsid w:val="00A33027"/>
    <w:rsid w:val="00A331F4"/>
    <w:rsid w:val="00A35B84"/>
    <w:rsid w:val="00A41A65"/>
    <w:rsid w:val="00A42088"/>
    <w:rsid w:val="00A43014"/>
    <w:rsid w:val="00A43BB3"/>
    <w:rsid w:val="00A477F3"/>
    <w:rsid w:val="00A561A0"/>
    <w:rsid w:val="00A57DFB"/>
    <w:rsid w:val="00A6046B"/>
    <w:rsid w:val="00A605DE"/>
    <w:rsid w:val="00A62B27"/>
    <w:rsid w:val="00A62D0C"/>
    <w:rsid w:val="00A63148"/>
    <w:rsid w:val="00A66918"/>
    <w:rsid w:val="00A674F2"/>
    <w:rsid w:val="00A70116"/>
    <w:rsid w:val="00A70674"/>
    <w:rsid w:val="00A707C5"/>
    <w:rsid w:val="00A7108B"/>
    <w:rsid w:val="00A72C77"/>
    <w:rsid w:val="00A73E6C"/>
    <w:rsid w:val="00A806AF"/>
    <w:rsid w:val="00A84739"/>
    <w:rsid w:val="00A8568D"/>
    <w:rsid w:val="00A86890"/>
    <w:rsid w:val="00A9082C"/>
    <w:rsid w:val="00A9344A"/>
    <w:rsid w:val="00A9673B"/>
    <w:rsid w:val="00A97B6B"/>
    <w:rsid w:val="00AA475D"/>
    <w:rsid w:val="00AB0C27"/>
    <w:rsid w:val="00AB1785"/>
    <w:rsid w:val="00AB2CF4"/>
    <w:rsid w:val="00AB366F"/>
    <w:rsid w:val="00AB5FB3"/>
    <w:rsid w:val="00AB7B0A"/>
    <w:rsid w:val="00AD051A"/>
    <w:rsid w:val="00AE0FBF"/>
    <w:rsid w:val="00AE19EE"/>
    <w:rsid w:val="00AE6064"/>
    <w:rsid w:val="00AF68BB"/>
    <w:rsid w:val="00AF72BC"/>
    <w:rsid w:val="00B01394"/>
    <w:rsid w:val="00B13B4A"/>
    <w:rsid w:val="00B1402A"/>
    <w:rsid w:val="00B16B0C"/>
    <w:rsid w:val="00B16C04"/>
    <w:rsid w:val="00B201C0"/>
    <w:rsid w:val="00B2025F"/>
    <w:rsid w:val="00B20752"/>
    <w:rsid w:val="00B260CB"/>
    <w:rsid w:val="00B26180"/>
    <w:rsid w:val="00B262B6"/>
    <w:rsid w:val="00B263DD"/>
    <w:rsid w:val="00B31959"/>
    <w:rsid w:val="00B33A8D"/>
    <w:rsid w:val="00B35F14"/>
    <w:rsid w:val="00B3765F"/>
    <w:rsid w:val="00B43175"/>
    <w:rsid w:val="00B454A9"/>
    <w:rsid w:val="00B50043"/>
    <w:rsid w:val="00B523D4"/>
    <w:rsid w:val="00B53DBB"/>
    <w:rsid w:val="00B54064"/>
    <w:rsid w:val="00B628A3"/>
    <w:rsid w:val="00B62A48"/>
    <w:rsid w:val="00B64636"/>
    <w:rsid w:val="00B74AD7"/>
    <w:rsid w:val="00B81A9F"/>
    <w:rsid w:val="00B926B2"/>
    <w:rsid w:val="00BA6E7A"/>
    <w:rsid w:val="00BA6EE6"/>
    <w:rsid w:val="00BA7057"/>
    <w:rsid w:val="00BA72DB"/>
    <w:rsid w:val="00BA75A2"/>
    <w:rsid w:val="00BB0349"/>
    <w:rsid w:val="00BB78B9"/>
    <w:rsid w:val="00BC432F"/>
    <w:rsid w:val="00BC53B9"/>
    <w:rsid w:val="00BC680C"/>
    <w:rsid w:val="00BD4635"/>
    <w:rsid w:val="00BD4906"/>
    <w:rsid w:val="00BD6C45"/>
    <w:rsid w:val="00BE1C9E"/>
    <w:rsid w:val="00C00529"/>
    <w:rsid w:val="00C01596"/>
    <w:rsid w:val="00C01927"/>
    <w:rsid w:val="00C019ED"/>
    <w:rsid w:val="00C02155"/>
    <w:rsid w:val="00C03115"/>
    <w:rsid w:val="00C12878"/>
    <w:rsid w:val="00C133DE"/>
    <w:rsid w:val="00C15115"/>
    <w:rsid w:val="00C154B4"/>
    <w:rsid w:val="00C22CD1"/>
    <w:rsid w:val="00C234EB"/>
    <w:rsid w:val="00C23C3E"/>
    <w:rsid w:val="00C245EB"/>
    <w:rsid w:val="00C2706F"/>
    <w:rsid w:val="00C27AE3"/>
    <w:rsid w:val="00C30305"/>
    <w:rsid w:val="00C3482F"/>
    <w:rsid w:val="00C41593"/>
    <w:rsid w:val="00C42D92"/>
    <w:rsid w:val="00C522C4"/>
    <w:rsid w:val="00C63B94"/>
    <w:rsid w:val="00C64CE9"/>
    <w:rsid w:val="00C665C0"/>
    <w:rsid w:val="00C67D84"/>
    <w:rsid w:val="00C72A01"/>
    <w:rsid w:val="00C73BC7"/>
    <w:rsid w:val="00C73FCE"/>
    <w:rsid w:val="00C7722E"/>
    <w:rsid w:val="00C85FEB"/>
    <w:rsid w:val="00C872A2"/>
    <w:rsid w:val="00C87492"/>
    <w:rsid w:val="00C90053"/>
    <w:rsid w:val="00C90B56"/>
    <w:rsid w:val="00C924F2"/>
    <w:rsid w:val="00CA5CAA"/>
    <w:rsid w:val="00CB2221"/>
    <w:rsid w:val="00CB570C"/>
    <w:rsid w:val="00CB6012"/>
    <w:rsid w:val="00CC208E"/>
    <w:rsid w:val="00CC29AF"/>
    <w:rsid w:val="00CC3257"/>
    <w:rsid w:val="00CC70DE"/>
    <w:rsid w:val="00CD2D5A"/>
    <w:rsid w:val="00CD52D1"/>
    <w:rsid w:val="00CD57E0"/>
    <w:rsid w:val="00CD5AD4"/>
    <w:rsid w:val="00CD6535"/>
    <w:rsid w:val="00CD76B6"/>
    <w:rsid w:val="00CE19B0"/>
    <w:rsid w:val="00CE19F9"/>
    <w:rsid w:val="00CE5466"/>
    <w:rsid w:val="00CE5DD2"/>
    <w:rsid w:val="00CE6D3C"/>
    <w:rsid w:val="00CF0C86"/>
    <w:rsid w:val="00CF3AF0"/>
    <w:rsid w:val="00CF443A"/>
    <w:rsid w:val="00CF5D2C"/>
    <w:rsid w:val="00D0189E"/>
    <w:rsid w:val="00D036D9"/>
    <w:rsid w:val="00D03A19"/>
    <w:rsid w:val="00D04F83"/>
    <w:rsid w:val="00D04FAD"/>
    <w:rsid w:val="00D131A2"/>
    <w:rsid w:val="00D159AC"/>
    <w:rsid w:val="00D160A1"/>
    <w:rsid w:val="00D17E5E"/>
    <w:rsid w:val="00D27B6E"/>
    <w:rsid w:val="00D32904"/>
    <w:rsid w:val="00D32C20"/>
    <w:rsid w:val="00D32DCD"/>
    <w:rsid w:val="00D34063"/>
    <w:rsid w:val="00D42B78"/>
    <w:rsid w:val="00D4336B"/>
    <w:rsid w:val="00D44BF5"/>
    <w:rsid w:val="00D5321B"/>
    <w:rsid w:val="00D548E6"/>
    <w:rsid w:val="00D5558F"/>
    <w:rsid w:val="00D60310"/>
    <w:rsid w:val="00D64E05"/>
    <w:rsid w:val="00D73707"/>
    <w:rsid w:val="00D748ED"/>
    <w:rsid w:val="00D76A7E"/>
    <w:rsid w:val="00D82A79"/>
    <w:rsid w:val="00D86121"/>
    <w:rsid w:val="00D9222E"/>
    <w:rsid w:val="00D92390"/>
    <w:rsid w:val="00D9292E"/>
    <w:rsid w:val="00D93FBE"/>
    <w:rsid w:val="00D940B1"/>
    <w:rsid w:val="00DA3BDB"/>
    <w:rsid w:val="00DA4AEA"/>
    <w:rsid w:val="00DA5D87"/>
    <w:rsid w:val="00DA73A2"/>
    <w:rsid w:val="00DB2F11"/>
    <w:rsid w:val="00DB4169"/>
    <w:rsid w:val="00DB5BF2"/>
    <w:rsid w:val="00DB6A44"/>
    <w:rsid w:val="00DD0FAD"/>
    <w:rsid w:val="00DD1F0E"/>
    <w:rsid w:val="00DD27CF"/>
    <w:rsid w:val="00DD3D65"/>
    <w:rsid w:val="00DD531E"/>
    <w:rsid w:val="00DD7055"/>
    <w:rsid w:val="00DE17AA"/>
    <w:rsid w:val="00DE29D2"/>
    <w:rsid w:val="00DE4BCA"/>
    <w:rsid w:val="00DE75A7"/>
    <w:rsid w:val="00DF111B"/>
    <w:rsid w:val="00DF531F"/>
    <w:rsid w:val="00E0105B"/>
    <w:rsid w:val="00E0180C"/>
    <w:rsid w:val="00E029FB"/>
    <w:rsid w:val="00E061F0"/>
    <w:rsid w:val="00E10BFF"/>
    <w:rsid w:val="00E1613A"/>
    <w:rsid w:val="00E20765"/>
    <w:rsid w:val="00E20938"/>
    <w:rsid w:val="00E21A0D"/>
    <w:rsid w:val="00E238ED"/>
    <w:rsid w:val="00E25A0B"/>
    <w:rsid w:val="00E2625F"/>
    <w:rsid w:val="00E26717"/>
    <w:rsid w:val="00E27A47"/>
    <w:rsid w:val="00E30B4A"/>
    <w:rsid w:val="00E33942"/>
    <w:rsid w:val="00E34272"/>
    <w:rsid w:val="00E361E7"/>
    <w:rsid w:val="00E40AE8"/>
    <w:rsid w:val="00E41021"/>
    <w:rsid w:val="00E41066"/>
    <w:rsid w:val="00E42EFC"/>
    <w:rsid w:val="00E50420"/>
    <w:rsid w:val="00E50BE8"/>
    <w:rsid w:val="00E54522"/>
    <w:rsid w:val="00E6317E"/>
    <w:rsid w:val="00E64238"/>
    <w:rsid w:val="00E66329"/>
    <w:rsid w:val="00E7001C"/>
    <w:rsid w:val="00E70132"/>
    <w:rsid w:val="00E70ADA"/>
    <w:rsid w:val="00E76C49"/>
    <w:rsid w:val="00E779DF"/>
    <w:rsid w:val="00E77AB0"/>
    <w:rsid w:val="00E82BA0"/>
    <w:rsid w:val="00E83917"/>
    <w:rsid w:val="00E84BF1"/>
    <w:rsid w:val="00E906C5"/>
    <w:rsid w:val="00E90D70"/>
    <w:rsid w:val="00E96DE0"/>
    <w:rsid w:val="00EA29F7"/>
    <w:rsid w:val="00EA65F0"/>
    <w:rsid w:val="00EA7C77"/>
    <w:rsid w:val="00EB069E"/>
    <w:rsid w:val="00EB32C4"/>
    <w:rsid w:val="00EB56DD"/>
    <w:rsid w:val="00EB5D10"/>
    <w:rsid w:val="00EC38FA"/>
    <w:rsid w:val="00EC52C7"/>
    <w:rsid w:val="00EC5DF4"/>
    <w:rsid w:val="00EC6A23"/>
    <w:rsid w:val="00EC7EB4"/>
    <w:rsid w:val="00ED0752"/>
    <w:rsid w:val="00ED5BB4"/>
    <w:rsid w:val="00EE0BD4"/>
    <w:rsid w:val="00EE136E"/>
    <w:rsid w:val="00EE202D"/>
    <w:rsid w:val="00EE31B6"/>
    <w:rsid w:val="00EE3D1D"/>
    <w:rsid w:val="00EE56D4"/>
    <w:rsid w:val="00EF23E6"/>
    <w:rsid w:val="00EF6B2F"/>
    <w:rsid w:val="00F005A8"/>
    <w:rsid w:val="00F05B4B"/>
    <w:rsid w:val="00F06BD3"/>
    <w:rsid w:val="00F0792F"/>
    <w:rsid w:val="00F07BE9"/>
    <w:rsid w:val="00F1033B"/>
    <w:rsid w:val="00F12513"/>
    <w:rsid w:val="00F160DF"/>
    <w:rsid w:val="00F16E42"/>
    <w:rsid w:val="00F217ED"/>
    <w:rsid w:val="00F223BA"/>
    <w:rsid w:val="00F24E45"/>
    <w:rsid w:val="00F250AE"/>
    <w:rsid w:val="00F31499"/>
    <w:rsid w:val="00F34B80"/>
    <w:rsid w:val="00F371C8"/>
    <w:rsid w:val="00F3786E"/>
    <w:rsid w:val="00F40BD0"/>
    <w:rsid w:val="00F4450C"/>
    <w:rsid w:val="00F4586F"/>
    <w:rsid w:val="00F475D9"/>
    <w:rsid w:val="00F52A5B"/>
    <w:rsid w:val="00F567DF"/>
    <w:rsid w:val="00F575E1"/>
    <w:rsid w:val="00F60717"/>
    <w:rsid w:val="00F61FFA"/>
    <w:rsid w:val="00F632EE"/>
    <w:rsid w:val="00F67A5E"/>
    <w:rsid w:val="00F74540"/>
    <w:rsid w:val="00F75562"/>
    <w:rsid w:val="00F768AD"/>
    <w:rsid w:val="00F80D36"/>
    <w:rsid w:val="00F81F7C"/>
    <w:rsid w:val="00F85D89"/>
    <w:rsid w:val="00F87737"/>
    <w:rsid w:val="00F92AB6"/>
    <w:rsid w:val="00F95027"/>
    <w:rsid w:val="00F977C1"/>
    <w:rsid w:val="00FA0B84"/>
    <w:rsid w:val="00FA1A0E"/>
    <w:rsid w:val="00FA3358"/>
    <w:rsid w:val="00FA5619"/>
    <w:rsid w:val="00FB003C"/>
    <w:rsid w:val="00FB355B"/>
    <w:rsid w:val="00FB3DC8"/>
    <w:rsid w:val="00FB7BC8"/>
    <w:rsid w:val="00FC08B1"/>
    <w:rsid w:val="00FC0ACE"/>
    <w:rsid w:val="00FC2C90"/>
    <w:rsid w:val="00FC3CD8"/>
    <w:rsid w:val="00FC4DA2"/>
    <w:rsid w:val="00FC569B"/>
    <w:rsid w:val="00FC5995"/>
    <w:rsid w:val="00FC6851"/>
    <w:rsid w:val="00FC6BB3"/>
    <w:rsid w:val="00FD12D3"/>
    <w:rsid w:val="00FD78EF"/>
    <w:rsid w:val="00FE00F0"/>
    <w:rsid w:val="00FE1CAD"/>
    <w:rsid w:val="00FE4D24"/>
    <w:rsid w:val="00FE75FE"/>
    <w:rsid w:val="00FF0057"/>
    <w:rsid w:val="00FF219A"/>
    <w:rsid w:val="00FF2407"/>
    <w:rsid w:val="00FF380A"/>
    <w:rsid w:val="00FF6E8E"/>
    <w:rsid w:val="01F74BBD"/>
    <w:rsid w:val="45BD60F8"/>
    <w:rsid w:val="4D9E2475"/>
    <w:rsid w:val="6A4153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14AA8"/>
  <w15:docId w15:val="{7B628649-7CA4-6D44-8D6D-8FF2EABD6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BB0"/>
    <w:rPr>
      <w:rFonts w:ascii="Times New Roman" w:eastAsia="SimSun" w:hAnsi="Times New Roman" w:cs="SimSun"/>
      <w:sz w:val="24"/>
      <w:szCs w:val="24"/>
      <w:lang w:val="en-GB"/>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qFormat/>
    <w:pPr>
      <w:spacing w:before="100" w:beforeAutospacing="1" w:after="100" w:afterAutospacing="1"/>
      <w:outlineLvl w:val="1"/>
    </w:pPr>
    <w:rPr>
      <w:b/>
      <w:bCs/>
      <w:sz w:val="36"/>
      <w:szCs w:val="36"/>
      <w:lang w:val="en-US"/>
    </w:rPr>
  </w:style>
  <w:style w:type="paragraph" w:styleId="Heading3">
    <w:name w:val="heading 3"/>
    <w:basedOn w:val="Normal"/>
    <w:next w:val="Normal"/>
    <w:link w:val="Heading3Char"/>
    <w:qFormat/>
    <w:pPr>
      <w:spacing w:before="100" w:beforeAutospacing="1" w:after="100" w:afterAutospacing="1"/>
      <w:outlineLvl w:val="2"/>
    </w:pPr>
    <w:rPr>
      <w:b/>
      <w:bCs/>
      <w:sz w:val="27"/>
      <w:szCs w:val="27"/>
      <w:lang w:val="en-US"/>
    </w:rPr>
  </w:style>
  <w:style w:type="paragraph" w:styleId="Heading4">
    <w:name w:val="heading 4"/>
    <w:basedOn w:val="Normal"/>
    <w:next w:val="Normal"/>
    <w:link w:val="Heading4Char"/>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uiPriority w:val="9"/>
    <w:semiHidden/>
    <w:unhideWhenUsed/>
    <w:qFormat/>
    <w:rsid w:val="00904F23"/>
    <w:pPr>
      <w:keepNext/>
      <w:keepLines/>
      <w:spacing w:before="40"/>
      <w:outlineLvl w:val="4"/>
    </w:pPr>
    <w:rPr>
      <w:rFonts w:asciiTheme="majorHAnsi" w:eastAsiaTheme="majorEastAsia" w:hAnsiTheme="majorHAnsi" w:cstheme="majorBidi"/>
      <w:color w:val="2F5496" w:themeColor="accent1" w:themeShade="BF"/>
      <w:lang w:eastAsia="en-US"/>
    </w:rPr>
  </w:style>
  <w:style w:type="paragraph" w:styleId="Heading6">
    <w:name w:val="heading 6"/>
    <w:basedOn w:val="Normal"/>
    <w:next w:val="Normal"/>
    <w:link w:val="Heading6Char"/>
    <w:uiPriority w:val="9"/>
    <w:semiHidden/>
    <w:unhideWhenUsed/>
    <w:qFormat/>
    <w:rsid w:val="00904F23"/>
    <w:pPr>
      <w:keepNext/>
      <w:keepLines/>
      <w:spacing w:before="40"/>
      <w:outlineLvl w:val="5"/>
    </w:pPr>
    <w:rPr>
      <w:rFonts w:asciiTheme="majorHAnsi" w:eastAsiaTheme="majorEastAsia" w:hAnsiTheme="majorHAnsi" w:cstheme="majorBidi"/>
      <w:color w:val="1F3763" w:themeColor="accent1" w:themeShade="7F"/>
      <w:lang w:eastAsia="en-US"/>
    </w:rPr>
  </w:style>
  <w:style w:type="paragraph" w:styleId="Heading7">
    <w:name w:val="heading 7"/>
    <w:basedOn w:val="Normal"/>
    <w:next w:val="Normal"/>
    <w:link w:val="Heading7Char"/>
    <w:uiPriority w:val="9"/>
    <w:semiHidden/>
    <w:unhideWhenUsed/>
    <w:qFormat/>
    <w:rsid w:val="00904F23"/>
    <w:pPr>
      <w:keepNext/>
      <w:keepLines/>
      <w:spacing w:before="40"/>
      <w:outlineLvl w:val="6"/>
    </w:pPr>
    <w:rPr>
      <w:rFonts w:asciiTheme="majorHAnsi" w:eastAsiaTheme="majorEastAsia" w:hAnsiTheme="majorHAnsi" w:cstheme="majorBidi"/>
      <w:i/>
      <w:iCs/>
      <w:color w:val="1F3763" w:themeColor="accent1" w:themeShade="7F"/>
      <w:lang w:eastAsia="en-US"/>
    </w:rPr>
  </w:style>
  <w:style w:type="paragraph" w:styleId="Heading8">
    <w:name w:val="heading 8"/>
    <w:basedOn w:val="Normal"/>
    <w:next w:val="Normal"/>
    <w:link w:val="Heading8Char"/>
    <w:uiPriority w:val="9"/>
    <w:semiHidden/>
    <w:unhideWhenUsed/>
    <w:qFormat/>
    <w:rsid w:val="00904F23"/>
    <w:pPr>
      <w:keepNext/>
      <w:keepLines/>
      <w:spacing w:before="40"/>
      <w:outlineLvl w:val="7"/>
    </w:pPr>
    <w:rPr>
      <w:rFonts w:asciiTheme="majorHAnsi" w:eastAsiaTheme="majorEastAsia" w:hAnsiTheme="majorHAnsi" w:cstheme="majorBidi"/>
      <w:color w:val="272727" w:themeColor="text1" w:themeTint="D8"/>
      <w:szCs w:val="21"/>
      <w:lang w:eastAsia="en-US"/>
    </w:rPr>
  </w:style>
  <w:style w:type="paragraph" w:styleId="Heading9">
    <w:name w:val="heading 9"/>
    <w:basedOn w:val="Normal"/>
    <w:next w:val="Normal"/>
    <w:link w:val="Heading9Char"/>
    <w:uiPriority w:val="9"/>
    <w:semiHidden/>
    <w:unhideWhenUsed/>
    <w:qFormat/>
    <w:rsid w:val="00904F23"/>
    <w:pPr>
      <w:keepNext/>
      <w:keepLines/>
      <w:spacing w:before="40"/>
      <w:outlineLvl w:val="8"/>
    </w:pPr>
    <w:rPr>
      <w:rFonts w:asciiTheme="majorHAnsi" w:eastAsiaTheme="majorEastAsia" w:hAnsiTheme="majorHAnsi" w:cstheme="majorBidi"/>
      <w:i/>
      <w:iCs/>
      <w:color w:val="272727" w:themeColor="text1" w:themeTint="D8"/>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autoRedefine/>
    <w:uiPriority w:val="99"/>
    <w:unhideWhenUsed/>
    <w:rsid w:val="007B0D84"/>
    <w:rPr>
      <w:szCs w:val="20"/>
    </w:rPr>
  </w:style>
  <w:style w:type="paragraph" w:styleId="BalloonText">
    <w:name w:val="Balloon Text"/>
    <w:basedOn w:val="Normal"/>
    <w:link w:val="BalloonTextChar"/>
    <w:unhideWhenUsed/>
    <w:rPr>
      <w:rFonts w:ascii="Segoe UI" w:hAnsi="Segoe UI" w:cs="Segoe UI"/>
      <w:sz w:val="18"/>
      <w:szCs w:val="18"/>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nhideWhenUsed/>
    <w:pPr>
      <w:tabs>
        <w:tab w:val="center" w:pos="4513"/>
        <w:tab w:val="right" w:pos="9026"/>
      </w:tabs>
    </w:pPr>
  </w:style>
  <w:style w:type="paragraph" w:styleId="FootnoteText">
    <w:name w:val="footnote text"/>
    <w:basedOn w:val="Normal"/>
    <w:link w:val="FootnoteTextChar"/>
    <w:uiPriority w:val="99"/>
    <w:semiHidden/>
    <w:unhideWhenUsed/>
    <w:pPr>
      <w:snapToGrid w:val="0"/>
    </w:pPr>
    <w:rPr>
      <w:sz w:val="18"/>
      <w:szCs w:val="18"/>
    </w:rPr>
  </w:style>
  <w:style w:type="paragraph" w:styleId="NormalWeb">
    <w:name w:val="Normal (Web)"/>
    <w:basedOn w:val="Normal"/>
    <w:uiPriority w:val="99"/>
    <w:unhideWhenUsed/>
    <w:pPr>
      <w:spacing w:before="100" w:beforeAutospacing="1" w:after="100" w:afterAutospacing="1"/>
    </w:pPr>
    <w:rPr>
      <w:lang w:val="en-US"/>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nhideWhenUsed/>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character" w:styleId="CommentReference">
    <w:name w:val="annotation reference"/>
    <w:basedOn w:val="DefaultParagraphFont"/>
    <w:uiPriority w:val="99"/>
    <w:semiHidden/>
    <w:unhideWhenUsed/>
    <w:rPr>
      <w:sz w:val="16"/>
      <w:szCs w:val="16"/>
    </w:rPr>
  </w:style>
  <w:style w:type="character" w:styleId="FootnoteReference">
    <w:name w:val="footnote reference"/>
    <w:basedOn w:val="DefaultParagraphFont"/>
    <w:uiPriority w:val="99"/>
    <w:semiHidden/>
    <w:unhideWhenUsed/>
    <w:rPr>
      <w:vertAlign w:val="superscript"/>
    </w:rPr>
  </w:style>
  <w:style w:type="character" w:customStyle="1" w:styleId="Heading1Char">
    <w:name w:val="Heading 1 Char"/>
    <w:basedOn w:val="DefaultParagraphFont"/>
    <w:link w:val="Heading1"/>
    <w:uiPriority w:val="9"/>
    <w:rPr>
      <w:b/>
      <w:bCs/>
      <w:kern w:val="44"/>
      <w:sz w:val="44"/>
      <w:szCs w:val="44"/>
      <w:lang w:val="en-GB"/>
    </w:rPr>
  </w:style>
  <w:style w:type="character" w:customStyle="1" w:styleId="Heading2Char">
    <w:name w:val="Heading 2 Char"/>
    <w:basedOn w:val="DefaultParagraphFont"/>
    <w:link w:val="Heading2"/>
    <w:uiPriority w:val="9"/>
    <w:rPr>
      <w:rFonts w:ascii="SimSun" w:eastAsia="SimSun" w:hAnsi="SimSun" w:cs="SimSun"/>
      <w:b/>
      <w:bCs/>
      <w:kern w:val="0"/>
      <w:sz w:val="36"/>
      <w:szCs w:val="36"/>
    </w:rPr>
  </w:style>
  <w:style w:type="character" w:customStyle="1" w:styleId="Heading3Char">
    <w:name w:val="Heading 3 Char"/>
    <w:basedOn w:val="DefaultParagraphFont"/>
    <w:link w:val="Heading3"/>
    <w:rPr>
      <w:rFonts w:ascii="SimSun" w:eastAsia="SimSun" w:hAnsi="SimSun" w:cs="SimSun"/>
      <w:b/>
      <w:bCs/>
      <w:kern w:val="0"/>
      <w:sz w:val="27"/>
      <w:szCs w:val="27"/>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b/>
      <w:bCs/>
      <w:sz w:val="28"/>
      <w:szCs w:val="28"/>
      <w:lang w:val="en-GB"/>
    </w:rPr>
  </w:style>
  <w:style w:type="character" w:customStyle="1" w:styleId="anchor-text">
    <w:name w:val="anchor-text"/>
    <w:basedOn w:val="DefaultParagraphFont"/>
  </w:style>
  <w:style w:type="character" w:customStyle="1" w:styleId="download-link-title">
    <w:name w:val="download-link-title"/>
    <w:basedOn w:val="DefaultParagraphFont"/>
  </w:style>
  <w:style w:type="character" w:customStyle="1" w:styleId="label">
    <w:name w:val="label"/>
    <w:basedOn w:val="DefaultParagraphFont"/>
  </w:style>
  <w:style w:type="character" w:customStyle="1" w:styleId="title-text">
    <w:name w:val="title-text"/>
    <w:basedOn w:val="DefaultParagraphFont"/>
  </w:style>
  <w:style w:type="character" w:customStyle="1" w:styleId="formula">
    <w:name w:val="formula"/>
    <w:basedOn w:val="DefaultParagraphFont"/>
  </w:style>
  <w:style w:type="character" w:customStyle="1" w:styleId="mjxassistivemathml">
    <w:name w:val="mjx_assistive_mathml"/>
    <w:basedOn w:val="DefaultParagraphFont"/>
  </w:style>
  <w:style w:type="character" w:customStyle="1" w:styleId="1">
    <w:name w:val="未处理的提及1"/>
    <w:basedOn w:val="DefaultParagraphFont"/>
    <w:uiPriority w:val="99"/>
    <w:semiHidden/>
    <w:unhideWhenUsed/>
    <w:rPr>
      <w:color w:val="605E5C"/>
      <w:shd w:val="clear" w:color="auto" w:fill="E1DFDD"/>
    </w:rPr>
  </w:style>
  <w:style w:type="character" w:styleId="PlaceholderText">
    <w:name w:val="Placeholder Text"/>
    <w:basedOn w:val="DefaultParagraphFont"/>
    <w:uiPriority w:val="99"/>
    <w:semiHidden/>
    <w:rPr>
      <w:color w:val="808080"/>
    </w:rPr>
  </w:style>
  <w:style w:type="paragraph" w:customStyle="1" w:styleId="xmsonormal">
    <w:name w:val="x_msonormal"/>
    <w:basedOn w:val="Normal"/>
    <w:pPr>
      <w:spacing w:before="100" w:beforeAutospacing="1" w:after="100" w:afterAutospacing="1"/>
    </w:pPr>
    <w:rPr>
      <w:lang w:val="en-US"/>
    </w:rPr>
  </w:style>
  <w:style w:type="character" w:customStyle="1" w:styleId="CommentTextChar">
    <w:name w:val="Comment Text Char"/>
    <w:basedOn w:val="DefaultParagraphFont"/>
    <w:link w:val="CommentText"/>
    <w:uiPriority w:val="99"/>
    <w:rsid w:val="007B0D84"/>
    <w:rPr>
      <w:rFonts w:ascii="Times New Roman" w:eastAsia="SimSun" w:hAnsi="Times New Roman" w:cs="SimSun"/>
      <w:sz w:val="24"/>
      <w:lang w:val="en-GB"/>
    </w:rPr>
  </w:style>
  <w:style w:type="character" w:customStyle="1" w:styleId="FootnoteTextChar">
    <w:name w:val="Footnote Text Char"/>
    <w:basedOn w:val="DefaultParagraphFont"/>
    <w:link w:val="FootnoteText"/>
    <w:uiPriority w:val="99"/>
    <w:semiHidden/>
    <w:rPr>
      <w:sz w:val="18"/>
      <w:szCs w:val="18"/>
      <w:lang w:val="en-GB"/>
    </w:rPr>
  </w:style>
  <w:style w:type="paragraph" w:customStyle="1" w:styleId="10">
    <w:name w:val="修订1"/>
    <w:hidden/>
    <w:uiPriority w:val="99"/>
    <w:semiHidden/>
    <w:rPr>
      <w:kern w:val="2"/>
      <w:sz w:val="21"/>
      <w:szCs w:val="22"/>
      <w:lang w:val="en-GB"/>
    </w:rPr>
  </w:style>
  <w:style w:type="character" w:customStyle="1" w:styleId="HeaderChar">
    <w:name w:val="Header Char"/>
    <w:basedOn w:val="DefaultParagraphFont"/>
    <w:link w:val="Header"/>
    <w:rPr>
      <w:szCs w:val="22"/>
      <w:lang w:val="en-GB"/>
    </w:rPr>
  </w:style>
  <w:style w:type="character" w:customStyle="1" w:styleId="FooterChar">
    <w:name w:val="Footer Char"/>
    <w:basedOn w:val="DefaultParagraphFont"/>
    <w:link w:val="Footer"/>
    <w:uiPriority w:val="99"/>
    <w:rPr>
      <w:szCs w:val="22"/>
      <w:lang w:val="en-GB"/>
    </w:rPr>
  </w:style>
  <w:style w:type="character" w:customStyle="1" w:styleId="CommentSubjectChar">
    <w:name w:val="Comment Subject Char"/>
    <w:basedOn w:val="CommentTextChar"/>
    <w:link w:val="CommentSubject"/>
    <w:uiPriority w:val="99"/>
    <w:semiHidden/>
    <w:rPr>
      <w:rFonts w:ascii="Times New Roman" w:eastAsia="SimSun" w:hAnsi="Times New Roman" w:cs="SimSun"/>
      <w:b/>
      <w:bCs/>
      <w:sz w:val="20"/>
      <w:szCs w:val="20"/>
      <w:lang w:val="en-GB"/>
    </w:rPr>
  </w:style>
  <w:style w:type="character" w:customStyle="1" w:styleId="BalloonTextChar">
    <w:name w:val="Balloon Text Char"/>
    <w:basedOn w:val="DefaultParagraphFont"/>
    <w:link w:val="BalloonText"/>
    <w:rPr>
      <w:rFonts w:ascii="Segoe UI" w:hAnsi="Segoe UI" w:cs="Segoe UI"/>
      <w:sz w:val="18"/>
      <w:szCs w:val="18"/>
      <w:lang w:val="en-GB"/>
    </w:rPr>
  </w:style>
  <w:style w:type="paragraph" w:styleId="ListParagraph">
    <w:name w:val="List Paragraph"/>
    <w:basedOn w:val="Normal"/>
    <w:uiPriority w:val="1"/>
    <w:qFormat/>
    <w:rsid w:val="00904F23"/>
    <w:pPr>
      <w:ind w:left="720"/>
      <w:contextualSpacing/>
    </w:pPr>
    <w:rPr>
      <w:rFonts w:eastAsia="Times New Roman" w:cs="Times New Roman"/>
      <w:lang w:eastAsia="en-US"/>
    </w:rPr>
  </w:style>
  <w:style w:type="character" w:customStyle="1" w:styleId="Heading5Char">
    <w:name w:val="Heading 5 Char"/>
    <w:basedOn w:val="DefaultParagraphFont"/>
    <w:link w:val="Heading5"/>
    <w:uiPriority w:val="9"/>
    <w:semiHidden/>
    <w:rsid w:val="00904F23"/>
    <w:rPr>
      <w:rFonts w:asciiTheme="majorHAnsi" w:eastAsiaTheme="majorEastAsia" w:hAnsiTheme="majorHAnsi" w:cstheme="majorBidi"/>
      <w:color w:val="2F5496" w:themeColor="accent1" w:themeShade="BF"/>
      <w:sz w:val="24"/>
      <w:szCs w:val="24"/>
      <w:lang w:val="en-GB" w:eastAsia="en-US"/>
    </w:rPr>
  </w:style>
  <w:style w:type="character" w:customStyle="1" w:styleId="Heading6Char">
    <w:name w:val="Heading 6 Char"/>
    <w:basedOn w:val="DefaultParagraphFont"/>
    <w:link w:val="Heading6"/>
    <w:uiPriority w:val="9"/>
    <w:semiHidden/>
    <w:rsid w:val="00904F23"/>
    <w:rPr>
      <w:rFonts w:asciiTheme="majorHAnsi" w:eastAsiaTheme="majorEastAsia" w:hAnsiTheme="majorHAnsi" w:cstheme="majorBidi"/>
      <w:color w:val="1F3763" w:themeColor="accent1" w:themeShade="7F"/>
      <w:sz w:val="24"/>
      <w:szCs w:val="24"/>
      <w:lang w:val="en-GB" w:eastAsia="en-US"/>
    </w:rPr>
  </w:style>
  <w:style w:type="character" w:customStyle="1" w:styleId="Heading7Char">
    <w:name w:val="Heading 7 Char"/>
    <w:basedOn w:val="DefaultParagraphFont"/>
    <w:link w:val="Heading7"/>
    <w:uiPriority w:val="9"/>
    <w:semiHidden/>
    <w:rsid w:val="00904F23"/>
    <w:rPr>
      <w:rFonts w:asciiTheme="majorHAnsi" w:eastAsiaTheme="majorEastAsia" w:hAnsiTheme="majorHAnsi" w:cstheme="majorBidi"/>
      <w:i/>
      <w:iCs/>
      <w:color w:val="1F3763" w:themeColor="accent1" w:themeShade="7F"/>
      <w:sz w:val="24"/>
      <w:szCs w:val="24"/>
      <w:lang w:val="en-GB" w:eastAsia="en-US"/>
    </w:rPr>
  </w:style>
  <w:style w:type="character" w:customStyle="1" w:styleId="Heading8Char">
    <w:name w:val="Heading 8 Char"/>
    <w:basedOn w:val="DefaultParagraphFont"/>
    <w:link w:val="Heading8"/>
    <w:uiPriority w:val="9"/>
    <w:semiHidden/>
    <w:rsid w:val="00904F23"/>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uiPriority w:val="9"/>
    <w:semiHidden/>
    <w:rsid w:val="00904F23"/>
    <w:rPr>
      <w:rFonts w:asciiTheme="majorHAnsi" w:eastAsiaTheme="majorEastAsia" w:hAnsiTheme="majorHAnsi" w:cstheme="majorBidi"/>
      <w:i/>
      <w:iCs/>
      <w:color w:val="272727" w:themeColor="text1" w:themeTint="D8"/>
      <w:sz w:val="21"/>
      <w:szCs w:val="21"/>
      <w:lang w:val="en-GB" w:eastAsia="en-US"/>
    </w:rPr>
  </w:style>
  <w:style w:type="paragraph" w:styleId="TOCHeading">
    <w:name w:val="TOC Heading"/>
    <w:basedOn w:val="Heading1"/>
    <w:next w:val="Normal"/>
    <w:uiPriority w:val="39"/>
    <w:unhideWhenUsed/>
    <w:qFormat/>
    <w:rsid w:val="00904F23"/>
    <w:pPr>
      <w:spacing w:before="480" w:after="0" w:line="276" w:lineRule="auto"/>
      <w:outlineLvl w:val="9"/>
    </w:pPr>
    <w:rPr>
      <w:rFonts w:asciiTheme="majorHAnsi" w:eastAsiaTheme="majorEastAsia" w:hAnsiTheme="majorHAnsi" w:cstheme="majorBidi"/>
      <w:color w:val="2F5496" w:themeColor="accent1" w:themeShade="BF"/>
      <w:kern w:val="0"/>
      <w:sz w:val="28"/>
      <w:szCs w:val="28"/>
      <w:lang w:val="en-US" w:eastAsia="en-US"/>
    </w:rPr>
  </w:style>
  <w:style w:type="paragraph" w:styleId="TOC1">
    <w:name w:val="toc 1"/>
    <w:basedOn w:val="Normal"/>
    <w:next w:val="Normal"/>
    <w:autoRedefine/>
    <w:uiPriority w:val="39"/>
    <w:unhideWhenUsed/>
    <w:rsid w:val="00262E9E"/>
    <w:pPr>
      <w:tabs>
        <w:tab w:val="right" w:leader="dot" w:pos="8296"/>
      </w:tabs>
      <w:spacing w:before="120" w:line="240" w:lineRule="exact"/>
    </w:pPr>
    <w:rPr>
      <w:rFonts w:ascii="Helvetica" w:eastAsiaTheme="minorHAnsi" w:hAnsi="Helvetica" w:cstheme="majorHAnsi"/>
      <w:b/>
      <w:bCs/>
      <w:noProof/>
      <w:sz w:val="22"/>
    </w:rPr>
  </w:style>
  <w:style w:type="paragraph" w:styleId="TOC2">
    <w:name w:val="toc 2"/>
    <w:basedOn w:val="Normal"/>
    <w:next w:val="Normal"/>
    <w:autoRedefine/>
    <w:uiPriority w:val="39"/>
    <w:unhideWhenUsed/>
    <w:rsid w:val="009179E7"/>
    <w:pPr>
      <w:tabs>
        <w:tab w:val="left" w:pos="840"/>
        <w:tab w:val="right" w:leader="dot" w:pos="8296"/>
      </w:tabs>
      <w:spacing w:before="120" w:line="240" w:lineRule="exact"/>
      <w:ind w:left="210"/>
    </w:pPr>
    <w:rPr>
      <w:rFonts w:eastAsiaTheme="minorHAnsi"/>
      <w:b/>
      <w:bCs/>
      <w:sz w:val="22"/>
    </w:rPr>
  </w:style>
  <w:style w:type="paragraph" w:styleId="TOC3">
    <w:name w:val="toc 3"/>
    <w:basedOn w:val="Normal"/>
    <w:next w:val="Normal"/>
    <w:autoRedefine/>
    <w:uiPriority w:val="39"/>
    <w:unhideWhenUsed/>
    <w:rsid w:val="00162506"/>
    <w:pPr>
      <w:ind w:left="420"/>
    </w:pPr>
    <w:rPr>
      <w:rFonts w:eastAsiaTheme="minorHAnsi"/>
      <w:sz w:val="20"/>
      <w:szCs w:val="20"/>
    </w:rPr>
  </w:style>
  <w:style w:type="paragraph" w:styleId="TOC4">
    <w:name w:val="toc 4"/>
    <w:basedOn w:val="Normal"/>
    <w:next w:val="Normal"/>
    <w:autoRedefine/>
    <w:uiPriority w:val="39"/>
    <w:semiHidden/>
    <w:unhideWhenUsed/>
    <w:rsid w:val="00162506"/>
    <w:pPr>
      <w:ind w:left="630"/>
    </w:pPr>
    <w:rPr>
      <w:rFonts w:eastAsiaTheme="minorHAnsi"/>
      <w:sz w:val="20"/>
      <w:szCs w:val="20"/>
    </w:rPr>
  </w:style>
  <w:style w:type="paragraph" w:styleId="TOC5">
    <w:name w:val="toc 5"/>
    <w:basedOn w:val="Normal"/>
    <w:next w:val="Normal"/>
    <w:autoRedefine/>
    <w:uiPriority w:val="39"/>
    <w:semiHidden/>
    <w:unhideWhenUsed/>
    <w:rsid w:val="00162506"/>
    <w:pPr>
      <w:ind w:left="840"/>
    </w:pPr>
    <w:rPr>
      <w:rFonts w:eastAsiaTheme="minorHAnsi"/>
      <w:sz w:val="20"/>
      <w:szCs w:val="20"/>
    </w:rPr>
  </w:style>
  <w:style w:type="paragraph" w:styleId="TOC6">
    <w:name w:val="toc 6"/>
    <w:basedOn w:val="Normal"/>
    <w:next w:val="Normal"/>
    <w:autoRedefine/>
    <w:uiPriority w:val="39"/>
    <w:semiHidden/>
    <w:unhideWhenUsed/>
    <w:rsid w:val="00162506"/>
    <w:pPr>
      <w:ind w:left="1050"/>
    </w:pPr>
    <w:rPr>
      <w:rFonts w:eastAsiaTheme="minorHAnsi"/>
      <w:sz w:val="20"/>
      <w:szCs w:val="20"/>
    </w:rPr>
  </w:style>
  <w:style w:type="paragraph" w:styleId="TOC7">
    <w:name w:val="toc 7"/>
    <w:basedOn w:val="Normal"/>
    <w:next w:val="Normal"/>
    <w:autoRedefine/>
    <w:uiPriority w:val="39"/>
    <w:semiHidden/>
    <w:unhideWhenUsed/>
    <w:rsid w:val="00162506"/>
    <w:pPr>
      <w:ind w:left="1260"/>
    </w:pPr>
    <w:rPr>
      <w:rFonts w:eastAsiaTheme="minorHAnsi"/>
      <w:sz w:val="20"/>
      <w:szCs w:val="20"/>
    </w:rPr>
  </w:style>
  <w:style w:type="paragraph" w:styleId="TOC8">
    <w:name w:val="toc 8"/>
    <w:basedOn w:val="Normal"/>
    <w:next w:val="Normal"/>
    <w:autoRedefine/>
    <w:uiPriority w:val="39"/>
    <w:semiHidden/>
    <w:unhideWhenUsed/>
    <w:rsid w:val="00162506"/>
    <w:pPr>
      <w:ind w:left="1470"/>
    </w:pPr>
    <w:rPr>
      <w:rFonts w:eastAsiaTheme="minorHAnsi"/>
      <w:sz w:val="20"/>
      <w:szCs w:val="20"/>
    </w:rPr>
  </w:style>
  <w:style w:type="paragraph" w:styleId="TOC9">
    <w:name w:val="toc 9"/>
    <w:basedOn w:val="Normal"/>
    <w:next w:val="Normal"/>
    <w:autoRedefine/>
    <w:uiPriority w:val="39"/>
    <w:semiHidden/>
    <w:unhideWhenUsed/>
    <w:rsid w:val="00162506"/>
    <w:pPr>
      <w:ind w:left="1680"/>
    </w:pPr>
    <w:rPr>
      <w:rFonts w:eastAsiaTheme="minorHAnsi"/>
      <w:sz w:val="20"/>
      <w:szCs w:val="20"/>
    </w:rPr>
  </w:style>
  <w:style w:type="paragraph" w:styleId="TableofFigures">
    <w:name w:val="table of figures"/>
    <w:basedOn w:val="Normal"/>
    <w:next w:val="Normal"/>
    <w:uiPriority w:val="99"/>
    <w:unhideWhenUsed/>
    <w:rsid w:val="00203C3C"/>
    <w:rPr>
      <w:rFonts w:eastAsia="Times New Roman" w:cs="Times New Roman"/>
      <w:lang w:eastAsia="en-US"/>
    </w:rPr>
  </w:style>
  <w:style w:type="paragraph" w:styleId="Caption">
    <w:name w:val="caption"/>
    <w:basedOn w:val="Normal"/>
    <w:next w:val="Normal"/>
    <w:uiPriority w:val="35"/>
    <w:unhideWhenUsed/>
    <w:qFormat/>
    <w:rsid w:val="00A039A3"/>
    <w:rPr>
      <w:rFonts w:asciiTheme="majorHAnsi" w:eastAsia="SimHei" w:hAnsiTheme="majorHAnsi" w:cstheme="majorBidi"/>
      <w:sz w:val="20"/>
      <w:szCs w:val="20"/>
    </w:rPr>
  </w:style>
  <w:style w:type="paragraph" w:styleId="BodyText">
    <w:name w:val="Body Text"/>
    <w:basedOn w:val="Normal"/>
    <w:link w:val="BodyTextChar"/>
    <w:uiPriority w:val="1"/>
    <w:qFormat/>
    <w:rsid w:val="00CE6D3C"/>
    <w:pPr>
      <w:autoSpaceDE w:val="0"/>
      <w:autoSpaceDN w:val="0"/>
    </w:pPr>
    <w:rPr>
      <w:rFonts w:eastAsia="Times New Roman" w:cs="Times New Roman"/>
      <w:lang w:val="en-US" w:eastAsia="en-US"/>
    </w:rPr>
  </w:style>
  <w:style w:type="character" w:customStyle="1" w:styleId="BodyTextChar">
    <w:name w:val="Body Text Char"/>
    <w:basedOn w:val="DefaultParagraphFont"/>
    <w:link w:val="BodyText"/>
    <w:uiPriority w:val="1"/>
    <w:rsid w:val="00CE6D3C"/>
    <w:rPr>
      <w:rFonts w:ascii="Times New Roman" w:eastAsia="Times New Roman" w:hAnsi="Times New Roman" w:cs="Times New Roman"/>
      <w:sz w:val="24"/>
      <w:szCs w:val="24"/>
      <w:lang w:eastAsia="en-US"/>
    </w:rPr>
  </w:style>
  <w:style w:type="table" w:customStyle="1" w:styleId="TableNormal1">
    <w:name w:val="Table Normal1"/>
    <w:uiPriority w:val="2"/>
    <w:semiHidden/>
    <w:unhideWhenUsed/>
    <w:qFormat/>
    <w:rsid w:val="00CE19B0"/>
    <w:pPr>
      <w:widowControl w:val="0"/>
      <w:autoSpaceDE w:val="0"/>
      <w:autoSpaceDN w:val="0"/>
    </w:pPr>
    <w:rPr>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E19B0"/>
    <w:pPr>
      <w:autoSpaceDE w:val="0"/>
      <w:autoSpaceDN w:val="0"/>
      <w:spacing w:before="1"/>
    </w:pPr>
    <w:rPr>
      <w:rFonts w:eastAsia="Times New Roman" w:cs="Times New Roman"/>
      <w:sz w:val="22"/>
      <w:lang w:val="en-US" w:eastAsia="en-US"/>
    </w:rPr>
  </w:style>
  <w:style w:type="paragraph" w:styleId="DocumentMap">
    <w:name w:val="Document Map"/>
    <w:basedOn w:val="Normal"/>
    <w:link w:val="DocumentMapChar"/>
    <w:semiHidden/>
    <w:rsid w:val="00D34063"/>
    <w:pPr>
      <w:shd w:val="clear" w:color="auto" w:fill="000080"/>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D34063"/>
    <w:rPr>
      <w:rFonts w:ascii="Tahoma" w:eastAsia="Times New Roman" w:hAnsi="Tahoma" w:cs="Tahoma"/>
      <w:shd w:val="clear" w:color="auto" w:fill="000080"/>
      <w:lang w:val="en-GB" w:eastAsia="en-GB"/>
    </w:rPr>
  </w:style>
  <w:style w:type="paragraph" w:customStyle="1" w:styleId="Normal1">
    <w:name w:val="Normal1"/>
    <w:basedOn w:val="Normal"/>
    <w:rsid w:val="00D34063"/>
    <w:pPr>
      <w:spacing w:before="100" w:beforeAutospacing="1" w:after="100" w:afterAutospacing="1"/>
    </w:pPr>
    <w:rPr>
      <w:rFonts w:eastAsia="Times New Roman" w:cs="Times New Roman"/>
      <w:lang w:eastAsia="en-GB"/>
    </w:rPr>
  </w:style>
  <w:style w:type="character" w:customStyle="1" w:styleId="UnresolvedMention1">
    <w:name w:val="Unresolved Mention1"/>
    <w:basedOn w:val="DefaultParagraphFont"/>
    <w:uiPriority w:val="99"/>
    <w:semiHidden/>
    <w:unhideWhenUsed/>
    <w:rsid w:val="00D34063"/>
    <w:rPr>
      <w:color w:val="605E5C"/>
      <w:shd w:val="clear" w:color="auto" w:fill="E1DFDD"/>
    </w:rPr>
  </w:style>
  <w:style w:type="paragraph" w:styleId="Revision">
    <w:name w:val="Revision"/>
    <w:hidden/>
    <w:uiPriority w:val="99"/>
    <w:semiHidden/>
    <w:rsid w:val="00314FDA"/>
    <w:rPr>
      <w:kern w:val="2"/>
      <w:sz w:val="21"/>
      <w:szCs w:val="22"/>
      <w:lang w:val="en-GB"/>
    </w:rPr>
  </w:style>
  <w:style w:type="character" w:customStyle="1" w:styleId="mi">
    <w:name w:val="mi"/>
    <w:basedOn w:val="DefaultParagraphFont"/>
    <w:rsid w:val="00CB2221"/>
  </w:style>
  <w:style w:type="character" w:customStyle="1" w:styleId="mo">
    <w:name w:val="mo"/>
    <w:basedOn w:val="DefaultParagraphFont"/>
    <w:rsid w:val="00CB2221"/>
  </w:style>
  <w:style w:type="character" w:customStyle="1" w:styleId="mn">
    <w:name w:val="mn"/>
    <w:basedOn w:val="DefaultParagraphFont"/>
    <w:rsid w:val="00CB2221"/>
  </w:style>
  <w:style w:type="character" w:styleId="PageNumber">
    <w:name w:val="page number"/>
    <w:basedOn w:val="DefaultParagraphFont"/>
    <w:uiPriority w:val="99"/>
    <w:semiHidden/>
    <w:unhideWhenUsed/>
    <w:rsid w:val="00130D49"/>
  </w:style>
  <w:style w:type="character" w:styleId="LineNumber">
    <w:name w:val="line number"/>
    <w:basedOn w:val="DefaultParagraphFont"/>
    <w:uiPriority w:val="99"/>
    <w:semiHidden/>
    <w:unhideWhenUsed/>
    <w:rsid w:val="00104A87"/>
  </w:style>
  <w:style w:type="paragraph" w:customStyle="1" w:styleId="Default">
    <w:name w:val="Default"/>
    <w:rsid w:val="00C924F2"/>
    <w:pPr>
      <w:widowControl w:val="0"/>
      <w:autoSpaceDE w:val="0"/>
      <w:autoSpaceDN w:val="0"/>
      <w:adjustRightInd w:val="0"/>
    </w:pPr>
    <w:rPr>
      <w:rFonts w:ascii="Times New Roman" w:hAnsi="Times New Roman" w:cs="Times New Roman"/>
      <w:color w:val="000000"/>
      <w:sz w:val="24"/>
      <w:szCs w:val="24"/>
    </w:rPr>
  </w:style>
  <w:style w:type="character" w:customStyle="1" w:styleId="reference-citation-wrapper">
    <w:name w:val="reference-citation-wrapper"/>
    <w:basedOn w:val="DefaultParagraphFont"/>
    <w:rsid w:val="00EE56D4"/>
  </w:style>
  <w:style w:type="character" w:customStyle="1" w:styleId="optinsert">
    <w:name w:val="optinsert"/>
    <w:basedOn w:val="DefaultParagraphFont"/>
    <w:rsid w:val="00EE56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910951">
      <w:bodyDiv w:val="1"/>
      <w:marLeft w:val="0"/>
      <w:marRight w:val="0"/>
      <w:marTop w:val="0"/>
      <w:marBottom w:val="0"/>
      <w:divBdr>
        <w:top w:val="none" w:sz="0" w:space="0" w:color="auto"/>
        <w:left w:val="none" w:sz="0" w:space="0" w:color="auto"/>
        <w:bottom w:val="none" w:sz="0" w:space="0" w:color="auto"/>
        <w:right w:val="none" w:sz="0" w:space="0" w:color="auto"/>
      </w:divBdr>
    </w:div>
    <w:div w:id="515924048">
      <w:bodyDiv w:val="1"/>
      <w:marLeft w:val="0"/>
      <w:marRight w:val="0"/>
      <w:marTop w:val="0"/>
      <w:marBottom w:val="0"/>
      <w:divBdr>
        <w:top w:val="none" w:sz="0" w:space="0" w:color="auto"/>
        <w:left w:val="none" w:sz="0" w:space="0" w:color="auto"/>
        <w:bottom w:val="none" w:sz="0" w:space="0" w:color="auto"/>
        <w:right w:val="none" w:sz="0" w:space="0" w:color="auto"/>
      </w:divBdr>
    </w:div>
    <w:div w:id="648287621">
      <w:bodyDiv w:val="1"/>
      <w:marLeft w:val="0"/>
      <w:marRight w:val="0"/>
      <w:marTop w:val="0"/>
      <w:marBottom w:val="0"/>
      <w:divBdr>
        <w:top w:val="none" w:sz="0" w:space="0" w:color="auto"/>
        <w:left w:val="none" w:sz="0" w:space="0" w:color="auto"/>
        <w:bottom w:val="none" w:sz="0" w:space="0" w:color="auto"/>
        <w:right w:val="none" w:sz="0" w:space="0" w:color="auto"/>
      </w:divBdr>
    </w:div>
    <w:div w:id="761686583">
      <w:bodyDiv w:val="1"/>
      <w:marLeft w:val="0"/>
      <w:marRight w:val="0"/>
      <w:marTop w:val="0"/>
      <w:marBottom w:val="0"/>
      <w:divBdr>
        <w:top w:val="none" w:sz="0" w:space="0" w:color="auto"/>
        <w:left w:val="none" w:sz="0" w:space="0" w:color="auto"/>
        <w:bottom w:val="none" w:sz="0" w:space="0" w:color="auto"/>
        <w:right w:val="none" w:sz="0" w:space="0" w:color="auto"/>
      </w:divBdr>
    </w:div>
    <w:div w:id="1016809147">
      <w:bodyDiv w:val="1"/>
      <w:marLeft w:val="0"/>
      <w:marRight w:val="0"/>
      <w:marTop w:val="0"/>
      <w:marBottom w:val="0"/>
      <w:divBdr>
        <w:top w:val="none" w:sz="0" w:space="0" w:color="auto"/>
        <w:left w:val="none" w:sz="0" w:space="0" w:color="auto"/>
        <w:bottom w:val="none" w:sz="0" w:space="0" w:color="auto"/>
        <w:right w:val="none" w:sz="0" w:space="0" w:color="auto"/>
      </w:divBdr>
    </w:div>
    <w:div w:id="1183321539">
      <w:bodyDiv w:val="1"/>
      <w:marLeft w:val="0"/>
      <w:marRight w:val="0"/>
      <w:marTop w:val="0"/>
      <w:marBottom w:val="0"/>
      <w:divBdr>
        <w:top w:val="none" w:sz="0" w:space="0" w:color="auto"/>
        <w:left w:val="none" w:sz="0" w:space="0" w:color="auto"/>
        <w:bottom w:val="none" w:sz="0" w:space="0" w:color="auto"/>
        <w:right w:val="none" w:sz="0" w:space="0" w:color="auto"/>
      </w:divBdr>
    </w:div>
    <w:div w:id="1256745167">
      <w:bodyDiv w:val="1"/>
      <w:marLeft w:val="0"/>
      <w:marRight w:val="0"/>
      <w:marTop w:val="0"/>
      <w:marBottom w:val="0"/>
      <w:divBdr>
        <w:top w:val="none" w:sz="0" w:space="0" w:color="auto"/>
        <w:left w:val="none" w:sz="0" w:space="0" w:color="auto"/>
        <w:bottom w:val="none" w:sz="0" w:space="0" w:color="auto"/>
        <w:right w:val="none" w:sz="0" w:space="0" w:color="auto"/>
      </w:divBdr>
    </w:div>
    <w:div w:id="1521313946">
      <w:bodyDiv w:val="1"/>
      <w:marLeft w:val="0"/>
      <w:marRight w:val="0"/>
      <w:marTop w:val="0"/>
      <w:marBottom w:val="0"/>
      <w:divBdr>
        <w:top w:val="none" w:sz="0" w:space="0" w:color="auto"/>
        <w:left w:val="none" w:sz="0" w:space="0" w:color="auto"/>
        <w:bottom w:val="none" w:sz="0" w:space="0" w:color="auto"/>
        <w:right w:val="none" w:sz="0" w:space="0" w:color="auto"/>
      </w:divBdr>
    </w:div>
    <w:div w:id="1785224389">
      <w:bodyDiv w:val="1"/>
      <w:marLeft w:val="0"/>
      <w:marRight w:val="0"/>
      <w:marTop w:val="0"/>
      <w:marBottom w:val="0"/>
      <w:divBdr>
        <w:top w:val="none" w:sz="0" w:space="0" w:color="auto"/>
        <w:left w:val="none" w:sz="0" w:space="0" w:color="auto"/>
        <w:bottom w:val="none" w:sz="0" w:space="0" w:color="auto"/>
        <w:right w:val="none" w:sz="0" w:space="0" w:color="auto"/>
      </w:divBdr>
    </w:div>
    <w:div w:id="1903322290">
      <w:bodyDiv w:val="1"/>
      <w:marLeft w:val="0"/>
      <w:marRight w:val="0"/>
      <w:marTop w:val="0"/>
      <w:marBottom w:val="0"/>
      <w:divBdr>
        <w:top w:val="none" w:sz="0" w:space="0" w:color="auto"/>
        <w:left w:val="none" w:sz="0" w:space="0" w:color="auto"/>
        <w:bottom w:val="none" w:sz="0" w:space="0" w:color="auto"/>
        <w:right w:val="none" w:sz="0" w:space="0" w:color="auto"/>
      </w:divBdr>
    </w:div>
    <w:div w:id="1959753752">
      <w:bodyDiv w:val="1"/>
      <w:marLeft w:val="0"/>
      <w:marRight w:val="0"/>
      <w:marTop w:val="0"/>
      <w:marBottom w:val="0"/>
      <w:divBdr>
        <w:top w:val="none" w:sz="0" w:space="0" w:color="auto"/>
        <w:left w:val="none" w:sz="0" w:space="0" w:color="auto"/>
        <w:bottom w:val="none" w:sz="0" w:space="0" w:color="auto"/>
        <w:right w:val="none" w:sz="0" w:space="0" w:color="auto"/>
      </w:divBdr>
      <w:divsChild>
        <w:div w:id="1930187144">
          <w:marLeft w:val="0"/>
          <w:marRight w:val="0"/>
          <w:marTop w:val="0"/>
          <w:marBottom w:val="360"/>
          <w:divBdr>
            <w:top w:val="none" w:sz="0" w:space="0" w:color="auto"/>
            <w:left w:val="none" w:sz="0" w:space="0" w:color="auto"/>
            <w:bottom w:val="none" w:sz="0" w:space="0" w:color="auto"/>
            <w:right w:val="none" w:sz="0" w:space="0" w:color="auto"/>
          </w:divBdr>
        </w:div>
        <w:div w:id="1662002925">
          <w:marLeft w:val="0"/>
          <w:marRight w:val="0"/>
          <w:marTop w:val="0"/>
          <w:marBottom w:val="3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9430D41-9BC4-4127-8FDC-1EA3AC0E12D0}">
  <we:reference id="wa104382081" version="1.35.0.0" store="zh-CN" storeType="OMEX"/>
  <we:alternateReferences>
    <we:reference id="wa104382081" version="1.35.0.0" store="zh-CN"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文档" ma:contentTypeID="0x010100FE01CD51C155054EB2AAA87ABBD1E73E" ma:contentTypeVersion="9" ma:contentTypeDescription="新建文档。" ma:contentTypeScope="" ma:versionID="338c53ac2bb0fc3be6cc892d00fa2d02">
  <xsd:schema xmlns:xsd="http://www.w3.org/2001/XMLSchema" xmlns:xs="http://www.w3.org/2001/XMLSchema" xmlns:p="http://schemas.microsoft.com/office/2006/metadata/properties" xmlns:ns2="8579675a-db00-48cf-92fd-51d98d1fc407" targetNamespace="http://schemas.microsoft.com/office/2006/metadata/properties" ma:root="true" ma:fieldsID="32440ee4f90d394211c88b3767d4172e" ns2:_="">
    <xsd:import namespace="8579675a-db00-48cf-92fd-51d98d1fc40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79675a-db00-48cf-92fd-51d98d1fc4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2AF02D-EB41-45FC-8CFC-0316BF229CD0}">
  <ds:schemaRefs>
    <ds:schemaRef ds:uri="http://schemas.openxmlformats.org/officeDocument/2006/bibliography"/>
  </ds:schemaRefs>
</ds:datastoreItem>
</file>

<file path=customXml/itemProps2.xml><?xml version="1.0" encoding="utf-8"?>
<ds:datastoreItem xmlns:ds="http://schemas.openxmlformats.org/officeDocument/2006/customXml" ds:itemID="{06EC9C9D-A25E-4166-9005-25FB9BDC7CA4}">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314D87B-1428-4773-B8C9-62DBC1D4422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76D1278-A308-4A2F-83BF-F3FDA48CA6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79675a-db00-48cf-92fd-51d98d1fc4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1</Pages>
  <Words>55340</Words>
  <Characters>315438</Characters>
  <Application>Microsoft Office Word</Application>
  <DocSecurity>0</DocSecurity>
  <Lines>2628</Lines>
  <Paragraphs>740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Mengqiu Cao</dc:creator>
  <cp:lastModifiedBy>Mengqiu Cao</cp:lastModifiedBy>
  <cp:revision>52</cp:revision>
  <cp:lastPrinted>2022-05-28T15:51:00Z</cp:lastPrinted>
  <dcterms:created xsi:type="dcterms:W3CDTF">2022-04-17T02:16:00Z</dcterms:created>
  <dcterms:modified xsi:type="dcterms:W3CDTF">2022-05-28T15:51:00Z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http://www.zotero.org/styles/harvard1</vt:lpwstr>
  </property>
  <property fmtid="{D5CDD505-2E9C-101B-9397-08002B2CF9AE}" pid="11" name="Mendeley Recent Style Id 7_1">
    <vt:lpwstr>http://www.zotero.org/styles/ieee</vt:lpwstr>
  </property>
  <property fmtid="{D5CDD505-2E9C-101B-9397-08002B2CF9AE}" pid="12" name="Mendeley Recent Style Id 8_1">
    <vt:lpwstr>http://www.zotero.org/styles/modern-humanities-research-association</vt:lpwstr>
  </property>
  <property fmtid="{D5CDD505-2E9C-101B-9397-08002B2CF9AE}" pid="13" name="Mendeley Recent Style Id 9_1">
    <vt:lpwstr>http://www.zotero.org/styles/modern-language-association</vt:lpwstr>
  </property>
  <property fmtid="{D5CDD505-2E9C-101B-9397-08002B2CF9AE}" pid="14" name="Mendeley Recent Style Name 0_1">
    <vt:lpwstr>American Medical Association 11th edition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7th edition</vt:lpwstr>
  </property>
  <property fmtid="{D5CDD505-2E9C-101B-9397-08002B2CF9AE}" pid="17" name="Mendeley Recent Style Name 3_1">
    <vt:lpwstr>American Sociological Association 6th edition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Harvard reference format 1 (deprecated)</vt:lpwstr>
  </property>
  <property fmtid="{D5CDD505-2E9C-101B-9397-08002B2CF9AE}" pid="21" name="Mendeley Recent Style Name 7_1">
    <vt:lpwstr>IEEE</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Name 9_1">
    <vt:lpwstr>Modern Language Association 8th edition</vt:lpwstr>
  </property>
  <property fmtid="{D5CDD505-2E9C-101B-9397-08002B2CF9AE}" pid="24" name="Mendeley Unique User Id_1">
    <vt:lpwstr>799d2d02-02ea-395a-9141-3555891f7791</vt:lpwstr>
  </property>
  <property fmtid="{D5CDD505-2E9C-101B-9397-08002B2CF9AE}" pid="25" name="ContentTypeId">
    <vt:lpwstr>0x010100FE01CD51C155054EB2AAA87ABBD1E73E</vt:lpwstr>
  </property>
  <property fmtid="{D5CDD505-2E9C-101B-9397-08002B2CF9AE}" pid="26" name="KSOProductBuildVer">
    <vt:lpwstr>2052-11.1.0.10667</vt:lpwstr>
  </property>
  <property fmtid="{D5CDD505-2E9C-101B-9397-08002B2CF9AE}" pid="27" name="ICV">
    <vt:lpwstr>1C2E9DFDF9614E8CA8987EB2DAE5AC99</vt:lpwstr>
  </property>
</Properties>
</file>