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A9FE" w14:textId="77777777" w:rsidR="00C46059" w:rsidRPr="00C46059" w:rsidRDefault="00C46059" w:rsidP="00C46059">
      <w:pPr>
        <w:spacing w:line="276" w:lineRule="auto"/>
        <w:jc w:val="center"/>
        <w:rPr>
          <w:b/>
          <w:bCs/>
          <w:sz w:val="28"/>
          <w:szCs w:val="21"/>
          <w:lang w:val="en-GB"/>
        </w:rPr>
      </w:pPr>
      <w:bookmarkStart w:id="0" w:name="_Hlk116242125"/>
      <w:r w:rsidRPr="00C46059">
        <w:rPr>
          <w:b/>
          <w:bCs/>
          <w:sz w:val="28"/>
          <w:szCs w:val="21"/>
          <w:lang w:val="en-GB"/>
        </w:rPr>
        <w:t>Examining the relationship between CEO power and modern slavery disclosures: The moderating role of board gender diversity in UK companies</w:t>
      </w:r>
    </w:p>
    <w:p w14:paraId="47845140" w14:textId="77777777" w:rsidR="00C46059" w:rsidRPr="00C46059" w:rsidRDefault="00C46059" w:rsidP="00C46059">
      <w:pPr>
        <w:spacing w:line="240" w:lineRule="auto"/>
        <w:rPr>
          <w:sz w:val="22"/>
          <w:szCs w:val="22"/>
          <w:lang w:val="en-GB"/>
        </w:rPr>
      </w:pPr>
    </w:p>
    <w:p w14:paraId="20EB59A9" w14:textId="77777777" w:rsidR="00C46059" w:rsidRDefault="00C46059" w:rsidP="00C46059">
      <w:pPr>
        <w:spacing w:line="240" w:lineRule="auto"/>
        <w:rPr>
          <w:szCs w:val="24"/>
        </w:rPr>
      </w:pPr>
    </w:p>
    <w:p w14:paraId="3C049145" w14:textId="77777777" w:rsidR="00A11283" w:rsidRDefault="00A11283" w:rsidP="00C46059">
      <w:pPr>
        <w:spacing w:line="240" w:lineRule="auto"/>
        <w:rPr>
          <w:szCs w:val="24"/>
        </w:rPr>
      </w:pPr>
    </w:p>
    <w:p w14:paraId="150E0596" w14:textId="77777777" w:rsidR="00C46059" w:rsidRPr="00EF5907" w:rsidRDefault="00C46059" w:rsidP="00C46059">
      <w:pPr>
        <w:spacing w:line="240" w:lineRule="auto"/>
        <w:jc w:val="center"/>
        <w:rPr>
          <w:rFonts w:eastAsia="Calibri"/>
          <w:b/>
          <w:szCs w:val="24"/>
        </w:rPr>
      </w:pPr>
      <w:r w:rsidRPr="00EF5907">
        <w:rPr>
          <w:rFonts w:eastAsia="Calibri"/>
          <w:b/>
          <w:szCs w:val="24"/>
        </w:rPr>
        <w:t>Amir Allam, Ph.D.</w:t>
      </w:r>
    </w:p>
    <w:p w14:paraId="1ED60080" w14:textId="77777777" w:rsidR="00C46059" w:rsidRDefault="00C46059" w:rsidP="00C46059">
      <w:pPr>
        <w:spacing w:line="240" w:lineRule="auto"/>
        <w:jc w:val="center"/>
        <w:rPr>
          <w:rFonts w:eastAsia="Calibri"/>
          <w:szCs w:val="24"/>
        </w:rPr>
      </w:pPr>
      <w:bookmarkStart w:id="1" w:name="_Hlk74654571"/>
      <w:r w:rsidRPr="00C46059">
        <w:rPr>
          <w:rFonts w:eastAsia="Calibri"/>
          <w:szCs w:val="24"/>
        </w:rPr>
        <w:t xml:space="preserve">Aston University, </w:t>
      </w:r>
    </w:p>
    <w:p w14:paraId="0EFB2566" w14:textId="77777777" w:rsidR="00C46059" w:rsidRDefault="00C46059" w:rsidP="00C46059">
      <w:pPr>
        <w:spacing w:line="240" w:lineRule="auto"/>
        <w:jc w:val="center"/>
        <w:rPr>
          <w:rFonts w:eastAsia="Calibri"/>
          <w:szCs w:val="24"/>
        </w:rPr>
      </w:pPr>
      <w:r w:rsidRPr="00C46059">
        <w:rPr>
          <w:rFonts w:eastAsia="Calibri"/>
          <w:szCs w:val="24"/>
        </w:rPr>
        <w:t xml:space="preserve">Aston Business School, </w:t>
      </w:r>
      <w:bookmarkEnd w:id="1"/>
      <w:r>
        <w:rPr>
          <w:rFonts w:eastAsia="Calibri"/>
          <w:szCs w:val="24"/>
        </w:rPr>
        <w:t>UK</w:t>
      </w:r>
    </w:p>
    <w:p w14:paraId="4908EE27" w14:textId="49043CA8" w:rsidR="00C46059" w:rsidRDefault="00C46059" w:rsidP="00C46059">
      <w:pPr>
        <w:spacing w:line="240" w:lineRule="auto"/>
        <w:jc w:val="center"/>
      </w:pPr>
      <w:r w:rsidRPr="00EF5907">
        <w:rPr>
          <w:rFonts w:eastAsia="Calibri"/>
          <w:szCs w:val="24"/>
        </w:rPr>
        <w:t xml:space="preserve">Email: </w:t>
      </w:r>
      <w:hyperlink r:id="rId8" w:history="1">
        <w:r w:rsidRPr="00A81D22">
          <w:rPr>
            <w:rStyle w:val="Hyperlink"/>
          </w:rPr>
          <w:t>a.allam@aston.ac.uk</w:t>
        </w:r>
      </w:hyperlink>
    </w:p>
    <w:p w14:paraId="76A51D84" w14:textId="77777777" w:rsidR="00C46059" w:rsidRPr="00DF4692" w:rsidRDefault="00C46059" w:rsidP="00C46059">
      <w:pPr>
        <w:spacing w:line="240" w:lineRule="auto"/>
        <w:jc w:val="center"/>
        <w:rPr>
          <w:rFonts w:eastAsia="Calibri"/>
          <w:szCs w:val="24"/>
        </w:rPr>
      </w:pPr>
      <w:r w:rsidRPr="00DF4692">
        <w:rPr>
          <w:rFonts w:eastAsia="Calibri"/>
          <w:szCs w:val="24"/>
        </w:rPr>
        <w:t xml:space="preserve">ORCID: </w:t>
      </w:r>
      <w:hyperlink r:id="rId9" w:history="1">
        <w:r w:rsidRPr="00DF4692">
          <w:rPr>
            <w:rStyle w:val="Hyperlink"/>
            <w:rFonts w:eastAsia="Calibri"/>
            <w:szCs w:val="24"/>
          </w:rPr>
          <w:t>https://orcid.org/0000-0001-5082-7936</w:t>
        </w:r>
      </w:hyperlink>
    </w:p>
    <w:p w14:paraId="0B241BC0" w14:textId="77777777" w:rsidR="00C46059" w:rsidRPr="00DF4692" w:rsidRDefault="00C46059" w:rsidP="00C46059">
      <w:pPr>
        <w:spacing w:line="240" w:lineRule="auto"/>
        <w:rPr>
          <w:szCs w:val="24"/>
        </w:rPr>
      </w:pPr>
    </w:p>
    <w:p w14:paraId="03493CEA" w14:textId="77777777" w:rsidR="00C46059" w:rsidRDefault="00C46059" w:rsidP="00C46059">
      <w:pPr>
        <w:spacing w:line="240" w:lineRule="auto"/>
        <w:rPr>
          <w:szCs w:val="24"/>
        </w:rPr>
      </w:pPr>
    </w:p>
    <w:p w14:paraId="2BB29E46" w14:textId="77777777" w:rsidR="00C46059" w:rsidRPr="00EF5907" w:rsidRDefault="00C46059" w:rsidP="00C46059">
      <w:pPr>
        <w:spacing w:line="240" w:lineRule="auto"/>
        <w:jc w:val="center"/>
        <w:rPr>
          <w:rFonts w:eastAsia="Calibri"/>
          <w:b/>
          <w:szCs w:val="24"/>
        </w:rPr>
      </w:pPr>
      <w:r w:rsidRPr="00EF5907">
        <w:rPr>
          <w:rFonts w:eastAsia="Calibri"/>
          <w:b/>
          <w:szCs w:val="24"/>
        </w:rPr>
        <w:t>Tantawy Moussa, Ph.D.</w:t>
      </w:r>
      <w:r w:rsidRPr="00EF5907">
        <w:rPr>
          <w:rFonts w:eastAsia="Calibri"/>
          <w:b/>
          <w:szCs w:val="24"/>
          <w:vertAlign w:val="superscript"/>
        </w:rPr>
        <w:t xml:space="preserve"> </w:t>
      </w:r>
      <w:r w:rsidRPr="00EF5907">
        <w:rPr>
          <w:rFonts w:eastAsia="Calibri"/>
          <w:b/>
          <w:szCs w:val="24"/>
          <w:vertAlign w:val="superscript"/>
        </w:rPr>
        <w:footnoteReference w:id="2"/>
      </w:r>
    </w:p>
    <w:p w14:paraId="7E6E9EEC" w14:textId="086037B3" w:rsidR="00C46059" w:rsidRPr="00EF5907" w:rsidRDefault="00C46059" w:rsidP="00C46059">
      <w:pPr>
        <w:spacing w:line="240" w:lineRule="auto"/>
        <w:jc w:val="center"/>
        <w:rPr>
          <w:rFonts w:eastAsia="Calibri"/>
          <w:szCs w:val="24"/>
        </w:rPr>
      </w:pPr>
      <w:r w:rsidRPr="00EF5907">
        <w:rPr>
          <w:rFonts w:eastAsia="Calibri"/>
          <w:szCs w:val="24"/>
        </w:rPr>
        <w:t>University of Westminster</w:t>
      </w:r>
      <w:r w:rsidR="005F425F">
        <w:rPr>
          <w:rFonts w:eastAsia="Calibri"/>
          <w:szCs w:val="24"/>
        </w:rPr>
        <w:t>,</w:t>
      </w:r>
    </w:p>
    <w:p w14:paraId="74D3BD1E" w14:textId="37DAFE2E" w:rsidR="00C46059" w:rsidRPr="00EF5907" w:rsidRDefault="00C46059" w:rsidP="00C46059">
      <w:pPr>
        <w:spacing w:line="240" w:lineRule="auto"/>
        <w:jc w:val="center"/>
        <w:rPr>
          <w:rFonts w:eastAsia="Calibri"/>
          <w:szCs w:val="24"/>
        </w:rPr>
      </w:pPr>
      <w:r w:rsidRPr="00EF5907">
        <w:rPr>
          <w:rFonts w:eastAsia="Calibri"/>
          <w:szCs w:val="24"/>
        </w:rPr>
        <w:t>Westminster Business School</w:t>
      </w:r>
      <w:r w:rsidR="005F425F">
        <w:rPr>
          <w:rFonts w:eastAsia="Calibri"/>
          <w:szCs w:val="24"/>
        </w:rPr>
        <w:t>, UK</w:t>
      </w:r>
    </w:p>
    <w:p w14:paraId="3E2990D2" w14:textId="77777777" w:rsidR="00C46059" w:rsidRPr="00DF4692" w:rsidRDefault="00C46059" w:rsidP="00C46059">
      <w:pPr>
        <w:spacing w:line="240" w:lineRule="auto"/>
        <w:jc w:val="center"/>
        <w:rPr>
          <w:rFonts w:eastAsia="Calibri"/>
          <w:color w:val="0563C1"/>
          <w:szCs w:val="24"/>
          <w:u w:val="single"/>
        </w:rPr>
      </w:pPr>
      <w:r w:rsidRPr="00EF5907">
        <w:rPr>
          <w:rFonts w:eastAsia="Calibri"/>
          <w:szCs w:val="24"/>
        </w:rPr>
        <w:t>Email:</w:t>
      </w:r>
      <w:r w:rsidRPr="00EF5907">
        <w:rPr>
          <w:rFonts w:eastAsia="Calibri"/>
          <w:color w:val="0563C1"/>
          <w:szCs w:val="24"/>
          <w:u w:val="single"/>
        </w:rPr>
        <w:t xml:space="preserve"> </w:t>
      </w:r>
      <w:hyperlink r:id="rId10" w:history="1">
        <w:r w:rsidRPr="00EF5907">
          <w:rPr>
            <w:rFonts w:eastAsia="Calibri"/>
            <w:color w:val="0563C1"/>
            <w:szCs w:val="24"/>
            <w:u w:val="single"/>
          </w:rPr>
          <w:t>t.moussa@westminster.ac.uk</w:t>
        </w:r>
      </w:hyperlink>
    </w:p>
    <w:p w14:paraId="5BA58BCC" w14:textId="77777777" w:rsidR="00C46059" w:rsidRPr="00DF4692" w:rsidRDefault="00C46059" w:rsidP="00C46059">
      <w:pPr>
        <w:widowControl w:val="0"/>
        <w:autoSpaceDE w:val="0"/>
        <w:autoSpaceDN w:val="0"/>
        <w:adjustRightInd w:val="0"/>
        <w:spacing w:line="276" w:lineRule="auto"/>
        <w:jc w:val="center"/>
        <w:rPr>
          <w:szCs w:val="24"/>
        </w:rPr>
      </w:pPr>
      <w:r w:rsidRPr="00DF4692">
        <w:rPr>
          <w:szCs w:val="24"/>
        </w:rPr>
        <w:t xml:space="preserve">ORCID: </w:t>
      </w:r>
      <w:hyperlink r:id="rId11" w:history="1">
        <w:r w:rsidRPr="00DF4692">
          <w:rPr>
            <w:rStyle w:val="Hyperlink"/>
            <w:szCs w:val="24"/>
          </w:rPr>
          <w:t>https://orcid.org/0000-0001-5349-2764</w:t>
        </w:r>
      </w:hyperlink>
    </w:p>
    <w:p w14:paraId="39FA3C00" w14:textId="77777777" w:rsidR="00C46059" w:rsidRDefault="00C46059" w:rsidP="00C46059">
      <w:pPr>
        <w:spacing w:line="240" w:lineRule="auto"/>
        <w:rPr>
          <w:rFonts w:eastAsia="Calibri"/>
          <w:b/>
          <w:szCs w:val="24"/>
        </w:rPr>
      </w:pPr>
    </w:p>
    <w:p w14:paraId="4627A7DB" w14:textId="77777777" w:rsidR="00A11283" w:rsidRPr="00EF5907" w:rsidRDefault="00A11283" w:rsidP="00C46059">
      <w:pPr>
        <w:spacing w:line="240" w:lineRule="auto"/>
        <w:rPr>
          <w:rFonts w:eastAsia="Calibri"/>
          <w:b/>
          <w:szCs w:val="24"/>
        </w:rPr>
      </w:pPr>
    </w:p>
    <w:p w14:paraId="4FDCAF81" w14:textId="77777777" w:rsidR="00C46059" w:rsidRPr="00EF5907" w:rsidRDefault="00C46059" w:rsidP="00C46059">
      <w:pPr>
        <w:spacing w:line="240" w:lineRule="auto"/>
        <w:jc w:val="center"/>
        <w:rPr>
          <w:rFonts w:eastAsia="Calibri"/>
          <w:b/>
          <w:szCs w:val="24"/>
        </w:rPr>
      </w:pPr>
      <w:r w:rsidRPr="00EF5907">
        <w:rPr>
          <w:rFonts w:eastAsia="Calibri"/>
          <w:b/>
          <w:szCs w:val="24"/>
        </w:rPr>
        <w:t xml:space="preserve">Mahmoud </w:t>
      </w:r>
      <w:proofErr w:type="spellStart"/>
      <w:r w:rsidRPr="00EF5907">
        <w:rPr>
          <w:rFonts w:eastAsia="Calibri"/>
          <w:b/>
          <w:szCs w:val="24"/>
        </w:rPr>
        <w:t>Elmarzouky</w:t>
      </w:r>
      <w:proofErr w:type="spellEnd"/>
      <w:r w:rsidRPr="00EF5907">
        <w:rPr>
          <w:rFonts w:eastAsia="Calibri"/>
          <w:b/>
          <w:szCs w:val="24"/>
        </w:rPr>
        <w:t>, Ph.D.</w:t>
      </w:r>
    </w:p>
    <w:p w14:paraId="4A4B470B" w14:textId="77777777" w:rsidR="00C46059" w:rsidRDefault="00C46059" w:rsidP="00C46059">
      <w:pPr>
        <w:spacing w:line="240" w:lineRule="auto"/>
        <w:jc w:val="center"/>
        <w:rPr>
          <w:rFonts w:eastAsia="Calibri"/>
          <w:szCs w:val="24"/>
        </w:rPr>
      </w:pPr>
      <w:r w:rsidRPr="00C46059">
        <w:rPr>
          <w:rFonts w:eastAsia="Calibri"/>
          <w:szCs w:val="24"/>
        </w:rPr>
        <w:t xml:space="preserve">University of St Andrews, </w:t>
      </w:r>
    </w:p>
    <w:p w14:paraId="08E19DD6" w14:textId="4DCF5F8D" w:rsidR="00C46059" w:rsidRDefault="00C46059" w:rsidP="00C46059">
      <w:pPr>
        <w:spacing w:line="240" w:lineRule="auto"/>
        <w:jc w:val="center"/>
        <w:rPr>
          <w:rFonts w:eastAsia="Calibri"/>
          <w:szCs w:val="24"/>
        </w:rPr>
      </w:pPr>
      <w:r w:rsidRPr="00C46059">
        <w:rPr>
          <w:rFonts w:eastAsia="Calibri"/>
          <w:szCs w:val="24"/>
        </w:rPr>
        <w:t>University of St Andrews Business School, UK</w:t>
      </w:r>
    </w:p>
    <w:p w14:paraId="2117F7DA" w14:textId="343B24C2" w:rsidR="00C46059" w:rsidRPr="00DF4692" w:rsidRDefault="00C46059" w:rsidP="00C46059">
      <w:pPr>
        <w:spacing w:line="240" w:lineRule="auto"/>
        <w:jc w:val="center"/>
        <w:rPr>
          <w:rFonts w:eastAsia="Calibri"/>
          <w:color w:val="0000FF"/>
          <w:szCs w:val="24"/>
          <w:u w:val="single"/>
        </w:rPr>
      </w:pPr>
      <w:r w:rsidRPr="00EF5907">
        <w:rPr>
          <w:rFonts w:eastAsia="Calibri"/>
          <w:szCs w:val="24"/>
        </w:rPr>
        <w:t xml:space="preserve">Email: </w:t>
      </w:r>
      <w:bookmarkEnd w:id="0"/>
      <w:r w:rsidRPr="00C46059">
        <w:rPr>
          <w:rFonts w:eastAsia="Calibri"/>
          <w:color w:val="0000FF"/>
          <w:szCs w:val="24"/>
          <w:u w:val="single"/>
        </w:rPr>
        <w:t>mahmoud.elmarzouky@st-andrews.ac.uk</w:t>
      </w:r>
    </w:p>
    <w:p w14:paraId="2F8C280F" w14:textId="77777777" w:rsidR="00C46059" w:rsidRPr="00DF4692" w:rsidRDefault="00C46059" w:rsidP="00C46059">
      <w:pPr>
        <w:spacing w:line="240" w:lineRule="auto"/>
        <w:jc w:val="center"/>
        <w:rPr>
          <w:rFonts w:eastAsia="Calibri"/>
          <w:color w:val="0000FF"/>
          <w:szCs w:val="24"/>
          <w:u w:val="single"/>
        </w:rPr>
      </w:pPr>
      <w:r w:rsidRPr="00DF4692">
        <w:rPr>
          <w:rFonts w:eastAsia="Calibri"/>
          <w:color w:val="0000FF"/>
          <w:szCs w:val="24"/>
          <w:u w:val="single"/>
        </w:rPr>
        <w:t xml:space="preserve">ORCID: </w:t>
      </w:r>
      <w:hyperlink r:id="rId12" w:history="1">
        <w:r w:rsidRPr="00DF4692">
          <w:rPr>
            <w:rStyle w:val="Hyperlink"/>
            <w:rFonts w:eastAsia="Calibri"/>
            <w:szCs w:val="24"/>
          </w:rPr>
          <w:t>https://orcid.org/0000-0001-9867-6057</w:t>
        </w:r>
      </w:hyperlink>
    </w:p>
    <w:p w14:paraId="2EE99454" w14:textId="77777777" w:rsidR="00C46059" w:rsidRPr="00DF4692" w:rsidRDefault="00C46059" w:rsidP="00C46059">
      <w:pPr>
        <w:spacing w:line="240" w:lineRule="auto"/>
        <w:jc w:val="center"/>
        <w:rPr>
          <w:rFonts w:eastAsia="Calibri"/>
          <w:color w:val="0000FF"/>
          <w:szCs w:val="24"/>
          <w:u w:val="single"/>
        </w:rPr>
      </w:pPr>
    </w:p>
    <w:p w14:paraId="51EC1BED" w14:textId="77777777" w:rsidR="00C46059" w:rsidRPr="00DF4692" w:rsidRDefault="00C46059" w:rsidP="00C46059">
      <w:pPr>
        <w:spacing w:line="240" w:lineRule="auto"/>
        <w:jc w:val="center"/>
        <w:rPr>
          <w:rFonts w:eastAsia="Calibri"/>
          <w:color w:val="0000FF"/>
          <w:szCs w:val="24"/>
          <w:u w:val="single"/>
        </w:rPr>
      </w:pPr>
    </w:p>
    <w:p w14:paraId="3B7B5283" w14:textId="77777777" w:rsidR="00C46059" w:rsidRDefault="00C46059" w:rsidP="00A11283">
      <w:pPr>
        <w:spacing w:line="240" w:lineRule="auto"/>
        <w:rPr>
          <w:rFonts w:eastAsia="Calibri"/>
          <w:color w:val="0000FF"/>
          <w:sz w:val="22"/>
          <w:szCs w:val="22"/>
          <w:u w:val="single"/>
        </w:rPr>
      </w:pPr>
    </w:p>
    <w:p w14:paraId="742AFEF7" w14:textId="77777777" w:rsidR="00C46059" w:rsidRDefault="00C46059" w:rsidP="00C46059">
      <w:pPr>
        <w:spacing w:line="240" w:lineRule="auto"/>
        <w:jc w:val="center"/>
        <w:rPr>
          <w:rFonts w:eastAsia="Calibri"/>
          <w:color w:val="0000FF"/>
          <w:sz w:val="22"/>
          <w:szCs w:val="22"/>
          <w:u w:val="single"/>
        </w:rPr>
      </w:pPr>
      <w:r>
        <w:rPr>
          <w:b/>
          <w:bCs/>
          <w:noProof/>
          <w:color w:val="000000" w:themeColor="text1"/>
          <w:sz w:val="28"/>
          <w:szCs w:val="28"/>
        </w:rPr>
        <mc:AlternateContent>
          <mc:Choice Requires="wps">
            <w:drawing>
              <wp:anchor distT="0" distB="0" distL="114300" distR="114300" simplePos="0" relativeHeight="251659264" behindDoc="0" locked="0" layoutInCell="1" allowOverlap="1" wp14:anchorId="339F70B3" wp14:editId="2B5FC74B">
                <wp:simplePos x="0" y="0"/>
                <wp:positionH relativeFrom="column">
                  <wp:posOffset>1270</wp:posOffset>
                </wp:positionH>
                <wp:positionV relativeFrom="paragraph">
                  <wp:posOffset>20955</wp:posOffset>
                </wp:positionV>
                <wp:extent cx="6064250" cy="1435100"/>
                <wp:effectExtent l="57150" t="19050" r="69850" b="88900"/>
                <wp:wrapNone/>
                <wp:docPr id="2" name="Rectangle 2"/>
                <wp:cNvGraphicFramePr/>
                <a:graphic xmlns:a="http://schemas.openxmlformats.org/drawingml/2006/main">
                  <a:graphicData uri="http://schemas.microsoft.com/office/word/2010/wordprocessingShape">
                    <wps:wsp>
                      <wps:cNvSpPr/>
                      <wps:spPr>
                        <a:xfrm>
                          <a:off x="0" y="0"/>
                          <a:ext cx="6064250" cy="1435100"/>
                        </a:xfrm>
                        <a:prstGeom prst="rect">
                          <a:avLst/>
                        </a:prstGeom>
                        <a:solidFill>
                          <a:schemeClr val="bg1">
                            <a:lumMod val="95000"/>
                          </a:schemeClr>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2CE5FB09" w14:textId="20DF6D0F" w:rsidR="00C46059" w:rsidRPr="00AD2A5E" w:rsidRDefault="00C46059" w:rsidP="00167B1D">
                            <w:pPr>
                              <w:spacing w:line="276" w:lineRule="auto"/>
                              <w:rPr>
                                <w:color w:val="000000" w:themeColor="text1"/>
                                <w:szCs w:val="24"/>
                                <w:shd w:val="clear" w:color="auto" w:fill="F2F2F2" w:themeFill="background1" w:themeFillShade="F2"/>
                              </w:rPr>
                            </w:pPr>
                            <w:r w:rsidRPr="00587E5D">
                              <w:rPr>
                                <w:color w:val="000000" w:themeColor="text1"/>
                                <w:szCs w:val="24"/>
                              </w:rPr>
                              <w:t xml:space="preserve">This is the final peer-reviewed version of the following paper: [Allam, A., Moussa, T., &amp; </w:t>
                            </w:r>
                            <w:proofErr w:type="spellStart"/>
                            <w:r w:rsidRPr="00587E5D">
                              <w:rPr>
                                <w:color w:val="000000" w:themeColor="text1"/>
                                <w:szCs w:val="24"/>
                              </w:rPr>
                              <w:t>Elmarzouky</w:t>
                            </w:r>
                            <w:proofErr w:type="spellEnd"/>
                            <w:r w:rsidRPr="00587E5D">
                              <w:rPr>
                                <w:color w:val="000000" w:themeColor="text1"/>
                                <w:szCs w:val="24"/>
                              </w:rPr>
                              <w:t>, M. (202</w:t>
                            </w:r>
                            <w:r>
                              <w:rPr>
                                <w:color w:val="000000" w:themeColor="text1"/>
                                <w:szCs w:val="24"/>
                              </w:rPr>
                              <w:t>4</w:t>
                            </w:r>
                            <w:r w:rsidRPr="00587E5D">
                              <w:rPr>
                                <w:color w:val="000000" w:themeColor="text1"/>
                                <w:szCs w:val="24"/>
                              </w:rPr>
                              <w:t xml:space="preserve">). </w:t>
                            </w:r>
                            <w:r w:rsidRPr="00C46059">
                              <w:rPr>
                                <w:color w:val="000000" w:themeColor="text1"/>
                                <w:szCs w:val="24"/>
                              </w:rPr>
                              <w:t>Examining the relationship between CEO power and modern slavery disclosures: The moderating role of board gender diversity in UK companies</w:t>
                            </w:r>
                            <w:r>
                              <w:rPr>
                                <w:color w:val="000000" w:themeColor="text1"/>
                                <w:szCs w:val="24"/>
                              </w:rPr>
                              <w:t xml:space="preserve">. </w:t>
                            </w:r>
                            <w:r w:rsidRPr="00AD2A5E">
                              <w:rPr>
                                <w:color w:val="000000" w:themeColor="text1"/>
                                <w:szCs w:val="24"/>
                              </w:rPr>
                              <w:t>Business Strategy and the Environment</w:t>
                            </w:r>
                            <w:r w:rsidRPr="00587E5D">
                              <w:rPr>
                                <w:color w:val="000000" w:themeColor="text1"/>
                                <w:szCs w:val="24"/>
                              </w:rPr>
                              <w:t>],</w:t>
                            </w:r>
                            <w:r w:rsidRPr="00AD2A5E">
                              <w:rPr>
                                <w:color w:val="000000" w:themeColor="text1"/>
                                <w:szCs w:val="24"/>
                              </w:rPr>
                              <w:t xml:space="preserve"> </w:t>
                            </w:r>
                            <w:r w:rsidRPr="00587E5D">
                              <w:rPr>
                                <w:color w:val="000000" w:themeColor="text1"/>
                                <w:szCs w:val="24"/>
                              </w:rPr>
                              <w:t>which has been published in final form</w:t>
                            </w:r>
                            <w:r w:rsidR="00A11283">
                              <w:rPr>
                                <w:color w:val="000000" w:themeColor="text1"/>
                                <w:szCs w:val="24"/>
                                <w:shd w:val="clear" w:color="auto" w:fill="F2F2F2" w:themeFill="background1" w:themeFillShade="F2"/>
                              </w:rPr>
                              <w:t xml:space="preserve"> </w:t>
                            </w:r>
                            <w:r w:rsidRPr="00605439">
                              <w:rPr>
                                <w:color w:val="000000" w:themeColor="text1"/>
                                <w:szCs w:val="24"/>
                                <w:shd w:val="clear" w:color="auto" w:fill="F2F2F2" w:themeFill="background1" w:themeFillShade="F2"/>
                              </w:rPr>
                              <w:t>at [</w:t>
                            </w:r>
                            <w:r w:rsidRPr="00AD2A5E">
                              <w:rPr>
                                <w:color w:val="000000" w:themeColor="text1"/>
                                <w:szCs w:val="24"/>
                                <w:shd w:val="clear" w:color="auto" w:fill="F2F2F2" w:themeFill="background1" w:themeFillShade="F2"/>
                              </w:rPr>
                              <w:t>https://doi.org/10.1002/bse</w:t>
                            </w:r>
                            <w:r w:rsidR="00A11283" w:rsidRPr="00A11283">
                              <w:rPr>
                                <w:color w:val="000000" w:themeColor="text1"/>
                                <w:szCs w:val="24"/>
                                <w:shd w:val="clear" w:color="auto" w:fill="F2F2F2" w:themeFill="background1" w:themeFillShade="F2"/>
                              </w:rPr>
                              <w:t>.3910</w:t>
                            </w:r>
                            <w:r w:rsidRPr="00587E5D">
                              <w:rPr>
                                <w:color w:val="000000" w:themeColor="text1"/>
                                <w:szCs w:val="24"/>
                              </w:rPr>
                              <w:t>]. This paper may be used for non-commercial purposes in accordance with Wiley terms and conditions for self-archiving.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F70B3" id="Rectangle 2" o:spid="_x0000_s1026" style="position:absolute;left:0;text-align:left;margin-left:.1pt;margin-top:1.65pt;width:477.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" fillcolor="#f2f2f2 [3052]" strokecolor="windowText">
                <v:shadow on="t" color="black" opacity="22937f" origin=",.5" offset="0,.63889mm"/>
                <v:textbox>
                  <w:txbxContent>
                    <w:p w14:paraId="2CE5FB09" w14:textId="20DF6D0F" w:rsidR="00C46059" w:rsidRPr="00AD2A5E" w:rsidRDefault="00C46059" w:rsidP="00167B1D">
                      <w:pPr>
                        <w:spacing w:line="276" w:lineRule="auto"/>
                        <w:rPr>
                          <w:color w:val="000000" w:themeColor="text1"/>
                          <w:szCs w:val="24"/>
                          <w:shd w:val="clear" w:color="auto" w:fill="F2F2F2" w:themeFill="background1" w:themeFillShade="F2"/>
                        </w:rPr>
                      </w:pPr>
                      <w:r w:rsidRPr="00587E5D">
                        <w:rPr>
                          <w:color w:val="000000" w:themeColor="text1"/>
                          <w:szCs w:val="24"/>
                        </w:rPr>
                        <w:t xml:space="preserve">This is the final peer-reviewed version of the following paper: [Allam, A., Moussa, T., &amp; </w:t>
                      </w:r>
                      <w:proofErr w:type="spellStart"/>
                      <w:r w:rsidRPr="00587E5D">
                        <w:rPr>
                          <w:color w:val="000000" w:themeColor="text1"/>
                          <w:szCs w:val="24"/>
                        </w:rPr>
                        <w:t>Elmarzouky</w:t>
                      </w:r>
                      <w:proofErr w:type="spellEnd"/>
                      <w:r w:rsidRPr="00587E5D">
                        <w:rPr>
                          <w:color w:val="000000" w:themeColor="text1"/>
                          <w:szCs w:val="24"/>
                        </w:rPr>
                        <w:t>, M. (202</w:t>
                      </w:r>
                      <w:r>
                        <w:rPr>
                          <w:color w:val="000000" w:themeColor="text1"/>
                          <w:szCs w:val="24"/>
                        </w:rPr>
                        <w:t>4</w:t>
                      </w:r>
                      <w:r w:rsidRPr="00587E5D">
                        <w:rPr>
                          <w:color w:val="000000" w:themeColor="text1"/>
                          <w:szCs w:val="24"/>
                        </w:rPr>
                        <w:t xml:space="preserve">). </w:t>
                      </w:r>
                      <w:r w:rsidRPr="00C46059">
                        <w:rPr>
                          <w:color w:val="000000" w:themeColor="text1"/>
                          <w:szCs w:val="24"/>
                        </w:rPr>
                        <w:t>Examining the relationship between CEO power and modern slavery disclosures: The moderating role of board gender diversity in UK companies</w:t>
                      </w:r>
                      <w:r>
                        <w:rPr>
                          <w:color w:val="000000" w:themeColor="text1"/>
                          <w:szCs w:val="24"/>
                        </w:rPr>
                        <w:t xml:space="preserve">. </w:t>
                      </w:r>
                      <w:r w:rsidRPr="00AD2A5E">
                        <w:rPr>
                          <w:color w:val="000000" w:themeColor="text1"/>
                          <w:szCs w:val="24"/>
                        </w:rPr>
                        <w:t>Business Strategy and the Environment</w:t>
                      </w:r>
                      <w:r w:rsidRPr="00587E5D">
                        <w:rPr>
                          <w:color w:val="000000" w:themeColor="text1"/>
                          <w:szCs w:val="24"/>
                        </w:rPr>
                        <w:t>],</w:t>
                      </w:r>
                      <w:r w:rsidRPr="00AD2A5E">
                        <w:rPr>
                          <w:color w:val="000000" w:themeColor="text1"/>
                          <w:szCs w:val="24"/>
                        </w:rPr>
                        <w:t xml:space="preserve"> </w:t>
                      </w:r>
                      <w:r w:rsidRPr="00587E5D">
                        <w:rPr>
                          <w:color w:val="000000" w:themeColor="text1"/>
                          <w:szCs w:val="24"/>
                        </w:rPr>
                        <w:t>which has been published in final form</w:t>
                      </w:r>
                      <w:r w:rsidR="00A11283">
                        <w:rPr>
                          <w:color w:val="000000" w:themeColor="text1"/>
                          <w:szCs w:val="24"/>
                          <w:shd w:val="clear" w:color="auto" w:fill="F2F2F2" w:themeFill="background1" w:themeFillShade="F2"/>
                        </w:rPr>
                        <w:t xml:space="preserve"> </w:t>
                      </w:r>
                      <w:r w:rsidRPr="00605439">
                        <w:rPr>
                          <w:color w:val="000000" w:themeColor="text1"/>
                          <w:szCs w:val="24"/>
                          <w:shd w:val="clear" w:color="auto" w:fill="F2F2F2" w:themeFill="background1" w:themeFillShade="F2"/>
                        </w:rPr>
                        <w:t>at [</w:t>
                      </w:r>
                      <w:r w:rsidRPr="00AD2A5E">
                        <w:rPr>
                          <w:color w:val="000000" w:themeColor="text1"/>
                          <w:szCs w:val="24"/>
                          <w:shd w:val="clear" w:color="auto" w:fill="F2F2F2" w:themeFill="background1" w:themeFillShade="F2"/>
                        </w:rPr>
                        <w:t>https://doi.org/10.1002/bse</w:t>
                      </w:r>
                      <w:r w:rsidR="00A11283" w:rsidRPr="00A11283">
                        <w:rPr>
                          <w:color w:val="000000" w:themeColor="text1"/>
                          <w:szCs w:val="24"/>
                          <w:shd w:val="clear" w:color="auto" w:fill="F2F2F2" w:themeFill="background1" w:themeFillShade="F2"/>
                        </w:rPr>
                        <w:t>.3910</w:t>
                      </w:r>
                      <w:r w:rsidRPr="00587E5D">
                        <w:rPr>
                          <w:color w:val="000000" w:themeColor="text1"/>
                          <w:szCs w:val="24"/>
                        </w:rPr>
                        <w:t>]. This paper may be used for non-commercial purposes in accordance with Wiley terms and conditions for self-archiving.</w:t>
                      </w:r>
                    </w:p>
                  </w:txbxContent>
                </v:textbox>
              </v:rect>
            </w:pict>
          </mc:Fallback>
        </mc:AlternateContent>
      </w:r>
    </w:p>
    <w:p w14:paraId="30843747" w14:textId="77777777" w:rsidR="00C46059" w:rsidRDefault="00C46059" w:rsidP="00C46059">
      <w:pPr>
        <w:spacing w:line="240" w:lineRule="auto"/>
        <w:jc w:val="center"/>
        <w:rPr>
          <w:rFonts w:eastAsia="Calibri"/>
          <w:color w:val="0000FF"/>
          <w:sz w:val="22"/>
          <w:szCs w:val="22"/>
          <w:u w:val="single"/>
        </w:rPr>
      </w:pPr>
    </w:p>
    <w:p w14:paraId="5B4967D9" w14:textId="77777777" w:rsidR="00C46059" w:rsidRDefault="00C46059" w:rsidP="00C46059">
      <w:pPr>
        <w:spacing w:line="240" w:lineRule="auto"/>
        <w:jc w:val="center"/>
        <w:rPr>
          <w:rFonts w:eastAsia="Calibri"/>
          <w:color w:val="0000FF"/>
          <w:sz w:val="22"/>
          <w:szCs w:val="22"/>
          <w:u w:val="single"/>
        </w:rPr>
      </w:pPr>
    </w:p>
    <w:p w14:paraId="2A21CD7E" w14:textId="77777777" w:rsidR="00C46059" w:rsidRDefault="00C46059" w:rsidP="00C46059">
      <w:pPr>
        <w:spacing w:line="240" w:lineRule="auto"/>
        <w:jc w:val="center"/>
        <w:rPr>
          <w:rFonts w:eastAsia="Calibri"/>
          <w:color w:val="0000FF"/>
          <w:sz w:val="22"/>
          <w:szCs w:val="22"/>
          <w:u w:val="single"/>
        </w:rPr>
      </w:pPr>
    </w:p>
    <w:p w14:paraId="6DD5368F" w14:textId="77777777" w:rsidR="00C46059" w:rsidRDefault="00C46059" w:rsidP="00C46059">
      <w:pPr>
        <w:spacing w:line="240" w:lineRule="auto"/>
        <w:jc w:val="center"/>
        <w:rPr>
          <w:rFonts w:eastAsia="Calibri"/>
          <w:color w:val="0000FF"/>
          <w:sz w:val="22"/>
          <w:szCs w:val="22"/>
          <w:u w:val="single"/>
        </w:rPr>
      </w:pPr>
    </w:p>
    <w:p w14:paraId="279AF959" w14:textId="77777777" w:rsidR="00C46059" w:rsidRDefault="00C46059" w:rsidP="00C46059">
      <w:pPr>
        <w:spacing w:line="240" w:lineRule="auto"/>
        <w:jc w:val="center"/>
        <w:rPr>
          <w:rFonts w:eastAsia="Calibri"/>
          <w:color w:val="0000FF"/>
          <w:sz w:val="22"/>
          <w:szCs w:val="22"/>
          <w:u w:val="single"/>
        </w:rPr>
      </w:pPr>
    </w:p>
    <w:p w14:paraId="7F5C864C" w14:textId="77777777" w:rsidR="00C46059" w:rsidRDefault="00C46059" w:rsidP="00C46059">
      <w:pPr>
        <w:spacing w:line="240" w:lineRule="auto"/>
        <w:jc w:val="center"/>
        <w:rPr>
          <w:rFonts w:eastAsia="Calibri"/>
          <w:color w:val="0000FF"/>
          <w:sz w:val="22"/>
          <w:szCs w:val="22"/>
          <w:u w:val="single"/>
        </w:rPr>
      </w:pPr>
    </w:p>
    <w:p w14:paraId="1B990FF1" w14:textId="77777777" w:rsidR="00C46059" w:rsidRDefault="00C46059" w:rsidP="00C46059">
      <w:pPr>
        <w:spacing w:line="240" w:lineRule="auto"/>
        <w:jc w:val="center"/>
        <w:rPr>
          <w:rFonts w:eastAsia="Calibri"/>
          <w:color w:val="0000FF"/>
          <w:sz w:val="22"/>
          <w:szCs w:val="22"/>
          <w:u w:val="single"/>
        </w:rPr>
      </w:pPr>
    </w:p>
    <w:p w14:paraId="5A054D9E" w14:textId="77777777" w:rsidR="00C46059" w:rsidRDefault="00C46059" w:rsidP="00C46059">
      <w:pPr>
        <w:spacing w:line="240" w:lineRule="auto"/>
        <w:jc w:val="center"/>
        <w:rPr>
          <w:rFonts w:eastAsia="Calibri"/>
          <w:color w:val="0000FF"/>
          <w:sz w:val="22"/>
          <w:szCs w:val="22"/>
          <w:u w:val="single"/>
        </w:rPr>
      </w:pPr>
    </w:p>
    <w:p w14:paraId="187F81AA" w14:textId="77777777" w:rsidR="00C46059" w:rsidRPr="00EF5907" w:rsidRDefault="00C46059" w:rsidP="00C46059">
      <w:pPr>
        <w:spacing w:line="240" w:lineRule="auto"/>
        <w:jc w:val="center"/>
        <w:rPr>
          <w:rFonts w:eastAsia="Calibri"/>
          <w:sz w:val="22"/>
          <w:szCs w:val="22"/>
        </w:rPr>
      </w:pPr>
    </w:p>
    <w:p w14:paraId="49148782" w14:textId="77777777" w:rsidR="00C46059" w:rsidRDefault="00C46059" w:rsidP="00C46059">
      <w:pPr>
        <w:spacing w:line="240" w:lineRule="auto"/>
        <w:jc w:val="center"/>
        <w:rPr>
          <w:b/>
          <w:bCs/>
          <w:color w:val="000000" w:themeColor="text1"/>
        </w:rPr>
      </w:pPr>
    </w:p>
    <w:p w14:paraId="7C676BEA" w14:textId="77777777" w:rsidR="00167B1D" w:rsidRDefault="00167B1D" w:rsidP="00C46059">
      <w:pPr>
        <w:spacing w:line="240" w:lineRule="auto"/>
        <w:jc w:val="center"/>
        <w:rPr>
          <w:b/>
          <w:bCs/>
          <w:color w:val="000000" w:themeColor="text1"/>
        </w:rPr>
      </w:pPr>
    </w:p>
    <w:p w14:paraId="00F27AD4" w14:textId="77777777" w:rsidR="00A11283" w:rsidRPr="00E3562B" w:rsidRDefault="00A11283" w:rsidP="00A11283">
      <w:pPr>
        <w:autoSpaceDE w:val="0"/>
        <w:autoSpaceDN w:val="0"/>
        <w:adjustRightInd w:val="0"/>
        <w:spacing w:line="240" w:lineRule="auto"/>
        <w:jc w:val="left"/>
        <w:rPr>
          <w:rFonts w:eastAsiaTheme="minorHAnsi"/>
          <w:b/>
          <w:bCs/>
          <w:szCs w:val="24"/>
          <w:lang w:val="en-GB"/>
        </w:rPr>
      </w:pPr>
      <w:r w:rsidRPr="00E3562B">
        <w:rPr>
          <w:rFonts w:eastAsiaTheme="minorHAnsi"/>
          <w:b/>
          <w:bCs/>
          <w:szCs w:val="24"/>
          <w:lang w:val="en-GB"/>
        </w:rPr>
        <w:t>Acknowledgement:</w:t>
      </w:r>
    </w:p>
    <w:p w14:paraId="715EC684" w14:textId="77777777" w:rsidR="00A11283" w:rsidRPr="00E3562B" w:rsidRDefault="00A11283" w:rsidP="00167B1D">
      <w:pPr>
        <w:autoSpaceDE w:val="0"/>
        <w:autoSpaceDN w:val="0"/>
        <w:adjustRightInd w:val="0"/>
        <w:spacing w:line="276" w:lineRule="auto"/>
        <w:rPr>
          <w:rFonts w:eastAsiaTheme="minorHAnsi"/>
          <w:szCs w:val="24"/>
          <w:lang w:val="en-GB"/>
        </w:rPr>
      </w:pPr>
      <w:r w:rsidRPr="00E3562B">
        <w:rPr>
          <w:rFonts w:eastAsiaTheme="minorHAnsi"/>
          <w:szCs w:val="24"/>
          <w:lang w:val="en-GB"/>
        </w:rPr>
        <w:t>We would like to express our deep appreciation to The British Academy for their financial support in undertaking this project through the Leverhulme Small Research Grant SRG22\220712. We also want to thank the anonymous referees from The British Academy for their valuable comments, which helped improve the project’s quality.</w:t>
      </w:r>
    </w:p>
    <w:p w14:paraId="5BF2BC4D" w14:textId="77777777" w:rsidR="00A11283" w:rsidRPr="00E3562B" w:rsidRDefault="00A11283" w:rsidP="00A11283">
      <w:pPr>
        <w:spacing w:line="240" w:lineRule="auto"/>
        <w:jc w:val="left"/>
        <w:rPr>
          <w:b/>
          <w:bCs/>
          <w:i/>
          <w:iCs/>
          <w:sz w:val="28"/>
          <w:szCs w:val="21"/>
          <w:lang w:val="en-GB"/>
        </w:rPr>
      </w:pPr>
    </w:p>
    <w:p w14:paraId="2411281E" w14:textId="0A9BE1DB" w:rsidR="00E06212" w:rsidRPr="00C46059" w:rsidRDefault="006D67C6" w:rsidP="00E06212">
      <w:pPr>
        <w:spacing w:line="276" w:lineRule="auto"/>
        <w:jc w:val="center"/>
        <w:rPr>
          <w:b/>
          <w:bCs/>
          <w:sz w:val="28"/>
          <w:szCs w:val="21"/>
          <w:lang w:val="en-GB"/>
        </w:rPr>
      </w:pPr>
      <w:r w:rsidRPr="00C46059">
        <w:rPr>
          <w:b/>
          <w:bCs/>
          <w:sz w:val="28"/>
          <w:szCs w:val="21"/>
          <w:lang w:val="en-GB"/>
        </w:rPr>
        <w:lastRenderedPageBreak/>
        <w:t xml:space="preserve">Examining the </w:t>
      </w:r>
      <w:r w:rsidR="006444DB" w:rsidRPr="00C46059">
        <w:rPr>
          <w:b/>
          <w:bCs/>
          <w:sz w:val="28"/>
          <w:szCs w:val="21"/>
          <w:lang w:val="en-GB"/>
        </w:rPr>
        <w:t>relationship</w:t>
      </w:r>
      <w:r w:rsidRPr="00C46059">
        <w:rPr>
          <w:b/>
          <w:bCs/>
          <w:sz w:val="28"/>
          <w:szCs w:val="21"/>
          <w:lang w:val="en-GB"/>
        </w:rPr>
        <w:t xml:space="preserve"> between CEO power and modern slavery disclosures: The moderating role of board gender diversity in UK companies</w:t>
      </w:r>
    </w:p>
    <w:p w14:paraId="40BF93DA" w14:textId="77777777" w:rsidR="00C46059" w:rsidRDefault="00C46059" w:rsidP="00763481">
      <w:pPr>
        <w:spacing w:line="240" w:lineRule="auto"/>
        <w:jc w:val="center"/>
        <w:rPr>
          <w:b/>
          <w:bCs/>
          <w:lang w:val="en-GB"/>
        </w:rPr>
      </w:pPr>
    </w:p>
    <w:p w14:paraId="6F238975" w14:textId="7E4BE5E6" w:rsidR="00763481" w:rsidRPr="00E3562B" w:rsidRDefault="003D2DF2" w:rsidP="00763481">
      <w:pPr>
        <w:spacing w:line="240" w:lineRule="auto"/>
        <w:jc w:val="center"/>
        <w:rPr>
          <w:b/>
          <w:bCs/>
          <w:lang w:val="en-GB"/>
        </w:rPr>
      </w:pPr>
      <w:r w:rsidRPr="00E3562B">
        <w:rPr>
          <w:b/>
          <w:bCs/>
          <w:lang w:val="en-GB"/>
        </w:rPr>
        <w:t>Abstract</w:t>
      </w:r>
    </w:p>
    <w:p w14:paraId="23BEB235" w14:textId="77777777" w:rsidR="00986753" w:rsidRPr="00E3562B" w:rsidRDefault="00986753" w:rsidP="003D2DF2">
      <w:pPr>
        <w:spacing w:line="240" w:lineRule="auto"/>
        <w:jc w:val="center"/>
        <w:rPr>
          <w:b/>
          <w:bCs/>
          <w:lang w:val="en-GB"/>
        </w:rPr>
      </w:pPr>
    </w:p>
    <w:p w14:paraId="703965A5" w14:textId="3E73D2DD" w:rsidR="00201647" w:rsidRPr="00E3562B" w:rsidRDefault="00201647" w:rsidP="00201647">
      <w:pPr>
        <w:rPr>
          <w:rStyle w:val="ui-provider"/>
          <w:lang w:val="en-GB"/>
        </w:rPr>
      </w:pPr>
      <w:r w:rsidRPr="00E3562B">
        <w:rPr>
          <w:rStyle w:val="ui-provider"/>
          <w:lang w:val="en-GB"/>
        </w:rPr>
        <w:t xml:space="preserve">Drawing on the agency and gender socialisation theories, this study examines the effect of CEO power on corporate modern slavery disclosures (MSD), and whether board gender diversity might influence this relationship. </w:t>
      </w:r>
      <w:r w:rsidR="00076187" w:rsidRPr="00E3562B">
        <w:rPr>
          <w:rStyle w:val="ui-provider"/>
          <w:lang w:val="en-GB"/>
        </w:rPr>
        <w:t xml:space="preserve">Based on a sample comprising the FTSE 100 </w:t>
      </w:r>
      <w:r w:rsidRPr="00E3562B">
        <w:rPr>
          <w:rStyle w:val="ui-provider"/>
          <w:lang w:val="en-GB"/>
        </w:rPr>
        <w:t>companies from 201</w:t>
      </w:r>
      <w:r w:rsidR="00076187" w:rsidRPr="00E3562B">
        <w:rPr>
          <w:rStyle w:val="ui-provider"/>
          <w:lang w:val="en-GB"/>
        </w:rPr>
        <w:t>6</w:t>
      </w:r>
      <w:r w:rsidRPr="00E3562B">
        <w:rPr>
          <w:rStyle w:val="ui-provider"/>
          <w:lang w:val="en-GB"/>
        </w:rPr>
        <w:t xml:space="preserve"> to 2020, the findings indicate that, although there has been progress in corporate transparency concerning modern slavery, a significant gap persists in the reporting on the measurement and monitoring of the effectiveness of their policies. This may stem from powerful CEOs' desires to maintain a positive corporate image, leading to minimal disclosure of potentially damaging information. </w:t>
      </w:r>
      <w:r w:rsidR="00777E55" w:rsidRPr="00E3562B">
        <w:rPr>
          <w:rStyle w:val="ui-provider"/>
          <w:lang w:val="en-GB"/>
        </w:rPr>
        <w:t xml:space="preserve">The fixed effects panel regression analysis reveals a negative relationship between CEO power and the extent of MSD, with a significant moderating effect observed when female board representation is substantial. </w:t>
      </w:r>
      <w:r w:rsidR="00CE0F51" w:rsidRPr="00E3562B">
        <w:rPr>
          <w:rFonts w:eastAsia="Calibri" w:cstheme="minorHAnsi"/>
          <w:szCs w:val="24"/>
          <w:lang w:val="en-GB"/>
        </w:rPr>
        <w:t xml:space="preserve">This evidence suggests that female board members may challenge groupthink and introduce diverse perspectives that can alter the board's dynamics, potentially mitigating the negative impact of CEO power on issues like modern slavery disclosure by encouraging more ethical and collective decision-making. </w:t>
      </w:r>
      <w:r w:rsidRPr="00E3562B">
        <w:rPr>
          <w:rStyle w:val="ui-provider"/>
          <w:lang w:val="en-GB"/>
        </w:rPr>
        <w:t>This research underscores the need for greater transparency and accountability in addressing modern slavery and promoting more responsible business practices.</w:t>
      </w:r>
    </w:p>
    <w:p w14:paraId="409F6543" w14:textId="77777777" w:rsidR="001C675D" w:rsidRPr="00E3562B" w:rsidRDefault="001C675D" w:rsidP="00DF51CF">
      <w:pPr>
        <w:rPr>
          <w:lang w:val="en-GB"/>
        </w:rPr>
      </w:pPr>
    </w:p>
    <w:p w14:paraId="10A919F7" w14:textId="4136B5DD" w:rsidR="00EC669C" w:rsidRPr="00E3562B" w:rsidRDefault="00EC669C" w:rsidP="00EC669C">
      <w:pPr>
        <w:spacing w:line="360" w:lineRule="auto"/>
        <w:rPr>
          <w:lang w:val="en-GB"/>
        </w:rPr>
      </w:pPr>
      <w:r w:rsidRPr="00E3562B">
        <w:rPr>
          <w:lang w:val="en-GB"/>
        </w:rPr>
        <w:t xml:space="preserve">Keywords: </w:t>
      </w:r>
      <w:r w:rsidR="00B13550" w:rsidRPr="00E3562B">
        <w:rPr>
          <w:lang w:val="en-GB"/>
        </w:rPr>
        <w:t>M</w:t>
      </w:r>
      <w:r w:rsidRPr="00E3562B">
        <w:rPr>
          <w:lang w:val="en-GB"/>
        </w:rPr>
        <w:t>odern slavery disclosures, CEO Power, board</w:t>
      </w:r>
      <w:r w:rsidR="00B13550" w:rsidRPr="00E3562B">
        <w:rPr>
          <w:lang w:val="en-GB"/>
        </w:rPr>
        <w:t xml:space="preserve"> gender</w:t>
      </w:r>
      <w:r w:rsidRPr="00E3562B">
        <w:rPr>
          <w:lang w:val="en-GB"/>
        </w:rPr>
        <w:t xml:space="preserve"> diversity</w:t>
      </w:r>
      <w:r w:rsidR="00B13550" w:rsidRPr="00E3562B">
        <w:rPr>
          <w:lang w:val="en-GB"/>
        </w:rPr>
        <w:t>, sustainable development goals, UK</w:t>
      </w:r>
    </w:p>
    <w:p w14:paraId="1AAD97E6" w14:textId="77777777" w:rsidR="00EC669C" w:rsidRPr="00E3562B" w:rsidRDefault="00EC669C" w:rsidP="003879C1">
      <w:pPr>
        <w:spacing w:line="360" w:lineRule="auto"/>
        <w:rPr>
          <w:lang w:val="en-GB"/>
        </w:rPr>
      </w:pPr>
    </w:p>
    <w:p w14:paraId="2D595396" w14:textId="5B6C07F7" w:rsidR="000B32EE" w:rsidRPr="00E3562B" w:rsidRDefault="003D2DF2" w:rsidP="003879C1">
      <w:pPr>
        <w:spacing w:line="360" w:lineRule="auto"/>
        <w:rPr>
          <w:lang w:val="en-GB"/>
        </w:rPr>
      </w:pPr>
      <w:r w:rsidRPr="00E3562B">
        <w:rPr>
          <w:lang w:val="en-GB"/>
        </w:rPr>
        <w:br w:type="page"/>
      </w:r>
    </w:p>
    <w:p w14:paraId="54DDBB79" w14:textId="50681943" w:rsidR="006450D6" w:rsidRPr="00E3562B" w:rsidRDefault="4162382F" w:rsidP="00320189">
      <w:pPr>
        <w:pStyle w:val="Heading1"/>
        <w:rPr>
          <w:lang w:val="en-GB"/>
        </w:rPr>
      </w:pPr>
      <w:r w:rsidRPr="00E3562B">
        <w:rPr>
          <w:lang w:val="en-GB"/>
        </w:rPr>
        <w:lastRenderedPageBreak/>
        <w:t>Introduction</w:t>
      </w:r>
    </w:p>
    <w:p w14:paraId="7B9E1FF7" w14:textId="20D77039" w:rsidR="00F01A2F" w:rsidRPr="00E3562B" w:rsidRDefault="00ED4726" w:rsidP="00ED4726">
      <w:pPr>
        <w:rPr>
          <w:lang w:val="en-GB"/>
        </w:rPr>
      </w:pPr>
      <w:r w:rsidRPr="00E3562B">
        <w:rPr>
          <w:lang w:val="en-GB"/>
        </w:rPr>
        <w:t xml:space="preserve">Modern slavery constitutes a breach of human rights, influencing the lives of millions around the world </w:t>
      </w:r>
      <w:r w:rsidR="2720FA05" w:rsidRPr="00E3562B">
        <w:rPr>
          <w:lang w:val="en-GB"/>
        </w:rPr>
        <w:t xml:space="preserve">and is widespread in the global supply chains </w:t>
      </w:r>
      <w:r w:rsidR="000A68B5" w:rsidRPr="00E3562B">
        <w:rPr>
          <w:lang w:val="en-GB"/>
        </w:rPr>
        <w:t>(FRC, 2022; Szablewska &amp; Kubacki, 2023)</w:t>
      </w:r>
      <w:r w:rsidR="2720FA05" w:rsidRPr="00E3562B">
        <w:rPr>
          <w:lang w:val="en-GB"/>
        </w:rPr>
        <w:t xml:space="preserve">. It is </w:t>
      </w:r>
      <w:r w:rsidRPr="00E3562B">
        <w:rPr>
          <w:lang w:val="en-GB"/>
        </w:rPr>
        <w:t xml:space="preserve">regarded as an </w:t>
      </w:r>
      <w:r w:rsidR="002C0055" w:rsidRPr="00E3562B">
        <w:rPr>
          <w:lang w:val="en-GB"/>
        </w:rPr>
        <w:t>intense</w:t>
      </w:r>
      <w:r w:rsidRPr="00E3562B">
        <w:rPr>
          <w:lang w:val="en-GB"/>
        </w:rPr>
        <w:t xml:space="preserve"> manifestation of labour </w:t>
      </w:r>
      <w:r w:rsidR="00A423DA" w:rsidRPr="00E3562B">
        <w:rPr>
          <w:lang w:val="en-GB"/>
        </w:rPr>
        <w:t>manipulation</w:t>
      </w:r>
      <w:r w:rsidR="2720FA05" w:rsidRPr="00E3562B">
        <w:rPr>
          <w:lang w:val="en-GB"/>
        </w:rPr>
        <w:t xml:space="preserve"> that involves </w:t>
      </w:r>
      <w:r w:rsidR="00866A34" w:rsidRPr="00E3562B">
        <w:rPr>
          <w:lang w:val="en-GB"/>
        </w:rPr>
        <w:t>using</w:t>
      </w:r>
      <w:r w:rsidR="2720FA05" w:rsidRPr="00E3562B">
        <w:rPr>
          <w:lang w:val="en-GB"/>
        </w:rPr>
        <w:t xml:space="preserve"> force, deception, or coercion to exploit individuals for labour or commercial sex </w:t>
      </w:r>
      <w:r w:rsidR="000A68B5" w:rsidRPr="00E3562B">
        <w:rPr>
          <w:lang w:val="en-GB"/>
        </w:rPr>
        <w:t>(ILO, 2017)</w:t>
      </w:r>
      <w:r w:rsidR="2720FA05" w:rsidRPr="00E3562B">
        <w:rPr>
          <w:lang w:val="en-GB"/>
        </w:rPr>
        <w:t xml:space="preserve">. However, despite its criminalisation, modern slavery remains a pervasive issue in shadow economies </w:t>
      </w:r>
      <w:r w:rsidR="000A68B5" w:rsidRPr="00E3562B">
        <w:rPr>
          <w:lang w:val="en-GB"/>
        </w:rPr>
        <w:t>(Smith &amp; Johns, 2020)</w:t>
      </w:r>
      <w:r w:rsidR="2720FA05" w:rsidRPr="00E3562B">
        <w:rPr>
          <w:lang w:val="en-GB"/>
        </w:rPr>
        <w:t xml:space="preserve">. It is also claimed to thrive in global supply chains as multinational businesses aim to relocate their labour-intensive operations to poorer countries due to higher labour costs </w:t>
      </w:r>
      <w:r w:rsidR="00BE7F35" w:rsidRPr="00E3562B">
        <w:rPr>
          <w:lang w:val="en-GB"/>
        </w:rPr>
        <w:t>in</w:t>
      </w:r>
      <w:r w:rsidR="2720FA05" w:rsidRPr="00E3562B">
        <w:rPr>
          <w:lang w:val="en-GB"/>
        </w:rPr>
        <w:t xml:space="preserve"> their home countries and stringent human rights laws </w:t>
      </w:r>
      <w:r w:rsidR="000A68B5" w:rsidRPr="00E3562B">
        <w:rPr>
          <w:lang w:val="en-GB"/>
        </w:rPr>
        <w:t xml:space="preserve">(Christ &amp; </w:t>
      </w:r>
      <w:proofErr w:type="spellStart"/>
      <w:r w:rsidR="000A68B5" w:rsidRPr="00E3562B">
        <w:rPr>
          <w:lang w:val="en-GB"/>
        </w:rPr>
        <w:t>Helliar</w:t>
      </w:r>
      <w:proofErr w:type="spellEnd"/>
      <w:r w:rsidR="000A68B5" w:rsidRPr="00E3562B">
        <w:rPr>
          <w:lang w:val="en-GB"/>
        </w:rPr>
        <w:t>, 2021; Gold et al., 2015)</w:t>
      </w:r>
      <w:r w:rsidR="2720FA05" w:rsidRPr="00E3562B">
        <w:rPr>
          <w:lang w:val="en-GB"/>
        </w:rPr>
        <w:t>.</w:t>
      </w:r>
    </w:p>
    <w:p w14:paraId="0513444D" w14:textId="77777777" w:rsidR="00514ABD" w:rsidRPr="00E3562B" w:rsidRDefault="00514ABD" w:rsidP="009D52EB">
      <w:pPr>
        <w:rPr>
          <w:lang w:val="en-GB"/>
        </w:rPr>
      </w:pPr>
    </w:p>
    <w:p w14:paraId="120903DE" w14:textId="4A6FB8B6" w:rsidR="00766804" w:rsidRPr="00E3562B" w:rsidRDefault="5D5FFAD2" w:rsidP="3E25BEB8">
      <w:pPr>
        <w:rPr>
          <w:lang w:val="en-GB"/>
        </w:rPr>
      </w:pPr>
      <w:r w:rsidRPr="00E3562B">
        <w:rPr>
          <w:lang w:val="en-GB"/>
        </w:rPr>
        <w:t>To combat this unethical phenomenon, the UK introduced the Modern Slavery Act (MSA) in 2015</w:t>
      </w:r>
      <w:r w:rsidR="0066553C" w:rsidRPr="00E3562B">
        <w:rPr>
          <w:lang w:val="en-GB"/>
        </w:rPr>
        <w:t>,</w:t>
      </w:r>
      <w:r w:rsidRPr="00E3562B">
        <w:rPr>
          <w:lang w:val="en-GB"/>
        </w:rPr>
        <w:t xml:space="preserve"> under which all companies with a turnover</w:t>
      </w:r>
      <w:r w:rsidR="000960CF" w:rsidRPr="00E3562B">
        <w:rPr>
          <w:lang w:val="en-GB"/>
        </w:rPr>
        <w:t xml:space="preserve"> exceeding</w:t>
      </w:r>
      <w:r w:rsidRPr="00E3562B">
        <w:rPr>
          <w:lang w:val="en-GB"/>
        </w:rPr>
        <w:t xml:space="preserve"> £36 million </w:t>
      </w:r>
      <w:r w:rsidR="000960CF" w:rsidRPr="00E3562B">
        <w:rPr>
          <w:lang w:val="en-GB"/>
        </w:rPr>
        <w:t>are required to provide an</w:t>
      </w:r>
      <w:r w:rsidRPr="00E3562B">
        <w:rPr>
          <w:lang w:val="en-GB"/>
        </w:rPr>
        <w:t xml:space="preserve"> annual modern slavery statement. The MSA requires companies to report their actions to combat modern slavery and labour exploitation within </w:t>
      </w:r>
      <w:r w:rsidR="00ED4726" w:rsidRPr="00E3562B">
        <w:rPr>
          <w:lang w:val="en-GB"/>
        </w:rPr>
        <w:t>their operations</w:t>
      </w:r>
      <w:r w:rsidRPr="00E3562B">
        <w:rPr>
          <w:lang w:val="en-GB"/>
        </w:rPr>
        <w:t xml:space="preserve"> and supply chains </w:t>
      </w:r>
      <w:r w:rsidR="000A68B5" w:rsidRPr="00E3562B">
        <w:rPr>
          <w:lang w:val="en-GB"/>
        </w:rPr>
        <w:t>(MSA, 2015)</w:t>
      </w:r>
      <w:r w:rsidRPr="00E3562B">
        <w:rPr>
          <w:lang w:val="en-GB"/>
        </w:rPr>
        <w:t>. Accordingly, a growing</w:t>
      </w:r>
      <w:r w:rsidR="0066553C" w:rsidRPr="00E3562B">
        <w:rPr>
          <w:lang w:val="en-GB"/>
        </w:rPr>
        <w:t xml:space="preserve"> but limited body of</w:t>
      </w:r>
      <w:r w:rsidRPr="00E3562B">
        <w:rPr>
          <w:lang w:val="en-GB"/>
        </w:rPr>
        <w:t xml:space="preserve"> literature examined modern slavery disclosures (MSD) by UK companies in response to this regulatory requirement </w:t>
      </w:r>
      <w:r w:rsidR="000A68B5" w:rsidRPr="00E3562B">
        <w:rPr>
          <w:lang w:val="en-GB"/>
        </w:rPr>
        <w:t>(e.g., Flynn, 2020; Rogerson et al., 2020)</w:t>
      </w:r>
      <w:r w:rsidRPr="00E3562B">
        <w:rPr>
          <w:lang w:val="en-GB"/>
        </w:rPr>
        <w:t>.</w:t>
      </w:r>
    </w:p>
    <w:p w14:paraId="5974E097" w14:textId="77777777" w:rsidR="00766804" w:rsidRPr="00E3562B" w:rsidRDefault="00766804" w:rsidP="00EE60BB">
      <w:pPr>
        <w:rPr>
          <w:lang w:val="en-GB"/>
        </w:rPr>
      </w:pPr>
    </w:p>
    <w:p w14:paraId="530F3AE5" w14:textId="0476CDAE" w:rsidR="006519CD" w:rsidRPr="00E3562B" w:rsidRDefault="0D62C17F" w:rsidP="000960CF">
      <w:pPr>
        <w:rPr>
          <w:lang w:val="en-GB"/>
        </w:rPr>
      </w:pPr>
      <w:r w:rsidRPr="00E3562B">
        <w:rPr>
          <w:lang w:val="en-GB"/>
        </w:rPr>
        <w:t xml:space="preserve">However, the literature remains </w:t>
      </w:r>
      <w:r w:rsidR="0066553C" w:rsidRPr="00E3562B">
        <w:rPr>
          <w:lang w:val="en-GB"/>
        </w:rPr>
        <w:t>scant,</w:t>
      </w:r>
      <w:r w:rsidRPr="00E3562B">
        <w:rPr>
          <w:lang w:val="en-GB"/>
        </w:rPr>
        <w:t xml:space="preserve"> and some calls have emerged to better understand the phenomenon </w:t>
      </w:r>
      <w:r w:rsidR="000A68B5" w:rsidRPr="00E3562B">
        <w:rPr>
          <w:lang w:val="en-GB"/>
        </w:rPr>
        <w:t>(e.g., Christ et al., 2023; Smith &amp; Johns, 2020)</w:t>
      </w:r>
      <w:r w:rsidRPr="00E3562B">
        <w:rPr>
          <w:lang w:val="en-GB"/>
        </w:rPr>
        <w:t xml:space="preserve">. More specifically, a report commissioned by the UK’s Financial Reporting Council </w:t>
      </w:r>
      <w:r w:rsidR="00A33851" w:rsidRPr="00E3562B">
        <w:rPr>
          <w:lang w:val="en-GB"/>
        </w:rPr>
        <w:t>(FRC, 2022, p. 3)</w:t>
      </w:r>
      <w:r w:rsidRPr="00E3562B">
        <w:rPr>
          <w:lang w:val="en-GB"/>
        </w:rPr>
        <w:t xml:space="preserve"> calls for examining </w:t>
      </w:r>
      <w:r w:rsidR="00A33851" w:rsidRPr="00E3562B">
        <w:rPr>
          <w:lang w:val="en-GB"/>
        </w:rPr>
        <w:t>‘</w:t>
      </w:r>
      <w:r w:rsidRPr="00E3562B">
        <w:rPr>
          <w:lang w:val="en-GB"/>
        </w:rPr>
        <w:t xml:space="preserve">company-specific </w:t>
      </w:r>
      <w:r w:rsidR="00A33851" w:rsidRPr="00E3562B">
        <w:rPr>
          <w:lang w:val="en-GB"/>
        </w:rPr>
        <w:t>aspects’</w:t>
      </w:r>
      <w:r w:rsidRPr="00E3562B">
        <w:rPr>
          <w:lang w:val="en-GB"/>
        </w:rPr>
        <w:t xml:space="preserve"> that can shape corporate MSD and highlights the role of </w:t>
      </w:r>
      <w:r w:rsidR="000960CF" w:rsidRPr="00E3562B">
        <w:rPr>
          <w:lang w:val="en-GB"/>
        </w:rPr>
        <w:t xml:space="preserve">corporate </w:t>
      </w:r>
      <w:r w:rsidRPr="00E3562B">
        <w:rPr>
          <w:lang w:val="en-GB"/>
        </w:rPr>
        <w:t xml:space="preserve">leadership </w:t>
      </w:r>
      <w:r w:rsidR="000960CF" w:rsidRPr="00E3562B">
        <w:rPr>
          <w:lang w:val="en-GB"/>
        </w:rPr>
        <w:t>and</w:t>
      </w:r>
      <w:r w:rsidRPr="00E3562B">
        <w:rPr>
          <w:lang w:val="en-GB"/>
        </w:rPr>
        <w:t xml:space="preserve"> culture. Noting that company size is not necessarily a significant factor in determining </w:t>
      </w:r>
      <w:r w:rsidR="0096455E" w:rsidRPr="00E3562B">
        <w:rPr>
          <w:lang w:val="en-GB"/>
        </w:rPr>
        <w:t xml:space="preserve">the extent of </w:t>
      </w:r>
      <w:r w:rsidRPr="00E3562B">
        <w:rPr>
          <w:lang w:val="en-GB"/>
        </w:rPr>
        <w:t xml:space="preserve">MSD, </w:t>
      </w:r>
      <w:r w:rsidR="000960CF" w:rsidRPr="00E3562B">
        <w:rPr>
          <w:lang w:val="en-GB"/>
        </w:rPr>
        <w:t xml:space="preserve">the report concludes that the findings are unexpected and </w:t>
      </w:r>
      <w:r w:rsidR="000960CF" w:rsidRPr="00E3562B">
        <w:rPr>
          <w:lang w:val="en-GB"/>
        </w:rPr>
        <w:lastRenderedPageBreak/>
        <w:t xml:space="preserve">indicate that factors other than public oversight and internal capabilities might influence the reporting of modern slavery </w:t>
      </w:r>
      <w:r w:rsidR="000A68B5" w:rsidRPr="00E3562B">
        <w:rPr>
          <w:lang w:val="en-GB"/>
        </w:rPr>
        <w:t>(FRC, 2022)</w:t>
      </w:r>
      <w:r w:rsidRPr="00E3562B">
        <w:rPr>
          <w:lang w:val="en-GB"/>
        </w:rPr>
        <w:t xml:space="preserve">. </w:t>
      </w:r>
      <w:r w:rsidR="006519CD" w:rsidRPr="00E3562B">
        <w:rPr>
          <w:lang w:val="en-GB"/>
        </w:rPr>
        <w:t xml:space="preserve">Indeed, prior empirical evidence suggests that women directors care more about ethical matters (Cumming et al., 2015; </w:t>
      </w:r>
      <w:proofErr w:type="spellStart"/>
      <w:r w:rsidR="006519CD" w:rsidRPr="00E3562B">
        <w:rPr>
          <w:lang w:val="en-GB"/>
        </w:rPr>
        <w:t>Muttakin</w:t>
      </w:r>
      <w:proofErr w:type="spellEnd"/>
      <w:r w:rsidR="006519CD" w:rsidRPr="00E3562B">
        <w:rPr>
          <w:lang w:val="en-GB"/>
        </w:rPr>
        <w:t xml:space="preserve"> et al., 2022) and are likely to influence board decisions on such matters. Several studies report a positive </w:t>
      </w:r>
      <w:r w:rsidR="00C96A7B" w:rsidRPr="00E3562B">
        <w:rPr>
          <w:lang w:val="en-GB"/>
        </w:rPr>
        <w:t xml:space="preserve">association </w:t>
      </w:r>
      <w:r w:rsidR="00D70552" w:rsidRPr="00E3562B">
        <w:rPr>
          <w:lang w:val="en-GB"/>
        </w:rPr>
        <w:t>between</w:t>
      </w:r>
      <w:r w:rsidR="006519CD" w:rsidRPr="00E3562B">
        <w:rPr>
          <w:lang w:val="en-GB"/>
        </w:rPr>
        <w:t xml:space="preserve"> corporate</w:t>
      </w:r>
      <w:r w:rsidR="00D70552" w:rsidRPr="00E3562B">
        <w:rPr>
          <w:lang w:val="en-GB"/>
        </w:rPr>
        <w:t xml:space="preserve"> biodiversity</w:t>
      </w:r>
      <w:r w:rsidR="006519CD" w:rsidRPr="00E3562B">
        <w:rPr>
          <w:lang w:val="en-GB"/>
        </w:rPr>
        <w:t xml:space="preserve"> disclosure </w:t>
      </w:r>
      <w:r w:rsidR="00D70552" w:rsidRPr="00E3562B">
        <w:rPr>
          <w:noProof/>
          <w:lang w:val="en-GB"/>
        </w:rPr>
        <w:t>(Haque &amp; Jones, 2020)</w:t>
      </w:r>
      <w:r w:rsidR="00D70552" w:rsidRPr="00E3562B">
        <w:rPr>
          <w:lang w:val="en-GB"/>
        </w:rPr>
        <w:t>, environmental, social</w:t>
      </w:r>
      <w:r w:rsidR="005D6588" w:rsidRPr="00E3562B">
        <w:rPr>
          <w:lang w:val="en-GB"/>
        </w:rPr>
        <w:t>,</w:t>
      </w:r>
      <w:r w:rsidR="00D70552" w:rsidRPr="00E3562B">
        <w:rPr>
          <w:lang w:val="en-GB"/>
        </w:rPr>
        <w:t xml:space="preserve"> and governance disclosure </w:t>
      </w:r>
      <w:r w:rsidR="00D70552" w:rsidRPr="00E3562B">
        <w:rPr>
          <w:noProof/>
          <w:lang w:val="en-GB"/>
        </w:rPr>
        <w:t>(Husted &amp; Sousa-Filho, 2019)</w:t>
      </w:r>
      <w:r w:rsidR="00D70552" w:rsidRPr="00E3562B">
        <w:rPr>
          <w:lang w:val="en-GB"/>
        </w:rPr>
        <w:t xml:space="preserve">, and the readability of annual reports </w:t>
      </w:r>
      <w:r w:rsidR="00D70552" w:rsidRPr="00E3562B">
        <w:rPr>
          <w:noProof/>
          <w:lang w:val="en-GB"/>
        </w:rPr>
        <w:t>(Nadeem, 2022)</w:t>
      </w:r>
      <w:r w:rsidR="006519CD" w:rsidRPr="00E3562B">
        <w:rPr>
          <w:lang w:val="en-GB"/>
        </w:rPr>
        <w:t>.</w:t>
      </w:r>
    </w:p>
    <w:p w14:paraId="67B2AF8A" w14:textId="77777777" w:rsidR="00766804" w:rsidRPr="00E3562B" w:rsidRDefault="00766804" w:rsidP="00B7166E">
      <w:pPr>
        <w:rPr>
          <w:lang w:val="en-GB"/>
        </w:rPr>
      </w:pPr>
    </w:p>
    <w:p w14:paraId="2BB3258C" w14:textId="022F17B9" w:rsidR="00766804" w:rsidRPr="00E3562B" w:rsidRDefault="00471933" w:rsidP="4162382F">
      <w:pPr>
        <w:rPr>
          <w:lang w:val="en-GB"/>
        </w:rPr>
      </w:pPr>
      <w:r w:rsidRPr="00E3562B">
        <w:rPr>
          <w:lang w:val="en-GB"/>
        </w:rPr>
        <w:t xml:space="preserve">On the other hand, we know from the literature that </w:t>
      </w:r>
      <w:r w:rsidR="00730507" w:rsidRPr="00E3562B">
        <w:rPr>
          <w:lang w:val="en-GB"/>
        </w:rPr>
        <w:t>other corporate leadership features</w:t>
      </w:r>
      <w:r w:rsidRPr="00E3562B">
        <w:rPr>
          <w:lang w:val="en-GB"/>
        </w:rPr>
        <w:t xml:space="preserve"> </w:t>
      </w:r>
      <w:r w:rsidR="00766804" w:rsidRPr="00E3562B">
        <w:rPr>
          <w:lang w:val="en-GB"/>
        </w:rPr>
        <w:t xml:space="preserve">may </w:t>
      </w:r>
      <w:r w:rsidRPr="00E3562B">
        <w:rPr>
          <w:lang w:val="en-GB"/>
        </w:rPr>
        <w:t xml:space="preserve">potentially have </w:t>
      </w:r>
      <w:r w:rsidR="00730507" w:rsidRPr="00E3562B">
        <w:rPr>
          <w:lang w:val="en-GB"/>
        </w:rPr>
        <w:t xml:space="preserve">a </w:t>
      </w:r>
      <w:r w:rsidRPr="00E3562B">
        <w:rPr>
          <w:lang w:val="en-GB"/>
        </w:rPr>
        <w:t xml:space="preserve">negative </w:t>
      </w:r>
      <w:r w:rsidR="00C96A7B" w:rsidRPr="00E3562B">
        <w:rPr>
          <w:lang w:val="en-GB"/>
        </w:rPr>
        <w:t>association with</w:t>
      </w:r>
      <w:r w:rsidRPr="00E3562B">
        <w:rPr>
          <w:lang w:val="en-GB"/>
        </w:rPr>
        <w:t xml:space="preserve"> corporate disclosure</w:t>
      </w:r>
      <w:r w:rsidR="0066553C" w:rsidRPr="00E3562B">
        <w:rPr>
          <w:lang w:val="en-GB"/>
        </w:rPr>
        <w:t>,</w:t>
      </w:r>
      <w:r w:rsidRPr="00E3562B">
        <w:rPr>
          <w:lang w:val="en-GB"/>
        </w:rPr>
        <w:t xml:space="preserve"> specifically, CEO (Chief Executive Officer) power.</w:t>
      </w:r>
      <w:r w:rsidR="00766804" w:rsidRPr="00E3562B">
        <w:rPr>
          <w:lang w:val="en-GB"/>
        </w:rPr>
        <w:t xml:space="preserve"> </w:t>
      </w:r>
      <w:r w:rsidR="2720FA05" w:rsidRPr="00E3562B">
        <w:rPr>
          <w:lang w:val="en-GB"/>
        </w:rPr>
        <w:t xml:space="preserve">CEOs are known to be the most powerful characters on corporate boards and can </w:t>
      </w:r>
      <w:r w:rsidR="00662B9B" w:rsidRPr="00E3562B">
        <w:rPr>
          <w:lang w:val="en-GB"/>
        </w:rPr>
        <w:t>significantly influence</w:t>
      </w:r>
      <w:r w:rsidR="2720FA05" w:rsidRPr="00E3562B">
        <w:rPr>
          <w:lang w:val="en-GB"/>
        </w:rPr>
        <w:t xml:space="preserve"> various crucial decisions </w:t>
      </w:r>
      <w:r w:rsidR="000A68B5" w:rsidRPr="00E3562B">
        <w:rPr>
          <w:lang w:val="en-GB"/>
        </w:rPr>
        <w:t>(Daily &amp; Johnson, 1997)</w:t>
      </w:r>
      <w:r w:rsidRPr="00E3562B">
        <w:rPr>
          <w:lang w:val="en-GB"/>
        </w:rPr>
        <w:t xml:space="preserve">. </w:t>
      </w:r>
      <w:r w:rsidR="2720FA05" w:rsidRPr="00E3562B">
        <w:rPr>
          <w:lang w:val="en-GB"/>
        </w:rPr>
        <w:t>Dominant CEOs</w:t>
      </w:r>
      <w:r w:rsidR="00872876" w:rsidRPr="00E3562B">
        <w:rPr>
          <w:lang w:val="en-GB"/>
        </w:rPr>
        <w:t xml:space="preserve"> may focus on serving their interests </w:t>
      </w:r>
      <w:r w:rsidR="000A68B5" w:rsidRPr="00E3562B">
        <w:rPr>
          <w:lang w:val="en-GB"/>
        </w:rPr>
        <w:t>(Byun &amp; Al-Shammari, 2021; Sun et al., 2022)</w:t>
      </w:r>
      <w:r w:rsidR="00872876" w:rsidRPr="00E3562B">
        <w:rPr>
          <w:lang w:val="en-GB"/>
        </w:rPr>
        <w:t xml:space="preserve"> and</w:t>
      </w:r>
      <w:r w:rsidR="2720FA05" w:rsidRPr="00E3562B">
        <w:rPr>
          <w:lang w:val="en-GB"/>
        </w:rPr>
        <w:t xml:space="preserve"> can limit the monitoring capabilities of the board </w:t>
      </w:r>
      <w:r w:rsidR="000A68B5" w:rsidRPr="00E3562B">
        <w:rPr>
          <w:lang w:val="en-GB"/>
        </w:rPr>
        <w:t xml:space="preserve">(Boyd, 1994; Dalton &amp; Kesner, 1987; </w:t>
      </w:r>
      <w:proofErr w:type="spellStart"/>
      <w:r w:rsidR="000A68B5" w:rsidRPr="00E3562B">
        <w:rPr>
          <w:lang w:val="en-GB"/>
        </w:rPr>
        <w:t>Muttakin</w:t>
      </w:r>
      <w:proofErr w:type="spellEnd"/>
      <w:r w:rsidR="000A68B5" w:rsidRPr="00E3562B">
        <w:rPr>
          <w:lang w:val="en-GB"/>
        </w:rPr>
        <w:t xml:space="preserve"> et al., 2018)</w:t>
      </w:r>
      <w:r w:rsidR="2720FA05" w:rsidRPr="00E3562B">
        <w:rPr>
          <w:lang w:val="en-GB"/>
        </w:rPr>
        <w:t xml:space="preserve">. Thus, powerful CEOs may </w:t>
      </w:r>
      <w:r w:rsidR="00EA05AE" w:rsidRPr="00E3562B">
        <w:rPr>
          <w:lang w:val="en-GB"/>
        </w:rPr>
        <w:t>tend</w:t>
      </w:r>
      <w:r w:rsidR="2720FA05" w:rsidRPr="00E3562B">
        <w:rPr>
          <w:lang w:val="en-GB"/>
        </w:rPr>
        <w:t xml:space="preserve"> to limit corporate disclosures </w:t>
      </w:r>
      <w:r w:rsidR="00C6743E" w:rsidRPr="00E3562B">
        <w:rPr>
          <w:lang w:val="en-GB"/>
        </w:rPr>
        <w:t>to</w:t>
      </w:r>
      <w:r w:rsidR="2720FA05" w:rsidRPr="00E3562B">
        <w:rPr>
          <w:lang w:val="en-GB"/>
        </w:rPr>
        <w:t xml:space="preserve"> minimise their exposure to public scrutiny. </w:t>
      </w:r>
      <w:r w:rsidR="00EA05AE" w:rsidRPr="00E3562B">
        <w:rPr>
          <w:lang w:val="en-GB"/>
        </w:rPr>
        <w:t xml:space="preserve">Indeed, this notion is supported by empirical evidence </w:t>
      </w:r>
      <w:r w:rsidR="000A68B5" w:rsidRPr="00E3562B">
        <w:rPr>
          <w:lang w:val="en-GB"/>
        </w:rPr>
        <w:t xml:space="preserve">(e.g., Al-Shaer et al., 2022; Li et al., 2018; </w:t>
      </w:r>
      <w:proofErr w:type="spellStart"/>
      <w:r w:rsidR="000A68B5" w:rsidRPr="00E3562B">
        <w:rPr>
          <w:lang w:val="en-GB"/>
        </w:rPr>
        <w:t>Muttakin</w:t>
      </w:r>
      <w:proofErr w:type="spellEnd"/>
      <w:r w:rsidR="000A68B5" w:rsidRPr="00E3562B">
        <w:rPr>
          <w:lang w:val="en-GB"/>
        </w:rPr>
        <w:t xml:space="preserve"> et al., 2018; Velte, 2020)</w:t>
      </w:r>
      <w:r w:rsidR="004004E6" w:rsidRPr="00E3562B">
        <w:rPr>
          <w:lang w:val="en-GB"/>
        </w:rPr>
        <w:t>,</w:t>
      </w:r>
      <w:r w:rsidR="2720FA05" w:rsidRPr="00E3562B">
        <w:rPr>
          <w:lang w:val="en-GB"/>
        </w:rPr>
        <w:t xml:space="preserve"> with the majority reporting a negative association.</w:t>
      </w:r>
    </w:p>
    <w:p w14:paraId="24032DD4" w14:textId="77777777" w:rsidR="00766804" w:rsidRPr="00E3562B" w:rsidRDefault="00766804" w:rsidP="4162382F">
      <w:pPr>
        <w:rPr>
          <w:lang w:val="en-GB"/>
        </w:rPr>
      </w:pPr>
    </w:p>
    <w:p w14:paraId="3D6F2504" w14:textId="3CF46E93" w:rsidR="00230213" w:rsidRPr="00E3562B" w:rsidRDefault="684E6959" w:rsidP="006519CD">
      <w:pPr>
        <w:rPr>
          <w:lang w:val="en-GB"/>
        </w:rPr>
      </w:pPr>
      <w:r w:rsidRPr="00E3562B">
        <w:rPr>
          <w:lang w:val="en-GB"/>
        </w:rPr>
        <w:t xml:space="preserve">Thus, there seem to be conflicting forces within corporate boards with different </w:t>
      </w:r>
      <w:r w:rsidR="00522FC6" w:rsidRPr="00E3562B">
        <w:rPr>
          <w:lang w:val="en-GB"/>
        </w:rPr>
        <w:t>impacts on</w:t>
      </w:r>
      <w:r w:rsidRPr="00E3562B">
        <w:rPr>
          <w:lang w:val="en-GB"/>
        </w:rPr>
        <w:t xml:space="preserve"> corporate disclosure and, to the best of our knowledge, the interplay between these forces has not been examined in the literature. </w:t>
      </w:r>
      <w:r w:rsidR="006519CD" w:rsidRPr="00E3562B">
        <w:rPr>
          <w:lang w:val="en-GB"/>
        </w:rPr>
        <w:t>T</w:t>
      </w:r>
      <w:r w:rsidRPr="00E3562B">
        <w:rPr>
          <w:lang w:val="en-GB"/>
        </w:rPr>
        <w:t xml:space="preserve">here is evidence that board gender diversity (BGD) can be an effective monitoring mechanism that limits CEO power </w:t>
      </w:r>
      <w:r w:rsidR="000A68B5" w:rsidRPr="00E3562B">
        <w:rPr>
          <w:lang w:val="en-GB"/>
        </w:rPr>
        <w:t>(i.e., Ting &amp; Huang, 2018)</w:t>
      </w:r>
      <w:r w:rsidRPr="00E3562B">
        <w:rPr>
          <w:lang w:val="en-GB"/>
        </w:rPr>
        <w:t xml:space="preserve">. Accordingly, a potential confrontation may arise between powerful CEOs and women sitting on the board of directors. </w:t>
      </w:r>
      <w:r w:rsidR="008942F7" w:rsidRPr="00E3562B">
        <w:rPr>
          <w:rFonts w:eastAsia="Calibri" w:cstheme="minorHAnsi"/>
          <w:szCs w:val="24"/>
          <w:lang w:val="en-GB"/>
        </w:rPr>
        <w:t xml:space="preserve">Female board members may challenge groupthink and introduce </w:t>
      </w:r>
      <w:r w:rsidR="008942F7" w:rsidRPr="00E3562B">
        <w:rPr>
          <w:rFonts w:eastAsia="Calibri" w:cstheme="minorHAnsi"/>
          <w:szCs w:val="24"/>
          <w:lang w:val="en-GB"/>
        </w:rPr>
        <w:lastRenderedPageBreak/>
        <w:t xml:space="preserve">diverse perspectives that can alter the board's dynamics, potentially mitigating the negative impacts of CEO power on issues like </w:t>
      </w:r>
      <w:r w:rsidR="00317A99" w:rsidRPr="00E3562B">
        <w:rPr>
          <w:rFonts w:eastAsia="Calibri" w:cstheme="minorHAnsi"/>
          <w:szCs w:val="24"/>
          <w:lang w:val="en-GB"/>
        </w:rPr>
        <w:t>MSD</w:t>
      </w:r>
      <w:r w:rsidR="008942F7" w:rsidRPr="00E3562B">
        <w:rPr>
          <w:rFonts w:eastAsia="Calibri" w:cstheme="minorHAnsi"/>
          <w:szCs w:val="24"/>
          <w:lang w:val="en-GB"/>
        </w:rPr>
        <w:t xml:space="preserve"> by encouraging more ethical and collective decision-making. </w:t>
      </w:r>
      <w:r w:rsidRPr="00E3562B">
        <w:rPr>
          <w:lang w:val="en-GB"/>
        </w:rPr>
        <w:t xml:space="preserve">An empirical investigation is thus warranted to identify whether </w:t>
      </w:r>
      <w:r w:rsidR="00E425F5" w:rsidRPr="00E3562B">
        <w:rPr>
          <w:lang w:val="en-GB"/>
        </w:rPr>
        <w:t>BGD</w:t>
      </w:r>
      <w:r w:rsidRPr="00E3562B">
        <w:rPr>
          <w:lang w:val="en-GB"/>
        </w:rPr>
        <w:t xml:space="preserve"> can limit the negative influence of CEO power on corporate </w:t>
      </w:r>
      <w:r w:rsidR="00317A99" w:rsidRPr="00E3562B">
        <w:rPr>
          <w:lang w:val="en-GB"/>
        </w:rPr>
        <w:t>MSD</w:t>
      </w:r>
      <w:r w:rsidRPr="00E3562B">
        <w:rPr>
          <w:lang w:val="en-GB"/>
        </w:rPr>
        <w:t>.</w:t>
      </w:r>
    </w:p>
    <w:p w14:paraId="62A43049" w14:textId="77777777" w:rsidR="00806FF2" w:rsidRPr="00E3562B" w:rsidRDefault="00806FF2">
      <w:pPr>
        <w:rPr>
          <w:rFonts w:eastAsia="Aptos"/>
          <w:lang w:val="en-GB"/>
        </w:rPr>
      </w:pPr>
    </w:p>
    <w:p w14:paraId="5A01E2FA" w14:textId="63ADB5EC" w:rsidR="005D6588" w:rsidRPr="00E3562B" w:rsidRDefault="004919D8" w:rsidP="00806FF2">
      <w:pPr>
        <w:rPr>
          <w:lang w:val="en-GB"/>
        </w:rPr>
      </w:pPr>
      <w:r w:rsidRPr="00E3562B">
        <w:rPr>
          <w:rFonts w:eastAsia="Aptos"/>
          <w:lang w:val="en-GB"/>
        </w:rPr>
        <w:t>Based on a sample comprising the FTSE 100 companies over the period 2016-2020, t</w:t>
      </w:r>
      <w:r w:rsidR="2A2C3BCF" w:rsidRPr="00E3562B">
        <w:rPr>
          <w:rFonts w:eastAsia="Aptos"/>
          <w:lang w:val="en-GB"/>
        </w:rPr>
        <w:t xml:space="preserve">his research </w:t>
      </w:r>
      <w:r w:rsidR="00806FF2" w:rsidRPr="00E3562B">
        <w:rPr>
          <w:rFonts w:eastAsia="Aptos"/>
          <w:lang w:val="en-GB"/>
        </w:rPr>
        <w:t xml:space="preserve">examines </w:t>
      </w:r>
      <w:r w:rsidR="2A2C3BCF" w:rsidRPr="00E3562B">
        <w:rPr>
          <w:rFonts w:eastAsia="Aptos"/>
          <w:lang w:val="en-GB"/>
        </w:rPr>
        <w:t>how these two key aspects of corporate board</w:t>
      </w:r>
      <w:r w:rsidR="00730507" w:rsidRPr="00E3562B">
        <w:rPr>
          <w:rFonts w:eastAsia="Aptos"/>
          <w:lang w:val="en-GB"/>
        </w:rPr>
        <w:t>s</w:t>
      </w:r>
      <w:r w:rsidR="2A2C3BCF" w:rsidRPr="00E3562B">
        <w:rPr>
          <w:rFonts w:eastAsia="Aptos"/>
          <w:lang w:val="en-GB"/>
        </w:rPr>
        <w:t xml:space="preserve"> interact and collectively influence MSD. Understanding board dynamics is crucial as it significantly affects a company's strategic direction, risk management, and overall governance quality. In the context of </w:t>
      </w:r>
      <w:r w:rsidR="00317A99" w:rsidRPr="00E3562B">
        <w:rPr>
          <w:rFonts w:eastAsia="Aptos"/>
          <w:lang w:val="en-GB"/>
        </w:rPr>
        <w:t>MSD</w:t>
      </w:r>
      <w:r w:rsidR="2A2C3BCF" w:rsidRPr="00E3562B">
        <w:rPr>
          <w:rFonts w:eastAsia="Aptos"/>
          <w:lang w:val="en-GB"/>
        </w:rPr>
        <w:t>, the dynamics of the board play a vital role in determining the seriousness and effectiveness with which these issues are addressed. Thus, t</w:t>
      </w:r>
      <w:r w:rsidR="2A2C3BCF" w:rsidRPr="00E3562B">
        <w:rPr>
          <w:lang w:val="en-GB"/>
        </w:rPr>
        <w:t xml:space="preserve">his paper aims to </w:t>
      </w:r>
      <w:r w:rsidR="00806FF2" w:rsidRPr="00E3562B">
        <w:rPr>
          <w:lang w:val="en-GB"/>
        </w:rPr>
        <w:t>address</w:t>
      </w:r>
      <w:r w:rsidR="2A2C3BCF" w:rsidRPr="00E3562B">
        <w:rPr>
          <w:lang w:val="en-GB"/>
        </w:rPr>
        <w:t xml:space="preserve"> this gap by </w:t>
      </w:r>
      <w:r w:rsidR="00FF0AAF" w:rsidRPr="00E3562B">
        <w:rPr>
          <w:lang w:val="en-GB"/>
        </w:rPr>
        <w:t>investigating the</w:t>
      </w:r>
      <w:r w:rsidR="2A2C3BCF" w:rsidRPr="00E3562B">
        <w:rPr>
          <w:lang w:val="en-GB"/>
        </w:rPr>
        <w:t xml:space="preserve"> interplay between board dynamics, particularly board diversity and CEO power, and its</w:t>
      </w:r>
      <w:r w:rsidR="00522FC6" w:rsidRPr="00E3562B">
        <w:rPr>
          <w:lang w:val="en-GB"/>
        </w:rPr>
        <w:t xml:space="preserve"> association with</w:t>
      </w:r>
      <w:r w:rsidR="2A2C3BCF" w:rsidRPr="00E3562B">
        <w:rPr>
          <w:lang w:val="en-GB"/>
        </w:rPr>
        <w:t xml:space="preserve"> corporate disclosures regarding modern slavery in UK companies</w:t>
      </w:r>
      <w:r w:rsidR="2A2C3BCF" w:rsidRPr="00E3562B">
        <w:rPr>
          <w:rFonts w:eastAsia="Aptos"/>
          <w:lang w:val="en-GB"/>
        </w:rPr>
        <w:t>.</w:t>
      </w:r>
      <w:r w:rsidR="2A2C3BCF" w:rsidRPr="00E3562B">
        <w:rPr>
          <w:lang w:val="en-GB"/>
        </w:rPr>
        <w:t xml:space="preserve"> Accordingly, this research not only contributes to a </w:t>
      </w:r>
      <w:r w:rsidR="00806FF2" w:rsidRPr="00E3562B">
        <w:rPr>
          <w:lang w:val="en-GB"/>
        </w:rPr>
        <w:t xml:space="preserve">deeper </w:t>
      </w:r>
      <w:r w:rsidR="2A2C3BCF" w:rsidRPr="00E3562B">
        <w:rPr>
          <w:lang w:val="en-GB"/>
        </w:rPr>
        <w:t>understanding of corporate governance dynamics but also sheds light on the mechanisms that shape corporate transparency and ethical reporting in the context of modern slavery, a critical issue in contemporary business ethics and corporate social responsibility.</w:t>
      </w:r>
    </w:p>
    <w:p w14:paraId="23F78C2B" w14:textId="77777777" w:rsidR="005D6588" w:rsidRPr="00E3562B" w:rsidRDefault="005D6588" w:rsidP="00806FF2">
      <w:pPr>
        <w:rPr>
          <w:lang w:val="en-GB"/>
        </w:rPr>
      </w:pPr>
    </w:p>
    <w:p w14:paraId="7AE4788F" w14:textId="7F951E38" w:rsidR="005D6588" w:rsidRPr="00E3562B" w:rsidRDefault="005D6588" w:rsidP="005D6588">
      <w:pPr>
        <w:rPr>
          <w:lang w:val="en-GB"/>
        </w:rPr>
      </w:pPr>
      <w:r w:rsidRPr="00E3562B">
        <w:rPr>
          <w:lang w:val="en-GB"/>
        </w:rPr>
        <w:t xml:space="preserve">This study substantiates both theoretical and practical implications by supporting agency and gender socialization theories. We demonstrate that female board members, likely due to higher ethical sensitivities, advocate for enhanced transparency in </w:t>
      </w:r>
      <w:r w:rsidR="00317A99" w:rsidRPr="00E3562B">
        <w:rPr>
          <w:lang w:val="en-GB"/>
        </w:rPr>
        <w:t>MSD</w:t>
      </w:r>
      <w:r w:rsidRPr="00E3562B">
        <w:rPr>
          <w:lang w:val="en-GB"/>
        </w:rPr>
        <w:t xml:space="preserve">. Our findings highlight the inadequacy of the current UK </w:t>
      </w:r>
      <w:r w:rsidR="00317A99" w:rsidRPr="00E3562B">
        <w:rPr>
          <w:lang w:val="en-GB"/>
        </w:rPr>
        <w:t>MSA</w:t>
      </w:r>
      <w:r w:rsidRPr="00E3562B">
        <w:rPr>
          <w:lang w:val="en-GB"/>
        </w:rPr>
        <w:t xml:space="preserve"> provisions in motivating sufficient corporate disclosure, which hinders effective stakeholder evaluation. We recommend more stringent policies for improved disclosure practices and increased penalties for non-compliance. Additionally, our research supports increasing female board representation to enhance corporate governance and </w:t>
      </w:r>
      <w:r w:rsidRPr="00E3562B">
        <w:rPr>
          <w:lang w:val="en-GB"/>
        </w:rPr>
        <w:lastRenderedPageBreak/>
        <w:t>promote broader societal goals aligned with the United Nations’ Sustainable Development Goals. The presence of women on the board also plays a critical role in moderating the negative impacts of CEO power, fostering a more balanced and transparent governance environment, thus ensuring that executive decisions align with ethical standards and stakeholder interests.</w:t>
      </w:r>
    </w:p>
    <w:p w14:paraId="29F211D8" w14:textId="77777777" w:rsidR="005D6588" w:rsidRPr="00E3562B" w:rsidRDefault="005D6588" w:rsidP="005D6588">
      <w:pPr>
        <w:rPr>
          <w:lang w:val="en-GB"/>
        </w:rPr>
      </w:pPr>
    </w:p>
    <w:p w14:paraId="6BA91785" w14:textId="005FBB99" w:rsidR="008A1F6B" w:rsidRPr="00E3562B" w:rsidRDefault="005D6588" w:rsidP="4162382F">
      <w:pPr>
        <w:rPr>
          <w:lang w:val="en-GB"/>
        </w:rPr>
      </w:pPr>
      <w:r w:rsidRPr="00E3562B">
        <w:rPr>
          <w:lang w:val="en-GB"/>
        </w:rPr>
        <w:t xml:space="preserve">Building on these findings, our study contributes several new insights to the literature. First, it represents one of the first efforts to investigate how corporate leadership affects a company's </w:t>
      </w:r>
      <w:r w:rsidR="00317A99" w:rsidRPr="00E3562B">
        <w:rPr>
          <w:lang w:val="en-GB"/>
        </w:rPr>
        <w:t>MSD</w:t>
      </w:r>
      <w:r w:rsidRPr="00E3562B">
        <w:rPr>
          <w:lang w:val="en-GB"/>
        </w:rPr>
        <w:t xml:space="preserve">, responding to calls from the FRC for more evidence-based research on board leadership's impact on companies' disclosure practices </w:t>
      </w:r>
      <w:r w:rsidR="00E2290D" w:rsidRPr="00E3562B">
        <w:rPr>
          <w:lang w:val="en-GB"/>
        </w:rPr>
        <w:t>(FRC, 2022)</w:t>
      </w:r>
      <w:r w:rsidRPr="00E3562B">
        <w:rPr>
          <w:lang w:val="en-GB"/>
        </w:rPr>
        <w:t xml:space="preserve">. Second, by focusing on the role of women directors in moderating CEO power, our study enriches the gender-specific CSR research </w:t>
      </w:r>
      <w:r w:rsidR="00E2290D" w:rsidRPr="00E3562B">
        <w:rPr>
          <w:lang w:val="en-GB"/>
        </w:rPr>
        <w:t>(e.g., Haque, 2017; Haque &amp; Jones, 2020; Liao et al., 2015; Moussa et al., 2020)</w:t>
      </w:r>
      <w:r w:rsidRPr="00E3562B">
        <w:rPr>
          <w:lang w:val="en-GB"/>
        </w:rPr>
        <w:t xml:space="preserve">. We explore the potential of female board members to enhance board monitoring functions and limit the dominance of powerful CEOs, thereby influencing the company’s MSD. Third, we are among the first to </w:t>
      </w:r>
      <w:proofErr w:type="spellStart"/>
      <w:r w:rsidRPr="00E3562B">
        <w:rPr>
          <w:lang w:val="en-GB"/>
        </w:rPr>
        <w:t>analyze</w:t>
      </w:r>
      <w:proofErr w:type="spellEnd"/>
      <w:r w:rsidRPr="00E3562B">
        <w:rPr>
          <w:lang w:val="en-GB"/>
        </w:rPr>
        <w:t xml:space="preserve"> the extent to which UK companies have reported on modern slavery practices over an extended period.</w:t>
      </w:r>
    </w:p>
    <w:p w14:paraId="0949D840" w14:textId="77777777" w:rsidR="00E2290D" w:rsidRPr="00E3562B" w:rsidRDefault="00E2290D" w:rsidP="4162382F">
      <w:pPr>
        <w:rPr>
          <w:lang w:val="en-GB"/>
        </w:rPr>
      </w:pPr>
    </w:p>
    <w:p w14:paraId="03BAF3E8" w14:textId="59CE2A24" w:rsidR="000A4BEC" w:rsidRPr="00E3562B" w:rsidRDefault="00831239" w:rsidP="00ED6FCF">
      <w:pPr>
        <w:rPr>
          <w:lang w:val="en-GB"/>
        </w:rPr>
      </w:pPr>
      <w:r w:rsidRPr="00E3562B">
        <w:rPr>
          <w:lang w:val="en-GB"/>
        </w:rPr>
        <w:t xml:space="preserve">The remainder of this paper is </w:t>
      </w:r>
      <w:r w:rsidR="00DE2FBF" w:rsidRPr="00E3562B">
        <w:rPr>
          <w:lang w:val="en-GB"/>
        </w:rPr>
        <w:t>organised</w:t>
      </w:r>
      <w:r w:rsidRPr="00E3562B">
        <w:rPr>
          <w:lang w:val="en-GB"/>
        </w:rPr>
        <w:t xml:space="preserve"> as follows. </w:t>
      </w:r>
      <w:r w:rsidR="00DE2FBF" w:rsidRPr="00E3562B">
        <w:rPr>
          <w:lang w:val="en-GB"/>
        </w:rPr>
        <w:t xml:space="preserve">In the following section, we </w:t>
      </w:r>
      <w:r w:rsidR="00466AAD" w:rsidRPr="00E3562B">
        <w:rPr>
          <w:lang w:val="en-GB"/>
        </w:rPr>
        <w:t>review</w:t>
      </w:r>
      <w:r w:rsidR="00DE2FBF" w:rsidRPr="00E3562B">
        <w:rPr>
          <w:lang w:val="en-GB"/>
        </w:rPr>
        <w:t xml:space="preserve"> the literature</w:t>
      </w:r>
      <w:r w:rsidR="00437C94" w:rsidRPr="00E3562B">
        <w:rPr>
          <w:lang w:val="en-GB"/>
        </w:rPr>
        <w:t xml:space="preserve"> </w:t>
      </w:r>
      <w:r w:rsidR="009511ED" w:rsidRPr="00E3562B">
        <w:rPr>
          <w:lang w:val="en-GB"/>
        </w:rPr>
        <w:t xml:space="preserve">on </w:t>
      </w:r>
      <w:r w:rsidR="00DE2FBF" w:rsidRPr="00E3562B">
        <w:rPr>
          <w:lang w:val="en-GB"/>
        </w:rPr>
        <w:t>modern slavery</w:t>
      </w:r>
      <w:r w:rsidR="00466AAD" w:rsidRPr="00E3562B">
        <w:rPr>
          <w:lang w:val="en-GB"/>
        </w:rPr>
        <w:t>,</w:t>
      </w:r>
      <w:r w:rsidR="00437C94" w:rsidRPr="00E3562B">
        <w:rPr>
          <w:lang w:val="en-GB"/>
        </w:rPr>
        <w:t xml:space="preserve"> </w:t>
      </w:r>
      <w:r w:rsidR="00DE2FBF" w:rsidRPr="00E3562B">
        <w:rPr>
          <w:lang w:val="en-GB"/>
        </w:rPr>
        <w:t xml:space="preserve">highlighting its definitions </w:t>
      </w:r>
      <w:r w:rsidR="00466AAD" w:rsidRPr="00E3562B">
        <w:rPr>
          <w:lang w:val="en-GB"/>
        </w:rPr>
        <w:t xml:space="preserve">and </w:t>
      </w:r>
      <w:r w:rsidR="001169AF" w:rsidRPr="00E3562B">
        <w:rPr>
          <w:lang w:val="en-GB"/>
        </w:rPr>
        <w:t>the findings of recent studies.</w:t>
      </w:r>
      <w:r w:rsidR="00437C94" w:rsidRPr="00E3562B">
        <w:rPr>
          <w:lang w:val="en-GB"/>
        </w:rPr>
        <w:t xml:space="preserve"> </w:t>
      </w:r>
      <w:r w:rsidR="001169AF" w:rsidRPr="00E3562B">
        <w:rPr>
          <w:lang w:val="en-GB"/>
        </w:rPr>
        <w:t>We then discuss</w:t>
      </w:r>
      <w:r w:rsidRPr="00E3562B">
        <w:rPr>
          <w:lang w:val="en-GB"/>
        </w:rPr>
        <w:t xml:space="preserve"> the</w:t>
      </w:r>
      <w:r w:rsidR="001169AF" w:rsidRPr="00E3562B">
        <w:rPr>
          <w:lang w:val="en-GB"/>
        </w:rPr>
        <w:t xml:space="preserve"> study</w:t>
      </w:r>
      <w:r w:rsidR="000F3541" w:rsidRPr="00E3562B">
        <w:rPr>
          <w:lang w:val="en-GB"/>
        </w:rPr>
        <w:t>'</w:t>
      </w:r>
      <w:r w:rsidR="001169AF" w:rsidRPr="00E3562B">
        <w:rPr>
          <w:lang w:val="en-GB"/>
        </w:rPr>
        <w:t>s</w:t>
      </w:r>
      <w:r w:rsidRPr="00E3562B">
        <w:rPr>
          <w:lang w:val="en-GB"/>
        </w:rPr>
        <w:t xml:space="preserve"> theoretical framework </w:t>
      </w:r>
      <w:r w:rsidR="001169AF" w:rsidRPr="00E3562B">
        <w:rPr>
          <w:lang w:val="en-GB"/>
        </w:rPr>
        <w:t>leading to</w:t>
      </w:r>
      <w:r w:rsidRPr="00E3562B">
        <w:rPr>
          <w:lang w:val="en-GB"/>
        </w:rPr>
        <w:t xml:space="preserve"> hypotheses</w:t>
      </w:r>
      <w:r w:rsidR="00437C94" w:rsidRPr="00E3562B">
        <w:rPr>
          <w:lang w:val="en-GB"/>
        </w:rPr>
        <w:t xml:space="preserve"> development. </w:t>
      </w:r>
      <w:r w:rsidR="001169AF" w:rsidRPr="00E3562B">
        <w:rPr>
          <w:lang w:val="en-GB"/>
        </w:rPr>
        <w:t xml:space="preserve">Section 4 covers the </w:t>
      </w:r>
      <w:r w:rsidRPr="00E3562B">
        <w:rPr>
          <w:lang w:val="en-GB"/>
        </w:rPr>
        <w:t xml:space="preserve">research </w:t>
      </w:r>
      <w:r w:rsidR="00437C94" w:rsidRPr="00E3562B">
        <w:rPr>
          <w:lang w:val="en-GB"/>
        </w:rPr>
        <w:t>design</w:t>
      </w:r>
      <w:r w:rsidR="001169AF" w:rsidRPr="00E3562B">
        <w:rPr>
          <w:lang w:val="en-GB"/>
        </w:rPr>
        <w:t>. Section 5 provides a discussion of the</w:t>
      </w:r>
      <w:r w:rsidR="00437C94" w:rsidRPr="00E3562B">
        <w:rPr>
          <w:lang w:val="en-GB"/>
        </w:rPr>
        <w:t xml:space="preserve"> </w:t>
      </w:r>
      <w:r w:rsidRPr="00E3562B">
        <w:rPr>
          <w:lang w:val="en-GB"/>
        </w:rPr>
        <w:t xml:space="preserve">empirical results. </w:t>
      </w:r>
      <w:r w:rsidR="001169AF" w:rsidRPr="00E3562B">
        <w:rPr>
          <w:lang w:val="en-GB"/>
        </w:rPr>
        <w:t xml:space="preserve">We conclude the paper with some concluding remarks and </w:t>
      </w:r>
      <w:r w:rsidRPr="00E3562B">
        <w:rPr>
          <w:lang w:val="en-GB"/>
        </w:rPr>
        <w:t>suggest</w:t>
      </w:r>
      <w:r w:rsidR="001169AF" w:rsidRPr="00E3562B">
        <w:rPr>
          <w:lang w:val="en-GB"/>
        </w:rPr>
        <w:t>ion</w:t>
      </w:r>
      <w:r w:rsidRPr="00E3562B">
        <w:rPr>
          <w:lang w:val="en-GB"/>
        </w:rPr>
        <w:t>s for future research.</w:t>
      </w:r>
    </w:p>
    <w:p w14:paraId="7F72E132" w14:textId="204D3F6C" w:rsidR="003C7D0F" w:rsidRPr="00E3562B" w:rsidRDefault="003C7D0F" w:rsidP="6226CA9D">
      <w:pPr>
        <w:spacing w:line="360" w:lineRule="auto"/>
        <w:rPr>
          <w:lang w:val="en-GB"/>
        </w:rPr>
      </w:pPr>
    </w:p>
    <w:p w14:paraId="5EADD1D9" w14:textId="17206DFD" w:rsidR="003C7D0F" w:rsidRPr="00E3562B" w:rsidRDefault="003C7D0F" w:rsidP="004919D8">
      <w:pPr>
        <w:pStyle w:val="Heading1"/>
        <w:rPr>
          <w:lang w:val="en-GB"/>
        </w:rPr>
      </w:pPr>
      <w:bookmarkStart w:id="2" w:name="_Hlk74156518"/>
      <w:r w:rsidRPr="00E3562B">
        <w:rPr>
          <w:lang w:val="en-GB"/>
        </w:rPr>
        <w:t xml:space="preserve">Modern </w:t>
      </w:r>
      <w:r w:rsidR="00E02F85" w:rsidRPr="00E3562B">
        <w:rPr>
          <w:lang w:val="en-GB"/>
        </w:rPr>
        <w:t>s</w:t>
      </w:r>
      <w:r w:rsidRPr="00E3562B">
        <w:rPr>
          <w:lang w:val="en-GB"/>
        </w:rPr>
        <w:t xml:space="preserve">lavery: </w:t>
      </w:r>
      <w:r w:rsidR="00C34343" w:rsidRPr="00E3562B">
        <w:rPr>
          <w:lang w:val="en-GB"/>
        </w:rPr>
        <w:t xml:space="preserve">A </w:t>
      </w:r>
      <w:r w:rsidRPr="00E3562B">
        <w:rPr>
          <w:lang w:val="en-GB"/>
        </w:rPr>
        <w:t>background</w:t>
      </w:r>
    </w:p>
    <w:p w14:paraId="433691C8" w14:textId="0A146A68" w:rsidR="00926A4A" w:rsidRPr="00E3562B" w:rsidRDefault="00E11528" w:rsidP="00E11528">
      <w:pPr>
        <w:rPr>
          <w:lang w:val="en-GB"/>
        </w:rPr>
      </w:pPr>
      <w:r w:rsidRPr="00E3562B">
        <w:rPr>
          <w:lang w:val="en-GB"/>
        </w:rPr>
        <w:t>Modern slavery can be seen as</w:t>
      </w:r>
      <w:r w:rsidR="00730507" w:rsidRPr="00E3562B">
        <w:rPr>
          <w:lang w:val="en-GB"/>
        </w:rPr>
        <w:t xml:space="preserve"> a</w:t>
      </w:r>
      <w:r w:rsidRPr="00E3562B">
        <w:rPr>
          <w:lang w:val="en-GB"/>
        </w:rPr>
        <w:t xml:space="preserve"> scenario wherein an individual is unable to reject or escape exploitation due to abuse of power </w:t>
      </w:r>
      <w:r w:rsidR="000A68B5" w:rsidRPr="00E3562B">
        <w:rPr>
          <w:lang w:val="en-GB"/>
        </w:rPr>
        <w:t xml:space="preserve">(Christ &amp; </w:t>
      </w:r>
      <w:proofErr w:type="spellStart"/>
      <w:r w:rsidR="000A68B5" w:rsidRPr="00E3562B">
        <w:rPr>
          <w:lang w:val="en-GB"/>
        </w:rPr>
        <w:t>Helliar</w:t>
      </w:r>
      <w:proofErr w:type="spellEnd"/>
      <w:r w:rsidR="000A68B5" w:rsidRPr="00E3562B">
        <w:rPr>
          <w:lang w:val="en-GB"/>
        </w:rPr>
        <w:t>, 2021; ILO, 2017)</w:t>
      </w:r>
      <w:r w:rsidR="00794205" w:rsidRPr="00E3562B">
        <w:rPr>
          <w:lang w:val="en-GB"/>
        </w:rPr>
        <w:t xml:space="preserve">. </w:t>
      </w:r>
      <w:r w:rsidR="000E4520" w:rsidRPr="00E3562B">
        <w:rPr>
          <w:lang w:val="en-GB"/>
        </w:rPr>
        <w:t>In other words</w:t>
      </w:r>
      <w:r w:rsidR="00794205" w:rsidRPr="00E3562B">
        <w:rPr>
          <w:lang w:val="en-GB"/>
        </w:rPr>
        <w:t>, m</w:t>
      </w:r>
      <w:r w:rsidR="00BE2A66" w:rsidRPr="00E3562B">
        <w:rPr>
          <w:lang w:val="en-GB"/>
        </w:rPr>
        <w:t>odern slavery is a form of exploitation in which individuals or entities utili</w:t>
      </w:r>
      <w:r w:rsidR="00794205" w:rsidRPr="00E3562B">
        <w:rPr>
          <w:lang w:val="en-GB"/>
        </w:rPr>
        <w:t>s</w:t>
      </w:r>
      <w:r w:rsidR="00BE2A66" w:rsidRPr="00E3562B">
        <w:rPr>
          <w:lang w:val="en-GB"/>
        </w:rPr>
        <w:t xml:space="preserve">e human beings for </w:t>
      </w:r>
      <w:r w:rsidR="00BE2A66" w:rsidRPr="00E3562B">
        <w:rPr>
          <w:lang w:val="en-GB"/>
        </w:rPr>
        <w:lastRenderedPageBreak/>
        <w:t xml:space="preserve">personal or commercial gain through unethical and illegitimate means </w:t>
      </w:r>
      <w:r w:rsidR="000A68B5" w:rsidRPr="00E3562B">
        <w:rPr>
          <w:lang w:val="en-GB"/>
        </w:rPr>
        <w:t>(Anti-Slavery International, 2022)</w:t>
      </w:r>
      <w:r w:rsidR="00B36885" w:rsidRPr="00E3562B">
        <w:rPr>
          <w:lang w:val="en-GB"/>
        </w:rPr>
        <w:t>.</w:t>
      </w:r>
      <w:r w:rsidR="00794205" w:rsidRPr="00E3562B">
        <w:rPr>
          <w:lang w:val="en-GB"/>
        </w:rPr>
        <w:t xml:space="preserve"> </w:t>
      </w:r>
      <w:r w:rsidR="00BE2A66" w:rsidRPr="00E3562B">
        <w:rPr>
          <w:lang w:val="en-GB"/>
        </w:rPr>
        <w:t xml:space="preserve">In a business context, it takes place in the form of cheap </w:t>
      </w:r>
      <w:r w:rsidR="00B36885" w:rsidRPr="00E3562B">
        <w:rPr>
          <w:lang w:val="en-GB"/>
        </w:rPr>
        <w:t xml:space="preserve">or forced </w:t>
      </w:r>
      <w:r w:rsidR="00BE2A66" w:rsidRPr="00E3562B">
        <w:rPr>
          <w:lang w:val="en-GB"/>
        </w:rPr>
        <w:t>labour</w:t>
      </w:r>
      <w:r w:rsidR="00794205" w:rsidRPr="00E3562B">
        <w:rPr>
          <w:lang w:val="en-GB"/>
        </w:rPr>
        <w:t xml:space="preserve"> </w:t>
      </w:r>
      <w:r w:rsidR="000A68B5" w:rsidRPr="00E3562B">
        <w:rPr>
          <w:lang w:val="en-GB"/>
        </w:rPr>
        <w:t>(Crane, 2013)</w:t>
      </w:r>
      <w:r w:rsidR="00BE2A66" w:rsidRPr="00E3562B">
        <w:rPr>
          <w:lang w:val="en-GB"/>
        </w:rPr>
        <w:t xml:space="preserve">. </w:t>
      </w:r>
      <w:r w:rsidR="00B36885" w:rsidRPr="00E3562B">
        <w:rPr>
          <w:lang w:val="en-GB"/>
        </w:rPr>
        <w:t>F</w:t>
      </w:r>
      <w:r w:rsidR="00794205" w:rsidRPr="00E3562B">
        <w:rPr>
          <w:lang w:val="en-GB"/>
        </w:rPr>
        <w:t xml:space="preserve">orced labour </w:t>
      </w:r>
      <w:r w:rsidR="00BE2A66" w:rsidRPr="00E3562B">
        <w:rPr>
          <w:lang w:val="en-GB"/>
        </w:rPr>
        <w:t xml:space="preserve">exploitation can manifest in various forms, including </w:t>
      </w:r>
      <w:r w:rsidR="006F7A9F" w:rsidRPr="00E3562B">
        <w:rPr>
          <w:lang w:val="en-GB"/>
        </w:rPr>
        <w:t>using</w:t>
      </w:r>
      <w:r w:rsidR="00BE2A66" w:rsidRPr="00E3562B">
        <w:rPr>
          <w:lang w:val="en-GB"/>
        </w:rPr>
        <w:t xml:space="preserve"> threats</w:t>
      </w:r>
      <w:r w:rsidR="00794205" w:rsidRPr="00E3562B">
        <w:rPr>
          <w:lang w:val="en-GB"/>
        </w:rPr>
        <w:t>, restricting the victims</w:t>
      </w:r>
      <w:r w:rsidR="000F3541" w:rsidRPr="00E3562B">
        <w:rPr>
          <w:lang w:val="en-GB"/>
        </w:rPr>
        <w:t>'</w:t>
      </w:r>
      <w:r w:rsidR="00794205" w:rsidRPr="00E3562B">
        <w:rPr>
          <w:lang w:val="en-GB"/>
        </w:rPr>
        <w:t xml:space="preserve"> </w:t>
      </w:r>
      <w:r w:rsidR="00BE2A66" w:rsidRPr="00E3562B">
        <w:rPr>
          <w:lang w:val="en-GB"/>
        </w:rPr>
        <w:t>freedom of movement</w:t>
      </w:r>
      <w:r w:rsidR="00794205" w:rsidRPr="00E3562B">
        <w:rPr>
          <w:lang w:val="en-GB"/>
        </w:rPr>
        <w:t>, or</w:t>
      </w:r>
      <w:r w:rsidR="006F7A9F" w:rsidRPr="00E3562B">
        <w:rPr>
          <w:lang w:val="en-GB"/>
        </w:rPr>
        <w:t xml:space="preserve"> </w:t>
      </w:r>
      <w:r w:rsidR="00794205" w:rsidRPr="00E3562B">
        <w:rPr>
          <w:lang w:val="en-GB"/>
        </w:rPr>
        <w:t>forcing the victims to work under inhumane conditions</w:t>
      </w:r>
      <w:r w:rsidR="00BE2A66" w:rsidRPr="00E3562B">
        <w:rPr>
          <w:lang w:val="en-GB"/>
        </w:rPr>
        <w:t>.</w:t>
      </w:r>
    </w:p>
    <w:p w14:paraId="10497922" w14:textId="77777777" w:rsidR="00926A4A" w:rsidRPr="00E3562B" w:rsidRDefault="00926A4A" w:rsidP="00926A4A">
      <w:pPr>
        <w:rPr>
          <w:lang w:val="en-GB"/>
        </w:rPr>
      </w:pPr>
    </w:p>
    <w:p w14:paraId="17C996AC" w14:textId="1FB20135" w:rsidR="006E7607" w:rsidRPr="00E3562B" w:rsidRDefault="00C97518" w:rsidP="006E7607">
      <w:pPr>
        <w:rPr>
          <w:lang w:val="en-GB"/>
        </w:rPr>
      </w:pPr>
      <w:r w:rsidRPr="00E3562B">
        <w:rPr>
          <w:lang w:val="en-GB"/>
        </w:rPr>
        <w:t>The severity of the problem is highlighted by its inclusion in the United Nations</w:t>
      </w:r>
      <w:r w:rsidR="000F3541" w:rsidRPr="00E3562B">
        <w:rPr>
          <w:lang w:val="en-GB"/>
        </w:rPr>
        <w:t>'</w:t>
      </w:r>
      <w:r w:rsidRPr="00E3562B">
        <w:rPr>
          <w:lang w:val="en-GB"/>
        </w:rPr>
        <w:t xml:space="preserve"> Sustainable Development Goals</w:t>
      </w:r>
      <w:r w:rsidR="006F7A9F" w:rsidRPr="00E3562B">
        <w:rPr>
          <w:lang w:val="en-GB"/>
        </w:rPr>
        <w:t>,</w:t>
      </w:r>
      <w:r w:rsidRPr="00E3562B">
        <w:rPr>
          <w:lang w:val="en-GB"/>
        </w:rPr>
        <w:t xml:space="preserve"> calling for </w:t>
      </w:r>
      <w:r w:rsidR="000F3541" w:rsidRPr="00E3562B">
        <w:rPr>
          <w:lang w:val="en-GB"/>
        </w:rPr>
        <w:t>"</w:t>
      </w:r>
      <w:r w:rsidRPr="00E3562B">
        <w:rPr>
          <w:lang w:val="en-GB"/>
        </w:rPr>
        <w:t xml:space="preserve">immediate and effective measures to eradicate forced labour, </w:t>
      </w:r>
      <w:r w:rsidR="00730507" w:rsidRPr="00E3562B">
        <w:rPr>
          <w:lang w:val="en-GB"/>
        </w:rPr>
        <w:t xml:space="preserve">and </w:t>
      </w:r>
      <w:r w:rsidRPr="00E3562B">
        <w:rPr>
          <w:lang w:val="en-GB"/>
        </w:rPr>
        <w:t>end modern slavery</w:t>
      </w:r>
      <w:r w:rsidR="000F3541" w:rsidRPr="00E3562B">
        <w:rPr>
          <w:lang w:val="en-GB"/>
        </w:rPr>
        <w:t>"</w:t>
      </w:r>
      <w:r w:rsidRPr="00E3562B">
        <w:rPr>
          <w:lang w:val="en-GB"/>
        </w:rPr>
        <w:t xml:space="preserve"> </w:t>
      </w:r>
      <w:r w:rsidR="000A68B5" w:rsidRPr="00E3562B">
        <w:rPr>
          <w:lang w:val="en-GB"/>
        </w:rPr>
        <w:t>(UNDP, 2015, p. Goal 8)</w:t>
      </w:r>
      <w:r w:rsidRPr="00E3562B">
        <w:rPr>
          <w:lang w:val="en-GB"/>
        </w:rPr>
        <w:t xml:space="preserve">. </w:t>
      </w:r>
      <w:bookmarkStart w:id="3" w:name="_Hlk165282234"/>
      <w:r w:rsidR="006E7607" w:rsidRPr="00E3562B">
        <w:rPr>
          <w:lang w:val="en-GB"/>
        </w:rPr>
        <w:t xml:space="preserve">Due to modern slavery prevalence in the operations and supply chains of big companies, legislators </w:t>
      </w:r>
      <w:r w:rsidR="009958F7" w:rsidRPr="00E3562B">
        <w:rPr>
          <w:lang w:val="en-GB"/>
        </w:rPr>
        <w:t xml:space="preserve">require some transparency of corporate efforts to fight it. Thus, </w:t>
      </w:r>
      <w:bookmarkStart w:id="4" w:name="_Hlk165644887"/>
      <w:r w:rsidR="009958F7" w:rsidRPr="00E3562B">
        <w:rPr>
          <w:lang w:val="en-GB"/>
        </w:rPr>
        <w:t>c</w:t>
      </w:r>
      <w:r w:rsidR="006E7607" w:rsidRPr="00E3562B">
        <w:rPr>
          <w:lang w:val="en-GB"/>
        </w:rPr>
        <w:t xml:space="preserve">orporate disclosure of modern slavery is critically distinct from other types of social impact reporting due to its specific focus on legal compliance, ethical and human rights concerns, and supply chain transparency. Mandated by laws like the UK </w:t>
      </w:r>
      <w:r w:rsidR="00317A99" w:rsidRPr="00E3562B">
        <w:rPr>
          <w:lang w:val="en-GB"/>
        </w:rPr>
        <w:t>MSA</w:t>
      </w:r>
      <w:r w:rsidR="006E7607" w:rsidRPr="00E3562B">
        <w:rPr>
          <w:lang w:val="en-GB"/>
        </w:rPr>
        <w:t xml:space="preserve">, these disclosures require companies to detail their efforts in identifying, mitigating, and eliminating modern slavery within their operations and supply chains, addressing severe human rights violations such as forced labour and human trafficking. This type of reporting is not only essential for managing legal and reputational risks but also responds to growing consumer and investor demands for ethical transparency. Unlike broader social impact reports, </w:t>
      </w:r>
      <w:r w:rsidR="00317A99" w:rsidRPr="00E3562B">
        <w:rPr>
          <w:lang w:val="en-GB"/>
        </w:rPr>
        <w:t>MSD</w:t>
      </w:r>
      <w:r w:rsidR="006E7607" w:rsidRPr="00E3562B">
        <w:rPr>
          <w:lang w:val="en-GB"/>
        </w:rPr>
        <w:t xml:space="preserve"> also emphasise</w:t>
      </w:r>
      <w:r w:rsidR="00317A99" w:rsidRPr="00E3562B">
        <w:rPr>
          <w:lang w:val="en-GB"/>
        </w:rPr>
        <w:t>s</w:t>
      </w:r>
      <w:r w:rsidR="006E7607" w:rsidRPr="00E3562B">
        <w:rPr>
          <w:lang w:val="en-GB"/>
        </w:rPr>
        <w:t xml:space="preserve"> remediation efforts, showcasing the steps companies are taking to rectify issues and improve practices, making them a crucial aspect of corporate accountability and ethical business operations.</w:t>
      </w:r>
      <w:bookmarkEnd w:id="4"/>
    </w:p>
    <w:p w14:paraId="62C0EF6D" w14:textId="77777777" w:rsidR="006E7607" w:rsidRPr="00E3562B" w:rsidRDefault="006E7607" w:rsidP="00926A4A">
      <w:pPr>
        <w:rPr>
          <w:lang w:val="en-GB"/>
        </w:rPr>
      </w:pPr>
    </w:p>
    <w:p w14:paraId="7A3D5962" w14:textId="7BF3EB9A" w:rsidR="00DB3EFA" w:rsidRPr="00E3562B" w:rsidRDefault="008015BA" w:rsidP="00926A4A">
      <w:pPr>
        <w:rPr>
          <w:lang w:val="en-GB"/>
        </w:rPr>
      </w:pPr>
      <w:r w:rsidRPr="00E3562B">
        <w:rPr>
          <w:lang w:val="en-GB"/>
        </w:rPr>
        <w:t>The UK was the first nation to introduce legislation to fight modern slavery</w:t>
      </w:r>
      <w:r w:rsidR="00B81738" w:rsidRPr="00E3562B">
        <w:rPr>
          <w:lang w:val="en-GB"/>
        </w:rPr>
        <w:t xml:space="preserve"> in 2015 followed by Australia in 2018</w:t>
      </w:r>
      <w:r w:rsidRPr="00E3562B">
        <w:rPr>
          <w:lang w:val="en-GB"/>
        </w:rPr>
        <w:t xml:space="preserve">. </w:t>
      </w:r>
      <w:r w:rsidR="00B81738" w:rsidRPr="00E3562B">
        <w:rPr>
          <w:lang w:val="en-GB"/>
        </w:rPr>
        <w:t xml:space="preserve">However, the first legislation was </w:t>
      </w:r>
      <w:r w:rsidR="00276641" w:rsidRPr="00E3562B">
        <w:rPr>
          <w:lang w:val="en-GB"/>
        </w:rPr>
        <w:t>the 2010 California Transparency in the Supply Chains Act (CTSCA) in the United States. Examining the impact of the CTSCA,</w:t>
      </w:r>
      <w:r w:rsidR="0084411E" w:rsidRPr="00E3562B">
        <w:rPr>
          <w:lang w:val="en-GB"/>
        </w:rPr>
        <w:t xml:space="preserve"> </w:t>
      </w:r>
      <w:r w:rsidR="0084411E" w:rsidRPr="00E3562B">
        <w:rPr>
          <w:lang w:val="en-GB"/>
        </w:rPr>
        <w:lastRenderedPageBreak/>
        <w:t>Birkey et al.</w:t>
      </w:r>
      <w:r w:rsidR="00276641" w:rsidRPr="00E3562B">
        <w:rPr>
          <w:lang w:val="en-GB"/>
        </w:rPr>
        <w:t xml:space="preserve"> </w:t>
      </w:r>
      <w:r w:rsidR="0084411E" w:rsidRPr="00E3562B">
        <w:rPr>
          <w:lang w:val="en-GB"/>
        </w:rPr>
        <w:t>(2018, p. 827) report high compliance with the CTSCA</w:t>
      </w:r>
      <w:r w:rsidR="002B78BA" w:rsidRPr="00E3562B">
        <w:rPr>
          <w:lang w:val="en-GB"/>
        </w:rPr>
        <w:t>,</w:t>
      </w:r>
      <w:r w:rsidR="0084411E" w:rsidRPr="00E3562B">
        <w:rPr>
          <w:lang w:val="en-GB"/>
        </w:rPr>
        <w:t xml:space="preserve"> but they note that the disclosure is “more symbolic than substantive in nature.”</w:t>
      </w:r>
      <w:r w:rsidR="00B03248" w:rsidRPr="00E3562B">
        <w:rPr>
          <w:lang w:val="en-GB"/>
        </w:rPr>
        <w:t xml:space="preserve"> In Australia, Christ et al. (2019)</w:t>
      </w:r>
      <w:r w:rsidR="00E2290D" w:rsidRPr="00E3562B">
        <w:rPr>
          <w:lang w:val="en-GB"/>
        </w:rPr>
        <w:t xml:space="preserve"> report</w:t>
      </w:r>
      <w:r w:rsidR="00B03248" w:rsidRPr="00E3562B">
        <w:rPr>
          <w:lang w:val="en-GB"/>
        </w:rPr>
        <w:t xml:space="preserve"> </w:t>
      </w:r>
      <w:r w:rsidR="002B78BA" w:rsidRPr="00E3562B">
        <w:rPr>
          <w:lang w:val="en-GB"/>
        </w:rPr>
        <w:t xml:space="preserve">a </w:t>
      </w:r>
      <w:r w:rsidR="00B03248" w:rsidRPr="00E3562B">
        <w:rPr>
          <w:lang w:val="en-GB"/>
        </w:rPr>
        <w:t xml:space="preserve">low volume and quality of </w:t>
      </w:r>
      <w:r w:rsidR="00317A99" w:rsidRPr="00E3562B">
        <w:rPr>
          <w:lang w:val="en-GB"/>
        </w:rPr>
        <w:t>MSD</w:t>
      </w:r>
      <w:r w:rsidR="00B03248" w:rsidRPr="00E3562B">
        <w:rPr>
          <w:lang w:val="en-GB"/>
        </w:rPr>
        <w:t xml:space="preserve"> by ASX 100 companies and stress the need for legislation.</w:t>
      </w:r>
      <w:r w:rsidR="00B03248" w:rsidRPr="00E3562B">
        <w:rPr>
          <w:rStyle w:val="FootnoteReference"/>
          <w:lang w:val="en-GB"/>
        </w:rPr>
        <w:footnoteReference w:id="3"/>
      </w:r>
      <w:r w:rsidR="00B03248" w:rsidRPr="00E3562B">
        <w:rPr>
          <w:lang w:val="en-GB"/>
        </w:rPr>
        <w:t xml:space="preserve"> </w:t>
      </w:r>
      <w:r w:rsidR="008546FA" w:rsidRPr="00E3562B">
        <w:rPr>
          <w:lang w:val="en-GB"/>
        </w:rPr>
        <w:t xml:space="preserve">In addition, </w:t>
      </w:r>
      <w:r w:rsidR="002B78BA" w:rsidRPr="00E3562B">
        <w:rPr>
          <w:lang w:val="en-GB"/>
        </w:rPr>
        <w:t>after</w:t>
      </w:r>
      <w:r w:rsidR="008546FA" w:rsidRPr="00E3562B">
        <w:rPr>
          <w:lang w:val="en-GB"/>
        </w:rPr>
        <w:t xml:space="preserve"> the introduction of the Australian Act, Rao et al. (2022) report improvements in </w:t>
      </w:r>
      <w:r w:rsidR="00317A99" w:rsidRPr="00E3562B">
        <w:rPr>
          <w:lang w:val="en-GB"/>
        </w:rPr>
        <w:t>MSD</w:t>
      </w:r>
      <w:r w:rsidR="008546FA" w:rsidRPr="00E3562B">
        <w:rPr>
          <w:lang w:val="en-GB"/>
        </w:rPr>
        <w:t xml:space="preserve"> by the ASX 100 but note that regulation is not enough to enhance disclosure quality. Furthermore, they note that financial penalties are not likely to enhance disclosures.</w:t>
      </w:r>
      <w:r w:rsidR="002C20B2" w:rsidRPr="00E3562B">
        <w:rPr>
          <w:lang w:val="en-GB"/>
        </w:rPr>
        <w:t xml:space="preserve"> Furthermore, similar results are reported by Pham et al. (2021) for ASX 300 companies.</w:t>
      </w:r>
    </w:p>
    <w:bookmarkEnd w:id="3"/>
    <w:p w14:paraId="01C4CC17" w14:textId="77777777" w:rsidR="004E0C41" w:rsidRPr="00E3562B" w:rsidRDefault="004E0C41" w:rsidP="008015BA">
      <w:pPr>
        <w:rPr>
          <w:lang w:val="en-GB"/>
        </w:rPr>
      </w:pPr>
    </w:p>
    <w:p w14:paraId="77136E86" w14:textId="76647A99" w:rsidR="00FB5C39" w:rsidRPr="00E3562B" w:rsidRDefault="00FB5C39" w:rsidP="00DA516F">
      <w:pPr>
        <w:rPr>
          <w:lang w:val="en-GB"/>
        </w:rPr>
      </w:pPr>
      <w:r w:rsidRPr="00E3562B">
        <w:rPr>
          <w:lang w:val="en-GB"/>
        </w:rPr>
        <w:t xml:space="preserve">The UK </w:t>
      </w:r>
      <w:r w:rsidR="00317A99" w:rsidRPr="00E3562B">
        <w:rPr>
          <w:lang w:val="en-GB"/>
        </w:rPr>
        <w:t>MSA</w:t>
      </w:r>
      <w:r w:rsidRPr="00E3562B">
        <w:rPr>
          <w:lang w:val="en-GB"/>
        </w:rPr>
        <w:t xml:space="preserve"> mandates all companies with an annual turnover exceeding £36 million to produce a modern slavery statement each year. This statement requires companies to report on the measures they have implemented to address and prevent modern slavery and labour exploitation within their operations and supply chains. Specifically, the statement should detail the organization's structure, its policies on slavery and human trafficking, and the due diligence processes in place. It should also evaluate the effectiveness of these measures and outline the training provided to employees. To ensure accountability and transparency, the MSA stipulates that the statement must be approved by the board of directors and signed by a director. Furthermore, it mandates that the statement be prominently displayed on the company's website, making it accessible to the public and stakeholders</w:t>
      </w:r>
      <w:r w:rsidR="003157BC" w:rsidRPr="00E3562B">
        <w:rPr>
          <w:lang w:val="en-GB"/>
        </w:rPr>
        <w:t>.</w:t>
      </w:r>
    </w:p>
    <w:p w14:paraId="60E97CAF" w14:textId="77777777" w:rsidR="003157BC" w:rsidRPr="00E3562B" w:rsidRDefault="003157BC" w:rsidP="00DA516F">
      <w:pPr>
        <w:rPr>
          <w:lang w:val="en-GB"/>
        </w:rPr>
      </w:pPr>
    </w:p>
    <w:p w14:paraId="07087E3E" w14:textId="16395339" w:rsidR="009356A0" w:rsidRPr="00E3562B" w:rsidRDefault="003157BC" w:rsidP="00DA516F">
      <w:pPr>
        <w:rPr>
          <w:lang w:val="en-GB"/>
        </w:rPr>
      </w:pPr>
      <w:r w:rsidRPr="00E3562B">
        <w:rPr>
          <w:lang w:val="en-GB"/>
        </w:rPr>
        <w:t>A</w:t>
      </w:r>
      <w:r w:rsidR="0544759D" w:rsidRPr="00E3562B">
        <w:rPr>
          <w:lang w:val="en-GB"/>
        </w:rPr>
        <w:t xml:space="preserve"> few studies examined companies</w:t>
      </w:r>
      <w:r w:rsidR="000F3541" w:rsidRPr="00E3562B">
        <w:rPr>
          <w:lang w:val="en-GB"/>
        </w:rPr>
        <w:t>'</w:t>
      </w:r>
      <w:r w:rsidR="0544759D" w:rsidRPr="00E3562B">
        <w:rPr>
          <w:lang w:val="en-GB"/>
        </w:rPr>
        <w:t xml:space="preserve"> compliance with the requirements of the</w:t>
      </w:r>
      <w:r w:rsidRPr="00E3562B">
        <w:rPr>
          <w:lang w:val="en-GB"/>
        </w:rPr>
        <w:t xml:space="preserve"> UK</w:t>
      </w:r>
      <w:r w:rsidR="0544759D" w:rsidRPr="00E3562B">
        <w:rPr>
          <w:lang w:val="en-GB"/>
        </w:rPr>
        <w:t xml:space="preserve"> Act</w:t>
      </w:r>
      <w:r w:rsidR="00B809F6" w:rsidRPr="00E3562B">
        <w:rPr>
          <w:lang w:val="en-GB"/>
        </w:rPr>
        <w:t>,</w:t>
      </w:r>
      <w:r w:rsidR="0544759D" w:rsidRPr="00E3562B">
        <w:rPr>
          <w:lang w:val="en-GB"/>
        </w:rPr>
        <w:t xml:space="preserve"> and the findings were condemning due to low compliance levels </w:t>
      </w:r>
      <w:r w:rsidR="0091666D" w:rsidRPr="00E3562B">
        <w:rPr>
          <w:lang w:val="en-GB"/>
        </w:rPr>
        <w:t xml:space="preserve">(for example, Mai et al., 2023; </w:t>
      </w:r>
      <w:proofErr w:type="spellStart"/>
      <w:r w:rsidR="0091666D" w:rsidRPr="00E3562B">
        <w:rPr>
          <w:lang w:val="en-GB"/>
        </w:rPr>
        <w:t>Pinnington</w:t>
      </w:r>
      <w:proofErr w:type="spellEnd"/>
      <w:r w:rsidR="0091666D" w:rsidRPr="00E3562B">
        <w:rPr>
          <w:lang w:val="en-GB"/>
        </w:rPr>
        <w:t xml:space="preserve"> et al., 2023; Rogerson et al., 2020; Stevenson &amp; Cole, 2018; Voss et al., 2019)</w:t>
      </w:r>
      <w:r w:rsidR="0544759D" w:rsidRPr="00E3562B">
        <w:rPr>
          <w:lang w:val="en-GB"/>
        </w:rPr>
        <w:t xml:space="preserve">. </w:t>
      </w:r>
      <w:r w:rsidR="00DA516F" w:rsidRPr="00E3562B">
        <w:rPr>
          <w:lang w:val="en-GB"/>
        </w:rPr>
        <w:t xml:space="preserve">The disclosures were characterised as deficient in detail, exhibiting a lack of variation, and have </w:t>
      </w:r>
      <w:r w:rsidR="00DA516F" w:rsidRPr="00E3562B">
        <w:rPr>
          <w:lang w:val="en-GB"/>
        </w:rPr>
        <w:lastRenderedPageBreak/>
        <w:t xml:space="preserve">resulted in minimal substantive measures to address modern slavery </w:t>
      </w:r>
      <w:r w:rsidR="000A68B5" w:rsidRPr="00E3562B">
        <w:rPr>
          <w:lang w:val="en-GB"/>
        </w:rPr>
        <w:t>(Rogerson et al., 2020)</w:t>
      </w:r>
      <w:r w:rsidR="0544759D" w:rsidRPr="00E3562B">
        <w:rPr>
          <w:lang w:val="en-GB"/>
        </w:rPr>
        <w:t xml:space="preserve">. Islam and Van Staden </w:t>
      </w:r>
      <w:r w:rsidR="000A68B5" w:rsidRPr="00E3562B">
        <w:rPr>
          <w:lang w:val="en-GB"/>
        </w:rPr>
        <w:t>(2022)</w:t>
      </w:r>
      <w:r w:rsidR="0544759D" w:rsidRPr="00E3562B">
        <w:rPr>
          <w:lang w:val="en-GB"/>
        </w:rPr>
        <w:t xml:space="preserve"> raise concerns about the lack of external verification of the </w:t>
      </w:r>
      <w:r w:rsidR="00870284" w:rsidRPr="00E3562B">
        <w:rPr>
          <w:lang w:val="en-GB"/>
        </w:rPr>
        <w:t>statements' contents and the Act's effectiveness</w:t>
      </w:r>
      <w:r w:rsidR="0544759D" w:rsidRPr="00E3562B">
        <w:rPr>
          <w:lang w:val="en-GB"/>
        </w:rPr>
        <w:t xml:space="preserve">. </w:t>
      </w:r>
      <w:r w:rsidR="0091666D" w:rsidRPr="00E3562B">
        <w:rPr>
          <w:lang w:val="en-GB"/>
        </w:rPr>
        <w:t>Mai et al. (2023) report high compliance with the Act’s minimum requirements and improvements in the extent of disclosures post the introduction of the Act; nevertheless</w:t>
      </w:r>
      <w:r w:rsidR="002B78BA" w:rsidRPr="00E3562B">
        <w:rPr>
          <w:lang w:val="en-GB"/>
        </w:rPr>
        <w:t>,</w:t>
      </w:r>
      <w:r w:rsidR="0091666D" w:rsidRPr="00E3562B">
        <w:rPr>
          <w:lang w:val="en-GB"/>
        </w:rPr>
        <w:t xml:space="preserve"> they </w:t>
      </w:r>
      <w:r w:rsidR="002B78BA" w:rsidRPr="00E3562B">
        <w:rPr>
          <w:lang w:val="en-GB"/>
        </w:rPr>
        <w:t>find</w:t>
      </w:r>
      <w:r w:rsidR="0091666D" w:rsidRPr="00E3562B">
        <w:rPr>
          <w:lang w:val="en-GB"/>
        </w:rPr>
        <w:t xml:space="preserve"> low quality and focus on symbolic disclosure. </w:t>
      </w:r>
      <w:r w:rsidR="0544759D" w:rsidRPr="00E3562B">
        <w:rPr>
          <w:lang w:val="en-GB"/>
        </w:rPr>
        <w:t xml:space="preserve">Although Flynn </w:t>
      </w:r>
      <w:r w:rsidR="000A68B5" w:rsidRPr="00E3562B">
        <w:rPr>
          <w:lang w:val="en-GB"/>
        </w:rPr>
        <w:t>(2020)</w:t>
      </w:r>
      <w:r w:rsidR="0544759D" w:rsidRPr="00E3562B">
        <w:rPr>
          <w:lang w:val="en-GB"/>
        </w:rPr>
        <w:t xml:space="preserve"> reports firm size as a determinant of MSD by UK companies, a recent FRC report </w:t>
      </w:r>
      <w:r w:rsidR="00143F78" w:rsidRPr="00E3562B">
        <w:rPr>
          <w:lang w:val="en-GB"/>
        </w:rPr>
        <w:t>(FRC, 2022, p. 3)</w:t>
      </w:r>
      <w:r w:rsidR="0544759D" w:rsidRPr="00E3562B">
        <w:rPr>
          <w:lang w:val="en-GB"/>
        </w:rPr>
        <w:t xml:space="preserve"> reveals this </w:t>
      </w:r>
      <w:r w:rsidR="00870284" w:rsidRPr="00E3562B">
        <w:rPr>
          <w:lang w:val="en-GB"/>
        </w:rPr>
        <w:t>is not necessarily the case and suggests that other factors can</w:t>
      </w:r>
      <w:r w:rsidR="0544759D" w:rsidRPr="00E3562B">
        <w:rPr>
          <w:lang w:val="en-GB"/>
        </w:rPr>
        <w:t xml:space="preserve"> shape corporate MSD and highlights </w:t>
      </w:r>
      <w:r w:rsidR="00043549" w:rsidRPr="00E3562B">
        <w:rPr>
          <w:lang w:val="en-GB"/>
        </w:rPr>
        <w:t xml:space="preserve">corporate </w:t>
      </w:r>
      <w:r w:rsidR="0544759D" w:rsidRPr="00E3562B">
        <w:rPr>
          <w:lang w:val="en-GB"/>
        </w:rPr>
        <w:t xml:space="preserve">leadership </w:t>
      </w:r>
      <w:r w:rsidR="00522FC6" w:rsidRPr="00E3562B">
        <w:rPr>
          <w:lang w:val="en-GB"/>
        </w:rPr>
        <w:t xml:space="preserve">(such as CEO power) </w:t>
      </w:r>
      <w:r w:rsidR="0544759D" w:rsidRPr="00E3562B">
        <w:rPr>
          <w:lang w:val="en-GB"/>
        </w:rPr>
        <w:t>as a possible factor.</w:t>
      </w:r>
    </w:p>
    <w:p w14:paraId="022F4C7C" w14:textId="77777777" w:rsidR="00973540" w:rsidRPr="00E3562B" w:rsidRDefault="00973540" w:rsidP="00A7297F">
      <w:pPr>
        <w:rPr>
          <w:lang w:val="en-GB"/>
        </w:rPr>
      </w:pPr>
    </w:p>
    <w:bookmarkEnd w:id="2"/>
    <w:p w14:paraId="28A7462F" w14:textId="4BA78966" w:rsidR="003C7D0F" w:rsidRPr="00E3562B" w:rsidRDefault="005F56DE" w:rsidP="00967C64">
      <w:pPr>
        <w:pStyle w:val="Heading1"/>
        <w:rPr>
          <w:lang w:val="en-GB"/>
        </w:rPr>
      </w:pPr>
      <w:r w:rsidRPr="00E3562B">
        <w:rPr>
          <w:lang w:val="en-GB"/>
        </w:rPr>
        <w:t>Literature review and h</w:t>
      </w:r>
      <w:r w:rsidR="00FA3378" w:rsidRPr="00E3562B">
        <w:rPr>
          <w:lang w:val="en-GB"/>
        </w:rPr>
        <w:t>ypotheses development</w:t>
      </w:r>
    </w:p>
    <w:p w14:paraId="71ED6C1C" w14:textId="43003FA7" w:rsidR="00CF563B" w:rsidRPr="00E3562B" w:rsidRDefault="00D86622" w:rsidP="000B32EE">
      <w:pPr>
        <w:pStyle w:val="Heading2"/>
        <w:rPr>
          <w:lang w:val="en-GB"/>
        </w:rPr>
      </w:pPr>
      <w:r w:rsidRPr="00E3562B">
        <w:rPr>
          <w:lang w:val="en-GB"/>
        </w:rPr>
        <w:t>CEO Power</w:t>
      </w:r>
    </w:p>
    <w:p w14:paraId="31CE774D" w14:textId="303A6209" w:rsidR="00AE75E2" w:rsidRPr="00E3562B" w:rsidRDefault="17316F0C" w:rsidP="00AE75E2">
      <w:pPr>
        <w:rPr>
          <w:lang w:val="en-GB"/>
        </w:rPr>
      </w:pPr>
      <w:r w:rsidRPr="00E3562B">
        <w:rPr>
          <w:lang w:val="en-GB"/>
        </w:rPr>
        <w:t xml:space="preserve">CEOs are regarded as the most powerful characters within organisations with significant influence on various business activities </w:t>
      </w:r>
      <w:r w:rsidR="000A68B5" w:rsidRPr="00E3562B">
        <w:rPr>
          <w:lang w:val="en-GB"/>
        </w:rPr>
        <w:t>(Daily &amp; Johnson, 1997)</w:t>
      </w:r>
      <w:r w:rsidRPr="00E3562B">
        <w:rPr>
          <w:lang w:val="en-GB"/>
        </w:rPr>
        <w:t>. Powerful CEO</w:t>
      </w:r>
      <w:r w:rsidR="00FF265F" w:rsidRPr="00E3562B">
        <w:rPr>
          <w:lang w:val="en-GB"/>
        </w:rPr>
        <w:t>s can manipulate corporate board decisions with negative consequences on</w:t>
      </w:r>
      <w:r w:rsidRPr="00E3562B">
        <w:rPr>
          <w:lang w:val="en-GB"/>
        </w:rPr>
        <w:t xml:space="preserve"> </w:t>
      </w:r>
      <w:r w:rsidR="00EE5A2A" w:rsidRPr="00E3562B">
        <w:rPr>
          <w:lang w:val="en-GB"/>
        </w:rPr>
        <w:t>the board's</w:t>
      </w:r>
      <w:r w:rsidR="00FF265F" w:rsidRPr="00E3562B">
        <w:rPr>
          <w:lang w:val="en-GB"/>
        </w:rPr>
        <w:t xml:space="preserve"> </w:t>
      </w:r>
      <w:r w:rsidRPr="00E3562B">
        <w:rPr>
          <w:lang w:val="en-GB"/>
        </w:rPr>
        <w:t xml:space="preserve">effectiveness </w:t>
      </w:r>
      <w:r w:rsidR="000A68B5" w:rsidRPr="00E3562B">
        <w:rPr>
          <w:lang w:val="en-GB"/>
        </w:rPr>
        <w:t>(Boyd, 1994; Dalton &amp; Kesner, 1987)</w:t>
      </w:r>
      <w:r w:rsidRPr="00E3562B">
        <w:rPr>
          <w:lang w:val="en-GB"/>
        </w:rPr>
        <w:t xml:space="preserve">. CEO power may lead to decision-making biases </w:t>
      </w:r>
      <w:r w:rsidR="000A68B5" w:rsidRPr="00E3562B">
        <w:rPr>
          <w:lang w:val="en-GB"/>
        </w:rPr>
        <w:t>(Li &amp; Tang, 2010; Malhotra et al., 2022)</w:t>
      </w:r>
      <w:r w:rsidRPr="00E3562B">
        <w:rPr>
          <w:lang w:val="en-GB"/>
        </w:rPr>
        <w:t>. When CEOs have high levels of power, they may prioriti</w:t>
      </w:r>
      <w:r w:rsidR="009C371A" w:rsidRPr="00E3562B">
        <w:rPr>
          <w:lang w:val="en-GB"/>
        </w:rPr>
        <w:t>s</w:t>
      </w:r>
      <w:r w:rsidRPr="00E3562B">
        <w:rPr>
          <w:lang w:val="en-GB"/>
        </w:rPr>
        <w:t>e their own interests over those of shareholders. This behaviour can be explained through the lens of Jensen and Meckling</w:t>
      </w:r>
      <w:r w:rsidR="000F3541" w:rsidRPr="00E3562B">
        <w:rPr>
          <w:lang w:val="en-GB"/>
        </w:rPr>
        <w:t>'</w:t>
      </w:r>
      <w:r w:rsidRPr="00E3562B">
        <w:rPr>
          <w:lang w:val="en-GB"/>
        </w:rPr>
        <w:t xml:space="preserve">s </w:t>
      </w:r>
      <w:r w:rsidR="000A68B5" w:rsidRPr="00E3562B">
        <w:rPr>
          <w:lang w:val="en-GB"/>
        </w:rPr>
        <w:t>(1976)</w:t>
      </w:r>
      <w:r w:rsidRPr="00E3562B">
        <w:rPr>
          <w:lang w:val="en-GB"/>
        </w:rPr>
        <w:t xml:space="preserve"> agency theory</w:t>
      </w:r>
      <w:r w:rsidR="002B78BA" w:rsidRPr="00E3562B">
        <w:rPr>
          <w:lang w:val="en-GB"/>
        </w:rPr>
        <w:t>,</w:t>
      </w:r>
      <w:r w:rsidRPr="00E3562B">
        <w:rPr>
          <w:lang w:val="en-GB"/>
        </w:rPr>
        <w:t xml:space="preserve"> which posits that managers, as agents of shareholders, have a fiduciary duty to act in the best interests of shareholders and maximi</w:t>
      </w:r>
      <w:r w:rsidR="009C371A" w:rsidRPr="00E3562B">
        <w:rPr>
          <w:lang w:val="en-GB"/>
        </w:rPr>
        <w:t>s</w:t>
      </w:r>
      <w:r w:rsidRPr="00E3562B">
        <w:rPr>
          <w:lang w:val="en-GB"/>
        </w:rPr>
        <w:t>e shareholder wealth. However, when the interests of managers conflict with those of the shareholders, an agency problem emerges.</w:t>
      </w:r>
      <w:r w:rsidR="00AE75E2" w:rsidRPr="00E3562B">
        <w:rPr>
          <w:lang w:val="en-GB"/>
        </w:rPr>
        <w:t xml:space="preserve"> Furthermore, from a managerial opportunism perspective (Eisenhardt, 1989), a subset of the agency theory,</w:t>
      </w:r>
      <w:r w:rsidRPr="00E3562B">
        <w:rPr>
          <w:lang w:val="en-GB"/>
        </w:rPr>
        <w:t xml:space="preserve"> </w:t>
      </w:r>
      <w:bookmarkStart w:id="5" w:name="_Hlk165291055"/>
      <w:r w:rsidR="00AE75E2" w:rsidRPr="00E3562B">
        <w:rPr>
          <w:lang w:val="en-GB"/>
        </w:rPr>
        <w:t>p</w:t>
      </w:r>
      <w:r w:rsidR="000842E6" w:rsidRPr="00E3562B">
        <w:rPr>
          <w:lang w:val="en-GB"/>
        </w:rPr>
        <w:t xml:space="preserve">owerful </w:t>
      </w:r>
      <w:r w:rsidRPr="00E3562B">
        <w:rPr>
          <w:lang w:val="en-GB"/>
        </w:rPr>
        <w:t>CEOs may have a strong personal incentive to maintain</w:t>
      </w:r>
      <w:r w:rsidR="000275A4" w:rsidRPr="00E3562B">
        <w:rPr>
          <w:lang w:val="en-GB"/>
        </w:rPr>
        <w:t xml:space="preserve"> a positive corporate image, which may conflict with disclosing</w:t>
      </w:r>
      <w:r w:rsidRPr="00E3562B">
        <w:rPr>
          <w:lang w:val="en-GB"/>
        </w:rPr>
        <w:t xml:space="preserve"> modern slavery information</w:t>
      </w:r>
      <w:r w:rsidR="00AE75E2" w:rsidRPr="00E3562B">
        <w:rPr>
          <w:lang w:val="en-GB"/>
        </w:rPr>
        <w:t xml:space="preserve"> that can damage their image and lead to negative </w:t>
      </w:r>
      <w:r w:rsidR="00AE75E2" w:rsidRPr="00E3562B">
        <w:rPr>
          <w:lang w:val="en-GB"/>
        </w:rPr>
        <w:lastRenderedPageBreak/>
        <w:t>publicity and consumer backlash</w:t>
      </w:r>
      <w:r w:rsidR="00A1279C" w:rsidRPr="00E3562B">
        <w:rPr>
          <w:lang w:val="en-GB"/>
        </w:rPr>
        <w:t xml:space="preserve"> (Brahma &amp; Economou, 2024)</w:t>
      </w:r>
      <w:r w:rsidR="00FE2F70" w:rsidRPr="00E3562B">
        <w:rPr>
          <w:lang w:val="en-GB"/>
        </w:rPr>
        <w:t>.</w:t>
      </w:r>
      <w:r w:rsidRPr="00E3562B">
        <w:rPr>
          <w:lang w:val="en-GB"/>
        </w:rPr>
        <w:t xml:space="preserve"> They may resist disclosing information about modern slavery in their supply chains, as it may </w:t>
      </w:r>
      <w:r w:rsidR="00677517" w:rsidRPr="00E3562B">
        <w:rPr>
          <w:lang w:val="en-GB"/>
        </w:rPr>
        <w:t>threaten</w:t>
      </w:r>
      <w:r w:rsidRPr="00E3562B">
        <w:rPr>
          <w:lang w:val="en-GB"/>
        </w:rPr>
        <w:t xml:space="preserve"> their authority and control over the organi</w:t>
      </w:r>
      <w:r w:rsidR="009C371A" w:rsidRPr="00E3562B">
        <w:rPr>
          <w:lang w:val="en-GB"/>
        </w:rPr>
        <w:t>s</w:t>
      </w:r>
      <w:r w:rsidRPr="00E3562B">
        <w:rPr>
          <w:lang w:val="en-GB"/>
        </w:rPr>
        <w:t>ation.</w:t>
      </w:r>
      <w:r w:rsidR="00A1279C" w:rsidRPr="00E3562B">
        <w:rPr>
          <w:lang w:val="en-GB"/>
        </w:rPr>
        <w:t xml:space="preserve"> Empirical evidence suggests a negative association between CEO power and social-related disclosures (</w:t>
      </w:r>
      <w:proofErr w:type="spellStart"/>
      <w:r w:rsidR="00A1279C" w:rsidRPr="00E3562B">
        <w:rPr>
          <w:lang w:val="en-GB"/>
        </w:rPr>
        <w:t>Muttakin</w:t>
      </w:r>
      <w:proofErr w:type="spellEnd"/>
      <w:r w:rsidR="00A1279C" w:rsidRPr="00E3562B">
        <w:rPr>
          <w:lang w:val="en-GB"/>
        </w:rPr>
        <w:t xml:space="preserve"> et al., 2018).</w:t>
      </w:r>
      <w:bookmarkEnd w:id="5"/>
      <w:r w:rsidR="00AE75E2" w:rsidRPr="00E3562B">
        <w:rPr>
          <w:lang w:val="en-GB"/>
        </w:rPr>
        <w:t xml:space="preserve"> Furthermore, considering information asymmetry, powerful CEOs are likely to have the most comprehensive understanding of modern slavery risks within the supply chain. This asymmetry creates an opportunity to withhold this information from shareholders, allowing them to maintain a positive public image </w:t>
      </w:r>
      <w:r w:rsidR="00F03629" w:rsidRPr="00E3562B">
        <w:rPr>
          <w:lang w:val="en-GB"/>
        </w:rPr>
        <w:t>(Healy &amp; Palepu, 2001)</w:t>
      </w:r>
      <w:r w:rsidR="00AE75E2" w:rsidRPr="00E3562B">
        <w:rPr>
          <w:lang w:val="en-GB"/>
        </w:rPr>
        <w:t>. Therefore, under managerial opportunism theory, powerful CEOs might downplay or even conceal modern slavery risks to protect their own reputation and power, even if it conflicts with ethical business practices and transparency.</w:t>
      </w:r>
    </w:p>
    <w:p w14:paraId="5E4A6A2D" w14:textId="77777777" w:rsidR="0012510E" w:rsidRPr="00E3562B" w:rsidRDefault="0012510E" w:rsidP="0012510E">
      <w:pPr>
        <w:rPr>
          <w:lang w:val="en-GB"/>
        </w:rPr>
      </w:pPr>
    </w:p>
    <w:p w14:paraId="0BDD3F49" w14:textId="6441CFF7" w:rsidR="004616ED" w:rsidRPr="00E3562B" w:rsidRDefault="17316F0C" w:rsidP="00FE38F4">
      <w:pPr>
        <w:rPr>
          <w:lang w:val="en-GB"/>
        </w:rPr>
      </w:pPr>
      <w:bookmarkStart w:id="6" w:name="_Hlk165304573"/>
      <w:r w:rsidRPr="00E3562B">
        <w:rPr>
          <w:lang w:val="en-GB"/>
        </w:rPr>
        <w:t xml:space="preserve">The </w:t>
      </w:r>
      <w:r w:rsidR="00522FC6" w:rsidRPr="00E3562B">
        <w:rPr>
          <w:lang w:val="en-GB"/>
        </w:rPr>
        <w:t>effect</w:t>
      </w:r>
      <w:r w:rsidRPr="00E3562B">
        <w:rPr>
          <w:lang w:val="en-GB"/>
        </w:rPr>
        <w:t xml:space="preserve"> of CEO power is well documented in prior research. For example, there is </w:t>
      </w:r>
      <w:r w:rsidR="00677517" w:rsidRPr="00E3562B">
        <w:rPr>
          <w:lang w:val="en-GB"/>
        </w:rPr>
        <w:t xml:space="preserve">a </w:t>
      </w:r>
      <w:r w:rsidRPr="00E3562B">
        <w:rPr>
          <w:lang w:val="en-GB"/>
        </w:rPr>
        <w:t xml:space="preserve">significant association between CEO power and various factors such as remuneration </w:t>
      </w:r>
      <w:r w:rsidR="000A68B5" w:rsidRPr="00E3562B">
        <w:rPr>
          <w:lang w:val="en-GB"/>
        </w:rPr>
        <w:t>(Abernethy et al., 2015; Choe et al., 2014; Luo, 2015)</w:t>
      </w:r>
      <w:r w:rsidRPr="00E3562B">
        <w:rPr>
          <w:lang w:val="en-GB"/>
        </w:rPr>
        <w:t xml:space="preserve">, capital structure </w:t>
      </w:r>
      <w:r w:rsidR="000A68B5" w:rsidRPr="00E3562B">
        <w:rPr>
          <w:lang w:val="en-GB"/>
        </w:rPr>
        <w:t>(Chao et al., 2017; Luo, 2015)</w:t>
      </w:r>
      <w:r w:rsidRPr="00E3562B">
        <w:rPr>
          <w:lang w:val="en-GB"/>
        </w:rPr>
        <w:t xml:space="preserve">, corporate bonds ratings and yields </w:t>
      </w:r>
      <w:r w:rsidR="000A68B5" w:rsidRPr="00E3562B">
        <w:rPr>
          <w:lang w:val="en-GB"/>
        </w:rPr>
        <w:t xml:space="preserve">(Liu &amp; </w:t>
      </w:r>
      <w:proofErr w:type="spellStart"/>
      <w:r w:rsidR="000A68B5" w:rsidRPr="00E3562B">
        <w:rPr>
          <w:lang w:val="en-GB"/>
        </w:rPr>
        <w:t>Jiraporn</w:t>
      </w:r>
      <w:proofErr w:type="spellEnd"/>
      <w:r w:rsidR="000A68B5" w:rsidRPr="00E3562B">
        <w:rPr>
          <w:lang w:val="en-GB"/>
        </w:rPr>
        <w:t>, 2010)</w:t>
      </w:r>
      <w:r w:rsidRPr="00E3562B">
        <w:rPr>
          <w:lang w:val="en-GB"/>
        </w:rPr>
        <w:t xml:space="preserve">, corporate risk-taking </w:t>
      </w:r>
      <w:r w:rsidR="000A68B5" w:rsidRPr="00E3562B">
        <w:rPr>
          <w:lang w:val="en-GB"/>
        </w:rPr>
        <w:t>(Pathan, 2009)</w:t>
      </w:r>
      <w:r w:rsidRPr="00E3562B">
        <w:rPr>
          <w:lang w:val="en-GB"/>
        </w:rPr>
        <w:t xml:space="preserve">, dividends payout </w:t>
      </w:r>
      <w:r w:rsidR="000A68B5" w:rsidRPr="00E3562B">
        <w:rPr>
          <w:lang w:val="en-GB"/>
        </w:rPr>
        <w:t>(</w:t>
      </w:r>
      <w:proofErr w:type="spellStart"/>
      <w:r w:rsidR="000A68B5" w:rsidRPr="00E3562B">
        <w:rPr>
          <w:lang w:val="en-GB"/>
        </w:rPr>
        <w:t>Onali</w:t>
      </w:r>
      <w:proofErr w:type="spellEnd"/>
      <w:r w:rsidR="000A68B5" w:rsidRPr="00E3562B">
        <w:rPr>
          <w:lang w:val="en-GB"/>
        </w:rPr>
        <w:t xml:space="preserve"> et al., 2016; Sheikh, 2022)</w:t>
      </w:r>
      <w:r w:rsidRPr="00E3562B">
        <w:rPr>
          <w:lang w:val="en-GB"/>
        </w:rPr>
        <w:t xml:space="preserve"> and innovation </w:t>
      </w:r>
      <w:r w:rsidR="000A68B5" w:rsidRPr="00E3562B">
        <w:rPr>
          <w:lang w:val="en-GB"/>
        </w:rPr>
        <w:t>(Sariol &amp; Abebe, 2017)</w:t>
      </w:r>
      <w:r w:rsidRPr="00E3562B">
        <w:rPr>
          <w:lang w:val="en-GB"/>
        </w:rPr>
        <w:t xml:space="preserve">. </w:t>
      </w:r>
      <w:r w:rsidR="004B5917" w:rsidRPr="00E3562B">
        <w:rPr>
          <w:lang w:val="en-GB"/>
        </w:rPr>
        <w:t>These associations can be seen as manifestations of the agency problem where CEOs, acting as agents, may pursue personal benefits at the expense of shareholders, the principals.</w:t>
      </w:r>
      <w:bookmarkEnd w:id="6"/>
      <w:r w:rsidR="004B5917" w:rsidRPr="00E3562B">
        <w:rPr>
          <w:lang w:val="en-GB"/>
        </w:rPr>
        <w:t xml:space="preserve"> </w:t>
      </w:r>
      <w:r w:rsidRPr="00E3562B">
        <w:rPr>
          <w:lang w:val="en-GB"/>
        </w:rPr>
        <w:t xml:space="preserve">In addition, a few studies </w:t>
      </w:r>
      <w:r w:rsidR="00F34C73" w:rsidRPr="00E3562B">
        <w:rPr>
          <w:lang w:val="en-GB"/>
        </w:rPr>
        <w:t xml:space="preserve">find a negative impact of </w:t>
      </w:r>
      <w:r w:rsidRPr="00E3562B">
        <w:rPr>
          <w:lang w:val="en-GB"/>
        </w:rPr>
        <w:t>CEO power</w:t>
      </w:r>
      <w:r w:rsidR="00F34C73" w:rsidRPr="00E3562B">
        <w:rPr>
          <w:lang w:val="en-GB"/>
        </w:rPr>
        <w:t xml:space="preserve"> on</w:t>
      </w:r>
      <w:r w:rsidRPr="00E3562B">
        <w:rPr>
          <w:lang w:val="en-GB"/>
        </w:rPr>
        <w:t xml:space="preserve"> social and environmental disclosure and </w:t>
      </w:r>
      <w:r w:rsidR="008B0C4F" w:rsidRPr="00E3562B">
        <w:rPr>
          <w:lang w:val="en-GB"/>
        </w:rPr>
        <w:t>performance,</w:t>
      </w:r>
      <w:r w:rsidR="00F34C73" w:rsidRPr="00E3562B">
        <w:rPr>
          <w:lang w:val="en-GB"/>
        </w:rPr>
        <w:t xml:space="preserve"> whereas other studies report a positive impact</w:t>
      </w:r>
      <w:r w:rsidRPr="00E3562B">
        <w:rPr>
          <w:lang w:val="en-GB"/>
        </w:rPr>
        <w:t>.</w:t>
      </w:r>
      <w:r w:rsidR="004616ED" w:rsidRPr="00E3562B">
        <w:rPr>
          <w:lang w:val="en-GB"/>
        </w:rPr>
        <w:t xml:space="preserve"> In addition, a few studies have found a negative impact of CEO power on social and environmental disclosure and performance (Al-Shaer et al., 2022; Kwon et al., 2023; </w:t>
      </w:r>
      <w:proofErr w:type="spellStart"/>
      <w:r w:rsidR="004616ED" w:rsidRPr="00E3562B">
        <w:rPr>
          <w:lang w:val="en-GB"/>
        </w:rPr>
        <w:t>Muttakin</w:t>
      </w:r>
      <w:proofErr w:type="spellEnd"/>
      <w:r w:rsidR="004616ED" w:rsidRPr="00E3562B">
        <w:rPr>
          <w:lang w:val="en-GB"/>
        </w:rPr>
        <w:t xml:space="preserve"> et al., 2018), whereas other studies report a positive impact </w:t>
      </w:r>
      <w:r w:rsidR="004616ED" w:rsidRPr="00E3562B">
        <w:rPr>
          <w:noProof/>
          <w:lang w:val="en-GB"/>
        </w:rPr>
        <w:t>(Li et al., 2018; Velte, 2020)</w:t>
      </w:r>
      <w:r w:rsidR="004616ED" w:rsidRPr="00E3562B">
        <w:rPr>
          <w:lang w:val="en-GB"/>
        </w:rPr>
        <w:t>.</w:t>
      </w:r>
    </w:p>
    <w:p w14:paraId="78BB53FC" w14:textId="0C2D3040" w:rsidR="009A0D0B" w:rsidRPr="00E3562B" w:rsidRDefault="009A0D0B" w:rsidP="4162382F">
      <w:pPr>
        <w:rPr>
          <w:lang w:val="en-GB"/>
        </w:rPr>
      </w:pPr>
    </w:p>
    <w:p w14:paraId="11B91022" w14:textId="3A3E89DC" w:rsidR="005F55EB" w:rsidRPr="00E3562B" w:rsidRDefault="17316F0C" w:rsidP="00EF70D0">
      <w:pPr>
        <w:rPr>
          <w:lang w:val="en-GB"/>
        </w:rPr>
      </w:pPr>
      <w:bookmarkStart w:id="7" w:name="_Hlk165304621"/>
      <w:r w:rsidRPr="00E3562B">
        <w:rPr>
          <w:lang w:val="en-GB"/>
        </w:rPr>
        <w:lastRenderedPageBreak/>
        <w:t xml:space="preserve">As corporate boards focus more on mandatory </w:t>
      </w:r>
      <w:r w:rsidR="003D5552" w:rsidRPr="00E3562B">
        <w:rPr>
          <w:lang w:val="en-GB"/>
        </w:rPr>
        <w:t>than</w:t>
      </w:r>
      <w:r w:rsidRPr="00E3562B">
        <w:rPr>
          <w:lang w:val="en-GB"/>
        </w:rPr>
        <w:t xml:space="preserve"> voluntary disclosures </w:t>
      </w:r>
      <w:r w:rsidR="000A68B5" w:rsidRPr="00E3562B">
        <w:rPr>
          <w:lang w:val="en-GB"/>
        </w:rPr>
        <w:t>(McWilliams et al., 2006)</w:t>
      </w:r>
      <w:r w:rsidRPr="00E3562B">
        <w:rPr>
          <w:lang w:val="en-GB"/>
        </w:rPr>
        <w:t xml:space="preserve">, </w:t>
      </w:r>
      <w:r w:rsidR="00CC7635" w:rsidRPr="00E3562B">
        <w:rPr>
          <w:lang w:val="en-GB"/>
        </w:rPr>
        <w:t xml:space="preserve">less attention could be directed to </w:t>
      </w:r>
      <w:r w:rsidR="007D055A" w:rsidRPr="00E3562B">
        <w:rPr>
          <w:lang w:val="en-GB"/>
        </w:rPr>
        <w:t>social</w:t>
      </w:r>
      <w:r w:rsidRPr="00E3562B">
        <w:rPr>
          <w:lang w:val="en-GB"/>
        </w:rPr>
        <w:t xml:space="preserve"> disclosure</w:t>
      </w:r>
      <w:r w:rsidR="007D055A" w:rsidRPr="00E3562B">
        <w:rPr>
          <w:lang w:val="en-GB"/>
        </w:rPr>
        <w:t>s</w:t>
      </w:r>
      <w:r w:rsidR="00CC7635" w:rsidRPr="00E3562B">
        <w:rPr>
          <w:lang w:val="en-GB"/>
        </w:rPr>
        <w:t xml:space="preserve"> </w:t>
      </w:r>
      <w:r w:rsidR="000A68B5" w:rsidRPr="00E3562B">
        <w:rPr>
          <w:lang w:val="en-GB"/>
        </w:rPr>
        <w:t>(McWilliams et al., 2006; McWilliams &amp; Siegel, 2001)</w:t>
      </w:r>
      <w:r w:rsidR="007D055A" w:rsidRPr="00E3562B">
        <w:rPr>
          <w:lang w:val="en-GB"/>
        </w:rPr>
        <w:t>, such as MSD</w:t>
      </w:r>
      <w:r w:rsidRPr="00E3562B">
        <w:rPr>
          <w:lang w:val="en-GB"/>
        </w:rPr>
        <w:t xml:space="preserve">. </w:t>
      </w:r>
      <w:r w:rsidR="00761E80" w:rsidRPr="00E3562B">
        <w:rPr>
          <w:lang w:val="en-GB"/>
        </w:rPr>
        <w:t xml:space="preserve">From an agency theory perspective, the centralization of power in the CEO's hands could result in agency conflicts where the interests of the shareholders and other stakeholders are compromised. Powerful CEOs may prioritize their personal gains over broader ethical and social responsibilities, thus impeding transparency and accountability in corporate practices. </w:t>
      </w:r>
      <w:bookmarkEnd w:id="7"/>
      <w:r w:rsidRPr="00E3562B">
        <w:rPr>
          <w:lang w:val="en-GB"/>
        </w:rPr>
        <w:t xml:space="preserve">It is argued that the power held by CEOs shields them from various control mechanisms such as board directors and other market mechanisms </w:t>
      </w:r>
      <w:r w:rsidR="000A68B5" w:rsidRPr="00E3562B">
        <w:rPr>
          <w:lang w:val="en-GB"/>
        </w:rPr>
        <w:t xml:space="preserve">(Fama &amp; Jensen, 1983; </w:t>
      </w:r>
      <w:proofErr w:type="spellStart"/>
      <w:r w:rsidR="000A68B5" w:rsidRPr="00E3562B">
        <w:rPr>
          <w:lang w:val="en-GB"/>
        </w:rPr>
        <w:t>Muttakin</w:t>
      </w:r>
      <w:proofErr w:type="spellEnd"/>
      <w:r w:rsidR="000A68B5" w:rsidRPr="00E3562B">
        <w:rPr>
          <w:lang w:val="en-GB"/>
        </w:rPr>
        <w:t xml:space="preserve"> et al., 2018)</w:t>
      </w:r>
      <w:r w:rsidRPr="00E3562B">
        <w:rPr>
          <w:lang w:val="en-GB"/>
        </w:rPr>
        <w:t>. In other words, the board</w:t>
      </w:r>
      <w:r w:rsidR="00C5536A" w:rsidRPr="00E3562B">
        <w:rPr>
          <w:lang w:val="en-GB"/>
        </w:rPr>
        <w:t>'</w:t>
      </w:r>
      <w:r w:rsidRPr="00E3562B">
        <w:rPr>
          <w:lang w:val="en-GB"/>
        </w:rPr>
        <w:t xml:space="preserve">s monitoring capability can be diminished by CEO power, which in turn may influence corporate disclosures </w:t>
      </w:r>
      <w:r w:rsidR="000A68B5" w:rsidRPr="00E3562B">
        <w:rPr>
          <w:lang w:val="en-GB"/>
        </w:rPr>
        <w:t>(</w:t>
      </w:r>
      <w:proofErr w:type="spellStart"/>
      <w:r w:rsidR="000A68B5" w:rsidRPr="00E3562B">
        <w:rPr>
          <w:lang w:val="en-GB"/>
        </w:rPr>
        <w:t>Muttakin</w:t>
      </w:r>
      <w:proofErr w:type="spellEnd"/>
      <w:r w:rsidR="000A68B5" w:rsidRPr="00E3562B">
        <w:rPr>
          <w:lang w:val="en-GB"/>
        </w:rPr>
        <w:t xml:space="preserve"> et al., 2018)</w:t>
      </w:r>
      <w:r w:rsidRPr="00E3562B">
        <w:rPr>
          <w:lang w:val="en-GB"/>
        </w:rPr>
        <w:t xml:space="preserve">. Thus, paving the way for powerful CEOs to limit </w:t>
      </w:r>
      <w:r w:rsidR="007D055A" w:rsidRPr="00E3562B">
        <w:rPr>
          <w:lang w:val="en-GB"/>
        </w:rPr>
        <w:t>social</w:t>
      </w:r>
      <w:r w:rsidRPr="00E3562B">
        <w:rPr>
          <w:lang w:val="en-GB"/>
        </w:rPr>
        <w:t xml:space="preserve"> disclosure</w:t>
      </w:r>
      <w:r w:rsidR="007D055A" w:rsidRPr="00E3562B">
        <w:rPr>
          <w:lang w:val="en-GB"/>
        </w:rPr>
        <w:t>s</w:t>
      </w:r>
      <w:r w:rsidR="00C5536A" w:rsidRPr="00E3562B">
        <w:rPr>
          <w:lang w:val="en-GB"/>
        </w:rPr>
        <w:t>,</w:t>
      </w:r>
      <w:r w:rsidRPr="00E3562B">
        <w:rPr>
          <w:lang w:val="en-GB"/>
        </w:rPr>
        <w:t xml:space="preserve"> including modern slavery. It is also argued that powerful CEO</w:t>
      </w:r>
      <w:r w:rsidR="00406EC1" w:rsidRPr="00E3562B">
        <w:rPr>
          <w:lang w:val="en-GB"/>
        </w:rPr>
        <w:t xml:space="preserve">s may lack the motivation to direct resources towards </w:t>
      </w:r>
      <w:r w:rsidR="007D055A" w:rsidRPr="00E3562B">
        <w:rPr>
          <w:lang w:val="en-GB"/>
        </w:rPr>
        <w:t>social</w:t>
      </w:r>
      <w:r w:rsidR="00406EC1" w:rsidRPr="00E3562B">
        <w:rPr>
          <w:lang w:val="en-GB"/>
        </w:rPr>
        <w:t xml:space="preserve"> practices, particularly if such investments do not</w:t>
      </w:r>
      <w:r w:rsidRPr="00E3562B">
        <w:rPr>
          <w:lang w:val="en-GB"/>
        </w:rPr>
        <w:t xml:space="preserve"> contribute to their self-interests </w:t>
      </w:r>
      <w:r w:rsidR="000A68B5" w:rsidRPr="00E3562B">
        <w:rPr>
          <w:lang w:val="en-GB"/>
        </w:rPr>
        <w:t>(McWilliams et al., 2006)</w:t>
      </w:r>
      <w:r w:rsidRPr="00E3562B">
        <w:rPr>
          <w:lang w:val="en-GB"/>
        </w:rPr>
        <w:t>.</w:t>
      </w:r>
      <w:r w:rsidR="00EF70D0" w:rsidRPr="00E3562B">
        <w:rPr>
          <w:lang w:val="en-GB"/>
        </w:rPr>
        <w:t xml:space="preserve"> </w:t>
      </w:r>
      <w:r w:rsidR="00D86622" w:rsidRPr="00E3562B">
        <w:rPr>
          <w:lang w:val="en-GB"/>
        </w:rPr>
        <w:t xml:space="preserve">Accordingly, we formulate our </w:t>
      </w:r>
      <w:r w:rsidR="00F42DC8" w:rsidRPr="00E3562B">
        <w:rPr>
          <w:lang w:val="en-GB"/>
        </w:rPr>
        <w:t>first</w:t>
      </w:r>
      <w:r w:rsidR="00D86622" w:rsidRPr="00E3562B">
        <w:rPr>
          <w:lang w:val="en-GB"/>
        </w:rPr>
        <w:t xml:space="preserve"> hypothesis as follows:</w:t>
      </w:r>
    </w:p>
    <w:p w14:paraId="3659CF93" w14:textId="77777777" w:rsidR="00D01F4E" w:rsidRPr="00E3562B" w:rsidRDefault="00D01F4E" w:rsidP="00D01F4E">
      <w:pPr>
        <w:rPr>
          <w:i/>
          <w:iCs/>
          <w:lang w:val="en-GB"/>
        </w:rPr>
      </w:pPr>
      <w:r w:rsidRPr="00E3562B">
        <w:rPr>
          <w:i/>
          <w:iCs/>
          <w:lang w:val="en-GB"/>
        </w:rPr>
        <w:t>H1: CEO power is significantly and negatively associated with the extent of MSD.</w:t>
      </w:r>
    </w:p>
    <w:p w14:paraId="2E7D149E" w14:textId="77777777" w:rsidR="00D01F4E" w:rsidRPr="00E3562B" w:rsidRDefault="00D01F4E" w:rsidP="00D01F4E">
      <w:pPr>
        <w:rPr>
          <w:lang w:val="en-GB"/>
        </w:rPr>
      </w:pPr>
    </w:p>
    <w:p w14:paraId="15C71E64" w14:textId="03799534" w:rsidR="004901EA" w:rsidRPr="00E3562B" w:rsidRDefault="004A2C0B" w:rsidP="00F60CC3">
      <w:pPr>
        <w:pStyle w:val="Heading2"/>
        <w:rPr>
          <w:lang w:val="en-GB"/>
        </w:rPr>
      </w:pPr>
      <w:r w:rsidRPr="00E3562B">
        <w:rPr>
          <w:lang w:val="en-GB"/>
        </w:rPr>
        <w:t>The moderat</w:t>
      </w:r>
      <w:r w:rsidR="007E0FC7" w:rsidRPr="00E3562B">
        <w:rPr>
          <w:lang w:val="en-GB"/>
        </w:rPr>
        <w:t>ing role of b</w:t>
      </w:r>
      <w:r w:rsidR="00F60CC3" w:rsidRPr="00E3562B">
        <w:rPr>
          <w:lang w:val="en-GB"/>
        </w:rPr>
        <w:t>oard gender diversity</w:t>
      </w:r>
    </w:p>
    <w:p w14:paraId="6636C0F7" w14:textId="2C28A409" w:rsidR="0013237B" w:rsidRPr="00E3562B" w:rsidRDefault="00710874" w:rsidP="008E7E57">
      <w:pPr>
        <w:rPr>
          <w:lang w:val="en-GB"/>
        </w:rPr>
      </w:pPr>
      <w:r w:rsidRPr="00E3562B">
        <w:rPr>
          <w:lang w:val="en-GB"/>
        </w:rPr>
        <w:t xml:space="preserve">Gender </w:t>
      </w:r>
      <w:r w:rsidR="00F42F6A" w:rsidRPr="00E3562B">
        <w:rPr>
          <w:lang w:val="en-GB"/>
        </w:rPr>
        <w:t>s</w:t>
      </w:r>
      <w:r w:rsidRPr="00E3562B">
        <w:rPr>
          <w:lang w:val="en-GB"/>
        </w:rPr>
        <w:t>ociali</w:t>
      </w:r>
      <w:r w:rsidR="00F42F6A" w:rsidRPr="00E3562B">
        <w:rPr>
          <w:lang w:val="en-GB"/>
        </w:rPr>
        <w:t>s</w:t>
      </w:r>
      <w:r w:rsidRPr="00E3562B">
        <w:rPr>
          <w:lang w:val="en-GB"/>
        </w:rPr>
        <w:t xml:space="preserve">ation </w:t>
      </w:r>
      <w:r w:rsidR="00F42F6A" w:rsidRPr="00E3562B">
        <w:rPr>
          <w:lang w:val="en-GB"/>
        </w:rPr>
        <w:t>t</w:t>
      </w:r>
      <w:r w:rsidRPr="00E3562B">
        <w:rPr>
          <w:lang w:val="en-GB"/>
        </w:rPr>
        <w:t>heory (GST) posits that females are more inclined towards ethical conduct in decision-making processes compared to males</w:t>
      </w:r>
      <w:r w:rsidR="00CD01C5" w:rsidRPr="00E3562B">
        <w:rPr>
          <w:lang w:val="en-GB"/>
        </w:rPr>
        <w:t xml:space="preserve"> </w:t>
      </w:r>
      <w:r w:rsidR="00CA3584" w:rsidRPr="00E3562B">
        <w:rPr>
          <w:lang w:val="en-GB"/>
        </w:rPr>
        <w:t>(Cumming et al., 2015)</w:t>
      </w:r>
      <w:r w:rsidRPr="00E3562B">
        <w:rPr>
          <w:lang w:val="en-GB"/>
        </w:rPr>
        <w:t xml:space="preserve">. This divergence is attributed to the distinct gender roles and values instilled during childhood, leading to differentiated moral perspectives and </w:t>
      </w:r>
      <w:r w:rsidR="004975FE" w:rsidRPr="00E3562B">
        <w:rPr>
          <w:lang w:val="en-GB"/>
        </w:rPr>
        <w:t>behaviours</w:t>
      </w:r>
      <w:r w:rsidRPr="00E3562B">
        <w:rPr>
          <w:lang w:val="en-GB"/>
        </w:rPr>
        <w:t xml:space="preserve"> between the </w:t>
      </w:r>
      <w:r w:rsidR="004975FE" w:rsidRPr="00E3562B">
        <w:rPr>
          <w:lang w:val="en-GB"/>
        </w:rPr>
        <w:t xml:space="preserve">genders </w:t>
      </w:r>
      <w:r w:rsidR="00CA3584" w:rsidRPr="00E3562B">
        <w:rPr>
          <w:lang w:val="en-GB"/>
        </w:rPr>
        <w:t>(Carter, 2014; Dawson, 1997)</w:t>
      </w:r>
      <w:r w:rsidR="0544759D" w:rsidRPr="00E3562B">
        <w:rPr>
          <w:lang w:val="en-GB"/>
        </w:rPr>
        <w:t xml:space="preserve">. </w:t>
      </w:r>
      <w:r w:rsidR="008E7E57" w:rsidRPr="00E3562B">
        <w:rPr>
          <w:lang w:val="en-GB"/>
        </w:rPr>
        <w:t xml:space="preserve">Men are inclined towards emphasizing individual achievements, whereas women place a greater emphasis on communal values, which contributes to the enhancement of interpersonal relationships </w:t>
      </w:r>
      <w:r w:rsidR="006F6F61" w:rsidRPr="00E3562B">
        <w:rPr>
          <w:lang w:val="en-GB"/>
        </w:rPr>
        <w:t xml:space="preserve">(Carlson, 1972; </w:t>
      </w:r>
      <w:proofErr w:type="spellStart"/>
      <w:r w:rsidR="006F6F61" w:rsidRPr="00E3562B">
        <w:rPr>
          <w:lang w:val="en-GB"/>
        </w:rPr>
        <w:t>Eagly</w:t>
      </w:r>
      <w:proofErr w:type="spellEnd"/>
      <w:r w:rsidR="006F6F61" w:rsidRPr="00E3562B">
        <w:rPr>
          <w:lang w:val="en-GB"/>
        </w:rPr>
        <w:t xml:space="preserve"> et al., 2007)</w:t>
      </w:r>
      <w:r w:rsidR="0544759D" w:rsidRPr="00E3562B">
        <w:rPr>
          <w:lang w:val="en-GB"/>
        </w:rPr>
        <w:t xml:space="preserve">. The competitiveness among men urges them </w:t>
      </w:r>
      <w:r w:rsidR="0544759D" w:rsidRPr="00E3562B">
        <w:rPr>
          <w:lang w:val="en-GB"/>
        </w:rPr>
        <w:lastRenderedPageBreak/>
        <w:t xml:space="preserve">to be more susceptible to rule-breaking under pressure </w:t>
      </w:r>
      <w:r w:rsidR="006F6F61" w:rsidRPr="00E3562B">
        <w:rPr>
          <w:lang w:val="en-GB"/>
        </w:rPr>
        <w:t>(</w:t>
      </w:r>
      <w:proofErr w:type="spellStart"/>
      <w:r w:rsidR="006F6F61" w:rsidRPr="00E3562B">
        <w:rPr>
          <w:lang w:val="en-GB"/>
        </w:rPr>
        <w:t>Eagly</w:t>
      </w:r>
      <w:proofErr w:type="spellEnd"/>
      <w:r w:rsidR="006F6F61" w:rsidRPr="00E3562B">
        <w:rPr>
          <w:lang w:val="en-GB"/>
        </w:rPr>
        <w:t xml:space="preserve"> et al., 2007; Radtke, 2000)</w:t>
      </w:r>
      <w:r w:rsidR="0544759D" w:rsidRPr="00E3562B">
        <w:rPr>
          <w:lang w:val="en-GB"/>
        </w:rPr>
        <w:t xml:space="preserve">. The focus on communal values throughout the growing-up phase of women is a key factor behind their moral stance when making decisions </w:t>
      </w:r>
      <w:r w:rsidR="006F6F61" w:rsidRPr="00E3562B">
        <w:rPr>
          <w:lang w:val="en-GB"/>
        </w:rPr>
        <w:t>(Carter, 2014; Radtke, 2000)</w:t>
      </w:r>
      <w:r w:rsidR="0544759D" w:rsidRPr="00E3562B">
        <w:rPr>
          <w:lang w:val="en-GB"/>
        </w:rPr>
        <w:t>.</w:t>
      </w:r>
    </w:p>
    <w:p w14:paraId="6FE4A65F" w14:textId="77777777" w:rsidR="00F36D86" w:rsidRPr="00E3562B" w:rsidRDefault="00F36D86" w:rsidP="003A20F7">
      <w:pPr>
        <w:rPr>
          <w:lang w:val="en-GB"/>
        </w:rPr>
      </w:pPr>
    </w:p>
    <w:p w14:paraId="5B77D965" w14:textId="242030E4" w:rsidR="004616ED" w:rsidRPr="00E3562B" w:rsidRDefault="17316F0C" w:rsidP="00876ACB">
      <w:pPr>
        <w:rPr>
          <w:rFonts w:eastAsia="Calibri"/>
          <w:szCs w:val="24"/>
          <w:lang w:val="en-GB"/>
        </w:rPr>
      </w:pPr>
      <w:r w:rsidRPr="00E3562B">
        <w:rPr>
          <w:lang w:val="en-GB"/>
        </w:rPr>
        <w:t xml:space="preserve">Recent literature on the </w:t>
      </w:r>
      <w:r w:rsidR="001811BB" w:rsidRPr="00E3562B">
        <w:rPr>
          <w:lang w:val="en-GB"/>
        </w:rPr>
        <w:t>effect</w:t>
      </w:r>
      <w:r w:rsidRPr="00E3562B">
        <w:rPr>
          <w:lang w:val="en-GB"/>
        </w:rPr>
        <w:t xml:space="preserve"> of </w:t>
      </w:r>
      <w:r w:rsidR="00F2034C" w:rsidRPr="00E3562B">
        <w:rPr>
          <w:lang w:val="en-GB"/>
        </w:rPr>
        <w:t>BGD</w:t>
      </w:r>
      <w:r w:rsidRPr="00E3562B">
        <w:rPr>
          <w:lang w:val="en-GB"/>
        </w:rPr>
        <w:t xml:space="preserve"> gives support to the GST predictions. For example, higher BGD is associated with less managerial obfuscation through complex annual reports </w:t>
      </w:r>
      <w:r w:rsidR="000A68B5" w:rsidRPr="00E3562B">
        <w:rPr>
          <w:lang w:val="en-GB"/>
        </w:rPr>
        <w:t>(Nadeem, 2022)</w:t>
      </w:r>
      <w:r w:rsidRPr="00E3562B">
        <w:rPr>
          <w:lang w:val="en-GB"/>
        </w:rPr>
        <w:t xml:space="preserve">. Higher representation of women on corporate boards is positively associated with the quality of corporate social responsibility disclosures </w:t>
      </w:r>
      <w:r w:rsidR="000A68B5" w:rsidRPr="00E3562B">
        <w:rPr>
          <w:lang w:val="en-GB"/>
        </w:rPr>
        <w:t>(Cabeza‐García et al., 2018)</w:t>
      </w:r>
      <w:r w:rsidR="000E60A8" w:rsidRPr="00E3562B">
        <w:rPr>
          <w:lang w:val="en-GB"/>
        </w:rPr>
        <w:t xml:space="preserve"> </w:t>
      </w:r>
      <w:r w:rsidRPr="00E3562B">
        <w:rPr>
          <w:lang w:val="en-GB"/>
        </w:rPr>
        <w:t xml:space="preserve">and intellectual capital disclosures </w:t>
      </w:r>
      <w:r w:rsidR="000A68B5" w:rsidRPr="00E3562B">
        <w:rPr>
          <w:lang w:val="en-GB"/>
        </w:rPr>
        <w:t>(Nadeem, 2020)</w:t>
      </w:r>
      <w:r w:rsidRPr="00E3562B">
        <w:rPr>
          <w:lang w:val="en-GB"/>
        </w:rPr>
        <w:t>.</w:t>
      </w:r>
      <w:r w:rsidR="00732A5D" w:rsidRPr="00E3562B">
        <w:rPr>
          <w:lang w:val="en-GB"/>
        </w:rPr>
        <w:t xml:space="preserve"> </w:t>
      </w:r>
      <w:r w:rsidR="00051069" w:rsidRPr="00E3562B">
        <w:rPr>
          <w:lang w:val="en-GB"/>
        </w:rPr>
        <w:t xml:space="preserve">Moreover, </w:t>
      </w:r>
      <w:r w:rsidR="00BD6208" w:rsidRPr="00E3562B">
        <w:rPr>
          <w:lang w:val="en-GB"/>
        </w:rPr>
        <w:t>BGD</w:t>
      </w:r>
      <w:r w:rsidR="00732A5D" w:rsidRPr="00E3562B">
        <w:rPr>
          <w:lang w:val="en-GB"/>
        </w:rPr>
        <w:t xml:space="preserve"> </w:t>
      </w:r>
      <w:r w:rsidR="00051069" w:rsidRPr="00E3562B">
        <w:rPr>
          <w:lang w:val="en-GB"/>
        </w:rPr>
        <w:t>is reported to be</w:t>
      </w:r>
      <w:r w:rsidR="00732A5D" w:rsidRPr="00E3562B">
        <w:rPr>
          <w:lang w:val="en-GB"/>
        </w:rPr>
        <w:t xml:space="preserve"> a significant moderator for the frequency of fraud</w:t>
      </w:r>
      <w:r w:rsidR="00051069" w:rsidRPr="00E3562B">
        <w:rPr>
          <w:lang w:val="en-GB"/>
        </w:rPr>
        <w:t xml:space="preserve"> </w:t>
      </w:r>
      <w:r w:rsidR="000A68B5" w:rsidRPr="00E3562B">
        <w:rPr>
          <w:lang w:val="en-GB"/>
        </w:rPr>
        <w:t>(Cumming et al., 2015)</w:t>
      </w:r>
      <w:r w:rsidR="00BD6208" w:rsidRPr="00E3562B">
        <w:rPr>
          <w:lang w:val="en-GB"/>
        </w:rPr>
        <w:t xml:space="preserve"> and is negatively associated with related-party transactions </w:t>
      </w:r>
      <w:r w:rsidR="000A68B5" w:rsidRPr="00E3562B">
        <w:rPr>
          <w:lang w:val="en-GB"/>
        </w:rPr>
        <w:t>(</w:t>
      </w:r>
      <w:proofErr w:type="spellStart"/>
      <w:r w:rsidR="000A68B5" w:rsidRPr="00E3562B">
        <w:rPr>
          <w:lang w:val="en-GB"/>
        </w:rPr>
        <w:t>Nekhili</w:t>
      </w:r>
      <w:proofErr w:type="spellEnd"/>
      <w:r w:rsidR="000A68B5" w:rsidRPr="00E3562B">
        <w:rPr>
          <w:lang w:val="en-GB"/>
        </w:rPr>
        <w:t xml:space="preserve"> et al., 2022)</w:t>
      </w:r>
      <w:r w:rsidR="00051069" w:rsidRPr="00E3562B">
        <w:rPr>
          <w:lang w:val="en-GB"/>
        </w:rPr>
        <w:t>.</w:t>
      </w:r>
      <w:r w:rsidR="005B1F9D" w:rsidRPr="00E3562B">
        <w:rPr>
          <w:lang w:val="en-GB"/>
        </w:rPr>
        <w:t xml:space="preserve"> Furthermore, higher proportions of women on boards can lead to less irresponsible CSR behaviour </w:t>
      </w:r>
      <w:r w:rsidR="000A68B5" w:rsidRPr="00E3562B">
        <w:rPr>
          <w:lang w:val="en-GB"/>
        </w:rPr>
        <w:t xml:space="preserve">(Jain &amp; Zaman, 2020; </w:t>
      </w:r>
      <w:proofErr w:type="spellStart"/>
      <w:r w:rsidR="000A68B5" w:rsidRPr="00E3562B">
        <w:rPr>
          <w:lang w:val="en-GB"/>
        </w:rPr>
        <w:t>Muttakin</w:t>
      </w:r>
      <w:proofErr w:type="spellEnd"/>
      <w:r w:rsidR="000A68B5" w:rsidRPr="00E3562B">
        <w:rPr>
          <w:lang w:val="en-GB"/>
        </w:rPr>
        <w:t xml:space="preserve"> et al., 2022)</w:t>
      </w:r>
      <w:r w:rsidR="005B1F9D" w:rsidRPr="00E3562B">
        <w:rPr>
          <w:lang w:val="en-GB"/>
        </w:rPr>
        <w:t>.</w:t>
      </w:r>
      <w:r w:rsidR="00187EC4" w:rsidRPr="00E3562B">
        <w:rPr>
          <w:lang w:val="en-GB"/>
        </w:rPr>
        <w:t xml:space="preserve"> On the other hand, </w:t>
      </w:r>
      <w:r w:rsidR="00187EC4" w:rsidRPr="00E3562B">
        <w:rPr>
          <w:rFonts w:eastAsia="Calibri"/>
          <w:szCs w:val="24"/>
          <w:lang w:val="en-GB"/>
        </w:rPr>
        <w:t xml:space="preserve">Gregory-Smith and Main </w:t>
      </w:r>
      <w:r w:rsidR="000A68B5" w:rsidRPr="00E3562B">
        <w:rPr>
          <w:rFonts w:eastAsia="Calibri"/>
          <w:lang w:val="en-GB"/>
        </w:rPr>
        <w:t>(2023)</w:t>
      </w:r>
      <w:r w:rsidR="00187EC4" w:rsidRPr="00E3562B">
        <w:rPr>
          <w:rFonts w:eastAsia="Calibri"/>
          <w:szCs w:val="24"/>
          <w:lang w:val="en-GB"/>
        </w:rPr>
        <w:t xml:space="preserve"> assert that </w:t>
      </w:r>
      <w:r w:rsidR="008E7E57" w:rsidRPr="00E3562B">
        <w:rPr>
          <w:rFonts w:eastAsia="Calibri"/>
          <w:szCs w:val="24"/>
          <w:lang w:val="en-GB"/>
        </w:rPr>
        <w:t>women frequently occupy positions on company boards for symbolic rather than substantive reasons.</w:t>
      </w:r>
    </w:p>
    <w:p w14:paraId="201F00F1" w14:textId="77777777" w:rsidR="007549DD" w:rsidRPr="00E3562B" w:rsidRDefault="007549DD" w:rsidP="00876ACB">
      <w:pPr>
        <w:rPr>
          <w:rFonts w:eastAsia="Calibri"/>
          <w:szCs w:val="24"/>
          <w:lang w:val="en-GB"/>
        </w:rPr>
      </w:pPr>
    </w:p>
    <w:p w14:paraId="764DA5DF" w14:textId="0B324253" w:rsidR="00C33391" w:rsidRPr="00E3562B" w:rsidRDefault="0544759D" w:rsidP="00876ACB">
      <w:pPr>
        <w:rPr>
          <w:lang w:val="en-GB"/>
        </w:rPr>
      </w:pPr>
      <w:r w:rsidRPr="00E3562B">
        <w:rPr>
          <w:lang w:val="en-GB"/>
        </w:rPr>
        <w:t xml:space="preserve">The agency theory suggests that the negative </w:t>
      </w:r>
      <w:r w:rsidR="00522FC6" w:rsidRPr="00E3562B">
        <w:rPr>
          <w:lang w:val="en-GB"/>
        </w:rPr>
        <w:t>association between</w:t>
      </w:r>
      <w:r w:rsidRPr="00E3562B">
        <w:rPr>
          <w:lang w:val="en-GB"/>
        </w:rPr>
        <w:t xml:space="preserve"> CEO power </w:t>
      </w:r>
      <w:r w:rsidR="00522FC6" w:rsidRPr="00E3562B">
        <w:rPr>
          <w:lang w:val="en-GB"/>
        </w:rPr>
        <w:t>and</w:t>
      </w:r>
      <w:r w:rsidRPr="00E3562B">
        <w:rPr>
          <w:lang w:val="en-GB"/>
        </w:rPr>
        <w:t xml:space="preserve"> corporate disclosure may be exacerbated by weak corporate governance mechanisms, such as a lack of independent directors or an ineffective board of directors </w:t>
      </w:r>
      <w:r w:rsidR="000A68B5" w:rsidRPr="00E3562B">
        <w:rPr>
          <w:lang w:val="en-GB"/>
        </w:rPr>
        <w:t>(Jensen &amp; Meckling, 1976)</w:t>
      </w:r>
      <w:r w:rsidRPr="00E3562B">
        <w:rPr>
          <w:lang w:val="en-GB"/>
        </w:rPr>
        <w:t xml:space="preserve">. The lack of strong corporate governance mechanisms </w:t>
      </w:r>
      <w:r w:rsidR="00E4261D" w:rsidRPr="00E3562B">
        <w:rPr>
          <w:lang w:val="en-GB"/>
        </w:rPr>
        <w:t>facilitates CEOs' endeavours to serve their</w:t>
      </w:r>
      <w:r w:rsidRPr="00E3562B">
        <w:rPr>
          <w:lang w:val="en-GB"/>
        </w:rPr>
        <w:t xml:space="preserve"> interests, further exacerbating agency problems. It can be argued that BGD can mitigate agency problems by providing diverse perspectives, which may lead to more effective monitoring of the CEO's actions and decisions. </w:t>
      </w:r>
      <w:r w:rsidR="007549DD" w:rsidRPr="00E3562B">
        <w:rPr>
          <w:lang w:val="en-GB"/>
        </w:rPr>
        <w:t xml:space="preserve">Diverse boards introduce a variety of viewpoints and ethical standards, which disrupt established power dynamics and promote thorough deliberations. This diversity leads to more balanced decision-making and reduces the influence of dominant personalities, such as the CEO, ensuring that decisions reflect a broader range of stakeholder </w:t>
      </w:r>
      <w:r w:rsidR="007549DD" w:rsidRPr="00E3562B">
        <w:rPr>
          <w:lang w:val="en-GB"/>
        </w:rPr>
        <w:lastRenderedPageBreak/>
        <w:t xml:space="preserve">interests and comply with higher ethical standards. Consequently, this can lead to more effective monitoring of the CEO's actions and decisions. </w:t>
      </w:r>
      <w:r w:rsidRPr="00E3562B">
        <w:rPr>
          <w:lang w:val="en-GB"/>
        </w:rPr>
        <w:t xml:space="preserve">Evidence from prior research </w:t>
      </w:r>
      <w:r w:rsidR="00C53F0B" w:rsidRPr="00E3562B">
        <w:rPr>
          <w:lang w:val="en-GB"/>
        </w:rPr>
        <w:t>supports</w:t>
      </w:r>
      <w:r w:rsidRPr="00E3562B">
        <w:rPr>
          <w:lang w:val="en-GB"/>
        </w:rPr>
        <w:t xml:space="preserve"> this prediction. For example, female directors </w:t>
      </w:r>
      <w:r w:rsidR="009826D1" w:rsidRPr="00E3562B">
        <w:rPr>
          <w:lang w:val="en-GB"/>
        </w:rPr>
        <w:t>positively impact the board's monitoring role</w:t>
      </w:r>
      <w:r w:rsidRPr="00E3562B">
        <w:rPr>
          <w:lang w:val="en-GB"/>
        </w:rPr>
        <w:t xml:space="preserve"> </w:t>
      </w:r>
      <w:r w:rsidR="00F34C73" w:rsidRPr="00E3562B">
        <w:rPr>
          <w:lang w:val="en-GB"/>
        </w:rPr>
        <w:t>(Adams &amp; Ferreira, 2009)</w:t>
      </w:r>
      <w:r w:rsidRPr="00E3562B">
        <w:rPr>
          <w:lang w:val="en-GB"/>
        </w:rPr>
        <w:t xml:space="preserve">. Moreover, a recent study suggests that gender-diverse boards </w:t>
      </w:r>
      <w:r w:rsidR="005E04BB" w:rsidRPr="00E3562B">
        <w:rPr>
          <w:lang w:val="en-GB"/>
        </w:rPr>
        <w:t>effectively limit</w:t>
      </w:r>
      <w:r w:rsidRPr="00E3562B">
        <w:rPr>
          <w:lang w:val="en-GB"/>
        </w:rPr>
        <w:t xml:space="preserve"> the positive impact of CEO power on perks </w:t>
      </w:r>
      <w:r w:rsidR="000A68B5" w:rsidRPr="00E3562B">
        <w:rPr>
          <w:lang w:val="en-GB"/>
        </w:rPr>
        <w:t>(Ting &amp; Huang, 2018)</w:t>
      </w:r>
      <w:r w:rsidRPr="00E3562B">
        <w:rPr>
          <w:lang w:val="en-GB"/>
        </w:rPr>
        <w:t xml:space="preserve">. This suggests that BGD can moderate the negative </w:t>
      </w:r>
      <w:r w:rsidR="00522FC6" w:rsidRPr="00E3562B">
        <w:rPr>
          <w:lang w:val="en-GB"/>
        </w:rPr>
        <w:t>association between</w:t>
      </w:r>
      <w:r w:rsidRPr="00E3562B">
        <w:rPr>
          <w:lang w:val="en-GB"/>
        </w:rPr>
        <w:t xml:space="preserve"> CEO power </w:t>
      </w:r>
      <w:r w:rsidR="00522FC6" w:rsidRPr="00E3562B">
        <w:rPr>
          <w:lang w:val="en-GB"/>
        </w:rPr>
        <w:t>and</w:t>
      </w:r>
      <w:r w:rsidRPr="00E3562B">
        <w:rPr>
          <w:lang w:val="en-GB"/>
        </w:rPr>
        <w:t xml:space="preserve"> </w:t>
      </w:r>
      <w:r w:rsidR="00E42C76" w:rsidRPr="00E3562B">
        <w:rPr>
          <w:lang w:val="en-GB"/>
        </w:rPr>
        <w:t>MSD</w:t>
      </w:r>
      <w:r w:rsidRPr="00E3562B">
        <w:rPr>
          <w:lang w:val="en-GB"/>
        </w:rPr>
        <w:t>.</w:t>
      </w:r>
      <w:r w:rsidR="00E324F9" w:rsidRPr="00E3562B">
        <w:rPr>
          <w:lang w:val="en-GB"/>
        </w:rPr>
        <w:t xml:space="preserve"> Thus, we articulate our second </w:t>
      </w:r>
      <w:r w:rsidR="00551D3F" w:rsidRPr="00E3562B">
        <w:rPr>
          <w:lang w:val="en-GB"/>
        </w:rPr>
        <w:t xml:space="preserve">and third </w:t>
      </w:r>
      <w:r w:rsidR="00E324F9" w:rsidRPr="00E3562B">
        <w:rPr>
          <w:lang w:val="en-GB"/>
        </w:rPr>
        <w:t>hypothes</w:t>
      </w:r>
      <w:r w:rsidR="00551D3F" w:rsidRPr="00E3562B">
        <w:rPr>
          <w:lang w:val="en-GB"/>
        </w:rPr>
        <w:t>e</w:t>
      </w:r>
      <w:r w:rsidR="00E324F9" w:rsidRPr="00E3562B">
        <w:rPr>
          <w:lang w:val="en-GB"/>
        </w:rPr>
        <w:t>s as follows:</w:t>
      </w:r>
    </w:p>
    <w:p w14:paraId="1E0E1526" w14:textId="59D755D6" w:rsidR="00D01F4E" w:rsidRPr="00E3562B" w:rsidRDefault="00D01F4E" w:rsidP="00D04511">
      <w:pPr>
        <w:spacing w:line="276" w:lineRule="auto"/>
        <w:rPr>
          <w:i/>
          <w:iCs/>
          <w:lang w:val="en-GB"/>
        </w:rPr>
      </w:pPr>
      <w:bookmarkStart w:id="8" w:name="_Hlk166170187"/>
      <w:r w:rsidRPr="00E3562B">
        <w:rPr>
          <w:i/>
          <w:iCs/>
          <w:lang w:val="en-GB"/>
        </w:rPr>
        <w:t>H2: Gender diversity on the board of directors is significantly and positively associated with the extent of MSD.</w:t>
      </w:r>
    </w:p>
    <w:p w14:paraId="69DB597B" w14:textId="77777777" w:rsidR="00D04511" w:rsidRPr="00E3562B" w:rsidRDefault="00D04511" w:rsidP="00D04511">
      <w:pPr>
        <w:spacing w:line="276" w:lineRule="auto"/>
        <w:rPr>
          <w:i/>
          <w:iCs/>
          <w:lang w:val="en-GB"/>
        </w:rPr>
      </w:pPr>
    </w:p>
    <w:p w14:paraId="1D4E2467" w14:textId="77777777" w:rsidR="00D01F4E" w:rsidRPr="00E3562B" w:rsidRDefault="00D01F4E" w:rsidP="00D04511">
      <w:pPr>
        <w:spacing w:line="276" w:lineRule="auto"/>
        <w:rPr>
          <w:i/>
          <w:iCs/>
          <w:lang w:val="en-GB"/>
        </w:rPr>
      </w:pPr>
      <w:r w:rsidRPr="00E3562B">
        <w:rPr>
          <w:i/>
          <w:iCs/>
          <w:lang w:val="en-GB"/>
        </w:rPr>
        <w:t>H3: Gender diversity on the board of directors moderates the relationship between CEO power and the extent of MSD.</w:t>
      </w:r>
    </w:p>
    <w:bookmarkEnd w:id="8"/>
    <w:p w14:paraId="376DCEDF" w14:textId="77777777" w:rsidR="00D01F4E" w:rsidRPr="00E3562B" w:rsidRDefault="00D01F4E" w:rsidP="00D86622">
      <w:pPr>
        <w:spacing w:line="360" w:lineRule="auto"/>
        <w:rPr>
          <w:i/>
          <w:iCs/>
          <w:lang w:val="en-GB"/>
        </w:rPr>
      </w:pPr>
    </w:p>
    <w:p w14:paraId="63BE4712" w14:textId="77777777" w:rsidR="00346D0B" w:rsidRPr="00E3562B" w:rsidRDefault="00346D0B" w:rsidP="00D86622">
      <w:pPr>
        <w:spacing w:line="360" w:lineRule="auto"/>
        <w:rPr>
          <w:i/>
          <w:iCs/>
          <w:lang w:val="en-GB"/>
        </w:rPr>
      </w:pPr>
    </w:p>
    <w:p w14:paraId="73043D08" w14:textId="77777777" w:rsidR="00A60DA1" w:rsidRPr="00E3562B" w:rsidRDefault="00A60DA1" w:rsidP="00A60DA1">
      <w:pPr>
        <w:keepNext/>
        <w:numPr>
          <w:ilvl w:val="0"/>
          <w:numId w:val="19"/>
        </w:numPr>
        <w:spacing w:line="360" w:lineRule="auto"/>
        <w:jc w:val="left"/>
        <w:outlineLvl w:val="0"/>
        <w:rPr>
          <w:rFonts w:asciiTheme="majorBidi" w:hAnsiTheme="majorBidi" w:cstheme="majorBidi"/>
          <w:b/>
          <w:bCs/>
          <w:sz w:val="28"/>
          <w:szCs w:val="28"/>
          <w:lang w:val="en-GB"/>
        </w:rPr>
      </w:pPr>
      <w:r w:rsidRPr="00E3562B">
        <w:rPr>
          <w:rFonts w:asciiTheme="majorBidi" w:hAnsiTheme="majorBidi" w:cstheme="majorBidi"/>
          <w:b/>
          <w:bCs/>
          <w:sz w:val="28"/>
          <w:szCs w:val="28"/>
          <w:lang w:val="en-GB"/>
        </w:rPr>
        <w:t>Research Design</w:t>
      </w:r>
    </w:p>
    <w:p w14:paraId="04A64C14" w14:textId="77777777" w:rsidR="00A60DA1" w:rsidRPr="00E3562B" w:rsidRDefault="00A60DA1" w:rsidP="00A60DA1">
      <w:pPr>
        <w:keepNext/>
        <w:numPr>
          <w:ilvl w:val="1"/>
          <w:numId w:val="19"/>
        </w:numPr>
        <w:outlineLvl w:val="1"/>
        <w:rPr>
          <w:rFonts w:asciiTheme="majorBidi" w:hAnsiTheme="majorBidi" w:cstheme="majorBidi"/>
          <w:b/>
          <w:sz w:val="26"/>
          <w:lang w:val="en-GB"/>
        </w:rPr>
      </w:pPr>
      <w:r w:rsidRPr="00E3562B">
        <w:rPr>
          <w:rFonts w:asciiTheme="majorBidi" w:hAnsiTheme="majorBidi" w:cstheme="majorBidi"/>
          <w:b/>
          <w:sz w:val="26"/>
          <w:lang w:val="en-GB"/>
        </w:rPr>
        <w:t>Data and sample</w:t>
      </w:r>
    </w:p>
    <w:p w14:paraId="7AC14B97" w14:textId="48FAD618" w:rsidR="00A60DA1" w:rsidRPr="00E3562B" w:rsidRDefault="00A60DA1" w:rsidP="00A60DA1">
      <w:pPr>
        <w:rPr>
          <w:rFonts w:asciiTheme="majorBidi" w:hAnsiTheme="majorBidi" w:cstheme="majorBidi"/>
          <w:lang w:val="en-GB"/>
        </w:rPr>
      </w:pPr>
      <w:r w:rsidRPr="00E3562B">
        <w:rPr>
          <w:rFonts w:asciiTheme="majorBidi" w:hAnsiTheme="majorBidi" w:cstheme="majorBidi"/>
          <w:lang w:val="en-GB"/>
        </w:rPr>
        <w:t xml:space="preserve">Our investigation comprises </w:t>
      </w:r>
      <w:r w:rsidR="00317A99" w:rsidRPr="00E3562B">
        <w:rPr>
          <w:rFonts w:asciiTheme="majorBidi" w:hAnsiTheme="majorBidi" w:cstheme="majorBidi"/>
          <w:lang w:val="en-GB"/>
        </w:rPr>
        <w:t>MSD</w:t>
      </w:r>
      <w:r w:rsidRPr="00E3562B">
        <w:rPr>
          <w:rFonts w:asciiTheme="majorBidi" w:hAnsiTheme="majorBidi" w:cstheme="majorBidi"/>
          <w:lang w:val="en-GB"/>
        </w:rPr>
        <w:t xml:space="preserve"> from UK FTSE 100 companies over the period from 2016 to 2020, </w:t>
      </w:r>
      <w:proofErr w:type="gramStart"/>
      <w:r w:rsidRPr="00E3562B">
        <w:rPr>
          <w:rFonts w:asciiTheme="majorBidi" w:hAnsiTheme="majorBidi" w:cstheme="majorBidi"/>
          <w:lang w:val="en-GB"/>
        </w:rPr>
        <w:t>subsequent to</w:t>
      </w:r>
      <w:proofErr w:type="gramEnd"/>
      <w:r w:rsidRPr="00E3562B">
        <w:rPr>
          <w:rFonts w:asciiTheme="majorBidi" w:hAnsiTheme="majorBidi" w:cstheme="majorBidi"/>
          <w:lang w:val="en-GB"/>
        </w:rPr>
        <w:t xml:space="preserve"> the MSA of 2015's enactment. The focus on FTSE 100 companies is grounded in their significant scale and potential to affect a wide demographic vulnerable to modern slavery practices </w:t>
      </w:r>
      <w:r w:rsidRPr="00E3562B">
        <w:rPr>
          <w:lang w:val="en-GB"/>
        </w:rPr>
        <w:t>(Christ et al., 2019; Gold et al., 2015)</w:t>
      </w:r>
      <w:r w:rsidRPr="00E3562B">
        <w:rPr>
          <w:rFonts w:asciiTheme="majorBidi" w:hAnsiTheme="majorBidi" w:cstheme="majorBidi"/>
          <w:lang w:val="en-GB"/>
        </w:rPr>
        <w:t xml:space="preserve">. These companies are characterised by their extensive international operations, positioning them in locations where modern slavery practices are particularly prevalent. Initially, the sample comprised 500 modern slavery statements, which was narrowed down by 58 due to missing </w:t>
      </w:r>
      <w:r w:rsidR="00317A99" w:rsidRPr="00E3562B">
        <w:rPr>
          <w:rFonts w:asciiTheme="majorBidi" w:hAnsiTheme="majorBidi" w:cstheme="majorBidi"/>
          <w:lang w:val="en-GB"/>
        </w:rPr>
        <w:t>MSD</w:t>
      </w:r>
      <w:r w:rsidRPr="00E3562B">
        <w:rPr>
          <w:rFonts w:asciiTheme="majorBidi" w:hAnsiTheme="majorBidi" w:cstheme="majorBidi"/>
          <w:lang w:val="en-GB"/>
        </w:rPr>
        <w:t xml:space="preserve"> and further by 25 owing to the lack of financial and governance data, ending the final sample in a total of 417 company-year observations. Table 1 displays the sample selection and industry distribution by year. The modern slavery statements were directly retrieved from the official websites of the companies. Moreover, comprehensive data pertaining to CEO power, BGD indicators, and </w:t>
      </w:r>
      <w:r w:rsidRPr="00E3562B">
        <w:rPr>
          <w:rFonts w:asciiTheme="majorBidi" w:hAnsiTheme="majorBidi" w:cstheme="majorBidi"/>
          <w:lang w:val="en-GB"/>
        </w:rPr>
        <w:lastRenderedPageBreak/>
        <w:t xml:space="preserve">other specific financial and governance metrics were compiled from robust databases such as Eikon and Bloomberg. </w:t>
      </w:r>
    </w:p>
    <w:p w14:paraId="647DE620" w14:textId="77777777" w:rsidR="00A60DA1" w:rsidRPr="00E3562B" w:rsidRDefault="00A60DA1" w:rsidP="00A60DA1">
      <w:pPr>
        <w:jc w:val="center"/>
        <w:rPr>
          <w:rFonts w:asciiTheme="majorBidi" w:hAnsiTheme="majorBidi" w:cstheme="majorBidi"/>
          <w:b/>
          <w:bCs/>
          <w:szCs w:val="24"/>
          <w:lang w:val="en-GB"/>
        </w:rPr>
      </w:pPr>
      <w:r w:rsidRPr="00E3562B">
        <w:rPr>
          <w:rFonts w:asciiTheme="majorBidi" w:hAnsiTheme="majorBidi" w:cstheme="majorBidi"/>
          <w:b/>
          <w:bCs/>
          <w:szCs w:val="24"/>
          <w:lang w:val="en-GB"/>
        </w:rPr>
        <w:t>[Insert Table 1 here]</w:t>
      </w:r>
    </w:p>
    <w:p w14:paraId="28F791BB" w14:textId="659B18B2" w:rsidR="00224B35" w:rsidRPr="00E3562B" w:rsidRDefault="00A60DA1" w:rsidP="00224B35">
      <w:pPr>
        <w:pStyle w:val="Heading2"/>
        <w:rPr>
          <w:rFonts w:asciiTheme="majorBidi" w:hAnsiTheme="majorBidi" w:cstheme="majorBidi"/>
          <w:lang w:val="en-GB"/>
        </w:rPr>
      </w:pPr>
      <w:r w:rsidRPr="00E3562B">
        <w:rPr>
          <w:rFonts w:asciiTheme="majorBidi" w:hAnsiTheme="majorBidi" w:cstheme="majorBidi"/>
          <w:lang w:val="en-GB"/>
        </w:rPr>
        <w:t>Dependent variable: MSD</w:t>
      </w:r>
    </w:p>
    <w:p w14:paraId="29765BAB" w14:textId="19376AB3" w:rsidR="00672717" w:rsidRDefault="00224B35" w:rsidP="00FC172F">
      <w:pPr>
        <w:rPr>
          <w:bdr w:val="none" w:sz="0" w:space="0" w:color="auto" w:frame="1"/>
          <w:lang w:val="en-GB" w:eastAsia="en-GB"/>
        </w:rPr>
      </w:pPr>
      <w:r w:rsidRPr="00E3562B">
        <w:rPr>
          <w:rFonts w:asciiTheme="majorBidi" w:hAnsiTheme="majorBidi" w:cstheme="majorBidi"/>
          <w:lang w:val="en-GB"/>
        </w:rPr>
        <w:t>The dependent variable in this study measures the level of disclosures in UK companies’ modern slavery statements.</w:t>
      </w:r>
      <w:r w:rsidR="00082828" w:rsidRPr="00082828">
        <w:t xml:space="preserve"> </w:t>
      </w:r>
      <w:r w:rsidR="00082828" w:rsidRPr="00082828">
        <w:rPr>
          <w:rFonts w:asciiTheme="majorBidi" w:hAnsiTheme="majorBidi" w:cstheme="majorBidi"/>
          <w:lang w:val="en-GB"/>
        </w:rPr>
        <w:t>Our firm-level MSD measurement is based on the methodology developed by Moussa et al. (2023)</w:t>
      </w:r>
      <w:r w:rsidR="00146419">
        <w:rPr>
          <w:rFonts w:asciiTheme="majorBidi" w:hAnsiTheme="majorBidi" w:cstheme="majorBidi"/>
          <w:lang w:val="en-GB"/>
        </w:rPr>
        <w:t xml:space="preserve">, guided by </w:t>
      </w:r>
      <w:r w:rsidRPr="00E3562B">
        <w:rPr>
          <w:rFonts w:asciiTheme="majorBidi" w:hAnsiTheme="majorBidi" w:cstheme="majorBidi"/>
          <w:lang w:val="en-GB"/>
        </w:rPr>
        <w:t xml:space="preserve">prior CSR-related studies </w:t>
      </w:r>
      <w:r w:rsidRPr="00E3562B">
        <w:rPr>
          <w:lang w:val="en-GB"/>
        </w:rPr>
        <w:t>(e.g., Dobler et al., 2015; Moussa et al., 2022)</w:t>
      </w:r>
      <w:r w:rsidR="00146419">
        <w:rPr>
          <w:rFonts w:asciiTheme="majorBidi" w:hAnsiTheme="majorBidi" w:cstheme="majorBidi"/>
          <w:lang w:val="en-GB"/>
        </w:rPr>
        <w:t xml:space="preserve">. </w:t>
      </w:r>
      <w:r w:rsidRPr="00E3562B">
        <w:rPr>
          <w:rFonts w:asciiTheme="majorBidi" w:hAnsiTheme="majorBidi" w:cstheme="majorBidi"/>
          <w:lang w:val="en-GB"/>
        </w:rPr>
        <w:t xml:space="preserve"> </w:t>
      </w:r>
      <w:r w:rsidR="00146419">
        <w:rPr>
          <w:rFonts w:asciiTheme="majorBidi" w:hAnsiTheme="majorBidi" w:cstheme="majorBidi"/>
          <w:lang w:val="en-GB"/>
        </w:rPr>
        <w:t>W</w:t>
      </w:r>
      <w:r w:rsidRPr="00E3562B">
        <w:rPr>
          <w:rFonts w:asciiTheme="majorBidi" w:hAnsiTheme="majorBidi" w:cstheme="majorBidi"/>
          <w:lang w:val="en-GB"/>
        </w:rPr>
        <w:t xml:space="preserve">e employed a content analysis to </w:t>
      </w:r>
      <w:r w:rsidR="00146419">
        <w:rPr>
          <w:rFonts w:asciiTheme="majorBidi" w:hAnsiTheme="majorBidi" w:cstheme="majorBidi"/>
          <w:lang w:val="en-GB"/>
        </w:rPr>
        <w:t>measure</w:t>
      </w:r>
      <w:r w:rsidRPr="00E3562B">
        <w:rPr>
          <w:rFonts w:asciiTheme="majorBidi" w:hAnsiTheme="majorBidi" w:cstheme="majorBidi"/>
          <w:lang w:val="en-GB"/>
        </w:rPr>
        <w:t xml:space="preserve"> the extent of MSD by UK companies. </w:t>
      </w:r>
      <w:r w:rsidR="00082828">
        <w:rPr>
          <w:rFonts w:asciiTheme="majorBidi" w:hAnsiTheme="majorBidi" w:cstheme="majorBidi"/>
          <w:lang w:val="en-GB"/>
        </w:rPr>
        <w:t>The</w:t>
      </w:r>
      <w:r w:rsidRPr="00E3562B">
        <w:rPr>
          <w:rFonts w:asciiTheme="majorBidi" w:hAnsiTheme="majorBidi" w:cstheme="majorBidi"/>
          <w:lang w:val="en-GB"/>
        </w:rPr>
        <w:t xml:space="preserve"> Modern Slavery Disclosure </w:t>
      </w:r>
      <w:r w:rsidRPr="00E3562B">
        <w:rPr>
          <w:lang w:val="en-GB"/>
        </w:rPr>
        <w:t xml:space="preserve">Index (MSDI) </w:t>
      </w:r>
      <w:r w:rsidR="00082828">
        <w:rPr>
          <w:lang w:val="en-GB"/>
        </w:rPr>
        <w:t xml:space="preserve">is </w:t>
      </w:r>
      <w:r w:rsidRPr="00E3562B">
        <w:rPr>
          <w:lang w:val="en-GB"/>
        </w:rPr>
        <w:t>based on the framework of the MSA (2015), alongside established guidelines from the Global Reporting Initiative (GRI, 2022)</w:t>
      </w:r>
      <w:r w:rsidRPr="00E3562B">
        <w:rPr>
          <w:shd w:val="clear" w:color="auto" w:fill="FFFFFF" w:themeFill="background1"/>
          <w:lang w:val="en-GB"/>
        </w:rPr>
        <w:t xml:space="preserve"> </w:t>
      </w:r>
      <w:r w:rsidRPr="00E3562B">
        <w:rPr>
          <w:lang w:val="en-GB"/>
        </w:rPr>
        <w:t xml:space="preserve">and insights from the literature (e.g., Christ et al., 2019; Flynn, 2020). </w:t>
      </w:r>
      <w:r w:rsidR="00082828">
        <w:rPr>
          <w:lang w:val="en-GB"/>
        </w:rPr>
        <w:t>The</w:t>
      </w:r>
      <w:r w:rsidR="00FC172F" w:rsidRPr="00E3562B">
        <w:rPr>
          <w:bdr w:val="none" w:sz="0" w:space="0" w:color="auto" w:frame="1"/>
          <w:lang w:val="en-GB" w:eastAsia="en-GB"/>
        </w:rPr>
        <w:t xml:space="preserve"> index</w:t>
      </w:r>
      <w:r w:rsidR="00672717" w:rsidRPr="00E3562B">
        <w:rPr>
          <w:bdr w:val="none" w:sz="0" w:space="0" w:color="auto" w:frame="1"/>
          <w:lang w:val="en-GB" w:eastAsia="en-GB"/>
        </w:rPr>
        <w:t xml:space="preserve"> includes 46 items divided into seven categories: (</w:t>
      </w:r>
      <w:proofErr w:type="spellStart"/>
      <w:r w:rsidR="00672717" w:rsidRPr="00E3562B">
        <w:rPr>
          <w:bdr w:val="none" w:sz="0" w:space="0" w:color="auto" w:frame="1"/>
          <w:lang w:val="en-GB" w:eastAsia="en-GB"/>
        </w:rPr>
        <w:t>i</w:t>
      </w:r>
      <w:proofErr w:type="spellEnd"/>
      <w:r w:rsidR="00672717" w:rsidRPr="00E3562B">
        <w:rPr>
          <w:bdr w:val="none" w:sz="0" w:space="0" w:color="auto" w:frame="1"/>
          <w:lang w:val="en-GB" w:eastAsia="en-GB"/>
        </w:rPr>
        <w:t xml:space="preserve">) organizational structure (4 items), (ii) policies (5 items), (iii) due diligence processes (13 items), (iv) risk assessment and management (6 items), (v) effectiveness and key performance indicators (6 items), (vi) training (7 items), and (vii) additional features (5 items). To minimize subjective bias, each item within these categories is assigned an equal weight. The presence of an item in a company's disclosure is scored as 1, while its absence is scored as 0. </w:t>
      </w:r>
      <w:r w:rsidR="00FC172F" w:rsidRPr="00E3562B">
        <w:rPr>
          <w:bdr w:val="none" w:sz="0" w:space="0" w:color="auto" w:frame="1"/>
          <w:lang w:val="en-GB" w:eastAsia="en-GB"/>
        </w:rPr>
        <w:t>T</w:t>
      </w:r>
      <w:r w:rsidR="00672717" w:rsidRPr="00E3562B">
        <w:rPr>
          <w:bdr w:val="none" w:sz="0" w:space="0" w:color="auto" w:frame="1"/>
          <w:lang w:val="en-GB" w:eastAsia="en-GB"/>
        </w:rPr>
        <w:t>he score for each category is also expressed as a percentage of the total possible score for that category. This approach ensures that all categories are comparable and weighted equally, with each representing a fraction that contributes equally to the overall 100%.</w:t>
      </w:r>
    </w:p>
    <w:p w14:paraId="5982CCB6" w14:textId="77777777" w:rsidR="00082828" w:rsidRPr="00E3562B" w:rsidRDefault="00082828" w:rsidP="00FC172F">
      <w:pPr>
        <w:rPr>
          <w:lang w:val="en-GB"/>
        </w:rPr>
      </w:pPr>
    </w:p>
    <w:p w14:paraId="5A8268D5" w14:textId="2B03D3C9" w:rsidR="00A60DA1" w:rsidRPr="00E3562B" w:rsidRDefault="00224B35" w:rsidP="00224B35">
      <w:pPr>
        <w:rPr>
          <w:lang w:val="en-GB"/>
        </w:rPr>
      </w:pPr>
      <w:r w:rsidRPr="00E3562B">
        <w:rPr>
          <w:rFonts w:asciiTheme="majorBidi" w:hAnsiTheme="majorBidi" w:cstheme="majorBidi"/>
          <w:lang w:val="en-GB"/>
        </w:rPr>
        <w:t xml:space="preserve">To ensure the reliability of </w:t>
      </w:r>
      <w:r w:rsidR="00395B94">
        <w:rPr>
          <w:rFonts w:asciiTheme="majorBidi" w:hAnsiTheme="majorBidi" w:cstheme="majorBidi"/>
          <w:lang w:val="en-GB"/>
        </w:rPr>
        <w:t xml:space="preserve">our </w:t>
      </w:r>
      <w:r w:rsidRPr="00E3562B">
        <w:rPr>
          <w:rFonts w:asciiTheme="majorBidi" w:hAnsiTheme="majorBidi" w:cstheme="majorBidi"/>
          <w:lang w:val="en-GB"/>
        </w:rPr>
        <w:t xml:space="preserve">index, we carried out the following steps. First, a pilot study was initially conducted across a sample of 10 annual modern slavery statements. The statements were subsequently coded against the index by members of the team and double-checked by other members to diminish the risks of subjectivity. This preliminary phase facilitated the </w:t>
      </w:r>
      <w:r w:rsidRPr="00E3562B">
        <w:rPr>
          <w:rFonts w:asciiTheme="majorBidi" w:hAnsiTheme="majorBidi" w:cstheme="majorBidi"/>
          <w:lang w:val="en-GB"/>
        </w:rPr>
        <w:lastRenderedPageBreak/>
        <w:t xml:space="preserve">refinement of the index, ensuring its comprehensive alignment with the varied dimensions of </w:t>
      </w:r>
      <w:r w:rsidR="00317A99" w:rsidRPr="00E3562B">
        <w:rPr>
          <w:rFonts w:asciiTheme="majorBidi" w:hAnsiTheme="majorBidi" w:cstheme="majorBidi"/>
          <w:lang w:val="en-GB"/>
        </w:rPr>
        <w:t>MSD</w:t>
      </w:r>
      <w:r w:rsidRPr="00E3562B">
        <w:rPr>
          <w:rFonts w:asciiTheme="majorBidi" w:hAnsiTheme="majorBidi" w:cstheme="majorBidi"/>
          <w:lang w:val="en-GB"/>
        </w:rPr>
        <w:t xml:space="preserve">. Subsequently, an independent coder, having undergone comprehensive training, undertook the primary data collection following stringent guidelines to ensure consistent application in coding across the study </w:t>
      </w:r>
      <w:r w:rsidRPr="00E3562B">
        <w:rPr>
          <w:lang w:val="en-GB"/>
        </w:rPr>
        <w:t>(</w:t>
      </w:r>
      <w:proofErr w:type="spellStart"/>
      <w:r w:rsidRPr="00E3562B">
        <w:rPr>
          <w:lang w:val="en-GB"/>
        </w:rPr>
        <w:t>Krippendorff</w:t>
      </w:r>
      <w:proofErr w:type="spellEnd"/>
      <w:r w:rsidRPr="00E3562B">
        <w:rPr>
          <w:lang w:val="en-GB"/>
        </w:rPr>
        <w:t>, 2018; Marston &amp; Shrives, 1991)</w:t>
      </w:r>
      <w:r w:rsidRPr="00E3562B">
        <w:rPr>
          <w:rFonts w:asciiTheme="majorBidi" w:hAnsiTheme="majorBidi" w:cstheme="majorBidi"/>
          <w:lang w:val="en-GB"/>
        </w:rPr>
        <w:t xml:space="preserve">. Second, to validate the coding’s consistency and reliability, we re-analysed a sample of statements at a later stage, which revealed no significant variances with the initial coding, with a high agreement coefficient (0.93), thus affirming the replicability of the results </w:t>
      </w:r>
      <w:r w:rsidRPr="00E3562B">
        <w:rPr>
          <w:lang w:val="en-GB"/>
        </w:rPr>
        <w:t>(</w:t>
      </w:r>
      <w:proofErr w:type="spellStart"/>
      <w:r w:rsidRPr="00E3562B">
        <w:rPr>
          <w:lang w:val="en-GB"/>
        </w:rPr>
        <w:t>Krippendorff</w:t>
      </w:r>
      <w:proofErr w:type="spellEnd"/>
      <w:r w:rsidRPr="00E3562B">
        <w:rPr>
          <w:lang w:val="en-GB"/>
        </w:rPr>
        <w:t>, 2018)</w:t>
      </w:r>
      <w:r w:rsidRPr="00E3562B">
        <w:rPr>
          <w:rFonts w:asciiTheme="majorBidi" w:hAnsiTheme="majorBidi" w:cstheme="majorBidi"/>
          <w:lang w:val="en-GB"/>
        </w:rPr>
        <w:t xml:space="preserve">. Finally, the internal consistency of the index was rigorously assessed through Cronbach's alpha test, which produced a score of 86%, exceeding the acceptable level for Cronbach’s alpha and affirming the MSDI’s reliability. </w:t>
      </w:r>
      <w:r w:rsidR="00A60DA1" w:rsidRPr="00E3562B">
        <w:rPr>
          <w:rFonts w:asciiTheme="majorBidi" w:hAnsiTheme="majorBidi" w:cstheme="majorBidi"/>
          <w:lang w:val="en-GB"/>
        </w:rPr>
        <w:t xml:space="preserve">This multi-stage verification process, encompassing pilot testing, consistency checks, and reliability assessments, confirms the MSDI as a reliable measure for assessing </w:t>
      </w:r>
      <w:r w:rsidR="00317A99" w:rsidRPr="00E3562B">
        <w:rPr>
          <w:rFonts w:asciiTheme="majorBidi" w:hAnsiTheme="majorBidi" w:cstheme="majorBidi"/>
          <w:lang w:val="en-GB"/>
        </w:rPr>
        <w:t>MSD</w:t>
      </w:r>
      <w:r w:rsidR="00A60DA1" w:rsidRPr="00E3562B">
        <w:rPr>
          <w:rFonts w:asciiTheme="majorBidi" w:hAnsiTheme="majorBidi" w:cstheme="majorBidi"/>
          <w:lang w:val="en-GB"/>
        </w:rPr>
        <w:t xml:space="preserve"> within UK companies.</w:t>
      </w:r>
    </w:p>
    <w:p w14:paraId="1EDDE669" w14:textId="77777777" w:rsidR="00A60DA1" w:rsidRPr="00E3562B" w:rsidRDefault="00A60DA1" w:rsidP="00A60DA1">
      <w:pPr>
        <w:rPr>
          <w:lang w:val="en-GB"/>
        </w:rPr>
      </w:pPr>
    </w:p>
    <w:p w14:paraId="41DD0B7B" w14:textId="77777777" w:rsidR="00A60DA1" w:rsidRPr="00E3562B" w:rsidRDefault="00A60DA1" w:rsidP="00A60DA1">
      <w:pPr>
        <w:keepNext/>
        <w:numPr>
          <w:ilvl w:val="1"/>
          <w:numId w:val="19"/>
        </w:numPr>
        <w:outlineLvl w:val="1"/>
        <w:rPr>
          <w:b/>
          <w:sz w:val="26"/>
          <w:lang w:val="en-GB"/>
        </w:rPr>
      </w:pPr>
      <w:r w:rsidRPr="00E3562B">
        <w:rPr>
          <w:b/>
          <w:sz w:val="26"/>
          <w:lang w:val="en-GB"/>
        </w:rPr>
        <w:t>Independent</w:t>
      </w:r>
      <w:r w:rsidRPr="00E3562B">
        <w:rPr>
          <w:b/>
          <w:lang w:val="en-GB"/>
        </w:rPr>
        <w:t xml:space="preserve"> </w:t>
      </w:r>
      <w:r w:rsidRPr="00E3562B">
        <w:rPr>
          <w:b/>
          <w:sz w:val="26"/>
          <w:lang w:val="en-GB"/>
        </w:rPr>
        <w:t>Variables</w:t>
      </w:r>
    </w:p>
    <w:p w14:paraId="580E5682" w14:textId="5A98DB10" w:rsidR="00A60DA1" w:rsidRPr="00E3562B" w:rsidRDefault="00A60DA1" w:rsidP="00A60DA1">
      <w:pPr>
        <w:autoSpaceDE w:val="0"/>
        <w:autoSpaceDN w:val="0"/>
        <w:adjustRightInd w:val="0"/>
        <w:rPr>
          <w:bCs/>
          <w:szCs w:val="24"/>
          <w:lang w:val="en-GB"/>
        </w:rPr>
      </w:pPr>
      <w:r w:rsidRPr="00E3562B">
        <w:rPr>
          <w:lang w:val="en-GB"/>
        </w:rPr>
        <w:t>Our independent variable, CEO power (CEOP), is measured using a composite index that combines two distinct proxies (e.g., García‐Sánchez et al., 2020; Velte, 2020). The first dimension, CEO duality, assigns a score of 1 where the CEO simultaneously holds the position of board chair, reflecting a consolidated formal authority over the board</w:t>
      </w:r>
      <w:r w:rsidRPr="00E3562B">
        <w:rPr>
          <w:bCs/>
          <w:szCs w:val="24"/>
          <w:lang w:val="en-GB"/>
        </w:rPr>
        <w:t xml:space="preserve">, and 0 otherwise </w:t>
      </w:r>
      <w:r w:rsidRPr="00E3562B">
        <w:rPr>
          <w:lang w:val="en-GB"/>
        </w:rPr>
        <w:t xml:space="preserve">(Fernando et al., 2020; Walls &amp; Berrone, 2017). The second dimension quantifies the influence exerted by the CEO on the board through the presence of executive directors, employing a dummy variable that receives a score of 1 when the quantity of executive directors exceeds the median within the sample and 0 otherwise </w:t>
      </w:r>
      <w:r w:rsidR="00F66EF3" w:rsidRPr="00E3562B">
        <w:rPr>
          <w:lang w:val="en-GB"/>
        </w:rPr>
        <w:t>(Al-Shaer et al., 2022; García‐Sánchez et al., 2020)</w:t>
      </w:r>
      <w:r w:rsidRPr="00E3562B">
        <w:rPr>
          <w:lang w:val="en-GB"/>
        </w:rPr>
        <w:t xml:space="preserve">. </w:t>
      </w:r>
      <w:r w:rsidRPr="00E3562B">
        <w:rPr>
          <w:bCs/>
          <w:szCs w:val="24"/>
          <w:lang w:val="en-GB"/>
        </w:rPr>
        <w:t>These proxies are aggregated to develop a CEO power index, capturing the extent of CEO influence.</w:t>
      </w:r>
    </w:p>
    <w:p w14:paraId="3919977D" w14:textId="77777777" w:rsidR="00A60DA1" w:rsidRPr="00E3562B" w:rsidRDefault="00A60DA1" w:rsidP="00A60DA1">
      <w:pPr>
        <w:autoSpaceDE w:val="0"/>
        <w:autoSpaceDN w:val="0"/>
        <w:adjustRightInd w:val="0"/>
        <w:rPr>
          <w:bCs/>
          <w:szCs w:val="24"/>
          <w:lang w:val="en-GB"/>
        </w:rPr>
      </w:pPr>
    </w:p>
    <w:p w14:paraId="25D55D38" w14:textId="29FF8BCA" w:rsidR="00A60DA1" w:rsidRPr="00E3562B" w:rsidRDefault="00A60DA1" w:rsidP="00A60DA1">
      <w:pPr>
        <w:spacing w:after="160"/>
        <w:rPr>
          <w:lang w:val="en-GB"/>
        </w:rPr>
      </w:pPr>
      <w:r w:rsidRPr="00E3562B">
        <w:rPr>
          <w:lang w:val="en-GB"/>
        </w:rPr>
        <w:lastRenderedPageBreak/>
        <w:t xml:space="preserve">Board gender diversity is assessed using two different measures to capture female representation on corporate boards </w:t>
      </w:r>
      <w:r w:rsidR="00726311" w:rsidRPr="00E3562B">
        <w:rPr>
          <w:noProof/>
          <w:lang w:val="en-GB"/>
        </w:rPr>
        <w:t>(e.g., Kassinis et al., 2016; Nadeem, 2022)</w:t>
      </w:r>
      <w:r w:rsidRPr="00E3562B">
        <w:rPr>
          <w:lang w:val="en-GB"/>
        </w:rPr>
        <w:t xml:space="preserve">. The first measure, BGD, is defined as the percentage of female directors on the board, reflecting gender composition at the board level. In addition, we use Blau's </w:t>
      </w:r>
      <w:r w:rsidR="00726311" w:rsidRPr="00E3562B">
        <w:rPr>
          <w:noProof/>
          <w:lang w:val="en-GB"/>
        </w:rPr>
        <w:t>(1977)</w:t>
      </w:r>
      <w:r w:rsidRPr="00E3562B">
        <w:rPr>
          <w:lang w:val="en-GB"/>
        </w:rPr>
        <w:t xml:space="preserve"> heterogeneity index as an alternative measure of BGD. This index ranges from 0 (indicating complete homogeneity) to 0.5 (equal gender representation), with higher values showing greater female representation on the board. </w:t>
      </w:r>
      <w:r w:rsidRPr="00E3562B">
        <w:rPr>
          <w:rFonts w:asciiTheme="majorBidi" w:eastAsia="Calibri" w:hAnsiTheme="majorBidi" w:cstheme="majorBidi"/>
          <w:kern w:val="2"/>
          <w:szCs w:val="24"/>
          <w:lang w:val="en-GB"/>
          <w14:ligatures w14:val="standardContextual"/>
        </w:rPr>
        <w:t xml:space="preserve">Furthermore, our analysis extends to assess the impact of a critical mass of female directors on the interplay between CEO power and MSDI </w:t>
      </w:r>
      <w:r w:rsidRPr="00E3562B">
        <w:rPr>
          <w:rFonts w:asciiTheme="majorBidi" w:hAnsiTheme="majorBidi" w:cstheme="majorBidi"/>
          <w:szCs w:val="24"/>
          <w:lang w:val="en-GB"/>
        </w:rPr>
        <w:t xml:space="preserve">(e.g., Nadeem, 2022; </w:t>
      </w:r>
      <w:proofErr w:type="spellStart"/>
      <w:r w:rsidRPr="00E3562B">
        <w:rPr>
          <w:rFonts w:asciiTheme="majorBidi" w:hAnsiTheme="majorBidi" w:cstheme="majorBidi"/>
          <w:szCs w:val="24"/>
          <w:lang w:val="en-GB"/>
        </w:rPr>
        <w:t>Yarram</w:t>
      </w:r>
      <w:proofErr w:type="spellEnd"/>
      <w:r w:rsidRPr="00E3562B">
        <w:rPr>
          <w:rFonts w:asciiTheme="majorBidi" w:hAnsiTheme="majorBidi" w:cstheme="majorBidi"/>
          <w:szCs w:val="24"/>
          <w:lang w:val="en-GB"/>
        </w:rPr>
        <w:t xml:space="preserve"> &amp; Adapa, 2021).</w:t>
      </w:r>
      <w:r w:rsidRPr="00E3562B">
        <w:rPr>
          <w:rFonts w:asciiTheme="majorBidi" w:eastAsia="Calibri" w:hAnsiTheme="majorBidi" w:cstheme="majorBidi"/>
          <w:kern w:val="2"/>
          <w:szCs w:val="24"/>
          <w:lang w:val="en-GB"/>
          <w14:ligatures w14:val="standardContextual"/>
        </w:rPr>
        <w:t xml:space="preserve"> We incorporate four dummy variables: FD1, FD2, FD3, and FD4 to represent different levels of female representation in the boardroom. Specifically, FD1 indicates that the percentage of female directors on the board is ≤10%, FD2 denotes that the percentage ranges between 10% and 20%, FD3 indicates a range of 20% to 30%, and FD4 represents a percentage greater than 30%. By using these four dummy variables, we aim to illuminate the impact of varying levels of female board representation on corporate transparency and governance outcomes.</w:t>
      </w:r>
    </w:p>
    <w:p w14:paraId="0565F9C6" w14:textId="77777777" w:rsidR="00A60DA1" w:rsidRPr="00E3562B" w:rsidRDefault="00A60DA1" w:rsidP="00A60DA1">
      <w:pPr>
        <w:keepNext/>
        <w:numPr>
          <w:ilvl w:val="1"/>
          <w:numId w:val="19"/>
        </w:numPr>
        <w:outlineLvl w:val="1"/>
        <w:rPr>
          <w:b/>
          <w:sz w:val="26"/>
          <w:lang w:val="en-GB"/>
        </w:rPr>
      </w:pPr>
      <w:r w:rsidRPr="00E3562B">
        <w:rPr>
          <w:b/>
          <w:sz w:val="26"/>
          <w:lang w:val="en-GB"/>
        </w:rPr>
        <w:t>Control variables</w:t>
      </w:r>
    </w:p>
    <w:p w14:paraId="342BDEE5" w14:textId="797E91D5" w:rsidR="00A60DA1" w:rsidRPr="00E3562B" w:rsidRDefault="00A60DA1" w:rsidP="00A60DA1">
      <w:pPr>
        <w:rPr>
          <w:lang w:val="en-GB"/>
        </w:rPr>
      </w:pPr>
      <w:r w:rsidRPr="00E3562B">
        <w:rPr>
          <w:lang w:val="en-GB"/>
        </w:rPr>
        <w:t xml:space="preserve">Following previous literature (e.g., </w:t>
      </w:r>
      <w:proofErr w:type="spellStart"/>
      <w:r w:rsidRPr="00E3562B">
        <w:rPr>
          <w:lang w:val="en-GB"/>
        </w:rPr>
        <w:t>Eliwa</w:t>
      </w:r>
      <w:proofErr w:type="spellEnd"/>
      <w:r w:rsidRPr="00E3562B">
        <w:rPr>
          <w:lang w:val="en-GB"/>
        </w:rPr>
        <w:t xml:space="preserve"> et al., 2021; Karim et al., 2021; Moussa et al., 2023), this study incorporates a comprehensive set of control variables designed to adjust for both governance and firm-specific elements that could potentially affect a company's disclosure practices. These variables are categorised into two main groups: (a) company characteristics, which encompass company size</w:t>
      </w:r>
      <w:r w:rsidR="00FC172F" w:rsidRPr="00E3562B">
        <w:rPr>
          <w:lang w:val="en-GB"/>
        </w:rPr>
        <w:t xml:space="preserve">, </w:t>
      </w:r>
      <w:r w:rsidRPr="00E3562B">
        <w:rPr>
          <w:lang w:val="en-GB"/>
        </w:rPr>
        <w:t>profitability, leverage, and firm value</w:t>
      </w:r>
      <w:r w:rsidR="00FC172F" w:rsidRPr="00E3562B">
        <w:rPr>
          <w:lang w:val="en-GB"/>
        </w:rPr>
        <w:t>,</w:t>
      </w:r>
      <w:r w:rsidRPr="00E3562B">
        <w:rPr>
          <w:lang w:val="en-GB"/>
        </w:rPr>
        <w:t xml:space="preserve"> and (b) governance characteristics, which include board</w:t>
      </w:r>
      <w:r w:rsidR="00FC172F" w:rsidRPr="00E3562B">
        <w:rPr>
          <w:lang w:val="en-GB"/>
        </w:rPr>
        <w:t xml:space="preserve"> size</w:t>
      </w:r>
      <w:r w:rsidRPr="00E3562B">
        <w:rPr>
          <w:lang w:val="en-GB"/>
        </w:rPr>
        <w:t>, board independence</w:t>
      </w:r>
      <w:r w:rsidR="00FC172F" w:rsidRPr="00E3562B">
        <w:rPr>
          <w:lang w:val="en-GB"/>
        </w:rPr>
        <w:t xml:space="preserve">, </w:t>
      </w:r>
      <w:r w:rsidRPr="00E3562B">
        <w:rPr>
          <w:lang w:val="en-GB"/>
        </w:rPr>
        <w:t xml:space="preserve">and the presence of a CSR sustainability committee. Additionally, this study controls for temporal and industry-specific effects to ensure a robust analysis of the determinants influencing companies' transparency </w:t>
      </w:r>
      <w:r w:rsidRPr="00E3562B">
        <w:rPr>
          <w:lang w:val="en-GB"/>
        </w:rPr>
        <w:lastRenderedPageBreak/>
        <w:t>regarding modern slavery issues. Table 2 provides definitions for all the variables used in this study.</w:t>
      </w:r>
    </w:p>
    <w:p w14:paraId="1212D95A" w14:textId="77777777" w:rsidR="00A60DA1" w:rsidRPr="00E3562B" w:rsidRDefault="00A60DA1" w:rsidP="00A60DA1">
      <w:pPr>
        <w:jc w:val="center"/>
        <w:rPr>
          <w:b/>
          <w:bCs/>
          <w:lang w:val="en-GB"/>
        </w:rPr>
      </w:pPr>
      <w:r w:rsidRPr="00E3562B">
        <w:rPr>
          <w:b/>
          <w:bCs/>
          <w:lang w:val="en-GB"/>
        </w:rPr>
        <w:t>[Insert Table 2 here]</w:t>
      </w:r>
    </w:p>
    <w:p w14:paraId="78290338" w14:textId="77777777" w:rsidR="00A60DA1" w:rsidRPr="00E3562B" w:rsidRDefault="00A60DA1" w:rsidP="00A60DA1">
      <w:pPr>
        <w:rPr>
          <w:lang w:val="en-GB"/>
        </w:rPr>
      </w:pPr>
    </w:p>
    <w:p w14:paraId="586D7E04" w14:textId="77777777" w:rsidR="00A60DA1" w:rsidRPr="00E3562B" w:rsidRDefault="00A60DA1" w:rsidP="00A60DA1">
      <w:pPr>
        <w:keepNext/>
        <w:numPr>
          <w:ilvl w:val="1"/>
          <w:numId w:val="19"/>
        </w:numPr>
        <w:outlineLvl w:val="1"/>
        <w:rPr>
          <w:b/>
          <w:sz w:val="26"/>
          <w:lang w:val="en-GB"/>
        </w:rPr>
      </w:pPr>
      <w:r w:rsidRPr="00E3562B">
        <w:rPr>
          <w:b/>
          <w:sz w:val="26"/>
          <w:lang w:val="en-GB"/>
        </w:rPr>
        <w:t>Empirical models</w:t>
      </w:r>
    </w:p>
    <w:p w14:paraId="7B885743" w14:textId="5AA367F4" w:rsidR="00A60DA1" w:rsidRPr="00E3562B" w:rsidRDefault="00A60DA1" w:rsidP="00A60DA1">
      <w:pPr>
        <w:rPr>
          <w:lang w:val="en-GB"/>
        </w:rPr>
      </w:pPr>
      <w:bookmarkStart w:id="9" w:name="_Hlk165990129"/>
      <w:r w:rsidRPr="00E3562B">
        <w:rPr>
          <w:lang w:val="en-GB"/>
        </w:rPr>
        <w:t>To assess the direct effects of CEO power and BGD on firms’ MSD, as well as the moderating effect of BGD on the CEO power–MSD relationship, we employ fixed effects panel regression analysis. This method effectively controls for unobserved heterogeneity across industries and over time, thereby enhancing the robustness of our results</w:t>
      </w:r>
      <w:r w:rsidR="00B43D08" w:rsidRPr="00E3562B">
        <w:rPr>
          <w:lang w:val="en-GB"/>
        </w:rPr>
        <w:t xml:space="preserve"> </w:t>
      </w:r>
      <w:r w:rsidR="00B43D08" w:rsidRPr="00E3562B">
        <w:rPr>
          <w:noProof/>
          <w:lang w:val="en-GB"/>
        </w:rPr>
        <w:t>(Hsiao, 2022)</w:t>
      </w:r>
      <w:r w:rsidRPr="00E3562B">
        <w:rPr>
          <w:lang w:val="en-GB"/>
        </w:rPr>
        <w:t>. We performed a Hausman test, which confirmed that a fixed effects model was more appropriate for our data than a random effects model. The fixed effects regression model is beneficial as it provides greater consistency and efficiency in estimations, offering more accurate inferences by controlling for omitted variable bias and addressing the unobserved heterogeneity among the sampled firms over time</w:t>
      </w:r>
      <w:r w:rsidR="00B43D08" w:rsidRPr="00E3562B">
        <w:rPr>
          <w:lang w:val="en-GB"/>
        </w:rPr>
        <w:t xml:space="preserve"> </w:t>
      </w:r>
      <w:r w:rsidR="00B43D08" w:rsidRPr="00E3562B">
        <w:rPr>
          <w:noProof/>
          <w:lang w:val="en-GB"/>
        </w:rPr>
        <w:t>(Wooldridge, 2010)</w:t>
      </w:r>
      <w:r w:rsidRPr="00E3562B">
        <w:rPr>
          <w:lang w:val="en-GB"/>
        </w:rPr>
        <w:t>. The fixed effects regression models are specified as follows:</w:t>
      </w:r>
    </w:p>
    <w:bookmarkEnd w:id="9"/>
    <w:p w14:paraId="38889030" w14:textId="77777777" w:rsidR="00A60DA1" w:rsidRPr="00E3562B" w:rsidRDefault="00A60DA1" w:rsidP="00A60DA1">
      <w:pPr>
        <w:spacing w:before="240"/>
        <w:rPr>
          <w:szCs w:val="24"/>
          <w:lang w:val="en-GB" w:eastAsia="en-GB"/>
        </w:rPr>
      </w:pPr>
      <m:oMath>
        <m:r>
          <w:rPr>
            <w:rFonts w:ascii="Cambria Math" w:hAnsi="Cambria Math"/>
            <w:szCs w:val="24"/>
            <w:lang w:val="en-GB" w:eastAsia="en-GB"/>
          </w:rPr>
          <m:t>MS</m:t>
        </m:r>
        <m:sSub>
          <m:sSubPr>
            <m:ctrlPr>
              <w:rPr>
                <w:rFonts w:ascii="Cambria Math" w:hAnsi="Cambria Math"/>
                <w:i/>
                <w:szCs w:val="24"/>
                <w:lang w:val="en-GB"/>
              </w:rPr>
            </m:ctrlPr>
          </m:sSubPr>
          <m:e>
            <m:r>
              <w:rPr>
                <w:rFonts w:ascii="Cambria Math" w:hAnsi="Cambria Math"/>
                <w:szCs w:val="24"/>
                <w:lang w:val="en-GB" w:eastAsia="en-GB"/>
              </w:rPr>
              <m:t>DI</m:t>
            </m:r>
          </m:e>
          <m:sub>
            <m:r>
              <w:rPr>
                <w:rFonts w:ascii="Cambria Math" w:hAnsi="Cambria Math"/>
                <w:szCs w:val="24"/>
                <w:lang w:val="en-GB" w:eastAsia="en-GB"/>
              </w:rPr>
              <m:t>it</m:t>
            </m:r>
          </m:sub>
        </m:sSub>
        <m:r>
          <m:rPr>
            <m:sty m:val="p"/>
          </m:rPr>
          <w:rPr>
            <w:rFonts w:ascii="Cambria Math" w:hAnsi="Cambria Math"/>
            <w:szCs w:val="24"/>
            <w:lang w:val="en-GB" w:eastAsia="en-GB"/>
          </w:rPr>
          <m:t xml:space="preserve">= </m:t>
        </m:r>
        <w:bookmarkStart w:id="10" w:name="_Hlk165980283"/>
        <m:sSub>
          <m:sSubPr>
            <m:ctrlPr>
              <w:rPr>
                <w:rFonts w:ascii="Cambria Math" w:hAnsi="Cambria Math"/>
                <w:bCs/>
                <w:szCs w:val="24"/>
                <w:lang w:val="en-GB"/>
              </w:rPr>
            </m:ctrlPr>
          </m:sSubPr>
          <m:e>
            <m:sSub>
              <m:sSubPr>
                <m:ctrlPr>
                  <w:rPr>
                    <w:rFonts w:ascii="Cambria Math" w:hAnsi="Cambria Math"/>
                    <w:szCs w:val="24"/>
                    <w:lang w:val="en-GB"/>
                  </w:rPr>
                </m:ctrlPr>
              </m:sSubPr>
              <m:e>
                <m:r>
                  <w:rPr>
                    <w:rFonts w:ascii="Cambria Math" w:hAnsi="Cambria Math"/>
                    <w:szCs w:val="24"/>
                    <w:lang w:val="en-GB" w:eastAsia="en-GB"/>
                  </w:rPr>
                  <m:t>α</m:t>
                </m:r>
              </m:e>
              <m:sub>
                <m:r>
                  <m:rPr>
                    <m:sty m:val="p"/>
                  </m:rPr>
                  <w:rPr>
                    <w:rFonts w:ascii="Cambria Math" w:hAnsi="Cambria Math"/>
                    <w:szCs w:val="24"/>
                    <w:lang w:val="en-GB" w:eastAsia="en-GB"/>
                  </w:rPr>
                  <m:t>0</m:t>
                </m:r>
              </m:sub>
            </m:sSub>
            <m:r>
              <m:rPr>
                <m:sty m:val="p"/>
              </m:rPr>
              <w:rPr>
                <w:rFonts w:ascii="Cambria Math" w:hAnsi="Cambria Math"/>
                <w:szCs w:val="24"/>
                <w:lang w:val="en-GB" w:eastAsia="en-GB"/>
              </w:rPr>
              <m:t xml:space="preserve">+ </m:t>
            </m:r>
            <m:r>
              <w:rPr>
                <w:rFonts w:ascii="Cambria Math" w:hAnsi="Cambria Math"/>
                <w:szCs w:val="24"/>
                <w:lang w:val="en-GB" w:eastAsia="en-GB"/>
              </w:rPr>
              <m:t>β</m:t>
            </m:r>
          </m:e>
          <m:sub>
            <m:r>
              <m:rPr>
                <m:sty m:val="p"/>
              </m:rPr>
              <w:rPr>
                <w:rFonts w:ascii="Cambria Math" w:hAnsi="Cambria Math"/>
                <w:szCs w:val="24"/>
                <w:lang w:val="en-GB" w:eastAsia="en-GB"/>
              </w:rPr>
              <m:t>1</m:t>
            </m:r>
          </m:sub>
        </m:sSub>
        <m:sSub>
          <m:sSubPr>
            <m:ctrlPr>
              <w:rPr>
                <w:rFonts w:ascii="Cambria Math" w:hAnsi="Cambria Math"/>
                <w:szCs w:val="24"/>
                <w:lang w:val="en-GB"/>
              </w:rPr>
            </m:ctrlPr>
          </m:sSubPr>
          <m:e>
            <m:r>
              <w:rPr>
                <w:rFonts w:ascii="Cambria Math" w:hAnsi="Cambria Math"/>
                <w:szCs w:val="24"/>
                <w:lang w:val="en-GB" w:eastAsia="en-GB"/>
              </w:rPr>
              <m:t>CEOP</m:t>
            </m:r>
          </m:e>
          <m:sub>
            <m:r>
              <w:rPr>
                <w:rFonts w:ascii="Cambria Math" w:hAnsi="Cambria Math"/>
                <w:szCs w:val="24"/>
                <w:lang w:val="en-GB" w:eastAsia="en-GB"/>
              </w:rPr>
              <m:t>it</m:t>
            </m:r>
          </m:sub>
        </m:sSub>
        <w:bookmarkEnd w:id="10"/>
        <m:r>
          <m:rPr>
            <m:sty m:val="p"/>
          </m:rPr>
          <w:rPr>
            <w:rFonts w:ascii="Cambria Math" w:hAnsi="Cambria Math"/>
            <w:szCs w:val="24"/>
            <w:lang w:val="en-GB" w:eastAsia="en-GB"/>
          </w:rPr>
          <m:t>+</m:t>
        </m:r>
        <m:sSub>
          <m:sSubPr>
            <m:ctrlPr>
              <w:rPr>
                <w:rFonts w:ascii="Cambria Math" w:hAnsi="Cambria Math"/>
                <w:bCs/>
                <w:szCs w:val="24"/>
                <w:lang w:val="en-GB"/>
              </w:rPr>
            </m:ctrlPr>
          </m:sSubPr>
          <m:e>
            <m:r>
              <m:rPr>
                <m:sty m:val="p"/>
              </m:rPr>
              <w:rPr>
                <w:rFonts w:ascii="Cambria Math" w:hAnsi="Cambria Math"/>
                <w:szCs w:val="24"/>
                <w:lang w:val="en-GB" w:eastAsia="en-GB"/>
              </w:rPr>
              <m:t xml:space="preserve"> </m:t>
            </m:r>
            <m:r>
              <w:rPr>
                <w:rFonts w:ascii="Cambria Math" w:hAnsi="Cambria Math"/>
                <w:szCs w:val="24"/>
                <w:lang w:val="en-GB" w:eastAsia="en-GB"/>
              </w:rPr>
              <m:t>β</m:t>
            </m:r>
          </m:e>
          <m:sub>
            <m:r>
              <m:rPr>
                <m:sty m:val="p"/>
              </m:rPr>
              <w:rPr>
                <w:rFonts w:ascii="Cambria Math" w:hAnsi="Cambria Math"/>
                <w:szCs w:val="24"/>
                <w:lang w:val="en-GB" w:eastAsia="en-GB"/>
              </w:rPr>
              <m:t>2</m:t>
            </m:r>
          </m:sub>
        </m:sSub>
        <m:sSub>
          <m:sSubPr>
            <m:ctrlPr>
              <w:rPr>
                <w:rFonts w:ascii="Cambria Math" w:hAnsi="Cambria Math"/>
                <w:szCs w:val="24"/>
                <w:lang w:val="en-GB"/>
              </w:rPr>
            </m:ctrlPr>
          </m:sSubPr>
          <m:e>
            <m:r>
              <w:rPr>
                <w:rFonts w:ascii="Cambria Math" w:hAnsi="Cambria Math"/>
                <w:szCs w:val="24"/>
                <w:lang w:val="en-GB" w:eastAsia="en-GB"/>
              </w:rPr>
              <m:t>BGD</m:t>
            </m:r>
          </m:e>
          <m:sub>
            <m:r>
              <w:rPr>
                <w:rFonts w:ascii="Cambria Math" w:hAnsi="Cambria Math"/>
                <w:szCs w:val="24"/>
                <w:lang w:val="en-GB" w:eastAsia="en-GB"/>
              </w:rPr>
              <m:t>it</m:t>
            </m:r>
          </m:sub>
        </m:sSub>
        <m:r>
          <w:rPr>
            <w:rFonts w:ascii="Cambria Math" w:hAnsi="Cambria Math"/>
            <w:szCs w:val="24"/>
            <w:lang w:val="en-GB" w:eastAsia="en-GB"/>
          </w:rPr>
          <m:t>+</m:t>
        </m:r>
        <m:r>
          <m:rPr>
            <m:sty m:val="p"/>
          </m:rPr>
          <w:rPr>
            <w:rFonts w:ascii="Cambria Math" w:hAnsi="Cambria Math"/>
            <w:szCs w:val="24"/>
            <w:lang w:val="en-GB" w:eastAsia="en-GB"/>
          </w:rPr>
          <m:t xml:space="preserve"> </m:t>
        </m:r>
        <m:nary>
          <m:naryPr>
            <m:chr m:val="∑"/>
            <m:limLoc m:val="undOvr"/>
            <m:ctrlPr>
              <w:rPr>
                <w:rFonts w:ascii="Cambria Math" w:hAnsi="Cambria Math"/>
                <w:szCs w:val="24"/>
                <w:lang w:val="en-GB"/>
              </w:rPr>
            </m:ctrlPr>
          </m:naryPr>
          <m:sub>
            <m:r>
              <w:rPr>
                <w:rFonts w:ascii="Cambria Math" w:hAnsi="Cambria Math"/>
                <w:szCs w:val="24"/>
                <w:lang w:val="en-GB" w:eastAsia="en-GB"/>
              </w:rPr>
              <m:t>i</m:t>
            </m:r>
            <m:r>
              <m:rPr>
                <m:sty m:val="p"/>
              </m:rPr>
              <w:rPr>
                <w:rFonts w:ascii="Cambria Math" w:hAnsi="Cambria Math"/>
                <w:szCs w:val="24"/>
                <w:lang w:val="en-GB" w:eastAsia="en-GB"/>
              </w:rPr>
              <m:t>=1</m:t>
            </m:r>
          </m:sub>
          <m:sup>
            <m:r>
              <m:rPr>
                <m:sty m:val="p"/>
              </m:rPr>
              <w:rPr>
                <w:rFonts w:ascii="Cambria Math" w:hAnsi="Cambria Math"/>
                <w:szCs w:val="24"/>
                <w:lang w:val="en-GB" w:eastAsia="en-GB"/>
              </w:rPr>
              <m:t>n</m:t>
            </m:r>
          </m:sup>
          <m:e>
            <m:sSub>
              <m:sSubPr>
                <m:ctrlPr>
                  <w:rPr>
                    <w:rFonts w:ascii="Cambria Math" w:hAnsi="Cambria Math"/>
                    <w:bCs/>
                    <w:szCs w:val="24"/>
                    <w:lang w:val="en-GB"/>
                  </w:rPr>
                </m:ctrlPr>
              </m:sSubPr>
              <m:e>
                <m:r>
                  <w:rPr>
                    <w:rFonts w:ascii="Cambria Math" w:hAnsi="Cambria Math"/>
                    <w:szCs w:val="24"/>
                    <w:lang w:val="en-GB" w:eastAsia="en-GB"/>
                  </w:rPr>
                  <m:t>β</m:t>
                </m:r>
              </m:e>
              <m:sub>
                <m:r>
                  <w:rPr>
                    <w:rFonts w:ascii="Cambria Math" w:hAnsi="Cambria Math"/>
                    <w:szCs w:val="24"/>
                    <w:lang w:val="en-GB" w:eastAsia="en-GB"/>
                  </w:rPr>
                  <m:t>i</m:t>
                </m:r>
              </m:sub>
            </m:sSub>
            <m:r>
              <m:rPr>
                <m:sty m:val="p"/>
              </m:rPr>
              <w:rPr>
                <w:rFonts w:ascii="Cambria Math" w:hAnsi="Cambria Math"/>
                <w:szCs w:val="24"/>
                <w:lang w:val="en-GB" w:eastAsia="en-GB"/>
              </w:rPr>
              <m:t xml:space="preserve"> </m:t>
            </m:r>
            <m:sSub>
              <m:sSubPr>
                <m:ctrlPr>
                  <w:rPr>
                    <w:rFonts w:ascii="Cambria Math" w:hAnsi="Cambria Math"/>
                    <w:szCs w:val="24"/>
                    <w:lang w:val="en-GB"/>
                  </w:rPr>
                </m:ctrlPr>
              </m:sSubPr>
              <m:e>
                <m:r>
                  <w:rPr>
                    <w:rFonts w:ascii="Cambria Math" w:hAnsi="Cambria Math"/>
                    <w:szCs w:val="24"/>
                    <w:lang w:val="en-GB" w:eastAsia="en-GB"/>
                  </w:rPr>
                  <m:t>CONTROLS</m:t>
                </m:r>
              </m:e>
              <m:sub>
                <m:r>
                  <w:rPr>
                    <w:rFonts w:ascii="Cambria Math" w:hAnsi="Cambria Math"/>
                    <w:szCs w:val="24"/>
                    <w:lang w:val="en-GB" w:eastAsia="en-GB"/>
                  </w:rPr>
                  <m:t>it</m:t>
                </m:r>
              </m:sub>
            </m:sSub>
          </m:e>
        </m:nary>
        <m:r>
          <m:rPr>
            <m:sty m:val="p"/>
          </m:rPr>
          <w:rPr>
            <w:rFonts w:ascii="Cambria Math" w:hAnsi="Cambria Math"/>
            <w:szCs w:val="24"/>
            <w:lang w:val="en-GB" w:eastAsia="en-GB"/>
          </w:rPr>
          <m:t>+</m:t>
        </m:r>
        <m:sSub>
          <m:sSubPr>
            <m:ctrlPr>
              <w:rPr>
                <w:rFonts w:ascii="Cambria Math" w:hAnsi="Cambria Math"/>
                <w:szCs w:val="24"/>
                <w:lang w:val="en-GB"/>
              </w:rPr>
            </m:ctrlPr>
          </m:sSubPr>
          <m:e>
            <m:r>
              <w:rPr>
                <w:rFonts w:ascii="Cambria Math" w:hAnsi="Cambria Math"/>
                <w:szCs w:val="24"/>
                <w:lang w:val="en-GB" w:eastAsia="en-GB"/>
              </w:rPr>
              <m:t>ε</m:t>
            </m:r>
          </m:e>
          <m:sub>
            <m:r>
              <w:rPr>
                <w:rFonts w:ascii="Cambria Math" w:hAnsi="Cambria Math"/>
                <w:szCs w:val="24"/>
                <w:lang w:val="en-GB" w:eastAsia="en-GB"/>
              </w:rPr>
              <m:t>it</m:t>
            </m:r>
          </m:sub>
        </m:sSub>
        <m:r>
          <m:rPr>
            <m:sty m:val="p"/>
          </m:rPr>
          <w:rPr>
            <w:rFonts w:ascii="Cambria Math" w:hAnsi="Cambria Math"/>
            <w:szCs w:val="24"/>
            <w:lang w:val="en-GB" w:eastAsia="en-GB"/>
          </w:rPr>
          <m:t xml:space="preserve">                                  </m:t>
        </m:r>
      </m:oMath>
      <w:r w:rsidRPr="00E3562B">
        <w:rPr>
          <w:szCs w:val="24"/>
          <w:lang w:val="en-GB" w:eastAsia="en-GB"/>
        </w:rPr>
        <w:t>(1)</w:t>
      </w:r>
    </w:p>
    <w:p w14:paraId="6A105C2C" w14:textId="77777777" w:rsidR="00A60DA1" w:rsidRPr="00E3562B" w:rsidRDefault="00A60DA1" w:rsidP="00A60DA1">
      <w:pPr>
        <w:spacing w:before="240"/>
        <w:rPr>
          <w:szCs w:val="24"/>
          <w:lang w:val="en-GB" w:eastAsia="en-GB"/>
        </w:rPr>
      </w:pPr>
      <m:oMath>
        <m:r>
          <w:rPr>
            <w:rFonts w:ascii="Cambria Math" w:hAnsi="Cambria Math"/>
            <w:szCs w:val="24"/>
            <w:lang w:val="en-GB" w:eastAsia="en-GB"/>
          </w:rPr>
          <m:t>MS</m:t>
        </m:r>
        <m:sSub>
          <m:sSubPr>
            <m:ctrlPr>
              <w:rPr>
                <w:rFonts w:ascii="Cambria Math" w:hAnsi="Cambria Math"/>
                <w:i/>
                <w:szCs w:val="24"/>
                <w:lang w:val="en-GB"/>
              </w:rPr>
            </m:ctrlPr>
          </m:sSubPr>
          <m:e>
            <m:r>
              <w:rPr>
                <w:rFonts w:ascii="Cambria Math" w:hAnsi="Cambria Math"/>
                <w:szCs w:val="24"/>
                <w:lang w:val="en-GB" w:eastAsia="en-GB"/>
              </w:rPr>
              <m:t>DI</m:t>
            </m:r>
          </m:e>
          <m:sub>
            <m:r>
              <w:rPr>
                <w:rFonts w:ascii="Cambria Math" w:hAnsi="Cambria Math"/>
                <w:szCs w:val="24"/>
                <w:lang w:val="en-GB" w:eastAsia="en-GB"/>
              </w:rPr>
              <m:t>it</m:t>
            </m:r>
          </m:sub>
        </m:sSub>
        <m:r>
          <m:rPr>
            <m:sty m:val="p"/>
          </m:rPr>
          <w:rPr>
            <w:rFonts w:ascii="Cambria Math" w:hAnsi="Cambria Math"/>
            <w:szCs w:val="24"/>
            <w:lang w:val="en-GB" w:eastAsia="en-GB"/>
          </w:rPr>
          <m:t xml:space="preserve">= </m:t>
        </m:r>
        <m:sSub>
          <m:sSubPr>
            <m:ctrlPr>
              <w:rPr>
                <w:rFonts w:ascii="Cambria Math" w:hAnsi="Cambria Math"/>
                <w:bCs/>
                <w:szCs w:val="24"/>
                <w:lang w:val="en-GB"/>
              </w:rPr>
            </m:ctrlPr>
          </m:sSubPr>
          <m:e>
            <m:sSub>
              <m:sSubPr>
                <m:ctrlPr>
                  <w:rPr>
                    <w:rFonts w:ascii="Cambria Math" w:hAnsi="Cambria Math"/>
                    <w:szCs w:val="24"/>
                    <w:lang w:val="en-GB"/>
                  </w:rPr>
                </m:ctrlPr>
              </m:sSubPr>
              <m:e>
                <m:r>
                  <w:rPr>
                    <w:rFonts w:ascii="Cambria Math" w:hAnsi="Cambria Math"/>
                    <w:szCs w:val="24"/>
                    <w:lang w:val="en-GB" w:eastAsia="en-GB"/>
                  </w:rPr>
                  <m:t>α</m:t>
                </m:r>
              </m:e>
              <m:sub>
                <m:r>
                  <m:rPr>
                    <m:sty m:val="p"/>
                  </m:rPr>
                  <w:rPr>
                    <w:rFonts w:ascii="Cambria Math" w:hAnsi="Cambria Math"/>
                    <w:szCs w:val="24"/>
                    <w:lang w:val="en-GB" w:eastAsia="en-GB"/>
                  </w:rPr>
                  <m:t>0</m:t>
                </m:r>
              </m:sub>
            </m:sSub>
            <m:r>
              <m:rPr>
                <m:sty m:val="p"/>
              </m:rPr>
              <w:rPr>
                <w:rFonts w:ascii="Cambria Math" w:hAnsi="Cambria Math"/>
                <w:szCs w:val="24"/>
                <w:lang w:val="en-GB" w:eastAsia="en-GB"/>
              </w:rPr>
              <m:t>+</m:t>
            </m:r>
            <m:sSub>
              <m:sSubPr>
                <m:ctrlPr>
                  <w:rPr>
                    <w:rFonts w:ascii="Cambria Math" w:hAnsi="Cambria Math"/>
                    <w:bCs/>
                    <w:szCs w:val="24"/>
                    <w:lang w:val="en-GB"/>
                  </w:rPr>
                </m:ctrlPr>
              </m:sSubPr>
              <m:e>
                <m:r>
                  <m:rPr>
                    <m:sty m:val="p"/>
                  </m:rPr>
                  <w:rPr>
                    <w:rFonts w:ascii="Cambria Math" w:hAnsi="Cambria Math"/>
                    <w:szCs w:val="24"/>
                    <w:lang w:val="en-GB" w:eastAsia="en-GB"/>
                  </w:rPr>
                  <m:t xml:space="preserve"> </m:t>
                </m:r>
                <m:r>
                  <w:rPr>
                    <w:rFonts w:ascii="Cambria Math" w:hAnsi="Cambria Math"/>
                    <w:szCs w:val="24"/>
                    <w:lang w:val="en-GB" w:eastAsia="en-GB"/>
                  </w:rPr>
                  <m:t>β</m:t>
                </m:r>
              </m:e>
              <m:sub>
                <m:r>
                  <m:rPr>
                    <m:sty m:val="p"/>
                  </m:rPr>
                  <w:rPr>
                    <w:rFonts w:ascii="Cambria Math" w:hAnsi="Cambria Math"/>
                    <w:szCs w:val="24"/>
                    <w:lang w:val="en-GB" w:eastAsia="en-GB"/>
                  </w:rPr>
                  <m:t>1</m:t>
                </m:r>
              </m:sub>
            </m:sSub>
            <m:sSub>
              <m:sSubPr>
                <m:ctrlPr>
                  <w:rPr>
                    <w:rFonts w:ascii="Cambria Math" w:hAnsi="Cambria Math"/>
                    <w:szCs w:val="24"/>
                    <w:lang w:val="en-GB"/>
                  </w:rPr>
                </m:ctrlPr>
              </m:sSubPr>
              <m:e>
                <m:r>
                  <w:rPr>
                    <w:rFonts w:ascii="Cambria Math" w:hAnsi="Cambria Math"/>
                    <w:szCs w:val="24"/>
                    <w:lang w:val="en-GB" w:eastAsia="en-GB"/>
                  </w:rPr>
                  <m:t>CEOP</m:t>
                </m:r>
              </m:e>
              <m:sub>
                <m:r>
                  <w:rPr>
                    <w:rFonts w:ascii="Cambria Math" w:hAnsi="Cambria Math"/>
                    <w:szCs w:val="24"/>
                    <w:lang w:val="en-GB" w:eastAsia="en-GB"/>
                  </w:rPr>
                  <m:t>it</m:t>
                </m:r>
              </m:sub>
            </m:sSub>
            <m:r>
              <m:rPr>
                <m:sty m:val="p"/>
              </m:rPr>
              <w:rPr>
                <w:rFonts w:ascii="Cambria Math" w:hAnsi="Cambria Math"/>
                <w:szCs w:val="24"/>
                <w:lang w:val="en-GB" w:eastAsia="en-GB"/>
              </w:rPr>
              <m:t xml:space="preserve"> </m:t>
            </m:r>
            <m:sSub>
              <m:sSubPr>
                <m:ctrlPr>
                  <w:rPr>
                    <w:rFonts w:ascii="Cambria Math" w:hAnsi="Cambria Math"/>
                    <w:bCs/>
                    <w:szCs w:val="24"/>
                    <w:lang w:val="en-GB"/>
                  </w:rPr>
                </m:ctrlPr>
              </m:sSubPr>
              <m:e>
                <m:r>
                  <m:rPr>
                    <m:sty m:val="p"/>
                  </m:rPr>
                  <w:rPr>
                    <w:rFonts w:ascii="Cambria Math" w:hAnsi="Cambria Math"/>
                    <w:szCs w:val="24"/>
                    <w:lang w:val="en-GB" w:eastAsia="en-GB"/>
                  </w:rPr>
                  <m:t xml:space="preserve">+ </m:t>
                </m:r>
                <m:r>
                  <w:rPr>
                    <w:rFonts w:ascii="Cambria Math" w:hAnsi="Cambria Math"/>
                    <w:szCs w:val="24"/>
                    <w:lang w:val="en-GB" w:eastAsia="en-GB"/>
                  </w:rPr>
                  <m:t>β</m:t>
                </m:r>
              </m:e>
              <m:sub>
                <m:r>
                  <m:rPr>
                    <m:sty m:val="p"/>
                  </m:rPr>
                  <w:rPr>
                    <w:rFonts w:ascii="Cambria Math" w:hAnsi="Cambria Math"/>
                    <w:szCs w:val="24"/>
                    <w:lang w:val="en-GB" w:eastAsia="en-GB"/>
                  </w:rPr>
                  <m:t>2</m:t>
                </m:r>
              </m:sub>
            </m:sSub>
            <m:sSub>
              <m:sSubPr>
                <m:ctrlPr>
                  <w:rPr>
                    <w:rFonts w:ascii="Cambria Math" w:hAnsi="Cambria Math"/>
                    <w:szCs w:val="24"/>
                    <w:lang w:val="en-GB"/>
                  </w:rPr>
                </m:ctrlPr>
              </m:sSubPr>
              <m:e>
                <m:r>
                  <w:rPr>
                    <w:rFonts w:ascii="Cambria Math" w:hAnsi="Cambria Math"/>
                    <w:szCs w:val="24"/>
                    <w:lang w:val="en-GB" w:eastAsia="en-GB"/>
                  </w:rPr>
                  <m:t>BGD</m:t>
                </m:r>
              </m:e>
              <m:sub>
                <m:r>
                  <w:rPr>
                    <w:rFonts w:ascii="Cambria Math" w:hAnsi="Cambria Math"/>
                    <w:szCs w:val="24"/>
                    <w:lang w:val="en-GB" w:eastAsia="en-GB"/>
                  </w:rPr>
                  <m:t>it</m:t>
                </m:r>
              </m:sub>
            </m:sSub>
            <m:r>
              <w:rPr>
                <w:rFonts w:ascii="Cambria Math" w:hAnsi="Cambria Math"/>
                <w:szCs w:val="24"/>
                <w:lang w:val="en-GB" w:eastAsia="en-GB"/>
              </w:rPr>
              <m:t>+β</m:t>
            </m:r>
          </m:e>
          <m:sub>
            <m:r>
              <m:rPr>
                <m:sty m:val="p"/>
              </m:rPr>
              <w:rPr>
                <w:rFonts w:ascii="Cambria Math" w:hAnsi="Cambria Math"/>
                <w:szCs w:val="24"/>
                <w:lang w:val="en-GB" w:eastAsia="en-GB"/>
              </w:rPr>
              <m:t>3</m:t>
            </m:r>
          </m:sub>
        </m:sSub>
        <m:sSub>
          <m:sSubPr>
            <m:ctrlPr>
              <w:rPr>
                <w:rFonts w:ascii="Cambria Math" w:hAnsi="Cambria Math"/>
                <w:szCs w:val="24"/>
                <w:lang w:val="en-GB"/>
              </w:rPr>
            </m:ctrlPr>
          </m:sSubPr>
          <m:e>
            <m:r>
              <w:rPr>
                <w:rFonts w:ascii="Cambria Math" w:hAnsi="Cambria Math"/>
                <w:szCs w:val="24"/>
                <w:lang w:val="en-GB" w:eastAsia="en-GB"/>
              </w:rPr>
              <m:t>CEOP</m:t>
            </m:r>
          </m:e>
          <m:sub>
            <m:r>
              <w:rPr>
                <w:rFonts w:ascii="Cambria Math" w:hAnsi="Cambria Math"/>
                <w:szCs w:val="24"/>
                <w:lang w:val="en-GB" w:eastAsia="en-GB"/>
              </w:rPr>
              <m:t>it</m:t>
            </m:r>
          </m:sub>
        </m:sSub>
        <m:r>
          <w:rPr>
            <w:rFonts w:ascii="Cambria Math" w:hAnsi="Cambria Math"/>
            <w:szCs w:val="24"/>
            <w:lang w:val="en-GB"/>
          </w:rPr>
          <m:t>*</m:t>
        </m:r>
        <m:sSub>
          <m:sSubPr>
            <m:ctrlPr>
              <w:rPr>
                <w:rFonts w:ascii="Cambria Math" w:hAnsi="Cambria Math"/>
                <w:szCs w:val="24"/>
                <w:lang w:val="en-GB"/>
              </w:rPr>
            </m:ctrlPr>
          </m:sSubPr>
          <m:e>
            <m:r>
              <w:rPr>
                <w:rFonts w:ascii="Cambria Math" w:hAnsi="Cambria Math"/>
                <w:szCs w:val="24"/>
                <w:lang w:val="en-GB" w:eastAsia="en-GB"/>
              </w:rPr>
              <m:t>BGD</m:t>
            </m:r>
          </m:e>
          <m:sub>
            <m:r>
              <w:rPr>
                <w:rFonts w:ascii="Cambria Math" w:hAnsi="Cambria Math"/>
                <w:szCs w:val="24"/>
                <w:lang w:val="en-GB" w:eastAsia="en-GB"/>
              </w:rPr>
              <m:t>it</m:t>
            </m:r>
          </m:sub>
        </m:sSub>
        <m:r>
          <m:rPr>
            <m:sty m:val="p"/>
          </m:rPr>
          <w:rPr>
            <w:rFonts w:ascii="Cambria Math" w:hAnsi="Cambria Math"/>
            <w:szCs w:val="24"/>
            <w:lang w:val="en-GB" w:eastAsia="en-GB"/>
          </w:rPr>
          <m:t xml:space="preserve"> </m:t>
        </m:r>
        <m:nary>
          <m:naryPr>
            <m:chr m:val="∑"/>
            <m:limLoc m:val="undOvr"/>
            <m:ctrlPr>
              <w:rPr>
                <w:rFonts w:ascii="Cambria Math" w:hAnsi="Cambria Math"/>
                <w:szCs w:val="24"/>
                <w:lang w:val="en-GB"/>
              </w:rPr>
            </m:ctrlPr>
          </m:naryPr>
          <m:sub>
            <m:r>
              <w:rPr>
                <w:rFonts w:ascii="Cambria Math" w:hAnsi="Cambria Math"/>
                <w:szCs w:val="24"/>
                <w:lang w:val="en-GB" w:eastAsia="en-GB"/>
              </w:rPr>
              <m:t>i</m:t>
            </m:r>
            <m:r>
              <m:rPr>
                <m:sty m:val="p"/>
              </m:rPr>
              <w:rPr>
                <w:rFonts w:ascii="Cambria Math" w:hAnsi="Cambria Math"/>
                <w:szCs w:val="24"/>
                <w:lang w:val="en-GB" w:eastAsia="en-GB"/>
              </w:rPr>
              <m:t>=1</m:t>
            </m:r>
          </m:sub>
          <m:sup>
            <m:r>
              <m:rPr>
                <m:sty m:val="p"/>
              </m:rPr>
              <w:rPr>
                <w:rFonts w:ascii="Cambria Math" w:hAnsi="Cambria Math"/>
                <w:szCs w:val="24"/>
                <w:lang w:val="en-GB" w:eastAsia="en-GB"/>
              </w:rPr>
              <m:t>n</m:t>
            </m:r>
          </m:sup>
          <m:e>
            <m:sSub>
              <m:sSubPr>
                <m:ctrlPr>
                  <w:rPr>
                    <w:rFonts w:ascii="Cambria Math" w:hAnsi="Cambria Math"/>
                    <w:bCs/>
                    <w:szCs w:val="24"/>
                    <w:lang w:val="en-GB"/>
                  </w:rPr>
                </m:ctrlPr>
              </m:sSubPr>
              <m:e>
                <m:r>
                  <w:rPr>
                    <w:rFonts w:ascii="Cambria Math" w:hAnsi="Cambria Math"/>
                    <w:szCs w:val="24"/>
                    <w:lang w:val="en-GB" w:eastAsia="en-GB"/>
                  </w:rPr>
                  <m:t>β</m:t>
                </m:r>
              </m:e>
              <m:sub>
                <m:r>
                  <w:rPr>
                    <w:rFonts w:ascii="Cambria Math" w:hAnsi="Cambria Math"/>
                    <w:szCs w:val="24"/>
                    <w:lang w:val="en-GB" w:eastAsia="en-GB"/>
                  </w:rPr>
                  <m:t>i</m:t>
                </m:r>
              </m:sub>
            </m:sSub>
            <m:r>
              <m:rPr>
                <m:sty m:val="p"/>
              </m:rPr>
              <w:rPr>
                <w:rFonts w:ascii="Cambria Math" w:hAnsi="Cambria Math"/>
                <w:szCs w:val="24"/>
                <w:lang w:val="en-GB" w:eastAsia="en-GB"/>
              </w:rPr>
              <m:t xml:space="preserve"> </m:t>
            </m:r>
            <m:sSub>
              <m:sSubPr>
                <m:ctrlPr>
                  <w:rPr>
                    <w:rFonts w:ascii="Cambria Math" w:hAnsi="Cambria Math"/>
                    <w:szCs w:val="24"/>
                    <w:lang w:val="en-GB"/>
                  </w:rPr>
                </m:ctrlPr>
              </m:sSubPr>
              <m:e>
                <m:r>
                  <w:rPr>
                    <w:rFonts w:ascii="Cambria Math" w:hAnsi="Cambria Math"/>
                    <w:szCs w:val="24"/>
                    <w:lang w:val="en-GB" w:eastAsia="en-GB"/>
                  </w:rPr>
                  <m:t>CONTROLS</m:t>
                </m:r>
              </m:e>
              <m:sub>
                <m:r>
                  <w:rPr>
                    <w:rFonts w:ascii="Cambria Math" w:hAnsi="Cambria Math"/>
                    <w:szCs w:val="24"/>
                    <w:lang w:val="en-GB" w:eastAsia="en-GB"/>
                  </w:rPr>
                  <m:t>it</m:t>
                </m:r>
              </m:sub>
            </m:sSub>
          </m:e>
        </m:nary>
        <m:r>
          <m:rPr>
            <m:sty m:val="p"/>
          </m:rPr>
          <w:rPr>
            <w:rFonts w:ascii="Cambria Math" w:hAnsi="Cambria Math"/>
            <w:szCs w:val="24"/>
            <w:lang w:val="en-GB" w:eastAsia="en-GB"/>
          </w:rPr>
          <m:t>+</m:t>
        </m:r>
        <m:sSub>
          <m:sSubPr>
            <m:ctrlPr>
              <w:rPr>
                <w:rFonts w:ascii="Cambria Math" w:hAnsi="Cambria Math"/>
                <w:szCs w:val="24"/>
                <w:lang w:val="en-GB"/>
              </w:rPr>
            </m:ctrlPr>
          </m:sSubPr>
          <m:e>
            <m:r>
              <w:rPr>
                <w:rFonts w:ascii="Cambria Math" w:hAnsi="Cambria Math"/>
                <w:szCs w:val="24"/>
                <w:lang w:val="en-GB" w:eastAsia="en-GB"/>
              </w:rPr>
              <m:t>ε</m:t>
            </m:r>
          </m:e>
          <m:sub>
            <m:r>
              <w:rPr>
                <w:rFonts w:ascii="Cambria Math" w:hAnsi="Cambria Math"/>
                <w:szCs w:val="24"/>
                <w:lang w:val="en-GB" w:eastAsia="en-GB"/>
              </w:rPr>
              <m:t>it</m:t>
            </m:r>
          </m:sub>
        </m:sSub>
        <m:r>
          <m:rPr>
            <m:sty m:val="p"/>
          </m:rPr>
          <w:rPr>
            <w:rFonts w:ascii="Cambria Math" w:hAnsi="Cambria Math"/>
            <w:szCs w:val="24"/>
            <w:lang w:val="en-GB" w:eastAsia="en-GB"/>
          </w:rPr>
          <m:t xml:space="preserve">  </m:t>
        </m:r>
      </m:oMath>
      <w:r w:rsidRPr="00E3562B">
        <w:rPr>
          <w:szCs w:val="24"/>
          <w:lang w:val="en-GB" w:eastAsia="en-GB"/>
        </w:rPr>
        <w:t>(2)</w:t>
      </w:r>
    </w:p>
    <w:p w14:paraId="10AD02EB" w14:textId="77777777" w:rsidR="00A60DA1" w:rsidRPr="00E3562B" w:rsidRDefault="00A60DA1" w:rsidP="00A60DA1">
      <w:pPr>
        <w:rPr>
          <w:lang w:val="en-GB"/>
        </w:rPr>
      </w:pPr>
    </w:p>
    <w:p w14:paraId="5855994F" w14:textId="676A82AC" w:rsidR="00A60DA1" w:rsidRPr="00E3562B" w:rsidRDefault="00A60DA1" w:rsidP="00A60DA1">
      <w:pPr>
        <w:rPr>
          <w:lang w:val="en-GB"/>
        </w:rPr>
      </w:pPr>
      <w:r w:rsidRPr="00E3562B">
        <w:rPr>
          <w:lang w:val="en-GB"/>
        </w:rPr>
        <w:t xml:space="preserve">where </w:t>
      </w:r>
      <w:r w:rsidRPr="00E3562B">
        <w:rPr>
          <w:i/>
          <w:iCs/>
          <w:lang w:val="en-GB"/>
        </w:rPr>
        <w:t>MSDI</w:t>
      </w:r>
      <w:r w:rsidRPr="00E3562B">
        <w:rPr>
          <w:i/>
          <w:iCs/>
          <w:vertAlign w:val="subscript"/>
          <w:lang w:val="en-GB"/>
        </w:rPr>
        <w:t xml:space="preserve"> </w:t>
      </w:r>
      <w:r w:rsidRPr="00E3562B">
        <w:rPr>
          <w:lang w:val="en-GB"/>
        </w:rPr>
        <w:t>indicates the extent of a company's MSD, CEOP is a composite index that reflects the CEO</w:t>
      </w:r>
      <w:r w:rsidR="00726311" w:rsidRPr="00E3562B">
        <w:rPr>
          <w:lang w:val="en-GB"/>
        </w:rPr>
        <w:t>’s</w:t>
      </w:r>
      <w:r w:rsidRPr="00E3562B">
        <w:rPr>
          <w:lang w:val="en-GB"/>
        </w:rPr>
        <w:t xml:space="preserve"> influence on the board, and </w:t>
      </w:r>
      <w:r w:rsidRPr="00E3562B">
        <w:rPr>
          <w:i/>
          <w:iCs/>
          <w:lang w:val="en-GB"/>
        </w:rPr>
        <w:t>BGD</w:t>
      </w:r>
      <w:r w:rsidRPr="00E3562B">
        <w:rPr>
          <w:i/>
          <w:iCs/>
          <w:vertAlign w:val="subscript"/>
          <w:lang w:val="en-GB"/>
        </w:rPr>
        <w:t xml:space="preserve"> </w:t>
      </w:r>
      <w:r w:rsidRPr="00E3562B">
        <w:rPr>
          <w:lang w:val="en-GB"/>
        </w:rPr>
        <w:t xml:space="preserve">is a proxy of the board’s gender diversity. </w:t>
      </w:r>
      <w:r w:rsidRPr="00E3562B">
        <w:rPr>
          <w:i/>
          <w:iCs/>
          <w:lang w:val="en-GB"/>
        </w:rPr>
        <w:t xml:space="preserve">CONTROLS </w:t>
      </w:r>
      <w:r w:rsidRPr="00E3562B">
        <w:rPr>
          <w:lang w:val="en-GB"/>
        </w:rPr>
        <w:t xml:space="preserve">denotes a set of control variables at the company level. Continuous variables are </w:t>
      </w:r>
      <w:proofErr w:type="spellStart"/>
      <w:r w:rsidRPr="00E3562B">
        <w:rPr>
          <w:lang w:val="en-GB"/>
        </w:rPr>
        <w:t>winsori</w:t>
      </w:r>
      <w:r w:rsidR="00D43922">
        <w:rPr>
          <w:lang w:val="en-GB"/>
        </w:rPr>
        <w:t>s</w:t>
      </w:r>
      <w:r w:rsidRPr="00E3562B">
        <w:rPr>
          <w:lang w:val="en-GB"/>
        </w:rPr>
        <w:t>ed</w:t>
      </w:r>
      <w:proofErr w:type="spellEnd"/>
      <w:r w:rsidRPr="00E3562B">
        <w:rPr>
          <w:lang w:val="en-GB"/>
        </w:rPr>
        <w:t xml:space="preserve"> at the 1st and 99th percentiles to mitigate the influence of outliers.</w:t>
      </w:r>
    </w:p>
    <w:p w14:paraId="66E73E6B" w14:textId="77777777" w:rsidR="00A60DA1" w:rsidRPr="00E3562B" w:rsidRDefault="00A60DA1" w:rsidP="00A60DA1">
      <w:pPr>
        <w:rPr>
          <w:lang w:val="en-GB"/>
        </w:rPr>
      </w:pPr>
    </w:p>
    <w:p w14:paraId="50527D17" w14:textId="77777777" w:rsidR="00A60DA1" w:rsidRPr="00E3562B" w:rsidRDefault="00A60DA1" w:rsidP="00A60DA1">
      <w:pPr>
        <w:keepNext/>
        <w:numPr>
          <w:ilvl w:val="0"/>
          <w:numId w:val="19"/>
        </w:numPr>
        <w:spacing w:line="360" w:lineRule="auto"/>
        <w:jc w:val="left"/>
        <w:outlineLvl w:val="0"/>
        <w:rPr>
          <w:b/>
          <w:bCs/>
          <w:sz w:val="28"/>
          <w:szCs w:val="24"/>
          <w:lang w:val="en-GB"/>
        </w:rPr>
      </w:pPr>
      <w:r w:rsidRPr="00E3562B">
        <w:rPr>
          <w:b/>
          <w:bCs/>
          <w:sz w:val="28"/>
          <w:szCs w:val="24"/>
          <w:lang w:val="en-GB"/>
        </w:rPr>
        <w:lastRenderedPageBreak/>
        <w:t>Empirical analysis and results</w:t>
      </w:r>
    </w:p>
    <w:p w14:paraId="0795BC9E" w14:textId="77777777" w:rsidR="00A60DA1" w:rsidRPr="00E3562B" w:rsidRDefault="00A60DA1" w:rsidP="00A60DA1">
      <w:pPr>
        <w:pStyle w:val="Heading2"/>
        <w:rPr>
          <w:lang w:val="en-GB"/>
        </w:rPr>
      </w:pPr>
      <w:r w:rsidRPr="00E3562B">
        <w:rPr>
          <w:lang w:val="en-GB"/>
        </w:rPr>
        <w:t>Descriptive statistics</w:t>
      </w:r>
    </w:p>
    <w:p w14:paraId="1671A409" w14:textId="4A6BD0AE" w:rsidR="00A60DA1" w:rsidRPr="00E3562B" w:rsidRDefault="00A60DA1" w:rsidP="00A60DA1">
      <w:pPr>
        <w:rPr>
          <w:lang w:val="en-GB"/>
        </w:rPr>
      </w:pPr>
      <w:r w:rsidRPr="00E3562B">
        <w:rPr>
          <w:lang w:val="en-GB"/>
        </w:rPr>
        <w:t xml:space="preserve">Figure 1 displays compliance trends with the disclosure requirements of the </w:t>
      </w:r>
      <w:r w:rsidR="00317A99" w:rsidRPr="00E3562B">
        <w:rPr>
          <w:lang w:val="en-GB"/>
        </w:rPr>
        <w:t>MSA</w:t>
      </w:r>
      <w:r w:rsidRPr="00E3562B">
        <w:rPr>
          <w:lang w:val="en-GB"/>
        </w:rPr>
        <w:t xml:space="preserve"> from 2016 to 2020. The findings indicate an increase in the number of companies addressing modern slavery in their operations, with 94% issuing a statement in 2020, up from 81% in 2016. Specifically, in 2020, half of the companies met all the minimum requirements of the </w:t>
      </w:r>
      <w:r w:rsidR="00317A99" w:rsidRPr="00E3562B">
        <w:rPr>
          <w:lang w:val="en-GB"/>
        </w:rPr>
        <w:t>MSA</w:t>
      </w:r>
      <w:r w:rsidRPr="00E3562B">
        <w:rPr>
          <w:lang w:val="en-GB"/>
        </w:rPr>
        <w:t xml:space="preserve">, 44% met some requirements, and a mere 6% did not issue any statement regarding modern slavery. This upward trend underscores a growing corporate commitment to transparency in disclosing efforts aimed at combating modern slavery. </w:t>
      </w:r>
    </w:p>
    <w:p w14:paraId="20AEAE4F" w14:textId="77777777" w:rsidR="00A60DA1" w:rsidRPr="00E3562B" w:rsidRDefault="00A60DA1" w:rsidP="00A60DA1">
      <w:pPr>
        <w:jc w:val="center"/>
        <w:rPr>
          <w:b/>
          <w:bCs/>
          <w:lang w:val="en-GB"/>
        </w:rPr>
      </w:pPr>
      <w:r w:rsidRPr="00E3562B">
        <w:rPr>
          <w:b/>
          <w:bCs/>
          <w:lang w:val="en-GB"/>
        </w:rPr>
        <w:t>[Insert Figure 1 here]</w:t>
      </w:r>
    </w:p>
    <w:p w14:paraId="6861D9A6" w14:textId="72546DB6" w:rsidR="00A60DA1" w:rsidRPr="00E3562B" w:rsidRDefault="00A60DA1" w:rsidP="00A60DA1">
      <w:pPr>
        <w:rPr>
          <w:lang w:val="en-GB" w:eastAsia="en-GB"/>
        </w:rPr>
      </w:pPr>
      <w:r w:rsidRPr="00E3562B">
        <w:rPr>
          <w:lang w:val="en-GB" w:eastAsia="en-GB"/>
        </w:rPr>
        <w:t xml:space="preserve">Table 3 - Panel A shows the year-wise progression of the MSDI. The results highlight a steady improvement in the overall extent of </w:t>
      </w:r>
      <w:r w:rsidR="00317A99" w:rsidRPr="00E3562B">
        <w:rPr>
          <w:lang w:val="en-GB" w:eastAsia="en-GB"/>
        </w:rPr>
        <w:t>MSD</w:t>
      </w:r>
      <w:r w:rsidRPr="00E3562B">
        <w:rPr>
          <w:lang w:val="en-GB" w:eastAsia="en-GB"/>
        </w:rPr>
        <w:t xml:space="preserve">, with the mean MSDI score increasing from 28% in 2016 to 38% in 2020. This positive trend indicates growing corporate transparency concerning modern slavery, likely due to regulatory pressure and increasing stakeholder awareness </w:t>
      </w:r>
      <w:r w:rsidRPr="00E3562B">
        <w:rPr>
          <w:lang w:val="en-GB"/>
        </w:rPr>
        <w:t>(e.g., Christ et al., 2019; Rao et al., 2022)</w:t>
      </w:r>
      <w:r w:rsidRPr="00E3562B">
        <w:rPr>
          <w:lang w:val="en-GB" w:eastAsia="en-GB"/>
        </w:rPr>
        <w:t>. The rising mean scores across the years imply that companies are becoming more attentive to the issue of modern slavery and are striving to enhance their disclosure practices. This increase is further supported by the rising median scores, which reflect that even the typical company is improving its reporting standards.</w:t>
      </w:r>
    </w:p>
    <w:p w14:paraId="0CE7A40D" w14:textId="77777777" w:rsidR="00A60DA1" w:rsidRPr="00E3562B" w:rsidRDefault="00A60DA1" w:rsidP="00A60DA1">
      <w:pPr>
        <w:rPr>
          <w:lang w:val="en-GB" w:eastAsia="en-GB"/>
        </w:rPr>
      </w:pPr>
    </w:p>
    <w:p w14:paraId="2D8D4C08" w14:textId="2CDEC9D5" w:rsidR="00A60DA1" w:rsidRPr="00E3562B" w:rsidRDefault="00A60DA1" w:rsidP="00A60DA1">
      <w:pPr>
        <w:rPr>
          <w:vanish/>
          <w:lang w:val="en-GB" w:eastAsia="en-GB"/>
        </w:rPr>
      </w:pPr>
      <w:r w:rsidRPr="00E3562B">
        <w:rPr>
          <w:lang w:val="en-GB" w:eastAsia="en-GB"/>
        </w:rPr>
        <w:t xml:space="preserve">In addition, Panel B of Table 3 provides a breakdown of </w:t>
      </w:r>
      <w:r w:rsidR="00317A99" w:rsidRPr="00E3562B">
        <w:rPr>
          <w:lang w:val="en-GB" w:eastAsia="en-GB"/>
        </w:rPr>
        <w:t>MSD</w:t>
      </w:r>
      <w:r w:rsidRPr="00E3562B">
        <w:rPr>
          <w:lang w:val="en-GB" w:eastAsia="en-GB"/>
        </w:rPr>
        <w:t xml:space="preserve"> across seven categories, highlighting areas of strength and opportunities for improvement. The analysis of disclosed modern slavery measures indicates that while there is progress in the disclosure of policies and organisational structures to combat slavery, a significant gap remains in their effective implementation and monitoring. Specifically, the low average percentages for due diligence (22%) and effectiveness/KPIs (15%) underscore the necessity for enhanced operational </w:t>
      </w:r>
      <w:r w:rsidRPr="00E3562B">
        <w:rPr>
          <w:lang w:val="en-GB" w:eastAsia="en-GB"/>
        </w:rPr>
        <w:lastRenderedPageBreak/>
        <w:t>execution and outcome assessment. This discrepancy between policy disclosure and effective implementation underscores the need for a more integrated approach. Companies must ensure that anti-slavery policies are translated into practice through robust due diligence processes and that the outcomes are rigorously measured and reported.</w:t>
      </w:r>
      <w:r w:rsidRPr="00E3562B">
        <w:rPr>
          <w:vanish/>
          <w:lang w:val="en-GB" w:eastAsia="en-GB"/>
        </w:rPr>
        <w:t>Top of Form</w:t>
      </w:r>
    </w:p>
    <w:p w14:paraId="20AAA96C" w14:textId="77777777" w:rsidR="00A60DA1" w:rsidRPr="00E3562B" w:rsidRDefault="00A60DA1" w:rsidP="00A60DA1">
      <w:pPr>
        <w:rPr>
          <w:lang w:val="en-GB" w:eastAsia="en-GB"/>
        </w:rPr>
      </w:pPr>
    </w:p>
    <w:p w14:paraId="4E3257E5" w14:textId="77777777" w:rsidR="00A60DA1" w:rsidRPr="00E3562B" w:rsidRDefault="00A60DA1" w:rsidP="00A60DA1">
      <w:pPr>
        <w:jc w:val="center"/>
        <w:rPr>
          <w:b/>
          <w:bCs/>
          <w:lang w:val="en-GB"/>
        </w:rPr>
      </w:pPr>
      <w:r w:rsidRPr="00E3562B">
        <w:rPr>
          <w:b/>
          <w:bCs/>
          <w:lang w:val="en-GB"/>
        </w:rPr>
        <w:t>[Insert Table 3 here]</w:t>
      </w:r>
    </w:p>
    <w:p w14:paraId="7BE3436E" w14:textId="73007EE5" w:rsidR="00096E21" w:rsidRPr="00E3562B" w:rsidRDefault="00A60DA1" w:rsidP="00A60DA1">
      <w:pPr>
        <w:rPr>
          <w:lang w:val="en-GB"/>
        </w:rPr>
      </w:pPr>
      <w:r w:rsidRPr="00E3562B">
        <w:rPr>
          <w:lang w:val="en-GB"/>
        </w:rPr>
        <w:t xml:space="preserve">Table 4 presents the descriptive statistics for all independent and control variables. For CEO power (CEOP), the mean is 0.586, with a median of 1.00, indicating a moderate and variable level of CEO power across firms, as shown by the standard deviation of 0.561. The mean value of CEO duality (DUALITY) is 0.043, reflecting that only 4.3% of firms have the CEO also serving as the chairman. </w:t>
      </w:r>
      <w:r w:rsidR="00096E21" w:rsidRPr="00E3562B">
        <w:rPr>
          <w:lang w:val="en-GB"/>
        </w:rPr>
        <w:t>The mean value of executives on the board (EXEC) is 0.562, indicating that just over half of the firms have a higher proportion of executives on their boards. There are 1</w:t>
      </w:r>
      <w:r w:rsidR="00117DF6" w:rsidRPr="00E3562B">
        <w:rPr>
          <w:lang w:val="en-GB"/>
        </w:rPr>
        <w:t>83</w:t>
      </w:r>
      <w:r w:rsidR="00096E21" w:rsidRPr="00E3562B">
        <w:rPr>
          <w:lang w:val="en-GB"/>
        </w:rPr>
        <w:t xml:space="preserve"> firm-year observations below the median, and 2</w:t>
      </w:r>
      <w:r w:rsidR="00117DF6" w:rsidRPr="00E3562B">
        <w:rPr>
          <w:lang w:val="en-GB"/>
        </w:rPr>
        <w:t>34</w:t>
      </w:r>
      <w:r w:rsidR="00096E21" w:rsidRPr="00E3562B">
        <w:rPr>
          <w:lang w:val="en-GB"/>
        </w:rPr>
        <w:t xml:space="preserve"> above the median.</w:t>
      </w:r>
    </w:p>
    <w:p w14:paraId="74739127" w14:textId="77777777" w:rsidR="00A60DA1" w:rsidRPr="00E3562B" w:rsidRDefault="00A60DA1" w:rsidP="00A60DA1">
      <w:pPr>
        <w:rPr>
          <w:lang w:val="en-GB"/>
        </w:rPr>
      </w:pPr>
    </w:p>
    <w:p w14:paraId="10947E08" w14:textId="1D18F821" w:rsidR="00A60DA1" w:rsidRPr="00E3562B" w:rsidRDefault="00A60DA1" w:rsidP="00A60DA1">
      <w:pPr>
        <w:rPr>
          <w:lang w:val="en-GB"/>
        </w:rPr>
      </w:pPr>
      <w:r w:rsidRPr="00E3562B">
        <w:rPr>
          <w:lang w:val="en-GB"/>
        </w:rPr>
        <w:t>In terms of BGD, the average percentage of female directors is 29.84%, with nearly 30% of board seats occupied by women, indicating a moderate level of gender diversity. This is further supported by Blau’s Index of Diversity (BLAU) with a mean of 0.402 and a median of 0.42, paired with a low standard deviation, which suggests a consistent level of female representation across the boards. For detailed female director representation: FD1 (≤10%) indicates only a small fraction of boards meet this criterion, FD2 (10%-20%) shows about 22.8% of firms are in this range, FD3 (20%-30%) suggests that a third of firms fall into this category, while FD4 (&gt;30%) shows that a significant portion, with a mean of 37.80%, have more substantial female representation.</w:t>
      </w:r>
    </w:p>
    <w:p w14:paraId="2BB3ABEF" w14:textId="77777777" w:rsidR="00A60DA1" w:rsidRPr="00E3562B" w:rsidRDefault="00A60DA1" w:rsidP="00A60DA1">
      <w:pPr>
        <w:rPr>
          <w:lang w:val="en-GB"/>
        </w:rPr>
      </w:pPr>
    </w:p>
    <w:p w14:paraId="26D7BE0D" w14:textId="77777777" w:rsidR="00A60DA1" w:rsidRPr="00E3562B" w:rsidRDefault="00A60DA1" w:rsidP="00A60DA1">
      <w:pPr>
        <w:spacing w:after="160"/>
        <w:rPr>
          <w:rFonts w:eastAsia="Aptos"/>
          <w:kern w:val="2"/>
          <w:szCs w:val="24"/>
          <w:lang w:val="en-GB"/>
          <w14:ligatures w14:val="standardContextual"/>
        </w:rPr>
      </w:pPr>
      <w:r w:rsidRPr="00E3562B">
        <w:rPr>
          <w:rFonts w:eastAsia="Aptos"/>
          <w:kern w:val="2"/>
          <w:szCs w:val="24"/>
          <w:lang w:val="en-GB"/>
          <w14:ligatures w14:val="standardContextual"/>
        </w:rPr>
        <w:t xml:space="preserve">Turning to the control variables, the average firm's total assets (FSIZE) are 16.581, with a median of 16.33. The mean return on assets (ROA) is 7.29%, with a median of 6.23%. The </w:t>
      </w:r>
      <w:r w:rsidRPr="00E3562B">
        <w:rPr>
          <w:rFonts w:eastAsia="Aptos"/>
          <w:kern w:val="2"/>
          <w:szCs w:val="24"/>
          <w:lang w:val="en-GB"/>
          <w14:ligatures w14:val="standardContextual"/>
        </w:rPr>
        <w:lastRenderedPageBreak/>
        <w:t>relatively high standard deviation of 6.592% points to significant variability in profitability across firms. The mean leverage ratio (LEV) is 25.71%, with a median of 26.54%. The mean board size (BSIZE) is 10.338 directors, with a median of 10.00. The average percentage of independent directors on the board (BINDE) is 66.11%, with a median of 66.67%, implying that most boards have a significant proportion of independent directors. The mean market-to-book ratio (MTBV) is 5.152, but exhibits a high variability, pointing to diverse growth opportunities among the sampled firms. Finally, the mean value of the CSR sustainability committee (CSRCOM) is 0.881, with a median of 1.00, indicating that most firms have a CSR sustainability committee.</w:t>
      </w:r>
    </w:p>
    <w:p w14:paraId="3DA2C47A" w14:textId="77777777" w:rsidR="00A60DA1" w:rsidRPr="00E3562B" w:rsidRDefault="00A60DA1" w:rsidP="00A60DA1">
      <w:pPr>
        <w:jc w:val="center"/>
        <w:rPr>
          <w:b/>
          <w:bCs/>
          <w:lang w:val="en-GB"/>
        </w:rPr>
      </w:pPr>
      <w:r w:rsidRPr="00E3562B">
        <w:rPr>
          <w:b/>
          <w:bCs/>
          <w:lang w:val="en-GB"/>
        </w:rPr>
        <w:t>[Insert Table 4 here]</w:t>
      </w:r>
    </w:p>
    <w:p w14:paraId="2858484D" w14:textId="06D76FB1" w:rsidR="00A60DA1" w:rsidRPr="00E3562B" w:rsidRDefault="00A60DA1" w:rsidP="00A60DA1">
      <w:pPr>
        <w:rPr>
          <w:lang w:val="en-GB"/>
        </w:rPr>
      </w:pPr>
      <w:r w:rsidRPr="00E3562B">
        <w:rPr>
          <w:lang w:val="en-GB"/>
        </w:rPr>
        <w:t xml:space="preserve">Table 5 presents the Pearson correlations between the dependent, independent, and control variables. The results reveal a significant negative relationship between CEOP and MSDI, indicating that higher CEO power is associated with lower MSDI. Conversely, BGD is found to be positively related to MSDI, suggesting that greater gender diversity on boards is associated with higher </w:t>
      </w:r>
      <w:r w:rsidR="00317A99" w:rsidRPr="00E3562B">
        <w:rPr>
          <w:lang w:val="en-GB"/>
        </w:rPr>
        <w:t>MSD</w:t>
      </w:r>
      <w:r w:rsidRPr="00E3562B">
        <w:rPr>
          <w:lang w:val="en-GB"/>
        </w:rPr>
        <w:t>. In addition, the low correlation coefficients among the independent and control variables suggest minimal risk of multicollinearity, which is further supported by variance inflation factor (VIF) calculations. These VIF values</w:t>
      </w:r>
      <w:r w:rsidR="00D43922">
        <w:rPr>
          <w:lang w:val="en-GB"/>
        </w:rPr>
        <w:t xml:space="preserve"> (not reported)</w:t>
      </w:r>
      <w:r w:rsidRPr="00E3562B">
        <w:rPr>
          <w:lang w:val="en-GB"/>
        </w:rPr>
        <w:t xml:space="preserve"> all fall below the threshold of 2, confirming the absence of significant multicollinearity concerns in our analysis.</w:t>
      </w:r>
    </w:p>
    <w:p w14:paraId="5DDA6C7D" w14:textId="77777777" w:rsidR="00A60DA1" w:rsidRPr="00E3562B" w:rsidRDefault="00A60DA1" w:rsidP="00A60DA1">
      <w:pPr>
        <w:spacing w:line="360" w:lineRule="auto"/>
        <w:jc w:val="center"/>
        <w:rPr>
          <w:b/>
          <w:bCs/>
          <w:szCs w:val="24"/>
          <w:lang w:val="en-GB"/>
        </w:rPr>
      </w:pPr>
      <w:r w:rsidRPr="00E3562B">
        <w:rPr>
          <w:b/>
          <w:bCs/>
          <w:szCs w:val="24"/>
          <w:lang w:val="en-GB"/>
        </w:rPr>
        <w:t>[Insert Table 5 here]</w:t>
      </w:r>
    </w:p>
    <w:p w14:paraId="1F80F24B" w14:textId="77777777" w:rsidR="00A60DA1" w:rsidRPr="00E3562B" w:rsidRDefault="00A60DA1" w:rsidP="00A60DA1">
      <w:pPr>
        <w:spacing w:line="360" w:lineRule="auto"/>
        <w:jc w:val="center"/>
        <w:rPr>
          <w:b/>
          <w:bCs/>
          <w:szCs w:val="24"/>
          <w:lang w:val="en-GB"/>
        </w:rPr>
      </w:pPr>
    </w:p>
    <w:p w14:paraId="30DBFCE4" w14:textId="77777777" w:rsidR="00A60DA1" w:rsidRPr="00E3562B" w:rsidRDefault="00A60DA1" w:rsidP="00A60DA1">
      <w:pPr>
        <w:keepNext/>
        <w:numPr>
          <w:ilvl w:val="1"/>
          <w:numId w:val="19"/>
        </w:numPr>
        <w:outlineLvl w:val="1"/>
        <w:rPr>
          <w:lang w:val="en-GB"/>
        </w:rPr>
      </w:pPr>
      <w:bookmarkStart w:id="11" w:name="_Hlk120821280"/>
      <w:r w:rsidRPr="00E3562B">
        <w:rPr>
          <w:b/>
          <w:bCs/>
          <w:sz w:val="26"/>
          <w:szCs w:val="26"/>
          <w:lang w:val="en-GB"/>
        </w:rPr>
        <w:t>Multivariate results and discussion</w:t>
      </w:r>
    </w:p>
    <w:p w14:paraId="028181E9" w14:textId="3DED9BCF" w:rsidR="00A60DA1" w:rsidRPr="00E3562B" w:rsidRDefault="00A60DA1" w:rsidP="00A60DA1">
      <w:pPr>
        <w:rPr>
          <w:lang w:val="en-GB"/>
        </w:rPr>
      </w:pPr>
      <w:r w:rsidRPr="00E3562B">
        <w:rPr>
          <w:lang w:val="en-GB"/>
        </w:rPr>
        <w:t xml:space="preserve">Table 6 shows the impact of CEO power and BGD on the </w:t>
      </w:r>
      <w:r w:rsidR="00D01F4E" w:rsidRPr="00E3562B">
        <w:rPr>
          <w:lang w:val="en-GB"/>
        </w:rPr>
        <w:t>extent</w:t>
      </w:r>
      <w:r w:rsidRPr="00E3562B">
        <w:rPr>
          <w:lang w:val="en-GB"/>
        </w:rPr>
        <w:t xml:space="preserve"> of MSD. The results from Models 1 and 3 reveal that the influence of CEO power is inversely significant at the 5% level, indicating that an increase in CEO power correlates with a decrease in MSD. This suggests that higher CEO power is associated with decreased </w:t>
      </w:r>
      <w:r w:rsidR="00317A99" w:rsidRPr="00E3562B">
        <w:rPr>
          <w:lang w:val="en-GB"/>
        </w:rPr>
        <w:t>MSD</w:t>
      </w:r>
      <w:r w:rsidRPr="00E3562B">
        <w:rPr>
          <w:lang w:val="en-GB"/>
        </w:rPr>
        <w:t xml:space="preserve">. This result supports our Hypothesis 1. </w:t>
      </w:r>
      <w:r w:rsidRPr="00E3562B">
        <w:rPr>
          <w:lang w:val="en-GB"/>
        </w:rPr>
        <w:lastRenderedPageBreak/>
        <w:t xml:space="preserve">Companies with more concentrated power in the hands of their CEOs may be less likely to disclose information about modern slavery risks. This finding </w:t>
      </w:r>
      <w:r w:rsidR="008B0C4F" w:rsidRPr="00E3562B">
        <w:rPr>
          <w:lang w:val="en-GB"/>
        </w:rPr>
        <w:t>aligns</w:t>
      </w:r>
      <w:r w:rsidRPr="00E3562B">
        <w:rPr>
          <w:lang w:val="en-GB"/>
        </w:rPr>
        <w:t xml:space="preserve"> with previous research indicating that CEO power negatively impacts CSR reporting and the adoption of integrated reporting practices (e.g., Byun &amp; Al-Shammari, 2021; Kwon et al., 2023; Rashid et al., 2020). CEOs with greater power are less likely to prioritise ethical decision-making and practices, which may reduce public scrutiny and lower reporting costs associated with MSD (</w:t>
      </w:r>
      <w:proofErr w:type="spellStart"/>
      <w:r w:rsidRPr="00E3562B">
        <w:rPr>
          <w:lang w:val="en-GB"/>
        </w:rPr>
        <w:t>Muttakin</w:t>
      </w:r>
      <w:proofErr w:type="spellEnd"/>
      <w:r w:rsidRPr="00E3562B">
        <w:rPr>
          <w:lang w:val="en-GB"/>
        </w:rPr>
        <w:t xml:space="preserve"> et al., 2018). This evidence also supports the agency theory, suggesting that influential CEOs may be less inclined to allocate resources towards CSR practices, particularly if such investments do not align with their interests. Hence, they are less motivated to make decisions related to modern slavery, which may conflict with stakeholders' interests.</w:t>
      </w:r>
    </w:p>
    <w:p w14:paraId="3D617B45" w14:textId="77777777" w:rsidR="00A60DA1" w:rsidRPr="00E3562B" w:rsidRDefault="00A60DA1" w:rsidP="00A60DA1">
      <w:pPr>
        <w:rPr>
          <w:lang w:val="en-GB"/>
        </w:rPr>
      </w:pPr>
    </w:p>
    <w:p w14:paraId="5FC2E5AD" w14:textId="31C07FF8" w:rsidR="00A60DA1" w:rsidRPr="00E3562B" w:rsidRDefault="00A60DA1" w:rsidP="00A60DA1">
      <w:pPr>
        <w:rPr>
          <w:lang w:val="en-GB"/>
        </w:rPr>
      </w:pPr>
      <w:r w:rsidRPr="00E3562B">
        <w:rPr>
          <w:lang w:val="en-GB"/>
        </w:rPr>
        <w:t xml:space="preserve">In addition, Models 2 and 3 of Table 6 reveal that BGD significantly correlates with MSDI, indicating that boards with greater gender diversity are more inclined towards transparent </w:t>
      </w:r>
      <w:r w:rsidR="00317A99" w:rsidRPr="00E3562B">
        <w:rPr>
          <w:lang w:val="en-GB"/>
        </w:rPr>
        <w:t>MSD</w:t>
      </w:r>
      <w:r w:rsidRPr="00E3562B">
        <w:rPr>
          <w:lang w:val="en-GB"/>
        </w:rPr>
        <w:t xml:space="preserve">. These results confirm Hypothesis 2, which posits a positive association between the presence of female directors on the board and the disclosure of modern slavery. This evidence aligns with prior research (e.g., </w:t>
      </w:r>
      <w:proofErr w:type="spellStart"/>
      <w:r w:rsidRPr="00E3562B">
        <w:rPr>
          <w:lang w:val="en-GB"/>
        </w:rPr>
        <w:t>Muttakin</w:t>
      </w:r>
      <w:proofErr w:type="spellEnd"/>
      <w:r w:rsidRPr="00E3562B">
        <w:rPr>
          <w:lang w:val="en-GB"/>
        </w:rPr>
        <w:t xml:space="preserve"> et al., 2022; Nadeem, 2022; </w:t>
      </w:r>
      <w:proofErr w:type="spellStart"/>
      <w:r w:rsidRPr="00E3562B">
        <w:rPr>
          <w:lang w:val="en-GB"/>
        </w:rPr>
        <w:t>Nekhili</w:t>
      </w:r>
      <w:proofErr w:type="spellEnd"/>
      <w:r w:rsidRPr="00E3562B">
        <w:rPr>
          <w:lang w:val="en-GB"/>
        </w:rPr>
        <w:t xml:space="preserve"> et al., 2017) that suggests gender-diverse boards positively influence corporate transparency and ethical practices</w:t>
      </w:r>
      <w:bookmarkEnd w:id="11"/>
      <w:r w:rsidRPr="00E3562B">
        <w:rPr>
          <w:lang w:val="en-GB"/>
        </w:rPr>
        <w:t xml:space="preserve">. For example, studies by Cumming et al. </w:t>
      </w:r>
      <w:r w:rsidR="00726311" w:rsidRPr="00E3562B">
        <w:rPr>
          <w:noProof/>
          <w:lang w:val="en-GB"/>
        </w:rPr>
        <w:t>(2015)</w:t>
      </w:r>
      <w:r w:rsidRPr="00E3562B">
        <w:rPr>
          <w:lang w:val="en-GB"/>
        </w:rPr>
        <w:t xml:space="preserve"> and Wahid </w:t>
      </w:r>
      <w:r w:rsidR="00726311" w:rsidRPr="00E3562B">
        <w:rPr>
          <w:noProof/>
          <w:lang w:val="en-GB"/>
        </w:rPr>
        <w:t>(2019)</w:t>
      </w:r>
      <w:r w:rsidRPr="00E3562B">
        <w:rPr>
          <w:lang w:val="en-GB"/>
        </w:rPr>
        <w:t xml:space="preserve"> suggest that higher representation of females on corporate boards leads to lower unethical practices such as financial misconduct and environmental violations, supporting the notion that female directors, driven by communal values and ethical considerations, play a pivotal role in advocating against such malpractices. This evidence also supports gender socialisation theory, suggesting women board members, driven by communal values and ethics, are proactive against unethical practices, promoting greater transparency, especially concerning modern slavery issues (Gull et al., 2018). </w:t>
      </w:r>
    </w:p>
    <w:p w14:paraId="52F205FF" w14:textId="77777777" w:rsidR="00A60DA1" w:rsidRPr="00E3562B" w:rsidRDefault="00A60DA1" w:rsidP="00A60DA1">
      <w:pPr>
        <w:spacing w:line="360" w:lineRule="auto"/>
        <w:jc w:val="center"/>
        <w:rPr>
          <w:b/>
          <w:bCs/>
          <w:szCs w:val="24"/>
          <w:lang w:val="en-GB"/>
        </w:rPr>
      </w:pPr>
      <w:r w:rsidRPr="00E3562B">
        <w:rPr>
          <w:b/>
          <w:bCs/>
          <w:szCs w:val="24"/>
          <w:lang w:val="en-GB"/>
        </w:rPr>
        <w:lastRenderedPageBreak/>
        <w:t>[Insert Table 6 here]</w:t>
      </w:r>
    </w:p>
    <w:p w14:paraId="29DCF3E9" w14:textId="77777777" w:rsidR="00A60DA1" w:rsidRPr="00E3562B" w:rsidRDefault="00A60DA1" w:rsidP="00A60DA1">
      <w:pPr>
        <w:spacing w:line="360" w:lineRule="auto"/>
        <w:jc w:val="center"/>
        <w:rPr>
          <w:b/>
          <w:bCs/>
          <w:szCs w:val="24"/>
          <w:lang w:val="en-GB"/>
        </w:rPr>
      </w:pPr>
    </w:p>
    <w:p w14:paraId="1C85F72E" w14:textId="36EEEC28" w:rsidR="00A60DA1" w:rsidRPr="00E3562B" w:rsidRDefault="00A60DA1" w:rsidP="00A60DA1">
      <w:pPr>
        <w:rPr>
          <w:lang w:val="en-GB"/>
        </w:rPr>
      </w:pPr>
      <w:r w:rsidRPr="00E3562B">
        <w:rPr>
          <w:lang w:val="en-GB"/>
        </w:rPr>
        <w:t xml:space="preserve">For a more detailed analysis, Table 7 segments the overall MSD score into seven specific sub-indices that comprise our MSDI. The results from Models 2 through 5 indicate a significant and negative impact of CEO authority on several disclosure dimensions, including policies (β = -0.101, p &lt; .01), due diligence (β = -0.040, p &lt; .05), risk assessment and management (β = -0.052, p &lt; .10), and KPIs (β = -0.056, p &lt; .10). For example, due diligence is most negatively affected by CEO power, indicating that greater CEO power could impede the disclosure of the development and implementation of due diligence processes. The findings indicate that CEO influence on </w:t>
      </w:r>
      <w:r w:rsidR="00317A99" w:rsidRPr="00E3562B">
        <w:rPr>
          <w:lang w:val="en-GB"/>
        </w:rPr>
        <w:t>MSD</w:t>
      </w:r>
      <w:r w:rsidRPr="00E3562B">
        <w:rPr>
          <w:lang w:val="en-GB"/>
        </w:rPr>
        <w:t xml:space="preserve"> varies, reflecting the complex impact of leadership on the transparency of efforts to address modern slavery in corporate practices. This highlights the significance of executive leadership in influencing corporate practices related to reporting and managing initiatives against slavery. On the other hand, BGD exhibits a positive relationship with all categories of MSD except the disclosure of organisation structure as detailed in Table 7 across Models 2 to 7. We find that the strongest relationship with BGD is observed in the disclosure of KPIs category, highlighting the beneficial impact of enhancing female representation on corporate boards on the overall efficacy of MSD initiatives, especially in tracking and measuring effectiveness.</w:t>
      </w:r>
    </w:p>
    <w:p w14:paraId="5A6868C4" w14:textId="77777777" w:rsidR="00A60DA1" w:rsidRPr="00E3562B" w:rsidRDefault="00A60DA1" w:rsidP="00A60DA1">
      <w:pPr>
        <w:rPr>
          <w:b/>
          <w:bCs/>
          <w:lang w:val="en-GB"/>
        </w:rPr>
      </w:pPr>
      <w:r w:rsidRPr="00E3562B">
        <w:rPr>
          <w:lang w:val="en-GB"/>
        </w:rPr>
        <w:t xml:space="preserve">                                    </w:t>
      </w:r>
      <w:r w:rsidRPr="00E3562B">
        <w:rPr>
          <w:b/>
          <w:bCs/>
          <w:szCs w:val="24"/>
          <w:lang w:val="en-GB"/>
        </w:rPr>
        <w:tab/>
      </w:r>
      <w:r w:rsidRPr="00E3562B">
        <w:rPr>
          <w:b/>
          <w:bCs/>
          <w:szCs w:val="24"/>
          <w:lang w:val="en-GB"/>
        </w:rPr>
        <w:tab/>
      </w:r>
      <w:r w:rsidRPr="00E3562B">
        <w:rPr>
          <w:b/>
          <w:bCs/>
          <w:lang w:val="en-GB"/>
        </w:rPr>
        <w:t>[Insert Table 7 here]</w:t>
      </w:r>
    </w:p>
    <w:p w14:paraId="728804DC" w14:textId="77777777" w:rsidR="00A60DA1" w:rsidRPr="00E3562B" w:rsidRDefault="00A60DA1" w:rsidP="00A60DA1">
      <w:pPr>
        <w:rPr>
          <w:b/>
          <w:bCs/>
          <w:lang w:val="en-GB"/>
        </w:rPr>
      </w:pPr>
    </w:p>
    <w:p w14:paraId="672F6E12" w14:textId="13D5BE31" w:rsidR="00A60DA1" w:rsidRPr="00E3562B" w:rsidRDefault="00A60DA1" w:rsidP="00A60DA1">
      <w:pPr>
        <w:pStyle w:val="Heading2"/>
        <w:rPr>
          <w:lang w:val="en-GB"/>
        </w:rPr>
      </w:pPr>
      <w:r w:rsidRPr="00E3562B">
        <w:rPr>
          <w:lang w:val="en-GB"/>
        </w:rPr>
        <w:t xml:space="preserve">Moderating effect of </w:t>
      </w:r>
      <w:r w:rsidR="00E425F5" w:rsidRPr="00E3562B">
        <w:rPr>
          <w:lang w:val="en-GB"/>
        </w:rPr>
        <w:t>BGD</w:t>
      </w:r>
    </w:p>
    <w:p w14:paraId="219E9603" w14:textId="2A94B87A" w:rsidR="00A60DA1" w:rsidRPr="00E3562B" w:rsidRDefault="00A60DA1" w:rsidP="00A60DA1">
      <w:pPr>
        <w:spacing w:after="160"/>
        <w:rPr>
          <w:rFonts w:eastAsia="Aptos"/>
          <w:kern w:val="2"/>
          <w:szCs w:val="24"/>
          <w:lang w:val="en-GB"/>
          <w14:ligatures w14:val="standardContextual"/>
        </w:rPr>
      </w:pPr>
      <w:r w:rsidRPr="00E3562B">
        <w:rPr>
          <w:szCs w:val="24"/>
          <w:lang w:val="en-GB"/>
        </w:rPr>
        <w:t>In this section, we investigate the moderating influence of BGD on the association between CEO power and the extent of MSD, as shown in Models 1-5 of Table 8.</w:t>
      </w:r>
      <w:r w:rsidRPr="00E3562B">
        <w:rPr>
          <w:lang w:val="en-GB"/>
        </w:rPr>
        <w:t xml:space="preserve"> </w:t>
      </w:r>
      <w:r w:rsidRPr="00E3562B">
        <w:rPr>
          <w:szCs w:val="24"/>
          <w:lang w:val="en-GB"/>
        </w:rPr>
        <w:t xml:space="preserve">Model 1 shows that the coefficient for the interaction term (CEOP * BGD) is statistically significant and positive, suggesting that the effect of CEO power on MSD is more pronounced in boards with a higher proportion of female directors. This finding confirms Hypothesis 3, suggesting that the </w:t>
      </w:r>
      <w:r w:rsidRPr="00E3562B">
        <w:rPr>
          <w:szCs w:val="24"/>
          <w:lang w:val="en-GB"/>
        </w:rPr>
        <w:lastRenderedPageBreak/>
        <w:t xml:space="preserve">interaction between CEO power and BGD positively affects MSD. This evidence aligns with prior research </w:t>
      </w:r>
      <w:r w:rsidR="00F34C73" w:rsidRPr="00E3562B">
        <w:rPr>
          <w:lang w:val="en-GB"/>
        </w:rPr>
        <w:t>(Adams &amp; Ferreira, 2009; Ting &amp; Huang, 2018)</w:t>
      </w:r>
      <w:r w:rsidRPr="00E3562B">
        <w:rPr>
          <w:szCs w:val="24"/>
          <w:lang w:val="en-GB"/>
        </w:rPr>
        <w:t xml:space="preserve"> </w:t>
      </w:r>
      <w:r w:rsidRPr="00E3562B">
        <w:rPr>
          <w:rFonts w:eastAsia="Aptos"/>
          <w:kern w:val="2"/>
          <w:szCs w:val="24"/>
          <w:lang w:val="en-GB"/>
          <w14:ligatures w14:val="standardContextual"/>
        </w:rPr>
        <w:t>on the effectiveness of gender-diverse boards in monitoring performance and curbing CEO dominance, thus influencing corporate disclosure.</w:t>
      </w:r>
    </w:p>
    <w:p w14:paraId="318BCE45" w14:textId="2AC29592" w:rsidR="00726311" w:rsidRPr="00E3562B" w:rsidRDefault="00A60DA1" w:rsidP="00A60DA1">
      <w:pPr>
        <w:spacing w:after="160"/>
        <w:rPr>
          <w:rFonts w:eastAsia="Aptos"/>
          <w:kern w:val="2"/>
          <w:szCs w:val="24"/>
          <w:lang w:val="en-GB"/>
          <w14:ligatures w14:val="standardContextual"/>
        </w:rPr>
      </w:pPr>
      <w:r w:rsidRPr="00E3562B">
        <w:rPr>
          <w:szCs w:val="24"/>
          <w:lang w:val="en-GB"/>
        </w:rPr>
        <w:t xml:space="preserve">We further explore the moderating influence of different proportions of female directors on the board on the relationship between CEO power and the extent of MSD, as shown in Models 2-5 of Table 8. This analysis incorporates four binary variables: FD1, FD2, FD3, and FD4 (see Table 2 for details) to gauge the critical mass effect. </w:t>
      </w:r>
      <w:r w:rsidRPr="00E3562B">
        <w:rPr>
          <w:rFonts w:eastAsia="Aptos"/>
          <w:kern w:val="2"/>
          <w:szCs w:val="24"/>
          <w:lang w:val="en-GB"/>
          <w14:ligatures w14:val="standardContextual"/>
        </w:rPr>
        <w:t>Model 2 reveals a negative and significant correlation (at the 1% level) between the interaction term (CEOP * FD1) and the extent of MSD, indicating that CEO dominance adversely affects MSD disclosures in scenarios where the percentage of female directors on the board is ≤10%. This suggests that the sole female director may have a symbolic rather than substantive influence, unable to effectively challenge CEO decisions about modern slavery. This finding aligns with tokenism theory</w:t>
      </w:r>
      <w:r w:rsidR="00726311" w:rsidRPr="00E3562B">
        <w:rPr>
          <w:rFonts w:eastAsia="Aptos"/>
          <w:kern w:val="2"/>
          <w:szCs w:val="24"/>
          <w:lang w:val="en-GB"/>
          <w14:ligatures w14:val="standardContextual"/>
        </w:rPr>
        <w:t xml:space="preserve"> </w:t>
      </w:r>
      <w:r w:rsidR="00726311" w:rsidRPr="00E3562B">
        <w:rPr>
          <w:rFonts w:eastAsia="Aptos"/>
          <w:noProof/>
          <w:kern w:val="2"/>
          <w:szCs w:val="24"/>
          <w:lang w:val="en-GB"/>
          <w14:ligatures w14:val="standardContextual"/>
        </w:rPr>
        <w:t>(Kanter, 1977)</w:t>
      </w:r>
      <w:r w:rsidRPr="00E3562B">
        <w:rPr>
          <w:rFonts w:eastAsia="Aptos"/>
          <w:kern w:val="2"/>
          <w:szCs w:val="24"/>
          <w:lang w:val="en-GB"/>
          <w14:ligatures w14:val="standardContextual"/>
        </w:rPr>
        <w:t>, which suggests that women or other underrepresented groups in leadership positions may be perceived as "tokens" when their numbers are low. This leads to increased scrutiny and pressure, often preventing them from effectively challenging dominant group norms and influencing decision-making.</w:t>
      </w:r>
    </w:p>
    <w:p w14:paraId="48F9E763" w14:textId="0DEFB72C" w:rsidR="00A60DA1" w:rsidRPr="00E3562B" w:rsidRDefault="00A60DA1" w:rsidP="00A60DA1">
      <w:pPr>
        <w:spacing w:after="160"/>
        <w:rPr>
          <w:rFonts w:asciiTheme="majorBidi" w:eastAsia="Aptos" w:hAnsiTheme="majorBidi" w:cstheme="majorBidi"/>
          <w:kern w:val="2"/>
          <w:szCs w:val="24"/>
          <w:lang w:val="en-GB"/>
          <w14:ligatures w14:val="standardContextual"/>
        </w:rPr>
      </w:pPr>
      <w:r w:rsidRPr="00E3562B">
        <w:rPr>
          <w:rFonts w:asciiTheme="majorBidi" w:eastAsia="Aptos" w:hAnsiTheme="majorBidi" w:cstheme="majorBidi"/>
          <w:kern w:val="2"/>
          <w:szCs w:val="24"/>
          <w:lang w:val="en-GB"/>
          <w14:ligatures w14:val="standardContextual"/>
        </w:rPr>
        <w:t xml:space="preserve">In addition, the results presented in Model 3 do not show a significant impact of having 10%-20% female directors on the board on the CEO power-MSD relationship. This finding is consistent with Wahid </w:t>
      </w:r>
      <w:r w:rsidR="00726311" w:rsidRPr="00E3562B">
        <w:rPr>
          <w:rFonts w:asciiTheme="majorBidi" w:eastAsia="Aptos" w:hAnsiTheme="majorBidi" w:cstheme="majorBidi"/>
          <w:noProof/>
          <w:kern w:val="2"/>
          <w:szCs w:val="24"/>
          <w:lang w:val="en-GB"/>
          <w14:ligatures w14:val="standardContextual"/>
        </w:rPr>
        <w:t>(2019)</w:t>
      </w:r>
      <w:r w:rsidRPr="00E3562B">
        <w:rPr>
          <w:rFonts w:asciiTheme="majorBidi" w:eastAsia="Aptos" w:hAnsiTheme="majorBidi" w:cstheme="majorBidi"/>
          <w:kern w:val="2"/>
          <w:szCs w:val="24"/>
          <w:lang w:val="en-GB"/>
          <w14:ligatures w14:val="standardContextual"/>
        </w:rPr>
        <w:t>, suggesting that the presence of two female directors may exacerbate cognitive conflicts without enhancing board cohesion or effectiveness in challenging CEO decisions on modern slavery issues. Similarly, Model 4 does not show a significant impact of having 20%-30% female directors on the CEO power-MSD relationship.</w:t>
      </w:r>
    </w:p>
    <w:p w14:paraId="08E8B555" w14:textId="77777777" w:rsidR="00726311" w:rsidRPr="00E3562B" w:rsidRDefault="00726311" w:rsidP="00A60DA1">
      <w:pPr>
        <w:spacing w:after="160"/>
        <w:rPr>
          <w:rFonts w:asciiTheme="majorBidi" w:eastAsia="Aptos" w:hAnsiTheme="majorBidi" w:cstheme="majorBidi"/>
          <w:kern w:val="2"/>
          <w:szCs w:val="24"/>
          <w:lang w:val="en-GB"/>
          <w14:ligatures w14:val="standardContextual"/>
        </w:rPr>
      </w:pPr>
    </w:p>
    <w:p w14:paraId="362EA49F" w14:textId="54D50AAC" w:rsidR="00A60DA1" w:rsidRPr="00E3562B" w:rsidRDefault="00A60DA1" w:rsidP="00A60DA1">
      <w:pPr>
        <w:tabs>
          <w:tab w:val="left" w:pos="2310"/>
          <w:tab w:val="center" w:pos="4532"/>
        </w:tabs>
        <w:rPr>
          <w:rFonts w:eastAsia="Aptos"/>
          <w:kern w:val="2"/>
          <w:szCs w:val="24"/>
          <w:lang w:val="en-GB"/>
          <w14:ligatures w14:val="standardContextual"/>
        </w:rPr>
      </w:pPr>
      <w:r w:rsidRPr="00E3562B">
        <w:rPr>
          <w:szCs w:val="24"/>
          <w:lang w:val="en-GB"/>
        </w:rPr>
        <w:lastRenderedPageBreak/>
        <w:t xml:space="preserve">Nevertheless, </w:t>
      </w:r>
      <w:r w:rsidRPr="00E3562B">
        <w:rPr>
          <w:rFonts w:eastAsia="Aptos"/>
          <w:kern w:val="2"/>
          <w:szCs w:val="24"/>
          <w:lang w:val="en-GB"/>
          <w14:ligatures w14:val="standardContextual"/>
        </w:rPr>
        <w:t xml:space="preserve">Model 5 shows that a board composition with more than 30% of female directors (FD4) significantly enhances the CEO power-MSD relationship in a positive manner, thus supporting Hypothesis 3. While MSD generally decreases with an increase in CEO power, this relationship shifts positively with substantial female representation on the board. This finding corroborates prior research </w:t>
      </w:r>
      <w:r w:rsidR="008A2CDF" w:rsidRPr="00E3562B">
        <w:rPr>
          <w:lang w:val="en-GB"/>
        </w:rPr>
        <w:t>(e.g., Cabeza‐García et al., 2018; Lucas-Pérez et al., 2015)</w:t>
      </w:r>
      <w:r w:rsidRPr="00E3562B">
        <w:rPr>
          <w:rFonts w:eastAsia="Aptos"/>
          <w:kern w:val="2"/>
          <w:szCs w:val="24"/>
          <w:lang w:val="en-GB"/>
          <w14:ligatures w14:val="standardContextual"/>
        </w:rPr>
        <w:t>, which advocates for a critical threshold of female board representation to influence board deliberations effectively, including those pertaining to corporate disclosures. A substantial presence of women on the board presumably brings greater ethical sensitivity, thereby neutralizing CEO dominance and fostering more robust disclosure practices.</w:t>
      </w:r>
    </w:p>
    <w:p w14:paraId="366E3191" w14:textId="77777777" w:rsidR="00A60DA1" w:rsidRPr="00E3562B" w:rsidRDefault="00A60DA1" w:rsidP="00A60DA1">
      <w:pPr>
        <w:tabs>
          <w:tab w:val="left" w:pos="2310"/>
          <w:tab w:val="center" w:pos="4532"/>
        </w:tabs>
        <w:rPr>
          <w:rFonts w:eastAsia="Aptos"/>
          <w:kern w:val="2"/>
          <w:szCs w:val="24"/>
          <w:lang w:val="en-GB"/>
          <w14:ligatures w14:val="standardContextual"/>
        </w:rPr>
      </w:pPr>
    </w:p>
    <w:p w14:paraId="3C705E4B" w14:textId="083210A4" w:rsidR="00A60DA1" w:rsidRPr="00E3562B" w:rsidRDefault="00A60DA1" w:rsidP="00F56100">
      <w:pPr>
        <w:rPr>
          <w:rFonts w:eastAsia="Aptos"/>
          <w:lang w:val="en-GB"/>
        </w:rPr>
      </w:pPr>
      <w:r w:rsidRPr="00E3562B">
        <w:rPr>
          <w:rFonts w:eastAsia="Aptos"/>
          <w:lang w:val="en-GB"/>
        </w:rPr>
        <w:t xml:space="preserve">Overall, the results indicate that a critical mass of women (&gt;30%) is necessary to moderate the relationship between CEO power and </w:t>
      </w:r>
      <w:r w:rsidR="00317A99" w:rsidRPr="00E3562B">
        <w:rPr>
          <w:rFonts w:eastAsia="Aptos"/>
          <w:lang w:val="en-GB"/>
        </w:rPr>
        <w:t>MSD</w:t>
      </w:r>
      <w:r w:rsidRPr="00E3562B">
        <w:rPr>
          <w:rFonts w:eastAsia="Aptos"/>
          <w:lang w:val="en-GB"/>
        </w:rPr>
        <w:t xml:space="preserve"> effectively, consistent with the critical mass theory. </w:t>
      </w:r>
      <w:r w:rsidR="00EF6464" w:rsidRPr="00E3562B">
        <w:rPr>
          <w:rFonts w:eastAsia="Aptos"/>
          <w:lang w:val="en-GB"/>
        </w:rPr>
        <w:t>These results are consistent with prior research</w:t>
      </w:r>
      <w:r w:rsidR="00EF6464" w:rsidRPr="00E3562B">
        <w:rPr>
          <w:lang w:val="en-GB"/>
        </w:rPr>
        <w:t xml:space="preserve"> indicating that the critical mass should be around 30-35% </w:t>
      </w:r>
      <w:r w:rsidR="00317A99" w:rsidRPr="00E3562B">
        <w:rPr>
          <w:lang w:val="en-GB"/>
        </w:rPr>
        <w:t>(</w:t>
      </w:r>
      <w:proofErr w:type="spellStart"/>
      <w:r w:rsidR="00317A99" w:rsidRPr="00E3562B">
        <w:rPr>
          <w:lang w:val="en-GB"/>
        </w:rPr>
        <w:t>Dobija</w:t>
      </w:r>
      <w:proofErr w:type="spellEnd"/>
      <w:r w:rsidR="00317A99" w:rsidRPr="00E3562B">
        <w:rPr>
          <w:lang w:val="en-GB"/>
        </w:rPr>
        <w:t xml:space="preserve"> et al., 2022; Joecks et al., 2013; Khatri, 2023; </w:t>
      </w:r>
      <w:proofErr w:type="spellStart"/>
      <w:r w:rsidR="00317A99" w:rsidRPr="00E3562B">
        <w:rPr>
          <w:lang w:val="en-GB"/>
        </w:rPr>
        <w:t>Kinateder</w:t>
      </w:r>
      <w:proofErr w:type="spellEnd"/>
      <w:r w:rsidR="00317A99" w:rsidRPr="00E3562B">
        <w:rPr>
          <w:lang w:val="en-GB"/>
        </w:rPr>
        <w:t xml:space="preserve"> et al., 2021)</w:t>
      </w:r>
      <w:r w:rsidR="00EF6464" w:rsidRPr="00E3562B">
        <w:rPr>
          <w:rFonts w:eastAsia="Aptos"/>
          <w:lang w:val="en-GB"/>
        </w:rPr>
        <w:t>.</w:t>
      </w:r>
      <w:r w:rsidR="0041437B" w:rsidRPr="00E3562B">
        <w:rPr>
          <w:rFonts w:eastAsia="Aptos"/>
          <w:lang w:val="en-GB"/>
        </w:rPr>
        <w:t xml:space="preserve"> </w:t>
      </w:r>
      <w:r w:rsidRPr="00E3562B">
        <w:rPr>
          <w:rFonts w:eastAsia="Aptos"/>
          <w:lang w:val="en-GB"/>
        </w:rPr>
        <w:t>This finding emphasizes that while token female directors may struggle to challenge CEO dominance, a significant presence of women on the board can neutralize CEO influence and encourage thorough disclosure practices.</w:t>
      </w:r>
    </w:p>
    <w:p w14:paraId="3DDE3C30" w14:textId="77777777" w:rsidR="00A60DA1" w:rsidRPr="00E3562B" w:rsidRDefault="00A60DA1" w:rsidP="00A60DA1">
      <w:pPr>
        <w:spacing w:before="240" w:after="240" w:line="360" w:lineRule="auto"/>
        <w:jc w:val="center"/>
        <w:rPr>
          <w:b/>
          <w:bCs/>
          <w:lang w:val="en-GB"/>
        </w:rPr>
      </w:pPr>
      <w:r w:rsidRPr="00E3562B">
        <w:rPr>
          <w:b/>
          <w:bCs/>
          <w:lang w:val="en-GB"/>
        </w:rPr>
        <w:t>[Insert Table 8 here]</w:t>
      </w:r>
    </w:p>
    <w:p w14:paraId="11B7C838" w14:textId="77777777" w:rsidR="00A60DA1" w:rsidRPr="00E3562B" w:rsidRDefault="00A60DA1" w:rsidP="00A60DA1">
      <w:pPr>
        <w:pStyle w:val="Heading2"/>
        <w:rPr>
          <w:lang w:val="en-GB"/>
        </w:rPr>
      </w:pPr>
      <w:r w:rsidRPr="00E3562B">
        <w:rPr>
          <w:lang w:val="en-GB"/>
        </w:rPr>
        <w:t>Additional analyses</w:t>
      </w:r>
    </w:p>
    <w:p w14:paraId="5288CA75" w14:textId="079524BF" w:rsidR="00A60DA1" w:rsidRPr="00E3562B" w:rsidRDefault="00A60DA1" w:rsidP="00A60DA1">
      <w:pPr>
        <w:rPr>
          <w:szCs w:val="24"/>
          <w:lang w:val="en-GB"/>
        </w:rPr>
      </w:pPr>
      <w:r w:rsidRPr="00E3562B">
        <w:rPr>
          <w:szCs w:val="24"/>
          <w:lang w:val="en-GB"/>
        </w:rPr>
        <w:t xml:space="preserve">In this section, we examine how the dynamics between CEO power and BGD influence MSD across industries with varying levels of modern slavery risk. Previous studies demonstrate that industry classification significantly influences MSD reporting </w:t>
      </w:r>
      <w:r w:rsidRPr="00E3562B">
        <w:rPr>
          <w:lang w:val="en-GB"/>
        </w:rPr>
        <w:t>(e.g., Cousins et al., 2020)</w:t>
      </w:r>
      <w:r w:rsidRPr="00E3562B">
        <w:rPr>
          <w:szCs w:val="24"/>
          <w:lang w:val="en-GB"/>
        </w:rPr>
        <w:t>.</w:t>
      </w:r>
      <w:r w:rsidRPr="00E3562B">
        <w:rPr>
          <w:lang w:val="en-GB"/>
        </w:rPr>
        <w:t xml:space="preserve"> </w:t>
      </w:r>
      <w:r w:rsidRPr="00E3562B">
        <w:rPr>
          <w:szCs w:val="24"/>
          <w:lang w:val="en-GB"/>
        </w:rPr>
        <w:t xml:space="preserve">Accordingly, we divide our sample into two sub-groups with high and low exposure to modern </w:t>
      </w:r>
      <w:r w:rsidRPr="00E3562B">
        <w:rPr>
          <w:szCs w:val="24"/>
          <w:lang w:val="en-GB"/>
        </w:rPr>
        <w:lastRenderedPageBreak/>
        <w:t>slavery risks and re-run our models accordingly.</w:t>
      </w:r>
      <w:r w:rsidR="00DD1F8F" w:rsidRPr="00E3562B">
        <w:rPr>
          <w:rStyle w:val="FootnoteReference"/>
          <w:lang w:val="en-GB"/>
        </w:rPr>
        <w:footnoteReference w:id="4"/>
      </w:r>
      <w:r w:rsidRPr="00E3562B">
        <w:rPr>
          <w:szCs w:val="24"/>
          <w:lang w:val="en-GB"/>
        </w:rPr>
        <w:t xml:space="preserve"> This analysis yields a number of interesting findings (see Table 9):</w:t>
      </w:r>
      <w:r w:rsidRPr="00E3562B">
        <w:rPr>
          <w:lang w:val="en-GB"/>
        </w:rPr>
        <w:t xml:space="preserve"> </w:t>
      </w:r>
      <w:r w:rsidRPr="00E3562B">
        <w:rPr>
          <w:szCs w:val="24"/>
          <w:lang w:val="en-GB"/>
        </w:rPr>
        <w:t xml:space="preserve">first, we find that in sectors characterised by high risks of modern slavery, CEO power exerts a significantly negative impact on the extent of disclosure; this relationship is not evident in sectors with low modern slavery risks. This result corroborates with </w:t>
      </w:r>
      <w:proofErr w:type="spellStart"/>
      <w:r w:rsidRPr="00E3562B">
        <w:rPr>
          <w:szCs w:val="24"/>
          <w:lang w:val="en-GB"/>
        </w:rPr>
        <w:t>Muttakin</w:t>
      </w:r>
      <w:proofErr w:type="spellEnd"/>
      <w:r w:rsidRPr="00E3562B">
        <w:rPr>
          <w:szCs w:val="24"/>
          <w:lang w:val="en-GB"/>
        </w:rPr>
        <w:t xml:space="preserve"> et al. </w:t>
      </w:r>
      <w:r w:rsidR="008A2CDF" w:rsidRPr="00E3562B">
        <w:rPr>
          <w:noProof/>
          <w:szCs w:val="24"/>
          <w:lang w:val="en-GB"/>
        </w:rPr>
        <w:t>(2018)</w:t>
      </w:r>
      <w:r w:rsidRPr="00E3562B">
        <w:rPr>
          <w:szCs w:val="24"/>
          <w:lang w:val="en-GB"/>
        </w:rPr>
        <w:t xml:space="preserve"> who find that CEO power negatively affects CSR disclosures and lowers the impact of board capital on CSR practices. This aligns with prior research like Cousins et al. </w:t>
      </w:r>
      <w:r w:rsidR="008A2CDF" w:rsidRPr="00E3562B">
        <w:rPr>
          <w:noProof/>
          <w:szCs w:val="24"/>
          <w:lang w:val="en-GB"/>
        </w:rPr>
        <w:t>(2020)</w:t>
      </w:r>
      <w:r w:rsidRPr="00E3562B">
        <w:rPr>
          <w:szCs w:val="24"/>
          <w:lang w:val="en-GB"/>
        </w:rPr>
        <w:t xml:space="preserve">, which indicates industry-specific pressures can shape disclosure practices significantly. In high-risk sectors, the temptation to obfuscate is likely higher due to the potential for significant negative effects if unethical practices are revealed. Similarly, studies like those by Brahma and Economou </w:t>
      </w:r>
      <w:r w:rsidR="008A2CDF" w:rsidRPr="00E3562B">
        <w:rPr>
          <w:noProof/>
          <w:szCs w:val="24"/>
          <w:lang w:val="en-GB"/>
        </w:rPr>
        <w:t>(2024)</w:t>
      </w:r>
      <w:r w:rsidRPr="00E3562B">
        <w:rPr>
          <w:szCs w:val="24"/>
          <w:lang w:val="en-GB"/>
        </w:rPr>
        <w:t xml:space="preserve"> discuss how CEO power can shape corporate strategies, including those related to disclosures and corporate social responsibility, often aligning with personal rather than stakeholder interests. Consistent with agency theory, this evidence implies that more CEO power might deprioritise MSD owing to perceived conflicts with their personal interests.</w:t>
      </w:r>
    </w:p>
    <w:p w14:paraId="64CBDA98" w14:textId="77777777" w:rsidR="00A60DA1" w:rsidRPr="00E3562B" w:rsidRDefault="00A60DA1" w:rsidP="00A60DA1">
      <w:pPr>
        <w:rPr>
          <w:szCs w:val="24"/>
          <w:lang w:val="en-GB"/>
        </w:rPr>
      </w:pPr>
    </w:p>
    <w:p w14:paraId="7B8DEF3A" w14:textId="33C12318" w:rsidR="00A60DA1" w:rsidRPr="00E3562B" w:rsidRDefault="00A60DA1" w:rsidP="00A60DA1">
      <w:pPr>
        <w:rPr>
          <w:lang w:val="en-GB"/>
        </w:rPr>
      </w:pPr>
      <w:r w:rsidRPr="00E3562B">
        <w:rPr>
          <w:szCs w:val="24"/>
          <w:lang w:val="en-GB"/>
        </w:rPr>
        <w:t xml:space="preserve">Second, we find a positive and significant relationship between BGD and the extent of MSD across both high-risk and low-risk industries. The influence of BGD on disclosure practices remains uniform across varying levels of industry-specific modern slavery risk, indicating the efficacy of gender-diverse boards in overseeing board functions and mitigating the influence of dominant CEOs. This finding aligns with our results in Table 6 and supports the results of previous studies This result is supported by the findings of Adams and Ferreira </w:t>
      </w:r>
      <w:r w:rsidR="00E30C4E" w:rsidRPr="00E3562B">
        <w:rPr>
          <w:noProof/>
          <w:szCs w:val="24"/>
          <w:lang w:val="en-GB"/>
        </w:rPr>
        <w:t>(2009)</w:t>
      </w:r>
      <w:r w:rsidRPr="00E3562B">
        <w:rPr>
          <w:szCs w:val="24"/>
          <w:lang w:val="en-GB"/>
        </w:rPr>
        <w:t xml:space="preserve"> and Ting and Huang </w:t>
      </w:r>
      <w:r w:rsidR="00E30C4E" w:rsidRPr="00E3562B">
        <w:rPr>
          <w:noProof/>
          <w:szCs w:val="24"/>
          <w:lang w:val="en-GB"/>
        </w:rPr>
        <w:t>(2018)</w:t>
      </w:r>
      <w:r w:rsidRPr="00E3562B">
        <w:rPr>
          <w:szCs w:val="24"/>
          <w:lang w:val="en-GB"/>
        </w:rPr>
        <w:t xml:space="preserve">, who suggest that gender-diverse boards are more effective in monitoring </w:t>
      </w:r>
      <w:r w:rsidRPr="00E3562B">
        <w:rPr>
          <w:szCs w:val="24"/>
          <w:lang w:val="en-GB"/>
        </w:rPr>
        <w:lastRenderedPageBreak/>
        <w:t xml:space="preserve">management actions and curbing excessive executive power, thereby enhancing governance outcomes. Furthermore, the study by Kwon et al. </w:t>
      </w:r>
      <w:r w:rsidR="008A2CDF" w:rsidRPr="00E3562B">
        <w:rPr>
          <w:noProof/>
          <w:szCs w:val="24"/>
          <w:lang w:val="en-GB"/>
        </w:rPr>
        <w:t>(2023)</w:t>
      </w:r>
      <w:r w:rsidRPr="00E3562B">
        <w:rPr>
          <w:szCs w:val="24"/>
          <w:lang w:val="en-GB"/>
        </w:rPr>
        <w:t xml:space="preserve"> suggests that gender-diverse boards are less likely to support myopic management behaviours that sacrifice long-term company health for short-term gains, which often include neglecting corporate social responsibilities like </w:t>
      </w:r>
      <w:r w:rsidR="00317A99" w:rsidRPr="00E3562B">
        <w:rPr>
          <w:szCs w:val="24"/>
          <w:lang w:val="en-GB"/>
        </w:rPr>
        <w:t>MSD</w:t>
      </w:r>
      <w:r w:rsidRPr="00E3562B">
        <w:rPr>
          <w:szCs w:val="24"/>
          <w:lang w:val="en-GB"/>
        </w:rPr>
        <w:t>.</w:t>
      </w:r>
      <w:r w:rsidRPr="00E3562B">
        <w:rPr>
          <w:lang w:val="en-GB"/>
        </w:rPr>
        <w:t xml:space="preserve"> </w:t>
      </w:r>
    </w:p>
    <w:p w14:paraId="0F1F877F" w14:textId="77777777" w:rsidR="00A60DA1" w:rsidRPr="00E3562B" w:rsidRDefault="00A60DA1" w:rsidP="00A60DA1">
      <w:pPr>
        <w:rPr>
          <w:lang w:val="en-GB"/>
        </w:rPr>
      </w:pPr>
    </w:p>
    <w:p w14:paraId="479DDDB1" w14:textId="77777777" w:rsidR="00A60DA1" w:rsidRPr="00E3562B" w:rsidRDefault="00A60DA1" w:rsidP="00A60DA1">
      <w:pPr>
        <w:rPr>
          <w:szCs w:val="24"/>
          <w:lang w:val="en-GB"/>
        </w:rPr>
      </w:pPr>
      <w:r w:rsidRPr="00E3562B">
        <w:rPr>
          <w:lang w:val="en-GB"/>
        </w:rPr>
        <w:t xml:space="preserve">Overall, </w:t>
      </w:r>
      <w:r w:rsidRPr="00E3562B">
        <w:rPr>
          <w:szCs w:val="24"/>
          <w:lang w:val="en-GB"/>
        </w:rPr>
        <w:t>it is evident that industry-specific risks play a pivotal role in influencing the dynamics between CEO power, BGD, and MSD. High-risk industries, where the consequences of ethical lapses can be severe (e.g., public backlash, legal costs), demonstrate a more pronounced impact of CEO power in suppressing disclosures. However, the stabilising influence of BGD appears to endure across various levels of industry risk, suggesting that enhancing board diversity could be a strategic approach not only for ethical compliance but also for improving overall governance quality.</w:t>
      </w:r>
    </w:p>
    <w:p w14:paraId="0E4E9EE1" w14:textId="77777777" w:rsidR="00A60DA1" w:rsidRPr="00E3562B" w:rsidRDefault="00A60DA1" w:rsidP="00A60DA1">
      <w:pPr>
        <w:spacing w:line="360" w:lineRule="auto"/>
        <w:jc w:val="center"/>
        <w:rPr>
          <w:b/>
          <w:bCs/>
          <w:lang w:val="en-GB"/>
        </w:rPr>
      </w:pPr>
      <w:r w:rsidRPr="00E3562B">
        <w:rPr>
          <w:b/>
          <w:bCs/>
          <w:lang w:val="en-GB"/>
        </w:rPr>
        <w:t>[Insert Table 9 here]</w:t>
      </w:r>
    </w:p>
    <w:p w14:paraId="7931CD77" w14:textId="77777777" w:rsidR="00A60DA1" w:rsidRPr="00E3562B" w:rsidRDefault="00A60DA1" w:rsidP="00A60DA1">
      <w:pPr>
        <w:spacing w:line="360" w:lineRule="auto"/>
        <w:jc w:val="center"/>
        <w:rPr>
          <w:b/>
          <w:bCs/>
          <w:lang w:val="en-GB"/>
        </w:rPr>
      </w:pPr>
    </w:p>
    <w:p w14:paraId="06A4431F" w14:textId="77777777" w:rsidR="00A60DA1" w:rsidRPr="00E3562B" w:rsidRDefault="00A60DA1" w:rsidP="00A60DA1">
      <w:pPr>
        <w:pStyle w:val="Heading2"/>
        <w:rPr>
          <w:lang w:val="en-GB"/>
        </w:rPr>
      </w:pPr>
      <w:r w:rsidRPr="00E3562B">
        <w:rPr>
          <w:lang w:val="en-GB"/>
        </w:rPr>
        <w:t>Robustness tests</w:t>
      </w:r>
    </w:p>
    <w:p w14:paraId="66AFBD86" w14:textId="543B8557" w:rsidR="00A60DA1" w:rsidRPr="00E3562B" w:rsidRDefault="00A60DA1" w:rsidP="00A60DA1">
      <w:pPr>
        <w:rPr>
          <w:rFonts w:asciiTheme="majorBidi" w:hAnsiTheme="majorBidi" w:cstheme="majorBidi"/>
          <w:lang w:val="en-GB"/>
        </w:rPr>
      </w:pPr>
      <w:bookmarkStart w:id="12" w:name="_Hlk166003221"/>
      <w:r w:rsidRPr="00E3562B">
        <w:rPr>
          <w:rFonts w:asciiTheme="majorBidi" w:hAnsiTheme="majorBidi" w:cstheme="majorBidi"/>
          <w:lang w:val="en-GB"/>
        </w:rPr>
        <w:t xml:space="preserve">Table 10 presents several robustness checks undertaken to test the reliability of our empirical results. First, we re-ran the interaction model by incorporating an alternative measure for BGD, namely the BLAU index. The index ranges from 0 (no diversity) to 0.5 (maximum diversity), with higher scores indicating greater representation of women on the board </w:t>
      </w:r>
      <w:bookmarkStart w:id="13" w:name="_Hlk166021785"/>
      <w:r w:rsidR="0062517D" w:rsidRPr="00E3562B">
        <w:rPr>
          <w:rFonts w:hAnsiTheme="majorHAnsi"/>
          <w:lang w:val="en-GB"/>
        </w:rPr>
        <w:t>(e.g., Blau, 1977; Mart</w:t>
      </w:r>
      <w:r w:rsidR="0062517D" w:rsidRPr="00E3562B">
        <w:rPr>
          <w:rFonts w:hAnsiTheme="majorHAnsi"/>
          <w:lang w:val="en-GB"/>
        </w:rPr>
        <w:t>í</w:t>
      </w:r>
      <w:r w:rsidR="0062517D" w:rsidRPr="00E3562B">
        <w:rPr>
          <w:rFonts w:hAnsiTheme="majorHAnsi"/>
          <w:lang w:val="en-GB"/>
        </w:rPr>
        <w:t>nez</w:t>
      </w:r>
      <w:r w:rsidR="0062517D" w:rsidRPr="00E3562B">
        <w:rPr>
          <w:rFonts w:hAnsiTheme="majorHAnsi"/>
          <w:lang w:val="en-GB"/>
        </w:rPr>
        <w:t>‐</w:t>
      </w:r>
      <w:r w:rsidR="0062517D" w:rsidRPr="00E3562B">
        <w:rPr>
          <w:rFonts w:hAnsiTheme="majorHAnsi"/>
          <w:lang w:val="en-GB"/>
        </w:rPr>
        <w:t>Garc</w:t>
      </w:r>
      <w:r w:rsidR="0062517D" w:rsidRPr="00E3562B">
        <w:rPr>
          <w:rFonts w:hAnsiTheme="majorHAnsi"/>
          <w:lang w:val="en-GB"/>
        </w:rPr>
        <w:t>í</w:t>
      </w:r>
      <w:r w:rsidR="0062517D" w:rsidRPr="00E3562B">
        <w:rPr>
          <w:rFonts w:hAnsiTheme="majorHAnsi"/>
          <w:lang w:val="en-GB"/>
        </w:rPr>
        <w:t>a et al., 2022; Moussa et al., 2023; Nadeem, 2022)</w:t>
      </w:r>
      <w:r w:rsidRPr="00E3562B">
        <w:rPr>
          <w:rFonts w:asciiTheme="majorBidi" w:hAnsiTheme="majorBidi" w:cstheme="majorBidi"/>
          <w:lang w:val="en-GB"/>
        </w:rPr>
        <w:t xml:space="preserve">. </w:t>
      </w:r>
      <w:bookmarkStart w:id="14" w:name="_Hlk166118532"/>
      <w:bookmarkEnd w:id="13"/>
      <w:r w:rsidRPr="00E3562B">
        <w:rPr>
          <w:rFonts w:asciiTheme="majorBidi" w:hAnsiTheme="majorBidi" w:cstheme="majorBidi"/>
          <w:lang w:val="en-GB"/>
        </w:rPr>
        <w:t xml:space="preserve">The results from this analysis indicate that our findings are qualitatively </w:t>
      </w:r>
      <w:proofErr w:type="gramStart"/>
      <w:r w:rsidRPr="00E3562B">
        <w:rPr>
          <w:rFonts w:asciiTheme="majorBidi" w:hAnsiTheme="majorBidi" w:cstheme="majorBidi"/>
          <w:lang w:val="en-GB"/>
        </w:rPr>
        <w:t>similar to</w:t>
      </w:r>
      <w:proofErr w:type="gramEnd"/>
      <w:r w:rsidRPr="00E3562B">
        <w:rPr>
          <w:rFonts w:asciiTheme="majorBidi" w:hAnsiTheme="majorBidi" w:cstheme="majorBidi"/>
          <w:lang w:val="en-GB"/>
        </w:rPr>
        <w:t xml:space="preserve"> those reported in Table 8, reinforcing the robustness of our main findings to the inclusion of these alternative measures. </w:t>
      </w:r>
      <w:bookmarkEnd w:id="14"/>
      <w:r w:rsidRPr="00E3562B">
        <w:rPr>
          <w:rFonts w:asciiTheme="majorBidi" w:hAnsiTheme="majorBidi" w:cstheme="majorBidi"/>
          <w:lang w:val="en-GB"/>
        </w:rPr>
        <w:t>This finding aligns with previous studies</w:t>
      </w:r>
      <w:r w:rsidR="0062517D" w:rsidRPr="00E3562B">
        <w:rPr>
          <w:rFonts w:asciiTheme="majorBidi" w:hAnsiTheme="majorBidi" w:cstheme="majorBidi"/>
          <w:lang w:val="en-GB"/>
        </w:rPr>
        <w:t xml:space="preserve"> </w:t>
      </w:r>
      <w:r w:rsidR="007B6EA4" w:rsidRPr="00E3562B">
        <w:rPr>
          <w:rFonts w:asciiTheme="majorBidi" w:hAnsiTheme="majorBidi" w:cstheme="majorBidi"/>
          <w:noProof/>
          <w:lang w:val="en-GB"/>
        </w:rPr>
        <w:t>(e.g., Haque &amp; Jones, 2020; Nadeem, 2022)</w:t>
      </w:r>
      <w:r w:rsidRPr="00E3562B">
        <w:rPr>
          <w:rFonts w:asciiTheme="majorBidi" w:hAnsiTheme="majorBidi" w:cstheme="majorBidi"/>
          <w:lang w:val="en-GB"/>
        </w:rPr>
        <w:t xml:space="preserve"> that highlight female board members’ ability to enhance transparency in corporate reporting and moderate the dynamic between CEO power and MSD.</w:t>
      </w:r>
    </w:p>
    <w:p w14:paraId="50D32166" w14:textId="7FD4D7DA" w:rsidR="00747AF0" w:rsidRPr="00E3562B" w:rsidRDefault="00A60DA1" w:rsidP="00FE3F54">
      <w:pPr>
        <w:spacing w:before="100" w:beforeAutospacing="1" w:after="100" w:afterAutospacing="1"/>
        <w:rPr>
          <w:rFonts w:asciiTheme="majorBidi" w:hAnsiTheme="majorBidi" w:cstheme="majorBidi"/>
          <w:lang w:val="en-GB"/>
        </w:rPr>
      </w:pPr>
      <w:r w:rsidRPr="00E3562B">
        <w:rPr>
          <w:rFonts w:asciiTheme="majorBidi" w:hAnsiTheme="majorBidi" w:cstheme="majorBidi"/>
          <w:lang w:val="en-GB"/>
        </w:rPr>
        <w:lastRenderedPageBreak/>
        <w:t>Second, we re-ran our main models using an alternative measure for CEO power. Instead of using executive directors as a proxy, we incorporated board independence as the second dimension. Specifically, we assigned a value of 1 to the second dimension of the CEO power variable when board independence did not exceed 50%. The alternative composite index combines two distinct proxies: CEO duality and the proportion of board independence. The results of this analysis (un</w:t>
      </w:r>
      <w:r w:rsidR="00747AF0" w:rsidRPr="00E3562B">
        <w:rPr>
          <w:rFonts w:asciiTheme="majorBidi" w:hAnsiTheme="majorBidi" w:cstheme="majorBidi"/>
          <w:lang w:val="en-GB"/>
        </w:rPr>
        <w:t>-</w:t>
      </w:r>
      <w:r w:rsidRPr="00E3562B">
        <w:rPr>
          <w:rFonts w:asciiTheme="majorBidi" w:hAnsiTheme="majorBidi" w:cstheme="majorBidi"/>
          <w:lang w:val="en-GB"/>
        </w:rPr>
        <w:t>tabulated) remain consistent with our main findings.</w:t>
      </w:r>
      <w:r w:rsidR="00747AF0" w:rsidRPr="00E3562B">
        <w:rPr>
          <w:rFonts w:asciiTheme="majorBidi" w:hAnsiTheme="majorBidi" w:cstheme="majorBidi"/>
          <w:lang w:val="en-GB"/>
        </w:rPr>
        <w:t xml:space="preserve"> </w:t>
      </w:r>
      <w:r w:rsidR="00747AF0" w:rsidRPr="00E3562B">
        <w:rPr>
          <w:rFonts w:ascii="inherit" w:hAnsi="inherit" w:cs="Segoe UI"/>
          <w:bdr w:val="none" w:sz="0" w:space="0" w:color="auto" w:frame="1"/>
          <w:lang w:val="en-GB" w:eastAsia="en-GB"/>
        </w:rPr>
        <w:t>In addition, rather than employing the median number of executive directors within the sample as a proxy, we utilized the median number of executive directors for each firm as a second dimension. Particularly, we assigned a value of 1 to the second dimension of the CEO power variable when the number of executive directors is above the firm-specific median, and 0 otherwise. We then re-ran our regression analyses using this alternative measure for CEO Power. The results (un-tabulated) remain consistent with those reported in the main findings.</w:t>
      </w:r>
    </w:p>
    <w:p w14:paraId="3C232D27" w14:textId="2033E94F" w:rsidR="00A60DA1" w:rsidRPr="00E3562B" w:rsidRDefault="00A60DA1" w:rsidP="00A60DA1">
      <w:pPr>
        <w:rPr>
          <w:lang w:val="en-GB"/>
        </w:rPr>
      </w:pPr>
      <w:r w:rsidRPr="00E3562B">
        <w:rPr>
          <w:lang w:val="en-GB"/>
        </w:rPr>
        <w:t>Third, to address concerns over potential endogeneity, we applied two statistical methodologies: the Generalized Method of Moments (GMM) and Two-Stage Least Squares (2SLS). We specifically employed the two-step system GMM approach, which effectively addresses potential endogeneity issues by utili</w:t>
      </w:r>
      <w:r w:rsidR="00D01F4E" w:rsidRPr="00E3562B">
        <w:rPr>
          <w:lang w:val="en-GB"/>
        </w:rPr>
        <w:t>s</w:t>
      </w:r>
      <w:r w:rsidRPr="00E3562B">
        <w:rPr>
          <w:lang w:val="en-GB"/>
        </w:rPr>
        <w:t>ing both level and first-differenced equations. This method reduces bias associated with fixed effects and enhances the robustness of our analysis due to its use of lagged variables as instruments, providing more efficient estimation</w:t>
      </w:r>
      <w:r w:rsidR="00D01F4E" w:rsidRPr="00E3562B">
        <w:rPr>
          <w:lang w:val="en-GB"/>
        </w:rPr>
        <w:t>,</w:t>
      </w:r>
      <w:r w:rsidRPr="00E3562B">
        <w:rPr>
          <w:lang w:val="en-GB"/>
        </w:rPr>
        <w:t xml:space="preserve"> particularly in panels of smaller size</w:t>
      </w:r>
      <w:r w:rsidR="007B6EA4" w:rsidRPr="00E3562B">
        <w:rPr>
          <w:lang w:val="en-GB"/>
        </w:rPr>
        <w:t xml:space="preserve"> </w:t>
      </w:r>
      <w:r w:rsidR="007B6EA4" w:rsidRPr="00E3562B">
        <w:rPr>
          <w:noProof/>
          <w:lang w:val="en-GB"/>
        </w:rPr>
        <w:t>(Blundell &amp; Bond, 1998; Roodman, 2009; Wintoki et al., 2012)</w:t>
      </w:r>
      <w:r w:rsidRPr="00E3562B">
        <w:rPr>
          <w:lang w:val="en-GB"/>
        </w:rPr>
        <w:t xml:space="preserve">. The application of the two-step system GMM in our study validates our findings by effectively capturing the dynamic relationships between CEO power, BGD, and </w:t>
      </w:r>
      <w:r w:rsidR="00317A99" w:rsidRPr="00E3562B">
        <w:rPr>
          <w:lang w:val="en-GB"/>
        </w:rPr>
        <w:t>MSD</w:t>
      </w:r>
      <w:r w:rsidRPr="00E3562B">
        <w:rPr>
          <w:lang w:val="en-GB"/>
        </w:rPr>
        <w:t xml:space="preserve"> while controlling for unobserved heterogeneity and endogeneity.</w:t>
      </w:r>
    </w:p>
    <w:p w14:paraId="2C87F7AD" w14:textId="77777777" w:rsidR="00A60DA1" w:rsidRPr="00E3562B" w:rsidRDefault="00A60DA1" w:rsidP="00A60DA1">
      <w:pPr>
        <w:rPr>
          <w:rFonts w:asciiTheme="majorBidi" w:hAnsiTheme="majorBidi" w:cstheme="majorBidi"/>
          <w:lang w:val="en-GB"/>
        </w:rPr>
      </w:pPr>
    </w:p>
    <w:p w14:paraId="77357EC3" w14:textId="02E566F8" w:rsidR="00A60DA1" w:rsidRPr="00E3562B" w:rsidRDefault="00A60DA1" w:rsidP="00A60DA1">
      <w:pPr>
        <w:rPr>
          <w:rFonts w:asciiTheme="majorBidi" w:hAnsiTheme="majorBidi" w:cstheme="majorBidi"/>
          <w:lang w:val="en-GB"/>
        </w:rPr>
      </w:pPr>
      <w:r w:rsidRPr="00E3562B">
        <w:rPr>
          <w:rFonts w:asciiTheme="majorBidi" w:hAnsiTheme="majorBidi" w:cstheme="majorBidi"/>
          <w:lang w:val="en-GB"/>
        </w:rPr>
        <w:lastRenderedPageBreak/>
        <w:t>Finally, we employed 2SLS regressions to address potential reverse causality concerns. Following prior studies</w:t>
      </w:r>
      <w:r w:rsidR="007B6EA4" w:rsidRPr="00E3562B">
        <w:rPr>
          <w:rFonts w:asciiTheme="majorBidi" w:hAnsiTheme="majorBidi" w:cstheme="majorBidi"/>
          <w:lang w:val="en-GB"/>
        </w:rPr>
        <w:t xml:space="preserve"> </w:t>
      </w:r>
      <w:r w:rsidR="007B6EA4" w:rsidRPr="00E3562B">
        <w:rPr>
          <w:rFonts w:asciiTheme="majorBidi" w:hAnsiTheme="majorBidi" w:cstheme="majorBidi"/>
          <w:noProof/>
          <w:lang w:val="en-GB"/>
        </w:rPr>
        <w:t>(Demerjian et al., 2020; Orazalin et al., 2024; Ye et al., 2019)</w:t>
      </w:r>
      <w:r w:rsidRPr="00E3562B">
        <w:rPr>
          <w:rFonts w:asciiTheme="majorBidi" w:hAnsiTheme="majorBidi" w:cstheme="majorBidi"/>
          <w:lang w:val="en-GB"/>
        </w:rPr>
        <w:t>, we used the first lag and industry average values of the main independent variables as instruments. These are considered appropriate because they are unlikely to be correlated with the error term and do not directly affect the dependent variables. The results from both the 2SLS and GMM analyses (presented in Table 10) are consistent with those reported in Tables 6 and 8, affirming the robustness of our main findings against endogeneity issues.</w:t>
      </w:r>
    </w:p>
    <w:bookmarkEnd w:id="12"/>
    <w:p w14:paraId="5A4CF3A7" w14:textId="77777777" w:rsidR="00A60DA1" w:rsidRPr="00E3562B" w:rsidRDefault="00A60DA1" w:rsidP="00A60DA1">
      <w:pPr>
        <w:spacing w:line="360" w:lineRule="auto"/>
        <w:jc w:val="center"/>
        <w:rPr>
          <w:b/>
          <w:lang w:val="en-GB"/>
        </w:rPr>
      </w:pPr>
      <w:r w:rsidRPr="00E3562B">
        <w:rPr>
          <w:b/>
          <w:lang w:val="en-GB"/>
        </w:rPr>
        <w:t>[Insert Table 10 here]</w:t>
      </w:r>
    </w:p>
    <w:p w14:paraId="47800C5E" w14:textId="77777777" w:rsidR="00A476B1" w:rsidRPr="00E3562B" w:rsidRDefault="00A476B1" w:rsidP="00A476B1">
      <w:pPr>
        <w:rPr>
          <w:lang w:val="en-GB"/>
        </w:rPr>
      </w:pPr>
    </w:p>
    <w:p w14:paraId="78794229" w14:textId="77777777" w:rsidR="007E53F0" w:rsidRPr="00E3562B" w:rsidRDefault="007E53F0" w:rsidP="007E53F0">
      <w:pPr>
        <w:pStyle w:val="Heading1"/>
        <w:rPr>
          <w:lang w:val="en-GB"/>
        </w:rPr>
      </w:pPr>
      <w:r w:rsidRPr="00E3562B">
        <w:rPr>
          <w:lang w:val="en-GB"/>
        </w:rPr>
        <w:t>Conclusion</w:t>
      </w:r>
    </w:p>
    <w:p w14:paraId="7D88A9C6" w14:textId="076C1A24" w:rsidR="00372B4E" w:rsidRPr="00E3562B" w:rsidRDefault="00A83B22" w:rsidP="00372B4E">
      <w:pPr>
        <w:rPr>
          <w:lang w:val="en-GB"/>
        </w:rPr>
      </w:pPr>
      <w:r w:rsidRPr="00E3562B">
        <w:rPr>
          <w:lang w:val="en-GB"/>
        </w:rPr>
        <w:t>The study examines</w:t>
      </w:r>
      <w:r w:rsidR="007E53F0" w:rsidRPr="00E3562B">
        <w:rPr>
          <w:lang w:val="en-GB"/>
        </w:rPr>
        <w:t xml:space="preserve"> the </w:t>
      </w:r>
      <w:r w:rsidR="00D01F4E" w:rsidRPr="00E3562B">
        <w:rPr>
          <w:lang w:val="en-GB"/>
        </w:rPr>
        <w:t>extent</w:t>
      </w:r>
      <w:r w:rsidR="007E53F0" w:rsidRPr="00E3562B">
        <w:rPr>
          <w:lang w:val="en-GB"/>
        </w:rPr>
        <w:t xml:space="preserve"> of modern slavery disclosure among UK firms and conduct</w:t>
      </w:r>
      <w:r w:rsidRPr="00E3562B">
        <w:rPr>
          <w:lang w:val="en-GB"/>
        </w:rPr>
        <w:t>s</w:t>
      </w:r>
      <w:r w:rsidR="007E53F0" w:rsidRPr="00E3562B">
        <w:rPr>
          <w:lang w:val="en-GB"/>
        </w:rPr>
        <w:t xml:space="preserve"> an empirical analysis of how CEO power influences MSD. </w:t>
      </w:r>
      <w:r w:rsidRPr="00E3562B">
        <w:rPr>
          <w:lang w:val="en-GB"/>
        </w:rPr>
        <w:t>It</w:t>
      </w:r>
      <w:r w:rsidR="007E53F0" w:rsidRPr="00E3562B">
        <w:rPr>
          <w:lang w:val="en-GB"/>
        </w:rPr>
        <w:t xml:space="preserve"> also examine</w:t>
      </w:r>
      <w:r w:rsidRPr="00E3562B">
        <w:rPr>
          <w:lang w:val="en-GB"/>
        </w:rPr>
        <w:t>s</w:t>
      </w:r>
      <w:r w:rsidR="007E53F0" w:rsidRPr="00E3562B">
        <w:rPr>
          <w:lang w:val="en-GB"/>
        </w:rPr>
        <w:t xml:space="preserve"> the moderating role of BGD in this relationship. The findings indicate a gradual enhancement in MSD as time progresses, albeit being remarkably low. </w:t>
      </w:r>
      <w:r w:rsidR="00A768B2" w:rsidRPr="00E3562B">
        <w:rPr>
          <w:lang w:val="en-GB"/>
        </w:rPr>
        <w:t>The results</w:t>
      </w:r>
      <w:r w:rsidR="007E53F0" w:rsidRPr="00E3562B">
        <w:rPr>
          <w:lang w:val="en-GB"/>
        </w:rPr>
        <w:t xml:space="preserve"> reveal that CEO power adversely affects MSD levels, but increased representation of women on the board can moderate this negative impact. </w:t>
      </w:r>
      <w:r w:rsidR="00A768B2" w:rsidRPr="00E3562B">
        <w:rPr>
          <w:lang w:val="en-GB"/>
        </w:rPr>
        <w:t>The</w:t>
      </w:r>
      <w:r w:rsidR="007E53F0" w:rsidRPr="00E3562B">
        <w:rPr>
          <w:lang w:val="en-GB"/>
        </w:rPr>
        <w:t xml:space="preserve"> results suggest that an increase in BGD limits the CEOs' dominance and the negative impact on MSD. In other </w:t>
      </w:r>
      <w:r w:rsidR="00372B4E" w:rsidRPr="00E3562B">
        <w:rPr>
          <w:lang w:val="en-GB"/>
        </w:rPr>
        <w:t>words, the presence of a higher proportion of female directors enhances the board's oversight functions. This impact becomes notably pronounced when the board comprises more than 30% female directors, suggesting the importance of achieving a critical mass. To effectively moderate the relationship between CEO power and disclosures regarding modern slavery, it is essential to have a critical mass of women (&gt;30%), aligning with the critical mass theory.</w:t>
      </w:r>
    </w:p>
    <w:p w14:paraId="7011F24A" w14:textId="77777777" w:rsidR="00372B4E" w:rsidRPr="00E3562B" w:rsidRDefault="00372B4E" w:rsidP="00372B4E">
      <w:pPr>
        <w:rPr>
          <w:szCs w:val="24"/>
          <w:lang w:val="en-GB"/>
        </w:rPr>
      </w:pPr>
    </w:p>
    <w:p w14:paraId="6A9BD917" w14:textId="4E07C26D" w:rsidR="009A0B47" w:rsidRPr="00E3562B" w:rsidRDefault="00A768B2" w:rsidP="007E53F0">
      <w:pPr>
        <w:rPr>
          <w:lang w:val="en-GB"/>
        </w:rPr>
      </w:pPr>
      <w:r w:rsidRPr="00E3562B">
        <w:rPr>
          <w:lang w:val="en-GB"/>
        </w:rPr>
        <w:t>The</w:t>
      </w:r>
      <w:r w:rsidR="007E53F0" w:rsidRPr="00E3562B">
        <w:rPr>
          <w:lang w:val="en-GB"/>
        </w:rPr>
        <w:t xml:space="preserve"> findings carry implications for both theory and policy. Theoretically, </w:t>
      </w:r>
      <w:r w:rsidRPr="00E3562B">
        <w:rPr>
          <w:lang w:val="en-GB"/>
        </w:rPr>
        <w:t>the</w:t>
      </w:r>
      <w:r w:rsidR="007E53F0" w:rsidRPr="00E3562B">
        <w:rPr>
          <w:lang w:val="en-GB"/>
        </w:rPr>
        <w:t xml:space="preserve"> results lend support to agency and gender sociali</w:t>
      </w:r>
      <w:r w:rsidR="00D15B69" w:rsidRPr="00E3562B">
        <w:rPr>
          <w:lang w:val="en-GB"/>
        </w:rPr>
        <w:t>sation</w:t>
      </w:r>
      <w:r w:rsidR="007E53F0" w:rsidRPr="00E3562B">
        <w:rPr>
          <w:lang w:val="en-GB"/>
        </w:rPr>
        <w:t xml:space="preserve"> theories. </w:t>
      </w:r>
      <w:r w:rsidRPr="00E3562B">
        <w:rPr>
          <w:lang w:val="en-GB"/>
        </w:rPr>
        <w:t>The</w:t>
      </w:r>
      <w:r w:rsidR="007E53F0" w:rsidRPr="00E3562B">
        <w:rPr>
          <w:lang w:val="en-GB"/>
        </w:rPr>
        <w:t xml:space="preserve"> research adds to the growing body of knowledge on CEO influence and corporate narrative reporting. </w:t>
      </w:r>
      <w:r w:rsidR="009A0B47" w:rsidRPr="00E3562B">
        <w:rPr>
          <w:lang w:val="en-GB"/>
        </w:rPr>
        <w:t xml:space="preserve">The results provide support for </w:t>
      </w:r>
      <w:r w:rsidR="009A0B47" w:rsidRPr="00E3562B">
        <w:rPr>
          <w:lang w:val="en-GB"/>
        </w:rPr>
        <w:lastRenderedPageBreak/>
        <w:t xml:space="preserve">agency theory, as evidenced by the observed negative impact of CEO power on </w:t>
      </w:r>
      <w:r w:rsidR="00317A99" w:rsidRPr="00E3562B">
        <w:rPr>
          <w:lang w:val="en-GB"/>
        </w:rPr>
        <w:t>MSD</w:t>
      </w:r>
      <w:r w:rsidR="009A0B47" w:rsidRPr="00E3562B">
        <w:rPr>
          <w:lang w:val="en-GB"/>
        </w:rPr>
        <w:t>. This aligns with the theory’s premise that increased executive power can lead to agency conflicts, where self-interested CEOs may avoid transparency in areas that could expose detrimental practices or negatively impact their own standing.</w:t>
      </w:r>
    </w:p>
    <w:p w14:paraId="41A88BE7" w14:textId="77777777" w:rsidR="009A0B47" w:rsidRPr="00E3562B" w:rsidRDefault="009A0B47" w:rsidP="007E53F0">
      <w:pPr>
        <w:rPr>
          <w:lang w:val="en-GB"/>
        </w:rPr>
      </w:pPr>
    </w:p>
    <w:p w14:paraId="224832D6" w14:textId="0FA3453E" w:rsidR="007E53F0" w:rsidRPr="00E3562B" w:rsidRDefault="001E1873" w:rsidP="001E1873">
      <w:pPr>
        <w:rPr>
          <w:lang w:val="en-GB"/>
        </w:rPr>
      </w:pPr>
      <w:r w:rsidRPr="00E3562B">
        <w:rPr>
          <w:lang w:val="en-GB"/>
        </w:rPr>
        <w:t xml:space="preserve">Furthermore, our findings also support gender socialisation theory, which suggests that social behaviours are influenced by gender-based expectations and roles. The moderating role of </w:t>
      </w:r>
      <w:r w:rsidR="00E425F5" w:rsidRPr="00E3562B">
        <w:rPr>
          <w:lang w:val="en-GB"/>
        </w:rPr>
        <w:t>BGD</w:t>
      </w:r>
      <w:r w:rsidRPr="00E3562B">
        <w:rPr>
          <w:lang w:val="en-GB"/>
        </w:rPr>
        <w:t xml:space="preserve"> in the relationship between CEO power and MSD highlights how female board members, potentially due to higher ethical sensitivity and a greater propensity for advocacy on social issues, can counterbalance the concentration of power and foster greater transparency. This suggests that the socialization experiences of women, which often emphasize communal values and ethical considerations, play a critical role in enhancing the board's oversight function. </w:t>
      </w:r>
      <w:r w:rsidR="007E53F0" w:rsidRPr="00E3562B">
        <w:rPr>
          <w:lang w:val="en-GB"/>
        </w:rPr>
        <w:t xml:space="preserve">This research further underscores the significance of increasing female representation on boards to enhance their oversight function. </w:t>
      </w:r>
      <w:r w:rsidRPr="00E3562B">
        <w:rPr>
          <w:lang w:val="en-GB"/>
        </w:rPr>
        <w:t>T</w:t>
      </w:r>
      <w:r w:rsidR="007E53F0" w:rsidRPr="00E3562B">
        <w:rPr>
          <w:lang w:val="en-GB"/>
        </w:rPr>
        <w:t xml:space="preserve">he findings reinforce the critical mass theory, indicating that the presence of </w:t>
      </w:r>
      <w:r w:rsidR="00531B0B" w:rsidRPr="00E3562B">
        <w:rPr>
          <w:lang w:val="en-GB"/>
        </w:rPr>
        <w:t xml:space="preserve">greater than 30% female directors </w:t>
      </w:r>
      <w:r w:rsidR="007E53F0" w:rsidRPr="00E3562B">
        <w:rPr>
          <w:lang w:val="en-GB"/>
        </w:rPr>
        <w:t>on the board significantly influences the dynamic between CEO power and MSD.</w:t>
      </w:r>
      <w:r w:rsidR="005145A4" w:rsidRPr="00E3562B">
        <w:rPr>
          <w:lang w:val="en-GB"/>
        </w:rPr>
        <w:t xml:space="preserve"> In brief, the study provides novel empirical evidence that supports a comprehensive understanding of how gender dynamics on corporate boards can significantly influence corporate disclosure practices, particularly in ethically sensitive areas.</w:t>
      </w:r>
    </w:p>
    <w:p w14:paraId="31010079" w14:textId="77777777" w:rsidR="007E53F0" w:rsidRPr="00E3562B" w:rsidRDefault="007E53F0" w:rsidP="007E53F0">
      <w:pPr>
        <w:rPr>
          <w:szCs w:val="24"/>
          <w:lang w:val="en-GB"/>
        </w:rPr>
      </w:pPr>
    </w:p>
    <w:p w14:paraId="46D2F7E9" w14:textId="52E7DA7B" w:rsidR="007E53F0" w:rsidRPr="00E3562B" w:rsidRDefault="007E53F0" w:rsidP="007E53F0">
      <w:pPr>
        <w:rPr>
          <w:lang w:val="en-GB"/>
        </w:rPr>
      </w:pPr>
      <w:r w:rsidRPr="00E3562B">
        <w:rPr>
          <w:lang w:val="en-GB"/>
        </w:rPr>
        <w:t xml:space="preserve">In terms of practical implications, there is a pressing need for policymakers to encourage corporations to enhance the transparency and consistency of their disclosures. </w:t>
      </w:r>
      <w:r w:rsidR="004A76C8" w:rsidRPr="00E3562B">
        <w:rPr>
          <w:lang w:val="en-GB"/>
        </w:rPr>
        <w:t xml:space="preserve">The outcomes of this investigation indicate that </w:t>
      </w:r>
      <w:r w:rsidRPr="00E3562B">
        <w:rPr>
          <w:lang w:val="en-GB"/>
        </w:rPr>
        <w:t xml:space="preserve">the </w:t>
      </w:r>
      <w:r w:rsidR="006617C3" w:rsidRPr="00E3562B">
        <w:rPr>
          <w:lang w:val="en-GB"/>
        </w:rPr>
        <w:t>extent</w:t>
      </w:r>
      <w:r w:rsidRPr="00E3562B">
        <w:rPr>
          <w:lang w:val="en-GB"/>
        </w:rPr>
        <w:t xml:space="preserve"> of MSD </w:t>
      </w:r>
      <w:r w:rsidR="006617C3" w:rsidRPr="00E3562B">
        <w:rPr>
          <w:lang w:val="en-GB"/>
        </w:rPr>
        <w:t>is</w:t>
      </w:r>
      <w:r w:rsidRPr="00E3562B">
        <w:rPr>
          <w:lang w:val="en-GB"/>
        </w:rPr>
        <w:t xml:space="preserve"> generally low and vary significantly across different corporations. This indicates that the current framework of the UK </w:t>
      </w:r>
      <w:r w:rsidR="00317A99" w:rsidRPr="00E3562B">
        <w:rPr>
          <w:lang w:val="en-GB"/>
        </w:rPr>
        <w:t>MSA</w:t>
      </w:r>
      <w:r w:rsidRPr="00E3562B">
        <w:rPr>
          <w:lang w:val="en-GB"/>
        </w:rPr>
        <w:t xml:space="preserve"> might not be sufficient to motivate firms to better their disclosures related to modern slavery, thereby making it challenging for stakeholders to evaluate the efforts these firms are making towards combating </w:t>
      </w:r>
      <w:r w:rsidRPr="00E3562B">
        <w:rPr>
          <w:lang w:val="en-GB"/>
        </w:rPr>
        <w:lastRenderedPageBreak/>
        <w:t>modern slavery. As a result, it is imperative for policymakers to introduce additional regulations or guidelines focused on modern slavery, especially concerning the specifics of the content and format of the sections in the modern slavery statements that deal with KPIs, risk assessments, and due diligence processes. Furthermore, clear repercussions for non-compliance, such as monetary fines,</w:t>
      </w:r>
      <w:r w:rsidR="002A6EC2" w:rsidRPr="00E3562B">
        <w:rPr>
          <w:lang w:val="en-GB"/>
        </w:rPr>
        <w:t xml:space="preserve"> should be introduced</w:t>
      </w:r>
      <w:r w:rsidRPr="00E3562B">
        <w:rPr>
          <w:lang w:val="en-GB"/>
        </w:rPr>
        <w:t xml:space="preserve"> as recommended in a recent report by the UK government </w:t>
      </w:r>
      <w:r w:rsidR="000A68B5" w:rsidRPr="00E3562B">
        <w:rPr>
          <w:lang w:val="en-GB"/>
        </w:rPr>
        <w:t>(HM Government, 2021)</w:t>
      </w:r>
      <w:r w:rsidRPr="00E3562B">
        <w:rPr>
          <w:lang w:val="en-GB"/>
        </w:rPr>
        <w:t>.</w:t>
      </w:r>
    </w:p>
    <w:p w14:paraId="42FF463C" w14:textId="77777777" w:rsidR="007E53F0" w:rsidRPr="00E3562B" w:rsidRDefault="007E53F0" w:rsidP="007E53F0">
      <w:pPr>
        <w:rPr>
          <w:lang w:val="en-GB"/>
        </w:rPr>
      </w:pPr>
    </w:p>
    <w:p w14:paraId="267D7A04" w14:textId="75471298" w:rsidR="007E53F0" w:rsidRPr="00E3562B" w:rsidRDefault="007E53F0" w:rsidP="007E53F0">
      <w:pPr>
        <w:rPr>
          <w:lang w:val="en-GB"/>
        </w:rPr>
      </w:pPr>
      <w:r w:rsidRPr="00E3562B">
        <w:rPr>
          <w:lang w:val="en-GB"/>
        </w:rPr>
        <w:t xml:space="preserve">Furthermore, </w:t>
      </w:r>
      <w:r w:rsidR="00A768B2" w:rsidRPr="00E3562B">
        <w:rPr>
          <w:lang w:val="en-GB"/>
        </w:rPr>
        <w:t>the</w:t>
      </w:r>
      <w:r w:rsidRPr="00E3562B">
        <w:rPr>
          <w:lang w:val="en-GB"/>
        </w:rPr>
        <w:t xml:space="preserve"> findings indicate that to enhance gender diversity on corporate boards, policymakers should consider updating the existing guidelines within corporate governance codes. The evidence supports the Hampton-Alexander Review's recommendation for a minimum of 33% female representation on the boards of UK companies, as well as the more ambitious goal set by the FTSE Women Leaders Review, which aims for 40% female board representation by 2025. Additionally, </w:t>
      </w:r>
      <w:r w:rsidR="00A768B2" w:rsidRPr="00E3562B">
        <w:rPr>
          <w:lang w:val="en-GB"/>
        </w:rPr>
        <w:t>the</w:t>
      </w:r>
      <w:r w:rsidRPr="00E3562B">
        <w:rPr>
          <w:lang w:val="en-GB"/>
        </w:rPr>
        <w:t xml:space="preserve"> research encourages policymakers, businesses, and various stakeholders to support the U</w:t>
      </w:r>
      <w:r w:rsidR="00E55EB9" w:rsidRPr="00E3562B">
        <w:rPr>
          <w:lang w:val="en-GB"/>
        </w:rPr>
        <w:t>nited Nations</w:t>
      </w:r>
      <w:r w:rsidR="002279FA" w:rsidRPr="00E3562B">
        <w:rPr>
          <w:lang w:val="en-GB"/>
        </w:rPr>
        <w:t>’</w:t>
      </w:r>
      <w:r w:rsidRPr="00E3562B">
        <w:rPr>
          <w:lang w:val="en-GB"/>
        </w:rPr>
        <w:t xml:space="preserve"> Sustainable Development Goals, as a step towards achieving a sustainable and equitable society.</w:t>
      </w:r>
    </w:p>
    <w:p w14:paraId="36BEB329" w14:textId="77777777" w:rsidR="007E53F0" w:rsidRPr="00E3562B" w:rsidRDefault="007E53F0" w:rsidP="007E53F0">
      <w:pPr>
        <w:rPr>
          <w:lang w:val="en-GB"/>
        </w:rPr>
      </w:pPr>
    </w:p>
    <w:p w14:paraId="3002AF25" w14:textId="3227E091" w:rsidR="00AB26D0" w:rsidRPr="00E3562B" w:rsidRDefault="007E53F0" w:rsidP="007E53F0">
      <w:pPr>
        <w:rPr>
          <w:lang w:val="en-GB"/>
        </w:rPr>
      </w:pPr>
      <w:r w:rsidRPr="00E3562B">
        <w:rPr>
          <w:lang w:val="en-GB"/>
        </w:rPr>
        <w:t xml:space="preserve">This research presents certain limitations and opens doors for future inquiries. Initially, </w:t>
      </w:r>
      <w:r w:rsidR="00A768B2" w:rsidRPr="00E3562B">
        <w:rPr>
          <w:lang w:val="en-GB"/>
        </w:rPr>
        <w:t>the</w:t>
      </w:r>
      <w:r w:rsidRPr="00E3562B">
        <w:rPr>
          <w:lang w:val="en-GB"/>
        </w:rPr>
        <w:t xml:space="preserve"> analysis </w:t>
      </w:r>
      <w:r w:rsidR="00B70A85" w:rsidRPr="00E3562B">
        <w:rPr>
          <w:lang w:val="en-GB"/>
        </w:rPr>
        <w:t>is</w:t>
      </w:r>
      <w:r w:rsidRPr="00E3562B">
        <w:rPr>
          <w:lang w:val="en-GB"/>
        </w:rPr>
        <w:t xml:space="preserve"> confined to the disclosure practices at the </w:t>
      </w:r>
      <w:r w:rsidR="00A92311" w:rsidRPr="00E3562B">
        <w:rPr>
          <w:lang w:val="en-GB"/>
        </w:rPr>
        <w:t>company</w:t>
      </w:r>
      <w:r w:rsidRPr="00E3562B">
        <w:rPr>
          <w:lang w:val="en-GB"/>
        </w:rPr>
        <w:t xml:space="preserve"> level regarding modern slavery. Hence, subsequent studies could delve into the combined effects of corporate and national governance structures on MSD. Moreover, while our investigation centred on the influence of CEO power, this paves the way for further exploration. Investigating additional CEO attributes, such as their tenure, expertise within the industry, competencies, cultural background, and religious beliefs, could yield insights into their impact on enhancing disclosures related to modern slavery. </w:t>
      </w:r>
    </w:p>
    <w:p w14:paraId="6ABC4C32" w14:textId="77777777" w:rsidR="00AB26D0" w:rsidRPr="00E3562B" w:rsidRDefault="00AB26D0" w:rsidP="007E53F0">
      <w:pPr>
        <w:rPr>
          <w:lang w:val="en-GB"/>
        </w:rPr>
      </w:pPr>
    </w:p>
    <w:p w14:paraId="006152AE" w14:textId="64D47B28" w:rsidR="00245B95" w:rsidRPr="00E3562B" w:rsidRDefault="00AB26D0" w:rsidP="007A3D35">
      <w:pPr>
        <w:rPr>
          <w:lang w:val="en-GB"/>
        </w:rPr>
      </w:pPr>
      <w:r w:rsidRPr="00E3562B">
        <w:rPr>
          <w:lang w:val="en-GB"/>
        </w:rPr>
        <w:lastRenderedPageBreak/>
        <w:t xml:space="preserve">Future research could profitably explore the potential positive impacts of CEO power on corporate disclosures, particularly in scenarios where CEOs’ personal values and ethical principles are closely aligned with socially desirable norms. This exploration could provide a more comprehensive understanding of how the personal characteristics of CEOs, such as their moral and ethical compass, interact with their level of power to influence corporate transparency in critical areas like modern slavery. Such studies could help delineate the conditions under which CEO power might serve as a catalyst for enhanced disclosure, rather than an impediment, thus offering insights into how corporate governance structures can be designed to harness the positive aspects of CEO influence while mitigating the risks. </w:t>
      </w:r>
      <w:r w:rsidR="007E53F0" w:rsidRPr="00E3562B">
        <w:rPr>
          <w:lang w:val="en-GB"/>
        </w:rPr>
        <w:t>Additionally, assessing the influence of CEOs within various institutional frameworks and comparing companies across different regulatory environments could provide valuable perspectives. Lastly, our approach was quantitative, relying on secondary data. Future research might benefit from qualitative methods, such interviews with key stakeholders</w:t>
      </w:r>
      <w:r w:rsidR="00451819" w:rsidRPr="00E3562B">
        <w:rPr>
          <w:lang w:val="en-GB"/>
        </w:rPr>
        <w:t xml:space="preserve"> </w:t>
      </w:r>
      <w:r w:rsidR="007E53F0" w:rsidRPr="00E3562B">
        <w:rPr>
          <w:lang w:val="en-GB"/>
        </w:rPr>
        <w:t xml:space="preserve">to gather diverse perspectives on combating modern slavery. Despite these limitations, our study contributes significant new understandings of modern slavery </w:t>
      </w:r>
      <w:r w:rsidR="008B0C4F" w:rsidRPr="00E3562B">
        <w:rPr>
          <w:lang w:val="en-GB"/>
        </w:rPr>
        <w:t>practices,</w:t>
      </w:r>
      <w:r w:rsidR="007E53F0" w:rsidRPr="00E3562B">
        <w:rPr>
          <w:lang w:val="en-GB"/>
        </w:rPr>
        <w:t xml:space="preserve"> and the pivotal roles played by corporate leaders and female board members in mitigating such unethical practices.</w:t>
      </w:r>
    </w:p>
    <w:p w14:paraId="2B1292A2" w14:textId="77777777" w:rsidR="00FE3F54" w:rsidRPr="00E3562B" w:rsidRDefault="00FE3F54">
      <w:pPr>
        <w:spacing w:line="240" w:lineRule="auto"/>
        <w:jc w:val="left"/>
        <w:rPr>
          <w:b/>
          <w:bCs/>
          <w:sz w:val="28"/>
          <w:szCs w:val="24"/>
          <w:lang w:val="en-GB"/>
        </w:rPr>
      </w:pPr>
      <w:r w:rsidRPr="00E3562B">
        <w:rPr>
          <w:lang w:val="en-GB"/>
        </w:rPr>
        <w:br w:type="page"/>
      </w:r>
    </w:p>
    <w:p w14:paraId="07E86BF5" w14:textId="2369C0B5" w:rsidR="000C6D18" w:rsidRPr="00E3562B" w:rsidRDefault="002B7937" w:rsidP="0066553C">
      <w:pPr>
        <w:pStyle w:val="Heading1"/>
        <w:numPr>
          <w:ilvl w:val="0"/>
          <w:numId w:val="0"/>
        </w:numPr>
        <w:rPr>
          <w:lang w:val="en-GB"/>
        </w:rPr>
      </w:pPr>
      <w:r w:rsidRPr="00E3562B">
        <w:rPr>
          <w:lang w:val="en-GB"/>
        </w:rPr>
        <w:lastRenderedPageBreak/>
        <w:t>References</w:t>
      </w:r>
    </w:p>
    <w:p w14:paraId="7AAA97A3" w14:textId="48BDC7A9" w:rsidR="00317A99" w:rsidRPr="00E3562B" w:rsidRDefault="00317A99" w:rsidP="0066553C">
      <w:pPr>
        <w:pStyle w:val="Bibliography"/>
        <w:spacing w:line="276" w:lineRule="auto"/>
        <w:rPr>
          <w:lang w:val="en-GB"/>
        </w:rPr>
      </w:pPr>
      <w:r w:rsidRPr="00E3562B">
        <w:rPr>
          <w:lang w:val="en-GB"/>
        </w:rPr>
        <w:t xml:space="preserve">Abernethy, M. A., Yu Flora Kuang, &amp; Bo Qin. (2015). The influence of CEO power on compensation contract design. </w:t>
      </w:r>
      <w:r w:rsidRPr="00E3562B">
        <w:rPr>
          <w:i/>
          <w:iCs/>
          <w:lang w:val="en-GB"/>
        </w:rPr>
        <w:t>The Accounting Review</w:t>
      </w:r>
      <w:r w:rsidRPr="00E3562B">
        <w:rPr>
          <w:lang w:val="en-GB"/>
        </w:rPr>
        <w:t xml:space="preserve">, </w:t>
      </w:r>
      <w:r w:rsidRPr="00E3562B">
        <w:rPr>
          <w:i/>
          <w:iCs/>
          <w:lang w:val="en-GB"/>
        </w:rPr>
        <w:t>90</w:t>
      </w:r>
      <w:r w:rsidRPr="00E3562B">
        <w:rPr>
          <w:lang w:val="en-GB"/>
        </w:rPr>
        <w:t>(4), 1265–1306. https://doi.org/10.2308/accr-50971</w:t>
      </w:r>
    </w:p>
    <w:p w14:paraId="7D885082" w14:textId="77777777" w:rsidR="00317A99" w:rsidRPr="00E3562B" w:rsidRDefault="00317A99" w:rsidP="0066553C">
      <w:pPr>
        <w:pStyle w:val="Bibliography"/>
        <w:spacing w:line="276" w:lineRule="auto"/>
        <w:rPr>
          <w:lang w:val="en-GB"/>
        </w:rPr>
      </w:pPr>
      <w:r w:rsidRPr="00E3562B">
        <w:rPr>
          <w:lang w:val="en-GB"/>
        </w:rPr>
        <w:t xml:space="preserve">Adams, R. B., &amp; Ferreira, D. (2009). Women in the boardroom and their impact on governance and performance. </w:t>
      </w:r>
      <w:r w:rsidRPr="00E3562B">
        <w:rPr>
          <w:i/>
          <w:iCs/>
          <w:lang w:val="en-GB"/>
        </w:rPr>
        <w:t>Journal of Financial Economics</w:t>
      </w:r>
      <w:r w:rsidRPr="00E3562B">
        <w:rPr>
          <w:lang w:val="en-GB"/>
        </w:rPr>
        <w:t xml:space="preserve">, </w:t>
      </w:r>
      <w:r w:rsidRPr="00E3562B">
        <w:rPr>
          <w:i/>
          <w:iCs/>
          <w:lang w:val="en-GB"/>
        </w:rPr>
        <w:t>94</w:t>
      </w:r>
      <w:r w:rsidRPr="00E3562B">
        <w:rPr>
          <w:lang w:val="en-GB"/>
        </w:rPr>
        <w:t>(2), 291–309. https://doi.org/10.1016/j.jfineco.2008.10.007</w:t>
      </w:r>
    </w:p>
    <w:p w14:paraId="718574A6" w14:textId="77777777" w:rsidR="00317A99" w:rsidRPr="00E3562B" w:rsidRDefault="00317A99" w:rsidP="0066553C">
      <w:pPr>
        <w:pStyle w:val="Bibliography"/>
        <w:spacing w:line="276" w:lineRule="auto"/>
        <w:rPr>
          <w:lang w:val="en-GB"/>
        </w:rPr>
      </w:pPr>
      <w:r w:rsidRPr="00E3562B">
        <w:rPr>
          <w:lang w:val="en-GB"/>
        </w:rPr>
        <w:t xml:space="preserve">Al-Shaer, H., </w:t>
      </w:r>
      <w:proofErr w:type="spellStart"/>
      <w:r w:rsidRPr="00E3562B">
        <w:rPr>
          <w:lang w:val="en-GB"/>
        </w:rPr>
        <w:t>Albitar</w:t>
      </w:r>
      <w:proofErr w:type="spellEnd"/>
      <w:r w:rsidRPr="00E3562B">
        <w:rPr>
          <w:lang w:val="en-GB"/>
        </w:rPr>
        <w:t xml:space="preserve">, K., &amp; Liu, J. (2022). CEO power and CSR-linked compensation for corporate environmental responsibility: UK evidence. </w:t>
      </w:r>
      <w:r w:rsidRPr="00E3562B">
        <w:rPr>
          <w:i/>
          <w:iCs/>
          <w:lang w:val="en-GB"/>
        </w:rPr>
        <w:t>Review of Quantitative Finance and Accounting</w:t>
      </w:r>
      <w:r w:rsidRPr="00E3562B">
        <w:rPr>
          <w:lang w:val="en-GB"/>
        </w:rPr>
        <w:t>. https://doi.org/10.1007/s11156-022-01118-z</w:t>
      </w:r>
    </w:p>
    <w:p w14:paraId="27D8F406" w14:textId="77777777" w:rsidR="00317A99" w:rsidRPr="00E3562B" w:rsidRDefault="00317A99" w:rsidP="0066553C">
      <w:pPr>
        <w:pStyle w:val="Bibliography"/>
        <w:spacing w:line="276" w:lineRule="auto"/>
        <w:rPr>
          <w:lang w:val="en-GB"/>
        </w:rPr>
      </w:pPr>
      <w:r w:rsidRPr="00E3562B">
        <w:rPr>
          <w:lang w:val="en-GB"/>
        </w:rPr>
        <w:t xml:space="preserve">Anti-Slavery International. (2022). </w:t>
      </w:r>
      <w:r w:rsidRPr="00E3562B">
        <w:rPr>
          <w:i/>
          <w:iCs/>
          <w:lang w:val="en-GB"/>
        </w:rPr>
        <w:t>What is modern slavery?</w:t>
      </w:r>
      <w:r w:rsidRPr="00E3562B">
        <w:rPr>
          <w:lang w:val="en-GB"/>
        </w:rPr>
        <w:t xml:space="preserve"> Anti-Slavery International. https://www.antislavery.org/slavery-today/modern-slavery/</w:t>
      </w:r>
    </w:p>
    <w:p w14:paraId="49165D6D" w14:textId="77777777" w:rsidR="00317A99" w:rsidRPr="00E3562B" w:rsidRDefault="00317A99" w:rsidP="0066553C">
      <w:pPr>
        <w:pStyle w:val="Bibliography"/>
        <w:spacing w:line="276" w:lineRule="auto"/>
        <w:rPr>
          <w:lang w:val="en-GB"/>
        </w:rPr>
      </w:pPr>
      <w:r w:rsidRPr="00E3562B">
        <w:rPr>
          <w:lang w:val="en-GB"/>
        </w:rPr>
        <w:t xml:space="preserve">Birkey, R. N., Guidry, R. P., Islam, M. A., &amp; Patten, D. M. (2018). Mandated Social Disclosure: An Analysis of the Response to the California Transparency in Supply Chains Act of 2010. </w:t>
      </w:r>
      <w:r w:rsidRPr="00E3562B">
        <w:rPr>
          <w:i/>
          <w:iCs/>
          <w:lang w:val="en-GB"/>
        </w:rPr>
        <w:t>Journal of Business Ethics</w:t>
      </w:r>
      <w:r w:rsidRPr="00E3562B">
        <w:rPr>
          <w:lang w:val="en-GB"/>
        </w:rPr>
        <w:t xml:space="preserve">, </w:t>
      </w:r>
      <w:r w:rsidRPr="00E3562B">
        <w:rPr>
          <w:i/>
          <w:iCs/>
          <w:lang w:val="en-GB"/>
        </w:rPr>
        <w:t>152</w:t>
      </w:r>
      <w:r w:rsidRPr="00E3562B">
        <w:rPr>
          <w:lang w:val="en-GB"/>
        </w:rPr>
        <w:t>(3), 827–841. https://doi.org/10.1007/s10551-016-3364-7</w:t>
      </w:r>
    </w:p>
    <w:p w14:paraId="7A0AF0DE" w14:textId="77777777" w:rsidR="00317A99" w:rsidRPr="00E3562B" w:rsidRDefault="00317A99" w:rsidP="0066553C">
      <w:pPr>
        <w:pStyle w:val="Bibliography"/>
        <w:spacing w:line="276" w:lineRule="auto"/>
        <w:rPr>
          <w:lang w:val="en-GB"/>
        </w:rPr>
      </w:pPr>
      <w:r w:rsidRPr="00E3562B">
        <w:rPr>
          <w:lang w:val="en-GB"/>
        </w:rPr>
        <w:t xml:space="preserve">Blau, P. M. (1977). </w:t>
      </w:r>
      <w:r w:rsidRPr="00E3562B">
        <w:rPr>
          <w:i/>
          <w:iCs/>
          <w:lang w:val="en-GB"/>
        </w:rPr>
        <w:t>Inequality and heterogeneity: A primitive theory of social structure</w:t>
      </w:r>
      <w:r w:rsidRPr="00E3562B">
        <w:rPr>
          <w:lang w:val="en-GB"/>
        </w:rPr>
        <w:t xml:space="preserve"> (Vol. 7). Free Press New York.</w:t>
      </w:r>
    </w:p>
    <w:p w14:paraId="10C75F6D" w14:textId="77777777" w:rsidR="00317A99" w:rsidRPr="00E3562B" w:rsidRDefault="00317A99" w:rsidP="0066553C">
      <w:pPr>
        <w:pStyle w:val="Bibliography"/>
        <w:spacing w:line="276" w:lineRule="auto"/>
        <w:rPr>
          <w:lang w:val="en-GB"/>
        </w:rPr>
      </w:pPr>
      <w:r w:rsidRPr="00E3562B">
        <w:rPr>
          <w:lang w:val="en-GB"/>
        </w:rPr>
        <w:t xml:space="preserve">Blundell, R., &amp; Bond, S. (1998). Initial conditions and moment restrictions in dynamic panel data models. </w:t>
      </w:r>
      <w:r w:rsidRPr="00E3562B">
        <w:rPr>
          <w:i/>
          <w:iCs/>
          <w:lang w:val="en-GB"/>
        </w:rPr>
        <w:t>Journal of Econometrics</w:t>
      </w:r>
      <w:r w:rsidRPr="00E3562B">
        <w:rPr>
          <w:lang w:val="en-GB"/>
        </w:rPr>
        <w:t xml:space="preserve">, </w:t>
      </w:r>
      <w:r w:rsidRPr="00E3562B">
        <w:rPr>
          <w:i/>
          <w:iCs/>
          <w:lang w:val="en-GB"/>
        </w:rPr>
        <w:t>87</w:t>
      </w:r>
      <w:r w:rsidRPr="00E3562B">
        <w:rPr>
          <w:lang w:val="en-GB"/>
        </w:rPr>
        <w:t>(1), 115–143.</w:t>
      </w:r>
    </w:p>
    <w:p w14:paraId="4BA485EE" w14:textId="77777777" w:rsidR="00317A99" w:rsidRPr="00E3562B" w:rsidRDefault="00317A99" w:rsidP="0066553C">
      <w:pPr>
        <w:pStyle w:val="Bibliography"/>
        <w:spacing w:line="276" w:lineRule="auto"/>
        <w:rPr>
          <w:lang w:val="en-GB"/>
        </w:rPr>
      </w:pPr>
      <w:r w:rsidRPr="00E3562B">
        <w:rPr>
          <w:lang w:val="en-GB"/>
        </w:rPr>
        <w:t xml:space="preserve">Boyd, B. K. (1994). Board control and CEO compensation. </w:t>
      </w:r>
      <w:r w:rsidRPr="00E3562B">
        <w:rPr>
          <w:i/>
          <w:iCs/>
          <w:lang w:val="en-GB"/>
        </w:rPr>
        <w:t>Strategic Management Journal</w:t>
      </w:r>
      <w:r w:rsidRPr="00E3562B">
        <w:rPr>
          <w:lang w:val="en-GB"/>
        </w:rPr>
        <w:t xml:space="preserve">, </w:t>
      </w:r>
      <w:r w:rsidRPr="00E3562B">
        <w:rPr>
          <w:i/>
          <w:iCs/>
          <w:lang w:val="en-GB"/>
        </w:rPr>
        <w:t>15</w:t>
      </w:r>
      <w:r w:rsidRPr="00E3562B">
        <w:rPr>
          <w:lang w:val="en-GB"/>
        </w:rPr>
        <w:t>(5), 335.</w:t>
      </w:r>
    </w:p>
    <w:p w14:paraId="01B2D12F" w14:textId="77777777" w:rsidR="00317A99" w:rsidRPr="00E3562B" w:rsidRDefault="00317A99" w:rsidP="0066553C">
      <w:pPr>
        <w:pStyle w:val="Bibliography"/>
        <w:spacing w:line="276" w:lineRule="auto"/>
        <w:rPr>
          <w:lang w:val="en-GB"/>
        </w:rPr>
      </w:pPr>
      <w:r w:rsidRPr="00E3562B">
        <w:rPr>
          <w:lang w:val="en-GB"/>
        </w:rPr>
        <w:t xml:space="preserve">Brahma, S., &amp; Economou, F. (2024). CEO power and corporate strategies: A review of the literature. </w:t>
      </w:r>
      <w:r w:rsidRPr="00E3562B">
        <w:rPr>
          <w:i/>
          <w:iCs/>
          <w:lang w:val="en-GB"/>
        </w:rPr>
        <w:t>Review of Quantitative Finance and Accounting</w:t>
      </w:r>
      <w:r w:rsidRPr="00E3562B">
        <w:rPr>
          <w:lang w:val="en-GB"/>
        </w:rPr>
        <w:t xml:space="preserve">, </w:t>
      </w:r>
      <w:r w:rsidRPr="00E3562B">
        <w:rPr>
          <w:i/>
          <w:iCs/>
          <w:lang w:val="en-GB"/>
        </w:rPr>
        <w:t>62</w:t>
      </w:r>
      <w:r w:rsidRPr="00E3562B">
        <w:rPr>
          <w:lang w:val="en-GB"/>
        </w:rPr>
        <w:t>(3), 1069–1143. https://doi.org/10.1007/s11156-023-01231-7</w:t>
      </w:r>
    </w:p>
    <w:p w14:paraId="440FA3C2" w14:textId="77777777" w:rsidR="00317A99" w:rsidRPr="00E3562B" w:rsidRDefault="00317A99" w:rsidP="0066553C">
      <w:pPr>
        <w:pStyle w:val="Bibliography"/>
        <w:spacing w:line="276" w:lineRule="auto"/>
        <w:rPr>
          <w:lang w:val="en-GB"/>
        </w:rPr>
      </w:pPr>
      <w:r w:rsidRPr="00E3562B">
        <w:rPr>
          <w:lang w:val="en-GB"/>
        </w:rPr>
        <w:t xml:space="preserve">Byun, K.-A. (Kay), &amp; Al-Shammari, M. (2021). When narcissistic CEOs meet power: Effects of CEO narcissism and power on the likelihood of product recalls in consumer-packaged goods. </w:t>
      </w:r>
      <w:r w:rsidRPr="00E3562B">
        <w:rPr>
          <w:i/>
          <w:iCs/>
          <w:lang w:val="en-GB"/>
        </w:rPr>
        <w:t>Journal of Business Research</w:t>
      </w:r>
      <w:r w:rsidRPr="00E3562B">
        <w:rPr>
          <w:lang w:val="en-GB"/>
        </w:rPr>
        <w:t xml:space="preserve">, </w:t>
      </w:r>
      <w:r w:rsidRPr="00E3562B">
        <w:rPr>
          <w:i/>
          <w:iCs/>
          <w:lang w:val="en-GB"/>
        </w:rPr>
        <w:t>128</w:t>
      </w:r>
      <w:r w:rsidRPr="00E3562B">
        <w:rPr>
          <w:lang w:val="en-GB"/>
        </w:rPr>
        <w:t>, 45–60. https://doi.org/10.1016/j.jbusres.2021.02.001</w:t>
      </w:r>
    </w:p>
    <w:p w14:paraId="270A1F59" w14:textId="77777777" w:rsidR="00317A99" w:rsidRPr="00E3562B" w:rsidRDefault="00317A99" w:rsidP="0066553C">
      <w:pPr>
        <w:pStyle w:val="Bibliography"/>
        <w:spacing w:line="276" w:lineRule="auto"/>
        <w:rPr>
          <w:lang w:val="en-GB"/>
        </w:rPr>
      </w:pPr>
      <w:r w:rsidRPr="00E3562B">
        <w:rPr>
          <w:lang w:val="en-GB"/>
        </w:rPr>
        <w:t xml:space="preserve">Cabeza‐García, L., Fernández‐Gago, R., &amp; Nieto, M. (2018). Do board gender diversity and director typology impact CSR reporting? </w:t>
      </w:r>
      <w:r w:rsidRPr="00E3562B">
        <w:rPr>
          <w:i/>
          <w:iCs/>
          <w:lang w:val="en-GB"/>
        </w:rPr>
        <w:t>European Management Review</w:t>
      </w:r>
      <w:r w:rsidRPr="00E3562B">
        <w:rPr>
          <w:lang w:val="en-GB"/>
        </w:rPr>
        <w:t xml:space="preserve">, </w:t>
      </w:r>
      <w:r w:rsidRPr="00E3562B">
        <w:rPr>
          <w:i/>
          <w:iCs/>
          <w:lang w:val="en-GB"/>
        </w:rPr>
        <w:t>15</w:t>
      </w:r>
      <w:r w:rsidRPr="00E3562B">
        <w:rPr>
          <w:lang w:val="en-GB"/>
        </w:rPr>
        <w:t>(4), 559–575. https://doi.org/10.1111/emre.12143</w:t>
      </w:r>
    </w:p>
    <w:p w14:paraId="4A6169F4" w14:textId="77777777" w:rsidR="00317A99" w:rsidRPr="00E3562B" w:rsidRDefault="00317A99" w:rsidP="0066553C">
      <w:pPr>
        <w:pStyle w:val="Bibliography"/>
        <w:spacing w:line="276" w:lineRule="auto"/>
        <w:rPr>
          <w:lang w:val="en-GB"/>
        </w:rPr>
      </w:pPr>
      <w:r w:rsidRPr="00E3562B">
        <w:rPr>
          <w:lang w:val="en-GB"/>
        </w:rPr>
        <w:t xml:space="preserve">Carlson, R. (1972). Understanding women: Implications for personality theory and research. </w:t>
      </w:r>
      <w:r w:rsidRPr="00E3562B">
        <w:rPr>
          <w:i/>
          <w:iCs/>
          <w:lang w:val="en-GB"/>
        </w:rPr>
        <w:t>Journal of Social Issues</w:t>
      </w:r>
      <w:r w:rsidRPr="00E3562B">
        <w:rPr>
          <w:lang w:val="en-GB"/>
        </w:rPr>
        <w:t xml:space="preserve">, </w:t>
      </w:r>
      <w:r w:rsidRPr="00E3562B">
        <w:rPr>
          <w:i/>
          <w:iCs/>
          <w:lang w:val="en-GB"/>
        </w:rPr>
        <w:t>28</w:t>
      </w:r>
      <w:r w:rsidRPr="00E3562B">
        <w:rPr>
          <w:lang w:val="en-GB"/>
        </w:rPr>
        <w:t>, 1–32.</w:t>
      </w:r>
    </w:p>
    <w:p w14:paraId="162AA091" w14:textId="77777777" w:rsidR="00317A99" w:rsidRPr="00E3562B" w:rsidRDefault="00317A99" w:rsidP="0066553C">
      <w:pPr>
        <w:pStyle w:val="Bibliography"/>
        <w:spacing w:line="276" w:lineRule="auto"/>
        <w:rPr>
          <w:lang w:val="en-GB"/>
        </w:rPr>
      </w:pPr>
      <w:r w:rsidRPr="00E3562B">
        <w:rPr>
          <w:lang w:val="en-GB"/>
        </w:rPr>
        <w:t xml:space="preserve">Carter, M. J. (2014). Gender socialization and identity theory. </w:t>
      </w:r>
      <w:r w:rsidRPr="00E3562B">
        <w:rPr>
          <w:i/>
          <w:iCs/>
          <w:lang w:val="en-GB"/>
        </w:rPr>
        <w:t>Social Sciences</w:t>
      </w:r>
      <w:r w:rsidRPr="00E3562B">
        <w:rPr>
          <w:lang w:val="en-GB"/>
        </w:rPr>
        <w:t xml:space="preserve">, </w:t>
      </w:r>
      <w:r w:rsidRPr="00E3562B">
        <w:rPr>
          <w:i/>
          <w:iCs/>
          <w:lang w:val="en-GB"/>
        </w:rPr>
        <w:t>3</w:t>
      </w:r>
      <w:r w:rsidRPr="00E3562B">
        <w:rPr>
          <w:lang w:val="en-GB"/>
        </w:rPr>
        <w:t>(2), Article 2. https://doi.org/10.3390/socsci3020242</w:t>
      </w:r>
    </w:p>
    <w:p w14:paraId="7C5E95DE" w14:textId="77777777" w:rsidR="00317A99" w:rsidRPr="00E3562B" w:rsidRDefault="00317A99" w:rsidP="0066553C">
      <w:pPr>
        <w:pStyle w:val="Bibliography"/>
        <w:spacing w:line="276" w:lineRule="auto"/>
        <w:rPr>
          <w:lang w:val="en-GB"/>
        </w:rPr>
      </w:pPr>
      <w:r w:rsidRPr="00E3562B">
        <w:rPr>
          <w:lang w:val="en-GB"/>
        </w:rPr>
        <w:t xml:space="preserve">Chao, C. C., Hu, M., Munir, Q., &amp; Li, T. (2017). The impact of CEO power on corporate capital structure: New evidence from dynamic panel threshold analysis. </w:t>
      </w:r>
      <w:r w:rsidRPr="00E3562B">
        <w:rPr>
          <w:i/>
          <w:iCs/>
          <w:lang w:val="en-GB"/>
        </w:rPr>
        <w:t>International Review of Economics &amp; Finance</w:t>
      </w:r>
      <w:r w:rsidRPr="00E3562B">
        <w:rPr>
          <w:lang w:val="en-GB"/>
        </w:rPr>
        <w:t xml:space="preserve">, </w:t>
      </w:r>
      <w:r w:rsidRPr="00E3562B">
        <w:rPr>
          <w:i/>
          <w:iCs/>
          <w:lang w:val="en-GB"/>
        </w:rPr>
        <w:t>51</w:t>
      </w:r>
      <w:r w:rsidRPr="00E3562B">
        <w:rPr>
          <w:lang w:val="en-GB"/>
        </w:rPr>
        <w:t>, 107–120. https://doi.org/10.1016/j.iref.2017.05.010</w:t>
      </w:r>
    </w:p>
    <w:p w14:paraId="53A85285" w14:textId="77777777" w:rsidR="00317A99" w:rsidRPr="00E3562B" w:rsidRDefault="00317A99" w:rsidP="0066553C">
      <w:pPr>
        <w:pStyle w:val="Bibliography"/>
        <w:spacing w:line="276" w:lineRule="auto"/>
        <w:rPr>
          <w:lang w:val="en-GB"/>
        </w:rPr>
      </w:pPr>
      <w:r w:rsidRPr="00E3562B">
        <w:rPr>
          <w:lang w:val="en-GB"/>
        </w:rPr>
        <w:t xml:space="preserve">Choe, C., Tian, G. Y., &amp; Yin, X. (2014). CEO power and the structure of CEO pay. </w:t>
      </w:r>
      <w:r w:rsidRPr="00E3562B">
        <w:rPr>
          <w:i/>
          <w:iCs/>
          <w:lang w:val="en-GB"/>
        </w:rPr>
        <w:t>International Review of Financial Analysis</w:t>
      </w:r>
      <w:r w:rsidRPr="00E3562B">
        <w:rPr>
          <w:lang w:val="en-GB"/>
        </w:rPr>
        <w:t xml:space="preserve">, </w:t>
      </w:r>
      <w:r w:rsidRPr="00E3562B">
        <w:rPr>
          <w:i/>
          <w:iCs/>
          <w:lang w:val="en-GB"/>
        </w:rPr>
        <w:t>35</w:t>
      </w:r>
      <w:r w:rsidRPr="00E3562B">
        <w:rPr>
          <w:lang w:val="en-GB"/>
        </w:rPr>
        <w:t>, 237–248. https://doi.org/10.1016/j.irfa.2014.10.004</w:t>
      </w:r>
    </w:p>
    <w:p w14:paraId="7B728F4E" w14:textId="77777777" w:rsidR="00317A99" w:rsidRPr="00E3562B" w:rsidRDefault="00317A99" w:rsidP="0066553C">
      <w:pPr>
        <w:pStyle w:val="Bibliography"/>
        <w:spacing w:line="276" w:lineRule="auto"/>
        <w:rPr>
          <w:lang w:val="en-GB"/>
        </w:rPr>
      </w:pPr>
      <w:r w:rsidRPr="00E3562B">
        <w:rPr>
          <w:lang w:val="en-GB"/>
        </w:rPr>
        <w:lastRenderedPageBreak/>
        <w:t xml:space="preserve">Christ, K. L., Burritt, R. L., &amp; Islam, M. A. (2023). Modern slavery and the accounting profession. </w:t>
      </w:r>
      <w:r w:rsidRPr="00E3562B">
        <w:rPr>
          <w:i/>
          <w:iCs/>
          <w:lang w:val="en-GB"/>
        </w:rPr>
        <w:t>The British Accounting Review</w:t>
      </w:r>
      <w:r w:rsidRPr="00E3562B">
        <w:rPr>
          <w:lang w:val="en-GB"/>
        </w:rPr>
        <w:t xml:space="preserve">, </w:t>
      </w:r>
      <w:proofErr w:type="spellStart"/>
      <w:r w:rsidRPr="00E3562B">
        <w:rPr>
          <w:i/>
          <w:iCs/>
          <w:lang w:val="en-GB"/>
        </w:rPr>
        <w:t>n.a.</w:t>
      </w:r>
      <w:proofErr w:type="spellEnd"/>
      <w:r w:rsidRPr="00E3562B">
        <w:rPr>
          <w:lang w:val="en-GB"/>
        </w:rPr>
        <w:t>(</w:t>
      </w:r>
      <w:proofErr w:type="spellStart"/>
      <w:r w:rsidRPr="00E3562B">
        <w:rPr>
          <w:lang w:val="en-GB"/>
        </w:rPr>
        <w:t>n.a.</w:t>
      </w:r>
      <w:proofErr w:type="spellEnd"/>
      <w:r w:rsidRPr="00E3562B">
        <w:rPr>
          <w:lang w:val="en-GB"/>
        </w:rPr>
        <w:t>), Forthcoming. https://doi.org/10.1016/j.bar.2023.101174</w:t>
      </w:r>
    </w:p>
    <w:p w14:paraId="74F09F1D" w14:textId="77777777" w:rsidR="00317A99" w:rsidRPr="00E3562B" w:rsidRDefault="00317A99" w:rsidP="0066553C">
      <w:pPr>
        <w:pStyle w:val="Bibliography"/>
        <w:spacing w:line="276" w:lineRule="auto"/>
        <w:rPr>
          <w:lang w:val="en-GB"/>
        </w:rPr>
      </w:pPr>
      <w:r w:rsidRPr="00E3562B">
        <w:rPr>
          <w:lang w:val="en-GB"/>
        </w:rPr>
        <w:t xml:space="preserve">Christ, K. L., Rao, K. K., &amp; Burritt, R. L. (2019). Accounting for modern slavery: An analysis of Australian listed company disclosures. </w:t>
      </w:r>
      <w:r w:rsidRPr="00E3562B">
        <w:rPr>
          <w:i/>
          <w:iCs/>
          <w:lang w:val="en-GB"/>
        </w:rPr>
        <w:t>Accounting, Auditing &amp; Accountability Journal</w:t>
      </w:r>
      <w:r w:rsidRPr="00E3562B">
        <w:rPr>
          <w:lang w:val="en-GB"/>
        </w:rPr>
        <w:t xml:space="preserve">, </w:t>
      </w:r>
      <w:r w:rsidRPr="00E3562B">
        <w:rPr>
          <w:i/>
          <w:iCs/>
          <w:lang w:val="en-GB"/>
        </w:rPr>
        <w:t>32</w:t>
      </w:r>
      <w:r w:rsidRPr="00E3562B">
        <w:rPr>
          <w:lang w:val="en-GB"/>
        </w:rPr>
        <w:t>(3), 836–865. https://doi.org/10.1108/AAAJ-11-2017-3242</w:t>
      </w:r>
    </w:p>
    <w:p w14:paraId="4E151E6F" w14:textId="77777777" w:rsidR="00317A99" w:rsidRPr="00E3562B" w:rsidRDefault="00317A99" w:rsidP="0066553C">
      <w:pPr>
        <w:pStyle w:val="Bibliography"/>
        <w:spacing w:line="276" w:lineRule="auto"/>
        <w:rPr>
          <w:lang w:val="en-GB"/>
        </w:rPr>
      </w:pPr>
      <w:r w:rsidRPr="00E3562B">
        <w:rPr>
          <w:lang w:val="en-GB"/>
        </w:rPr>
        <w:t xml:space="preserve">Christ, K. L., &amp; V </w:t>
      </w:r>
      <w:proofErr w:type="spellStart"/>
      <w:r w:rsidRPr="00E3562B">
        <w:rPr>
          <w:lang w:val="en-GB"/>
        </w:rPr>
        <w:t>Helliar</w:t>
      </w:r>
      <w:proofErr w:type="spellEnd"/>
      <w:r w:rsidRPr="00E3562B">
        <w:rPr>
          <w:lang w:val="en-GB"/>
        </w:rPr>
        <w:t xml:space="preserve">, C. (2021). Blockchain technology and modern slavery: Reducing deceptive recruitment in migrant worker populations. </w:t>
      </w:r>
      <w:r w:rsidRPr="00E3562B">
        <w:rPr>
          <w:i/>
          <w:iCs/>
          <w:lang w:val="en-GB"/>
        </w:rPr>
        <w:t>Journal of Business Research</w:t>
      </w:r>
      <w:r w:rsidRPr="00E3562B">
        <w:rPr>
          <w:lang w:val="en-GB"/>
        </w:rPr>
        <w:t xml:space="preserve">, </w:t>
      </w:r>
      <w:r w:rsidRPr="00E3562B">
        <w:rPr>
          <w:i/>
          <w:iCs/>
          <w:lang w:val="en-GB"/>
        </w:rPr>
        <w:t>131</w:t>
      </w:r>
      <w:r w:rsidRPr="00E3562B">
        <w:rPr>
          <w:lang w:val="en-GB"/>
        </w:rPr>
        <w:t>, 112–120. https://doi.org/10.1016/j.jbusres.2021.03.065</w:t>
      </w:r>
    </w:p>
    <w:p w14:paraId="1B3D6EC1" w14:textId="77777777" w:rsidR="00317A99" w:rsidRPr="00E3562B" w:rsidRDefault="00317A99" w:rsidP="0066553C">
      <w:pPr>
        <w:pStyle w:val="Bibliography"/>
        <w:spacing w:line="276" w:lineRule="auto"/>
        <w:rPr>
          <w:lang w:val="en-GB"/>
        </w:rPr>
      </w:pPr>
      <w:r w:rsidRPr="00E3562B">
        <w:rPr>
          <w:lang w:val="en-GB"/>
        </w:rPr>
        <w:t xml:space="preserve">Cousins, P., </w:t>
      </w:r>
      <w:proofErr w:type="spellStart"/>
      <w:r w:rsidRPr="00E3562B">
        <w:rPr>
          <w:lang w:val="en-GB"/>
        </w:rPr>
        <w:t>Dutordoir</w:t>
      </w:r>
      <w:proofErr w:type="spellEnd"/>
      <w:r w:rsidRPr="00E3562B">
        <w:rPr>
          <w:lang w:val="en-GB"/>
        </w:rPr>
        <w:t xml:space="preserve">, M., Lawson, B., &amp; Neto, J. Q. F. (2020). Shareholder wealth effects of modern slavery regulation. </w:t>
      </w:r>
      <w:r w:rsidRPr="00E3562B">
        <w:rPr>
          <w:i/>
          <w:iCs/>
          <w:lang w:val="en-GB"/>
        </w:rPr>
        <w:t>Management Science</w:t>
      </w:r>
      <w:r w:rsidRPr="00E3562B">
        <w:rPr>
          <w:lang w:val="en-GB"/>
        </w:rPr>
        <w:t xml:space="preserve">, </w:t>
      </w:r>
      <w:r w:rsidRPr="00E3562B">
        <w:rPr>
          <w:i/>
          <w:iCs/>
          <w:lang w:val="en-GB"/>
        </w:rPr>
        <w:t>66</w:t>
      </w:r>
      <w:r w:rsidRPr="00E3562B">
        <w:rPr>
          <w:lang w:val="en-GB"/>
        </w:rPr>
        <w:t>(11), 5265–5289. https://doi.org/10.1287/mnsc.2019.3456</w:t>
      </w:r>
    </w:p>
    <w:p w14:paraId="1ECEA135" w14:textId="77777777" w:rsidR="00317A99" w:rsidRPr="00E3562B" w:rsidRDefault="00317A99" w:rsidP="0066553C">
      <w:pPr>
        <w:pStyle w:val="Bibliography"/>
        <w:spacing w:line="276" w:lineRule="auto"/>
        <w:rPr>
          <w:lang w:val="en-GB"/>
        </w:rPr>
      </w:pPr>
      <w:r w:rsidRPr="00E3562B">
        <w:rPr>
          <w:lang w:val="en-GB"/>
        </w:rPr>
        <w:t xml:space="preserve">Crane, A. (2013). Modern slavery as a management practice: Exploring the conditions and capabilities for human exploitation. </w:t>
      </w:r>
      <w:r w:rsidRPr="00E3562B">
        <w:rPr>
          <w:i/>
          <w:iCs/>
          <w:lang w:val="en-GB"/>
        </w:rPr>
        <w:t>Academy of Management Review</w:t>
      </w:r>
      <w:r w:rsidRPr="00E3562B">
        <w:rPr>
          <w:lang w:val="en-GB"/>
        </w:rPr>
        <w:t xml:space="preserve">, </w:t>
      </w:r>
      <w:r w:rsidRPr="00E3562B">
        <w:rPr>
          <w:i/>
          <w:iCs/>
          <w:lang w:val="en-GB"/>
        </w:rPr>
        <w:t>38</w:t>
      </w:r>
      <w:r w:rsidRPr="00E3562B">
        <w:rPr>
          <w:lang w:val="en-GB"/>
        </w:rPr>
        <w:t>(1), 49–69. https://doi.org/10.5465/amr.2011.0145</w:t>
      </w:r>
    </w:p>
    <w:p w14:paraId="780B1F7B" w14:textId="77777777" w:rsidR="00317A99" w:rsidRPr="00E3562B" w:rsidRDefault="00317A99" w:rsidP="0066553C">
      <w:pPr>
        <w:pStyle w:val="Bibliography"/>
        <w:spacing w:line="276" w:lineRule="auto"/>
        <w:rPr>
          <w:lang w:val="en-GB"/>
        </w:rPr>
      </w:pPr>
      <w:r w:rsidRPr="00E3562B">
        <w:rPr>
          <w:lang w:val="en-GB"/>
        </w:rPr>
        <w:t xml:space="preserve">Cumming, D., Leung, T. Y., &amp; Rui, O. (2015). Gender diversity and securities fraud. </w:t>
      </w:r>
      <w:r w:rsidRPr="00E3562B">
        <w:rPr>
          <w:i/>
          <w:iCs/>
          <w:lang w:val="en-GB"/>
        </w:rPr>
        <w:t>Academy of Management Journal</w:t>
      </w:r>
      <w:r w:rsidRPr="00E3562B">
        <w:rPr>
          <w:lang w:val="en-GB"/>
        </w:rPr>
        <w:t xml:space="preserve">, </w:t>
      </w:r>
      <w:r w:rsidRPr="00E3562B">
        <w:rPr>
          <w:i/>
          <w:iCs/>
          <w:lang w:val="en-GB"/>
        </w:rPr>
        <w:t>58</w:t>
      </w:r>
      <w:r w:rsidRPr="00E3562B">
        <w:rPr>
          <w:lang w:val="en-GB"/>
        </w:rPr>
        <w:t>(5), 1572–1593. https://doi.org/10.5465/amj.2013.0750</w:t>
      </w:r>
    </w:p>
    <w:p w14:paraId="5DC3987C" w14:textId="77777777" w:rsidR="00317A99" w:rsidRPr="00E3562B" w:rsidRDefault="00317A99" w:rsidP="0066553C">
      <w:pPr>
        <w:pStyle w:val="Bibliography"/>
        <w:spacing w:line="276" w:lineRule="auto"/>
        <w:rPr>
          <w:lang w:val="en-GB"/>
        </w:rPr>
      </w:pPr>
      <w:r w:rsidRPr="00E3562B">
        <w:rPr>
          <w:lang w:val="en-GB"/>
        </w:rPr>
        <w:t xml:space="preserve">Daily, C. M., &amp; Johnson, J. L. (1997). Sources of CEO power and firm financial performance: A longitudinal assessment. </w:t>
      </w:r>
      <w:r w:rsidRPr="00E3562B">
        <w:rPr>
          <w:i/>
          <w:iCs/>
          <w:lang w:val="en-GB"/>
        </w:rPr>
        <w:t>Journal of Management</w:t>
      </w:r>
      <w:r w:rsidRPr="00E3562B">
        <w:rPr>
          <w:lang w:val="en-GB"/>
        </w:rPr>
        <w:t xml:space="preserve">, </w:t>
      </w:r>
      <w:r w:rsidRPr="00E3562B">
        <w:rPr>
          <w:i/>
          <w:iCs/>
          <w:lang w:val="en-GB"/>
        </w:rPr>
        <w:t>23</w:t>
      </w:r>
      <w:r w:rsidRPr="00E3562B">
        <w:rPr>
          <w:lang w:val="en-GB"/>
        </w:rPr>
        <w:t>(2), 97–117. https://doi.org/10.1016/S0149-2063(97)90039-8</w:t>
      </w:r>
    </w:p>
    <w:p w14:paraId="33BDAEFB" w14:textId="77777777" w:rsidR="00317A99" w:rsidRPr="00E3562B" w:rsidRDefault="00317A99" w:rsidP="0066553C">
      <w:pPr>
        <w:pStyle w:val="Bibliography"/>
        <w:spacing w:line="276" w:lineRule="auto"/>
        <w:rPr>
          <w:lang w:val="en-GB"/>
        </w:rPr>
      </w:pPr>
      <w:r w:rsidRPr="00E3562B">
        <w:rPr>
          <w:lang w:val="en-GB"/>
        </w:rPr>
        <w:t xml:space="preserve">Dalton, D. R., &amp; Kesner, I. F. (1987). Composition and CEO duality in boards of directors: An international perspective. </w:t>
      </w:r>
      <w:r w:rsidRPr="00E3562B">
        <w:rPr>
          <w:i/>
          <w:iCs/>
          <w:lang w:val="en-GB"/>
        </w:rPr>
        <w:t>Journal of International Business Studies</w:t>
      </w:r>
      <w:r w:rsidRPr="00E3562B">
        <w:rPr>
          <w:lang w:val="en-GB"/>
        </w:rPr>
        <w:t xml:space="preserve">, </w:t>
      </w:r>
      <w:r w:rsidRPr="00E3562B">
        <w:rPr>
          <w:i/>
          <w:iCs/>
          <w:lang w:val="en-GB"/>
        </w:rPr>
        <w:t>18</w:t>
      </w:r>
      <w:r w:rsidRPr="00E3562B">
        <w:rPr>
          <w:lang w:val="en-GB"/>
        </w:rPr>
        <w:t>(3), 33.</w:t>
      </w:r>
    </w:p>
    <w:p w14:paraId="0EEE962C" w14:textId="77777777" w:rsidR="00317A99" w:rsidRPr="00E3562B" w:rsidRDefault="00317A99" w:rsidP="0066553C">
      <w:pPr>
        <w:pStyle w:val="Bibliography"/>
        <w:spacing w:line="276" w:lineRule="auto"/>
        <w:rPr>
          <w:lang w:val="en-GB"/>
        </w:rPr>
      </w:pPr>
      <w:r w:rsidRPr="00E3562B">
        <w:rPr>
          <w:lang w:val="en-GB"/>
        </w:rPr>
        <w:t xml:space="preserve">Dawson, L. M. (1997). Ethical differences between men and women in the sales profession. </w:t>
      </w:r>
      <w:r w:rsidRPr="00E3562B">
        <w:rPr>
          <w:i/>
          <w:iCs/>
          <w:lang w:val="en-GB"/>
        </w:rPr>
        <w:t>Journal of Business Ethics</w:t>
      </w:r>
      <w:r w:rsidRPr="00E3562B">
        <w:rPr>
          <w:lang w:val="en-GB"/>
        </w:rPr>
        <w:t xml:space="preserve">, </w:t>
      </w:r>
      <w:r w:rsidRPr="00E3562B">
        <w:rPr>
          <w:i/>
          <w:iCs/>
          <w:lang w:val="en-GB"/>
        </w:rPr>
        <w:t>16</w:t>
      </w:r>
      <w:r w:rsidRPr="00E3562B">
        <w:rPr>
          <w:lang w:val="en-GB"/>
        </w:rPr>
        <w:t>(11), 1143–1152. https://doi.org/10.1023/A:1005721916646</w:t>
      </w:r>
    </w:p>
    <w:p w14:paraId="7203D84B" w14:textId="77777777" w:rsidR="00317A99" w:rsidRPr="00E3562B" w:rsidRDefault="00317A99" w:rsidP="0066553C">
      <w:pPr>
        <w:pStyle w:val="Bibliography"/>
        <w:spacing w:line="276" w:lineRule="auto"/>
        <w:rPr>
          <w:lang w:val="en-GB"/>
        </w:rPr>
      </w:pPr>
      <w:r w:rsidRPr="00E3562B">
        <w:rPr>
          <w:lang w:val="en-GB"/>
        </w:rPr>
        <w:t xml:space="preserve">Demerjian, P., Lewis-Western, M., &amp; McVay, S. (2020). How does intentional earnings smoothing vary with managerial ability? </w:t>
      </w:r>
      <w:r w:rsidRPr="00E3562B">
        <w:rPr>
          <w:i/>
          <w:iCs/>
          <w:lang w:val="en-GB"/>
        </w:rPr>
        <w:t>Journal of Accounting, Auditing &amp; Finance</w:t>
      </w:r>
      <w:r w:rsidRPr="00E3562B">
        <w:rPr>
          <w:lang w:val="en-GB"/>
        </w:rPr>
        <w:t xml:space="preserve">, </w:t>
      </w:r>
      <w:r w:rsidRPr="00E3562B">
        <w:rPr>
          <w:i/>
          <w:iCs/>
          <w:lang w:val="en-GB"/>
        </w:rPr>
        <w:t>35</w:t>
      </w:r>
      <w:r w:rsidRPr="00E3562B">
        <w:rPr>
          <w:lang w:val="en-GB"/>
        </w:rPr>
        <w:t>(2), 406–437. https://doi.org/10.1177/0148558X17748405</w:t>
      </w:r>
    </w:p>
    <w:p w14:paraId="188DABEF" w14:textId="77777777" w:rsidR="00317A99" w:rsidRPr="00E3562B" w:rsidRDefault="00317A99" w:rsidP="0066553C">
      <w:pPr>
        <w:pStyle w:val="Bibliography"/>
        <w:spacing w:line="276" w:lineRule="auto"/>
        <w:rPr>
          <w:lang w:val="en-GB"/>
        </w:rPr>
      </w:pPr>
      <w:proofErr w:type="spellStart"/>
      <w:r w:rsidRPr="00E3562B">
        <w:rPr>
          <w:lang w:val="en-GB"/>
        </w:rPr>
        <w:t>Dobija</w:t>
      </w:r>
      <w:proofErr w:type="spellEnd"/>
      <w:r w:rsidRPr="00E3562B">
        <w:rPr>
          <w:lang w:val="en-GB"/>
        </w:rPr>
        <w:t xml:space="preserve">, D., </w:t>
      </w:r>
      <w:proofErr w:type="spellStart"/>
      <w:r w:rsidRPr="00E3562B">
        <w:rPr>
          <w:lang w:val="en-GB"/>
        </w:rPr>
        <w:t>Hryckiewicz</w:t>
      </w:r>
      <w:proofErr w:type="spellEnd"/>
      <w:r w:rsidRPr="00E3562B">
        <w:rPr>
          <w:lang w:val="en-GB"/>
        </w:rPr>
        <w:t xml:space="preserve">, A., Zaman, M., &amp; </w:t>
      </w:r>
      <w:proofErr w:type="spellStart"/>
      <w:r w:rsidRPr="00E3562B">
        <w:rPr>
          <w:lang w:val="en-GB"/>
        </w:rPr>
        <w:t>Puławska</w:t>
      </w:r>
      <w:proofErr w:type="spellEnd"/>
      <w:r w:rsidRPr="00E3562B">
        <w:rPr>
          <w:lang w:val="en-GB"/>
        </w:rPr>
        <w:t xml:space="preserve">, K. (2022). Critical mass and voice: Board gender diversity and financial reporting quality. </w:t>
      </w:r>
      <w:r w:rsidRPr="00E3562B">
        <w:rPr>
          <w:i/>
          <w:iCs/>
          <w:lang w:val="en-GB"/>
        </w:rPr>
        <w:t>European Management Journal</w:t>
      </w:r>
      <w:r w:rsidRPr="00E3562B">
        <w:rPr>
          <w:lang w:val="en-GB"/>
        </w:rPr>
        <w:t xml:space="preserve">, </w:t>
      </w:r>
      <w:r w:rsidRPr="00E3562B">
        <w:rPr>
          <w:i/>
          <w:iCs/>
          <w:lang w:val="en-GB"/>
        </w:rPr>
        <w:t>40</w:t>
      </w:r>
      <w:r w:rsidRPr="00E3562B">
        <w:rPr>
          <w:lang w:val="en-GB"/>
        </w:rPr>
        <w:t>(1), 29–44. https://doi.org/10.1016/j.emj.2021.02.005</w:t>
      </w:r>
    </w:p>
    <w:p w14:paraId="0E09BEE0" w14:textId="77777777" w:rsidR="00317A99" w:rsidRPr="00E3562B" w:rsidRDefault="00317A99" w:rsidP="0066553C">
      <w:pPr>
        <w:pStyle w:val="Bibliography"/>
        <w:spacing w:line="276" w:lineRule="auto"/>
        <w:rPr>
          <w:lang w:val="en-GB"/>
        </w:rPr>
      </w:pPr>
      <w:r w:rsidRPr="00E3562B">
        <w:rPr>
          <w:lang w:val="en-GB"/>
        </w:rPr>
        <w:t xml:space="preserve">Dobler, M., Lajili, K., &amp; </w:t>
      </w:r>
      <w:proofErr w:type="spellStart"/>
      <w:r w:rsidRPr="00E3562B">
        <w:rPr>
          <w:lang w:val="en-GB"/>
        </w:rPr>
        <w:t>Zéghal</w:t>
      </w:r>
      <w:proofErr w:type="spellEnd"/>
      <w:r w:rsidRPr="00E3562B">
        <w:rPr>
          <w:lang w:val="en-GB"/>
        </w:rPr>
        <w:t xml:space="preserve">, D. (2015). Corporate environmental sustainability disclosures and environmental risk: Alternative tests of socio-political theories. </w:t>
      </w:r>
      <w:r w:rsidRPr="00E3562B">
        <w:rPr>
          <w:i/>
          <w:iCs/>
          <w:lang w:val="en-GB"/>
        </w:rPr>
        <w:t>Journal of Accounting &amp; Organizational Change</w:t>
      </w:r>
      <w:r w:rsidRPr="00E3562B">
        <w:rPr>
          <w:lang w:val="en-GB"/>
        </w:rPr>
        <w:t xml:space="preserve">, </w:t>
      </w:r>
      <w:r w:rsidRPr="00E3562B">
        <w:rPr>
          <w:i/>
          <w:iCs/>
          <w:lang w:val="en-GB"/>
        </w:rPr>
        <w:t>11</w:t>
      </w:r>
      <w:r w:rsidRPr="00E3562B">
        <w:rPr>
          <w:lang w:val="en-GB"/>
        </w:rPr>
        <w:t>(3), 301–332. https://doi.org/10.1108/JAOC-10-2013-0081</w:t>
      </w:r>
    </w:p>
    <w:p w14:paraId="26EC630E" w14:textId="77777777" w:rsidR="00317A99" w:rsidRPr="00E3562B" w:rsidRDefault="00317A99" w:rsidP="0066553C">
      <w:pPr>
        <w:pStyle w:val="Bibliography"/>
        <w:spacing w:line="276" w:lineRule="auto"/>
        <w:rPr>
          <w:lang w:val="en-GB"/>
        </w:rPr>
      </w:pPr>
      <w:proofErr w:type="spellStart"/>
      <w:r w:rsidRPr="00E3562B">
        <w:rPr>
          <w:lang w:val="en-GB"/>
        </w:rPr>
        <w:t>Eagly</w:t>
      </w:r>
      <w:proofErr w:type="spellEnd"/>
      <w:r w:rsidRPr="00E3562B">
        <w:rPr>
          <w:lang w:val="en-GB"/>
        </w:rPr>
        <w:t xml:space="preserve">, A. H., Carli, L. L., &amp; Carli, L. L. (2007). </w:t>
      </w:r>
      <w:r w:rsidRPr="00E3562B">
        <w:rPr>
          <w:i/>
          <w:iCs/>
          <w:lang w:val="en-GB"/>
        </w:rPr>
        <w:t>Through the labyrinth: The truth about how women become leaders</w:t>
      </w:r>
      <w:r w:rsidRPr="00E3562B">
        <w:rPr>
          <w:lang w:val="en-GB"/>
        </w:rPr>
        <w:t xml:space="preserve"> (Vol. 11). Harvard Business School Press Boston, MA. https://www.emerald.com/insight/content/doi/10.1108/gm.2009.05324aae.001/full/html</w:t>
      </w:r>
    </w:p>
    <w:p w14:paraId="55A0D518" w14:textId="77777777" w:rsidR="00317A99" w:rsidRPr="00E3562B" w:rsidRDefault="00317A99" w:rsidP="0066553C">
      <w:pPr>
        <w:pStyle w:val="Bibliography"/>
        <w:spacing w:line="276" w:lineRule="auto"/>
        <w:rPr>
          <w:lang w:val="en-GB"/>
        </w:rPr>
      </w:pPr>
      <w:r w:rsidRPr="00E3562B">
        <w:rPr>
          <w:lang w:val="en-GB"/>
        </w:rPr>
        <w:t xml:space="preserve">Eisenhardt, K. M. (1989). Agency Theory: An Assessment and Review. </w:t>
      </w:r>
      <w:r w:rsidRPr="00E3562B">
        <w:rPr>
          <w:i/>
          <w:iCs/>
          <w:lang w:val="en-GB"/>
        </w:rPr>
        <w:t>The Academy of Management Review</w:t>
      </w:r>
      <w:r w:rsidRPr="00E3562B">
        <w:rPr>
          <w:lang w:val="en-GB"/>
        </w:rPr>
        <w:t xml:space="preserve">, </w:t>
      </w:r>
      <w:r w:rsidRPr="00E3562B">
        <w:rPr>
          <w:i/>
          <w:iCs/>
          <w:lang w:val="en-GB"/>
        </w:rPr>
        <w:t>14</w:t>
      </w:r>
      <w:r w:rsidRPr="00E3562B">
        <w:rPr>
          <w:lang w:val="en-GB"/>
        </w:rPr>
        <w:t>(1), 57. https://doi.org/10.2307/258191</w:t>
      </w:r>
    </w:p>
    <w:p w14:paraId="161BDEBA" w14:textId="77777777" w:rsidR="00317A99" w:rsidRPr="00E3562B" w:rsidRDefault="00317A99" w:rsidP="0066553C">
      <w:pPr>
        <w:pStyle w:val="Bibliography"/>
        <w:spacing w:line="276" w:lineRule="auto"/>
        <w:rPr>
          <w:lang w:val="en-GB"/>
        </w:rPr>
      </w:pPr>
      <w:proofErr w:type="spellStart"/>
      <w:r w:rsidRPr="00E3562B">
        <w:rPr>
          <w:lang w:val="en-GB"/>
        </w:rPr>
        <w:t>Eliwa</w:t>
      </w:r>
      <w:proofErr w:type="spellEnd"/>
      <w:r w:rsidRPr="00E3562B">
        <w:rPr>
          <w:lang w:val="en-GB"/>
        </w:rPr>
        <w:t xml:space="preserve">, Y., Aboud, A., &amp; Saleh, A. (2021). ESG practices and the cost of debt: Evidence from EU countries. </w:t>
      </w:r>
      <w:r w:rsidRPr="00E3562B">
        <w:rPr>
          <w:i/>
          <w:iCs/>
          <w:lang w:val="en-GB"/>
        </w:rPr>
        <w:t>Critical Perspectives on Accounting</w:t>
      </w:r>
      <w:r w:rsidRPr="00E3562B">
        <w:rPr>
          <w:lang w:val="en-GB"/>
        </w:rPr>
        <w:t xml:space="preserve">, </w:t>
      </w:r>
      <w:r w:rsidRPr="00E3562B">
        <w:rPr>
          <w:i/>
          <w:iCs/>
          <w:lang w:val="en-GB"/>
        </w:rPr>
        <w:t>79</w:t>
      </w:r>
      <w:r w:rsidRPr="00E3562B">
        <w:rPr>
          <w:lang w:val="en-GB"/>
        </w:rPr>
        <w:t>, 102097. https://doi.org/10.1016/j.cpa.2019.102097</w:t>
      </w:r>
    </w:p>
    <w:p w14:paraId="463C335A" w14:textId="77777777" w:rsidR="00317A99" w:rsidRPr="00E3562B" w:rsidRDefault="00317A99" w:rsidP="0066553C">
      <w:pPr>
        <w:pStyle w:val="Bibliography"/>
        <w:spacing w:line="276" w:lineRule="auto"/>
        <w:rPr>
          <w:lang w:val="en-GB"/>
        </w:rPr>
      </w:pPr>
      <w:r w:rsidRPr="00E3562B">
        <w:rPr>
          <w:lang w:val="en-GB"/>
        </w:rPr>
        <w:lastRenderedPageBreak/>
        <w:t xml:space="preserve">Fama, E. F., &amp; Jensen, M. C. (1983). Separation of ownership and control. </w:t>
      </w:r>
      <w:r w:rsidRPr="00E3562B">
        <w:rPr>
          <w:i/>
          <w:iCs/>
          <w:lang w:val="en-GB"/>
        </w:rPr>
        <w:t>The Journal of Law and Economics</w:t>
      </w:r>
      <w:r w:rsidRPr="00E3562B">
        <w:rPr>
          <w:lang w:val="en-GB"/>
        </w:rPr>
        <w:t xml:space="preserve">, </w:t>
      </w:r>
      <w:r w:rsidRPr="00E3562B">
        <w:rPr>
          <w:i/>
          <w:iCs/>
          <w:lang w:val="en-GB"/>
        </w:rPr>
        <w:t>26</w:t>
      </w:r>
      <w:r w:rsidRPr="00E3562B">
        <w:rPr>
          <w:lang w:val="en-GB"/>
        </w:rPr>
        <w:t>(2), 301–325.</w:t>
      </w:r>
    </w:p>
    <w:p w14:paraId="0E8ADCDD" w14:textId="77777777" w:rsidR="00317A99" w:rsidRPr="00E3562B" w:rsidRDefault="00317A99" w:rsidP="0066553C">
      <w:pPr>
        <w:pStyle w:val="Bibliography"/>
        <w:spacing w:line="276" w:lineRule="auto"/>
        <w:rPr>
          <w:lang w:val="en-GB"/>
        </w:rPr>
      </w:pPr>
      <w:r w:rsidRPr="00E3562B">
        <w:rPr>
          <w:lang w:val="en-GB"/>
        </w:rPr>
        <w:t xml:space="preserve">Fernando, G. D., Jain, S. S., &amp; Tripathy, A. (2020). This cloud has a silver lining: Gender diversity, managerial ability, and firm performance. </w:t>
      </w:r>
      <w:r w:rsidRPr="00E3562B">
        <w:rPr>
          <w:i/>
          <w:iCs/>
          <w:lang w:val="en-GB"/>
        </w:rPr>
        <w:t>Journal of Business Research</w:t>
      </w:r>
      <w:r w:rsidRPr="00E3562B">
        <w:rPr>
          <w:lang w:val="en-GB"/>
        </w:rPr>
        <w:t xml:space="preserve">, </w:t>
      </w:r>
      <w:r w:rsidRPr="00E3562B">
        <w:rPr>
          <w:i/>
          <w:iCs/>
          <w:lang w:val="en-GB"/>
        </w:rPr>
        <w:t>117</w:t>
      </w:r>
      <w:r w:rsidRPr="00E3562B">
        <w:rPr>
          <w:lang w:val="en-GB"/>
        </w:rPr>
        <w:t>, 484–496. https://doi.org/10.1016/j.jbusres.2020.05.042</w:t>
      </w:r>
    </w:p>
    <w:p w14:paraId="0047C39C" w14:textId="77777777" w:rsidR="00317A99" w:rsidRPr="00E3562B" w:rsidRDefault="00317A99" w:rsidP="0066553C">
      <w:pPr>
        <w:pStyle w:val="Bibliography"/>
        <w:spacing w:line="276" w:lineRule="auto"/>
        <w:rPr>
          <w:lang w:val="en-GB"/>
        </w:rPr>
      </w:pPr>
      <w:r w:rsidRPr="00E3562B">
        <w:rPr>
          <w:lang w:val="en-GB"/>
        </w:rPr>
        <w:t xml:space="preserve">Flynn, A. (2020). Determinants of corporate compliance with modern slavery reporting. </w:t>
      </w:r>
      <w:r w:rsidRPr="00E3562B">
        <w:rPr>
          <w:i/>
          <w:iCs/>
          <w:lang w:val="en-GB"/>
        </w:rPr>
        <w:t>Supply Chain Management: An International Journal</w:t>
      </w:r>
      <w:r w:rsidRPr="00E3562B">
        <w:rPr>
          <w:lang w:val="en-GB"/>
        </w:rPr>
        <w:t xml:space="preserve">, </w:t>
      </w:r>
      <w:r w:rsidRPr="00E3562B">
        <w:rPr>
          <w:i/>
          <w:iCs/>
          <w:lang w:val="en-GB"/>
        </w:rPr>
        <w:t>25</w:t>
      </w:r>
      <w:r w:rsidRPr="00E3562B">
        <w:rPr>
          <w:lang w:val="en-GB"/>
        </w:rPr>
        <w:t>(1), 1–16. https://doi.org/10.1108/SCM-10-2018-0369</w:t>
      </w:r>
    </w:p>
    <w:p w14:paraId="5C27E96C" w14:textId="77777777" w:rsidR="00317A99" w:rsidRPr="00E3562B" w:rsidRDefault="00317A99" w:rsidP="0066553C">
      <w:pPr>
        <w:pStyle w:val="Bibliography"/>
        <w:spacing w:line="276" w:lineRule="auto"/>
        <w:rPr>
          <w:lang w:val="en-GB"/>
        </w:rPr>
      </w:pPr>
      <w:r w:rsidRPr="00E3562B">
        <w:rPr>
          <w:lang w:val="en-GB"/>
        </w:rPr>
        <w:t xml:space="preserve">FRC. (2022). </w:t>
      </w:r>
      <w:r w:rsidRPr="00E3562B">
        <w:rPr>
          <w:i/>
          <w:iCs/>
          <w:lang w:val="en-GB"/>
        </w:rPr>
        <w:t>Modern slavery reporting practices in the UK</w:t>
      </w:r>
      <w:r w:rsidRPr="00E3562B">
        <w:rPr>
          <w:lang w:val="en-GB"/>
        </w:rPr>
        <w:t xml:space="preserve"> (p. 28). Financial Reporting Council. https://www.frc.org.uk/getattachment/77c053d9-fe30-42c6-8236-d9821c8a1e2b/FRC-Modern-Slavery-Reporting-Practices-in-the-UK-2022.pdf</w:t>
      </w:r>
    </w:p>
    <w:p w14:paraId="0232C575" w14:textId="77777777" w:rsidR="00317A99" w:rsidRPr="00E3562B" w:rsidRDefault="00317A99" w:rsidP="0066553C">
      <w:pPr>
        <w:pStyle w:val="Bibliography"/>
        <w:spacing w:line="276" w:lineRule="auto"/>
        <w:rPr>
          <w:lang w:val="en-GB"/>
        </w:rPr>
      </w:pPr>
      <w:r w:rsidRPr="00E3562B">
        <w:rPr>
          <w:lang w:val="en-GB"/>
        </w:rPr>
        <w:t xml:space="preserve">García‐Sánchez, I., Raimo, N., &amp; </w:t>
      </w:r>
      <w:proofErr w:type="spellStart"/>
      <w:r w:rsidRPr="00E3562B">
        <w:rPr>
          <w:lang w:val="en-GB"/>
        </w:rPr>
        <w:t>Vitolla</w:t>
      </w:r>
      <w:proofErr w:type="spellEnd"/>
      <w:r w:rsidRPr="00E3562B">
        <w:rPr>
          <w:lang w:val="en-GB"/>
        </w:rPr>
        <w:t xml:space="preserve">, F. (2020). CEO power and integrated reporting. </w:t>
      </w:r>
      <w:proofErr w:type="spellStart"/>
      <w:r w:rsidRPr="00E3562B">
        <w:rPr>
          <w:i/>
          <w:iCs/>
          <w:lang w:val="en-GB"/>
        </w:rPr>
        <w:t>Meditari</w:t>
      </w:r>
      <w:proofErr w:type="spellEnd"/>
      <w:r w:rsidRPr="00E3562B">
        <w:rPr>
          <w:i/>
          <w:iCs/>
          <w:lang w:val="en-GB"/>
        </w:rPr>
        <w:t xml:space="preserve"> Accountancy Research</w:t>
      </w:r>
      <w:r w:rsidRPr="00E3562B">
        <w:rPr>
          <w:lang w:val="en-GB"/>
        </w:rPr>
        <w:t xml:space="preserve">, </w:t>
      </w:r>
      <w:r w:rsidRPr="00E3562B">
        <w:rPr>
          <w:i/>
          <w:iCs/>
          <w:lang w:val="en-GB"/>
        </w:rPr>
        <w:t>29</w:t>
      </w:r>
      <w:r w:rsidRPr="00E3562B">
        <w:rPr>
          <w:lang w:val="en-GB"/>
        </w:rPr>
        <w:t>(4), 908–942. https://doi.org/10.1108/MEDAR-11-2019-0604</w:t>
      </w:r>
    </w:p>
    <w:p w14:paraId="70CDC69C" w14:textId="77777777" w:rsidR="00317A99" w:rsidRPr="00E3562B" w:rsidRDefault="00317A99" w:rsidP="0066553C">
      <w:pPr>
        <w:pStyle w:val="Bibliography"/>
        <w:spacing w:line="276" w:lineRule="auto"/>
        <w:rPr>
          <w:lang w:val="en-GB"/>
        </w:rPr>
      </w:pPr>
      <w:r w:rsidRPr="00E3562B">
        <w:rPr>
          <w:lang w:val="en-GB"/>
        </w:rPr>
        <w:t xml:space="preserve">Gold, S., </w:t>
      </w:r>
      <w:proofErr w:type="spellStart"/>
      <w:r w:rsidRPr="00E3562B">
        <w:rPr>
          <w:lang w:val="en-GB"/>
        </w:rPr>
        <w:t>Trautrims</w:t>
      </w:r>
      <w:proofErr w:type="spellEnd"/>
      <w:r w:rsidRPr="00E3562B">
        <w:rPr>
          <w:lang w:val="en-GB"/>
        </w:rPr>
        <w:t xml:space="preserve">, A., &amp; </w:t>
      </w:r>
      <w:proofErr w:type="spellStart"/>
      <w:r w:rsidRPr="00E3562B">
        <w:rPr>
          <w:lang w:val="en-GB"/>
        </w:rPr>
        <w:t>Trodd</w:t>
      </w:r>
      <w:proofErr w:type="spellEnd"/>
      <w:r w:rsidRPr="00E3562B">
        <w:rPr>
          <w:lang w:val="en-GB"/>
        </w:rPr>
        <w:t xml:space="preserve">, Z. (2015). Modern slavery challenges to supply chain management. </w:t>
      </w:r>
      <w:r w:rsidRPr="00E3562B">
        <w:rPr>
          <w:i/>
          <w:iCs/>
          <w:lang w:val="en-GB"/>
        </w:rPr>
        <w:t>Supply Chain Management</w:t>
      </w:r>
      <w:r w:rsidRPr="00E3562B">
        <w:rPr>
          <w:lang w:val="en-GB"/>
        </w:rPr>
        <w:t xml:space="preserve">, </w:t>
      </w:r>
      <w:r w:rsidRPr="00E3562B">
        <w:rPr>
          <w:i/>
          <w:iCs/>
          <w:lang w:val="en-GB"/>
        </w:rPr>
        <w:t>20</w:t>
      </w:r>
      <w:r w:rsidRPr="00E3562B">
        <w:rPr>
          <w:lang w:val="en-GB"/>
        </w:rPr>
        <w:t>(5), 485–494. http://dx.doi.org/10.1108/SCM-02-2015-0046</w:t>
      </w:r>
    </w:p>
    <w:p w14:paraId="214935DA" w14:textId="77777777" w:rsidR="00317A99" w:rsidRPr="00E3562B" w:rsidRDefault="00317A99" w:rsidP="0066553C">
      <w:pPr>
        <w:pStyle w:val="Bibliography"/>
        <w:spacing w:line="276" w:lineRule="auto"/>
        <w:rPr>
          <w:lang w:val="en-GB"/>
        </w:rPr>
      </w:pPr>
      <w:r w:rsidRPr="00E3562B">
        <w:rPr>
          <w:lang w:val="en-GB"/>
        </w:rPr>
        <w:t xml:space="preserve">Gregory-Smith, I., &amp; Main, B. G. M. (2023). The symbolic management of women on company boards: Evidence using the UK Davies review. </w:t>
      </w:r>
      <w:r w:rsidRPr="00E3562B">
        <w:rPr>
          <w:i/>
          <w:iCs/>
          <w:lang w:val="en-GB"/>
        </w:rPr>
        <w:t>British Journal of Management</w:t>
      </w:r>
      <w:r w:rsidRPr="00E3562B">
        <w:rPr>
          <w:lang w:val="en-GB"/>
        </w:rPr>
        <w:t xml:space="preserve">, </w:t>
      </w:r>
      <w:r w:rsidRPr="00E3562B">
        <w:rPr>
          <w:i/>
          <w:iCs/>
          <w:lang w:val="en-GB"/>
        </w:rPr>
        <w:t>00</w:t>
      </w:r>
      <w:r w:rsidRPr="00E3562B">
        <w:rPr>
          <w:lang w:val="en-GB"/>
        </w:rPr>
        <w:t>. https://doi.org/10.1111/1467-8551.12713</w:t>
      </w:r>
    </w:p>
    <w:p w14:paraId="10A3BB3F" w14:textId="77777777" w:rsidR="00317A99" w:rsidRPr="00E3562B" w:rsidRDefault="00317A99" w:rsidP="0066553C">
      <w:pPr>
        <w:pStyle w:val="Bibliography"/>
        <w:spacing w:line="276" w:lineRule="auto"/>
        <w:rPr>
          <w:lang w:val="en-GB"/>
        </w:rPr>
      </w:pPr>
      <w:r w:rsidRPr="00E3562B">
        <w:rPr>
          <w:lang w:val="en-GB"/>
        </w:rPr>
        <w:t xml:space="preserve">GRI. (2022). </w:t>
      </w:r>
      <w:r w:rsidRPr="00E3562B">
        <w:rPr>
          <w:i/>
          <w:iCs/>
          <w:lang w:val="en-GB"/>
        </w:rPr>
        <w:t>GRI Standards English Language</w:t>
      </w:r>
      <w:r w:rsidRPr="00E3562B">
        <w:rPr>
          <w:lang w:val="en-GB"/>
        </w:rPr>
        <w:t>. Global Reporting Initiative. https://www.globalreporting.org/how-to-use-the-gri-standards/gri-standards-english-language/</w:t>
      </w:r>
    </w:p>
    <w:p w14:paraId="74532B90" w14:textId="77777777" w:rsidR="00317A99" w:rsidRPr="00E3562B" w:rsidRDefault="00317A99" w:rsidP="0066553C">
      <w:pPr>
        <w:pStyle w:val="Bibliography"/>
        <w:spacing w:line="276" w:lineRule="auto"/>
        <w:rPr>
          <w:lang w:val="en-GB"/>
        </w:rPr>
      </w:pPr>
      <w:r w:rsidRPr="00E3562B">
        <w:rPr>
          <w:lang w:val="en-GB"/>
        </w:rPr>
        <w:t xml:space="preserve">Gull, A. A., </w:t>
      </w:r>
      <w:proofErr w:type="spellStart"/>
      <w:r w:rsidRPr="00E3562B">
        <w:rPr>
          <w:lang w:val="en-GB"/>
        </w:rPr>
        <w:t>Nekhili</w:t>
      </w:r>
      <w:proofErr w:type="spellEnd"/>
      <w:r w:rsidRPr="00E3562B">
        <w:rPr>
          <w:lang w:val="en-GB"/>
        </w:rPr>
        <w:t xml:space="preserve">, M., </w:t>
      </w:r>
      <w:proofErr w:type="spellStart"/>
      <w:r w:rsidRPr="00E3562B">
        <w:rPr>
          <w:lang w:val="en-GB"/>
        </w:rPr>
        <w:t>Nagati</w:t>
      </w:r>
      <w:proofErr w:type="spellEnd"/>
      <w:r w:rsidRPr="00E3562B">
        <w:rPr>
          <w:lang w:val="en-GB"/>
        </w:rPr>
        <w:t xml:space="preserve">, H., &amp; </w:t>
      </w:r>
      <w:proofErr w:type="spellStart"/>
      <w:r w:rsidRPr="00E3562B">
        <w:rPr>
          <w:lang w:val="en-GB"/>
        </w:rPr>
        <w:t>Chtioui</w:t>
      </w:r>
      <w:proofErr w:type="spellEnd"/>
      <w:r w:rsidRPr="00E3562B">
        <w:rPr>
          <w:lang w:val="en-GB"/>
        </w:rPr>
        <w:t xml:space="preserve">, T. (2018). Beyond gender diversity: How specific attributes of female directors affect earnings management. </w:t>
      </w:r>
      <w:r w:rsidRPr="00E3562B">
        <w:rPr>
          <w:i/>
          <w:iCs/>
          <w:lang w:val="en-GB"/>
        </w:rPr>
        <w:t>The British Accounting Review</w:t>
      </w:r>
      <w:r w:rsidRPr="00E3562B">
        <w:rPr>
          <w:lang w:val="en-GB"/>
        </w:rPr>
        <w:t xml:space="preserve">, </w:t>
      </w:r>
      <w:r w:rsidRPr="00E3562B">
        <w:rPr>
          <w:i/>
          <w:iCs/>
          <w:lang w:val="en-GB"/>
        </w:rPr>
        <w:t>50</w:t>
      </w:r>
      <w:r w:rsidRPr="00E3562B">
        <w:rPr>
          <w:lang w:val="en-GB"/>
        </w:rPr>
        <w:t>(3), 255–274. https://doi.org/10.1016/j.bar.2017.09.001</w:t>
      </w:r>
    </w:p>
    <w:p w14:paraId="35BB1EB0" w14:textId="77777777" w:rsidR="00317A99" w:rsidRPr="00E3562B" w:rsidRDefault="00317A99" w:rsidP="0066553C">
      <w:pPr>
        <w:pStyle w:val="Bibliography"/>
        <w:spacing w:line="276" w:lineRule="auto"/>
        <w:rPr>
          <w:lang w:val="en-GB"/>
        </w:rPr>
      </w:pPr>
      <w:r w:rsidRPr="00E3562B">
        <w:rPr>
          <w:lang w:val="en-GB"/>
        </w:rPr>
        <w:t xml:space="preserve">Haque, F. (2017). The effects of board characteristics and sustainable compensation policy on carbon performance of UK firms. </w:t>
      </w:r>
      <w:r w:rsidRPr="00E3562B">
        <w:rPr>
          <w:i/>
          <w:iCs/>
          <w:lang w:val="en-GB"/>
        </w:rPr>
        <w:t>The British Accounting Review</w:t>
      </w:r>
      <w:r w:rsidRPr="00E3562B">
        <w:rPr>
          <w:lang w:val="en-GB"/>
        </w:rPr>
        <w:t xml:space="preserve">, </w:t>
      </w:r>
      <w:r w:rsidRPr="00E3562B">
        <w:rPr>
          <w:i/>
          <w:iCs/>
          <w:lang w:val="en-GB"/>
        </w:rPr>
        <w:t>49</w:t>
      </w:r>
      <w:r w:rsidRPr="00E3562B">
        <w:rPr>
          <w:lang w:val="en-GB"/>
        </w:rPr>
        <w:t>(3), 347–364. https://doi.org/10.1016/j.bar.2017.01.001</w:t>
      </w:r>
    </w:p>
    <w:p w14:paraId="669504A7" w14:textId="77777777" w:rsidR="00317A99" w:rsidRPr="00E3562B" w:rsidRDefault="00317A99" w:rsidP="0066553C">
      <w:pPr>
        <w:pStyle w:val="Bibliography"/>
        <w:spacing w:line="276" w:lineRule="auto"/>
        <w:rPr>
          <w:lang w:val="en-GB"/>
        </w:rPr>
      </w:pPr>
      <w:r w:rsidRPr="00E3562B">
        <w:rPr>
          <w:lang w:val="en-GB"/>
        </w:rPr>
        <w:t xml:space="preserve">Haque, F., &amp; Jones, M. J. (2020). European firms’ corporate biodiversity disclosures and board gender diversity from 2002 to 2016. </w:t>
      </w:r>
      <w:r w:rsidRPr="00E3562B">
        <w:rPr>
          <w:i/>
          <w:iCs/>
          <w:lang w:val="en-GB"/>
        </w:rPr>
        <w:t>The British Accounting Review</w:t>
      </w:r>
      <w:r w:rsidRPr="00E3562B">
        <w:rPr>
          <w:lang w:val="en-GB"/>
        </w:rPr>
        <w:t xml:space="preserve">, </w:t>
      </w:r>
      <w:r w:rsidRPr="00E3562B">
        <w:rPr>
          <w:i/>
          <w:iCs/>
          <w:lang w:val="en-GB"/>
        </w:rPr>
        <w:t>52</w:t>
      </w:r>
      <w:r w:rsidRPr="00E3562B">
        <w:rPr>
          <w:lang w:val="en-GB"/>
        </w:rPr>
        <w:t>(2), 100893. https://doi.org/10.1016/j.bar.2020.100893</w:t>
      </w:r>
    </w:p>
    <w:p w14:paraId="7DE055C7" w14:textId="77777777" w:rsidR="00317A99" w:rsidRPr="00E3562B" w:rsidRDefault="00317A99" w:rsidP="0066553C">
      <w:pPr>
        <w:pStyle w:val="Bibliography"/>
        <w:spacing w:line="276" w:lineRule="auto"/>
        <w:rPr>
          <w:lang w:val="en-GB"/>
        </w:rPr>
      </w:pPr>
      <w:r w:rsidRPr="00E3562B">
        <w:rPr>
          <w:lang w:val="en-GB"/>
        </w:rPr>
        <w:t xml:space="preserve">Healy, P. M., &amp; Palepu, K. G. (2001). Information asymmetry, corporate disclosure, and the capital markets: A review of the empirical disclosure literature. </w:t>
      </w:r>
      <w:r w:rsidRPr="00E3562B">
        <w:rPr>
          <w:i/>
          <w:iCs/>
          <w:lang w:val="en-GB"/>
        </w:rPr>
        <w:t>Journal of Accounting and Economics</w:t>
      </w:r>
      <w:r w:rsidRPr="00E3562B">
        <w:rPr>
          <w:lang w:val="en-GB"/>
        </w:rPr>
        <w:t xml:space="preserve">, </w:t>
      </w:r>
      <w:r w:rsidRPr="00E3562B">
        <w:rPr>
          <w:i/>
          <w:iCs/>
          <w:lang w:val="en-GB"/>
        </w:rPr>
        <w:t>31</w:t>
      </w:r>
      <w:r w:rsidRPr="00E3562B">
        <w:rPr>
          <w:lang w:val="en-GB"/>
        </w:rPr>
        <w:t>(1–3), 405–440.</w:t>
      </w:r>
    </w:p>
    <w:p w14:paraId="2247AEB4" w14:textId="77777777" w:rsidR="00317A99" w:rsidRPr="00E3562B" w:rsidRDefault="00317A99" w:rsidP="0066553C">
      <w:pPr>
        <w:pStyle w:val="Bibliography"/>
        <w:spacing w:line="276" w:lineRule="auto"/>
        <w:rPr>
          <w:lang w:val="en-GB"/>
        </w:rPr>
      </w:pPr>
      <w:r w:rsidRPr="00E3562B">
        <w:rPr>
          <w:lang w:val="en-GB"/>
        </w:rPr>
        <w:t xml:space="preserve">HM Government. (2021). </w:t>
      </w:r>
      <w:r w:rsidRPr="00E3562B">
        <w:rPr>
          <w:i/>
          <w:iCs/>
          <w:lang w:val="en-GB"/>
        </w:rPr>
        <w:t>2021 UK annual report on modern slavery</w:t>
      </w:r>
      <w:r w:rsidRPr="00E3562B">
        <w:rPr>
          <w:lang w:val="en-GB"/>
        </w:rPr>
        <w:t>. GOV.UK. https://www.gov.uk/government/publications/2021-uk-annual-report-on-modern-slavery/2021-uk-annual-report-on-modern-slavery-accessible-version</w:t>
      </w:r>
    </w:p>
    <w:p w14:paraId="3305E929" w14:textId="77777777" w:rsidR="00317A99" w:rsidRPr="00E3562B" w:rsidRDefault="00317A99" w:rsidP="0066553C">
      <w:pPr>
        <w:pStyle w:val="Bibliography"/>
        <w:spacing w:line="276" w:lineRule="auto"/>
        <w:rPr>
          <w:lang w:val="en-GB"/>
        </w:rPr>
      </w:pPr>
      <w:r w:rsidRPr="00E3562B">
        <w:rPr>
          <w:lang w:val="en-GB"/>
        </w:rPr>
        <w:t xml:space="preserve">Hsiao, C. (2022). </w:t>
      </w:r>
      <w:r w:rsidRPr="00E3562B">
        <w:rPr>
          <w:i/>
          <w:iCs/>
          <w:lang w:val="en-GB"/>
        </w:rPr>
        <w:t>Analysis of panel data</w:t>
      </w:r>
      <w:r w:rsidRPr="00E3562B">
        <w:rPr>
          <w:lang w:val="en-GB"/>
        </w:rPr>
        <w:t>. Cambridge university press. https://books.google.com/books?hl=en&amp;lr=&amp;id=DHtrEAAAQBAJ&amp;oi=fnd&amp;pg=PR13&amp;dq=Hsiao,+C.+Analysis+of+Panel+Data+&amp;ots=QTd9uNUEs_&amp;sig=WC7QFxae6OrsCIlQwltOKdXPTjA</w:t>
      </w:r>
    </w:p>
    <w:p w14:paraId="04CEA576" w14:textId="77777777" w:rsidR="00317A99" w:rsidRPr="00E3562B" w:rsidRDefault="00317A99" w:rsidP="0066553C">
      <w:pPr>
        <w:pStyle w:val="Bibliography"/>
        <w:spacing w:line="276" w:lineRule="auto"/>
        <w:rPr>
          <w:lang w:val="en-GB"/>
        </w:rPr>
      </w:pPr>
      <w:r w:rsidRPr="00E3562B">
        <w:rPr>
          <w:lang w:val="en-GB"/>
        </w:rPr>
        <w:lastRenderedPageBreak/>
        <w:t xml:space="preserve">Husted, B. W., &amp; Sousa-Filho, J. M. de. (2019). Board structure and environmental, social, and governance disclosure in Latin America. </w:t>
      </w:r>
      <w:r w:rsidRPr="00E3562B">
        <w:rPr>
          <w:i/>
          <w:iCs/>
          <w:lang w:val="en-GB"/>
        </w:rPr>
        <w:t>Journal of Business Research</w:t>
      </w:r>
      <w:r w:rsidRPr="00E3562B">
        <w:rPr>
          <w:lang w:val="en-GB"/>
        </w:rPr>
        <w:t xml:space="preserve">, </w:t>
      </w:r>
      <w:r w:rsidRPr="00E3562B">
        <w:rPr>
          <w:i/>
          <w:iCs/>
          <w:lang w:val="en-GB"/>
        </w:rPr>
        <w:t>102</w:t>
      </w:r>
      <w:r w:rsidRPr="00E3562B">
        <w:rPr>
          <w:lang w:val="en-GB"/>
        </w:rPr>
        <w:t>, 220–227. https://doi.org/10.1016/j.jbusres.2018.01.017</w:t>
      </w:r>
    </w:p>
    <w:p w14:paraId="06AE51FF" w14:textId="77777777" w:rsidR="00317A99" w:rsidRPr="00E3562B" w:rsidRDefault="00317A99" w:rsidP="0066553C">
      <w:pPr>
        <w:pStyle w:val="Bibliography"/>
        <w:spacing w:line="276" w:lineRule="auto"/>
        <w:rPr>
          <w:lang w:val="en-GB"/>
        </w:rPr>
      </w:pPr>
      <w:r w:rsidRPr="00E3562B">
        <w:rPr>
          <w:lang w:val="en-GB"/>
        </w:rPr>
        <w:t xml:space="preserve">ILO. (2017). </w:t>
      </w:r>
      <w:r w:rsidRPr="00E3562B">
        <w:rPr>
          <w:i/>
          <w:iCs/>
          <w:lang w:val="en-GB"/>
        </w:rPr>
        <w:t>Global Estimates of Modern Slavery: Forced Labour and Forced Marriage</w:t>
      </w:r>
      <w:r w:rsidRPr="00E3562B">
        <w:rPr>
          <w:lang w:val="en-GB"/>
        </w:rPr>
        <w:t xml:space="preserve"> [Report]. http://www.ilo.org/global/publications/books/WCMS_575479/lang--</w:t>
      </w:r>
      <w:proofErr w:type="spellStart"/>
      <w:r w:rsidRPr="00E3562B">
        <w:rPr>
          <w:lang w:val="en-GB"/>
        </w:rPr>
        <w:t>en</w:t>
      </w:r>
      <w:proofErr w:type="spellEnd"/>
      <w:r w:rsidRPr="00E3562B">
        <w:rPr>
          <w:lang w:val="en-GB"/>
        </w:rPr>
        <w:t>/index.htm</w:t>
      </w:r>
    </w:p>
    <w:p w14:paraId="688C6AF7" w14:textId="77777777" w:rsidR="00317A99" w:rsidRPr="00E3562B" w:rsidRDefault="00317A99" w:rsidP="0066553C">
      <w:pPr>
        <w:pStyle w:val="Bibliography"/>
        <w:spacing w:line="276" w:lineRule="auto"/>
        <w:rPr>
          <w:lang w:val="en-GB"/>
        </w:rPr>
      </w:pPr>
      <w:r w:rsidRPr="00E3562B">
        <w:rPr>
          <w:lang w:val="en-GB"/>
        </w:rPr>
        <w:t xml:space="preserve">Islam, M. A., &amp; Van Staden, C. J. (2022). Modern slavery disclosure regulation and global supply chains: Insights from stakeholder narratives on the UK Modern Slavery Act. </w:t>
      </w:r>
      <w:r w:rsidRPr="00E3562B">
        <w:rPr>
          <w:i/>
          <w:iCs/>
          <w:lang w:val="en-GB"/>
        </w:rPr>
        <w:t>Journal of Business Ethics</w:t>
      </w:r>
      <w:r w:rsidRPr="00E3562B">
        <w:rPr>
          <w:lang w:val="en-GB"/>
        </w:rPr>
        <w:t xml:space="preserve">, </w:t>
      </w:r>
      <w:r w:rsidRPr="00E3562B">
        <w:rPr>
          <w:i/>
          <w:iCs/>
          <w:lang w:val="en-GB"/>
        </w:rPr>
        <w:t>180</w:t>
      </w:r>
      <w:r w:rsidRPr="00E3562B">
        <w:rPr>
          <w:lang w:val="en-GB"/>
        </w:rPr>
        <w:t>(2), 455–479. https://doi.org/10.1007/s10551-021-04878-1</w:t>
      </w:r>
    </w:p>
    <w:p w14:paraId="6DF082EF" w14:textId="77777777" w:rsidR="00317A99" w:rsidRPr="00E3562B" w:rsidRDefault="00317A99" w:rsidP="0066553C">
      <w:pPr>
        <w:pStyle w:val="Bibliography"/>
        <w:spacing w:line="276" w:lineRule="auto"/>
        <w:rPr>
          <w:lang w:val="en-GB"/>
        </w:rPr>
      </w:pPr>
      <w:r w:rsidRPr="00E3562B">
        <w:rPr>
          <w:lang w:val="en-GB"/>
        </w:rPr>
        <w:t xml:space="preserve">Jain, T., &amp; Zaman, R. (2020). When boards matter: The case of corporate social irresponsibility. </w:t>
      </w:r>
      <w:r w:rsidRPr="00E3562B">
        <w:rPr>
          <w:i/>
          <w:iCs/>
          <w:lang w:val="en-GB"/>
        </w:rPr>
        <w:t>British Journal of Management</w:t>
      </w:r>
      <w:r w:rsidRPr="00E3562B">
        <w:rPr>
          <w:lang w:val="en-GB"/>
        </w:rPr>
        <w:t xml:space="preserve">, </w:t>
      </w:r>
      <w:r w:rsidRPr="00E3562B">
        <w:rPr>
          <w:i/>
          <w:iCs/>
          <w:lang w:val="en-GB"/>
        </w:rPr>
        <w:t>31</w:t>
      </w:r>
      <w:r w:rsidRPr="00E3562B">
        <w:rPr>
          <w:lang w:val="en-GB"/>
        </w:rPr>
        <w:t>(2), 365–386. https://doi.org/10.1111/1467-8551.12376</w:t>
      </w:r>
    </w:p>
    <w:p w14:paraId="3EDBF8AB" w14:textId="77777777" w:rsidR="00317A99" w:rsidRPr="00E3562B" w:rsidRDefault="00317A99" w:rsidP="0066553C">
      <w:pPr>
        <w:pStyle w:val="Bibliography"/>
        <w:spacing w:line="276" w:lineRule="auto"/>
        <w:rPr>
          <w:lang w:val="en-GB"/>
        </w:rPr>
      </w:pPr>
      <w:r w:rsidRPr="00E3562B">
        <w:rPr>
          <w:lang w:val="en-GB"/>
        </w:rPr>
        <w:t xml:space="preserve">Jensen, M. C., &amp; Meckling, W. H. (1976). Theory of the firm: Managerial </w:t>
      </w:r>
      <w:proofErr w:type="spellStart"/>
      <w:r w:rsidRPr="00E3562B">
        <w:rPr>
          <w:lang w:val="en-GB"/>
        </w:rPr>
        <w:t>behavior</w:t>
      </w:r>
      <w:proofErr w:type="spellEnd"/>
      <w:r w:rsidRPr="00E3562B">
        <w:rPr>
          <w:lang w:val="en-GB"/>
        </w:rPr>
        <w:t xml:space="preserve">, agency costs and ownership structure. </w:t>
      </w:r>
      <w:r w:rsidRPr="00E3562B">
        <w:rPr>
          <w:i/>
          <w:iCs/>
          <w:lang w:val="en-GB"/>
        </w:rPr>
        <w:t>Journal of Financial Economics</w:t>
      </w:r>
      <w:r w:rsidRPr="00E3562B">
        <w:rPr>
          <w:lang w:val="en-GB"/>
        </w:rPr>
        <w:t xml:space="preserve">, </w:t>
      </w:r>
      <w:r w:rsidRPr="00E3562B">
        <w:rPr>
          <w:i/>
          <w:iCs/>
          <w:lang w:val="en-GB"/>
        </w:rPr>
        <w:t>3</w:t>
      </w:r>
      <w:r w:rsidRPr="00E3562B">
        <w:rPr>
          <w:lang w:val="en-GB"/>
        </w:rPr>
        <w:t>(4), 305–360.</w:t>
      </w:r>
    </w:p>
    <w:p w14:paraId="17DF9D0D" w14:textId="77777777" w:rsidR="00317A99" w:rsidRPr="00E3562B" w:rsidRDefault="00317A99" w:rsidP="0066553C">
      <w:pPr>
        <w:pStyle w:val="Bibliography"/>
        <w:spacing w:line="276" w:lineRule="auto"/>
        <w:rPr>
          <w:lang w:val="en-GB"/>
        </w:rPr>
      </w:pPr>
      <w:r w:rsidRPr="00E3562B">
        <w:rPr>
          <w:lang w:val="en-GB"/>
        </w:rPr>
        <w:t xml:space="preserve">Joecks, J., Pull, K., &amp; Vetter, K. (2013). Gender diversity in the boardroom and firm performance: What exactly constitutes a “Critical Mass?” </w:t>
      </w:r>
      <w:r w:rsidRPr="00E3562B">
        <w:rPr>
          <w:i/>
          <w:iCs/>
          <w:lang w:val="en-GB"/>
        </w:rPr>
        <w:t>Journal of Business Ethics</w:t>
      </w:r>
      <w:r w:rsidRPr="00E3562B">
        <w:rPr>
          <w:lang w:val="en-GB"/>
        </w:rPr>
        <w:t xml:space="preserve">, </w:t>
      </w:r>
      <w:r w:rsidRPr="00E3562B">
        <w:rPr>
          <w:i/>
          <w:iCs/>
          <w:lang w:val="en-GB"/>
        </w:rPr>
        <w:t>118</w:t>
      </w:r>
      <w:r w:rsidRPr="00E3562B">
        <w:rPr>
          <w:lang w:val="en-GB"/>
        </w:rPr>
        <w:t>(1), 61–72. https://doi.org/10.1007/s10551-012-1553-6</w:t>
      </w:r>
    </w:p>
    <w:p w14:paraId="7898C8E5" w14:textId="77777777" w:rsidR="00317A99" w:rsidRPr="00E3562B" w:rsidRDefault="00317A99" w:rsidP="0066553C">
      <w:pPr>
        <w:pStyle w:val="Bibliography"/>
        <w:spacing w:line="276" w:lineRule="auto"/>
        <w:rPr>
          <w:lang w:val="en-GB"/>
        </w:rPr>
      </w:pPr>
      <w:r w:rsidRPr="00E3562B">
        <w:rPr>
          <w:lang w:val="en-GB"/>
        </w:rPr>
        <w:t xml:space="preserve">Kanter, R. M. (1977). Some effects of proportions on group life: Skewed sex ratios and responses to token women. </w:t>
      </w:r>
      <w:r w:rsidRPr="00E3562B">
        <w:rPr>
          <w:i/>
          <w:iCs/>
          <w:lang w:val="en-GB"/>
        </w:rPr>
        <w:t>American Journal of Sociology</w:t>
      </w:r>
      <w:r w:rsidRPr="00E3562B">
        <w:rPr>
          <w:lang w:val="en-GB"/>
        </w:rPr>
        <w:t xml:space="preserve">, </w:t>
      </w:r>
      <w:r w:rsidRPr="00E3562B">
        <w:rPr>
          <w:i/>
          <w:iCs/>
          <w:lang w:val="en-GB"/>
        </w:rPr>
        <w:t>82</w:t>
      </w:r>
      <w:r w:rsidRPr="00E3562B">
        <w:rPr>
          <w:lang w:val="en-GB"/>
        </w:rPr>
        <w:t>(5), 965–990.</w:t>
      </w:r>
    </w:p>
    <w:p w14:paraId="185FFCD8" w14:textId="77777777" w:rsidR="00317A99" w:rsidRPr="00E3562B" w:rsidRDefault="00317A99" w:rsidP="0066553C">
      <w:pPr>
        <w:pStyle w:val="Bibliography"/>
        <w:spacing w:line="276" w:lineRule="auto"/>
        <w:rPr>
          <w:lang w:val="en-GB"/>
        </w:rPr>
      </w:pPr>
      <w:r w:rsidRPr="00E3562B">
        <w:rPr>
          <w:lang w:val="en-GB"/>
        </w:rPr>
        <w:t xml:space="preserve">Karim, A. E., </w:t>
      </w:r>
      <w:proofErr w:type="spellStart"/>
      <w:r w:rsidRPr="00E3562B">
        <w:rPr>
          <w:lang w:val="en-GB"/>
        </w:rPr>
        <w:t>Albitar</w:t>
      </w:r>
      <w:proofErr w:type="spellEnd"/>
      <w:r w:rsidRPr="00E3562B">
        <w:rPr>
          <w:lang w:val="en-GB"/>
        </w:rPr>
        <w:t xml:space="preserve">, K., &amp; </w:t>
      </w:r>
      <w:proofErr w:type="spellStart"/>
      <w:r w:rsidRPr="00E3562B">
        <w:rPr>
          <w:lang w:val="en-GB"/>
        </w:rPr>
        <w:t>Elmarzouky</w:t>
      </w:r>
      <w:proofErr w:type="spellEnd"/>
      <w:r w:rsidRPr="00E3562B">
        <w:rPr>
          <w:lang w:val="en-GB"/>
        </w:rPr>
        <w:t xml:space="preserve">, M. (2021). A novel measure of corporate carbon emission disclosure, the effect of capital expenditures and corporate governance. </w:t>
      </w:r>
      <w:r w:rsidRPr="00E3562B">
        <w:rPr>
          <w:i/>
          <w:iCs/>
          <w:lang w:val="en-GB"/>
        </w:rPr>
        <w:t>Journal of Environmental Management</w:t>
      </w:r>
      <w:r w:rsidRPr="00E3562B">
        <w:rPr>
          <w:lang w:val="en-GB"/>
        </w:rPr>
        <w:t xml:space="preserve">, </w:t>
      </w:r>
      <w:r w:rsidRPr="00E3562B">
        <w:rPr>
          <w:i/>
          <w:iCs/>
          <w:lang w:val="en-GB"/>
        </w:rPr>
        <w:t>290</w:t>
      </w:r>
      <w:r w:rsidRPr="00E3562B">
        <w:rPr>
          <w:lang w:val="en-GB"/>
        </w:rPr>
        <w:t>, 112581. https://doi.org/10.1016/j.jenvman.2021.112581</w:t>
      </w:r>
    </w:p>
    <w:p w14:paraId="3573A37D" w14:textId="77777777" w:rsidR="00317A99" w:rsidRPr="00E3562B" w:rsidRDefault="00317A99" w:rsidP="0066553C">
      <w:pPr>
        <w:pStyle w:val="Bibliography"/>
        <w:spacing w:line="276" w:lineRule="auto"/>
        <w:rPr>
          <w:lang w:val="en-GB"/>
        </w:rPr>
      </w:pPr>
      <w:proofErr w:type="spellStart"/>
      <w:r w:rsidRPr="00E3562B">
        <w:rPr>
          <w:lang w:val="en-GB"/>
        </w:rPr>
        <w:t>Kassinis</w:t>
      </w:r>
      <w:proofErr w:type="spellEnd"/>
      <w:r w:rsidRPr="00E3562B">
        <w:rPr>
          <w:lang w:val="en-GB"/>
        </w:rPr>
        <w:t xml:space="preserve">, G., Panayiotou, A., Dimou, A., &amp; </w:t>
      </w:r>
      <w:proofErr w:type="spellStart"/>
      <w:r w:rsidRPr="00E3562B">
        <w:rPr>
          <w:lang w:val="en-GB"/>
        </w:rPr>
        <w:t>Katsifaraki</w:t>
      </w:r>
      <w:proofErr w:type="spellEnd"/>
      <w:r w:rsidRPr="00E3562B">
        <w:rPr>
          <w:lang w:val="en-GB"/>
        </w:rPr>
        <w:t xml:space="preserve">, G. (2016). Gender and environmental sustainability: A longitudinal analysis. </w:t>
      </w:r>
      <w:r w:rsidRPr="00E3562B">
        <w:rPr>
          <w:i/>
          <w:iCs/>
          <w:lang w:val="en-GB"/>
        </w:rPr>
        <w:t>Corporate Social Responsibility &amp; Environmental Management</w:t>
      </w:r>
      <w:r w:rsidRPr="00E3562B">
        <w:rPr>
          <w:lang w:val="en-GB"/>
        </w:rPr>
        <w:t xml:space="preserve">, </w:t>
      </w:r>
      <w:r w:rsidRPr="00E3562B">
        <w:rPr>
          <w:i/>
          <w:iCs/>
          <w:lang w:val="en-GB"/>
        </w:rPr>
        <w:t>23</w:t>
      </w:r>
      <w:r w:rsidRPr="00E3562B">
        <w:rPr>
          <w:lang w:val="en-GB"/>
        </w:rPr>
        <w:t>(6), 399–412. https://doi.org/10.1002/csr.1386</w:t>
      </w:r>
    </w:p>
    <w:p w14:paraId="3053D504" w14:textId="77777777" w:rsidR="00317A99" w:rsidRPr="00E3562B" w:rsidRDefault="00317A99" w:rsidP="0066553C">
      <w:pPr>
        <w:pStyle w:val="Bibliography"/>
        <w:spacing w:line="276" w:lineRule="auto"/>
        <w:rPr>
          <w:lang w:val="en-GB"/>
        </w:rPr>
      </w:pPr>
      <w:r w:rsidRPr="00E3562B">
        <w:rPr>
          <w:lang w:val="en-GB"/>
        </w:rPr>
        <w:t xml:space="preserve">Khatri, I. (2023). Board gender diversity and sustainability performance: Nordic evidence. </w:t>
      </w:r>
      <w:r w:rsidRPr="00E3562B">
        <w:rPr>
          <w:i/>
          <w:iCs/>
          <w:lang w:val="en-GB"/>
        </w:rPr>
        <w:t>Corporate Social Responsibility and Environmental Management</w:t>
      </w:r>
      <w:r w:rsidRPr="00E3562B">
        <w:rPr>
          <w:lang w:val="en-GB"/>
        </w:rPr>
        <w:t xml:space="preserve">, </w:t>
      </w:r>
      <w:r w:rsidRPr="00E3562B">
        <w:rPr>
          <w:i/>
          <w:iCs/>
          <w:lang w:val="en-GB"/>
        </w:rPr>
        <w:t>30</w:t>
      </w:r>
      <w:r w:rsidRPr="00E3562B">
        <w:rPr>
          <w:lang w:val="en-GB"/>
        </w:rPr>
        <w:t>(3), 1495–1507. https://doi.org/10.1002/csr.2432</w:t>
      </w:r>
    </w:p>
    <w:p w14:paraId="1B1FD5CB" w14:textId="77777777" w:rsidR="00317A99" w:rsidRPr="00E3562B" w:rsidRDefault="00317A99" w:rsidP="0066553C">
      <w:pPr>
        <w:pStyle w:val="Bibliography"/>
        <w:spacing w:line="276" w:lineRule="auto"/>
        <w:rPr>
          <w:lang w:val="en-GB"/>
        </w:rPr>
      </w:pPr>
      <w:proofErr w:type="spellStart"/>
      <w:r w:rsidRPr="00E3562B">
        <w:rPr>
          <w:lang w:val="en-GB"/>
        </w:rPr>
        <w:t>Kinateder</w:t>
      </w:r>
      <w:proofErr w:type="spellEnd"/>
      <w:r w:rsidRPr="00E3562B">
        <w:rPr>
          <w:lang w:val="en-GB"/>
        </w:rPr>
        <w:t xml:space="preserve">, H., Choudhury, T., Zaman, R., Scagnelli, S. D., &amp; Sohel, N. (2021). Does boardroom gender diversity decrease credit risk in the financial sector? Worldwide evidence. </w:t>
      </w:r>
      <w:r w:rsidRPr="00E3562B">
        <w:rPr>
          <w:i/>
          <w:iCs/>
          <w:lang w:val="en-GB"/>
        </w:rPr>
        <w:t>Journal of International Financial Markets, Institutions and Money</w:t>
      </w:r>
      <w:r w:rsidRPr="00E3562B">
        <w:rPr>
          <w:lang w:val="en-GB"/>
        </w:rPr>
        <w:t xml:space="preserve">, </w:t>
      </w:r>
      <w:r w:rsidRPr="00E3562B">
        <w:rPr>
          <w:i/>
          <w:iCs/>
          <w:lang w:val="en-GB"/>
        </w:rPr>
        <w:t>73</w:t>
      </w:r>
      <w:r w:rsidRPr="00E3562B">
        <w:rPr>
          <w:lang w:val="en-GB"/>
        </w:rPr>
        <w:t>, 101347. https://doi.org/10.1016/j.intfin.2021.101347</w:t>
      </w:r>
    </w:p>
    <w:p w14:paraId="2F599055" w14:textId="77777777" w:rsidR="00317A99" w:rsidRPr="00E3562B" w:rsidRDefault="00317A99" w:rsidP="0066553C">
      <w:pPr>
        <w:pStyle w:val="Bibliography"/>
        <w:spacing w:line="276" w:lineRule="auto"/>
        <w:rPr>
          <w:lang w:val="en-GB"/>
        </w:rPr>
      </w:pPr>
      <w:proofErr w:type="spellStart"/>
      <w:r w:rsidRPr="00E3562B">
        <w:rPr>
          <w:lang w:val="en-GB"/>
        </w:rPr>
        <w:t>Krippendorff</w:t>
      </w:r>
      <w:proofErr w:type="spellEnd"/>
      <w:r w:rsidRPr="00E3562B">
        <w:rPr>
          <w:lang w:val="en-GB"/>
        </w:rPr>
        <w:t xml:space="preserve">, K. (2018). </w:t>
      </w:r>
      <w:r w:rsidRPr="00E3562B">
        <w:rPr>
          <w:i/>
          <w:iCs/>
          <w:lang w:val="en-GB"/>
        </w:rPr>
        <w:t>Content analysis: An introduction to its methodology</w:t>
      </w:r>
      <w:r w:rsidRPr="00E3562B">
        <w:rPr>
          <w:lang w:val="en-GB"/>
        </w:rPr>
        <w:t xml:space="preserve"> (4th.). Sage publications.</w:t>
      </w:r>
    </w:p>
    <w:p w14:paraId="1A02E094" w14:textId="77777777" w:rsidR="00317A99" w:rsidRPr="00E3562B" w:rsidRDefault="00317A99" w:rsidP="0066553C">
      <w:pPr>
        <w:pStyle w:val="Bibliography"/>
        <w:spacing w:line="276" w:lineRule="auto"/>
        <w:rPr>
          <w:lang w:val="en-GB"/>
        </w:rPr>
      </w:pPr>
      <w:r w:rsidRPr="00E3562B">
        <w:rPr>
          <w:lang w:val="en-GB"/>
        </w:rPr>
        <w:t xml:space="preserve">Kwon, S. H., Kim, J., &amp; Yim, H. (Sean). (2023). Looking far or </w:t>
      </w:r>
      <w:proofErr w:type="gramStart"/>
      <w:r w:rsidRPr="00E3562B">
        <w:rPr>
          <w:lang w:val="en-GB"/>
        </w:rPr>
        <w:t>close</w:t>
      </w:r>
      <w:proofErr w:type="gramEnd"/>
      <w:r w:rsidRPr="00E3562B">
        <w:rPr>
          <w:lang w:val="en-GB"/>
        </w:rPr>
        <w:t xml:space="preserve">: The explanatory role of myopic management in the relationship between CEO-TMT power disparity and corporate social responsibility. </w:t>
      </w:r>
      <w:r w:rsidRPr="00E3562B">
        <w:rPr>
          <w:i/>
          <w:iCs/>
          <w:lang w:val="en-GB"/>
        </w:rPr>
        <w:t>Journal of Business Research</w:t>
      </w:r>
      <w:r w:rsidRPr="00E3562B">
        <w:rPr>
          <w:lang w:val="en-GB"/>
        </w:rPr>
        <w:t xml:space="preserve">, </w:t>
      </w:r>
      <w:r w:rsidRPr="00E3562B">
        <w:rPr>
          <w:i/>
          <w:iCs/>
          <w:lang w:val="en-GB"/>
        </w:rPr>
        <w:t>167</w:t>
      </w:r>
      <w:r w:rsidRPr="00E3562B">
        <w:rPr>
          <w:lang w:val="en-GB"/>
        </w:rPr>
        <w:t>, 114090. https://doi.org/10.1016/j.jbusres.2023.114090</w:t>
      </w:r>
    </w:p>
    <w:p w14:paraId="7B6E3D1E" w14:textId="77777777" w:rsidR="00317A99" w:rsidRPr="00E3562B" w:rsidRDefault="00317A99" w:rsidP="0066553C">
      <w:pPr>
        <w:pStyle w:val="Bibliography"/>
        <w:spacing w:line="276" w:lineRule="auto"/>
        <w:rPr>
          <w:lang w:val="en-GB"/>
        </w:rPr>
      </w:pPr>
      <w:r w:rsidRPr="00E3562B">
        <w:rPr>
          <w:lang w:val="en-GB"/>
        </w:rPr>
        <w:t xml:space="preserve">Li, J., &amp; Tang, Y. (2010). CEO hubris and firm risk taking in China: The moderating role of managerial discretion. </w:t>
      </w:r>
      <w:r w:rsidRPr="00E3562B">
        <w:rPr>
          <w:i/>
          <w:iCs/>
          <w:lang w:val="en-GB"/>
        </w:rPr>
        <w:t>Academy of Management Journal</w:t>
      </w:r>
      <w:r w:rsidRPr="00E3562B">
        <w:rPr>
          <w:lang w:val="en-GB"/>
        </w:rPr>
        <w:t xml:space="preserve">, </w:t>
      </w:r>
      <w:r w:rsidRPr="00E3562B">
        <w:rPr>
          <w:i/>
          <w:iCs/>
          <w:lang w:val="en-GB"/>
        </w:rPr>
        <w:t>53</w:t>
      </w:r>
      <w:r w:rsidRPr="00E3562B">
        <w:rPr>
          <w:lang w:val="en-GB"/>
        </w:rPr>
        <w:t>(1), 45–68. https://doi.org/10.5465/AMJ.2010.48036912</w:t>
      </w:r>
    </w:p>
    <w:p w14:paraId="4F2BA04F" w14:textId="77777777" w:rsidR="00317A99" w:rsidRPr="00E3562B" w:rsidRDefault="00317A99" w:rsidP="0066553C">
      <w:pPr>
        <w:pStyle w:val="Bibliography"/>
        <w:spacing w:line="276" w:lineRule="auto"/>
        <w:rPr>
          <w:lang w:val="en-GB"/>
        </w:rPr>
      </w:pPr>
      <w:r w:rsidRPr="00E3562B">
        <w:rPr>
          <w:lang w:val="en-GB"/>
        </w:rPr>
        <w:lastRenderedPageBreak/>
        <w:t xml:space="preserve">Li, Y., Gong, M., Zhang, X.-Y., &amp; Koh, L. (2018). The impact of environmental, social, and governance disclosure on firm value: The role of CEO power. </w:t>
      </w:r>
      <w:r w:rsidRPr="00E3562B">
        <w:rPr>
          <w:i/>
          <w:iCs/>
          <w:lang w:val="en-GB"/>
        </w:rPr>
        <w:t>The British Accounting Review</w:t>
      </w:r>
      <w:r w:rsidRPr="00E3562B">
        <w:rPr>
          <w:lang w:val="en-GB"/>
        </w:rPr>
        <w:t xml:space="preserve">, </w:t>
      </w:r>
      <w:r w:rsidRPr="00E3562B">
        <w:rPr>
          <w:i/>
          <w:iCs/>
          <w:lang w:val="en-GB"/>
        </w:rPr>
        <w:t>50</w:t>
      </w:r>
      <w:r w:rsidRPr="00E3562B">
        <w:rPr>
          <w:lang w:val="en-GB"/>
        </w:rPr>
        <w:t>(1), 60–75. https://doi.org/10.1016/j.bar.2017.09.007</w:t>
      </w:r>
    </w:p>
    <w:p w14:paraId="57B1CCA4" w14:textId="77777777" w:rsidR="00317A99" w:rsidRPr="00E3562B" w:rsidRDefault="00317A99" w:rsidP="0066553C">
      <w:pPr>
        <w:pStyle w:val="Bibliography"/>
        <w:spacing w:line="276" w:lineRule="auto"/>
        <w:rPr>
          <w:lang w:val="en-GB"/>
        </w:rPr>
      </w:pPr>
      <w:r w:rsidRPr="00E3562B">
        <w:rPr>
          <w:lang w:val="en-GB"/>
        </w:rPr>
        <w:t xml:space="preserve">Liao, L., Luo, L., &amp; Tang, Q. (2015). Gender diversity, board independence, environmental committee and greenhouse gas disclosure. </w:t>
      </w:r>
      <w:r w:rsidRPr="00E3562B">
        <w:rPr>
          <w:i/>
          <w:iCs/>
          <w:lang w:val="en-GB"/>
        </w:rPr>
        <w:t>The British Accounting Review</w:t>
      </w:r>
      <w:r w:rsidRPr="00E3562B">
        <w:rPr>
          <w:lang w:val="en-GB"/>
        </w:rPr>
        <w:t xml:space="preserve">, </w:t>
      </w:r>
      <w:r w:rsidRPr="00E3562B">
        <w:rPr>
          <w:i/>
          <w:iCs/>
          <w:lang w:val="en-GB"/>
        </w:rPr>
        <w:t>47</w:t>
      </w:r>
      <w:r w:rsidRPr="00E3562B">
        <w:rPr>
          <w:lang w:val="en-GB"/>
        </w:rPr>
        <w:t>(4), 409–424.</w:t>
      </w:r>
    </w:p>
    <w:p w14:paraId="5B049687" w14:textId="77777777" w:rsidR="00317A99" w:rsidRPr="00E3562B" w:rsidRDefault="00317A99" w:rsidP="0066553C">
      <w:pPr>
        <w:pStyle w:val="Bibliography"/>
        <w:spacing w:line="276" w:lineRule="auto"/>
        <w:rPr>
          <w:lang w:val="en-GB"/>
        </w:rPr>
      </w:pPr>
      <w:r w:rsidRPr="00E3562B">
        <w:rPr>
          <w:lang w:val="en-GB"/>
        </w:rPr>
        <w:t xml:space="preserve">Liu, Y., &amp; </w:t>
      </w:r>
      <w:proofErr w:type="spellStart"/>
      <w:r w:rsidRPr="00E3562B">
        <w:rPr>
          <w:lang w:val="en-GB"/>
        </w:rPr>
        <w:t>Jiraporn</w:t>
      </w:r>
      <w:proofErr w:type="spellEnd"/>
      <w:r w:rsidRPr="00E3562B">
        <w:rPr>
          <w:lang w:val="en-GB"/>
        </w:rPr>
        <w:t xml:space="preserve">, P. (2010). The effect of CEO power on bond ratings and yields. </w:t>
      </w:r>
      <w:r w:rsidRPr="00E3562B">
        <w:rPr>
          <w:i/>
          <w:iCs/>
          <w:lang w:val="en-GB"/>
        </w:rPr>
        <w:t>Journal of Empirical Finance</w:t>
      </w:r>
      <w:r w:rsidRPr="00E3562B">
        <w:rPr>
          <w:lang w:val="en-GB"/>
        </w:rPr>
        <w:t xml:space="preserve">, </w:t>
      </w:r>
      <w:r w:rsidRPr="00E3562B">
        <w:rPr>
          <w:i/>
          <w:iCs/>
          <w:lang w:val="en-GB"/>
        </w:rPr>
        <w:t>17</w:t>
      </w:r>
      <w:r w:rsidRPr="00E3562B">
        <w:rPr>
          <w:lang w:val="en-GB"/>
        </w:rPr>
        <w:t>(4), 744–762. https://doi.org/10.1016/j.jempfin.2010.03.003</w:t>
      </w:r>
    </w:p>
    <w:p w14:paraId="5A0FA8E9" w14:textId="77777777" w:rsidR="00317A99" w:rsidRPr="00E3562B" w:rsidRDefault="00317A99" w:rsidP="0066553C">
      <w:pPr>
        <w:pStyle w:val="Bibliography"/>
        <w:spacing w:line="276" w:lineRule="auto"/>
        <w:rPr>
          <w:lang w:val="en-GB"/>
        </w:rPr>
      </w:pPr>
      <w:r w:rsidRPr="00E3562B">
        <w:rPr>
          <w:lang w:val="en-GB"/>
        </w:rPr>
        <w:t xml:space="preserve">Lucas-Pérez, M., </w:t>
      </w:r>
      <w:proofErr w:type="spellStart"/>
      <w:r w:rsidRPr="00E3562B">
        <w:rPr>
          <w:lang w:val="en-GB"/>
        </w:rPr>
        <w:t>Mínguez</w:t>
      </w:r>
      <w:proofErr w:type="spellEnd"/>
      <w:r w:rsidRPr="00E3562B">
        <w:rPr>
          <w:lang w:val="en-GB"/>
        </w:rPr>
        <w:t xml:space="preserve">-Vera, A., </w:t>
      </w:r>
      <w:proofErr w:type="spellStart"/>
      <w:r w:rsidRPr="00E3562B">
        <w:rPr>
          <w:lang w:val="en-GB"/>
        </w:rPr>
        <w:t>Baixauli</w:t>
      </w:r>
      <w:proofErr w:type="spellEnd"/>
      <w:r w:rsidRPr="00E3562B">
        <w:rPr>
          <w:lang w:val="en-GB"/>
        </w:rPr>
        <w:t>-Soler, J., Martín-</w:t>
      </w:r>
      <w:proofErr w:type="spellStart"/>
      <w:r w:rsidRPr="00E3562B">
        <w:rPr>
          <w:lang w:val="en-GB"/>
        </w:rPr>
        <w:t>Ugedo</w:t>
      </w:r>
      <w:proofErr w:type="spellEnd"/>
      <w:r w:rsidRPr="00E3562B">
        <w:rPr>
          <w:lang w:val="en-GB"/>
        </w:rPr>
        <w:t xml:space="preserve">, J., &amp; Sánchez-Marín, G. (2015). Women on the board and managers’ pay: Evidence from Spain. </w:t>
      </w:r>
      <w:r w:rsidRPr="00E3562B">
        <w:rPr>
          <w:i/>
          <w:iCs/>
          <w:lang w:val="en-GB"/>
        </w:rPr>
        <w:t>Journal of Business Ethics</w:t>
      </w:r>
      <w:r w:rsidRPr="00E3562B">
        <w:rPr>
          <w:lang w:val="en-GB"/>
        </w:rPr>
        <w:t xml:space="preserve">, </w:t>
      </w:r>
      <w:r w:rsidRPr="00E3562B">
        <w:rPr>
          <w:i/>
          <w:iCs/>
          <w:lang w:val="en-GB"/>
        </w:rPr>
        <w:t>129</w:t>
      </w:r>
      <w:r w:rsidRPr="00E3562B">
        <w:rPr>
          <w:lang w:val="en-GB"/>
        </w:rPr>
        <w:t>(2), 265–280. https://doi.org/10.1007/s10551-014-2148-1</w:t>
      </w:r>
    </w:p>
    <w:p w14:paraId="25CFD3C1" w14:textId="77777777" w:rsidR="00317A99" w:rsidRPr="00E3562B" w:rsidRDefault="00317A99" w:rsidP="0066553C">
      <w:pPr>
        <w:pStyle w:val="Bibliography"/>
        <w:spacing w:line="276" w:lineRule="auto"/>
        <w:rPr>
          <w:lang w:val="en-GB"/>
        </w:rPr>
      </w:pPr>
      <w:r w:rsidRPr="00E3562B">
        <w:rPr>
          <w:lang w:val="en-GB"/>
        </w:rPr>
        <w:t xml:space="preserve">Luo, Y. (2015). CEO power, ownership structure and pay performance in Chinese banking. </w:t>
      </w:r>
      <w:r w:rsidRPr="00E3562B">
        <w:rPr>
          <w:i/>
          <w:iCs/>
          <w:lang w:val="en-GB"/>
        </w:rPr>
        <w:t>Journal of Economics and Business</w:t>
      </w:r>
      <w:r w:rsidRPr="00E3562B">
        <w:rPr>
          <w:lang w:val="en-GB"/>
        </w:rPr>
        <w:t xml:space="preserve">, </w:t>
      </w:r>
      <w:r w:rsidRPr="00E3562B">
        <w:rPr>
          <w:i/>
          <w:iCs/>
          <w:lang w:val="en-GB"/>
        </w:rPr>
        <w:t>82</w:t>
      </w:r>
      <w:r w:rsidRPr="00E3562B">
        <w:rPr>
          <w:lang w:val="en-GB"/>
        </w:rPr>
        <w:t>, 3–16. https://doi.org/10.1016/j.jeconbus.2015.04.003</w:t>
      </w:r>
    </w:p>
    <w:p w14:paraId="30FB562D" w14:textId="77777777" w:rsidR="00317A99" w:rsidRPr="00E3562B" w:rsidRDefault="00317A99" w:rsidP="0066553C">
      <w:pPr>
        <w:pStyle w:val="Bibliography"/>
        <w:spacing w:line="276" w:lineRule="auto"/>
        <w:rPr>
          <w:lang w:val="en-GB"/>
        </w:rPr>
      </w:pPr>
      <w:r w:rsidRPr="00E3562B">
        <w:rPr>
          <w:lang w:val="en-GB"/>
        </w:rPr>
        <w:t xml:space="preserve">Mai, N., </w:t>
      </w:r>
      <w:proofErr w:type="spellStart"/>
      <w:r w:rsidRPr="00E3562B">
        <w:rPr>
          <w:lang w:val="en-GB"/>
        </w:rPr>
        <w:t>Vourvachis</w:t>
      </w:r>
      <w:proofErr w:type="spellEnd"/>
      <w:r w:rsidRPr="00E3562B">
        <w:rPr>
          <w:lang w:val="en-GB"/>
        </w:rPr>
        <w:t xml:space="preserve">, P., &amp; </w:t>
      </w:r>
      <w:proofErr w:type="spellStart"/>
      <w:r w:rsidRPr="00E3562B">
        <w:rPr>
          <w:lang w:val="en-GB"/>
        </w:rPr>
        <w:t>Grubnic</w:t>
      </w:r>
      <w:proofErr w:type="spellEnd"/>
      <w:r w:rsidRPr="00E3562B">
        <w:rPr>
          <w:lang w:val="en-GB"/>
        </w:rPr>
        <w:t xml:space="preserve">, S. (2023). The impact of the UK’s Modern Slavery Act (2015) on the disclosure of FTSE 100 companies. </w:t>
      </w:r>
      <w:r w:rsidRPr="00E3562B">
        <w:rPr>
          <w:i/>
          <w:iCs/>
          <w:lang w:val="en-GB"/>
        </w:rPr>
        <w:t>The British Accounting Review</w:t>
      </w:r>
      <w:r w:rsidRPr="00E3562B">
        <w:rPr>
          <w:lang w:val="en-GB"/>
        </w:rPr>
        <w:t xml:space="preserve">, </w:t>
      </w:r>
      <w:r w:rsidRPr="00E3562B">
        <w:rPr>
          <w:i/>
          <w:iCs/>
          <w:lang w:val="en-GB"/>
        </w:rPr>
        <w:t>55</w:t>
      </w:r>
      <w:r w:rsidRPr="00E3562B">
        <w:rPr>
          <w:lang w:val="en-GB"/>
        </w:rPr>
        <w:t>(3), 101115. https://doi.org/10.1016/j.bar.2022.101115</w:t>
      </w:r>
    </w:p>
    <w:p w14:paraId="3525C5A1" w14:textId="77777777" w:rsidR="00317A99" w:rsidRPr="00E3562B" w:rsidRDefault="00317A99" w:rsidP="0066553C">
      <w:pPr>
        <w:pStyle w:val="Bibliography"/>
        <w:spacing w:line="276" w:lineRule="auto"/>
        <w:rPr>
          <w:lang w:val="en-GB"/>
        </w:rPr>
      </w:pPr>
      <w:r w:rsidRPr="00E3562B">
        <w:rPr>
          <w:lang w:val="en-GB"/>
        </w:rPr>
        <w:t xml:space="preserve">Malhotra, S., Zhu, P., &amp; Reus, T. H. (2022). The diagnostic value and anchoring effect of references in acquisition premium decisions: The influence of overconfident and powerful CEOs. </w:t>
      </w:r>
      <w:r w:rsidRPr="00E3562B">
        <w:rPr>
          <w:i/>
          <w:iCs/>
          <w:lang w:val="en-GB"/>
        </w:rPr>
        <w:t>British Journal of Management</w:t>
      </w:r>
      <w:r w:rsidRPr="00E3562B">
        <w:rPr>
          <w:lang w:val="en-GB"/>
        </w:rPr>
        <w:t xml:space="preserve">, </w:t>
      </w:r>
      <w:r w:rsidRPr="00E3562B">
        <w:rPr>
          <w:i/>
          <w:iCs/>
          <w:lang w:val="en-GB"/>
        </w:rPr>
        <w:t>00</w:t>
      </w:r>
      <w:r w:rsidRPr="00E3562B">
        <w:rPr>
          <w:lang w:val="en-GB"/>
        </w:rPr>
        <w:t>(00), 1–20. https://doi.org/10.1111/1467-8551.12691</w:t>
      </w:r>
    </w:p>
    <w:p w14:paraId="051B7DB2" w14:textId="77777777" w:rsidR="00317A99" w:rsidRPr="00E3562B" w:rsidRDefault="00317A99" w:rsidP="0066553C">
      <w:pPr>
        <w:pStyle w:val="Bibliography"/>
        <w:spacing w:line="276" w:lineRule="auto"/>
        <w:rPr>
          <w:lang w:val="en-GB"/>
        </w:rPr>
      </w:pPr>
      <w:r w:rsidRPr="00E3562B">
        <w:rPr>
          <w:lang w:val="en-GB"/>
        </w:rPr>
        <w:t xml:space="preserve">Marston, C. L., &amp; Shrives, P. J. (1991). The use of disclosure indices in accounting research: A review article. </w:t>
      </w:r>
      <w:r w:rsidRPr="00E3562B">
        <w:rPr>
          <w:i/>
          <w:iCs/>
          <w:lang w:val="en-GB"/>
        </w:rPr>
        <w:t>The British Accounting Review</w:t>
      </w:r>
      <w:r w:rsidRPr="00E3562B">
        <w:rPr>
          <w:lang w:val="en-GB"/>
        </w:rPr>
        <w:t xml:space="preserve">, </w:t>
      </w:r>
      <w:r w:rsidRPr="00E3562B">
        <w:rPr>
          <w:i/>
          <w:iCs/>
          <w:lang w:val="en-GB"/>
        </w:rPr>
        <w:t>23</w:t>
      </w:r>
      <w:r w:rsidRPr="00E3562B">
        <w:rPr>
          <w:lang w:val="en-GB"/>
        </w:rPr>
        <w:t>(3), 195–210. https://doi.org/10.1016/0890-8389(91)90080-L</w:t>
      </w:r>
    </w:p>
    <w:p w14:paraId="0AB1BEBA" w14:textId="77777777" w:rsidR="00317A99" w:rsidRPr="00E3562B" w:rsidRDefault="00317A99" w:rsidP="0066553C">
      <w:pPr>
        <w:pStyle w:val="Bibliography"/>
        <w:spacing w:line="276" w:lineRule="auto"/>
        <w:rPr>
          <w:lang w:val="en-GB"/>
        </w:rPr>
      </w:pPr>
      <w:r w:rsidRPr="00E3562B">
        <w:rPr>
          <w:lang w:val="en-GB"/>
        </w:rPr>
        <w:t>Martínez‐García, I., Terjesen, S., &amp; Gómez‐</w:t>
      </w:r>
      <w:proofErr w:type="spellStart"/>
      <w:r w:rsidRPr="00E3562B">
        <w:rPr>
          <w:lang w:val="en-GB"/>
        </w:rPr>
        <w:t>Ansón</w:t>
      </w:r>
      <w:proofErr w:type="spellEnd"/>
      <w:r w:rsidRPr="00E3562B">
        <w:rPr>
          <w:lang w:val="en-GB"/>
        </w:rPr>
        <w:t xml:space="preserve">, S. (2022). Board gender diversity codes, quotas and threats of supranational legislation: Impact on director characteristics and corporate outcomes. </w:t>
      </w:r>
      <w:r w:rsidRPr="00E3562B">
        <w:rPr>
          <w:i/>
          <w:iCs/>
          <w:lang w:val="en-GB"/>
        </w:rPr>
        <w:t>British Journal of Management</w:t>
      </w:r>
      <w:r w:rsidRPr="00E3562B">
        <w:rPr>
          <w:lang w:val="en-GB"/>
        </w:rPr>
        <w:t xml:space="preserve">, </w:t>
      </w:r>
      <w:r w:rsidRPr="00E3562B">
        <w:rPr>
          <w:i/>
          <w:iCs/>
          <w:lang w:val="en-GB"/>
        </w:rPr>
        <w:t>33</w:t>
      </w:r>
      <w:r w:rsidRPr="00E3562B">
        <w:rPr>
          <w:lang w:val="en-GB"/>
        </w:rPr>
        <w:t>(2), 753–783. https://doi.org/10.1111/1467-8551.12517</w:t>
      </w:r>
    </w:p>
    <w:p w14:paraId="5FEEADBA" w14:textId="77777777" w:rsidR="00317A99" w:rsidRPr="00E3562B" w:rsidRDefault="00317A99" w:rsidP="0066553C">
      <w:pPr>
        <w:pStyle w:val="Bibliography"/>
        <w:spacing w:line="276" w:lineRule="auto"/>
        <w:rPr>
          <w:lang w:val="en-GB"/>
        </w:rPr>
      </w:pPr>
      <w:r w:rsidRPr="00E3562B">
        <w:rPr>
          <w:lang w:val="en-GB"/>
        </w:rPr>
        <w:t xml:space="preserve">McWilliams, A., &amp; Siegel, D. (2001). Corporate social responsibility: A theory of the firm perspective. </w:t>
      </w:r>
      <w:r w:rsidRPr="00E3562B">
        <w:rPr>
          <w:i/>
          <w:iCs/>
          <w:lang w:val="en-GB"/>
        </w:rPr>
        <w:t>Academy of Management Review</w:t>
      </w:r>
      <w:r w:rsidRPr="00E3562B">
        <w:rPr>
          <w:lang w:val="en-GB"/>
        </w:rPr>
        <w:t xml:space="preserve">, </w:t>
      </w:r>
      <w:r w:rsidRPr="00E3562B">
        <w:rPr>
          <w:i/>
          <w:iCs/>
          <w:lang w:val="en-GB"/>
        </w:rPr>
        <w:t>26</w:t>
      </w:r>
      <w:r w:rsidRPr="00E3562B">
        <w:rPr>
          <w:lang w:val="en-GB"/>
        </w:rPr>
        <w:t>(1), 117–127. https://doi.org/10.5465/AMR.2001.4011987</w:t>
      </w:r>
    </w:p>
    <w:p w14:paraId="628B8F56" w14:textId="77777777" w:rsidR="00317A99" w:rsidRPr="00E3562B" w:rsidRDefault="00317A99" w:rsidP="0066553C">
      <w:pPr>
        <w:pStyle w:val="Bibliography"/>
        <w:spacing w:line="276" w:lineRule="auto"/>
        <w:rPr>
          <w:lang w:val="en-GB"/>
        </w:rPr>
      </w:pPr>
      <w:r w:rsidRPr="00E3562B">
        <w:rPr>
          <w:lang w:val="en-GB"/>
        </w:rPr>
        <w:t xml:space="preserve">McWilliams, A., Siegel, D. S., &amp; Wright, P. M. (2006). Corporate social responsibility: Strategic implications. </w:t>
      </w:r>
      <w:r w:rsidRPr="00E3562B">
        <w:rPr>
          <w:i/>
          <w:iCs/>
          <w:lang w:val="en-GB"/>
        </w:rPr>
        <w:t>Journal of Management Studies</w:t>
      </w:r>
      <w:r w:rsidRPr="00E3562B">
        <w:rPr>
          <w:lang w:val="en-GB"/>
        </w:rPr>
        <w:t xml:space="preserve">, </w:t>
      </w:r>
      <w:r w:rsidRPr="00E3562B">
        <w:rPr>
          <w:i/>
          <w:iCs/>
          <w:lang w:val="en-GB"/>
        </w:rPr>
        <w:t>43</w:t>
      </w:r>
      <w:r w:rsidRPr="00E3562B">
        <w:rPr>
          <w:lang w:val="en-GB"/>
        </w:rPr>
        <w:t>(1), 1–18. https://doi.org/10.1111/j.1467-6486.2006.00580.x</w:t>
      </w:r>
    </w:p>
    <w:p w14:paraId="1F06BD1F" w14:textId="77777777" w:rsidR="00317A99" w:rsidRPr="00E3562B" w:rsidRDefault="00317A99" w:rsidP="0066553C">
      <w:pPr>
        <w:pStyle w:val="Bibliography"/>
        <w:spacing w:line="276" w:lineRule="auto"/>
        <w:rPr>
          <w:lang w:val="en-GB"/>
        </w:rPr>
      </w:pPr>
      <w:r w:rsidRPr="00E3562B">
        <w:rPr>
          <w:lang w:val="en-GB"/>
        </w:rPr>
        <w:t xml:space="preserve">Moussa, T., Allam, A., Elbanna, S., &amp; Bani‐Mustafa, A. (2020). Can board environmental orientation improve U.S. firms’ carbon performance? The mediating role of carbon strategy. </w:t>
      </w:r>
      <w:r w:rsidRPr="00E3562B">
        <w:rPr>
          <w:i/>
          <w:iCs/>
          <w:lang w:val="en-GB"/>
        </w:rPr>
        <w:t>Business Strategy and the Environment</w:t>
      </w:r>
      <w:r w:rsidRPr="00E3562B">
        <w:rPr>
          <w:lang w:val="en-GB"/>
        </w:rPr>
        <w:t xml:space="preserve">, </w:t>
      </w:r>
      <w:r w:rsidRPr="00E3562B">
        <w:rPr>
          <w:i/>
          <w:iCs/>
          <w:lang w:val="en-GB"/>
        </w:rPr>
        <w:t>29</w:t>
      </w:r>
      <w:r w:rsidRPr="00E3562B">
        <w:rPr>
          <w:lang w:val="en-GB"/>
        </w:rPr>
        <w:t>(1), 72–86. https://doi.org/10.1002/bse.2351</w:t>
      </w:r>
    </w:p>
    <w:p w14:paraId="609210CC" w14:textId="77777777" w:rsidR="00317A99" w:rsidRPr="00E3562B" w:rsidRDefault="00317A99" w:rsidP="0066553C">
      <w:pPr>
        <w:pStyle w:val="Bibliography"/>
        <w:spacing w:line="276" w:lineRule="auto"/>
        <w:rPr>
          <w:lang w:val="en-GB"/>
        </w:rPr>
      </w:pPr>
      <w:r w:rsidRPr="00E3562B">
        <w:rPr>
          <w:lang w:val="en-GB"/>
        </w:rPr>
        <w:t xml:space="preserve">Moussa, T., Allam, A., &amp; </w:t>
      </w:r>
      <w:proofErr w:type="spellStart"/>
      <w:r w:rsidRPr="00E3562B">
        <w:rPr>
          <w:lang w:val="en-GB"/>
        </w:rPr>
        <w:t>Elmarzouky</w:t>
      </w:r>
      <w:proofErr w:type="spellEnd"/>
      <w:r w:rsidRPr="00E3562B">
        <w:rPr>
          <w:lang w:val="en-GB"/>
        </w:rPr>
        <w:t xml:space="preserve">, M. (2023). An examination of UK companies’ modern slavery disclosure practices: Does board gender diversity matter? </w:t>
      </w:r>
      <w:r w:rsidRPr="00E3562B">
        <w:rPr>
          <w:i/>
          <w:iCs/>
          <w:lang w:val="en-GB"/>
        </w:rPr>
        <w:t>Business Strategy and the Environment</w:t>
      </w:r>
      <w:r w:rsidRPr="00E3562B">
        <w:rPr>
          <w:lang w:val="en-GB"/>
        </w:rPr>
        <w:t xml:space="preserve">, </w:t>
      </w:r>
      <w:r w:rsidRPr="00E3562B">
        <w:rPr>
          <w:i/>
          <w:iCs/>
          <w:lang w:val="en-GB"/>
        </w:rPr>
        <w:t>32</w:t>
      </w:r>
      <w:r w:rsidRPr="00E3562B">
        <w:rPr>
          <w:lang w:val="en-GB"/>
        </w:rPr>
        <w:t>(8). https://doi.org/10.1002/bse.3426</w:t>
      </w:r>
    </w:p>
    <w:p w14:paraId="5E9B4756" w14:textId="77777777" w:rsidR="00317A99" w:rsidRPr="00E3562B" w:rsidRDefault="00317A99" w:rsidP="0066553C">
      <w:pPr>
        <w:pStyle w:val="Bibliography"/>
        <w:spacing w:line="276" w:lineRule="auto"/>
        <w:rPr>
          <w:lang w:val="en-GB"/>
        </w:rPr>
      </w:pPr>
      <w:r w:rsidRPr="00E3562B">
        <w:rPr>
          <w:lang w:val="en-GB"/>
        </w:rPr>
        <w:t xml:space="preserve">Moussa, T., Kotb, A., &amp; </w:t>
      </w:r>
      <w:proofErr w:type="spellStart"/>
      <w:r w:rsidRPr="00E3562B">
        <w:rPr>
          <w:lang w:val="en-GB"/>
        </w:rPr>
        <w:t>Helfaya</w:t>
      </w:r>
      <w:proofErr w:type="spellEnd"/>
      <w:r w:rsidRPr="00E3562B">
        <w:rPr>
          <w:lang w:val="en-GB"/>
        </w:rPr>
        <w:t xml:space="preserve">, A. (2022). An empirical investigation of U.K. environmental targets disclosure: The role of environmental governance and performance. </w:t>
      </w:r>
      <w:r w:rsidRPr="00E3562B">
        <w:rPr>
          <w:i/>
          <w:iCs/>
          <w:lang w:val="en-GB"/>
        </w:rPr>
        <w:t>European Accounting Review</w:t>
      </w:r>
      <w:r w:rsidRPr="00E3562B">
        <w:rPr>
          <w:lang w:val="en-GB"/>
        </w:rPr>
        <w:t xml:space="preserve">, </w:t>
      </w:r>
      <w:r w:rsidRPr="00E3562B">
        <w:rPr>
          <w:i/>
          <w:iCs/>
          <w:lang w:val="en-GB"/>
        </w:rPr>
        <w:t>31</w:t>
      </w:r>
      <w:r w:rsidRPr="00E3562B">
        <w:rPr>
          <w:lang w:val="en-GB"/>
        </w:rPr>
        <w:t>(4), 1–35. https://doi.org/10.1080/09638180.2021.1890173</w:t>
      </w:r>
    </w:p>
    <w:p w14:paraId="060C974C" w14:textId="77777777" w:rsidR="00317A99" w:rsidRPr="00E3562B" w:rsidRDefault="00317A99" w:rsidP="0066553C">
      <w:pPr>
        <w:pStyle w:val="Bibliography"/>
        <w:spacing w:line="276" w:lineRule="auto"/>
        <w:rPr>
          <w:lang w:val="en-GB"/>
        </w:rPr>
      </w:pPr>
      <w:r w:rsidRPr="00E3562B">
        <w:rPr>
          <w:lang w:val="en-GB"/>
        </w:rPr>
        <w:lastRenderedPageBreak/>
        <w:t xml:space="preserve">MSA. (2015). </w:t>
      </w:r>
      <w:r w:rsidRPr="00E3562B">
        <w:rPr>
          <w:i/>
          <w:iCs/>
          <w:lang w:val="en-GB"/>
        </w:rPr>
        <w:t>Modern Slavery Act 2015</w:t>
      </w:r>
      <w:r w:rsidRPr="00E3562B">
        <w:rPr>
          <w:lang w:val="en-GB"/>
        </w:rPr>
        <w:t>. Queen’s Printer of Acts of Parliament. https://www.legislation.gov.uk/ukpga/2015/30/contents/enacted</w:t>
      </w:r>
    </w:p>
    <w:p w14:paraId="2C14E50D" w14:textId="77777777" w:rsidR="00317A99" w:rsidRPr="00E3562B" w:rsidRDefault="00317A99" w:rsidP="0066553C">
      <w:pPr>
        <w:pStyle w:val="Bibliography"/>
        <w:spacing w:line="276" w:lineRule="auto"/>
        <w:rPr>
          <w:lang w:val="en-GB"/>
        </w:rPr>
      </w:pPr>
      <w:proofErr w:type="spellStart"/>
      <w:r w:rsidRPr="00E3562B">
        <w:rPr>
          <w:lang w:val="en-GB"/>
        </w:rPr>
        <w:t>Muttakin</w:t>
      </w:r>
      <w:proofErr w:type="spellEnd"/>
      <w:r w:rsidRPr="00E3562B">
        <w:rPr>
          <w:lang w:val="en-GB"/>
        </w:rPr>
        <w:t xml:space="preserve">, M. B., Chatterjee, B., Khan, A., </w:t>
      </w:r>
      <w:proofErr w:type="spellStart"/>
      <w:r w:rsidRPr="00E3562B">
        <w:rPr>
          <w:lang w:val="en-GB"/>
        </w:rPr>
        <w:t>Mihret</w:t>
      </w:r>
      <w:proofErr w:type="spellEnd"/>
      <w:r w:rsidRPr="00E3562B">
        <w:rPr>
          <w:lang w:val="en-GB"/>
        </w:rPr>
        <w:t xml:space="preserve">, D. G., Roy, R., &amp; </w:t>
      </w:r>
      <w:proofErr w:type="spellStart"/>
      <w:r w:rsidRPr="00E3562B">
        <w:rPr>
          <w:lang w:val="en-GB"/>
        </w:rPr>
        <w:t>Yaftian</w:t>
      </w:r>
      <w:proofErr w:type="spellEnd"/>
      <w:r w:rsidRPr="00E3562B">
        <w:rPr>
          <w:lang w:val="en-GB"/>
        </w:rPr>
        <w:t xml:space="preserve">, A. (2022). Corporate political donations, board gender diversity, and corporate social responsibility: Evidence from Australia. </w:t>
      </w:r>
      <w:r w:rsidRPr="00E3562B">
        <w:rPr>
          <w:i/>
          <w:iCs/>
          <w:lang w:val="en-GB"/>
        </w:rPr>
        <w:t>Journal of Business Research</w:t>
      </w:r>
      <w:r w:rsidRPr="00E3562B">
        <w:rPr>
          <w:lang w:val="en-GB"/>
        </w:rPr>
        <w:t xml:space="preserve">, </w:t>
      </w:r>
      <w:r w:rsidRPr="00E3562B">
        <w:rPr>
          <w:i/>
          <w:iCs/>
          <w:lang w:val="en-GB"/>
        </w:rPr>
        <w:t>152</w:t>
      </w:r>
      <w:r w:rsidRPr="00E3562B">
        <w:rPr>
          <w:lang w:val="en-GB"/>
        </w:rPr>
        <w:t>, 290–299.</w:t>
      </w:r>
    </w:p>
    <w:p w14:paraId="38A3DE2B" w14:textId="77777777" w:rsidR="00317A99" w:rsidRPr="00E3562B" w:rsidRDefault="00317A99" w:rsidP="0066553C">
      <w:pPr>
        <w:pStyle w:val="Bibliography"/>
        <w:spacing w:line="276" w:lineRule="auto"/>
        <w:rPr>
          <w:lang w:val="en-GB"/>
        </w:rPr>
      </w:pPr>
      <w:proofErr w:type="spellStart"/>
      <w:r w:rsidRPr="00E3562B">
        <w:rPr>
          <w:lang w:val="en-GB"/>
        </w:rPr>
        <w:t>Muttakin</w:t>
      </w:r>
      <w:proofErr w:type="spellEnd"/>
      <w:r w:rsidRPr="00E3562B">
        <w:rPr>
          <w:lang w:val="en-GB"/>
        </w:rPr>
        <w:t xml:space="preserve">, M. B., Khan, A., &amp; </w:t>
      </w:r>
      <w:proofErr w:type="spellStart"/>
      <w:r w:rsidRPr="00E3562B">
        <w:rPr>
          <w:lang w:val="en-GB"/>
        </w:rPr>
        <w:t>Mihret</w:t>
      </w:r>
      <w:proofErr w:type="spellEnd"/>
      <w:r w:rsidRPr="00E3562B">
        <w:rPr>
          <w:lang w:val="en-GB"/>
        </w:rPr>
        <w:t xml:space="preserve">, D. G. (2018). The effect of board capital and CEO power on corporate social responsibility disclosures. </w:t>
      </w:r>
      <w:r w:rsidRPr="00E3562B">
        <w:rPr>
          <w:i/>
          <w:iCs/>
          <w:lang w:val="en-GB"/>
        </w:rPr>
        <w:t>Journal of Business Ethics</w:t>
      </w:r>
      <w:r w:rsidRPr="00E3562B">
        <w:rPr>
          <w:lang w:val="en-GB"/>
        </w:rPr>
        <w:t xml:space="preserve">, </w:t>
      </w:r>
      <w:r w:rsidRPr="00E3562B">
        <w:rPr>
          <w:i/>
          <w:iCs/>
          <w:lang w:val="en-GB"/>
        </w:rPr>
        <w:t>150</w:t>
      </w:r>
      <w:r w:rsidRPr="00E3562B">
        <w:rPr>
          <w:lang w:val="en-GB"/>
        </w:rPr>
        <w:t>(1), 41–56. https://doi.org/10.1007/s10551-016-3105-y</w:t>
      </w:r>
    </w:p>
    <w:p w14:paraId="018EE52D" w14:textId="77777777" w:rsidR="00317A99" w:rsidRPr="00E3562B" w:rsidRDefault="00317A99" w:rsidP="0066553C">
      <w:pPr>
        <w:pStyle w:val="Bibliography"/>
        <w:spacing w:line="276" w:lineRule="auto"/>
        <w:rPr>
          <w:lang w:val="en-GB"/>
        </w:rPr>
      </w:pPr>
      <w:r w:rsidRPr="00E3562B">
        <w:rPr>
          <w:lang w:val="en-GB"/>
        </w:rPr>
        <w:t xml:space="preserve">Nadeem, M. (2020). Does board gender diversity influence voluntary disclosure of intellectual capital in initial public offering prospectuses? Evidence from China. </w:t>
      </w:r>
      <w:r w:rsidRPr="00E3562B">
        <w:rPr>
          <w:i/>
          <w:iCs/>
          <w:lang w:val="en-GB"/>
        </w:rPr>
        <w:t>Corporate Governance: An International Review</w:t>
      </w:r>
      <w:r w:rsidRPr="00E3562B">
        <w:rPr>
          <w:lang w:val="en-GB"/>
        </w:rPr>
        <w:t xml:space="preserve">, </w:t>
      </w:r>
      <w:r w:rsidRPr="00E3562B">
        <w:rPr>
          <w:i/>
          <w:iCs/>
          <w:lang w:val="en-GB"/>
        </w:rPr>
        <w:t>28</w:t>
      </w:r>
      <w:r w:rsidRPr="00E3562B">
        <w:rPr>
          <w:lang w:val="en-GB"/>
        </w:rPr>
        <w:t>(2), 100–118. https://doi.org/10.1111/corg.12304</w:t>
      </w:r>
    </w:p>
    <w:p w14:paraId="61FAA2BF" w14:textId="77777777" w:rsidR="00317A99" w:rsidRPr="00E3562B" w:rsidRDefault="00317A99" w:rsidP="0066553C">
      <w:pPr>
        <w:pStyle w:val="Bibliography"/>
        <w:spacing w:line="276" w:lineRule="auto"/>
        <w:rPr>
          <w:lang w:val="en-GB"/>
        </w:rPr>
      </w:pPr>
      <w:r w:rsidRPr="00E3562B">
        <w:rPr>
          <w:lang w:val="en-GB"/>
        </w:rPr>
        <w:t xml:space="preserve">Nadeem, M. (2022). Board gender diversity and managerial obfuscation: Evidence from the readability of narrative disclosure in 10-K reports. </w:t>
      </w:r>
      <w:r w:rsidRPr="00E3562B">
        <w:rPr>
          <w:i/>
          <w:iCs/>
          <w:lang w:val="en-GB"/>
        </w:rPr>
        <w:t>Journal of Business Ethics</w:t>
      </w:r>
      <w:r w:rsidRPr="00E3562B">
        <w:rPr>
          <w:lang w:val="en-GB"/>
        </w:rPr>
        <w:t xml:space="preserve">, </w:t>
      </w:r>
      <w:r w:rsidRPr="00E3562B">
        <w:rPr>
          <w:i/>
          <w:iCs/>
          <w:lang w:val="en-GB"/>
        </w:rPr>
        <w:t>179</w:t>
      </w:r>
      <w:r w:rsidRPr="00E3562B">
        <w:rPr>
          <w:lang w:val="en-GB"/>
        </w:rPr>
        <w:t>(1), 1–25. https://doi.org/10.1007/s10551-021-04830-3</w:t>
      </w:r>
    </w:p>
    <w:p w14:paraId="67426A74" w14:textId="77777777" w:rsidR="00317A99" w:rsidRPr="00E3562B" w:rsidRDefault="00317A99" w:rsidP="0066553C">
      <w:pPr>
        <w:pStyle w:val="Bibliography"/>
        <w:spacing w:line="276" w:lineRule="auto"/>
        <w:rPr>
          <w:lang w:val="en-GB"/>
        </w:rPr>
      </w:pPr>
      <w:proofErr w:type="spellStart"/>
      <w:r w:rsidRPr="00E3562B">
        <w:rPr>
          <w:lang w:val="en-GB"/>
        </w:rPr>
        <w:t>Nekhili</w:t>
      </w:r>
      <w:proofErr w:type="spellEnd"/>
      <w:r w:rsidRPr="00E3562B">
        <w:rPr>
          <w:lang w:val="en-GB"/>
        </w:rPr>
        <w:t xml:space="preserve">, M., </w:t>
      </w:r>
      <w:proofErr w:type="spellStart"/>
      <w:r w:rsidRPr="00E3562B">
        <w:rPr>
          <w:lang w:val="en-GB"/>
        </w:rPr>
        <w:t>Bennouri</w:t>
      </w:r>
      <w:proofErr w:type="spellEnd"/>
      <w:r w:rsidRPr="00E3562B">
        <w:rPr>
          <w:lang w:val="en-GB"/>
        </w:rPr>
        <w:t xml:space="preserve">, M., &amp; </w:t>
      </w:r>
      <w:proofErr w:type="spellStart"/>
      <w:r w:rsidRPr="00E3562B">
        <w:rPr>
          <w:lang w:val="en-GB"/>
        </w:rPr>
        <w:t>Nagati</w:t>
      </w:r>
      <w:proofErr w:type="spellEnd"/>
      <w:r w:rsidRPr="00E3562B">
        <w:rPr>
          <w:lang w:val="en-GB"/>
        </w:rPr>
        <w:t xml:space="preserve">, H. (2022). Do board gender quotas benefit minority shareholders? An illustration through related-party transactions. </w:t>
      </w:r>
      <w:r w:rsidRPr="00E3562B">
        <w:rPr>
          <w:i/>
          <w:iCs/>
          <w:lang w:val="en-GB"/>
        </w:rPr>
        <w:t>British Journal of Management</w:t>
      </w:r>
      <w:r w:rsidRPr="00E3562B">
        <w:rPr>
          <w:lang w:val="en-GB"/>
        </w:rPr>
        <w:t xml:space="preserve">, </w:t>
      </w:r>
      <w:r w:rsidRPr="00E3562B">
        <w:rPr>
          <w:i/>
          <w:iCs/>
          <w:lang w:val="en-GB"/>
        </w:rPr>
        <w:t>33</w:t>
      </w:r>
      <w:r w:rsidRPr="00E3562B">
        <w:rPr>
          <w:lang w:val="en-GB"/>
        </w:rPr>
        <w:t>(2), 724–752. https://doi.org/10.1111/1467-8551.12467</w:t>
      </w:r>
    </w:p>
    <w:p w14:paraId="79FACD1D" w14:textId="77777777" w:rsidR="00317A99" w:rsidRPr="00E3562B" w:rsidRDefault="00317A99" w:rsidP="0066553C">
      <w:pPr>
        <w:pStyle w:val="Bibliography"/>
        <w:spacing w:line="276" w:lineRule="auto"/>
        <w:rPr>
          <w:lang w:val="en-GB"/>
        </w:rPr>
      </w:pPr>
      <w:proofErr w:type="spellStart"/>
      <w:r w:rsidRPr="00E3562B">
        <w:rPr>
          <w:lang w:val="en-GB"/>
        </w:rPr>
        <w:t>Nekhili</w:t>
      </w:r>
      <w:proofErr w:type="spellEnd"/>
      <w:r w:rsidRPr="00E3562B">
        <w:rPr>
          <w:lang w:val="en-GB"/>
        </w:rPr>
        <w:t xml:space="preserve">, M., </w:t>
      </w:r>
      <w:proofErr w:type="spellStart"/>
      <w:r w:rsidRPr="00E3562B">
        <w:rPr>
          <w:lang w:val="en-GB"/>
        </w:rPr>
        <w:t>Nagati</w:t>
      </w:r>
      <w:proofErr w:type="spellEnd"/>
      <w:r w:rsidRPr="00E3562B">
        <w:rPr>
          <w:lang w:val="en-GB"/>
        </w:rPr>
        <w:t xml:space="preserve">, H., </w:t>
      </w:r>
      <w:proofErr w:type="spellStart"/>
      <w:r w:rsidRPr="00E3562B">
        <w:rPr>
          <w:lang w:val="en-GB"/>
        </w:rPr>
        <w:t>Chtioui</w:t>
      </w:r>
      <w:proofErr w:type="spellEnd"/>
      <w:r w:rsidRPr="00E3562B">
        <w:rPr>
          <w:lang w:val="en-GB"/>
        </w:rPr>
        <w:t xml:space="preserve">, T., &amp; </w:t>
      </w:r>
      <w:proofErr w:type="spellStart"/>
      <w:r w:rsidRPr="00E3562B">
        <w:rPr>
          <w:lang w:val="en-GB"/>
        </w:rPr>
        <w:t>Nekhili</w:t>
      </w:r>
      <w:proofErr w:type="spellEnd"/>
      <w:r w:rsidRPr="00E3562B">
        <w:rPr>
          <w:lang w:val="en-GB"/>
        </w:rPr>
        <w:t xml:space="preserve">, A. (2017). Gender-diverse board and the relevance of voluntary CSR reporting. </w:t>
      </w:r>
      <w:r w:rsidRPr="00E3562B">
        <w:rPr>
          <w:i/>
          <w:iCs/>
          <w:lang w:val="en-GB"/>
        </w:rPr>
        <w:t>International Review of Financial Analysis</w:t>
      </w:r>
      <w:r w:rsidRPr="00E3562B">
        <w:rPr>
          <w:lang w:val="en-GB"/>
        </w:rPr>
        <w:t xml:space="preserve">, </w:t>
      </w:r>
      <w:r w:rsidRPr="00E3562B">
        <w:rPr>
          <w:i/>
          <w:iCs/>
          <w:lang w:val="en-GB"/>
        </w:rPr>
        <w:t>50</w:t>
      </w:r>
      <w:r w:rsidRPr="00E3562B">
        <w:rPr>
          <w:lang w:val="en-GB"/>
        </w:rPr>
        <w:t>, 81–100. https://doi.org/10.1016/j.irfa.2017.02.003</w:t>
      </w:r>
    </w:p>
    <w:p w14:paraId="259BBDBC" w14:textId="77777777" w:rsidR="00317A99" w:rsidRPr="00E3562B" w:rsidRDefault="00317A99" w:rsidP="0066553C">
      <w:pPr>
        <w:pStyle w:val="Bibliography"/>
        <w:spacing w:line="276" w:lineRule="auto"/>
        <w:rPr>
          <w:lang w:val="en-GB"/>
        </w:rPr>
      </w:pPr>
      <w:proofErr w:type="spellStart"/>
      <w:r w:rsidRPr="00E3562B">
        <w:rPr>
          <w:lang w:val="en-GB"/>
        </w:rPr>
        <w:t>Onali</w:t>
      </w:r>
      <w:proofErr w:type="spellEnd"/>
      <w:r w:rsidRPr="00E3562B">
        <w:rPr>
          <w:lang w:val="en-GB"/>
        </w:rPr>
        <w:t xml:space="preserve">, E., </w:t>
      </w:r>
      <w:proofErr w:type="spellStart"/>
      <w:r w:rsidRPr="00E3562B">
        <w:rPr>
          <w:lang w:val="en-GB"/>
        </w:rPr>
        <w:t>Galiakhmetova</w:t>
      </w:r>
      <w:proofErr w:type="spellEnd"/>
      <w:r w:rsidRPr="00E3562B">
        <w:rPr>
          <w:lang w:val="en-GB"/>
        </w:rPr>
        <w:t xml:space="preserve">, R., Molyneux, P., &amp; </w:t>
      </w:r>
      <w:proofErr w:type="spellStart"/>
      <w:r w:rsidRPr="00E3562B">
        <w:rPr>
          <w:lang w:val="en-GB"/>
        </w:rPr>
        <w:t>Torluccio</w:t>
      </w:r>
      <w:proofErr w:type="spellEnd"/>
      <w:r w:rsidRPr="00E3562B">
        <w:rPr>
          <w:lang w:val="en-GB"/>
        </w:rPr>
        <w:t xml:space="preserve">, G. (2016). CEO power, government monitoring, and bank dividends. </w:t>
      </w:r>
      <w:r w:rsidRPr="00E3562B">
        <w:rPr>
          <w:i/>
          <w:iCs/>
          <w:lang w:val="en-GB"/>
        </w:rPr>
        <w:t>Journal of Financial Intermediation</w:t>
      </w:r>
      <w:r w:rsidRPr="00E3562B">
        <w:rPr>
          <w:lang w:val="en-GB"/>
        </w:rPr>
        <w:t xml:space="preserve">, </w:t>
      </w:r>
      <w:r w:rsidRPr="00E3562B">
        <w:rPr>
          <w:i/>
          <w:iCs/>
          <w:lang w:val="en-GB"/>
        </w:rPr>
        <w:t>27</w:t>
      </w:r>
      <w:r w:rsidRPr="00E3562B">
        <w:rPr>
          <w:lang w:val="en-GB"/>
        </w:rPr>
        <w:t>, 89–117. https://doi.org/10.1016/j.jfi.2015.08.001</w:t>
      </w:r>
    </w:p>
    <w:p w14:paraId="62CA93DC" w14:textId="77777777" w:rsidR="00317A99" w:rsidRPr="00E3562B" w:rsidRDefault="00317A99" w:rsidP="0066553C">
      <w:pPr>
        <w:pStyle w:val="Bibliography"/>
        <w:spacing w:line="276" w:lineRule="auto"/>
        <w:rPr>
          <w:lang w:val="en-GB"/>
        </w:rPr>
      </w:pPr>
      <w:proofErr w:type="spellStart"/>
      <w:r w:rsidRPr="00E3562B">
        <w:rPr>
          <w:lang w:val="en-GB"/>
        </w:rPr>
        <w:t>Orazalin</w:t>
      </w:r>
      <w:proofErr w:type="spellEnd"/>
      <w:r w:rsidRPr="00E3562B">
        <w:rPr>
          <w:lang w:val="en-GB"/>
        </w:rPr>
        <w:t xml:space="preserve">, N. S., Ntim, C. G., &amp; </w:t>
      </w:r>
      <w:proofErr w:type="spellStart"/>
      <w:r w:rsidRPr="00E3562B">
        <w:rPr>
          <w:lang w:val="en-GB"/>
        </w:rPr>
        <w:t>Malagila</w:t>
      </w:r>
      <w:proofErr w:type="spellEnd"/>
      <w:r w:rsidRPr="00E3562B">
        <w:rPr>
          <w:lang w:val="en-GB"/>
        </w:rPr>
        <w:t xml:space="preserve">, J. K. (2024). Board sustainability committees, climate change initiatives, carbon performance, and market value. </w:t>
      </w:r>
      <w:r w:rsidRPr="00E3562B">
        <w:rPr>
          <w:i/>
          <w:iCs/>
          <w:lang w:val="en-GB"/>
        </w:rPr>
        <w:t>British Journal of Management</w:t>
      </w:r>
      <w:r w:rsidRPr="00E3562B">
        <w:rPr>
          <w:lang w:val="en-GB"/>
        </w:rPr>
        <w:t xml:space="preserve">, </w:t>
      </w:r>
      <w:r w:rsidRPr="00E3562B">
        <w:rPr>
          <w:i/>
          <w:iCs/>
          <w:lang w:val="en-GB"/>
        </w:rPr>
        <w:t>35</w:t>
      </w:r>
      <w:r w:rsidRPr="00E3562B">
        <w:rPr>
          <w:lang w:val="en-GB"/>
        </w:rPr>
        <w:t>(1), 295–320. https://doi.org/10.1111/1467-8551.12715</w:t>
      </w:r>
    </w:p>
    <w:p w14:paraId="10975277" w14:textId="77777777" w:rsidR="00317A99" w:rsidRPr="00E3562B" w:rsidRDefault="00317A99" w:rsidP="0066553C">
      <w:pPr>
        <w:pStyle w:val="Bibliography"/>
        <w:spacing w:line="276" w:lineRule="auto"/>
        <w:rPr>
          <w:lang w:val="en-GB"/>
        </w:rPr>
      </w:pPr>
      <w:r w:rsidRPr="00E3562B">
        <w:rPr>
          <w:lang w:val="en-GB"/>
        </w:rPr>
        <w:t xml:space="preserve">Pathan, S. (2009). Strong boards, CEO power and bank risk-taking. </w:t>
      </w:r>
      <w:r w:rsidRPr="00E3562B">
        <w:rPr>
          <w:i/>
          <w:iCs/>
          <w:lang w:val="en-GB"/>
        </w:rPr>
        <w:t>Journal of Banking &amp; Finance</w:t>
      </w:r>
      <w:r w:rsidRPr="00E3562B">
        <w:rPr>
          <w:lang w:val="en-GB"/>
        </w:rPr>
        <w:t xml:space="preserve">, </w:t>
      </w:r>
      <w:r w:rsidRPr="00E3562B">
        <w:rPr>
          <w:i/>
          <w:iCs/>
          <w:lang w:val="en-GB"/>
        </w:rPr>
        <w:t>33</w:t>
      </w:r>
      <w:r w:rsidRPr="00E3562B">
        <w:rPr>
          <w:lang w:val="en-GB"/>
        </w:rPr>
        <w:t>(7), 1340–1350. https://doi.org/10.1016/j.jbankfin.2009.02.001</w:t>
      </w:r>
    </w:p>
    <w:p w14:paraId="18435628" w14:textId="77777777" w:rsidR="00317A99" w:rsidRPr="00E3562B" w:rsidRDefault="00317A99" w:rsidP="0066553C">
      <w:pPr>
        <w:pStyle w:val="Bibliography"/>
        <w:spacing w:line="276" w:lineRule="auto"/>
        <w:rPr>
          <w:lang w:val="en-GB"/>
        </w:rPr>
      </w:pPr>
      <w:r w:rsidRPr="00E3562B">
        <w:rPr>
          <w:lang w:val="en-GB"/>
        </w:rPr>
        <w:t xml:space="preserve">Pham, N., Cui, B., &amp; </w:t>
      </w:r>
      <w:proofErr w:type="spellStart"/>
      <w:r w:rsidRPr="00E3562B">
        <w:rPr>
          <w:lang w:val="en-GB"/>
        </w:rPr>
        <w:t>Ruthbah</w:t>
      </w:r>
      <w:proofErr w:type="spellEnd"/>
      <w:r w:rsidRPr="00E3562B">
        <w:rPr>
          <w:lang w:val="en-GB"/>
        </w:rPr>
        <w:t xml:space="preserve">, U. (2021). </w:t>
      </w:r>
      <w:r w:rsidRPr="00E3562B">
        <w:rPr>
          <w:i/>
          <w:iCs/>
          <w:lang w:val="en-GB"/>
        </w:rPr>
        <w:t>Measuring disclosure quality of modern slavery statements: ASX300 companies</w:t>
      </w:r>
      <w:r w:rsidRPr="00E3562B">
        <w:rPr>
          <w:lang w:val="en-GB"/>
        </w:rPr>
        <w:t>. Monash Centre for Financial Studies, Monash Business School. https://www.monash.edu/__data/assets/pdf_file/0011/2781281/MSD-White-paper-ASX300-WITH-COLOUR-KEY.pdf</w:t>
      </w:r>
    </w:p>
    <w:p w14:paraId="6A4CF579" w14:textId="77777777" w:rsidR="00317A99" w:rsidRPr="00E3562B" w:rsidRDefault="00317A99" w:rsidP="0066553C">
      <w:pPr>
        <w:pStyle w:val="Bibliography"/>
        <w:spacing w:line="276" w:lineRule="auto"/>
        <w:rPr>
          <w:lang w:val="en-GB"/>
        </w:rPr>
      </w:pPr>
      <w:proofErr w:type="spellStart"/>
      <w:r w:rsidRPr="00E3562B">
        <w:rPr>
          <w:lang w:val="en-GB"/>
        </w:rPr>
        <w:t>Pinnington</w:t>
      </w:r>
      <w:proofErr w:type="spellEnd"/>
      <w:r w:rsidRPr="00E3562B">
        <w:rPr>
          <w:lang w:val="en-GB"/>
        </w:rPr>
        <w:t xml:space="preserve">, B., Benstead, A., &amp; Meehan, J. (2023). Transparency in supply chains (TISC): Assessing and improving the quality of modern slavery statements. </w:t>
      </w:r>
      <w:r w:rsidRPr="00E3562B">
        <w:rPr>
          <w:i/>
          <w:iCs/>
          <w:lang w:val="en-GB"/>
        </w:rPr>
        <w:t>Journal of Business Ethics</w:t>
      </w:r>
      <w:r w:rsidRPr="00E3562B">
        <w:rPr>
          <w:lang w:val="en-GB"/>
        </w:rPr>
        <w:t xml:space="preserve">, </w:t>
      </w:r>
      <w:r w:rsidRPr="00E3562B">
        <w:rPr>
          <w:i/>
          <w:iCs/>
          <w:lang w:val="en-GB"/>
        </w:rPr>
        <w:t>182</w:t>
      </w:r>
      <w:r w:rsidRPr="00E3562B">
        <w:rPr>
          <w:lang w:val="en-GB"/>
        </w:rPr>
        <w:t>(3), 619–636. https://doi.org/10.1007/s10551-022-05037-w</w:t>
      </w:r>
    </w:p>
    <w:p w14:paraId="257224F6" w14:textId="77777777" w:rsidR="00317A99" w:rsidRPr="00E3562B" w:rsidRDefault="00317A99" w:rsidP="0066553C">
      <w:pPr>
        <w:pStyle w:val="Bibliography"/>
        <w:spacing w:line="276" w:lineRule="auto"/>
        <w:rPr>
          <w:lang w:val="en-GB"/>
        </w:rPr>
      </w:pPr>
      <w:r w:rsidRPr="00E3562B">
        <w:rPr>
          <w:lang w:val="en-GB"/>
        </w:rPr>
        <w:t xml:space="preserve">Radtke, R. R. (2000). The effects of gender and setting on accountants’ ethically sensitive decisions. </w:t>
      </w:r>
      <w:r w:rsidRPr="00E3562B">
        <w:rPr>
          <w:i/>
          <w:iCs/>
          <w:lang w:val="en-GB"/>
        </w:rPr>
        <w:t>Journal of Business Ethics</w:t>
      </w:r>
      <w:r w:rsidRPr="00E3562B">
        <w:rPr>
          <w:lang w:val="en-GB"/>
        </w:rPr>
        <w:t xml:space="preserve">, </w:t>
      </w:r>
      <w:r w:rsidRPr="00E3562B">
        <w:rPr>
          <w:i/>
          <w:iCs/>
          <w:lang w:val="en-GB"/>
        </w:rPr>
        <w:t>24</w:t>
      </w:r>
      <w:r w:rsidRPr="00E3562B">
        <w:rPr>
          <w:lang w:val="en-GB"/>
        </w:rPr>
        <w:t>(4), 299–312. https://doi.org/10.1023/A:1006277331803</w:t>
      </w:r>
    </w:p>
    <w:p w14:paraId="2700AA77" w14:textId="77777777" w:rsidR="00317A99" w:rsidRPr="00E3562B" w:rsidRDefault="00317A99" w:rsidP="0066553C">
      <w:pPr>
        <w:pStyle w:val="Bibliography"/>
        <w:spacing w:line="276" w:lineRule="auto"/>
        <w:rPr>
          <w:lang w:val="en-GB"/>
        </w:rPr>
      </w:pPr>
      <w:r w:rsidRPr="00E3562B">
        <w:rPr>
          <w:lang w:val="en-GB"/>
        </w:rPr>
        <w:t xml:space="preserve">Rao, K. K., Burritt, R. L., &amp; Christ, K. (2022). Quality of voluntary modern slavery disclosures: Top Australian listed companies. </w:t>
      </w:r>
      <w:r w:rsidRPr="00E3562B">
        <w:rPr>
          <w:i/>
          <w:iCs/>
          <w:lang w:val="en-GB"/>
        </w:rPr>
        <w:t>Pacific Accounting Review</w:t>
      </w:r>
      <w:r w:rsidRPr="00E3562B">
        <w:rPr>
          <w:lang w:val="en-GB"/>
        </w:rPr>
        <w:t xml:space="preserve">, </w:t>
      </w:r>
      <w:r w:rsidRPr="00E3562B">
        <w:rPr>
          <w:i/>
          <w:iCs/>
          <w:lang w:val="en-GB"/>
        </w:rPr>
        <w:t>34</w:t>
      </w:r>
      <w:r w:rsidRPr="00E3562B">
        <w:rPr>
          <w:lang w:val="en-GB"/>
        </w:rPr>
        <w:t>(3). https://doi.org/10.1108/PAR-07-2021-0117</w:t>
      </w:r>
    </w:p>
    <w:p w14:paraId="5F985A71" w14:textId="77777777" w:rsidR="00317A99" w:rsidRPr="00E3562B" w:rsidRDefault="00317A99" w:rsidP="0066553C">
      <w:pPr>
        <w:pStyle w:val="Bibliography"/>
        <w:spacing w:line="276" w:lineRule="auto"/>
        <w:rPr>
          <w:lang w:val="en-GB"/>
        </w:rPr>
      </w:pPr>
      <w:r w:rsidRPr="00E3562B">
        <w:rPr>
          <w:lang w:val="en-GB"/>
        </w:rPr>
        <w:lastRenderedPageBreak/>
        <w:t xml:space="preserve">Rashid, A., Shams, S., Bose, S., &amp; Khan, H. (2020). CEO power and corporate social responsibility (CSR) disclosure: Does stakeholder influence matter? </w:t>
      </w:r>
      <w:r w:rsidRPr="00E3562B">
        <w:rPr>
          <w:i/>
          <w:iCs/>
          <w:lang w:val="en-GB"/>
        </w:rPr>
        <w:t>Managerial Auditing Journal</w:t>
      </w:r>
      <w:r w:rsidRPr="00E3562B">
        <w:rPr>
          <w:lang w:val="en-GB"/>
        </w:rPr>
        <w:t xml:space="preserve">, </w:t>
      </w:r>
      <w:r w:rsidRPr="00E3562B">
        <w:rPr>
          <w:i/>
          <w:iCs/>
          <w:lang w:val="en-GB"/>
        </w:rPr>
        <w:t>35</w:t>
      </w:r>
      <w:r w:rsidRPr="00E3562B">
        <w:rPr>
          <w:lang w:val="en-GB"/>
        </w:rPr>
        <w:t>(9), 1279–1312. https://doi.org/10.1108/MAJ-11-2019-2463</w:t>
      </w:r>
    </w:p>
    <w:p w14:paraId="72D27844" w14:textId="77777777" w:rsidR="00317A99" w:rsidRPr="00E3562B" w:rsidRDefault="00317A99" w:rsidP="0066553C">
      <w:pPr>
        <w:pStyle w:val="Bibliography"/>
        <w:spacing w:line="276" w:lineRule="auto"/>
        <w:rPr>
          <w:lang w:val="en-GB"/>
        </w:rPr>
      </w:pPr>
      <w:r w:rsidRPr="00E3562B">
        <w:rPr>
          <w:lang w:val="en-GB"/>
        </w:rPr>
        <w:t xml:space="preserve">Rogerson, M., Crane, A., Soundararajan, V., </w:t>
      </w:r>
      <w:proofErr w:type="spellStart"/>
      <w:r w:rsidRPr="00E3562B">
        <w:rPr>
          <w:lang w:val="en-GB"/>
        </w:rPr>
        <w:t>Grosvold</w:t>
      </w:r>
      <w:proofErr w:type="spellEnd"/>
      <w:r w:rsidRPr="00E3562B">
        <w:rPr>
          <w:lang w:val="en-GB"/>
        </w:rPr>
        <w:t xml:space="preserve">, J., &amp; Cho, C. H. (2020). Organisational responses to mandatory modern slavery disclosure legislation: A failure of experimentalist governance? </w:t>
      </w:r>
      <w:r w:rsidRPr="00E3562B">
        <w:rPr>
          <w:i/>
          <w:iCs/>
          <w:lang w:val="en-GB"/>
        </w:rPr>
        <w:t>Accounting, Auditing &amp; Accountability Journal</w:t>
      </w:r>
      <w:r w:rsidRPr="00E3562B">
        <w:rPr>
          <w:lang w:val="en-GB"/>
        </w:rPr>
        <w:t xml:space="preserve">, </w:t>
      </w:r>
      <w:r w:rsidRPr="00E3562B">
        <w:rPr>
          <w:i/>
          <w:iCs/>
          <w:lang w:val="en-GB"/>
        </w:rPr>
        <w:t>33</w:t>
      </w:r>
      <w:r w:rsidRPr="00E3562B">
        <w:rPr>
          <w:lang w:val="en-GB"/>
        </w:rPr>
        <w:t>(7), 1505–1534. https://doi.org/10.1108/AAAJ-12-2019-4297</w:t>
      </w:r>
    </w:p>
    <w:p w14:paraId="0F5CB308" w14:textId="77777777" w:rsidR="00317A99" w:rsidRPr="00E3562B" w:rsidRDefault="00317A99" w:rsidP="0066553C">
      <w:pPr>
        <w:pStyle w:val="Bibliography"/>
        <w:spacing w:line="276" w:lineRule="auto"/>
        <w:rPr>
          <w:lang w:val="en-GB"/>
        </w:rPr>
      </w:pPr>
      <w:r w:rsidRPr="00E3562B">
        <w:rPr>
          <w:lang w:val="en-GB"/>
        </w:rPr>
        <w:t xml:space="preserve">Roodman, D. (2009). How to do Xtabond2: An introduction to difference and system GMM in Stata. </w:t>
      </w:r>
      <w:r w:rsidRPr="00E3562B">
        <w:rPr>
          <w:i/>
          <w:iCs/>
          <w:lang w:val="en-GB"/>
        </w:rPr>
        <w:t>The Stata Journal</w:t>
      </w:r>
      <w:r w:rsidRPr="00E3562B">
        <w:rPr>
          <w:lang w:val="en-GB"/>
        </w:rPr>
        <w:t xml:space="preserve">, </w:t>
      </w:r>
      <w:r w:rsidRPr="00E3562B">
        <w:rPr>
          <w:i/>
          <w:iCs/>
          <w:lang w:val="en-GB"/>
        </w:rPr>
        <w:t>9</w:t>
      </w:r>
      <w:r w:rsidRPr="00E3562B">
        <w:rPr>
          <w:lang w:val="en-GB"/>
        </w:rPr>
        <w:t>(1), 86–136. https://doi.org/10.1177/1536867X0900900106</w:t>
      </w:r>
    </w:p>
    <w:p w14:paraId="724CE3CA" w14:textId="77777777" w:rsidR="00317A99" w:rsidRPr="00E3562B" w:rsidRDefault="00317A99" w:rsidP="0066553C">
      <w:pPr>
        <w:pStyle w:val="Bibliography"/>
        <w:spacing w:line="276" w:lineRule="auto"/>
        <w:rPr>
          <w:lang w:val="en-GB"/>
        </w:rPr>
      </w:pPr>
      <w:r w:rsidRPr="00E3562B">
        <w:rPr>
          <w:lang w:val="en-GB"/>
        </w:rPr>
        <w:t xml:space="preserve">Sariol, A. M., &amp; Abebe, M. A. (2017). The influence of CEO power on explorative and exploitative organizational innovation. </w:t>
      </w:r>
      <w:r w:rsidRPr="00E3562B">
        <w:rPr>
          <w:i/>
          <w:iCs/>
          <w:lang w:val="en-GB"/>
        </w:rPr>
        <w:t>Journal of Business Research</w:t>
      </w:r>
      <w:r w:rsidRPr="00E3562B">
        <w:rPr>
          <w:lang w:val="en-GB"/>
        </w:rPr>
        <w:t xml:space="preserve">, </w:t>
      </w:r>
      <w:r w:rsidRPr="00E3562B">
        <w:rPr>
          <w:i/>
          <w:iCs/>
          <w:lang w:val="en-GB"/>
        </w:rPr>
        <w:t>73</w:t>
      </w:r>
      <w:r w:rsidRPr="00E3562B">
        <w:rPr>
          <w:lang w:val="en-GB"/>
        </w:rPr>
        <w:t>, 38–45. https://doi.org/10.1016/j.jbusres.2016.11.016</w:t>
      </w:r>
    </w:p>
    <w:p w14:paraId="0ACBAAD5" w14:textId="77777777" w:rsidR="00317A99" w:rsidRPr="00E3562B" w:rsidRDefault="00317A99" w:rsidP="0066553C">
      <w:pPr>
        <w:pStyle w:val="Bibliography"/>
        <w:spacing w:line="276" w:lineRule="auto"/>
        <w:rPr>
          <w:lang w:val="en-GB"/>
        </w:rPr>
      </w:pPr>
      <w:r w:rsidRPr="00E3562B">
        <w:rPr>
          <w:lang w:val="en-GB"/>
        </w:rPr>
        <w:t xml:space="preserve">Sheikh, S. (2022). CEO power and the likelihood of paying dividends: Effect of profitability and cash flow volatility. </w:t>
      </w:r>
      <w:r w:rsidRPr="00E3562B">
        <w:rPr>
          <w:i/>
          <w:iCs/>
          <w:lang w:val="en-GB"/>
        </w:rPr>
        <w:t>Journal of Corporate Finance</w:t>
      </w:r>
      <w:r w:rsidRPr="00E3562B">
        <w:rPr>
          <w:lang w:val="en-GB"/>
        </w:rPr>
        <w:t xml:space="preserve">, </w:t>
      </w:r>
      <w:r w:rsidRPr="00E3562B">
        <w:rPr>
          <w:i/>
          <w:iCs/>
          <w:lang w:val="en-GB"/>
        </w:rPr>
        <w:t>73</w:t>
      </w:r>
      <w:r w:rsidRPr="00E3562B">
        <w:rPr>
          <w:lang w:val="en-GB"/>
        </w:rPr>
        <w:t>, 102186. https://doi.org/10.1016/j.jcorpfin.2022.102186</w:t>
      </w:r>
    </w:p>
    <w:p w14:paraId="426556F7" w14:textId="77777777" w:rsidR="00317A99" w:rsidRPr="00E3562B" w:rsidRDefault="00317A99" w:rsidP="0066553C">
      <w:pPr>
        <w:pStyle w:val="Bibliography"/>
        <w:spacing w:line="276" w:lineRule="auto"/>
        <w:rPr>
          <w:lang w:val="en-GB"/>
        </w:rPr>
      </w:pPr>
      <w:r w:rsidRPr="00E3562B">
        <w:rPr>
          <w:lang w:val="en-GB"/>
        </w:rPr>
        <w:t xml:space="preserve">Smith, A., &amp; Johns, J. (2020). Historicizing modern slavery: Free-grown sugar as an ethics-driven market category in nineteenth-century Britain. </w:t>
      </w:r>
      <w:r w:rsidRPr="00E3562B">
        <w:rPr>
          <w:i/>
          <w:iCs/>
          <w:lang w:val="en-GB"/>
        </w:rPr>
        <w:t>Journal of Business Ethics</w:t>
      </w:r>
      <w:r w:rsidRPr="00E3562B">
        <w:rPr>
          <w:lang w:val="en-GB"/>
        </w:rPr>
        <w:t xml:space="preserve">, </w:t>
      </w:r>
      <w:r w:rsidRPr="00E3562B">
        <w:rPr>
          <w:i/>
          <w:iCs/>
          <w:lang w:val="en-GB"/>
        </w:rPr>
        <w:t>166</w:t>
      </w:r>
      <w:r w:rsidRPr="00E3562B">
        <w:rPr>
          <w:lang w:val="en-GB"/>
        </w:rPr>
        <w:t>(2), 271–292. https://doi.org/10.1007/s10551-019-04318-1</w:t>
      </w:r>
    </w:p>
    <w:p w14:paraId="44C6144D" w14:textId="77777777" w:rsidR="00317A99" w:rsidRPr="00E3562B" w:rsidRDefault="00317A99" w:rsidP="0066553C">
      <w:pPr>
        <w:pStyle w:val="Bibliography"/>
        <w:spacing w:line="276" w:lineRule="auto"/>
        <w:rPr>
          <w:lang w:val="en-GB"/>
        </w:rPr>
      </w:pPr>
      <w:r w:rsidRPr="00E3562B">
        <w:rPr>
          <w:lang w:val="en-GB"/>
        </w:rPr>
        <w:t xml:space="preserve">Stevenson, M., &amp; Cole, R. (2018). Modern slavery in supply chains: A secondary data analysis of detection, remediation and disclosure. </w:t>
      </w:r>
      <w:r w:rsidRPr="00E3562B">
        <w:rPr>
          <w:i/>
          <w:iCs/>
          <w:lang w:val="en-GB"/>
        </w:rPr>
        <w:t>Supply Chain Management: An International Journal</w:t>
      </w:r>
      <w:r w:rsidRPr="00E3562B">
        <w:rPr>
          <w:lang w:val="en-GB"/>
        </w:rPr>
        <w:t xml:space="preserve">, </w:t>
      </w:r>
      <w:r w:rsidRPr="00E3562B">
        <w:rPr>
          <w:i/>
          <w:iCs/>
          <w:lang w:val="en-GB"/>
        </w:rPr>
        <w:t>12</w:t>
      </w:r>
      <w:r w:rsidRPr="00E3562B">
        <w:rPr>
          <w:lang w:val="en-GB"/>
        </w:rPr>
        <w:t>(3), 81–99. https://doi.org/10.1108/SCM-11-2017-0382</w:t>
      </w:r>
    </w:p>
    <w:p w14:paraId="7E05AE41" w14:textId="77777777" w:rsidR="00317A99" w:rsidRPr="00E3562B" w:rsidRDefault="00317A99" w:rsidP="0066553C">
      <w:pPr>
        <w:pStyle w:val="Bibliography"/>
        <w:spacing w:line="276" w:lineRule="auto"/>
        <w:rPr>
          <w:lang w:val="en-GB"/>
        </w:rPr>
      </w:pPr>
      <w:r w:rsidRPr="00E3562B">
        <w:rPr>
          <w:lang w:val="en-GB"/>
        </w:rPr>
        <w:t xml:space="preserve">Sun, W., Xu, X., &amp; Govind, R. (2022). Firm governance and functional strengths: The impact of board diversity on firm marketing capability. </w:t>
      </w:r>
      <w:r w:rsidRPr="00E3562B">
        <w:rPr>
          <w:i/>
          <w:iCs/>
          <w:lang w:val="en-GB"/>
        </w:rPr>
        <w:t>British Journal of Management</w:t>
      </w:r>
      <w:r w:rsidRPr="00E3562B">
        <w:rPr>
          <w:lang w:val="en-GB"/>
        </w:rPr>
        <w:t xml:space="preserve">, </w:t>
      </w:r>
      <w:r w:rsidRPr="00E3562B">
        <w:rPr>
          <w:i/>
          <w:iCs/>
          <w:lang w:val="en-GB"/>
        </w:rPr>
        <w:t>33</w:t>
      </w:r>
      <w:r w:rsidRPr="00E3562B">
        <w:rPr>
          <w:lang w:val="en-GB"/>
        </w:rPr>
        <w:t>(4), 1950–1968. https://doi.org/10.1111/1467-8551.12561</w:t>
      </w:r>
    </w:p>
    <w:p w14:paraId="3AFADD1D" w14:textId="77777777" w:rsidR="00317A99" w:rsidRPr="00E3562B" w:rsidRDefault="00317A99" w:rsidP="0066553C">
      <w:pPr>
        <w:pStyle w:val="Bibliography"/>
        <w:spacing w:line="276" w:lineRule="auto"/>
        <w:rPr>
          <w:lang w:val="en-GB"/>
        </w:rPr>
      </w:pPr>
      <w:r w:rsidRPr="00E3562B">
        <w:rPr>
          <w:lang w:val="en-GB"/>
        </w:rPr>
        <w:t xml:space="preserve">Szablewska, N., &amp; Kubacki, K. (2023). Empirical business research on modern slavery in supply chains: A systematic review. </w:t>
      </w:r>
      <w:r w:rsidRPr="00E3562B">
        <w:rPr>
          <w:i/>
          <w:iCs/>
          <w:lang w:val="en-GB"/>
        </w:rPr>
        <w:t>Journal of Business Research</w:t>
      </w:r>
      <w:r w:rsidRPr="00E3562B">
        <w:rPr>
          <w:lang w:val="en-GB"/>
        </w:rPr>
        <w:t xml:space="preserve">, </w:t>
      </w:r>
      <w:r w:rsidRPr="00E3562B">
        <w:rPr>
          <w:i/>
          <w:iCs/>
          <w:lang w:val="en-GB"/>
        </w:rPr>
        <w:t>164</w:t>
      </w:r>
      <w:r w:rsidRPr="00E3562B">
        <w:rPr>
          <w:lang w:val="en-GB"/>
        </w:rPr>
        <w:t>, 113988. https://doi.org/10.1016/j.jbusres.2023.113988</w:t>
      </w:r>
    </w:p>
    <w:p w14:paraId="450171C9" w14:textId="77777777" w:rsidR="00317A99" w:rsidRPr="00E3562B" w:rsidRDefault="00317A99" w:rsidP="0066553C">
      <w:pPr>
        <w:pStyle w:val="Bibliography"/>
        <w:spacing w:line="276" w:lineRule="auto"/>
        <w:rPr>
          <w:lang w:val="en-GB"/>
        </w:rPr>
      </w:pPr>
      <w:r w:rsidRPr="00E3562B">
        <w:rPr>
          <w:lang w:val="en-GB"/>
        </w:rPr>
        <w:t xml:space="preserve">Ting, H.-I., &amp; Huang, P.-K. (2018). CEOs’ power and perks: Evidence from Chinese banks. </w:t>
      </w:r>
      <w:r w:rsidRPr="00E3562B">
        <w:rPr>
          <w:i/>
          <w:iCs/>
          <w:lang w:val="en-GB"/>
        </w:rPr>
        <w:t>Journal of Economics and Business</w:t>
      </w:r>
      <w:r w:rsidRPr="00E3562B">
        <w:rPr>
          <w:lang w:val="en-GB"/>
        </w:rPr>
        <w:t xml:space="preserve">, </w:t>
      </w:r>
      <w:r w:rsidRPr="00E3562B">
        <w:rPr>
          <w:i/>
          <w:iCs/>
          <w:lang w:val="en-GB"/>
        </w:rPr>
        <w:t>97</w:t>
      </w:r>
      <w:r w:rsidRPr="00E3562B">
        <w:rPr>
          <w:lang w:val="en-GB"/>
        </w:rPr>
        <w:t>, 19–27. https://doi.org/10.1016/j.jeconbus.2018.02.003</w:t>
      </w:r>
    </w:p>
    <w:p w14:paraId="6376F419" w14:textId="77777777" w:rsidR="00317A99" w:rsidRPr="00E3562B" w:rsidRDefault="00317A99" w:rsidP="0066553C">
      <w:pPr>
        <w:pStyle w:val="Bibliography"/>
        <w:spacing w:line="276" w:lineRule="auto"/>
        <w:rPr>
          <w:lang w:val="en-GB"/>
        </w:rPr>
      </w:pPr>
      <w:r w:rsidRPr="00E3562B">
        <w:rPr>
          <w:lang w:val="en-GB"/>
        </w:rPr>
        <w:t xml:space="preserve">UNDP. (2015). </w:t>
      </w:r>
      <w:r w:rsidRPr="00E3562B">
        <w:rPr>
          <w:i/>
          <w:iCs/>
          <w:lang w:val="en-GB"/>
        </w:rPr>
        <w:t>Sustainable Development Goals | United Nations Development Programme</w:t>
      </w:r>
      <w:r w:rsidRPr="00E3562B">
        <w:rPr>
          <w:lang w:val="en-GB"/>
        </w:rPr>
        <w:t>. https://www.undp.org/sustainable-development-goals#decent-work-and-economic-growth</w:t>
      </w:r>
    </w:p>
    <w:p w14:paraId="657F593E" w14:textId="77777777" w:rsidR="00317A99" w:rsidRPr="00E3562B" w:rsidRDefault="00317A99" w:rsidP="0066553C">
      <w:pPr>
        <w:pStyle w:val="Bibliography"/>
        <w:spacing w:line="276" w:lineRule="auto"/>
        <w:rPr>
          <w:lang w:val="en-GB"/>
        </w:rPr>
      </w:pPr>
      <w:r w:rsidRPr="00E3562B">
        <w:rPr>
          <w:lang w:val="en-GB"/>
        </w:rPr>
        <w:t xml:space="preserve">Velte, P. (2020). Does CEO power moderate the link between ESG performance and financial performance? A focus on the German two-tier system. </w:t>
      </w:r>
      <w:r w:rsidRPr="00E3562B">
        <w:rPr>
          <w:i/>
          <w:iCs/>
          <w:lang w:val="en-GB"/>
        </w:rPr>
        <w:t>Management Research Review</w:t>
      </w:r>
      <w:r w:rsidRPr="00E3562B">
        <w:rPr>
          <w:lang w:val="en-GB"/>
        </w:rPr>
        <w:t xml:space="preserve">, </w:t>
      </w:r>
      <w:r w:rsidRPr="00E3562B">
        <w:rPr>
          <w:i/>
          <w:iCs/>
          <w:lang w:val="en-GB"/>
        </w:rPr>
        <w:t>43</w:t>
      </w:r>
      <w:r w:rsidRPr="00E3562B">
        <w:rPr>
          <w:lang w:val="en-GB"/>
        </w:rPr>
        <w:t>(5), 497–520. https://doi.org/10.1108/MRR-04-2019-0182</w:t>
      </w:r>
    </w:p>
    <w:p w14:paraId="618F8A85" w14:textId="77777777" w:rsidR="00317A99" w:rsidRPr="00E3562B" w:rsidRDefault="00317A99" w:rsidP="0066553C">
      <w:pPr>
        <w:pStyle w:val="Bibliography"/>
        <w:spacing w:line="276" w:lineRule="auto"/>
        <w:rPr>
          <w:lang w:val="en-GB"/>
        </w:rPr>
      </w:pPr>
      <w:r w:rsidRPr="00E3562B">
        <w:rPr>
          <w:lang w:val="en-GB"/>
        </w:rPr>
        <w:t xml:space="preserve">Voss, H., Davis, M., Sumner, M., Waite, L., Ras, I. A., Singhal, D., &amp; Jog, D. (2019). International supply chains: Compliance and engagement with the Modern Slavery Act. </w:t>
      </w:r>
      <w:r w:rsidRPr="00E3562B">
        <w:rPr>
          <w:i/>
          <w:iCs/>
          <w:lang w:val="en-GB"/>
        </w:rPr>
        <w:t>Journal of the British Academy</w:t>
      </w:r>
      <w:r w:rsidRPr="00E3562B">
        <w:rPr>
          <w:lang w:val="en-GB"/>
        </w:rPr>
        <w:t xml:space="preserve">, </w:t>
      </w:r>
      <w:r w:rsidRPr="00E3562B">
        <w:rPr>
          <w:i/>
          <w:iCs/>
          <w:lang w:val="en-GB"/>
        </w:rPr>
        <w:t>7 (s1)</w:t>
      </w:r>
      <w:r w:rsidRPr="00E3562B">
        <w:rPr>
          <w:lang w:val="en-GB"/>
        </w:rPr>
        <w:t>, 61–76. https://doi.org/10.5871/jba/007s1.061</w:t>
      </w:r>
    </w:p>
    <w:p w14:paraId="5AC1F8D7" w14:textId="77777777" w:rsidR="00317A99" w:rsidRPr="00E3562B" w:rsidRDefault="00317A99" w:rsidP="0066553C">
      <w:pPr>
        <w:pStyle w:val="Bibliography"/>
        <w:spacing w:line="276" w:lineRule="auto"/>
        <w:rPr>
          <w:lang w:val="en-GB"/>
        </w:rPr>
      </w:pPr>
      <w:r w:rsidRPr="00E3562B">
        <w:rPr>
          <w:lang w:val="en-GB"/>
        </w:rPr>
        <w:t xml:space="preserve">Wahid, A. S. (2019). The effects and the mechanisms of board gender diversity: Evidence from financial manipulation. </w:t>
      </w:r>
      <w:r w:rsidRPr="00E3562B">
        <w:rPr>
          <w:i/>
          <w:iCs/>
          <w:lang w:val="en-GB"/>
        </w:rPr>
        <w:t>Journal of Business Ethics</w:t>
      </w:r>
      <w:r w:rsidRPr="00E3562B">
        <w:rPr>
          <w:lang w:val="en-GB"/>
        </w:rPr>
        <w:t xml:space="preserve">, </w:t>
      </w:r>
      <w:r w:rsidRPr="00E3562B">
        <w:rPr>
          <w:i/>
          <w:iCs/>
          <w:lang w:val="en-GB"/>
        </w:rPr>
        <w:t>159</w:t>
      </w:r>
      <w:r w:rsidRPr="00E3562B">
        <w:rPr>
          <w:lang w:val="en-GB"/>
        </w:rPr>
        <w:t>(3), 705–725. https://doi.org/10.1007/s10551-018-3785-6</w:t>
      </w:r>
    </w:p>
    <w:p w14:paraId="5E7438DB" w14:textId="77777777" w:rsidR="00317A99" w:rsidRPr="00E3562B" w:rsidRDefault="00317A99" w:rsidP="0066553C">
      <w:pPr>
        <w:pStyle w:val="Bibliography"/>
        <w:spacing w:line="276" w:lineRule="auto"/>
        <w:rPr>
          <w:lang w:val="en-GB"/>
        </w:rPr>
      </w:pPr>
      <w:r w:rsidRPr="00E3562B">
        <w:rPr>
          <w:lang w:val="en-GB"/>
        </w:rPr>
        <w:lastRenderedPageBreak/>
        <w:t xml:space="preserve">Walls, J., &amp; Berrone, P. (2017). The power of one to make a difference: How informal and formal CEO power affect environmental sustainability. </w:t>
      </w:r>
      <w:r w:rsidRPr="00E3562B">
        <w:rPr>
          <w:i/>
          <w:iCs/>
          <w:lang w:val="en-GB"/>
        </w:rPr>
        <w:t>Journal of Business Ethics</w:t>
      </w:r>
      <w:r w:rsidRPr="00E3562B">
        <w:rPr>
          <w:lang w:val="en-GB"/>
        </w:rPr>
        <w:t xml:space="preserve">, </w:t>
      </w:r>
      <w:r w:rsidRPr="00E3562B">
        <w:rPr>
          <w:i/>
          <w:iCs/>
          <w:lang w:val="en-GB"/>
        </w:rPr>
        <w:t>145</w:t>
      </w:r>
      <w:r w:rsidRPr="00E3562B">
        <w:rPr>
          <w:lang w:val="en-GB"/>
        </w:rPr>
        <w:t>(2), 293–308. https://doi.org/10.1007/s10551-015-2902-z</w:t>
      </w:r>
    </w:p>
    <w:p w14:paraId="2BB600DA" w14:textId="77777777" w:rsidR="00317A99" w:rsidRPr="00E3562B" w:rsidRDefault="00317A99" w:rsidP="0066553C">
      <w:pPr>
        <w:pStyle w:val="Bibliography"/>
        <w:spacing w:line="276" w:lineRule="auto"/>
        <w:rPr>
          <w:lang w:val="en-GB"/>
        </w:rPr>
      </w:pPr>
      <w:proofErr w:type="spellStart"/>
      <w:r w:rsidRPr="00E3562B">
        <w:rPr>
          <w:lang w:val="en-GB"/>
        </w:rPr>
        <w:t>Wintoki</w:t>
      </w:r>
      <w:proofErr w:type="spellEnd"/>
      <w:r w:rsidRPr="00E3562B">
        <w:rPr>
          <w:lang w:val="en-GB"/>
        </w:rPr>
        <w:t xml:space="preserve">, M. B., Linck, J. S., &amp; Netter, J. M. (2012). Endogeneity and the dynamics of internal corporate governance. </w:t>
      </w:r>
      <w:r w:rsidRPr="00E3562B">
        <w:rPr>
          <w:i/>
          <w:iCs/>
          <w:lang w:val="en-GB"/>
        </w:rPr>
        <w:t>Journal of Financial Economics</w:t>
      </w:r>
      <w:r w:rsidRPr="00E3562B">
        <w:rPr>
          <w:lang w:val="en-GB"/>
        </w:rPr>
        <w:t xml:space="preserve">, </w:t>
      </w:r>
      <w:r w:rsidRPr="00E3562B">
        <w:rPr>
          <w:i/>
          <w:iCs/>
          <w:lang w:val="en-GB"/>
        </w:rPr>
        <w:t>105</w:t>
      </w:r>
      <w:r w:rsidRPr="00E3562B">
        <w:rPr>
          <w:lang w:val="en-GB"/>
        </w:rPr>
        <w:t>(3), 581–606. https://doi.org/10.1016/j.jfineco.2012.03.005</w:t>
      </w:r>
    </w:p>
    <w:p w14:paraId="004B7621" w14:textId="77777777" w:rsidR="00317A99" w:rsidRPr="00E3562B" w:rsidRDefault="00317A99" w:rsidP="0066553C">
      <w:pPr>
        <w:pStyle w:val="Bibliography"/>
        <w:spacing w:line="276" w:lineRule="auto"/>
        <w:rPr>
          <w:lang w:val="en-GB"/>
        </w:rPr>
      </w:pPr>
      <w:r w:rsidRPr="00E3562B">
        <w:rPr>
          <w:lang w:val="en-GB"/>
        </w:rPr>
        <w:t xml:space="preserve">Wooldridge, J. M. (2010). </w:t>
      </w:r>
      <w:r w:rsidRPr="00E3562B">
        <w:rPr>
          <w:i/>
          <w:iCs/>
          <w:lang w:val="en-GB"/>
        </w:rPr>
        <w:t>Econometric analysis of cross section and panel data</w:t>
      </w:r>
      <w:r w:rsidRPr="00E3562B">
        <w:rPr>
          <w:lang w:val="en-GB"/>
        </w:rPr>
        <w:t>. MIT press. https://books.google.com/books?hl=en&amp;lr=&amp;id=hSs3AgAAQBAJ&amp;oi=fnd&amp;pg=PP1&amp;dq=Wooldridge,+J.+M.+(2010).+Econometric+Analysis+of+Cross+Section+and+Panel+Data+&amp;ots=VZMUnxS1Rv&amp;sig=Gwc7VoKgB7VzyhFbvOJRHsc2mBs</w:t>
      </w:r>
    </w:p>
    <w:p w14:paraId="69FF75AD" w14:textId="77777777" w:rsidR="00317A99" w:rsidRPr="00E3562B" w:rsidRDefault="00317A99" w:rsidP="0066553C">
      <w:pPr>
        <w:pStyle w:val="Bibliography"/>
        <w:spacing w:line="276" w:lineRule="auto"/>
        <w:rPr>
          <w:lang w:val="en-GB"/>
        </w:rPr>
      </w:pPr>
      <w:proofErr w:type="spellStart"/>
      <w:r w:rsidRPr="00E3562B">
        <w:rPr>
          <w:lang w:val="en-GB"/>
        </w:rPr>
        <w:t>Yarram</w:t>
      </w:r>
      <w:proofErr w:type="spellEnd"/>
      <w:r w:rsidRPr="00E3562B">
        <w:rPr>
          <w:lang w:val="en-GB"/>
        </w:rPr>
        <w:t xml:space="preserve">, S. R., &amp; Adapa, S. (2021). Board gender diversity and corporate social responsibility: Is there a case for critical mass? </w:t>
      </w:r>
      <w:r w:rsidRPr="00E3562B">
        <w:rPr>
          <w:i/>
          <w:iCs/>
          <w:lang w:val="en-GB"/>
        </w:rPr>
        <w:t>Journal of Cleaner Production</w:t>
      </w:r>
      <w:r w:rsidRPr="00E3562B">
        <w:rPr>
          <w:lang w:val="en-GB"/>
        </w:rPr>
        <w:t xml:space="preserve">, </w:t>
      </w:r>
      <w:r w:rsidRPr="00E3562B">
        <w:rPr>
          <w:i/>
          <w:iCs/>
          <w:lang w:val="en-GB"/>
        </w:rPr>
        <w:t>278</w:t>
      </w:r>
      <w:r w:rsidRPr="00E3562B">
        <w:rPr>
          <w:lang w:val="en-GB"/>
        </w:rPr>
        <w:t>, 123319. https://doi.org/10.1016/j.jclepro.2020.123319</w:t>
      </w:r>
    </w:p>
    <w:p w14:paraId="085255B4" w14:textId="77777777" w:rsidR="00317A99" w:rsidRPr="00E3562B" w:rsidRDefault="00317A99" w:rsidP="0066553C">
      <w:pPr>
        <w:pStyle w:val="Bibliography"/>
        <w:spacing w:line="276" w:lineRule="auto"/>
        <w:rPr>
          <w:lang w:val="en-GB"/>
        </w:rPr>
      </w:pPr>
      <w:r w:rsidRPr="00E3562B">
        <w:rPr>
          <w:lang w:val="en-GB"/>
        </w:rPr>
        <w:t xml:space="preserve">Ye, D., Deng, J., Liu, Y., Szewczyk, S. H., &amp; Chen, X. (2019). Does board gender diversity increase dividend payouts? Analysis of global evidence. </w:t>
      </w:r>
      <w:r w:rsidRPr="00E3562B">
        <w:rPr>
          <w:i/>
          <w:iCs/>
          <w:lang w:val="en-GB"/>
        </w:rPr>
        <w:t>Journal of Corporate Finance</w:t>
      </w:r>
      <w:r w:rsidRPr="00E3562B">
        <w:rPr>
          <w:lang w:val="en-GB"/>
        </w:rPr>
        <w:t xml:space="preserve">, </w:t>
      </w:r>
      <w:r w:rsidRPr="00E3562B">
        <w:rPr>
          <w:i/>
          <w:iCs/>
          <w:lang w:val="en-GB"/>
        </w:rPr>
        <w:t>58</w:t>
      </w:r>
      <w:r w:rsidRPr="00E3562B">
        <w:rPr>
          <w:lang w:val="en-GB"/>
        </w:rPr>
        <w:t>, 1–26.</w:t>
      </w:r>
    </w:p>
    <w:p w14:paraId="579D2323" w14:textId="5AFA2080" w:rsidR="0023105A" w:rsidRPr="00E3562B" w:rsidRDefault="0023105A" w:rsidP="00DC46DA">
      <w:pPr>
        <w:spacing w:line="276" w:lineRule="auto"/>
        <w:jc w:val="left"/>
        <w:rPr>
          <w:lang w:val="en-GB"/>
        </w:rPr>
      </w:pPr>
    </w:p>
    <w:p w14:paraId="1B2085EA" w14:textId="5AFDD3B1" w:rsidR="00FE34E0" w:rsidRPr="00E3562B" w:rsidRDefault="000C6D18" w:rsidP="00FE34E0">
      <w:pPr>
        <w:pStyle w:val="Heading1"/>
        <w:numPr>
          <w:ilvl w:val="0"/>
          <w:numId w:val="0"/>
        </w:numPr>
        <w:rPr>
          <w:lang w:val="en-GB"/>
        </w:rPr>
      </w:pPr>
      <w:r w:rsidRPr="00E3562B">
        <w:rPr>
          <w:lang w:val="en-GB"/>
        </w:rPr>
        <w:br w:type="page"/>
      </w:r>
      <w:r w:rsidR="00FE34E0" w:rsidRPr="00E3562B">
        <w:rPr>
          <w:lang w:val="en-GB"/>
        </w:rPr>
        <w:lastRenderedPageBreak/>
        <w:t>Figures</w:t>
      </w:r>
    </w:p>
    <w:p w14:paraId="49BE15C8" w14:textId="77777777" w:rsidR="00FE34E0" w:rsidRPr="00E3562B" w:rsidRDefault="00FE34E0" w:rsidP="00FE34E0">
      <w:pPr>
        <w:rPr>
          <w:lang w:val="en-GB"/>
        </w:rPr>
      </w:pPr>
    </w:p>
    <w:p w14:paraId="1C568734" w14:textId="77777777" w:rsidR="00FE34E0" w:rsidRPr="00E3562B" w:rsidRDefault="00FE34E0" w:rsidP="00FE34E0">
      <w:pPr>
        <w:spacing w:line="240" w:lineRule="auto"/>
        <w:jc w:val="left"/>
        <w:rPr>
          <w:b/>
          <w:bCs/>
          <w:sz w:val="28"/>
          <w:szCs w:val="28"/>
          <w:lang w:val="en-GB"/>
        </w:rPr>
      </w:pPr>
      <w:r w:rsidRPr="00E3562B">
        <w:rPr>
          <w:noProof/>
          <w:lang w:val="en-GB"/>
        </w:rPr>
        <w:drawing>
          <wp:inline distT="0" distB="0" distL="0" distR="0" wp14:anchorId="1C930256" wp14:editId="5FAA2036">
            <wp:extent cx="5756275" cy="2764155"/>
            <wp:effectExtent l="0" t="0" r="9525" b="17145"/>
            <wp:docPr id="1" name="Chart 1">
              <a:extLst xmlns:a="http://schemas.openxmlformats.org/drawingml/2006/main">
                <a:ext uri="{FF2B5EF4-FFF2-40B4-BE49-F238E27FC236}">
                  <a16:creationId xmlns:a16="http://schemas.microsoft.com/office/drawing/2014/main" id="{BC4136D5-C058-B63C-F7A7-F1BA618174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3562B">
        <w:rPr>
          <w:lang w:val="en-GB"/>
        </w:rPr>
        <w:br w:type="page"/>
      </w:r>
    </w:p>
    <w:p w14:paraId="3E8D9ECC" w14:textId="77777777" w:rsidR="00FE34E0" w:rsidRPr="00E3562B" w:rsidRDefault="00FE34E0" w:rsidP="00FE34E0">
      <w:pPr>
        <w:pStyle w:val="Heading1"/>
        <w:numPr>
          <w:ilvl w:val="0"/>
          <w:numId w:val="0"/>
        </w:numPr>
        <w:rPr>
          <w:lang w:val="en-GB"/>
        </w:rPr>
      </w:pPr>
      <w:r w:rsidRPr="00E3562B">
        <w:rPr>
          <w:lang w:val="en-GB"/>
        </w:rPr>
        <w:lastRenderedPageBreak/>
        <w:t>Tables</w:t>
      </w:r>
    </w:p>
    <w:p w14:paraId="36A91ABC" w14:textId="0FC56967" w:rsidR="00A60DA1" w:rsidRPr="00E3562B" w:rsidRDefault="00A60DA1" w:rsidP="00A60DA1">
      <w:pPr>
        <w:spacing w:line="240" w:lineRule="auto"/>
        <w:rPr>
          <w:rFonts w:asciiTheme="majorBidi" w:hAnsiTheme="majorBidi" w:cstheme="majorBidi"/>
          <w:b/>
          <w:bCs/>
          <w:sz w:val="23"/>
          <w:szCs w:val="23"/>
          <w:lang w:val="en-GB"/>
        </w:rPr>
      </w:pPr>
      <w:r w:rsidRPr="00E3562B">
        <w:rPr>
          <w:rFonts w:asciiTheme="majorBidi" w:hAnsiTheme="majorBidi" w:cstheme="majorBidi"/>
          <w:b/>
          <w:bCs/>
          <w:sz w:val="23"/>
          <w:szCs w:val="23"/>
          <w:lang w:val="en-GB"/>
        </w:rPr>
        <w:t xml:space="preserve">Table 1. </w:t>
      </w:r>
      <w:r w:rsidRPr="00E3562B">
        <w:rPr>
          <w:rFonts w:asciiTheme="majorBidi" w:hAnsiTheme="majorBidi" w:cstheme="majorBidi"/>
          <w:sz w:val="23"/>
          <w:szCs w:val="23"/>
          <w:lang w:val="en-GB"/>
        </w:rPr>
        <w:t>Sample selection and Year-wise industry distribution.</w:t>
      </w:r>
      <w:r w:rsidRPr="00E3562B" w:rsidDel="003D7218">
        <w:rPr>
          <w:rFonts w:asciiTheme="majorBidi" w:hAnsiTheme="majorBidi" w:cstheme="majorBidi"/>
          <w:b/>
          <w:bCs/>
          <w:sz w:val="23"/>
          <w:szCs w:val="23"/>
          <w:lang w:val="en-GB"/>
        </w:rPr>
        <w:t xml:space="preserve"> </w:t>
      </w:r>
    </w:p>
    <w:p w14:paraId="107361E3" w14:textId="77777777" w:rsidR="00A60DA1" w:rsidRPr="00E3562B" w:rsidRDefault="00A60DA1" w:rsidP="00A60DA1">
      <w:pPr>
        <w:spacing w:line="240" w:lineRule="auto"/>
        <w:rPr>
          <w:rFonts w:asciiTheme="majorBidi" w:hAnsiTheme="majorBidi" w:cstheme="majorBidi"/>
          <w:i/>
          <w:iCs/>
          <w:sz w:val="23"/>
          <w:szCs w:val="23"/>
          <w:lang w:val="en-G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676"/>
        <w:gridCol w:w="676"/>
        <w:gridCol w:w="676"/>
        <w:gridCol w:w="676"/>
        <w:gridCol w:w="676"/>
        <w:gridCol w:w="1499"/>
      </w:tblGrid>
      <w:tr w:rsidR="005D6588" w:rsidRPr="00E3562B" w14:paraId="716B407A" w14:textId="77777777" w:rsidTr="00294522">
        <w:tc>
          <w:tcPr>
            <w:tcW w:w="0" w:type="auto"/>
            <w:tcBorders>
              <w:top w:val="single" w:sz="4" w:space="0" w:color="auto"/>
              <w:bottom w:val="single" w:sz="4" w:space="0" w:color="auto"/>
            </w:tcBorders>
          </w:tcPr>
          <w:p w14:paraId="357EEECC"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p>
        </w:tc>
        <w:tc>
          <w:tcPr>
            <w:tcW w:w="0" w:type="auto"/>
            <w:tcBorders>
              <w:top w:val="single" w:sz="4" w:space="0" w:color="auto"/>
              <w:bottom w:val="single" w:sz="4" w:space="0" w:color="auto"/>
            </w:tcBorders>
          </w:tcPr>
          <w:p w14:paraId="619BDDD3"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2016</w:t>
            </w:r>
          </w:p>
        </w:tc>
        <w:tc>
          <w:tcPr>
            <w:tcW w:w="0" w:type="auto"/>
            <w:tcBorders>
              <w:top w:val="single" w:sz="4" w:space="0" w:color="auto"/>
              <w:bottom w:val="single" w:sz="4" w:space="0" w:color="auto"/>
            </w:tcBorders>
          </w:tcPr>
          <w:p w14:paraId="3399E010"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2017</w:t>
            </w:r>
          </w:p>
        </w:tc>
        <w:tc>
          <w:tcPr>
            <w:tcW w:w="0" w:type="auto"/>
            <w:tcBorders>
              <w:top w:val="single" w:sz="4" w:space="0" w:color="auto"/>
              <w:bottom w:val="single" w:sz="4" w:space="0" w:color="auto"/>
            </w:tcBorders>
          </w:tcPr>
          <w:p w14:paraId="31359BAE"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2018</w:t>
            </w:r>
          </w:p>
        </w:tc>
        <w:tc>
          <w:tcPr>
            <w:tcW w:w="0" w:type="auto"/>
            <w:tcBorders>
              <w:top w:val="single" w:sz="4" w:space="0" w:color="auto"/>
              <w:bottom w:val="single" w:sz="4" w:space="0" w:color="auto"/>
            </w:tcBorders>
          </w:tcPr>
          <w:p w14:paraId="70A24231"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2019</w:t>
            </w:r>
          </w:p>
        </w:tc>
        <w:tc>
          <w:tcPr>
            <w:tcW w:w="0" w:type="auto"/>
            <w:tcBorders>
              <w:top w:val="single" w:sz="4" w:space="0" w:color="auto"/>
              <w:bottom w:val="single" w:sz="4" w:space="0" w:color="auto"/>
            </w:tcBorders>
          </w:tcPr>
          <w:p w14:paraId="1BD245CB"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2020</w:t>
            </w:r>
          </w:p>
        </w:tc>
        <w:tc>
          <w:tcPr>
            <w:tcW w:w="0" w:type="auto"/>
            <w:tcBorders>
              <w:top w:val="single" w:sz="4" w:space="0" w:color="auto"/>
              <w:bottom w:val="single" w:sz="4" w:space="0" w:color="auto"/>
            </w:tcBorders>
          </w:tcPr>
          <w:p w14:paraId="6CCC371D"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Number of Obs.</w:t>
            </w:r>
          </w:p>
        </w:tc>
      </w:tr>
      <w:tr w:rsidR="005D6588" w:rsidRPr="00E3562B" w14:paraId="16444730" w14:textId="77777777" w:rsidTr="00294522">
        <w:tc>
          <w:tcPr>
            <w:tcW w:w="0" w:type="auto"/>
            <w:gridSpan w:val="7"/>
            <w:tcBorders>
              <w:top w:val="single" w:sz="4" w:space="0" w:color="auto"/>
              <w:bottom w:val="single" w:sz="4" w:space="0" w:color="auto"/>
            </w:tcBorders>
          </w:tcPr>
          <w:p w14:paraId="3A958CB8" w14:textId="77777777" w:rsidR="00A60DA1" w:rsidRPr="00E3562B" w:rsidRDefault="00A60DA1" w:rsidP="00294522">
            <w:pPr>
              <w:spacing w:line="276" w:lineRule="auto"/>
              <w:jc w:val="left"/>
              <w:rPr>
                <w:rFonts w:asciiTheme="majorBidi" w:eastAsia="MS Mincho" w:hAnsiTheme="majorBidi" w:cstheme="majorBidi"/>
                <w:i/>
                <w:iCs/>
                <w:sz w:val="23"/>
                <w:szCs w:val="23"/>
                <w:lang w:val="en-GB"/>
              </w:rPr>
            </w:pPr>
            <w:r w:rsidRPr="00E3562B">
              <w:rPr>
                <w:rFonts w:asciiTheme="majorBidi" w:eastAsia="MS Mincho" w:hAnsiTheme="majorBidi" w:cstheme="majorBidi"/>
                <w:i/>
                <w:iCs/>
                <w:sz w:val="23"/>
                <w:szCs w:val="23"/>
                <w:lang w:val="en-GB"/>
              </w:rPr>
              <w:t>Sample Selection</w:t>
            </w:r>
          </w:p>
        </w:tc>
      </w:tr>
      <w:tr w:rsidR="005D6588" w:rsidRPr="00E3562B" w14:paraId="1E317ECE" w14:textId="77777777" w:rsidTr="00294522">
        <w:tc>
          <w:tcPr>
            <w:tcW w:w="0" w:type="auto"/>
            <w:tcBorders>
              <w:top w:val="single" w:sz="4" w:space="0" w:color="auto"/>
            </w:tcBorders>
          </w:tcPr>
          <w:p w14:paraId="546BB5D5"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Initial sample - FTSE 100</w:t>
            </w:r>
          </w:p>
        </w:tc>
        <w:tc>
          <w:tcPr>
            <w:tcW w:w="0" w:type="auto"/>
            <w:tcBorders>
              <w:top w:val="single" w:sz="4" w:space="0" w:color="auto"/>
            </w:tcBorders>
          </w:tcPr>
          <w:p w14:paraId="432B8B77"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100</w:t>
            </w:r>
          </w:p>
        </w:tc>
        <w:tc>
          <w:tcPr>
            <w:tcW w:w="0" w:type="auto"/>
            <w:tcBorders>
              <w:top w:val="single" w:sz="4" w:space="0" w:color="auto"/>
            </w:tcBorders>
          </w:tcPr>
          <w:p w14:paraId="78921AF6"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100</w:t>
            </w:r>
          </w:p>
        </w:tc>
        <w:tc>
          <w:tcPr>
            <w:tcW w:w="0" w:type="auto"/>
            <w:tcBorders>
              <w:top w:val="single" w:sz="4" w:space="0" w:color="auto"/>
            </w:tcBorders>
          </w:tcPr>
          <w:p w14:paraId="18213B31"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100</w:t>
            </w:r>
          </w:p>
        </w:tc>
        <w:tc>
          <w:tcPr>
            <w:tcW w:w="0" w:type="auto"/>
            <w:tcBorders>
              <w:top w:val="single" w:sz="4" w:space="0" w:color="auto"/>
            </w:tcBorders>
          </w:tcPr>
          <w:p w14:paraId="4DE888F6"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100</w:t>
            </w:r>
          </w:p>
        </w:tc>
        <w:tc>
          <w:tcPr>
            <w:tcW w:w="0" w:type="auto"/>
            <w:tcBorders>
              <w:top w:val="single" w:sz="4" w:space="0" w:color="auto"/>
            </w:tcBorders>
          </w:tcPr>
          <w:p w14:paraId="6CDB2E1D"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100</w:t>
            </w:r>
          </w:p>
        </w:tc>
        <w:tc>
          <w:tcPr>
            <w:tcW w:w="0" w:type="auto"/>
            <w:tcBorders>
              <w:top w:val="single" w:sz="4" w:space="0" w:color="auto"/>
            </w:tcBorders>
          </w:tcPr>
          <w:p w14:paraId="2F850C31"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500</w:t>
            </w:r>
          </w:p>
        </w:tc>
      </w:tr>
      <w:tr w:rsidR="005D6588" w:rsidRPr="00E3562B" w14:paraId="338E2965" w14:textId="77777777" w:rsidTr="00294522">
        <w:tc>
          <w:tcPr>
            <w:tcW w:w="0" w:type="auto"/>
          </w:tcPr>
          <w:p w14:paraId="6BDA77DB"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 Obs. with missing modern slavery data</w:t>
            </w:r>
          </w:p>
        </w:tc>
        <w:tc>
          <w:tcPr>
            <w:tcW w:w="0" w:type="auto"/>
          </w:tcPr>
          <w:p w14:paraId="3734F04A"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19</w:t>
            </w:r>
          </w:p>
        </w:tc>
        <w:tc>
          <w:tcPr>
            <w:tcW w:w="0" w:type="auto"/>
          </w:tcPr>
          <w:p w14:paraId="04F317BC"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15</w:t>
            </w:r>
          </w:p>
        </w:tc>
        <w:tc>
          <w:tcPr>
            <w:tcW w:w="0" w:type="auto"/>
          </w:tcPr>
          <w:p w14:paraId="7CE23A65"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w:t>
            </w:r>
          </w:p>
        </w:tc>
        <w:tc>
          <w:tcPr>
            <w:tcW w:w="0" w:type="auto"/>
          </w:tcPr>
          <w:p w14:paraId="0DE73040"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8</w:t>
            </w:r>
          </w:p>
        </w:tc>
        <w:tc>
          <w:tcPr>
            <w:tcW w:w="0" w:type="auto"/>
          </w:tcPr>
          <w:p w14:paraId="7932CEF4"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6</w:t>
            </w:r>
          </w:p>
        </w:tc>
        <w:tc>
          <w:tcPr>
            <w:tcW w:w="0" w:type="auto"/>
          </w:tcPr>
          <w:p w14:paraId="2D3A6053"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58</w:t>
            </w:r>
          </w:p>
        </w:tc>
      </w:tr>
      <w:tr w:rsidR="005D6588" w:rsidRPr="00E3562B" w14:paraId="2EAE91B1" w14:textId="77777777" w:rsidTr="00294522">
        <w:tc>
          <w:tcPr>
            <w:tcW w:w="0" w:type="auto"/>
            <w:tcBorders>
              <w:bottom w:val="single" w:sz="4" w:space="0" w:color="auto"/>
            </w:tcBorders>
          </w:tcPr>
          <w:p w14:paraId="6FD6C7FA"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 Obs. with missing financial and governance data</w:t>
            </w:r>
          </w:p>
        </w:tc>
        <w:tc>
          <w:tcPr>
            <w:tcW w:w="0" w:type="auto"/>
            <w:tcBorders>
              <w:bottom w:val="single" w:sz="4" w:space="0" w:color="auto"/>
            </w:tcBorders>
          </w:tcPr>
          <w:p w14:paraId="1DC2BC2E"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8</w:t>
            </w:r>
          </w:p>
        </w:tc>
        <w:tc>
          <w:tcPr>
            <w:tcW w:w="0" w:type="auto"/>
            <w:tcBorders>
              <w:bottom w:val="single" w:sz="4" w:space="0" w:color="auto"/>
            </w:tcBorders>
          </w:tcPr>
          <w:p w14:paraId="52B9FC03"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8</w:t>
            </w:r>
          </w:p>
        </w:tc>
        <w:tc>
          <w:tcPr>
            <w:tcW w:w="0" w:type="auto"/>
            <w:tcBorders>
              <w:bottom w:val="single" w:sz="4" w:space="0" w:color="auto"/>
            </w:tcBorders>
          </w:tcPr>
          <w:p w14:paraId="4405EDFC"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4</w:t>
            </w:r>
          </w:p>
        </w:tc>
        <w:tc>
          <w:tcPr>
            <w:tcW w:w="0" w:type="auto"/>
            <w:tcBorders>
              <w:bottom w:val="single" w:sz="4" w:space="0" w:color="auto"/>
            </w:tcBorders>
          </w:tcPr>
          <w:p w14:paraId="3287AFCB"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3</w:t>
            </w:r>
          </w:p>
        </w:tc>
        <w:tc>
          <w:tcPr>
            <w:tcW w:w="0" w:type="auto"/>
            <w:tcBorders>
              <w:bottom w:val="single" w:sz="4" w:space="0" w:color="auto"/>
            </w:tcBorders>
          </w:tcPr>
          <w:p w14:paraId="1A6FD105"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w:t>
            </w:r>
          </w:p>
        </w:tc>
        <w:tc>
          <w:tcPr>
            <w:tcW w:w="0" w:type="auto"/>
            <w:tcBorders>
              <w:bottom w:val="single" w:sz="4" w:space="0" w:color="auto"/>
            </w:tcBorders>
          </w:tcPr>
          <w:p w14:paraId="4EB2713A"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25</w:t>
            </w:r>
          </w:p>
        </w:tc>
      </w:tr>
      <w:tr w:rsidR="005D6588" w:rsidRPr="00E3562B" w14:paraId="4BB3EA8D" w14:textId="77777777" w:rsidTr="00294522">
        <w:tc>
          <w:tcPr>
            <w:tcW w:w="0" w:type="auto"/>
            <w:tcBorders>
              <w:top w:val="single" w:sz="4" w:space="0" w:color="auto"/>
              <w:bottom w:val="single" w:sz="4" w:space="0" w:color="auto"/>
            </w:tcBorders>
          </w:tcPr>
          <w:p w14:paraId="7A18020C"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 Final sample</w:t>
            </w:r>
          </w:p>
        </w:tc>
        <w:tc>
          <w:tcPr>
            <w:tcW w:w="0" w:type="auto"/>
            <w:tcBorders>
              <w:top w:val="single" w:sz="4" w:space="0" w:color="auto"/>
              <w:bottom w:val="single" w:sz="4" w:space="0" w:color="auto"/>
            </w:tcBorders>
          </w:tcPr>
          <w:p w14:paraId="061382E5"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73</w:t>
            </w:r>
          </w:p>
        </w:tc>
        <w:tc>
          <w:tcPr>
            <w:tcW w:w="0" w:type="auto"/>
            <w:tcBorders>
              <w:top w:val="single" w:sz="4" w:space="0" w:color="auto"/>
              <w:bottom w:val="single" w:sz="4" w:space="0" w:color="auto"/>
            </w:tcBorders>
          </w:tcPr>
          <w:p w14:paraId="35913A79"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77</w:t>
            </w:r>
          </w:p>
        </w:tc>
        <w:tc>
          <w:tcPr>
            <w:tcW w:w="0" w:type="auto"/>
            <w:tcBorders>
              <w:top w:val="single" w:sz="4" w:space="0" w:color="auto"/>
              <w:bottom w:val="single" w:sz="4" w:space="0" w:color="auto"/>
            </w:tcBorders>
          </w:tcPr>
          <w:p w14:paraId="1F7CFF0A"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86</w:t>
            </w:r>
          </w:p>
        </w:tc>
        <w:tc>
          <w:tcPr>
            <w:tcW w:w="0" w:type="auto"/>
            <w:tcBorders>
              <w:top w:val="single" w:sz="4" w:space="0" w:color="auto"/>
              <w:bottom w:val="single" w:sz="4" w:space="0" w:color="auto"/>
            </w:tcBorders>
          </w:tcPr>
          <w:p w14:paraId="1950D643"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89</w:t>
            </w:r>
          </w:p>
        </w:tc>
        <w:tc>
          <w:tcPr>
            <w:tcW w:w="0" w:type="auto"/>
            <w:tcBorders>
              <w:top w:val="single" w:sz="4" w:space="0" w:color="auto"/>
              <w:bottom w:val="single" w:sz="4" w:space="0" w:color="auto"/>
            </w:tcBorders>
          </w:tcPr>
          <w:p w14:paraId="4D388196"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92</w:t>
            </w:r>
          </w:p>
        </w:tc>
        <w:tc>
          <w:tcPr>
            <w:tcW w:w="0" w:type="auto"/>
            <w:tcBorders>
              <w:top w:val="single" w:sz="4" w:space="0" w:color="auto"/>
              <w:bottom w:val="single" w:sz="4" w:space="0" w:color="auto"/>
            </w:tcBorders>
          </w:tcPr>
          <w:p w14:paraId="0BD028A5"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417</w:t>
            </w:r>
          </w:p>
        </w:tc>
      </w:tr>
      <w:tr w:rsidR="005D6588" w:rsidRPr="00E3562B" w14:paraId="5E4342BD" w14:textId="77777777" w:rsidTr="00294522">
        <w:tc>
          <w:tcPr>
            <w:tcW w:w="0" w:type="auto"/>
            <w:gridSpan w:val="7"/>
            <w:tcBorders>
              <w:top w:val="single" w:sz="4" w:space="0" w:color="auto"/>
              <w:bottom w:val="single" w:sz="4" w:space="0" w:color="auto"/>
            </w:tcBorders>
          </w:tcPr>
          <w:p w14:paraId="503A0E4B" w14:textId="39890E2B" w:rsidR="00A60DA1" w:rsidRPr="00E3562B" w:rsidRDefault="00A60DA1" w:rsidP="007B6EA4">
            <w:pPr>
              <w:spacing w:line="276" w:lineRule="auto"/>
              <w:rPr>
                <w:rFonts w:asciiTheme="majorBidi" w:eastAsia="MS Mincho" w:hAnsiTheme="majorBidi" w:cstheme="majorBidi"/>
                <w:i/>
                <w:iCs/>
                <w:sz w:val="23"/>
                <w:szCs w:val="23"/>
                <w:lang w:val="en-GB"/>
              </w:rPr>
            </w:pPr>
            <w:r w:rsidRPr="00E3562B">
              <w:rPr>
                <w:rFonts w:asciiTheme="majorBidi" w:eastAsia="MS Mincho" w:hAnsiTheme="majorBidi" w:cstheme="majorBidi"/>
                <w:i/>
                <w:iCs/>
                <w:sz w:val="23"/>
                <w:szCs w:val="23"/>
                <w:lang w:val="en-GB"/>
              </w:rPr>
              <w:t>Year-wise industry sample</w:t>
            </w:r>
            <w:r w:rsidRPr="00E3562B">
              <w:rPr>
                <w:lang w:val="en-GB"/>
              </w:rPr>
              <w:t xml:space="preserve"> </w:t>
            </w:r>
            <w:r w:rsidRPr="00E3562B">
              <w:rPr>
                <w:rFonts w:asciiTheme="majorBidi" w:eastAsia="MS Mincho" w:hAnsiTheme="majorBidi" w:cstheme="majorBidi"/>
                <w:i/>
                <w:iCs/>
                <w:sz w:val="23"/>
                <w:szCs w:val="23"/>
                <w:lang w:val="en-GB"/>
              </w:rPr>
              <w:t>distribution</w:t>
            </w:r>
          </w:p>
        </w:tc>
      </w:tr>
      <w:tr w:rsidR="005D6588" w:rsidRPr="00E3562B" w14:paraId="427DD213" w14:textId="77777777" w:rsidTr="00294522">
        <w:tc>
          <w:tcPr>
            <w:tcW w:w="0" w:type="auto"/>
            <w:tcBorders>
              <w:top w:val="single" w:sz="4" w:space="0" w:color="auto"/>
            </w:tcBorders>
          </w:tcPr>
          <w:p w14:paraId="5564314A"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Oil &amp; Gas</w:t>
            </w:r>
          </w:p>
        </w:tc>
        <w:tc>
          <w:tcPr>
            <w:tcW w:w="0" w:type="auto"/>
            <w:tcBorders>
              <w:top w:val="single" w:sz="4" w:space="0" w:color="auto"/>
            </w:tcBorders>
          </w:tcPr>
          <w:p w14:paraId="7FC3BB8C"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w:t>
            </w:r>
          </w:p>
        </w:tc>
        <w:tc>
          <w:tcPr>
            <w:tcW w:w="0" w:type="auto"/>
            <w:tcBorders>
              <w:top w:val="single" w:sz="4" w:space="0" w:color="auto"/>
            </w:tcBorders>
          </w:tcPr>
          <w:p w14:paraId="12FED7A2"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w:t>
            </w:r>
          </w:p>
        </w:tc>
        <w:tc>
          <w:tcPr>
            <w:tcW w:w="0" w:type="auto"/>
            <w:tcBorders>
              <w:top w:val="single" w:sz="4" w:space="0" w:color="auto"/>
            </w:tcBorders>
          </w:tcPr>
          <w:p w14:paraId="55A3195F"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w:t>
            </w:r>
          </w:p>
        </w:tc>
        <w:tc>
          <w:tcPr>
            <w:tcW w:w="0" w:type="auto"/>
            <w:tcBorders>
              <w:top w:val="single" w:sz="4" w:space="0" w:color="auto"/>
            </w:tcBorders>
          </w:tcPr>
          <w:p w14:paraId="6D114234"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w:t>
            </w:r>
          </w:p>
        </w:tc>
        <w:tc>
          <w:tcPr>
            <w:tcW w:w="0" w:type="auto"/>
            <w:tcBorders>
              <w:top w:val="single" w:sz="4" w:space="0" w:color="auto"/>
            </w:tcBorders>
          </w:tcPr>
          <w:p w14:paraId="4A25A5EC"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w:t>
            </w:r>
          </w:p>
        </w:tc>
        <w:tc>
          <w:tcPr>
            <w:tcW w:w="0" w:type="auto"/>
            <w:tcBorders>
              <w:top w:val="single" w:sz="4" w:space="0" w:color="auto"/>
            </w:tcBorders>
          </w:tcPr>
          <w:p w14:paraId="215B3144"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 (2.4%)</w:t>
            </w:r>
          </w:p>
        </w:tc>
      </w:tr>
      <w:tr w:rsidR="005D6588" w:rsidRPr="00E3562B" w14:paraId="3EE2139A" w14:textId="77777777" w:rsidTr="00294522">
        <w:tc>
          <w:tcPr>
            <w:tcW w:w="0" w:type="auto"/>
          </w:tcPr>
          <w:p w14:paraId="6FF0EA9B"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Basic Materials</w:t>
            </w:r>
          </w:p>
        </w:tc>
        <w:tc>
          <w:tcPr>
            <w:tcW w:w="0" w:type="auto"/>
          </w:tcPr>
          <w:p w14:paraId="086535FF"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w:t>
            </w:r>
          </w:p>
        </w:tc>
        <w:tc>
          <w:tcPr>
            <w:tcW w:w="0" w:type="auto"/>
          </w:tcPr>
          <w:p w14:paraId="2DD52A84"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w:t>
            </w:r>
          </w:p>
        </w:tc>
        <w:tc>
          <w:tcPr>
            <w:tcW w:w="0" w:type="auto"/>
          </w:tcPr>
          <w:p w14:paraId="65CCCA3D"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11</w:t>
            </w:r>
          </w:p>
        </w:tc>
        <w:tc>
          <w:tcPr>
            <w:tcW w:w="0" w:type="auto"/>
          </w:tcPr>
          <w:p w14:paraId="7C778084"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11</w:t>
            </w:r>
          </w:p>
        </w:tc>
        <w:tc>
          <w:tcPr>
            <w:tcW w:w="0" w:type="auto"/>
          </w:tcPr>
          <w:p w14:paraId="0F8A398C"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w:t>
            </w:r>
          </w:p>
        </w:tc>
        <w:tc>
          <w:tcPr>
            <w:tcW w:w="0" w:type="auto"/>
          </w:tcPr>
          <w:p w14:paraId="44CE716C"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52 (12.5%)</w:t>
            </w:r>
          </w:p>
        </w:tc>
      </w:tr>
      <w:tr w:rsidR="005D6588" w:rsidRPr="00E3562B" w14:paraId="055E557B" w14:textId="77777777" w:rsidTr="00294522">
        <w:tc>
          <w:tcPr>
            <w:tcW w:w="0" w:type="auto"/>
          </w:tcPr>
          <w:p w14:paraId="0216CCD9"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Industrials</w:t>
            </w:r>
          </w:p>
        </w:tc>
        <w:tc>
          <w:tcPr>
            <w:tcW w:w="0" w:type="auto"/>
          </w:tcPr>
          <w:p w14:paraId="3FBD4266"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14</w:t>
            </w:r>
          </w:p>
        </w:tc>
        <w:tc>
          <w:tcPr>
            <w:tcW w:w="0" w:type="auto"/>
          </w:tcPr>
          <w:p w14:paraId="5AA92B48"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15</w:t>
            </w:r>
          </w:p>
        </w:tc>
        <w:tc>
          <w:tcPr>
            <w:tcW w:w="0" w:type="auto"/>
          </w:tcPr>
          <w:p w14:paraId="26EE4D0A"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16</w:t>
            </w:r>
          </w:p>
        </w:tc>
        <w:tc>
          <w:tcPr>
            <w:tcW w:w="0" w:type="auto"/>
          </w:tcPr>
          <w:p w14:paraId="1F0E30FB"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16</w:t>
            </w:r>
          </w:p>
        </w:tc>
        <w:tc>
          <w:tcPr>
            <w:tcW w:w="0" w:type="auto"/>
          </w:tcPr>
          <w:p w14:paraId="7E79D76F"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17</w:t>
            </w:r>
          </w:p>
        </w:tc>
        <w:tc>
          <w:tcPr>
            <w:tcW w:w="0" w:type="auto"/>
          </w:tcPr>
          <w:p w14:paraId="234ABDC1"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78 (18.7%)</w:t>
            </w:r>
          </w:p>
        </w:tc>
      </w:tr>
      <w:tr w:rsidR="005D6588" w:rsidRPr="00E3562B" w14:paraId="1C0C0C66" w14:textId="77777777" w:rsidTr="00294522">
        <w:tc>
          <w:tcPr>
            <w:tcW w:w="0" w:type="auto"/>
          </w:tcPr>
          <w:p w14:paraId="0F020449"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Consumer Discretionary</w:t>
            </w:r>
          </w:p>
        </w:tc>
        <w:tc>
          <w:tcPr>
            <w:tcW w:w="0" w:type="auto"/>
          </w:tcPr>
          <w:p w14:paraId="5B6B2BA0"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14</w:t>
            </w:r>
          </w:p>
        </w:tc>
        <w:tc>
          <w:tcPr>
            <w:tcW w:w="0" w:type="auto"/>
          </w:tcPr>
          <w:p w14:paraId="3975816D"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14</w:t>
            </w:r>
          </w:p>
        </w:tc>
        <w:tc>
          <w:tcPr>
            <w:tcW w:w="0" w:type="auto"/>
          </w:tcPr>
          <w:p w14:paraId="6BF30671"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16</w:t>
            </w:r>
          </w:p>
        </w:tc>
        <w:tc>
          <w:tcPr>
            <w:tcW w:w="0" w:type="auto"/>
          </w:tcPr>
          <w:p w14:paraId="654B00B4"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17</w:t>
            </w:r>
          </w:p>
        </w:tc>
        <w:tc>
          <w:tcPr>
            <w:tcW w:w="0" w:type="auto"/>
          </w:tcPr>
          <w:p w14:paraId="0966E9B6"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17</w:t>
            </w:r>
          </w:p>
        </w:tc>
        <w:tc>
          <w:tcPr>
            <w:tcW w:w="0" w:type="auto"/>
          </w:tcPr>
          <w:p w14:paraId="4C20A94F"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78 (18.7%)</w:t>
            </w:r>
          </w:p>
        </w:tc>
      </w:tr>
      <w:tr w:rsidR="005D6588" w:rsidRPr="00E3562B" w14:paraId="6B133BD1" w14:textId="77777777" w:rsidTr="00294522">
        <w:tc>
          <w:tcPr>
            <w:tcW w:w="0" w:type="auto"/>
          </w:tcPr>
          <w:p w14:paraId="15447096"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Health Care</w:t>
            </w:r>
          </w:p>
        </w:tc>
        <w:tc>
          <w:tcPr>
            <w:tcW w:w="0" w:type="auto"/>
          </w:tcPr>
          <w:p w14:paraId="7D9FE190"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3</w:t>
            </w:r>
          </w:p>
        </w:tc>
        <w:tc>
          <w:tcPr>
            <w:tcW w:w="0" w:type="auto"/>
          </w:tcPr>
          <w:p w14:paraId="799D3E8E"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3</w:t>
            </w:r>
          </w:p>
        </w:tc>
        <w:tc>
          <w:tcPr>
            <w:tcW w:w="0" w:type="auto"/>
          </w:tcPr>
          <w:p w14:paraId="2075C77F"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4</w:t>
            </w:r>
          </w:p>
        </w:tc>
        <w:tc>
          <w:tcPr>
            <w:tcW w:w="0" w:type="auto"/>
          </w:tcPr>
          <w:p w14:paraId="61731AFE"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4</w:t>
            </w:r>
          </w:p>
        </w:tc>
        <w:tc>
          <w:tcPr>
            <w:tcW w:w="0" w:type="auto"/>
          </w:tcPr>
          <w:p w14:paraId="17DF6388"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4</w:t>
            </w:r>
          </w:p>
        </w:tc>
        <w:tc>
          <w:tcPr>
            <w:tcW w:w="0" w:type="auto"/>
          </w:tcPr>
          <w:p w14:paraId="6FFA2967"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18 (4.3%)</w:t>
            </w:r>
          </w:p>
        </w:tc>
      </w:tr>
      <w:tr w:rsidR="005D6588" w:rsidRPr="00E3562B" w14:paraId="2D6D5F76" w14:textId="77777777" w:rsidTr="00294522">
        <w:tc>
          <w:tcPr>
            <w:tcW w:w="0" w:type="auto"/>
          </w:tcPr>
          <w:p w14:paraId="5BEAB43D"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Consumer Staples</w:t>
            </w:r>
          </w:p>
        </w:tc>
        <w:tc>
          <w:tcPr>
            <w:tcW w:w="0" w:type="auto"/>
          </w:tcPr>
          <w:p w14:paraId="561176FA"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7</w:t>
            </w:r>
          </w:p>
        </w:tc>
        <w:tc>
          <w:tcPr>
            <w:tcW w:w="0" w:type="auto"/>
          </w:tcPr>
          <w:p w14:paraId="770E4775"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9</w:t>
            </w:r>
          </w:p>
        </w:tc>
        <w:tc>
          <w:tcPr>
            <w:tcW w:w="0" w:type="auto"/>
          </w:tcPr>
          <w:p w14:paraId="79D85042"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w:t>
            </w:r>
          </w:p>
        </w:tc>
        <w:tc>
          <w:tcPr>
            <w:tcW w:w="0" w:type="auto"/>
          </w:tcPr>
          <w:p w14:paraId="7A8BDE72"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w:t>
            </w:r>
          </w:p>
        </w:tc>
        <w:tc>
          <w:tcPr>
            <w:tcW w:w="0" w:type="auto"/>
          </w:tcPr>
          <w:p w14:paraId="62E1BFF6"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10</w:t>
            </w:r>
          </w:p>
        </w:tc>
        <w:tc>
          <w:tcPr>
            <w:tcW w:w="0" w:type="auto"/>
          </w:tcPr>
          <w:p w14:paraId="098E26A6"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46 (11%)</w:t>
            </w:r>
          </w:p>
        </w:tc>
      </w:tr>
      <w:tr w:rsidR="005D6588" w:rsidRPr="00E3562B" w14:paraId="0D9E2F7A" w14:textId="77777777" w:rsidTr="00294522">
        <w:tc>
          <w:tcPr>
            <w:tcW w:w="0" w:type="auto"/>
          </w:tcPr>
          <w:p w14:paraId="57F3EB56"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Telecommunications</w:t>
            </w:r>
          </w:p>
        </w:tc>
        <w:tc>
          <w:tcPr>
            <w:tcW w:w="0" w:type="auto"/>
          </w:tcPr>
          <w:p w14:paraId="4398284B"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w:t>
            </w:r>
          </w:p>
        </w:tc>
        <w:tc>
          <w:tcPr>
            <w:tcW w:w="0" w:type="auto"/>
          </w:tcPr>
          <w:p w14:paraId="3F4EAE39"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w:t>
            </w:r>
          </w:p>
        </w:tc>
        <w:tc>
          <w:tcPr>
            <w:tcW w:w="0" w:type="auto"/>
          </w:tcPr>
          <w:p w14:paraId="487E868A"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w:t>
            </w:r>
          </w:p>
        </w:tc>
        <w:tc>
          <w:tcPr>
            <w:tcW w:w="0" w:type="auto"/>
          </w:tcPr>
          <w:p w14:paraId="38FC4110"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w:t>
            </w:r>
          </w:p>
        </w:tc>
        <w:tc>
          <w:tcPr>
            <w:tcW w:w="0" w:type="auto"/>
          </w:tcPr>
          <w:p w14:paraId="4058CFFD"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3</w:t>
            </w:r>
          </w:p>
        </w:tc>
        <w:tc>
          <w:tcPr>
            <w:tcW w:w="0" w:type="auto"/>
          </w:tcPr>
          <w:p w14:paraId="2A2FFA33"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11 (2.6%)</w:t>
            </w:r>
          </w:p>
        </w:tc>
      </w:tr>
      <w:tr w:rsidR="005D6588" w:rsidRPr="00E3562B" w14:paraId="1DCA8E4C" w14:textId="77777777" w:rsidTr="00294522">
        <w:tc>
          <w:tcPr>
            <w:tcW w:w="0" w:type="auto"/>
          </w:tcPr>
          <w:p w14:paraId="08901099"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Utilities</w:t>
            </w:r>
          </w:p>
        </w:tc>
        <w:tc>
          <w:tcPr>
            <w:tcW w:w="0" w:type="auto"/>
          </w:tcPr>
          <w:p w14:paraId="19D976AE"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4</w:t>
            </w:r>
          </w:p>
        </w:tc>
        <w:tc>
          <w:tcPr>
            <w:tcW w:w="0" w:type="auto"/>
          </w:tcPr>
          <w:p w14:paraId="46AAB46C"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4</w:t>
            </w:r>
          </w:p>
        </w:tc>
        <w:tc>
          <w:tcPr>
            <w:tcW w:w="0" w:type="auto"/>
          </w:tcPr>
          <w:p w14:paraId="1DD86A74"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4</w:t>
            </w:r>
          </w:p>
        </w:tc>
        <w:tc>
          <w:tcPr>
            <w:tcW w:w="0" w:type="auto"/>
          </w:tcPr>
          <w:p w14:paraId="1278A81B"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4</w:t>
            </w:r>
          </w:p>
        </w:tc>
        <w:tc>
          <w:tcPr>
            <w:tcW w:w="0" w:type="auto"/>
          </w:tcPr>
          <w:p w14:paraId="39D5BD9F"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5</w:t>
            </w:r>
          </w:p>
        </w:tc>
        <w:tc>
          <w:tcPr>
            <w:tcW w:w="0" w:type="auto"/>
          </w:tcPr>
          <w:p w14:paraId="57D83DE0"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21 (5.0%)</w:t>
            </w:r>
          </w:p>
        </w:tc>
      </w:tr>
      <w:tr w:rsidR="005D6588" w:rsidRPr="00E3562B" w14:paraId="53C0FECC" w14:textId="77777777" w:rsidTr="00294522">
        <w:tc>
          <w:tcPr>
            <w:tcW w:w="0" w:type="auto"/>
          </w:tcPr>
          <w:p w14:paraId="7EC1BDDE"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Financials</w:t>
            </w:r>
          </w:p>
        </w:tc>
        <w:tc>
          <w:tcPr>
            <w:tcW w:w="0" w:type="auto"/>
          </w:tcPr>
          <w:p w14:paraId="699DD9B1"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14</w:t>
            </w:r>
          </w:p>
        </w:tc>
        <w:tc>
          <w:tcPr>
            <w:tcW w:w="0" w:type="auto"/>
          </w:tcPr>
          <w:p w14:paraId="67B558CE"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15</w:t>
            </w:r>
          </w:p>
        </w:tc>
        <w:tc>
          <w:tcPr>
            <w:tcW w:w="0" w:type="auto"/>
          </w:tcPr>
          <w:p w14:paraId="331CBA31"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16</w:t>
            </w:r>
          </w:p>
        </w:tc>
        <w:tc>
          <w:tcPr>
            <w:tcW w:w="0" w:type="auto"/>
          </w:tcPr>
          <w:p w14:paraId="701FBE18"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17</w:t>
            </w:r>
          </w:p>
        </w:tc>
        <w:tc>
          <w:tcPr>
            <w:tcW w:w="0" w:type="auto"/>
          </w:tcPr>
          <w:p w14:paraId="0CCC85D3"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18</w:t>
            </w:r>
          </w:p>
        </w:tc>
        <w:tc>
          <w:tcPr>
            <w:tcW w:w="0" w:type="auto"/>
          </w:tcPr>
          <w:p w14:paraId="1D36A0BC"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80 (19.2%)</w:t>
            </w:r>
          </w:p>
        </w:tc>
      </w:tr>
      <w:tr w:rsidR="005D6588" w:rsidRPr="00E3562B" w14:paraId="1B590494" w14:textId="77777777" w:rsidTr="00294522">
        <w:tc>
          <w:tcPr>
            <w:tcW w:w="0" w:type="auto"/>
            <w:tcBorders>
              <w:bottom w:val="single" w:sz="4" w:space="0" w:color="auto"/>
            </w:tcBorders>
          </w:tcPr>
          <w:p w14:paraId="2DFBC249"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Technology</w:t>
            </w:r>
          </w:p>
        </w:tc>
        <w:tc>
          <w:tcPr>
            <w:tcW w:w="0" w:type="auto"/>
            <w:tcBorders>
              <w:bottom w:val="single" w:sz="4" w:space="0" w:color="auto"/>
            </w:tcBorders>
          </w:tcPr>
          <w:p w14:paraId="2E592CC2"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3</w:t>
            </w:r>
          </w:p>
        </w:tc>
        <w:tc>
          <w:tcPr>
            <w:tcW w:w="0" w:type="auto"/>
            <w:tcBorders>
              <w:bottom w:val="single" w:sz="4" w:space="0" w:color="auto"/>
            </w:tcBorders>
          </w:tcPr>
          <w:p w14:paraId="2E16D7D5"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3</w:t>
            </w:r>
          </w:p>
        </w:tc>
        <w:tc>
          <w:tcPr>
            <w:tcW w:w="0" w:type="auto"/>
            <w:tcBorders>
              <w:bottom w:val="single" w:sz="4" w:space="0" w:color="auto"/>
            </w:tcBorders>
          </w:tcPr>
          <w:p w14:paraId="3D62D98D"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5</w:t>
            </w:r>
          </w:p>
        </w:tc>
        <w:tc>
          <w:tcPr>
            <w:tcW w:w="0" w:type="auto"/>
            <w:tcBorders>
              <w:bottom w:val="single" w:sz="4" w:space="0" w:color="auto"/>
            </w:tcBorders>
          </w:tcPr>
          <w:p w14:paraId="1440C187"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6</w:t>
            </w:r>
          </w:p>
        </w:tc>
        <w:tc>
          <w:tcPr>
            <w:tcW w:w="0" w:type="auto"/>
            <w:tcBorders>
              <w:bottom w:val="single" w:sz="4" w:space="0" w:color="auto"/>
            </w:tcBorders>
          </w:tcPr>
          <w:p w14:paraId="134D2094"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6</w:t>
            </w:r>
          </w:p>
        </w:tc>
        <w:tc>
          <w:tcPr>
            <w:tcW w:w="0" w:type="auto"/>
            <w:tcBorders>
              <w:bottom w:val="single" w:sz="4" w:space="0" w:color="auto"/>
            </w:tcBorders>
          </w:tcPr>
          <w:p w14:paraId="10E77AA7"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23 (5.5%)</w:t>
            </w:r>
          </w:p>
        </w:tc>
      </w:tr>
      <w:tr w:rsidR="00A60DA1" w:rsidRPr="00E3562B" w14:paraId="5A80F630" w14:textId="77777777" w:rsidTr="00294522">
        <w:tc>
          <w:tcPr>
            <w:tcW w:w="0" w:type="auto"/>
            <w:tcBorders>
              <w:top w:val="single" w:sz="4" w:space="0" w:color="auto"/>
              <w:bottom w:val="single" w:sz="4" w:space="0" w:color="auto"/>
            </w:tcBorders>
          </w:tcPr>
          <w:p w14:paraId="4111662D"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Total</w:t>
            </w:r>
          </w:p>
        </w:tc>
        <w:tc>
          <w:tcPr>
            <w:tcW w:w="0" w:type="auto"/>
            <w:tcBorders>
              <w:top w:val="single" w:sz="4" w:space="0" w:color="auto"/>
              <w:bottom w:val="single" w:sz="4" w:space="0" w:color="auto"/>
            </w:tcBorders>
          </w:tcPr>
          <w:p w14:paraId="53899FF7"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p>
        </w:tc>
        <w:tc>
          <w:tcPr>
            <w:tcW w:w="0" w:type="auto"/>
            <w:tcBorders>
              <w:top w:val="single" w:sz="4" w:space="0" w:color="auto"/>
              <w:bottom w:val="single" w:sz="4" w:space="0" w:color="auto"/>
            </w:tcBorders>
          </w:tcPr>
          <w:p w14:paraId="61CABBD7"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p>
        </w:tc>
        <w:tc>
          <w:tcPr>
            <w:tcW w:w="0" w:type="auto"/>
            <w:tcBorders>
              <w:top w:val="single" w:sz="4" w:space="0" w:color="auto"/>
              <w:bottom w:val="single" w:sz="4" w:space="0" w:color="auto"/>
            </w:tcBorders>
          </w:tcPr>
          <w:p w14:paraId="399523A3"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p>
        </w:tc>
        <w:tc>
          <w:tcPr>
            <w:tcW w:w="0" w:type="auto"/>
            <w:tcBorders>
              <w:top w:val="single" w:sz="4" w:space="0" w:color="auto"/>
              <w:bottom w:val="single" w:sz="4" w:space="0" w:color="auto"/>
            </w:tcBorders>
          </w:tcPr>
          <w:p w14:paraId="2984F9B6"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p>
        </w:tc>
        <w:tc>
          <w:tcPr>
            <w:tcW w:w="0" w:type="auto"/>
            <w:tcBorders>
              <w:top w:val="single" w:sz="4" w:space="0" w:color="auto"/>
              <w:bottom w:val="single" w:sz="4" w:space="0" w:color="auto"/>
            </w:tcBorders>
          </w:tcPr>
          <w:p w14:paraId="6D6C7842"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p>
        </w:tc>
        <w:tc>
          <w:tcPr>
            <w:tcW w:w="0" w:type="auto"/>
            <w:tcBorders>
              <w:top w:val="single" w:sz="4" w:space="0" w:color="auto"/>
              <w:bottom w:val="single" w:sz="4" w:space="0" w:color="auto"/>
            </w:tcBorders>
          </w:tcPr>
          <w:p w14:paraId="754E5E34" w14:textId="77777777" w:rsidR="00A60DA1" w:rsidRPr="00E3562B" w:rsidRDefault="00A60DA1" w:rsidP="00294522">
            <w:pPr>
              <w:spacing w:line="276" w:lineRule="auto"/>
              <w:jc w:val="left"/>
              <w:rPr>
                <w:rFonts w:asciiTheme="majorBidi" w:eastAsia="MS Mincho" w:hAnsiTheme="majorBidi" w:cstheme="majorBidi"/>
                <w:sz w:val="23"/>
                <w:szCs w:val="23"/>
                <w:lang w:val="en-GB"/>
              </w:rPr>
            </w:pPr>
            <w:r w:rsidRPr="00E3562B">
              <w:rPr>
                <w:rFonts w:asciiTheme="majorBidi" w:eastAsia="MS Mincho" w:hAnsiTheme="majorBidi" w:cstheme="majorBidi"/>
                <w:sz w:val="23"/>
                <w:szCs w:val="23"/>
                <w:lang w:val="en-GB"/>
              </w:rPr>
              <w:t>417 (100%)</w:t>
            </w:r>
          </w:p>
        </w:tc>
      </w:tr>
    </w:tbl>
    <w:p w14:paraId="20716EAC" w14:textId="77777777" w:rsidR="00A60DA1" w:rsidRPr="00E3562B" w:rsidRDefault="00A60DA1" w:rsidP="00A60DA1">
      <w:pPr>
        <w:spacing w:after="200" w:line="276" w:lineRule="auto"/>
        <w:jc w:val="left"/>
        <w:rPr>
          <w:rFonts w:ascii="Cambria" w:eastAsia="MS Mincho" w:hAnsi="Cambria" w:cs="Arial"/>
          <w:sz w:val="22"/>
          <w:szCs w:val="22"/>
          <w:lang w:val="en-GB"/>
        </w:rPr>
      </w:pPr>
    </w:p>
    <w:p w14:paraId="3AAF9127" w14:textId="77777777" w:rsidR="00A60DA1" w:rsidRPr="00E3562B" w:rsidRDefault="00A60DA1" w:rsidP="00A60DA1">
      <w:pPr>
        <w:spacing w:line="240" w:lineRule="auto"/>
        <w:jc w:val="left"/>
        <w:rPr>
          <w:rFonts w:asciiTheme="majorBidi" w:hAnsiTheme="majorBidi" w:cstheme="majorBidi"/>
          <w:sz w:val="23"/>
          <w:szCs w:val="23"/>
          <w:lang w:val="en-GB"/>
        </w:rPr>
      </w:pPr>
    </w:p>
    <w:p w14:paraId="7C6068BF" w14:textId="77777777" w:rsidR="00A60DA1" w:rsidRPr="00E3562B" w:rsidRDefault="00A60DA1" w:rsidP="00A60DA1">
      <w:pPr>
        <w:spacing w:line="240" w:lineRule="auto"/>
        <w:jc w:val="left"/>
        <w:rPr>
          <w:rFonts w:asciiTheme="majorBidi" w:hAnsiTheme="majorBidi" w:cstheme="majorBidi"/>
          <w:sz w:val="23"/>
          <w:szCs w:val="23"/>
          <w:lang w:val="en-GB"/>
        </w:rPr>
      </w:pPr>
    </w:p>
    <w:p w14:paraId="199F5097" w14:textId="77777777" w:rsidR="00A60DA1" w:rsidRPr="00E3562B" w:rsidRDefault="00A60DA1" w:rsidP="00A60DA1">
      <w:pPr>
        <w:spacing w:line="240" w:lineRule="auto"/>
        <w:jc w:val="left"/>
        <w:rPr>
          <w:rFonts w:asciiTheme="majorBidi" w:hAnsiTheme="majorBidi" w:cstheme="majorBidi"/>
          <w:sz w:val="23"/>
          <w:szCs w:val="23"/>
          <w:lang w:val="en-GB"/>
        </w:rPr>
      </w:pPr>
    </w:p>
    <w:p w14:paraId="0FE3653C" w14:textId="77777777" w:rsidR="00A60DA1" w:rsidRPr="00E3562B" w:rsidRDefault="00A60DA1" w:rsidP="00A60DA1">
      <w:pPr>
        <w:spacing w:line="240" w:lineRule="auto"/>
        <w:jc w:val="left"/>
        <w:rPr>
          <w:rFonts w:asciiTheme="majorBidi" w:hAnsiTheme="majorBidi" w:cstheme="majorBidi"/>
          <w:sz w:val="23"/>
          <w:szCs w:val="23"/>
          <w:lang w:val="en-GB"/>
        </w:rPr>
      </w:pPr>
    </w:p>
    <w:p w14:paraId="21AF6100" w14:textId="77777777" w:rsidR="00A60DA1" w:rsidRPr="00E3562B" w:rsidRDefault="00A60DA1" w:rsidP="00A60DA1">
      <w:pPr>
        <w:spacing w:line="240" w:lineRule="auto"/>
        <w:jc w:val="left"/>
        <w:rPr>
          <w:rFonts w:asciiTheme="majorBidi" w:hAnsiTheme="majorBidi" w:cstheme="majorBidi"/>
          <w:sz w:val="23"/>
          <w:szCs w:val="23"/>
          <w:lang w:val="en-GB"/>
        </w:rPr>
      </w:pPr>
    </w:p>
    <w:p w14:paraId="60290B4C" w14:textId="77777777" w:rsidR="00A60DA1" w:rsidRPr="00E3562B" w:rsidRDefault="00A60DA1" w:rsidP="00A60DA1">
      <w:pPr>
        <w:spacing w:line="240" w:lineRule="auto"/>
        <w:jc w:val="left"/>
        <w:rPr>
          <w:rFonts w:asciiTheme="majorBidi" w:hAnsiTheme="majorBidi" w:cstheme="majorBidi"/>
          <w:sz w:val="23"/>
          <w:szCs w:val="23"/>
          <w:lang w:val="en-GB"/>
        </w:rPr>
      </w:pPr>
    </w:p>
    <w:p w14:paraId="21A35BB2" w14:textId="77777777" w:rsidR="00A60DA1" w:rsidRPr="00E3562B" w:rsidRDefault="00A60DA1" w:rsidP="00A60DA1">
      <w:pPr>
        <w:spacing w:line="240" w:lineRule="auto"/>
        <w:jc w:val="left"/>
        <w:rPr>
          <w:rFonts w:asciiTheme="majorBidi" w:hAnsiTheme="majorBidi" w:cstheme="majorBidi"/>
          <w:sz w:val="23"/>
          <w:szCs w:val="23"/>
          <w:lang w:val="en-GB"/>
        </w:rPr>
      </w:pPr>
    </w:p>
    <w:p w14:paraId="13018386" w14:textId="77777777" w:rsidR="00A60DA1" w:rsidRPr="00E3562B" w:rsidRDefault="00A60DA1" w:rsidP="00A60DA1">
      <w:pPr>
        <w:spacing w:line="240" w:lineRule="auto"/>
        <w:jc w:val="left"/>
        <w:rPr>
          <w:rFonts w:asciiTheme="majorBidi" w:hAnsiTheme="majorBidi" w:cstheme="majorBidi"/>
          <w:sz w:val="23"/>
          <w:szCs w:val="23"/>
          <w:lang w:val="en-GB"/>
        </w:rPr>
      </w:pPr>
    </w:p>
    <w:p w14:paraId="3C1F6693" w14:textId="77777777" w:rsidR="00A60DA1" w:rsidRPr="00E3562B" w:rsidRDefault="00A60DA1" w:rsidP="00A60DA1">
      <w:pPr>
        <w:spacing w:line="240" w:lineRule="auto"/>
        <w:jc w:val="left"/>
        <w:rPr>
          <w:rFonts w:asciiTheme="majorBidi" w:hAnsiTheme="majorBidi" w:cstheme="majorBidi"/>
          <w:sz w:val="23"/>
          <w:szCs w:val="23"/>
          <w:lang w:val="en-GB"/>
        </w:rPr>
      </w:pPr>
    </w:p>
    <w:p w14:paraId="1BAEE667" w14:textId="77777777" w:rsidR="00A60DA1" w:rsidRPr="00E3562B" w:rsidRDefault="00A60DA1" w:rsidP="00A60DA1">
      <w:pPr>
        <w:spacing w:line="240" w:lineRule="auto"/>
        <w:jc w:val="left"/>
        <w:rPr>
          <w:rFonts w:asciiTheme="majorBidi" w:hAnsiTheme="majorBidi" w:cstheme="majorBidi"/>
          <w:sz w:val="23"/>
          <w:szCs w:val="23"/>
          <w:lang w:val="en-GB"/>
        </w:rPr>
      </w:pPr>
    </w:p>
    <w:p w14:paraId="1FC9BE75" w14:textId="77777777" w:rsidR="00A60DA1" w:rsidRPr="00E3562B" w:rsidRDefault="00A60DA1" w:rsidP="00A60DA1">
      <w:pPr>
        <w:spacing w:line="240" w:lineRule="auto"/>
        <w:jc w:val="left"/>
        <w:rPr>
          <w:rFonts w:asciiTheme="majorBidi" w:hAnsiTheme="majorBidi" w:cstheme="majorBidi"/>
          <w:sz w:val="23"/>
          <w:szCs w:val="23"/>
          <w:lang w:val="en-GB"/>
        </w:rPr>
      </w:pPr>
    </w:p>
    <w:p w14:paraId="199C5B75" w14:textId="77777777" w:rsidR="00A60DA1" w:rsidRPr="00E3562B" w:rsidRDefault="00A60DA1" w:rsidP="00A60DA1">
      <w:pPr>
        <w:spacing w:line="240" w:lineRule="auto"/>
        <w:jc w:val="left"/>
        <w:rPr>
          <w:rFonts w:asciiTheme="majorBidi" w:hAnsiTheme="majorBidi" w:cstheme="majorBidi"/>
          <w:sz w:val="23"/>
          <w:szCs w:val="23"/>
          <w:lang w:val="en-GB"/>
        </w:rPr>
      </w:pPr>
    </w:p>
    <w:p w14:paraId="1E6D5FE3" w14:textId="77777777" w:rsidR="00A60DA1" w:rsidRPr="00E3562B" w:rsidRDefault="00A60DA1" w:rsidP="00A60DA1">
      <w:pPr>
        <w:spacing w:line="240" w:lineRule="auto"/>
        <w:jc w:val="left"/>
        <w:rPr>
          <w:rFonts w:asciiTheme="majorBidi" w:hAnsiTheme="majorBidi" w:cstheme="majorBidi"/>
          <w:sz w:val="23"/>
          <w:szCs w:val="23"/>
          <w:lang w:val="en-GB"/>
        </w:rPr>
      </w:pPr>
    </w:p>
    <w:p w14:paraId="65044CC6" w14:textId="77777777" w:rsidR="00A60DA1" w:rsidRPr="00E3562B" w:rsidRDefault="00A60DA1" w:rsidP="00A60DA1">
      <w:pPr>
        <w:spacing w:line="240" w:lineRule="auto"/>
        <w:jc w:val="left"/>
        <w:rPr>
          <w:rFonts w:asciiTheme="majorBidi" w:hAnsiTheme="majorBidi" w:cstheme="majorBidi"/>
          <w:sz w:val="23"/>
          <w:szCs w:val="23"/>
          <w:lang w:val="en-GB"/>
        </w:rPr>
      </w:pPr>
    </w:p>
    <w:p w14:paraId="71022271" w14:textId="77777777" w:rsidR="00A60DA1" w:rsidRPr="00E3562B" w:rsidRDefault="00A60DA1" w:rsidP="00A60DA1">
      <w:pPr>
        <w:spacing w:line="240" w:lineRule="auto"/>
        <w:jc w:val="left"/>
        <w:rPr>
          <w:rFonts w:asciiTheme="majorBidi" w:hAnsiTheme="majorBidi" w:cstheme="majorBidi"/>
          <w:sz w:val="23"/>
          <w:szCs w:val="23"/>
          <w:lang w:val="en-GB"/>
        </w:rPr>
      </w:pPr>
    </w:p>
    <w:p w14:paraId="79F03312" w14:textId="77777777" w:rsidR="00A60DA1" w:rsidRPr="00E3562B" w:rsidRDefault="00A60DA1" w:rsidP="00A60DA1">
      <w:pPr>
        <w:spacing w:line="240" w:lineRule="auto"/>
        <w:jc w:val="left"/>
        <w:rPr>
          <w:rFonts w:asciiTheme="majorBidi" w:hAnsiTheme="majorBidi" w:cstheme="majorBidi"/>
          <w:sz w:val="23"/>
          <w:szCs w:val="23"/>
          <w:lang w:val="en-GB"/>
        </w:rPr>
      </w:pPr>
    </w:p>
    <w:p w14:paraId="0EE43AA5" w14:textId="77777777" w:rsidR="00A60DA1" w:rsidRPr="00E3562B" w:rsidRDefault="00A60DA1" w:rsidP="00A60DA1">
      <w:pPr>
        <w:spacing w:line="240" w:lineRule="auto"/>
        <w:jc w:val="left"/>
        <w:rPr>
          <w:rFonts w:asciiTheme="majorBidi" w:hAnsiTheme="majorBidi" w:cstheme="majorBidi"/>
          <w:sz w:val="23"/>
          <w:szCs w:val="23"/>
          <w:lang w:val="en-GB"/>
        </w:rPr>
      </w:pPr>
    </w:p>
    <w:p w14:paraId="64AA7E37" w14:textId="77777777" w:rsidR="00A60DA1" w:rsidRPr="00E3562B" w:rsidRDefault="00A60DA1" w:rsidP="00A60DA1">
      <w:pPr>
        <w:spacing w:line="240" w:lineRule="auto"/>
        <w:jc w:val="left"/>
        <w:rPr>
          <w:rFonts w:asciiTheme="majorBidi" w:hAnsiTheme="majorBidi" w:cstheme="majorBidi"/>
          <w:sz w:val="23"/>
          <w:szCs w:val="23"/>
          <w:lang w:val="en-GB"/>
        </w:rPr>
      </w:pPr>
    </w:p>
    <w:p w14:paraId="7BB8FF9C" w14:textId="77777777" w:rsidR="00A60DA1" w:rsidRPr="00E3562B" w:rsidRDefault="00A60DA1" w:rsidP="00A60DA1">
      <w:pPr>
        <w:spacing w:line="240" w:lineRule="auto"/>
        <w:jc w:val="left"/>
        <w:rPr>
          <w:rFonts w:asciiTheme="majorBidi" w:hAnsiTheme="majorBidi" w:cstheme="majorBidi"/>
          <w:sz w:val="23"/>
          <w:szCs w:val="23"/>
          <w:lang w:val="en-GB"/>
        </w:rPr>
      </w:pPr>
    </w:p>
    <w:p w14:paraId="0332F8A4" w14:textId="77777777" w:rsidR="00A60DA1" w:rsidRPr="00E3562B" w:rsidRDefault="00A60DA1" w:rsidP="00A60DA1">
      <w:pPr>
        <w:spacing w:line="240" w:lineRule="auto"/>
        <w:jc w:val="left"/>
        <w:rPr>
          <w:rFonts w:asciiTheme="majorBidi" w:hAnsiTheme="majorBidi" w:cstheme="majorBidi"/>
          <w:sz w:val="23"/>
          <w:szCs w:val="23"/>
          <w:lang w:val="en-GB"/>
        </w:rPr>
      </w:pPr>
    </w:p>
    <w:p w14:paraId="55794D85" w14:textId="77777777" w:rsidR="00A60DA1" w:rsidRPr="00E3562B" w:rsidRDefault="00A60DA1" w:rsidP="00A60DA1">
      <w:pPr>
        <w:spacing w:line="240" w:lineRule="auto"/>
        <w:jc w:val="left"/>
        <w:rPr>
          <w:rFonts w:asciiTheme="majorBidi" w:hAnsiTheme="majorBidi" w:cstheme="majorBidi"/>
          <w:sz w:val="23"/>
          <w:szCs w:val="23"/>
          <w:lang w:val="en-GB"/>
        </w:rPr>
      </w:pPr>
    </w:p>
    <w:p w14:paraId="299FCC06" w14:textId="77777777" w:rsidR="00A60DA1" w:rsidRPr="00E3562B" w:rsidRDefault="00A60DA1" w:rsidP="00A60DA1">
      <w:pPr>
        <w:spacing w:line="240" w:lineRule="auto"/>
        <w:jc w:val="left"/>
        <w:rPr>
          <w:rFonts w:asciiTheme="majorBidi" w:hAnsiTheme="majorBidi" w:cstheme="majorBidi"/>
          <w:sz w:val="23"/>
          <w:szCs w:val="23"/>
          <w:lang w:val="en-GB"/>
        </w:rPr>
      </w:pPr>
    </w:p>
    <w:p w14:paraId="7262D173" w14:textId="77777777" w:rsidR="00A60DA1" w:rsidRPr="00E3562B" w:rsidRDefault="00A60DA1" w:rsidP="00A60DA1">
      <w:pPr>
        <w:spacing w:line="240" w:lineRule="auto"/>
        <w:jc w:val="left"/>
        <w:rPr>
          <w:rFonts w:asciiTheme="majorBidi" w:hAnsiTheme="majorBidi" w:cstheme="majorBidi"/>
          <w:sz w:val="23"/>
          <w:szCs w:val="23"/>
          <w:lang w:val="en-GB"/>
        </w:rPr>
      </w:pPr>
    </w:p>
    <w:p w14:paraId="540A2FB9" w14:textId="77777777" w:rsidR="00A60DA1" w:rsidRPr="00E3562B" w:rsidRDefault="00A60DA1" w:rsidP="00A60DA1">
      <w:pPr>
        <w:spacing w:line="240" w:lineRule="auto"/>
        <w:jc w:val="left"/>
        <w:rPr>
          <w:i/>
          <w:iCs/>
          <w:lang w:val="en-GB"/>
        </w:rPr>
      </w:pPr>
      <w:r w:rsidRPr="00E3562B">
        <w:rPr>
          <w:b/>
          <w:bCs/>
          <w:szCs w:val="24"/>
          <w:lang w:val="en-GB"/>
        </w:rPr>
        <w:lastRenderedPageBreak/>
        <w:t>Table 2.</w:t>
      </w:r>
      <w:r w:rsidRPr="00E3562B">
        <w:rPr>
          <w:rFonts w:asciiTheme="majorBidi" w:hAnsiTheme="majorBidi" w:cstheme="majorBidi"/>
          <w:sz w:val="23"/>
          <w:szCs w:val="23"/>
          <w:lang w:val="en-GB"/>
        </w:rPr>
        <w:t xml:space="preserve"> </w:t>
      </w:r>
      <w:r w:rsidRPr="00E3562B">
        <w:rPr>
          <w:lang w:val="en-GB"/>
        </w:rPr>
        <w:t>Variable definitions</w:t>
      </w:r>
    </w:p>
    <w:p w14:paraId="25D5AB4B" w14:textId="77777777" w:rsidR="00A60DA1" w:rsidRPr="00E3562B" w:rsidRDefault="00A60DA1" w:rsidP="00A60DA1">
      <w:pPr>
        <w:spacing w:line="240" w:lineRule="auto"/>
        <w:jc w:val="left"/>
        <w:rPr>
          <w:i/>
          <w:iCs/>
          <w:lang w:val="en-GB"/>
        </w:rPr>
      </w:pPr>
    </w:p>
    <w:tbl>
      <w:tblPr>
        <w:tblStyle w:val="TableGrid1"/>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1329"/>
        <w:gridCol w:w="6554"/>
      </w:tblGrid>
      <w:tr w:rsidR="005D6588" w:rsidRPr="00E3562B" w14:paraId="310A9653" w14:textId="77777777" w:rsidTr="00294522">
        <w:trPr>
          <w:trHeight w:val="251"/>
        </w:trPr>
        <w:tc>
          <w:tcPr>
            <w:tcW w:w="0" w:type="auto"/>
            <w:tcBorders>
              <w:top w:val="single" w:sz="4" w:space="0" w:color="auto"/>
              <w:left w:val="nil"/>
              <w:bottom w:val="single" w:sz="4" w:space="0" w:color="auto"/>
              <w:right w:val="nil"/>
            </w:tcBorders>
          </w:tcPr>
          <w:p w14:paraId="111922FB" w14:textId="77777777" w:rsidR="00A60DA1" w:rsidRPr="00E3562B" w:rsidRDefault="00A60DA1" w:rsidP="00294522">
            <w:pPr>
              <w:spacing w:line="276" w:lineRule="auto"/>
              <w:jc w:val="left"/>
              <w:rPr>
                <w:rFonts w:asciiTheme="majorBidi" w:hAnsiTheme="majorBidi" w:cstheme="majorBidi"/>
                <w:b/>
                <w:bCs/>
                <w:szCs w:val="22"/>
                <w:lang w:eastAsia="en-GB"/>
              </w:rPr>
            </w:pPr>
            <w:r w:rsidRPr="00E3562B">
              <w:rPr>
                <w:rFonts w:asciiTheme="majorBidi" w:hAnsiTheme="majorBidi" w:cstheme="majorBidi"/>
                <w:szCs w:val="22"/>
              </w:rPr>
              <w:t>Variable</w:t>
            </w:r>
          </w:p>
        </w:tc>
        <w:tc>
          <w:tcPr>
            <w:tcW w:w="0" w:type="auto"/>
            <w:tcBorders>
              <w:top w:val="single" w:sz="4" w:space="0" w:color="auto"/>
              <w:left w:val="nil"/>
              <w:bottom w:val="single" w:sz="4" w:space="0" w:color="auto"/>
              <w:right w:val="nil"/>
            </w:tcBorders>
          </w:tcPr>
          <w:p w14:paraId="0C5FBCA5" w14:textId="77777777" w:rsidR="00A60DA1" w:rsidRPr="00E3562B" w:rsidRDefault="00A60DA1" w:rsidP="00294522">
            <w:pPr>
              <w:spacing w:line="276" w:lineRule="auto"/>
              <w:jc w:val="left"/>
              <w:rPr>
                <w:rFonts w:asciiTheme="majorBidi" w:hAnsiTheme="majorBidi" w:cstheme="majorBidi"/>
                <w:b/>
                <w:bCs/>
                <w:szCs w:val="22"/>
                <w:lang w:eastAsia="en-GB"/>
              </w:rPr>
            </w:pPr>
            <w:r w:rsidRPr="00E3562B">
              <w:rPr>
                <w:rFonts w:asciiTheme="majorBidi" w:hAnsiTheme="majorBidi" w:cstheme="majorBidi"/>
                <w:szCs w:val="22"/>
              </w:rPr>
              <w:t>Symbol</w:t>
            </w:r>
          </w:p>
        </w:tc>
        <w:tc>
          <w:tcPr>
            <w:tcW w:w="6554" w:type="dxa"/>
            <w:tcBorders>
              <w:top w:val="single" w:sz="4" w:space="0" w:color="auto"/>
              <w:left w:val="nil"/>
              <w:bottom w:val="single" w:sz="4" w:space="0" w:color="auto"/>
              <w:right w:val="nil"/>
            </w:tcBorders>
          </w:tcPr>
          <w:p w14:paraId="4FD4C807" w14:textId="77777777" w:rsidR="00A60DA1" w:rsidRPr="00E3562B" w:rsidRDefault="00A60DA1" w:rsidP="00294522">
            <w:pPr>
              <w:spacing w:line="276" w:lineRule="auto"/>
              <w:jc w:val="left"/>
              <w:rPr>
                <w:rFonts w:asciiTheme="majorBidi" w:hAnsiTheme="majorBidi" w:cstheme="majorBidi"/>
                <w:b/>
                <w:bCs/>
                <w:szCs w:val="22"/>
                <w:lang w:eastAsia="en-GB"/>
              </w:rPr>
            </w:pPr>
            <w:r w:rsidRPr="00E3562B">
              <w:rPr>
                <w:rFonts w:asciiTheme="majorBidi" w:hAnsiTheme="majorBidi" w:cstheme="majorBidi"/>
                <w:szCs w:val="22"/>
              </w:rPr>
              <w:t>Description</w:t>
            </w:r>
          </w:p>
        </w:tc>
      </w:tr>
      <w:tr w:rsidR="005D6588" w:rsidRPr="00E3562B" w14:paraId="551807C4" w14:textId="77777777" w:rsidTr="00294522">
        <w:trPr>
          <w:trHeight w:val="975"/>
        </w:trPr>
        <w:tc>
          <w:tcPr>
            <w:tcW w:w="0" w:type="auto"/>
            <w:tcBorders>
              <w:top w:val="single" w:sz="4" w:space="0" w:color="auto"/>
            </w:tcBorders>
            <w:hideMark/>
          </w:tcPr>
          <w:p w14:paraId="7E35C990"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Modern Slavery Disclosure Index</w:t>
            </w:r>
          </w:p>
        </w:tc>
        <w:tc>
          <w:tcPr>
            <w:tcW w:w="0" w:type="auto"/>
            <w:tcBorders>
              <w:top w:val="single" w:sz="4" w:space="0" w:color="auto"/>
              <w:left w:val="nil"/>
              <w:bottom w:val="nil"/>
              <w:right w:val="nil"/>
            </w:tcBorders>
            <w:hideMark/>
          </w:tcPr>
          <w:p w14:paraId="70828A3A"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MSDI</w:t>
            </w:r>
          </w:p>
        </w:tc>
        <w:tc>
          <w:tcPr>
            <w:tcW w:w="6554" w:type="dxa"/>
            <w:tcBorders>
              <w:top w:val="single" w:sz="4" w:space="0" w:color="auto"/>
            </w:tcBorders>
            <w:hideMark/>
          </w:tcPr>
          <w:p w14:paraId="5AFDC915"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Comprises 46 items across seven categories outlined in the UK Modern Slavery Act 2015: (1) Organisation Structure; (2) Policies; (3) Due Diligence Processes; (4) Risk Assessment and Management; (5) Effectiveness and KPIs; (6) Training; (7) Additional Features. Each item is scored between 0 and 1, with a total possible score ranging from 0% to 100%.</w:t>
            </w:r>
          </w:p>
        </w:tc>
      </w:tr>
      <w:tr w:rsidR="005D6588" w:rsidRPr="00E3562B" w14:paraId="716140E7" w14:textId="77777777" w:rsidTr="00294522">
        <w:trPr>
          <w:trHeight w:val="251"/>
        </w:trPr>
        <w:tc>
          <w:tcPr>
            <w:tcW w:w="0" w:type="auto"/>
            <w:hideMark/>
          </w:tcPr>
          <w:p w14:paraId="15EEBB94"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CEO Duality</w:t>
            </w:r>
          </w:p>
        </w:tc>
        <w:tc>
          <w:tcPr>
            <w:tcW w:w="0" w:type="auto"/>
            <w:hideMark/>
          </w:tcPr>
          <w:p w14:paraId="029EDA49"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DUALITY</w:t>
            </w:r>
          </w:p>
        </w:tc>
        <w:tc>
          <w:tcPr>
            <w:tcW w:w="6554" w:type="dxa"/>
            <w:hideMark/>
          </w:tcPr>
          <w:p w14:paraId="2328DADE"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A binary variable: 1 if the CEO is also the chairman, 0 otherwise.</w:t>
            </w:r>
          </w:p>
        </w:tc>
      </w:tr>
      <w:tr w:rsidR="005D6588" w:rsidRPr="00E3562B" w14:paraId="5E64EB23" w14:textId="77777777" w:rsidTr="00294522">
        <w:trPr>
          <w:trHeight w:val="482"/>
        </w:trPr>
        <w:tc>
          <w:tcPr>
            <w:tcW w:w="0" w:type="auto"/>
            <w:hideMark/>
          </w:tcPr>
          <w:p w14:paraId="3B03CEFC"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Executives on Board</w:t>
            </w:r>
          </w:p>
        </w:tc>
        <w:tc>
          <w:tcPr>
            <w:tcW w:w="0" w:type="auto"/>
            <w:hideMark/>
          </w:tcPr>
          <w:p w14:paraId="1C287723"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EXEC</w:t>
            </w:r>
          </w:p>
        </w:tc>
        <w:tc>
          <w:tcPr>
            <w:tcW w:w="6554" w:type="dxa"/>
            <w:hideMark/>
          </w:tcPr>
          <w:p w14:paraId="576F282B"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A binary variable: 1 if the proportion of executives on the board is above the median, 0 otherwise.</w:t>
            </w:r>
          </w:p>
        </w:tc>
      </w:tr>
      <w:tr w:rsidR="005D6588" w:rsidRPr="00E3562B" w14:paraId="2A0344A3" w14:textId="77777777" w:rsidTr="00294522">
        <w:trPr>
          <w:trHeight w:val="251"/>
        </w:trPr>
        <w:tc>
          <w:tcPr>
            <w:tcW w:w="0" w:type="auto"/>
            <w:hideMark/>
          </w:tcPr>
          <w:p w14:paraId="609D7EAC"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CEO Power Index</w:t>
            </w:r>
          </w:p>
        </w:tc>
        <w:tc>
          <w:tcPr>
            <w:tcW w:w="0" w:type="auto"/>
            <w:hideMark/>
          </w:tcPr>
          <w:p w14:paraId="151167FA"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CEOP</w:t>
            </w:r>
          </w:p>
        </w:tc>
        <w:tc>
          <w:tcPr>
            <w:tcW w:w="6554" w:type="dxa"/>
            <w:hideMark/>
          </w:tcPr>
          <w:p w14:paraId="57CE8CFA"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Combines the DUALITY and EXEC variables to represent CEO power.</w:t>
            </w:r>
          </w:p>
        </w:tc>
      </w:tr>
      <w:tr w:rsidR="005D6588" w:rsidRPr="00E3562B" w14:paraId="3E90F9C0" w14:textId="77777777" w:rsidTr="00294522">
        <w:trPr>
          <w:trHeight w:val="492"/>
        </w:trPr>
        <w:tc>
          <w:tcPr>
            <w:tcW w:w="0" w:type="auto"/>
            <w:hideMark/>
          </w:tcPr>
          <w:p w14:paraId="5A6CF7AE"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Board Gender Diversity</w:t>
            </w:r>
          </w:p>
        </w:tc>
        <w:tc>
          <w:tcPr>
            <w:tcW w:w="0" w:type="auto"/>
            <w:hideMark/>
          </w:tcPr>
          <w:p w14:paraId="2166BF94"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BGD</w:t>
            </w:r>
          </w:p>
        </w:tc>
        <w:tc>
          <w:tcPr>
            <w:tcW w:w="6554" w:type="dxa"/>
            <w:hideMark/>
          </w:tcPr>
          <w:p w14:paraId="7DD063C8"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The percentage of female directors on the board.</w:t>
            </w:r>
          </w:p>
        </w:tc>
      </w:tr>
      <w:tr w:rsidR="005D6588" w:rsidRPr="00E3562B" w14:paraId="7CE50237" w14:textId="77777777" w:rsidTr="00294522">
        <w:trPr>
          <w:trHeight w:val="1060"/>
        </w:trPr>
        <w:tc>
          <w:tcPr>
            <w:tcW w:w="0" w:type="auto"/>
            <w:hideMark/>
          </w:tcPr>
          <w:p w14:paraId="5ACA0B99"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Blau’s Index of Diversity</w:t>
            </w:r>
          </w:p>
        </w:tc>
        <w:tc>
          <w:tcPr>
            <w:tcW w:w="0" w:type="auto"/>
            <w:hideMark/>
          </w:tcPr>
          <w:p w14:paraId="142BC60D"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BLAU</w:t>
            </w:r>
          </w:p>
        </w:tc>
        <w:tc>
          <w:tcPr>
            <w:tcW w:w="6554" w:type="dxa"/>
            <w:hideMark/>
          </w:tcPr>
          <w:p w14:paraId="6E598F8D" w14:textId="6F56FB42" w:rsidR="00A60DA1" w:rsidRPr="00E3562B" w:rsidRDefault="00A60DA1" w:rsidP="00294522">
            <w:pPr>
              <w:spacing w:line="276" w:lineRule="auto"/>
              <w:jc w:val="left"/>
              <w:rPr>
                <w:rFonts w:asciiTheme="majorBidi" w:eastAsia="MS Mincho" w:hAnsiTheme="majorBidi" w:cstheme="majorBidi"/>
                <w:szCs w:val="22"/>
              </w:rPr>
            </w:pPr>
            <w:r w:rsidRPr="00E3562B">
              <w:rPr>
                <w:rFonts w:asciiTheme="majorBidi" w:hAnsiTheme="majorBidi" w:cstheme="majorBidi"/>
                <w:szCs w:val="22"/>
                <w:lang w:eastAsia="en-GB"/>
              </w:rPr>
              <w:t xml:space="preserve">Blau's Index for </w:t>
            </w:r>
            <w:r w:rsidR="00397D1B" w:rsidRPr="00E3562B">
              <w:rPr>
                <w:rFonts w:asciiTheme="majorBidi" w:hAnsiTheme="majorBidi" w:cstheme="majorBidi"/>
                <w:szCs w:val="22"/>
                <w:lang w:eastAsia="en-GB"/>
              </w:rPr>
              <w:t>BGD</w:t>
            </w:r>
            <w:r w:rsidRPr="00E3562B">
              <w:rPr>
                <w:rFonts w:asciiTheme="majorBidi" w:hAnsiTheme="majorBidi" w:cstheme="majorBidi"/>
                <w:szCs w:val="22"/>
                <w:lang w:eastAsia="en-GB"/>
              </w:rPr>
              <w:t xml:space="preserve"> is calculated as: </w:t>
            </w:r>
            <m:oMath>
              <m:r>
                <w:rPr>
                  <w:rFonts w:ascii="Cambria Math" w:eastAsia="MS Mincho" w:hAnsi="Cambria Math" w:cstheme="majorBidi"/>
                  <w:szCs w:val="22"/>
                </w:rPr>
                <m:t>1-</m:t>
              </m:r>
              <m:nary>
                <m:naryPr>
                  <m:chr m:val="∑"/>
                  <m:limLoc m:val="undOvr"/>
                  <m:ctrlPr>
                    <w:rPr>
                      <w:rFonts w:ascii="Cambria Math" w:hAnsi="Cambria Math" w:cstheme="majorBidi"/>
                      <w:szCs w:val="22"/>
                    </w:rPr>
                  </m:ctrlPr>
                </m:naryPr>
                <m:sub>
                  <m:r>
                    <w:rPr>
                      <w:rFonts w:ascii="Cambria Math" w:hAnsi="Cambria Math" w:cstheme="majorBidi"/>
                      <w:szCs w:val="22"/>
                      <w:lang w:eastAsia="en-GB"/>
                    </w:rPr>
                    <m:t>i</m:t>
                  </m:r>
                  <m:r>
                    <m:rPr>
                      <m:sty m:val="p"/>
                    </m:rPr>
                    <w:rPr>
                      <w:rFonts w:ascii="Cambria Math" w:hAnsi="Cambria Math" w:cstheme="majorBidi"/>
                      <w:szCs w:val="22"/>
                      <w:lang w:eastAsia="en-GB"/>
                    </w:rPr>
                    <m:t>=1</m:t>
                  </m:r>
                </m:sub>
                <m:sup>
                  <m:r>
                    <m:rPr>
                      <m:sty m:val="p"/>
                    </m:rPr>
                    <w:rPr>
                      <w:rFonts w:ascii="Cambria Math" w:hAnsi="Cambria Math" w:cstheme="majorBidi"/>
                      <w:szCs w:val="22"/>
                      <w:lang w:eastAsia="en-GB"/>
                    </w:rPr>
                    <m:t>n</m:t>
                  </m:r>
                </m:sup>
                <m:e>
                  <m:sSubSup>
                    <m:sSubSupPr>
                      <m:ctrlPr>
                        <w:rPr>
                          <w:rFonts w:ascii="Cambria Math" w:hAnsi="Cambria Math" w:cstheme="majorBidi"/>
                          <w:bCs/>
                          <w:szCs w:val="22"/>
                        </w:rPr>
                      </m:ctrlPr>
                    </m:sSubSupPr>
                    <m:e>
                      <m:r>
                        <w:rPr>
                          <w:rFonts w:ascii="Cambria Math" w:hAnsi="Cambria Math" w:cstheme="majorBidi"/>
                          <w:szCs w:val="22"/>
                          <w:lang w:eastAsia="en-GB"/>
                        </w:rPr>
                        <m:t>P</m:t>
                      </m:r>
                    </m:e>
                    <m:sub>
                      <m:r>
                        <w:rPr>
                          <w:rFonts w:ascii="Cambria Math" w:hAnsi="Cambria Math" w:cstheme="majorBidi"/>
                          <w:szCs w:val="22"/>
                          <w:lang w:eastAsia="en-GB"/>
                        </w:rPr>
                        <m:t>i</m:t>
                      </m:r>
                    </m:sub>
                    <m:sup>
                      <m:r>
                        <w:rPr>
                          <w:rFonts w:ascii="Cambria Math" w:hAnsi="Cambria Math" w:cstheme="majorBidi"/>
                          <w:szCs w:val="22"/>
                          <w:lang w:eastAsia="en-GB"/>
                        </w:rPr>
                        <m:t>2</m:t>
                      </m:r>
                    </m:sup>
                  </m:sSubSup>
                  <m:r>
                    <m:rPr>
                      <m:sty m:val="p"/>
                    </m:rPr>
                    <w:rPr>
                      <w:rFonts w:ascii="Cambria Math" w:hAnsi="Cambria Math" w:cstheme="majorBidi"/>
                      <w:szCs w:val="22"/>
                      <w:lang w:eastAsia="en-GB"/>
                    </w:rPr>
                    <m:t xml:space="preserve"> </m:t>
                  </m:r>
                </m:e>
              </m:nary>
            </m:oMath>
            <w:r w:rsidRPr="00E3562B">
              <w:rPr>
                <w:rFonts w:asciiTheme="majorBidi" w:eastAsia="MS Mincho" w:hAnsiTheme="majorBidi" w:cstheme="majorBidi"/>
                <w:szCs w:val="22"/>
              </w:rPr>
              <w:t>, where</w:t>
            </w:r>
            <w:r w:rsidRPr="00E3562B">
              <w:rPr>
                <w:rFonts w:asciiTheme="majorBidi" w:hAnsiTheme="majorBidi" w:cstheme="majorBidi"/>
                <w:szCs w:val="22"/>
              </w:rPr>
              <w:t xml:space="preserve"> </w:t>
            </w:r>
            <w:r w:rsidRPr="00E3562B">
              <w:rPr>
                <w:rFonts w:asciiTheme="majorBidi" w:eastAsia="MS Mincho" w:hAnsiTheme="majorBidi" w:cstheme="majorBidi"/>
                <w:i/>
                <w:iCs/>
                <w:szCs w:val="22"/>
              </w:rPr>
              <w:t>n</w:t>
            </w:r>
            <w:r w:rsidRPr="00E3562B">
              <w:rPr>
                <w:rFonts w:asciiTheme="majorBidi" w:eastAsia="MS Mincho" w:hAnsiTheme="majorBidi" w:cstheme="majorBidi"/>
                <w:szCs w:val="22"/>
              </w:rPr>
              <w:t xml:space="preserve"> is the number of categories (i.e., male and female), and  </w:t>
            </w:r>
            <m:oMath>
              <m:sSub>
                <m:sSubPr>
                  <m:ctrlPr>
                    <w:rPr>
                      <w:rFonts w:ascii="Cambria Math" w:hAnsi="Cambria Math" w:cstheme="majorBidi"/>
                      <w:bCs/>
                      <w:szCs w:val="22"/>
                    </w:rPr>
                  </m:ctrlPr>
                </m:sSubPr>
                <m:e>
                  <m:r>
                    <w:rPr>
                      <w:rFonts w:ascii="Cambria Math" w:hAnsi="Cambria Math" w:cstheme="majorBidi"/>
                      <w:szCs w:val="22"/>
                      <w:lang w:eastAsia="en-GB"/>
                    </w:rPr>
                    <m:t>P</m:t>
                  </m:r>
                </m:e>
                <m:sub>
                  <m:r>
                    <w:rPr>
                      <w:rFonts w:ascii="Cambria Math" w:hAnsi="Cambria Math" w:cstheme="majorBidi"/>
                      <w:szCs w:val="22"/>
                      <w:lang w:eastAsia="en-GB"/>
                    </w:rPr>
                    <m:t>i</m:t>
                  </m:r>
                </m:sub>
              </m:sSub>
            </m:oMath>
            <w:r w:rsidRPr="00E3562B">
              <w:rPr>
                <w:rFonts w:asciiTheme="majorBidi" w:eastAsia="MS Mincho" w:hAnsiTheme="majorBidi" w:cstheme="majorBidi"/>
                <w:szCs w:val="22"/>
              </w:rPr>
              <w:t xml:space="preserve"> is the proportion of board members in each category. The index ranges from 0 to 0.5, with higher scores indicating greater gender diversity.</w:t>
            </w:r>
          </w:p>
        </w:tc>
      </w:tr>
      <w:tr w:rsidR="005D6588" w:rsidRPr="00E3562B" w14:paraId="624EB1C8" w14:textId="77777777" w:rsidTr="00294522">
        <w:trPr>
          <w:trHeight w:val="492"/>
        </w:trPr>
        <w:tc>
          <w:tcPr>
            <w:tcW w:w="0" w:type="auto"/>
            <w:hideMark/>
          </w:tcPr>
          <w:p w14:paraId="7892EAB1"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Female Director ≤10%</w:t>
            </w:r>
          </w:p>
        </w:tc>
        <w:tc>
          <w:tcPr>
            <w:tcW w:w="0" w:type="auto"/>
            <w:hideMark/>
          </w:tcPr>
          <w:p w14:paraId="37428C1A"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FD1</w:t>
            </w:r>
          </w:p>
        </w:tc>
        <w:tc>
          <w:tcPr>
            <w:tcW w:w="6554" w:type="dxa"/>
            <w:hideMark/>
          </w:tcPr>
          <w:p w14:paraId="0F058868"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A binary variable: 1 if the percentage of female directors</w:t>
            </w:r>
            <w:r w:rsidRPr="00E3562B">
              <w:t xml:space="preserve"> </w:t>
            </w:r>
            <w:r w:rsidRPr="00E3562B">
              <w:rPr>
                <w:rFonts w:asciiTheme="majorBidi" w:hAnsiTheme="majorBidi" w:cstheme="majorBidi"/>
                <w:szCs w:val="22"/>
                <w:lang w:eastAsia="en-GB"/>
              </w:rPr>
              <w:t>on the board is ≤10%, 0 otherwise.</w:t>
            </w:r>
          </w:p>
        </w:tc>
      </w:tr>
      <w:tr w:rsidR="005D6588" w:rsidRPr="00E3562B" w14:paraId="338A84CD" w14:textId="77777777" w:rsidTr="00294522">
        <w:trPr>
          <w:trHeight w:val="482"/>
        </w:trPr>
        <w:tc>
          <w:tcPr>
            <w:tcW w:w="0" w:type="auto"/>
            <w:hideMark/>
          </w:tcPr>
          <w:p w14:paraId="000721BF"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Female Directors 10%-20%</w:t>
            </w:r>
          </w:p>
        </w:tc>
        <w:tc>
          <w:tcPr>
            <w:tcW w:w="0" w:type="auto"/>
            <w:hideMark/>
          </w:tcPr>
          <w:p w14:paraId="2CA658EE"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FD2</w:t>
            </w:r>
          </w:p>
        </w:tc>
        <w:tc>
          <w:tcPr>
            <w:tcW w:w="6554" w:type="dxa"/>
            <w:hideMark/>
          </w:tcPr>
          <w:p w14:paraId="04AE7350"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A binary variable: 1 if the percentage of female directors on the board ranges between 10% and 20%, 0 otherwise.</w:t>
            </w:r>
          </w:p>
        </w:tc>
      </w:tr>
      <w:tr w:rsidR="005D6588" w:rsidRPr="00E3562B" w14:paraId="25ED54AD" w14:textId="77777777" w:rsidTr="00294522">
        <w:trPr>
          <w:trHeight w:val="482"/>
        </w:trPr>
        <w:tc>
          <w:tcPr>
            <w:tcW w:w="0" w:type="auto"/>
            <w:hideMark/>
          </w:tcPr>
          <w:p w14:paraId="641583E9"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Female Directors 20%-30%</w:t>
            </w:r>
          </w:p>
        </w:tc>
        <w:tc>
          <w:tcPr>
            <w:tcW w:w="0" w:type="auto"/>
            <w:hideMark/>
          </w:tcPr>
          <w:p w14:paraId="287280E0"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FD3</w:t>
            </w:r>
          </w:p>
        </w:tc>
        <w:tc>
          <w:tcPr>
            <w:tcW w:w="6554" w:type="dxa"/>
            <w:hideMark/>
          </w:tcPr>
          <w:p w14:paraId="4BC6D52F"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A binary variable: 1 if the percentage of female directors</w:t>
            </w:r>
            <w:r w:rsidRPr="00E3562B">
              <w:t xml:space="preserve"> </w:t>
            </w:r>
            <w:r w:rsidRPr="00E3562B">
              <w:rPr>
                <w:rFonts w:asciiTheme="majorBidi" w:hAnsiTheme="majorBidi" w:cstheme="majorBidi"/>
                <w:szCs w:val="22"/>
                <w:lang w:eastAsia="en-GB"/>
              </w:rPr>
              <w:t>on the board ranges between 20% and 30%, 0 otherwise.</w:t>
            </w:r>
          </w:p>
        </w:tc>
      </w:tr>
      <w:tr w:rsidR="005D6588" w:rsidRPr="00E3562B" w14:paraId="4A31446E" w14:textId="77777777" w:rsidTr="00294522">
        <w:trPr>
          <w:trHeight w:val="482"/>
        </w:trPr>
        <w:tc>
          <w:tcPr>
            <w:tcW w:w="0" w:type="auto"/>
            <w:hideMark/>
          </w:tcPr>
          <w:p w14:paraId="1CD63A34"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Female Directors &gt;30%</w:t>
            </w:r>
          </w:p>
        </w:tc>
        <w:tc>
          <w:tcPr>
            <w:tcW w:w="0" w:type="auto"/>
            <w:hideMark/>
          </w:tcPr>
          <w:p w14:paraId="6183B00F"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FD4</w:t>
            </w:r>
          </w:p>
        </w:tc>
        <w:tc>
          <w:tcPr>
            <w:tcW w:w="6554" w:type="dxa"/>
            <w:hideMark/>
          </w:tcPr>
          <w:p w14:paraId="1406211E"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A binary variable: 1 if the percentage of female directors on the board is greater than 30%, 0 otherwise.</w:t>
            </w:r>
          </w:p>
        </w:tc>
      </w:tr>
      <w:tr w:rsidR="005D6588" w:rsidRPr="00E3562B" w14:paraId="5F1802C2" w14:textId="77777777" w:rsidTr="00294522">
        <w:trPr>
          <w:trHeight w:val="261"/>
        </w:trPr>
        <w:tc>
          <w:tcPr>
            <w:tcW w:w="0" w:type="auto"/>
            <w:hideMark/>
          </w:tcPr>
          <w:p w14:paraId="5F1B0334"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Company Size</w:t>
            </w:r>
          </w:p>
        </w:tc>
        <w:tc>
          <w:tcPr>
            <w:tcW w:w="0" w:type="auto"/>
            <w:hideMark/>
          </w:tcPr>
          <w:p w14:paraId="2A56DA87"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FSIZE</w:t>
            </w:r>
          </w:p>
        </w:tc>
        <w:tc>
          <w:tcPr>
            <w:tcW w:w="6554" w:type="dxa"/>
            <w:hideMark/>
          </w:tcPr>
          <w:p w14:paraId="610A3173"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The natural logarithm of the company's total assets.</w:t>
            </w:r>
          </w:p>
        </w:tc>
      </w:tr>
      <w:tr w:rsidR="005D6588" w:rsidRPr="00E3562B" w14:paraId="6D4ACCFD" w14:textId="77777777" w:rsidTr="00294522">
        <w:trPr>
          <w:trHeight w:val="251"/>
        </w:trPr>
        <w:tc>
          <w:tcPr>
            <w:tcW w:w="0" w:type="auto"/>
            <w:hideMark/>
          </w:tcPr>
          <w:p w14:paraId="372EC197"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Profitability</w:t>
            </w:r>
          </w:p>
        </w:tc>
        <w:tc>
          <w:tcPr>
            <w:tcW w:w="0" w:type="auto"/>
            <w:hideMark/>
          </w:tcPr>
          <w:p w14:paraId="17C59407"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ROA</w:t>
            </w:r>
          </w:p>
        </w:tc>
        <w:tc>
          <w:tcPr>
            <w:tcW w:w="6554" w:type="dxa"/>
            <w:hideMark/>
          </w:tcPr>
          <w:p w14:paraId="11CC7FAD"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The ratio of net income to total assets (Return on Assets).</w:t>
            </w:r>
          </w:p>
        </w:tc>
      </w:tr>
      <w:tr w:rsidR="005D6588" w:rsidRPr="00E3562B" w14:paraId="10271AF4" w14:textId="77777777" w:rsidTr="00294522">
        <w:trPr>
          <w:trHeight w:val="251"/>
        </w:trPr>
        <w:tc>
          <w:tcPr>
            <w:tcW w:w="0" w:type="auto"/>
            <w:hideMark/>
          </w:tcPr>
          <w:p w14:paraId="69A6E824"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Leverage</w:t>
            </w:r>
          </w:p>
        </w:tc>
        <w:tc>
          <w:tcPr>
            <w:tcW w:w="0" w:type="auto"/>
            <w:hideMark/>
          </w:tcPr>
          <w:p w14:paraId="43248C03"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LEV</w:t>
            </w:r>
          </w:p>
        </w:tc>
        <w:tc>
          <w:tcPr>
            <w:tcW w:w="6554" w:type="dxa"/>
            <w:hideMark/>
          </w:tcPr>
          <w:p w14:paraId="6C1C2E3F"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The ratio of total debt to total assets.</w:t>
            </w:r>
          </w:p>
        </w:tc>
      </w:tr>
      <w:tr w:rsidR="005D6588" w:rsidRPr="00E3562B" w14:paraId="78E97FE6" w14:textId="77777777" w:rsidTr="00294522">
        <w:trPr>
          <w:trHeight w:val="251"/>
        </w:trPr>
        <w:tc>
          <w:tcPr>
            <w:tcW w:w="0" w:type="auto"/>
            <w:hideMark/>
          </w:tcPr>
          <w:p w14:paraId="4741C40E"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Board Size</w:t>
            </w:r>
          </w:p>
        </w:tc>
        <w:tc>
          <w:tcPr>
            <w:tcW w:w="0" w:type="auto"/>
            <w:hideMark/>
          </w:tcPr>
          <w:p w14:paraId="410B1684"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BSIZE</w:t>
            </w:r>
          </w:p>
        </w:tc>
        <w:tc>
          <w:tcPr>
            <w:tcW w:w="6554" w:type="dxa"/>
            <w:hideMark/>
          </w:tcPr>
          <w:p w14:paraId="616BA017"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The number of directors on the board.</w:t>
            </w:r>
          </w:p>
        </w:tc>
      </w:tr>
      <w:tr w:rsidR="005D6588" w:rsidRPr="00E3562B" w14:paraId="4E316D74" w14:textId="77777777" w:rsidTr="00294522">
        <w:trPr>
          <w:trHeight w:val="482"/>
        </w:trPr>
        <w:tc>
          <w:tcPr>
            <w:tcW w:w="0" w:type="auto"/>
            <w:hideMark/>
          </w:tcPr>
          <w:p w14:paraId="30DC89D3"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Board Independence</w:t>
            </w:r>
          </w:p>
        </w:tc>
        <w:tc>
          <w:tcPr>
            <w:tcW w:w="0" w:type="auto"/>
            <w:hideMark/>
          </w:tcPr>
          <w:p w14:paraId="17A03374"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BINDE</w:t>
            </w:r>
          </w:p>
        </w:tc>
        <w:tc>
          <w:tcPr>
            <w:tcW w:w="6554" w:type="dxa"/>
            <w:hideMark/>
          </w:tcPr>
          <w:p w14:paraId="77E2ADC6"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The percentage of independent directors on the company's board.</w:t>
            </w:r>
          </w:p>
        </w:tc>
      </w:tr>
      <w:tr w:rsidR="005D6588" w:rsidRPr="00E3562B" w14:paraId="1D55250F" w14:textId="77777777" w:rsidTr="00294522">
        <w:trPr>
          <w:trHeight w:val="492"/>
        </w:trPr>
        <w:tc>
          <w:tcPr>
            <w:tcW w:w="0" w:type="auto"/>
            <w:hideMark/>
          </w:tcPr>
          <w:p w14:paraId="5940E3F7"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Growth Opportunities</w:t>
            </w:r>
          </w:p>
        </w:tc>
        <w:tc>
          <w:tcPr>
            <w:tcW w:w="0" w:type="auto"/>
            <w:hideMark/>
          </w:tcPr>
          <w:p w14:paraId="297658FE"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MTBV</w:t>
            </w:r>
          </w:p>
        </w:tc>
        <w:tc>
          <w:tcPr>
            <w:tcW w:w="6554" w:type="dxa"/>
            <w:hideMark/>
          </w:tcPr>
          <w:p w14:paraId="3C40CF15"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The ratio of market value to book value of equity.</w:t>
            </w:r>
          </w:p>
        </w:tc>
      </w:tr>
      <w:tr w:rsidR="005D6588" w:rsidRPr="00E3562B" w14:paraId="02BA339F" w14:textId="77777777" w:rsidTr="00294522">
        <w:trPr>
          <w:trHeight w:val="285"/>
        </w:trPr>
        <w:tc>
          <w:tcPr>
            <w:tcW w:w="0" w:type="auto"/>
            <w:hideMark/>
          </w:tcPr>
          <w:p w14:paraId="667B6E6A"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CSR Committee</w:t>
            </w:r>
          </w:p>
        </w:tc>
        <w:tc>
          <w:tcPr>
            <w:tcW w:w="0" w:type="auto"/>
            <w:hideMark/>
          </w:tcPr>
          <w:p w14:paraId="2847BAAA"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CSRCOM</w:t>
            </w:r>
          </w:p>
        </w:tc>
        <w:tc>
          <w:tcPr>
            <w:tcW w:w="6554" w:type="dxa"/>
            <w:hideMark/>
          </w:tcPr>
          <w:p w14:paraId="62D0E3A6"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A binary variable: 1 if the company has a CSR committee, 0 otherwise.</w:t>
            </w:r>
          </w:p>
        </w:tc>
      </w:tr>
      <w:tr w:rsidR="005D6588" w:rsidRPr="00E3562B" w14:paraId="516A8C61" w14:textId="77777777" w:rsidTr="00294522">
        <w:trPr>
          <w:trHeight w:val="482"/>
        </w:trPr>
        <w:tc>
          <w:tcPr>
            <w:tcW w:w="0" w:type="auto"/>
            <w:hideMark/>
          </w:tcPr>
          <w:p w14:paraId="3C5B05D9"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Industry</w:t>
            </w:r>
          </w:p>
        </w:tc>
        <w:tc>
          <w:tcPr>
            <w:tcW w:w="0" w:type="auto"/>
            <w:hideMark/>
          </w:tcPr>
          <w:p w14:paraId="0AFC1A53"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INDUSTRY</w:t>
            </w:r>
          </w:p>
        </w:tc>
        <w:tc>
          <w:tcPr>
            <w:tcW w:w="6554" w:type="dxa"/>
            <w:hideMark/>
          </w:tcPr>
          <w:p w14:paraId="048A8705"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Dummy variables representing 10 industries based on the Industry Classification Benchmark, to control for industry effects.</w:t>
            </w:r>
          </w:p>
        </w:tc>
      </w:tr>
      <w:tr w:rsidR="00A60DA1" w:rsidRPr="00E3562B" w14:paraId="4616A02C" w14:textId="77777777" w:rsidTr="00294522">
        <w:trPr>
          <w:trHeight w:val="251"/>
        </w:trPr>
        <w:tc>
          <w:tcPr>
            <w:tcW w:w="0" w:type="auto"/>
            <w:hideMark/>
          </w:tcPr>
          <w:p w14:paraId="7F983C9A"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Year</w:t>
            </w:r>
          </w:p>
        </w:tc>
        <w:tc>
          <w:tcPr>
            <w:tcW w:w="0" w:type="auto"/>
            <w:tcBorders>
              <w:top w:val="nil"/>
              <w:left w:val="nil"/>
              <w:bottom w:val="single" w:sz="4" w:space="0" w:color="auto"/>
              <w:right w:val="nil"/>
            </w:tcBorders>
            <w:hideMark/>
          </w:tcPr>
          <w:p w14:paraId="0E59D835"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rPr>
              <w:t>YEAR</w:t>
            </w:r>
          </w:p>
        </w:tc>
        <w:tc>
          <w:tcPr>
            <w:tcW w:w="6554" w:type="dxa"/>
            <w:hideMark/>
          </w:tcPr>
          <w:p w14:paraId="27C83143" w14:textId="77777777" w:rsidR="00A60DA1" w:rsidRPr="00E3562B" w:rsidRDefault="00A60DA1" w:rsidP="00294522">
            <w:pPr>
              <w:spacing w:line="276" w:lineRule="auto"/>
              <w:jc w:val="left"/>
              <w:rPr>
                <w:rFonts w:asciiTheme="majorBidi" w:hAnsiTheme="majorBidi" w:cstheme="majorBidi"/>
                <w:szCs w:val="22"/>
                <w:lang w:eastAsia="en-GB"/>
              </w:rPr>
            </w:pPr>
            <w:r w:rsidRPr="00E3562B">
              <w:rPr>
                <w:rFonts w:asciiTheme="majorBidi" w:hAnsiTheme="majorBidi" w:cstheme="majorBidi"/>
                <w:szCs w:val="22"/>
                <w:lang w:eastAsia="en-GB"/>
              </w:rPr>
              <w:t>Dummy variables to control for year effects.</w:t>
            </w:r>
          </w:p>
        </w:tc>
      </w:tr>
    </w:tbl>
    <w:p w14:paraId="6D0B80BD" w14:textId="77777777" w:rsidR="00A60DA1" w:rsidRPr="00E3562B" w:rsidRDefault="00A60DA1" w:rsidP="00A60DA1">
      <w:pPr>
        <w:spacing w:line="240" w:lineRule="auto"/>
        <w:jc w:val="left"/>
        <w:rPr>
          <w:i/>
          <w:iCs/>
          <w:lang w:val="en-GB"/>
        </w:rPr>
      </w:pPr>
    </w:p>
    <w:p w14:paraId="6D56BACF" w14:textId="77777777" w:rsidR="00A60DA1" w:rsidRPr="00E3562B" w:rsidRDefault="00A60DA1" w:rsidP="00A60DA1">
      <w:pPr>
        <w:spacing w:line="240" w:lineRule="auto"/>
        <w:jc w:val="left"/>
        <w:rPr>
          <w:i/>
          <w:iCs/>
          <w:lang w:val="en-GB"/>
        </w:rPr>
      </w:pPr>
    </w:p>
    <w:p w14:paraId="3349839F" w14:textId="77777777" w:rsidR="00A60DA1" w:rsidRPr="00E3562B" w:rsidRDefault="00A60DA1" w:rsidP="00A60DA1">
      <w:pPr>
        <w:rPr>
          <w:b/>
          <w:bCs/>
          <w:sz w:val="20"/>
          <w:szCs w:val="15"/>
          <w:lang w:val="en-GB"/>
        </w:rPr>
      </w:pPr>
    </w:p>
    <w:p w14:paraId="264B3E4F" w14:textId="77777777" w:rsidR="00A60DA1" w:rsidRPr="00E3562B" w:rsidRDefault="00A60DA1" w:rsidP="00A60DA1">
      <w:pPr>
        <w:spacing w:line="240" w:lineRule="auto"/>
        <w:jc w:val="left"/>
        <w:rPr>
          <w:rFonts w:asciiTheme="majorBidi" w:hAnsiTheme="majorBidi" w:cstheme="majorBidi"/>
          <w:sz w:val="23"/>
          <w:szCs w:val="23"/>
          <w:lang w:val="en-GB"/>
        </w:rPr>
      </w:pPr>
    </w:p>
    <w:p w14:paraId="2FA2247B" w14:textId="77777777" w:rsidR="00A60DA1" w:rsidRPr="00E3562B" w:rsidRDefault="00A60DA1" w:rsidP="00A60DA1">
      <w:pPr>
        <w:spacing w:line="240" w:lineRule="auto"/>
        <w:jc w:val="left"/>
        <w:rPr>
          <w:rFonts w:asciiTheme="majorBidi" w:hAnsiTheme="majorBidi" w:cstheme="majorBidi"/>
          <w:sz w:val="23"/>
          <w:szCs w:val="23"/>
          <w:lang w:val="en-GB"/>
        </w:rPr>
      </w:pPr>
    </w:p>
    <w:p w14:paraId="7A5E5CF8" w14:textId="77777777" w:rsidR="00A60DA1" w:rsidRPr="00E3562B" w:rsidRDefault="00A60DA1" w:rsidP="00A60DA1">
      <w:pPr>
        <w:spacing w:line="240" w:lineRule="auto"/>
        <w:jc w:val="left"/>
        <w:rPr>
          <w:rFonts w:asciiTheme="majorBidi" w:hAnsiTheme="majorBidi" w:cstheme="majorBidi"/>
          <w:sz w:val="23"/>
          <w:szCs w:val="23"/>
          <w:lang w:val="en-GB"/>
        </w:rPr>
      </w:pPr>
    </w:p>
    <w:p w14:paraId="11219194" w14:textId="77777777" w:rsidR="00A60DA1" w:rsidRPr="00E3562B" w:rsidRDefault="00A60DA1" w:rsidP="00A60DA1">
      <w:pPr>
        <w:spacing w:line="240" w:lineRule="auto"/>
        <w:jc w:val="left"/>
        <w:rPr>
          <w:i/>
          <w:iCs/>
          <w:szCs w:val="24"/>
          <w:lang w:val="en-GB"/>
        </w:rPr>
      </w:pPr>
      <w:r w:rsidRPr="00E3562B">
        <w:rPr>
          <w:i/>
          <w:iCs/>
          <w:szCs w:val="24"/>
          <w:lang w:val="en-GB"/>
        </w:rPr>
        <w:br w:type="page"/>
      </w:r>
    </w:p>
    <w:p w14:paraId="4FDA9B6E" w14:textId="3DC7F5B7" w:rsidR="00A60DA1" w:rsidRPr="00E3562B" w:rsidRDefault="00A60DA1" w:rsidP="00A60DA1">
      <w:pPr>
        <w:spacing w:line="240" w:lineRule="auto"/>
        <w:rPr>
          <w:szCs w:val="24"/>
          <w:lang w:val="en-GB"/>
        </w:rPr>
      </w:pPr>
      <w:r w:rsidRPr="00E3562B">
        <w:rPr>
          <w:b/>
          <w:bCs/>
          <w:szCs w:val="24"/>
          <w:lang w:val="en-GB"/>
        </w:rPr>
        <w:lastRenderedPageBreak/>
        <w:t xml:space="preserve">Table 3. </w:t>
      </w:r>
      <w:r w:rsidRPr="00E3562B">
        <w:rPr>
          <w:szCs w:val="24"/>
          <w:lang w:val="en-GB"/>
        </w:rPr>
        <w:t xml:space="preserve">Summary </w:t>
      </w:r>
      <w:r w:rsidR="007B6EA4" w:rsidRPr="00E3562B">
        <w:rPr>
          <w:szCs w:val="24"/>
          <w:lang w:val="en-GB"/>
        </w:rPr>
        <w:t>s</w:t>
      </w:r>
      <w:r w:rsidRPr="00E3562B">
        <w:rPr>
          <w:szCs w:val="24"/>
          <w:lang w:val="en-GB"/>
        </w:rPr>
        <w:t xml:space="preserve">tatistics for MSDI and </w:t>
      </w:r>
      <w:r w:rsidR="007B6EA4" w:rsidRPr="00E3562B">
        <w:rPr>
          <w:szCs w:val="24"/>
          <w:lang w:val="en-GB"/>
        </w:rPr>
        <w:t>i</w:t>
      </w:r>
      <w:r w:rsidRPr="00E3562B">
        <w:rPr>
          <w:szCs w:val="24"/>
          <w:lang w:val="en-GB"/>
        </w:rPr>
        <w:t xml:space="preserve">ts </w:t>
      </w:r>
      <w:r w:rsidR="007B6EA4" w:rsidRPr="00E3562B">
        <w:rPr>
          <w:szCs w:val="24"/>
          <w:lang w:val="en-GB"/>
        </w:rPr>
        <w:t>c</w:t>
      </w:r>
      <w:r w:rsidRPr="00E3562B">
        <w:rPr>
          <w:szCs w:val="24"/>
          <w:lang w:val="en-GB"/>
        </w:rPr>
        <w:t>ategories</w:t>
      </w:r>
    </w:p>
    <w:p w14:paraId="10899B70" w14:textId="77777777" w:rsidR="00A60DA1" w:rsidRPr="00E3562B" w:rsidRDefault="00A60DA1" w:rsidP="00A60DA1">
      <w:pPr>
        <w:spacing w:line="240" w:lineRule="auto"/>
        <w:rPr>
          <w:szCs w:val="24"/>
          <w:lang w:val="en-GB"/>
        </w:rPr>
      </w:pPr>
    </w:p>
    <w:tbl>
      <w:tblPr>
        <w:tblStyle w:val="TableGrid2122111"/>
        <w:tblpPr w:leftFromText="180" w:rightFromText="180" w:vertAnchor="text" w:tblpY="180"/>
        <w:tblW w:w="90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3451"/>
        <w:gridCol w:w="875"/>
        <w:gridCol w:w="875"/>
        <w:gridCol w:w="875"/>
        <w:gridCol w:w="875"/>
        <w:gridCol w:w="875"/>
      </w:tblGrid>
      <w:tr w:rsidR="005D6588" w:rsidRPr="00E3562B" w14:paraId="1EDA7663" w14:textId="77777777" w:rsidTr="00294522">
        <w:trPr>
          <w:trHeight w:val="381"/>
        </w:trPr>
        <w:tc>
          <w:tcPr>
            <w:tcW w:w="0" w:type="auto"/>
            <w:tcBorders>
              <w:top w:val="single" w:sz="4" w:space="0" w:color="auto"/>
              <w:left w:val="nil"/>
              <w:bottom w:val="single" w:sz="4" w:space="0" w:color="auto"/>
              <w:right w:val="nil"/>
            </w:tcBorders>
            <w:noWrap/>
            <w:hideMark/>
          </w:tcPr>
          <w:p w14:paraId="0A1CCE50" w14:textId="77777777" w:rsidR="00A60DA1" w:rsidRPr="00E3562B" w:rsidRDefault="00A60DA1" w:rsidP="00294522">
            <w:pPr>
              <w:spacing w:line="240" w:lineRule="auto"/>
              <w:rPr>
                <w:b/>
                <w:bCs/>
                <w:szCs w:val="22"/>
                <w:lang w:val="en-GB"/>
              </w:rPr>
            </w:pPr>
          </w:p>
        </w:tc>
        <w:tc>
          <w:tcPr>
            <w:tcW w:w="0" w:type="auto"/>
            <w:tcBorders>
              <w:top w:val="single" w:sz="4" w:space="0" w:color="auto"/>
              <w:left w:val="nil"/>
              <w:bottom w:val="single" w:sz="4" w:space="0" w:color="auto"/>
              <w:right w:val="nil"/>
            </w:tcBorders>
            <w:noWrap/>
            <w:hideMark/>
          </w:tcPr>
          <w:p w14:paraId="0E239680" w14:textId="77777777" w:rsidR="00A60DA1" w:rsidRPr="00E3562B" w:rsidRDefault="00A60DA1" w:rsidP="00294522">
            <w:pPr>
              <w:spacing w:line="240" w:lineRule="auto"/>
              <w:jc w:val="right"/>
              <w:rPr>
                <w:szCs w:val="22"/>
                <w:lang w:val="en-GB"/>
              </w:rPr>
            </w:pPr>
            <w:r w:rsidRPr="00E3562B">
              <w:rPr>
                <w:szCs w:val="22"/>
                <w:lang w:val="en-GB"/>
              </w:rPr>
              <w:t xml:space="preserve">                                      All</w:t>
            </w:r>
          </w:p>
        </w:tc>
        <w:tc>
          <w:tcPr>
            <w:tcW w:w="0" w:type="auto"/>
            <w:tcBorders>
              <w:top w:val="single" w:sz="4" w:space="0" w:color="auto"/>
              <w:left w:val="nil"/>
              <w:bottom w:val="single" w:sz="4" w:space="0" w:color="auto"/>
              <w:right w:val="nil"/>
            </w:tcBorders>
            <w:noWrap/>
            <w:hideMark/>
          </w:tcPr>
          <w:p w14:paraId="06517243" w14:textId="77777777" w:rsidR="00A60DA1" w:rsidRPr="00E3562B" w:rsidRDefault="00A60DA1" w:rsidP="00294522">
            <w:pPr>
              <w:spacing w:line="240" w:lineRule="auto"/>
              <w:jc w:val="right"/>
              <w:rPr>
                <w:szCs w:val="22"/>
                <w:lang w:val="en-GB"/>
              </w:rPr>
            </w:pPr>
            <w:r w:rsidRPr="00E3562B">
              <w:rPr>
                <w:szCs w:val="22"/>
                <w:lang w:val="en-GB"/>
              </w:rPr>
              <w:t>2016</w:t>
            </w:r>
          </w:p>
        </w:tc>
        <w:tc>
          <w:tcPr>
            <w:tcW w:w="0" w:type="auto"/>
            <w:tcBorders>
              <w:top w:val="single" w:sz="4" w:space="0" w:color="auto"/>
              <w:left w:val="nil"/>
              <w:bottom w:val="single" w:sz="4" w:space="0" w:color="auto"/>
              <w:right w:val="nil"/>
            </w:tcBorders>
            <w:noWrap/>
            <w:hideMark/>
          </w:tcPr>
          <w:p w14:paraId="7D992BEF" w14:textId="77777777" w:rsidR="00A60DA1" w:rsidRPr="00E3562B" w:rsidRDefault="00A60DA1" w:rsidP="00294522">
            <w:pPr>
              <w:spacing w:line="240" w:lineRule="auto"/>
              <w:jc w:val="right"/>
              <w:rPr>
                <w:szCs w:val="22"/>
                <w:lang w:val="en-GB"/>
              </w:rPr>
            </w:pPr>
            <w:r w:rsidRPr="00E3562B">
              <w:rPr>
                <w:szCs w:val="22"/>
                <w:lang w:val="en-GB"/>
              </w:rPr>
              <w:t>2017</w:t>
            </w:r>
          </w:p>
        </w:tc>
        <w:tc>
          <w:tcPr>
            <w:tcW w:w="0" w:type="auto"/>
            <w:tcBorders>
              <w:top w:val="single" w:sz="4" w:space="0" w:color="auto"/>
              <w:left w:val="nil"/>
              <w:bottom w:val="single" w:sz="4" w:space="0" w:color="auto"/>
              <w:right w:val="nil"/>
            </w:tcBorders>
            <w:noWrap/>
            <w:hideMark/>
          </w:tcPr>
          <w:p w14:paraId="7837677B" w14:textId="77777777" w:rsidR="00A60DA1" w:rsidRPr="00E3562B" w:rsidRDefault="00A60DA1" w:rsidP="00294522">
            <w:pPr>
              <w:spacing w:line="240" w:lineRule="auto"/>
              <w:jc w:val="right"/>
              <w:rPr>
                <w:szCs w:val="22"/>
                <w:lang w:val="en-GB"/>
              </w:rPr>
            </w:pPr>
            <w:r w:rsidRPr="00E3562B">
              <w:rPr>
                <w:szCs w:val="22"/>
                <w:lang w:val="en-GB"/>
              </w:rPr>
              <w:t>2018</w:t>
            </w:r>
          </w:p>
        </w:tc>
        <w:tc>
          <w:tcPr>
            <w:tcW w:w="0" w:type="auto"/>
            <w:tcBorders>
              <w:top w:val="single" w:sz="4" w:space="0" w:color="auto"/>
              <w:left w:val="nil"/>
              <w:bottom w:val="single" w:sz="4" w:space="0" w:color="auto"/>
              <w:right w:val="nil"/>
            </w:tcBorders>
            <w:noWrap/>
            <w:hideMark/>
          </w:tcPr>
          <w:p w14:paraId="0089DD09" w14:textId="77777777" w:rsidR="00A60DA1" w:rsidRPr="00E3562B" w:rsidRDefault="00A60DA1" w:rsidP="00294522">
            <w:pPr>
              <w:spacing w:line="240" w:lineRule="auto"/>
              <w:jc w:val="right"/>
              <w:rPr>
                <w:szCs w:val="22"/>
                <w:lang w:val="en-GB"/>
              </w:rPr>
            </w:pPr>
            <w:r w:rsidRPr="00E3562B">
              <w:rPr>
                <w:szCs w:val="22"/>
                <w:lang w:val="en-GB"/>
              </w:rPr>
              <w:t>2019</w:t>
            </w:r>
          </w:p>
        </w:tc>
        <w:tc>
          <w:tcPr>
            <w:tcW w:w="0" w:type="auto"/>
            <w:tcBorders>
              <w:top w:val="single" w:sz="4" w:space="0" w:color="auto"/>
              <w:left w:val="nil"/>
              <w:bottom w:val="single" w:sz="4" w:space="0" w:color="auto"/>
              <w:right w:val="nil"/>
            </w:tcBorders>
            <w:noWrap/>
            <w:hideMark/>
          </w:tcPr>
          <w:p w14:paraId="43F165C8" w14:textId="77777777" w:rsidR="00A60DA1" w:rsidRPr="00E3562B" w:rsidRDefault="00A60DA1" w:rsidP="00294522">
            <w:pPr>
              <w:spacing w:line="240" w:lineRule="auto"/>
              <w:jc w:val="right"/>
              <w:rPr>
                <w:szCs w:val="22"/>
                <w:lang w:val="en-GB"/>
              </w:rPr>
            </w:pPr>
            <w:r w:rsidRPr="00E3562B">
              <w:rPr>
                <w:szCs w:val="22"/>
                <w:lang w:val="en-GB"/>
              </w:rPr>
              <w:t>2020</w:t>
            </w:r>
          </w:p>
        </w:tc>
      </w:tr>
      <w:tr w:rsidR="005D6588" w:rsidRPr="00E3562B" w14:paraId="18D0F7F0" w14:textId="77777777" w:rsidTr="00294522">
        <w:trPr>
          <w:trHeight w:val="381"/>
        </w:trPr>
        <w:tc>
          <w:tcPr>
            <w:tcW w:w="0" w:type="auto"/>
            <w:gridSpan w:val="7"/>
            <w:tcBorders>
              <w:top w:val="single" w:sz="4" w:space="0" w:color="auto"/>
              <w:left w:val="nil"/>
              <w:bottom w:val="single" w:sz="4" w:space="0" w:color="auto"/>
              <w:right w:val="nil"/>
            </w:tcBorders>
            <w:noWrap/>
            <w:hideMark/>
          </w:tcPr>
          <w:p w14:paraId="3DFC72E8" w14:textId="77777777" w:rsidR="00A60DA1" w:rsidRPr="00E3562B" w:rsidRDefault="00A60DA1" w:rsidP="00294522">
            <w:pPr>
              <w:spacing w:line="240" w:lineRule="auto"/>
              <w:jc w:val="left"/>
              <w:rPr>
                <w:b/>
                <w:bCs/>
                <w:i/>
                <w:iCs/>
                <w:szCs w:val="22"/>
                <w:lang w:val="en-GB"/>
              </w:rPr>
            </w:pPr>
            <w:r w:rsidRPr="00E3562B">
              <w:rPr>
                <w:b/>
                <w:bCs/>
                <w:i/>
                <w:iCs/>
                <w:szCs w:val="22"/>
                <w:lang w:val="en-GB"/>
              </w:rPr>
              <w:t>Panel A: Dependent variable: MSDI (%)</w:t>
            </w:r>
          </w:p>
        </w:tc>
      </w:tr>
      <w:tr w:rsidR="005D6588" w:rsidRPr="00E3562B" w14:paraId="710C73CA" w14:textId="77777777" w:rsidTr="00294522">
        <w:trPr>
          <w:trHeight w:val="381"/>
        </w:trPr>
        <w:tc>
          <w:tcPr>
            <w:tcW w:w="0" w:type="auto"/>
            <w:tcBorders>
              <w:top w:val="single" w:sz="4" w:space="0" w:color="auto"/>
            </w:tcBorders>
            <w:noWrap/>
            <w:hideMark/>
          </w:tcPr>
          <w:p w14:paraId="23C47ADF" w14:textId="77777777" w:rsidR="00A60DA1" w:rsidRPr="00E3562B" w:rsidRDefault="00A60DA1" w:rsidP="00294522">
            <w:pPr>
              <w:spacing w:line="240" w:lineRule="auto"/>
              <w:jc w:val="left"/>
              <w:rPr>
                <w:szCs w:val="22"/>
                <w:lang w:val="en-GB"/>
              </w:rPr>
            </w:pPr>
            <w:r w:rsidRPr="00E3562B">
              <w:rPr>
                <w:rFonts w:eastAsia="Calibri"/>
                <w:szCs w:val="22"/>
                <w:lang w:val="en-GB"/>
              </w:rPr>
              <w:t>Mean</w:t>
            </w:r>
          </w:p>
        </w:tc>
        <w:tc>
          <w:tcPr>
            <w:tcW w:w="0" w:type="auto"/>
            <w:tcBorders>
              <w:top w:val="single" w:sz="4" w:space="0" w:color="auto"/>
            </w:tcBorders>
            <w:noWrap/>
            <w:hideMark/>
          </w:tcPr>
          <w:p w14:paraId="43AA77D5" w14:textId="77777777" w:rsidR="00A60DA1" w:rsidRPr="00E3562B" w:rsidRDefault="00A60DA1" w:rsidP="00294522">
            <w:pPr>
              <w:spacing w:line="360" w:lineRule="auto"/>
              <w:jc w:val="right"/>
              <w:rPr>
                <w:szCs w:val="22"/>
                <w:lang w:val="en-GB"/>
              </w:rPr>
            </w:pPr>
            <w:r w:rsidRPr="00E3562B">
              <w:rPr>
                <w:rFonts w:eastAsia="Calibri"/>
                <w:szCs w:val="22"/>
                <w:lang w:val="en-GB"/>
              </w:rPr>
              <w:t>0.34</w:t>
            </w:r>
          </w:p>
        </w:tc>
        <w:tc>
          <w:tcPr>
            <w:tcW w:w="0" w:type="auto"/>
            <w:tcBorders>
              <w:top w:val="single" w:sz="4" w:space="0" w:color="auto"/>
            </w:tcBorders>
            <w:noWrap/>
            <w:hideMark/>
          </w:tcPr>
          <w:p w14:paraId="7DC3F068" w14:textId="77777777" w:rsidR="00A60DA1" w:rsidRPr="00E3562B" w:rsidRDefault="00A60DA1" w:rsidP="00294522">
            <w:pPr>
              <w:spacing w:line="360" w:lineRule="auto"/>
              <w:jc w:val="right"/>
              <w:rPr>
                <w:szCs w:val="22"/>
                <w:lang w:val="en-GB"/>
              </w:rPr>
            </w:pPr>
            <w:r w:rsidRPr="00E3562B">
              <w:rPr>
                <w:rFonts w:eastAsia="Calibri"/>
                <w:szCs w:val="22"/>
                <w:lang w:val="en-GB"/>
              </w:rPr>
              <w:t>0.28</w:t>
            </w:r>
          </w:p>
        </w:tc>
        <w:tc>
          <w:tcPr>
            <w:tcW w:w="0" w:type="auto"/>
            <w:tcBorders>
              <w:top w:val="single" w:sz="4" w:space="0" w:color="auto"/>
            </w:tcBorders>
            <w:noWrap/>
            <w:hideMark/>
          </w:tcPr>
          <w:p w14:paraId="60EAB14D" w14:textId="77777777" w:rsidR="00A60DA1" w:rsidRPr="00E3562B" w:rsidRDefault="00A60DA1" w:rsidP="00294522">
            <w:pPr>
              <w:spacing w:line="360" w:lineRule="auto"/>
              <w:jc w:val="right"/>
              <w:rPr>
                <w:szCs w:val="22"/>
                <w:lang w:val="en-GB"/>
              </w:rPr>
            </w:pPr>
            <w:r w:rsidRPr="00E3562B">
              <w:rPr>
                <w:rFonts w:eastAsia="Calibri"/>
                <w:szCs w:val="22"/>
                <w:lang w:val="en-GB"/>
              </w:rPr>
              <w:t>0.31</w:t>
            </w:r>
          </w:p>
        </w:tc>
        <w:tc>
          <w:tcPr>
            <w:tcW w:w="0" w:type="auto"/>
            <w:tcBorders>
              <w:top w:val="single" w:sz="4" w:space="0" w:color="auto"/>
            </w:tcBorders>
            <w:noWrap/>
            <w:hideMark/>
          </w:tcPr>
          <w:p w14:paraId="26A0C9FD" w14:textId="77777777" w:rsidR="00A60DA1" w:rsidRPr="00E3562B" w:rsidRDefault="00A60DA1" w:rsidP="00294522">
            <w:pPr>
              <w:spacing w:line="360" w:lineRule="auto"/>
              <w:jc w:val="right"/>
              <w:rPr>
                <w:szCs w:val="22"/>
                <w:lang w:val="en-GB"/>
              </w:rPr>
            </w:pPr>
            <w:r w:rsidRPr="00E3562B">
              <w:rPr>
                <w:rFonts w:eastAsia="Calibri"/>
                <w:szCs w:val="22"/>
                <w:lang w:val="en-GB"/>
              </w:rPr>
              <w:t>0.36</w:t>
            </w:r>
          </w:p>
        </w:tc>
        <w:tc>
          <w:tcPr>
            <w:tcW w:w="0" w:type="auto"/>
            <w:tcBorders>
              <w:top w:val="single" w:sz="4" w:space="0" w:color="auto"/>
            </w:tcBorders>
            <w:noWrap/>
            <w:hideMark/>
          </w:tcPr>
          <w:p w14:paraId="0171C1C9" w14:textId="77777777" w:rsidR="00A60DA1" w:rsidRPr="00E3562B" w:rsidRDefault="00A60DA1" w:rsidP="00294522">
            <w:pPr>
              <w:spacing w:line="360" w:lineRule="auto"/>
              <w:jc w:val="right"/>
              <w:rPr>
                <w:szCs w:val="22"/>
                <w:lang w:val="en-GB"/>
              </w:rPr>
            </w:pPr>
            <w:r w:rsidRPr="00E3562B">
              <w:rPr>
                <w:rFonts w:eastAsia="Calibri"/>
                <w:szCs w:val="22"/>
                <w:lang w:val="en-GB"/>
              </w:rPr>
              <w:t>0.38</w:t>
            </w:r>
          </w:p>
        </w:tc>
        <w:tc>
          <w:tcPr>
            <w:tcW w:w="0" w:type="auto"/>
            <w:tcBorders>
              <w:top w:val="single" w:sz="4" w:space="0" w:color="auto"/>
            </w:tcBorders>
            <w:noWrap/>
            <w:hideMark/>
          </w:tcPr>
          <w:p w14:paraId="0423EB74" w14:textId="77777777" w:rsidR="00A60DA1" w:rsidRPr="00E3562B" w:rsidRDefault="00A60DA1" w:rsidP="00294522">
            <w:pPr>
              <w:spacing w:line="360" w:lineRule="auto"/>
              <w:jc w:val="right"/>
              <w:rPr>
                <w:szCs w:val="22"/>
                <w:lang w:val="en-GB"/>
              </w:rPr>
            </w:pPr>
            <w:r w:rsidRPr="00E3562B">
              <w:rPr>
                <w:rFonts w:eastAsia="Calibri"/>
                <w:szCs w:val="22"/>
                <w:lang w:val="en-GB"/>
              </w:rPr>
              <w:t>0.38</w:t>
            </w:r>
          </w:p>
        </w:tc>
      </w:tr>
      <w:tr w:rsidR="005D6588" w:rsidRPr="00E3562B" w14:paraId="70F5FD1B" w14:textId="77777777" w:rsidTr="00294522">
        <w:trPr>
          <w:trHeight w:val="381"/>
        </w:trPr>
        <w:tc>
          <w:tcPr>
            <w:tcW w:w="0" w:type="auto"/>
            <w:noWrap/>
          </w:tcPr>
          <w:p w14:paraId="05C30FFE" w14:textId="77777777" w:rsidR="00A60DA1" w:rsidRPr="00E3562B" w:rsidRDefault="00A60DA1" w:rsidP="00294522">
            <w:pPr>
              <w:spacing w:line="240" w:lineRule="auto"/>
              <w:jc w:val="left"/>
              <w:rPr>
                <w:szCs w:val="22"/>
                <w:lang w:val="en-GB"/>
              </w:rPr>
            </w:pPr>
            <w:r w:rsidRPr="00E3562B">
              <w:rPr>
                <w:rFonts w:eastAsia="Calibri"/>
                <w:szCs w:val="22"/>
                <w:lang w:val="en-GB"/>
              </w:rPr>
              <w:t>SD</w:t>
            </w:r>
          </w:p>
        </w:tc>
        <w:tc>
          <w:tcPr>
            <w:tcW w:w="0" w:type="auto"/>
            <w:noWrap/>
          </w:tcPr>
          <w:p w14:paraId="27494463" w14:textId="77777777" w:rsidR="00A60DA1" w:rsidRPr="00E3562B" w:rsidRDefault="00A60DA1" w:rsidP="00294522">
            <w:pPr>
              <w:spacing w:line="360" w:lineRule="auto"/>
              <w:jc w:val="right"/>
              <w:rPr>
                <w:szCs w:val="22"/>
                <w:lang w:val="en-GB"/>
              </w:rPr>
            </w:pPr>
            <w:r w:rsidRPr="00E3562B">
              <w:rPr>
                <w:rFonts w:eastAsia="Calibri"/>
                <w:szCs w:val="22"/>
                <w:lang w:val="en-GB"/>
              </w:rPr>
              <w:t>0.11</w:t>
            </w:r>
          </w:p>
        </w:tc>
        <w:tc>
          <w:tcPr>
            <w:tcW w:w="0" w:type="auto"/>
            <w:noWrap/>
          </w:tcPr>
          <w:p w14:paraId="40D15DE3" w14:textId="77777777" w:rsidR="00A60DA1" w:rsidRPr="00E3562B" w:rsidRDefault="00A60DA1" w:rsidP="00294522">
            <w:pPr>
              <w:spacing w:line="360" w:lineRule="auto"/>
              <w:jc w:val="right"/>
              <w:rPr>
                <w:szCs w:val="22"/>
                <w:lang w:val="en-GB"/>
              </w:rPr>
            </w:pPr>
            <w:r w:rsidRPr="00E3562B">
              <w:rPr>
                <w:rFonts w:eastAsia="Calibri"/>
                <w:szCs w:val="22"/>
                <w:lang w:val="en-GB"/>
              </w:rPr>
              <w:t>0.10</w:t>
            </w:r>
          </w:p>
        </w:tc>
        <w:tc>
          <w:tcPr>
            <w:tcW w:w="0" w:type="auto"/>
            <w:noWrap/>
          </w:tcPr>
          <w:p w14:paraId="3B0B91BA" w14:textId="77777777" w:rsidR="00A60DA1" w:rsidRPr="00E3562B" w:rsidRDefault="00A60DA1" w:rsidP="00294522">
            <w:pPr>
              <w:spacing w:line="360" w:lineRule="auto"/>
              <w:jc w:val="right"/>
              <w:rPr>
                <w:szCs w:val="22"/>
                <w:lang w:val="en-GB"/>
              </w:rPr>
            </w:pPr>
            <w:r w:rsidRPr="00E3562B">
              <w:rPr>
                <w:rFonts w:eastAsia="Calibri"/>
                <w:szCs w:val="22"/>
                <w:lang w:val="en-GB"/>
              </w:rPr>
              <w:t>0.11</w:t>
            </w:r>
          </w:p>
        </w:tc>
        <w:tc>
          <w:tcPr>
            <w:tcW w:w="0" w:type="auto"/>
            <w:noWrap/>
          </w:tcPr>
          <w:p w14:paraId="45E25241" w14:textId="77777777" w:rsidR="00A60DA1" w:rsidRPr="00E3562B" w:rsidRDefault="00A60DA1" w:rsidP="00294522">
            <w:pPr>
              <w:spacing w:line="360" w:lineRule="auto"/>
              <w:jc w:val="right"/>
              <w:rPr>
                <w:szCs w:val="22"/>
                <w:lang w:val="en-GB"/>
              </w:rPr>
            </w:pPr>
            <w:r w:rsidRPr="00E3562B">
              <w:rPr>
                <w:rFonts w:eastAsia="Calibri"/>
                <w:szCs w:val="22"/>
                <w:lang w:val="en-GB"/>
              </w:rPr>
              <w:t>0.11</w:t>
            </w:r>
          </w:p>
        </w:tc>
        <w:tc>
          <w:tcPr>
            <w:tcW w:w="0" w:type="auto"/>
            <w:noWrap/>
          </w:tcPr>
          <w:p w14:paraId="167A5E9C" w14:textId="77777777" w:rsidR="00A60DA1" w:rsidRPr="00E3562B" w:rsidRDefault="00A60DA1" w:rsidP="00294522">
            <w:pPr>
              <w:spacing w:line="360" w:lineRule="auto"/>
              <w:jc w:val="right"/>
              <w:rPr>
                <w:szCs w:val="22"/>
                <w:lang w:val="en-GB"/>
              </w:rPr>
            </w:pPr>
            <w:r w:rsidRPr="00E3562B">
              <w:rPr>
                <w:rFonts w:eastAsia="Calibri"/>
                <w:szCs w:val="22"/>
                <w:lang w:val="en-GB"/>
              </w:rPr>
              <w:t>0.10</w:t>
            </w:r>
          </w:p>
        </w:tc>
        <w:tc>
          <w:tcPr>
            <w:tcW w:w="0" w:type="auto"/>
            <w:noWrap/>
          </w:tcPr>
          <w:p w14:paraId="6F8C35B9" w14:textId="77777777" w:rsidR="00A60DA1" w:rsidRPr="00E3562B" w:rsidRDefault="00A60DA1" w:rsidP="00294522">
            <w:pPr>
              <w:spacing w:line="360" w:lineRule="auto"/>
              <w:jc w:val="right"/>
              <w:rPr>
                <w:szCs w:val="22"/>
                <w:lang w:val="en-GB"/>
              </w:rPr>
            </w:pPr>
            <w:r w:rsidRPr="00E3562B">
              <w:rPr>
                <w:rFonts w:eastAsia="Calibri"/>
                <w:szCs w:val="22"/>
                <w:lang w:val="en-GB"/>
              </w:rPr>
              <w:t>0.10</w:t>
            </w:r>
          </w:p>
        </w:tc>
      </w:tr>
      <w:tr w:rsidR="005D6588" w:rsidRPr="00E3562B" w14:paraId="0007E68A" w14:textId="77777777" w:rsidTr="00294522">
        <w:trPr>
          <w:trHeight w:val="381"/>
        </w:trPr>
        <w:tc>
          <w:tcPr>
            <w:tcW w:w="0" w:type="auto"/>
            <w:noWrap/>
          </w:tcPr>
          <w:p w14:paraId="27FBDB3D" w14:textId="77777777" w:rsidR="00A60DA1" w:rsidRPr="00E3562B" w:rsidRDefault="00A60DA1" w:rsidP="00294522">
            <w:pPr>
              <w:spacing w:line="240" w:lineRule="auto"/>
              <w:jc w:val="left"/>
              <w:rPr>
                <w:szCs w:val="22"/>
                <w:lang w:val="en-GB"/>
              </w:rPr>
            </w:pPr>
            <w:r w:rsidRPr="00E3562B">
              <w:rPr>
                <w:rFonts w:eastAsia="Calibri"/>
                <w:szCs w:val="22"/>
                <w:lang w:val="en-GB"/>
              </w:rPr>
              <w:t>p25</w:t>
            </w:r>
          </w:p>
        </w:tc>
        <w:tc>
          <w:tcPr>
            <w:tcW w:w="0" w:type="auto"/>
            <w:noWrap/>
          </w:tcPr>
          <w:p w14:paraId="04167254" w14:textId="77777777" w:rsidR="00A60DA1" w:rsidRPr="00E3562B" w:rsidRDefault="00A60DA1" w:rsidP="00294522">
            <w:pPr>
              <w:spacing w:line="360" w:lineRule="auto"/>
              <w:jc w:val="right"/>
              <w:rPr>
                <w:szCs w:val="22"/>
                <w:lang w:val="en-GB"/>
              </w:rPr>
            </w:pPr>
            <w:r w:rsidRPr="00E3562B">
              <w:rPr>
                <w:rFonts w:eastAsia="Calibri"/>
                <w:szCs w:val="22"/>
                <w:lang w:val="en-GB"/>
              </w:rPr>
              <w:t>0.26</w:t>
            </w:r>
          </w:p>
        </w:tc>
        <w:tc>
          <w:tcPr>
            <w:tcW w:w="0" w:type="auto"/>
            <w:noWrap/>
          </w:tcPr>
          <w:p w14:paraId="6C2CB8B6" w14:textId="77777777" w:rsidR="00A60DA1" w:rsidRPr="00E3562B" w:rsidRDefault="00A60DA1" w:rsidP="00294522">
            <w:pPr>
              <w:spacing w:line="360" w:lineRule="auto"/>
              <w:jc w:val="right"/>
              <w:rPr>
                <w:szCs w:val="22"/>
                <w:lang w:val="en-GB"/>
              </w:rPr>
            </w:pPr>
            <w:r w:rsidRPr="00E3562B">
              <w:rPr>
                <w:rFonts w:eastAsia="Calibri"/>
                <w:szCs w:val="22"/>
                <w:lang w:val="en-GB"/>
              </w:rPr>
              <w:t>0.22</w:t>
            </w:r>
          </w:p>
        </w:tc>
        <w:tc>
          <w:tcPr>
            <w:tcW w:w="0" w:type="auto"/>
            <w:noWrap/>
          </w:tcPr>
          <w:p w14:paraId="0AB700CD" w14:textId="77777777" w:rsidR="00A60DA1" w:rsidRPr="00E3562B" w:rsidRDefault="00A60DA1" w:rsidP="00294522">
            <w:pPr>
              <w:spacing w:line="360" w:lineRule="auto"/>
              <w:jc w:val="right"/>
              <w:rPr>
                <w:szCs w:val="22"/>
                <w:lang w:val="en-GB"/>
              </w:rPr>
            </w:pPr>
            <w:r w:rsidRPr="00E3562B">
              <w:rPr>
                <w:rFonts w:eastAsia="Calibri"/>
                <w:szCs w:val="22"/>
                <w:lang w:val="en-GB"/>
              </w:rPr>
              <w:t>0.24</w:t>
            </w:r>
          </w:p>
        </w:tc>
        <w:tc>
          <w:tcPr>
            <w:tcW w:w="0" w:type="auto"/>
            <w:noWrap/>
          </w:tcPr>
          <w:p w14:paraId="29A6747E" w14:textId="77777777" w:rsidR="00A60DA1" w:rsidRPr="00E3562B" w:rsidRDefault="00A60DA1" w:rsidP="00294522">
            <w:pPr>
              <w:spacing w:line="360" w:lineRule="auto"/>
              <w:jc w:val="right"/>
              <w:rPr>
                <w:szCs w:val="22"/>
                <w:lang w:val="en-GB"/>
              </w:rPr>
            </w:pPr>
            <w:r w:rsidRPr="00E3562B">
              <w:rPr>
                <w:rFonts w:eastAsia="Calibri"/>
                <w:szCs w:val="22"/>
                <w:lang w:val="en-GB"/>
              </w:rPr>
              <w:t>0.28</w:t>
            </w:r>
          </w:p>
        </w:tc>
        <w:tc>
          <w:tcPr>
            <w:tcW w:w="0" w:type="auto"/>
            <w:noWrap/>
          </w:tcPr>
          <w:p w14:paraId="71CFCC34" w14:textId="77777777" w:rsidR="00A60DA1" w:rsidRPr="00E3562B" w:rsidRDefault="00A60DA1" w:rsidP="00294522">
            <w:pPr>
              <w:spacing w:line="360" w:lineRule="auto"/>
              <w:jc w:val="right"/>
              <w:rPr>
                <w:szCs w:val="22"/>
                <w:lang w:val="en-GB"/>
              </w:rPr>
            </w:pPr>
            <w:r w:rsidRPr="00E3562B">
              <w:rPr>
                <w:rFonts w:eastAsia="Calibri"/>
                <w:szCs w:val="22"/>
                <w:lang w:val="en-GB"/>
              </w:rPr>
              <w:t>0.30</w:t>
            </w:r>
          </w:p>
        </w:tc>
        <w:tc>
          <w:tcPr>
            <w:tcW w:w="0" w:type="auto"/>
            <w:noWrap/>
          </w:tcPr>
          <w:p w14:paraId="4BD9DD34" w14:textId="77777777" w:rsidR="00A60DA1" w:rsidRPr="00E3562B" w:rsidRDefault="00A60DA1" w:rsidP="00294522">
            <w:pPr>
              <w:spacing w:line="360" w:lineRule="auto"/>
              <w:jc w:val="right"/>
              <w:rPr>
                <w:szCs w:val="22"/>
                <w:lang w:val="en-GB"/>
              </w:rPr>
            </w:pPr>
            <w:r w:rsidRPr="00E3562B">
              <w:rPr>
                <w:rFonts w:eastAsia="Calibri"/>
                <w:szCs w:val="22"/>
                <w:lang w:val="en-GB"/>
              </w:rPr>
              <w:t>0.30</w:t>
            </w:r>
          </w:p>
        </w:tc>
      </w:tr>
      <w:tr w:rsidR="005D6588" w:rsidRPr="00E3562B" w14:paraId="1AD92693" w14:textId="77777777" w:rsidTr="00294522">
        <w:trPr>
          <w:trHeight w:val="381"/>
        </w:trPr>
        <w:tc>
          <w:tcPr>
            <w:tcW w:w="0" w:type="auto"/>
            <w:noWrap/>
          </w:tcPr>
          <w:p w14:paraId="4A23FD05" w14:textId="77777777" w:rsidR="00A60DA1" w:rsidRPr="00E3562B" w:rsidRDefault="00A60DA1" w:rsidP="00294522">
            <w:pPr>
              <w:spacing w:line="240" w:lineRule="auto"/>
              <w:jc w:val="left"/>
              <w:rPr>
                <w:szCs w:val="22"/>
                <w:lang w:val="en-GB"/>
              </w:rPr>
            </w:pPr>
            <w:r w:rsidRPr="00E3562B">
              <w:rPr>
                <w:rFonts w:eastAsia="Calibri"/>
                <w:szCs w:val="22"/>
                <w:lang w:val="en-GB"/>
              </w:rPr>
              <w:t>Median</w:t>
            </w:r>
          </w:p>
        </w:tc>
        <w:tc>
          <w:tcPr>
            <w:tcW w:w="0" w:type="auto"/>
            <w:noWrap/>
          </w:tcPr>
          <w:p w14:paraId="61AE8E32" w14:textId="77777777" w:rsidR="00A60DA1" w:rsidRPr="00E3562B" w:rsidRDefault="00A60DA1" w:rsidP="00294522">
            <w:pPr>
              <w:spacing w:line="360" w:lineRule="auto"/>
              <w:jc w:val="right"/>
              <w:rPr>
                <w:szCs w:val="22"/>
                <w:lang w:val="en-GB"/>
              </w:rPr>
            </w:pPr>
            <w:r w:rsidRPr="00E3562B">
              <w:rPr>
                <w:rFonts w:eastAsia="Calibri"/>
                <w:szCs w:val="22"/>
                <w:lang w:val="en-GB"/>
              </w:rPr>
              <w:t>0.33</w:t>
            </w:r>
          </w:p>
        </w:tc>
        <w:tc>
          <w:tcPr>
            <w:tcW w:w="0" w:type="auto"/>
            <w:noWrap/>
          </w:tcPr>
          <w:p w14:paraId="0091F26E" w14:textId="77777777" w:rsidR="00A60DA1" w:rsidRPr="00E3562B" w:rsidRDefault="00A60DA1" w:rsidP="00294522">
            <w:pPr>
              <w:spacing w:line="360" w:lineRule="auto"/>
              <w:jc w:val="right"/>
              <w:rPr>
                <w:szCs w:val="22"/>
                <w:lang w:val="en-GB"/>
              </w:rPr>
            </w:pPr>
            <w:r w:rsidRPr="00E3562B">
              <w:rPr>
                <w:rFonts w:eastAsia="Calibri"/>
                <w:szCs w:val="22"/>
                <w:lang w:val="en-GB"/>
              </w:rPr>
              <w:t>0.28</w:t>
            </w:r>
          </w:p>
        </w:tc>
        <w:tc>
          <w:tcPr>
            <w:tcW w:w="0" w:type="auto"/>
            <w:noWrap/>
          </w:tcPr>
          <w:p w14:paraId="7A0E0667" w14:textId="77777777" w:rsidR="00A60DA1" w:rsidRPr="00E3562B" w:rsidRDefault="00A60DA1" w:rsidP="00294522">
            <w:pPr>
              <w:spacing w:line="360" w:lineRule="auto"/>
              <w:jc w:val="right"/>
              <w:rPr>
                <w:szCs w:val="22"/>
                <w:lang w:val="en-GB"/>
              </w:rPr>
            </w:pPr>
            <w:r w:rsidRPr="00E3562B">
              <w:rPr>
                <w:rFonts w:eastAsia="Calibri"/>
                <w:szCs w:val="22"/>
                <w:lang w:val="en-GB"/>
              </w:rPr>
              <w:t>0.30</w:t>
            </w:r>
          </w:p>
        </w:tc>
        <w:tc>
          <w:tcPr>
            <w:tcW w:w="0" w:type="auto"/>
            <w:noWrap/>
          </w:tcPr>
          <w:p w14:paraId="07189037" w14:textId="77777777" w:rsidR="00A60DA1" w:rsidRPr="00E3562B" w:rsidRDefault="00A60DA1" w:rsidP="00294522">
            <w:pPr>
              <w:spacing w:line="360" w:lineRule="auto"/>
              <w:jc w:val="right"/>
              <w:rPr>
                <w:szCs w:val="22"/>
                <w:lang w:val="en-GB"/>
              </w:rPr>
            </w:pPr>
            <w:r w:rsidRPr="00E3562B">
              <w:rPr>
                <w:rFonts w:eastAsia="Calibri"/>
                <w:szCs w:val="22"/>
                <w:lang w:val="en-GB"/>
              </w:rPr>
              <w:t>0.37</w:t>
            </w:r>
          </w:p>
        </w:tc>
        <w:tc>
          <w:tcPr>
            <w:tcW w:w="0" w:type="auto"/>
            <w:noWrap/>
          </w:tcPr>
          <w:p w14:paraId="5461311F" w14:textId="77777777" w:rsidR="00A60DA1" w:rsidRPr="00E3562B" w:rsidRDefault="00A60DA1" w:rsidP="00294522">
            <w:pPr>
              <w:spacing w:line="360" w:lineRule="auto"/>
              <w:jc w:val="right"/>
              <w:rPr>
                <w:szCs w:val="22"/>
                <w:lang w:val="en-GB"/>
              </w:rPr>
            </w:pPr>
            <w:r w:rsidRPr="00E3562B">
              <w:rPr>
                <w:rFonts w:eastAsia="Calibri"/>
                <w:szCs w:val="22"/>
                <w:lang w:val="en-GB"/>
              </w:rPr>
              <w:t>0.37</w:t>
            </w:r>
          </w:p>
        </w:tc>
        <w:tc>
          <w:tcPr>
            <w:tcW w:w="0" w:type="auto"/>
            <w:noWrap/>
          </w:tcPr>
          <w:p w14:paraId="2FA6535F" w14:textId="77777777" w:rsidR="00A60DA1" w:rsidRPr="00E3562B" w:rsidRDefault="00A60DA1" w:rsidP="00294522">
            <w:pPr>
              <w:spacing w:line="360" w:lineRule="auto"/>
              <w:jc w:val="right"/>
              <w:rPr>
                <w:szCs w:val="22"/>
                <w:lang w:val="en-GB"/>
              </w:rPr>
            </w:pPr>
            <w:r w:rsidRPr="00E3562B">
              <w:rPr>
                <w:rFonts w:eastAsia="Calibri"/>
                <w:szCs w:val="22"/>
                <w:lang w:val="en-GB"/>
              </w:rPr>
              <w:t>0.37</w:t>
            </w:r>
          </w:p>
        </w:tc>
      </w:tr>
      <w:tr w:rsidR="005D6588" w:rsidRPr="00E3562B" w14:paraId="6BB3B7B0" w14:textId="77777777" w:rsidTr="00294522">
        <w:trPr>
          <w:trHeight w:val="381"/>
        </w:trPr>
        <w:tc>
          <w:tcPr>
            <w:tcW w:w="0" w:type="auto"/>
            <w:tcBorders>
              <w:bottom w:val="single" w:sz="4" w:space="0" w:color="auto"/>
            </w:tcBorders>
            <w:noWrap/>
          </w:tcPr>
          <w:p w14:paraId="17A99EAF" w14:textId="77777777" w:rsidR="00A60DA1" w:rsidRPr="00E3562B" w:rsidRDefault="00A60DA1" w:rsidP="00294522">
            <w:pPr>
              <w:spacing w:line="240" w:lineRule="auto"/>
              <w:jc w:val="left"/>
              <w:rPr>
                <w:szCs w:val="22"/>
                <w:lang w:val="en-GB"/>
              </w:rPr>
            </w:pPr>
            <w:r w:rsidRPr="00E3562B">
              <w:rPr>
                <w:rFonts w:eastAsia="Calibri"/>
                <w:szCs w:val="22"/>
                <w:lang w:val="en-GB"/>
              </w:rPr>
              <w:t>p75</w:t>
            </w:r>
          </w:p>
        </w:tc>
        <w:tc>
          <w:tcPr>
            <w:tcW w:w="0" w:type="auto"/>
            <w:tcBorders>
              <w:bottom w:val="single" w:sz="4" w:space="0" w:color="auto"/>
            </w:tcBorders>
            <w:noWrap/>
          </w:tcPr>
          <w:p w14:paraId="61396BC6" w14:textId="77777777" w:rsidR="00A60DA1" w:rsidRPr="00E3562B" w:rsidRDefault="00A60DA1" w:rsidP="00294522">
            <w:pPr>
              <w:spacing w:line="360" w:lineRule="auto"/>
              <w:jc w:val="right"/>
              <w:rPr>
                <w:szCs w:val="22"/>
                <w:lang w:val="en-GB"/>
              </w:rPr>
            </w:pPr>
            <w:r w:rsidRPr="00E3562B">
              <w:rPr>
                <w:rFonts w:eastAsia="Calibri"/>
                <w:szCs w:val="22"/>
                <w:lang w:val="en-GB"/>
              </w:rPr>
              <w:t>0.43</w:t>
            </w:r>
          </w:p>
        </w:tc>
        <w:tc>
          <w:tcPr>
            <w:tcW w:w="0" w:type="auto"/>
            <w:tcBorders>
              <w:bottom w:val="single" w:sz="4" w:space="0" w:color="auto"/>
            </w:tcBorders>
            <w:noWrap/>
          </w:tcPr>
          <w:p w14:paraId="72E880B7" w14:textId="77777777" w:rsidR="00A60DA1" w:rsidRPr="00E3562B" w:rsidRDefault="00A60DA1" w:rsidP="00294522">
            <w:pPr>
              <w:spacing w:line="360" w:lineRule="auto"/>
              <w:jc w:val="right"/>
              <w:rPr>
                <w:szCs w:val="22"/>
                <w:lang w:val="en-GB"/>
              </w:rPr>
            </w:pPr>
            <w:r w:rsidRPr="00E3562B">
              <w:rPr>
                <w:rFonts w:eastAsia="Calibri"/>
                <w:szCs w:val="22"/>
                <w:lang w:val="en-GB"/>
              </w:rPr>
              <w:t>0.35</w:t>
            </w:r>
          </w:p>
        </w:tc>
        <w:tc>
          <w:tcPr>
            <w:tcW w:w="0" w:type="auto"/>
            <w:tcBorders>
              <w:bottom w:val="single" w:sz="4" w:space="0" w:color="auto"/>
            </w:tcBorders>
            <w:noWrap/>
          </w:tcPr>
          <w:p w14:paraId="5C9EDB00" w14:textId="77777777" w:rsidR="00A60DA1" w:rsidRPr="00E3562B" w:rsidRDefault="00A60DA1" w:rsidP="00294522">
            <w:pPr>
              <w:spacing w:line="360" w:lineRule="auto"/>
              <w:jc w:val="right"/>
              <w:rPr>
                <w:szCs w:val="22"/>
                <w:lang w:val="en-GB"/>
              </w:rPr>
            </w:pPr>
            <w:r w:rsidRPr="00E3562B">
              <w:rPr>
                <w:rFonts w:eastAsia="Calibri"/>
                <w:szCs w:val="22"/>
                <w:lang w:val="en-GB"/>
              </w:rPr>
              <w:t>0.39</w:t>
            </w:r>
          </w:p>
        </w:tc>
        <w:tc>
          <w:tcPr>
            <w:tcW w:w="0" w:type="auto"/>
            <w:tcBorders>
              <w:bottom w:val="single" w:sz="4" w:space="0" w:color="auto"/>
            </w:tcBorders>
            <w:noWrap/>
          </w:tcPr>
          <w:p w14:paraId="554465D7" w14:textId="77777777" w:rsidR="00A60DA1" w:rsidRPr="00E3562B" w:rsidRDefault="00A60DA1" w:rsidP="00294522">
            <w:pPr>
              <w:spacing w:line="360" w:lineRule="auto"/>
              <w:jc w:val="right"/>
              <w:rPr>
                <w:szCs w:val="22"/>
                <w:lang w:val="en-GB"/>
              </w:rPr>
            </w:pPr>
            <w:r w:rsidRPr="00E3562B">
              <w:rPr>
                <w:rFonts w:eastAsia="Calibri"/>
                <w:szCs w:val="22"/>
                <w:lang w:val="en-GB"/>
              </w:rPr>
              <w:t>0.43</w:t>
            </w:r>
          </w:p>
        </w:tc>
        <w:tc>
          <w:tcPr>
            <w:tcW w:w="0" w:type="auto"/>
            <w:tcBorders>
              <w:bottom w:val="single" w:sz="4" w:space="0" w:color="auto"/>
            </w:tcBorders>
            <w:noWrap/>
          </w:tcPr>
          <w:p w14:paraId="3C03D6F3" w14:textId="77777777" w:rsidR="00A60DA1" w:rsidRPr="00E3562B" w:rsidRDefault="00A60DA1" w:rsidP="00294522">
            <w:pPr>
              <w:spacing w:line="360" w:lineRule="auto"/>
              <w:jc w:val="right"/>
              <w:rPr>
                <w:szCs w:val="22"/>
                <w:lang w:val="en-GB"/>
              </w:rPr>
            </w:pPr>
            <w:r w:rsidRPr="00E3562B">
              <w:rPr>
                <w:rFonts w:eastAsia="Calibri"/>
                <w:szCs w:val="22"/>
                <w:lang w:val="en-GB"/>
              </w:rPr>
              <w:t>0.46</w:t>
            </w:r>
          </w:p>
        </w:tc>
        <w:tc>
          <w:tcPr>
            <w:tcW w:w="0" w:type="auto"/>
            <w:tcBorders>
              <w:bottom w:val="single" w:sz="4" w:space="0" w:color="auto"/>
            </w:tcBorders>
            <w:noWrap/>
          </w:tcPr>
          <w:p w14:paraId="7A5A0D0D" w14:textId="77777777" w:rsidR="00A60DA1" w:rsidRPr="00E3562B" w:rsidRDefault="00A60DA1" w:rsidP="00294522">
            <w:pPr>
              <w:spacing w:line="360" w:lineRule="auto"/>
              <w:jc w:val="right"/>
              <w:rPr>
                <w:szCs w:val="22"/>
                <w:lang w:val="en-GB"/>
              </w:rPr>
            </w:pPr>
            <w:r w:rsidRPr="00E3562B">
              <w:rPr>
                <w:rFonts w:eastAsia="Calibri"/>
                <w:szCs w:val="22"/>
                <w:lang w:val="en-GB"/>
              </w:rPr>
              <w:t>0.45</w:t>
            </w:r>
          </w:p>
        </w:tc>
      </w:tr>
      <w:tr w:rsidR="005D6588" w:rsidRPr="00E3562B" w14:paraId="13D673DE" w14:textId="77777777" w:rsidTr="00294522">
        <w:trPr>
          <w:trHeight w:val="381"/>
        </w:trPr>
        <w:tc>
          <w:tcPr>
            <w:tcW w:w="0" w:type="auto"/>
            <w:gridSpan w:val="7"/>
            <w:tcBorders>
              <w:top w:val="single" w:sz="4" w:space="0" w:color="auto"/>
              <w:bottom w:val="single" w:sz="4" w:space="0" w:color="auto"/>
            </w:tcBorders>
            <w:noWrap/>
          </w:tcPr>
          <w:p w14:paraId="689AC077" w14:textId="77777777" w:rsidR="00A60DA1" w:rsidRPr="00E3562B" w:rsidRDefault="00A60DA1" w:rsidP="00294522">
            <w:pPr>
              <w:spacing w:line="240" w:lineRule="auto"/>
              <w:jc w:val="left"/>
              <w:rPr>
                <w:rFonts w:eastAsia="Calibri"/>
                <w:b/>
                <w:bCs/>
                <w:i/>
                <w:iCs/>
                <w:szCs w:val="22"/>
                <w:lang w:val="en-GB"/>
              </w:rPr>
            </w:pPr>
            <w:r w:rsidRPr="00E3562B">
              <w:rPr>
                <w:rFonts w:eastAsia="Calibri"/>
                <w:b/>
                <w:bCs/>
                <w:i/>
                <w:iCs/>
                <w:szCs w:val="22"/>
                <w:lang w:val="en-GB"/>
              </w:rPr>
              <w:t>Panel B: Categories of MSDI (%)</w:t>
            </w:r>
          </w:p>
        </w:tc>
      </w:tr>
      <w:tr w:rsidR="005D6588" w:rsidRPr="00E3562B" w14:paraId="033A8503" w14:textId="77777777" w:rsidTr="00294522">
        <w:trPr>
          <w:trHeight w:val="381"/>
        </w:trPr>
        <w:tc>
          <w:tcPr>
            <w:tcW w:w="0" w:type="auto"/>
            <w:gridSpan w:val="7"/>
            <w:tcBorders>
              <w:top w:val="single" w:sz="4" w:space="0" w:color="auto"/>
              <w:bottom w:val="single" w:sz="4" w:space="0" w:color="auto"/>
            </w:tcBorders>
            <w:noWrap/>
          </w:tcPr>
          <w:p w14:paraId="2527CEF0" w14:textId="77777777" w:rsidR="00A60DA1" w:rsidRPr="00E3562B" w:rsidRDefault="00A60DA1" w:rsidP="00294522">
            <w:pPr>
              <w:numPr>
                <w:ilvl w:val="0"/>
                <w:numId w:val="31"/>
              </w:numPr>
              <w:spacing w:line="240" w:lineRule="auto"/>
              <w:contextualSpacing/>
              <w:jc w:val="left"/>
              <w:rPr>
                <w:rFonts w:eastAsia="Calibri"/>
                <w:i/>
                <w:iCs/>
                <w:szCs w:val="22"/>
                <w:lang w:val="en-GB"/>
              </w:rPr>
            </w:pPr>
            <w:r w:rsidRPr="00E3562B">
              <w:rPr>
                <w:rFonts w:eastAsia="Calibri"/>
                <w:i/>
                <w:iCs/>
                <w:szCs w:val="22"/>
                <w:lang w:val="en-GB"/>
              </w:rPr>
              <w:t>Organisation Structure</w:t>
            </w:r>
          </w:p>
        </w:tc>
      </w:tr>
      <w:tr w:rsidR="005D6588" w:rsidRPr="00E3562B" w14:paraId="7B2D6BE3" w14:textId="77777777" w:rsidTr="00294522">
        <w:trPr>
          <w:trHeight w:val="381"/>
        </w:trPr>
        <w:tc>
          <w:tcPr>
            <w:tcW w:w="0" w:type="auto"/>
            <w:tcBorders>
              <w:top w:val="single" w:sz="4" w:space="0" w:color="auto"/>
            </w:tcBorders>
            <w:noWrap/>
          </w:tcPr>
          <w:p w14:paraId="770D83ED"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Mean</w:t>
            </w:r>
          </w:p>
        </w:tc>
        <w:tc>
          <w:tcPr>
            <w:tcW w:w="0" w:type="auto"/>
            <w:tcBorders>
              <w:top w:val="single" w:sz="4" w:space="0" w:color="auto"/>
            </w:tcBorders>
            <w:noWrap/>
            <w:vAlign w:val="bottom"/>
          </w:tcPr>
          <w:p w14:paraId="5C8B1203" w14:textId="77777777" w:rsidR="00A60DA1" w:rsidRPr="00E3562B" w:rsidRDefault="00A60DA1" w:rsidP="00294522">
            <w:pPr>
              <w:spacing w:line="360" w:lineRule="auto"/>
              <w:jc w:val="right"/>
              <w:rPr>
                <w:rFonts w:eastAsia="Calibri"/>
                <w:szCs w:val="22"/>
                <w:lang w:val="en-GB"/>
              </w:rPr>
            </w:pPr>
            <w:r w:rsidRPr="00E3562B">
              <w:rPr>
                <w:szCs w:val="22"/>
                <w:lang w:val="en-GB"/>
              </w:rPr>
              <w:t>0.63</w:t>
            </w:r>
          </w:p>
        </w:tc>
        <w:tc>
          <w:tcPr>
            <w:tcW w:w="0" w:type="auto"/>
            <w:tcBorders>
              <w:top w:val="single" w:sz="4" w:space="0" w:color="auto"/>
            </w:tcBorders>
            <w:noWrap/>
            <w:vAlign w:val="bottom"/>
          </w:tcPr>
          <w:p w14:paraId="5E3ED1AF" w14:textId="77777777" w:rsidR="00A60DA1" w:rsidRPr="00E3562B" w:rsidRDefault="00A60DA1" w:rsidP="00294522">
            <w:pPr>
              <w:spacing w:line="360" w:lineRule="auto"/>
              <w:jc w:val="right"/>
              <w:rPr>
                <w:rFonts w:eastAsia="Calibri"/>
                <w:szCs w:val="22"/>
                <w:lang w:val="en-GB"/>
              </w:rPr>
            </w:pPr>
            <w:r w:rsidRPr="00E3562B">
              <w:rPr>
                <w:szCs w:val="22"/>
                <w:lang w:val="en-GB"/>
              </w:rPr>
              <w:t>0.58</w:t>
            </w:r>
          </w:p>
        </w:tc>
        <w:tc>
          <w:tcPr>
            <w:tcW w:w="0" w:type="auto"/>
            <w:tcBorders>
              <w:top w:val="single" w:sz="4" w:space="0" w:color="auto"/>
            </w:tcBorders>
            <w:noWrap/>
            <w:vAlign w:val="bottom"/>
          </w:tcPr>
          <w:p w14:paraId="2AFF0330"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tcBorders>
              <w:top w:val="single" w:sz="4" w:space="0" w:color="auto"/>
            </w:tcBorders>
            <w:noWrap/>
            <w:vAlign w:val="bottom"/>
          </w:tcPr>
          <w:p w14:paraId="142A0F66" w14:textId="77777777" w:rsidR="00A60DA1" w:rsidRPr="00E3562B" w:rsidRDefault="00A60DA1" w:rsidP="00294522">
            <w:pPr>
              <w:spacing w:line="360" w:lineRule="auto"/>
              <w:jc w:val="right"/>
              <w:rPr>
                <w:rFonts w:eastAsia="Calibri"/>
                <w:szCs w:val="22"/>
                <w:lang w:val="en-GB"/>
              </w:rPr>
            </w:pPr>
            <w:r w:rsidRPr="00E3562B">
              <w:rPr>
                <w:szCs w:val="22"/>
                <w:lang w:val="en-GB"/>
              </w:rPr>
              <w:t>0.67</w:t>
            </w:r>
          </w:p>
        </w:tc>
        <w:tc>
          <w:tcPr>
            <w:tcW w:w="0" w:type="auto"/>
            <w:tcBorders>
              <w:top w:val="single" w:sz="4" w:space="0" w:color="auto"/>
            </w:tcBorders>
            <w:noWrap/>
            <w:vAlign w:val="bottom"/>
          </w:tcPr>
          <w:p w14:paraId="2C9D700E" w14:textId="77777777" w:rsidR="00A60DA1" w:rsidRPr="00E3562B" w:rsidRDefault="00A60DA1" w:rsidP="00294522">
            <w:pPr>
              <w:spacing w:line="360" w:lineRule="auto"/>
              <w:jc w:val="right"/>
              <w:rPr>
                <w:rFonts w:eastAsia="Calibri"/>
                <w:szCs w:val="22"/>
                <w:lang w:val="en-GB"/>
              </w:rPr>
            </w:pPr>
            <w:r w:rsidRPr="00E3562B">
              <w:rPr>
                <w:szCs w:val="22"/>
                <w:lang w:val="en-GB"/>
              </w:rPr>
              <w:t>0.67</w:t>
            </w:r>
          </w:p>
        </w:tc>
        <w:tc>
          <w:tcPr>
            <w:tcW w:w="0" w:type="auto"/>
            <w:tcBorders>
              <w:top w:val="single" w:sz="4" w:space="0" w:color="auto"/>
            </w:tcBorders>
            <w:noWrap/>
            <w:vAlign w:val="bottom"/>
          </w:tcPr>
          <w:p w14:paraId="2EE0A52D" w14:textId="77777777" w:rsidR="00A60DA1" w:rsidRPr="00E3562B" w:rsidRDefault="00A60DA1" w:rsidP="00294522">
            <w:pPr>
              <w:spacing w:line="360" w:lineRule="auto"/>
              <w:jc w:val="right"/>
              <w:rPr>
                <w:rFonts w:eastAsia="Calibri"/>
                <w:szCs w:val="22"/>
                <w:lang w:val="en-GB"/>
              </w:rPr>
            </w:pPr>
            <w:r w:rsidRPr="00E3562B">
              <w:rPr>
                <w:szCs w:val="22"/>
                <w:lang w:val="en-GB"/>
              </w:rPr>
              <w:t>0.65</w:t>
            </w:r>
          </w:p>
        </w:tc>
      </w:tr>
      <w:tr w:rsidR="005D6588" w:rsidRPr="00E3562B" w14:paraId="185050D1" w14:textId="77777777" w:rsidTr="00294522">
        <w:trPr>
          <w:trHeight w:val="381"/>
        </w:trPr>
        <w:tc>
          <w:tcPr>
            <w:tcW w:w="0" w:type="auto"/>
            <w:noWrap/>
          </w:tcPr>
          <w:p w14:paraId="1890DAAE"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SD</w:t>
            </w:r>
          </w:p>
        </w:tc>
        <w:tc>
          <w:tcPr>
            <w:tcW w:w="0" w:type="auto"/>
            <w:noWrap/>
            <w:vAlign w:val="bottom"/>
          </w:tcPr>
          <w:p w14:paraId="0821F864"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c>
          <w:tcPr>
            <w:tcW w:w="0" w:type="auto"/>
            <w:noWrap/>
            <w:vAlign w:val="bottom"/>
          </w:tcPr>
          <w:p w14:paraId="1A42CA21" w14:textId="77777777" w:rsidR="00A60DA1" w:rsidRPr="00E3562B" w:rsidRDefault="00A60DA1" w:rsidP="00294522">
            <w:pPr>
              <w:spacing w:line="360" w:lineRule="auto"/>
              <w:jc w:val="right"/>
              <w:rPr>
                <w:rFonts w:eastAsia="Calibri"/>
                <w:szCs w:val="22"/>
                <w:lang w:val="en-GB"/>
              </w:rPr>
            </w:pPr>
            <w:r w:rsidRPr="00E3562B">
              <w:rPr>
                <w:szCs w:val="22"/>
                <w:lang w:val="en-GB"/>
              </w:rPr>
              <w:t>0.22</w:t>
            </w:r>
          </w:p>
        </w:tc>
        <w:tc>
          <w:tcPr>
            <w:tcW w:w="0" w:type="auto"/>
            <w:noWrap/>
            <w:vAlign w:val="bottom"/>
          </w:tcPr>
          <w:p w14:paraId="0F511781" w14:textId="77777777" w:rsidR="00A60DA1" w:rsidRPr="00E3562B" w:rsidRDefault="00A60DA1" w:rsidP="00294522">
            <w:pPr>
              <w:spacing w:line="360" w:lineRule="auto"/>
              <w:jc w:val="right"/>
              <w:rPr>
                <w:rFonts w:eastAsia="Calibri"/>
                <w:szCs w:val="22"/>
                <w:lang w:val="en-GB"/>
              </w:rPr>
            </w:pPr>
            <w:r w:rsidRPr="00E3562B">
              <w:rPr>
                <w:szCs w:val="22"/>
                <w:lang w:val="en-GB"/>
              </w:rPr>
              <w:t>0.22</w:t>
            </w:r>
          </w:p>
        </w:tc>
        <w:tc>
          <w:tcPr>
            <w:tcW w:w="0" w:type="auto"/>
            <w:noWrap/>
            <w:vAlign w:val="bottom"/>
          </w:tcPr>
          <w:p w14:paraId="34FF563A" w14:textId="77777777" w:rsidR="00A60DA1" w:rsidRPr="00E3562B" w:rsidRDefault="00A60DA1" w:rsidP="00294522">
            <w:pPr>
              <w:spacing w:line="360" w:lineRule="auto"/>
              <w:jc w:val="right"/>
              <w:rPr>
                <w:rFonts w:eastAsia="Calibri"/>
                <w:szCs w:val="22"/>
                <w:lang w:val="en-GB"/>
              </w:rPr>
            </w:pPr>
            <w:r w:rsidRPr="00E3562B">
              <w:rPr>
                <w:szCs w:val="22"/>
                <w:lang w:val="en-GB"/>
              </w:rPr>
              <w:t>0.25</w:t>
            </w:r>
          </w:p>
        </w:tc>
        <w:tc>
          <w:tcPr>
            <w:tcW w:w="0" w:type="auto"/>
            <w:noWrap/>
            <w:vAlign w:val="bottom"/>
          </w:tcPr>
          <w:p w14:paraId="429BC8E9" w14:textId="77777777" w:rsidR="00A60DA1" w:rsidRPr="00E3562B" w:rsidRDefault="00A60DA1" w:rsidP="00294522">
            <w:pPr>
              <w:spacing w:line="360" w:lineRule="auto"/>
              <w:jc w:val="right"/>
              <w:rPr>
                <w:rFonts w:eastAsia="Calibri"/>
                <w:szCs w:val="22"/>
                <w:lang w:val="en-GB"/>
              </w:rPr>
            </w:pPr>
            <w:r w:rsidRPr="00E3562B">
              <w:rPr>
                <w:szCs w:val="22"/>
                <w:lang w:val="en-GB"/>
              </w:rPr>
              <w:t>0.24</w:t>
            </w:r>
          </w:p>
        </w:tc>
        <w:tc>
          <w:tcPr>
            <w:tcW w:w="0" w:type="auto"/>
            <w:noWrap/>
            <w:vAlign w:val="bottom"/>
          </w:tcPr>
          <w:p w14:paraId="6D776450" w14:textId="77777777" w:rsidR="00A60DA1" w:rsidRPr="00E3562B" w:rsidRDefault="00A60DA1" w:rsidP="00294522">
            <w:pPr>
              <w:spacing w:line="360" w:lineRule="auto"/>
              <w:jc w:val="right"/>
              <w:rPr>
                <w:rFonts w:eastAsia="Calibri"/>
                <w:szCs w:val="22"/>
                <w:lang w:val="en-GB"/>
              </w:rPr>
            </w:pPr>
            <w:r w:rsidRPr="00E3562B">
              <w:rPr>
                <w:szCs w:val="22"/>
                <w:lang w:val="en-GB"/>
              </w:rPr>
              <w:t>0.22</w:t>
            </w:r>
          </w:p>
        </w:tc>
      </w:tr>
      <w:tr w:rsidR="005D6588" w:rsidRPr="00E3562B" w14:paraId="32A58A54" w14:textId="77777777" w:rsidTr="00294522">
        <w:trPr>
          <w:trHeight w:val="381"/>
        </w:trPr>
        <w:tc>
          <w:tcPr>
            <w:tcW w:w="0" w:type="auto"/>
            <w:noWrap/>
          </w:tcPr>
          <w:p w14:paraId="5C393039"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p25</w:t>
            </w:r>
          </w:p>
        </w:tc>
        <w:tc>
          <w:tcPr>
            <w:tcW w:w="0" w:type="auto"/>
            <w:noWrap/>
            <w:vAlign w:val="bottom"/>
          </w:tcPr>
          <w:p w14:paraId="18FBF3CB" w14:textId="77777777" w:rsidR="00A60DA1" w:rsidRPr="00E3562B" w:rsidRDefault="00A60DA1" w:rsidP="00294522">
            <w:pPr>
              <w:spacing w:line="360" w:lineRule="auto"/>
              <w:jc w:val="right"/>
              <w:rPr>
                <w:rFonts w:eastAsia="Calibri"/>
                <w:szCs w:val="22"/>
                <w:lang w:val="en-GB"/>
              </w:rPr>
            </w:pPr>
            <w:r w:rsidRPr="00E3562B">
              <w:rPr>
                <w:szCs w:val="22"/>
                <w:lang w:val="en-GB"/>
              </w:rPr>
              <w:t>0.50</w:t>
            </w:r>
          </w:p>
        </w:tc>
        <w:tc>
          <w:tcPr>
            <w:tcW w:w="0" w:type="auto"/>
            <w:noWrap/>
            <w:vAlign w:val="bottom"/>
          </w:tcPr>
          <w:p w14:paraId="14C47A9B" w14:textId="77777777" w:rsidR="00A60DA1" w:rsidRPr="00E3562B" w:rsidRDefault="00A60DA1" w:rsidP="00294522">
            <w:pPr>
              <w:spacing w:line="360" w:lineRule="auto"/>
              <w:jc w:val="right"/>
              <w:rPr>
                <w:rFonts w:eastAsia="Calibri"/>
                <w:szCs w:val="22"/>
                <w:lang w:val="en-GB"/>
              </w:rPr>
            </w:pPr>
            <w:r w:rsidRPr="00E3562B">
              <w:rPr>
                <w:szCs w:val="22"/>
                <w:lang w:val="en-GB"/>
              </w:rPr>
              <w:t>0.50</w:t>
            </w:r>
          </w:p>
        </w:tc>
        <w:tc>
          <w:tcPr>
            <w:tcW w:w="0" w:type="auto"/>
            <w:noWrap/>
            <w:vAlign w:val="bottom"/>
          </w:tcPr>
          <w:p w14:paraId="50A04734" w14:textId="77777777" w:rsidR="00A60DA1" w:rsidRPr="00E3562B" w:rsidRDefault="00A60DA1" w:rsidP="00294522">
            <w:pPr>
              <w:spacing w:line="360" w:lineRule="auto"/>
              <w:jc w:val="right"/>
              <w:rPr>
                <w:rFonts w:eastAsia="Calibri"/>
                <w:szCs w:val="22"/>
                <w:lang w:val="en-GB"/>
              </w:rPr>
            </w:pPr>
            <w:r w:rsidRPr="00E3562B">
              <w:rPr>
                <w:szCs w:val="22"/>
                <w:lang w:val="en-GB"/>
              </w:rPr>
              <w:t>0.50</w:t>
            </w:r>
          </w:p>
        </w:tc>
        <w:tc>
          <w:tcPr>
            <w:tcW w:w="0" w:type="auto"/>
            <w:noWrap/>
            <w:vAlign w:val="bottom"/>
          </w:tcPr>
          <w:p w14:paraId="2FD866E4" w14:textId="77777777" w:rsidR="00A60DA1" w:rsidRPr="00E3562B" w:rsidRDefault="00A60DA1" w:rsidP="00294522">
            <w:pPr>
              <w:spacing w:line="360" w:lineRule="auto"/>
              <w:jc w:val="right"/>
              <w:rPr>
                <w:rFonts w:eastAsia="Calibri"/>
                <w:szCs w:val="22"/>
                <w:lang w:val="en-GB"/>
              </w:rPr>
            </w:pPr>
            <w:r w:rsidRPr="00E3562B">
              <w:rPr>
                <w:szCs w:val="22"/>
                <w:lang w:val="en-GB"/>
              </w:rPr>
              <w:t>0.50</w:t>
            </w:r>
          </w:p>
        </w:tc>
        <w:tc>
          <w:tcPr>
            <w:tcW w:w="0" w:type="auto"/>
            <w:noWrap/>
            <w:vAlign w:val="bottom"/>
          </w:tcPr>
          <w:p w14:paraId="1BEFF9DE" w14:textId="77777777" w:rsidR="00A60DA1" w:rsidRPr="00E3562B" w:rsidRDefault="00A60DA1" w:rsidP="00294522">
            <w:pPr>
              <w:spacing w:line="360" w:lineRule="auto"/>
              <w:jc w:val="right"/>
              <w:rPr>
                <w:rFonts w:eastAsia="Calibri"/>
                <w:szCs w:val="22"/>
                <w:lang w:val="en-GB"/>
              </w:rPr>
            </w:pPr>
            <w:r w:rsidRPr="00E3562B">
              <w:rPr>
                <w:szCs w:val="22"/>
                <w:lang w:val="en-GB"/>
              </w:rPr>
              <w:t>0.50</w:t>
            </w:r>
          </w:p>
        </w:tc>
        <w:tc>
          <w:tcPr>
            <w:tcW w:w="0" w:type="auto"/>
            <w:noWrap/>
            <w:vAlign w:val="bottom"/>
          </w:tcPr>
          <w:p w14:paraId="60518699" w14:textId="77777777" w:rsidR="00A60DA1" w:rsidRPr="00E3562B" w:rsidRDefault="00A60DA1" w:rsidP="00294522">
            <w:pPr>
              <w:spacing w:line="360" w:lineRule="auto"/>
              <w:jc w:val="right"/>
              <w:rPr>
                <w:rFonts w:eastAsia="Calibri"/>
                <w:szCs w:val="22"/>
                <w:lang w:val="en-GB"/>
              </w:rPr>
            </w:pPr>
            <w:r w:rsidRPr="00E3562B">
              <w:rPr>
                <w:szCs w:val="22"/>
                <w:lang w:val="en-GB"/>
              </w:rPr>
              <w:t>0.50</w:t>
            </w:r>
          </w:p>
        </w:tc>
      </w:tr>
      <w:tr w:rsidR="005D6588" w:rsidRPr="00E3562B" w14:paraId="56F72EF0" w14:textId="77777777" w:rsidTr="00294522">
        <w:trPr>
          <w:trHeight w:val="381"/>
        </w:trPr>
        <w:tc>
          <w:tcPr>
            <w:tcW w:w="0" w:type="auto"/>
            <w:noWrap/>
          </w:tcPr>
          <w:p w14:paraId="13B87DD4"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Median</w:t>
            </w:r>
          </w:p>
        </w:tc>
        <w:tc>
          <w:tcPr>
            <w:tcW w:w="0" w:type="auto"/>
            <w:noWrap/>
            <w:vAlign w:val="bottom"/>
          </w:tcPr>
          <w:p w14:paraId="27BFE22B" w14:textId="77777777" w:rsidR="00A60DA1" w:rsidRPr="00E3562B" w:rsidRDefault="00A60DA1" w:rsidP="00294522">
            <w:pPr>
              <w:spacing w:line="360" w:lineRule="auto"/>
              <w:jc w:val="right"/>
              <w:rPr>
                <w:rFonts w:eastAsia="Calibri"/>
                <w:szCs w:val="22"/>
                <w:lang w:val="en-GB"/>
              </w:rPr>
            </w:pPr>
            <w:r w:rsidRPr="00E3562B">
              <w:rPr>
                <w:szCs w:val="22"/>
                <w:lang w:val="en-GB"/>
              </w:rPr>
              <w:t>0.75</w:t>
            </w:r>
          </w:p>
        </w:tc>
        <w:tc>
          <w:tcPr>
            <w:tcW w:w="0" w:type="auto"/>
            <w:noWrap/>
            <w:vAlign w:val="bottom"/>
          </w:tcPr>
          <w:p w14:paraId="07544F49" w14:textId="77777777" w:rsidR="00A60DA1" w:rsidRPr="00E3562B" w:rsidRDefault="00A60DA1" w:rsidP="00294522">
            <w:pPr>
              <w:spacing w:line="360" w:lineRule="auto"/>
              <w:jc w:val="right"/>
              <w:rPr>
                <w:rFonts w:eastAsia="Calibri"/>
                <w:szCs w:val="22"/>
                <w:lang w:val="en-GB"/>
              </w:rPr>
            </w:pPr>
            <w:r w:rsidRPr="00E3562B">
              <w:rPr>
                <w:szCs w:val="22"/>
                <w:lang w:val="en-GB"/>
              </w:rPr>
              <w:t>0.50</w:t>
            </w:r>
          </w:p>
        </w:tc>
        <w:tc>
          <w:tcPr>
            <w:tcW w:w="0" w:type="auto"/>
            <w:noWrap/>
            <w:vAlign w:val="bottom"/>
          </w:tcPr>
          <w:p w14:paraId="487257D2" w14:textId="77777777" w:rsidR="00A60DA1" w:rsidRPr="00E3562B" w:rsidRDefault="00A60DA1" w:rsidP="00294522">
            <w:pPr>
              <w:spacing w:line="360" w:lineRule="auto"/>
              <w:jc w:val="right"/>
              <w:rPr>
                <w:rFonts w:eastAsia="Calibri"/>
                <w:szCs w:val="22"/>
                <w:lang w:val="en-GB"/>
              </w:rPr>
            </w:pPr>
            <w:r w:rsidRPr="00E3562B">
              <w:rPr>
                <w:szCs w:val="22"/>
                <w:lang w:val="en-GB"/>
              </w:rPr>
              <w:t>0.50</w:t>
            </w:r>
          </w:p>
        </w:tc>
        <w:tc>
          <w:tcPr>
            <w:tcW w:w="0" w:type="auto"/>
            <w:noWrap/>
            <w:vAlign w:val="bottom"/>
          </w:tcPr>
          <w:p w14:paraId="659FE4E2" w14:textId="77777777" w:rsidR="00A60DA1" w:rsidRPr="00E3562B" w:rsidRDefault="00A60DA1" w:rsidP="00294522">
            <w:pPr>
              <w:spacing w:line="360" w:lineRule="auto"/>
              <w:jc w:val="right"/>
              <w:rPr>
                <w:rFonts w:eastAsia="Calibri"/>
                <w:szCs w:val="22"/>
                <w:lang w:val="en-GB"/>
              </w:rPr>
            </w:pPr>
            <w:r w:rsidRPr="00E3562B">
              <w:rPr>
                <w:szCs w:val="22"/>
                <w:lang w:val="en-GB"/>
              </w:rPr>
              <w:t>0.75</w:t>
            </w:r>
          </w:p>
        </w:tc>
        <w:tc>
          <w:tcPr>
            <w:tcW w:w="0" w:type="auto"/>
            <w:noWrap/>
            <w:vAlign w:val="bottom"/>
          </w:tcPr>
          <w:p w14:paraId="421CAAE3" w14:textId="77777777" w:rsidR="00A60DA1" w:rsidRPr="00E3562B" w:rsidRDefault="00A60DA1" w:rsidP="00294522">
            <w:pPr>
              <w:spacing w:line="360" w:lineRule="auto"/>
              <w:jc w:val="right"/>
              <w:rPr>
                <w:rFonts w:eastAsia="Calibri"/>
                <w:szCs w:val="22"/>
                <w:lang w:val="en-GB"/>
              </w:rPr>
            </w:pPr>
            <w:r w:rsidRPr="00E3562B">
              <w:rPr>
                <w:szCs w:val="22"/>
                <w:lang w:val="en-GB"/>
              </w:rPr>
              <w:t>0.75</w:t>
            </w:r>
          </w:p>
        </w:tc>
        <w:tc>
          <w:tcPr>
            <w:tcW w:w="0" w:type="auto"/>
            <w:noWrap/>
            <w:vAlign w:val="bottom"/>
          </w:tcPr>
          <w:p w14:paraId="60D498CF" w14:textId="77777777" w:rsidR="00A60DA1" w:rsidRPr="00E3562B" w:rsidRDefault="00A60DA1" w:rsidP="00294522">
            <w:pPr>
              <w:spacing w:line="360" w:lineRule="auto"/>
              <w:jc w:val="right"/>
              <w:rPr>
                <w:rFonts w:eastAsia="Calibri"/>
                <w:szCs w:val="22"/>
                <w:lang w:val="en-GB"/>
              </w:rPr>
            </w:pPr>
            <w:r w:rsidRPr="00E3562B">
              <w:rPr>
                <w:szCs w:val="22"/>
                <w:lang w:val="en-GB"/>
              </w:rPr>
              <w:t>0.75</w:t>
            </w:r>
          </w:p>
        </w:tc>
      </w:tr>
      <w:tr w:rsidR="005D6588" w:rsidRPr="00E3562B" w14:paraId="2F1D0B39" w14:textId="77777777" w:rsidTr="00294522">
        <w:trPr>
          <w:trHeight w:val="381"/>
        </w:trPr>
        <w:tc>
          <w:tcPr>
            <w:tcW w:w="0" w:type="auto"/>
            <w:tcBorders>
              <w:bottom w:val="single" w:sz="4" w:space="0" w:color="auto"/>
            </w:tcBorders>
            <w:noWrap/>
          </w:tcPr>
          <w:p w14:paraId="63D0A30C"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p75</w:t>
            </w:r>
          </w:p>
        </w:tc>
        <w:tc>
          <w:tcPr>
            <w:tcW w:w="0" w:type="auto"/>
            <w:tcBorders>
              <w:bottom w:val="single" w:sz="4" w:space="0" w:color="auto"/>
            </w:tcBorders>
            <w:noWrap/>
            <w:vAlign w:val="bottom"/>
          </w:tcPr>
          <w:p w14:paraId="560BF8D9" w14:textId="77777777" w:rsidR="00A60DA1" w:rsidRPr="00E3562B" w:rsidRDefault="00A60DA1" w:rsidP="00294522">
            <w:pPr>
              <w:spacing w:line="360" w:lineRule="auto"/>
              <w:jc w:val="right"/>
              <w:rPr>
                <w:rFonts w:eastAsia="Calibri"/>
                <w:szCs w:val="22"/>
                <w:lang w:val="en-GB"/>
              </w:rPr>
            </w:pPr>
            <w:r w:rsidRPr="00E3562B">
              <w:rPr>
                <w:szCs w:val="22"/>
                <w:lang w:val="en-GB"/>
              </w:rPr>
              <w:t>0.75</w:t>
            </w:r>
          </w:p>
        </w:tc>
        <w:tc>
          <w:tcPr>
            <w:tcW w:w="0" w:type="auto"/>
            <w:tcBorders>
              <w:bottom w:val="single" w:sz="4" w:space="0" w:color="auto"/>
            </w:tcBorders>
            <w:noWrap/>
            <w:vAlign w:val="bottom"/>
          </w:tcPr>
          <w:p w14:paraId="24566F7B" w14:textId="77777777" w:rsidR="00A60DA1" w:rsidRPr="00E3562B" w:rsidRDefault="00A60DA1" w:rsidP="00294522">
            <w:pPr>
              <w:spacing w:line="360" w:lineRule="auto"/>
              <w:jc w:val="right"/>
              <w:rPr>
                <w:rFonts w:eastAsia="Calibri"/>
                <w:szCs w:val="22"/>
                <w:lang w:val="en-GB"/>
              </w:rPr>
            </w:pPr>
            <w:r w:rsidRPr="00E3562B">
              <w:rPr>
                <w:szCs w:val="22"/>
                <w:lang w:val="en-GB"/>
              </w:rPr>
              <w:t>0.75</w:t>
            </w:r>
          </w:p>
        </w:tc>
        <w:tc>
          <w:tcPr>
            <w:tcW w:w="0" w:type="auto"/>
            <w:tcBorders>
              <w:bottom w:val="single" w:sz="4" w:space="0" w:color="auto"/>
            </w:tcBorders>
            <w:noWrap/>
            <w:vAlign w:val="bottom"/>
          </w:tcPr>
          <w:p w14:paraId="22FF8293" w14:textId="77777777" w:rsidR="00A60DA1" w:rsidRPr="00E3562B" w:rsidRDefault="00A60DA1" w:rsidP="00294522">
            <w:pPr>
              <w:spacing w:line="360" w:lineRule="auto"/>
              <w:jc w:val="right"/>
              <w:rPr>
                <w:rFonts w:eastAsia="Calibri"/>
                <w:szCs w:val="22"/>
                <w:lang w:val="en-GB"/>
              </w:rPr>
            </w:pPr>
            <w:r w:rsidRPr="00E3562B">
              <w:rPr>
                <w:szCs w:val="22"/>
                <w:lang w:val="en-GB"/>
              </w:rPr>
              <w:t>0.75</w:t>
            </w:r>
          </w:p>
        </w:tc>
        <w:tc>
          <w:tcPr>
            <w:tcW w:w="0" w:type="auto"/>
            <w:tcBorders>
              <w:bottom w:val="single" w:sz="4" w:space="0" w:color="auto"/>
            </w:tcBorders>
            <w:noWrap/>
            <w:vAlign w:val="bottom"/>
          </w:tcPr>
          <w:p w14:paraId="3F41006B" w14:textId="77777777" w:rsidR="00A60DA1" w:rsidRPr="00E3562B" w:rsidRDefault="00A60DA1" w:rsidP="00294522">
            <w:pPr>
              <w:spacing w:line="360" w:lineRule="auto"/>
              <w:jc w:val="right"/>
              <w:rPr>
                <w:rFonts w:eastAsia="Calibri"/>
                <w:szCs w:val="22"/>
                <w:lang w:val="en-GB"/>
              </w:rPr>
            </w:pPr>
            <w:r w:rsidRPr="00E3562B">
              <w:rPr>
                <w:szCs w:val="22"/>
                <w:lang w:val="en-GB"/>
              </w:rPr>
              <w:t>0.75</w:t>
            </w:r>
          </w:p>
        </w:tc>
        <w:tc>
          <w:tcPr>
            <w:tcW w:w="0" w:type="auto"/>
            <w:tcBorders>
              <w:bottom w:val="single" w:sz="4" w:space="0" w:color="auto"/>
            </w:tcBorders>
            <w:noWrap/>
            <w:vAlign w:val="bottom"/>
          </w:tcPr>
          <w:p w14:paraId="3BB9D97F" w14:textId="77777777" w:rsidR="00A60DA1" w:rsidRPr="00E3562B" w:rsidRDefault="00A60DA1" w:rsidP="00294522">
            <w:pPr>
              <w:spacing w:line="360" w:lineRule="auto"/>
              <w:jc w:val="right"/>
              <w:rPr>
                <w:rFonts w:eastAsia="Calibri"/>
                <w:szCs w:val="22"/>
                <w:lang w:val="en-GB"/>
              </w:rPr>
            </w:pPr>
            <w:r w:rsidRPr="00E3562B">
              <w:rPr>
                <w:szCs w:val="22"/>
                <w:lang w:val="en-GB"/>
              </w:rPr>
              <w:t>0.75</w:t>
            </w:r>
          </w:p>
        </w:tc>
        <w:tc>
          <w:tcPr>
            <w:tcW w:w="0" w:type="auto"/>
            <w:tcBorders>
              <w:bottom w:val="single" w:sz="4" w:space="0" w:color="auto"/>
            </w:tcBorders>
            <w:noWrap/>
            <w:vAlign w:val="bottom"/>
          </w:tcPr>
          <w:p w14:paraId="63D9A1B2" w14:textId="77777777" w:rsidR="00A60DA1" w:rsidRPr="00E3562B" w:rsidRDefault="00A60DA1" w:rsidP="00294522">
            <w:pPr>
              <w:spacing w:line="360" w:lineRule="auto"/>
              <w:jc w:val="right"/>
              <w:rPr>
                <w:rFonts w:eastAsia="Calibri"/>
                <w:szCs w:val="22"/>
                <w:lang w:val="en-GB"/>
              </w:rPr>
            </w:pPr>
            <w:r w:rsidRPr="00E3562B">
              <w:rPr>
                <w:szCs w:val="22"/>
                <w:lang w:val="en-GB"/>
              </w:rPr>
              <w:t>0.75</w:t>
            </w:r>
          </w:p>
        </w:tc>
      </w:tr>
      <w:tr w:rsidR="005D6588" w:rsidRPr="00E3562B" w14:paraId="3FC624E6" w14:textId="77777777" w:rsidTr="00294522">
        <w:trPr>
          <w:trHeight w:val="381"/>
        </w:trPr>
        <w:tc>
          <w:tcPr>
            <w:tcW w:w="0" w:type="auto"/>
            <w:gridSpan w:val="7"/>
            <w:tcBorders>
              <w:top w:val="single" w:sz="4" w:space="0" w:color="auto"/>
              <w:bottom w:val="single" w:sz="4" w:space="0" w:color="auto"/>
            </w:tcBorders>
            <w:noWrap/>
          </w:tcPr>
          <w:p w14:paraId="08445038" w14:textId="77777777" w:rsidR="00A60DA1" w:rsidRPr="00E3562B" w:rsidRDefault="00A60DA1" w:rsidP="00294522">
            <w:pPr>
              <w:numPr>
                <w:ilvl w:val="0"/>
                <w:numId w:val="31"/>
              </w:numPr>
              <w:spacing w:line="240" w:lineRule="auto"/>
              <w:contextualSpacing/>
              <w:jc w:val="left"/>
              <w:rPr>
                <w:rFonts w:eastAsia="Calibri"/>
                <w:i/>
                <w:iCs/>
                <w:szCs w:val="22"/>
                <w:lang w:val="en-GB"/>
              </w:rPr>
            </w:pPr>
            <w:r w:rsidRPr="00E3562B">
              <w:rPr>
                <w:rFonts w:eastAsia="Calibri"/>
                <w:i/>
                <w:iCs/>
                <w:szCs w:val="22"/>
                <w:lang w:val="en-GB"/>
              </w:rPr>
              <w:t>Policies</w:t>
            </w:r>
          </w:p>
        </w:tc>
      </w:tr>
      <w:tr w:rsidR="005D6588" w:rsidRPr="00E3562B" w14:paraId="39646745" w14:textId="77777777" w:rsidTr="00294522">
        <w:trPr>
          <w:trHeight w:val="381"/>
        </w:trPr>
        <w:tc>
          <w:tcPr>
            <w:tcW w:w="0" w:type="auto"/>
            <w:tcBorders>
              <w:top w:val="single" w:sz="4" w:space="0" w:color="auto"/>
            </w:tcBorders>
            <w:noWrap/>
          </w:tcPr>
          <w:p w14:paraId="2F825A02"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Mean</w:t>
            </w:r>
          </w:p>
        </w:tc>
        <w:tc>
          <w:tcPr>
            <w:tcW w:w="0" w:type="auto"/>
            <w:tcBorders>
              <w:top w:val="single" w:sz="4" w:space="0" w:color="auto"/>
            </w:tcBorders>
            <w:noWrap/>
            <w:vAlign w:val="bottom"/>
          </w:tcPr>
          <w:p w14:paraId="36C3B906" w14:textId="77777777" w:rsidR="00A60DA1" w:rsidRPr="00E3562B" w:rsidRDefault="00A60DA1" w:rsidP="00294522">
            <w:pPr>
              <w:spacing w:line="360" w:lineRule="auto"/>
              <w:jc w:val="right"/>
              <w:rPr>
                <w:rFonts w:eastAsia="Calibri"/>
                <w:szCs w:val="22"/>
                <w:lang w:val="en-GB"/>
              </w:rPr>
            </w:pPr>
            <w:r w:rsidRPr="00E3562B">
              <w:rPr>
                <w:szCs w:val="22"/>
                <w:lang w:val="en-GB"/>
              </w:rPr>
              <w:t>0.56</w:t>
            </w:r>
          </w:p>
        </w:tc>
        <w:tc>
          <w:tcPr>
            <w:tcW w:w="0" w:type="auto"/>
            <w:tcBorders>
              <w:top w:val="single" w:sz="4" w:space="0" w:color="auto"/>
            </w:tcBorders>
            <w:noWrap/>
            <w:vAlign w:val="bottom"/>
          </w:tcPr>
          <w:p w14:paraId="0D9DDACC" w14:textId="77777777" w:rsidR="00A60DA1" w:rsidRPr="00E3562B" w:rsidRDefault="00A60DA1" w:rsidP="00294522">
            <w:pPr>
              <w:spacing w:line="360" w:lineRule="auto"/>
              <w:jc w:val="right"/>
              <w:rPr>
                <w:rFonts w:eastAsia="Calibri"/>
                <w:szCs w:val="22"/>
                <w:lang w:val="en-GB"/>
              </w:rPr>
            </w:pPr>
            <w:r w:rsidRPr="00E3562B">
              <w:rPr>
                <w:szCs w:val="22"/>
                <w:lang w:val="en-GB"/>
              </w:rPr>
              <w:t>0.51</w:t>
            </w:r>
          </w:p>
        </w:tc>
        <w:tc>
          <w:tcPr>
            <w:tcW w:w="0" w:type="auto"/>
            <w:tcBorders>
              <w:top w:val="single" w:sz="4" w:space="0" w:color="auto"/>
            </w:tcBorders>
            <w:noWrap/>
            <w:vAlign w:val="bottom"/>
          </w:tcPr>
          <w:p w14:paraId="7BDF7FC0" w14:textId="77777777" w:rsidR="00A60DA1" w:rsidRPr="00E3562B" w:rsidRDefault="00A60DA1" w:rsidP="00294522">
            <w:pPr>
              <w:spacing w:line="360" w:lineRule="auto"/>
              <w:jc w:val="right"/>
              <w:rPr>
                <w:rFonts w:eastAsia="Calibri"/>
                <w:szCs w:val="22"/>
                <w:lang w:val="en-GB"/>
              </w:rPr>
            </w:pPr>
            <w:r w:rsidRPr="00E3562B">
              <w:rPr>
                <w:szCs w:val="22"/>
                <w:lang w:val="en-GB"/>
              </w:rPr>
              <w:t>0.52</w:t>
            </w:r>
          </w:p>
        </w:tc>
        <w:tc>
          <w:tcPr>
            <w:tcW w:w="0" w:type="auto"/>
            <w:tcBorders>
              <w:top w:val="single" w:sz="4" w:space="0" w:color="auto"/>
            </w:tcBorders>
            <w:noWrap/>
            <w:vAlign w:val="bottom"/>
          </w:tcPr>
          <w:p w14:paraId="4834D911" w14:textId="77777777" w:rsidR="00A60DA1" w:rsidRPr="00E3562B" w:rsidRDefault="00A60DA1" w:rsidP="00294522">
            <w:pPr>
              <w:spacing w:line="360" w:lineRule="auto"/>
              <w:jc w:val="right"/>
              <w:rPr>
                <w:rFonts w:eastAsia="Calibri"/>
                <w:szCs w:val="22"/>
                <w:lang w:val="en-GB"/>
              </w:rPr>
            </w:pPr>
            <w:r w:rsidRPr="00E3562B">
              <w:rPr>
                <w:szCs w:val="22"/>
                <w:lang w:val="en-GB"/>
              </w:rPr>
              <w:t>0.57</w:t>
            </w:r>
          </w:p>
        </w:tc>
        <w:tc>
          <w:tcPr>
            <w:tcW w:w="0" w:type="auto"/>
            <w:tcBorders>
              <w:top w:val="single" w:sz="4" w:space="0" w:color="auto"/>
            </w:tcBorders>
            <w:noWrap/>
            <w:vAlign w:val="bottom"/>
          </w:tcPr>
          <w:p w14:paraId="2E7845CE" w14:textId="77777777" w:rsidR="00A60DA1" w:rsidRPr="00E3562B" w:rsidRDefault="00A60DA1" w:rsidP="00294522">
            <w:pPr>
              <w:spacing w:line="360" w:lineRule="auto"/>
              <w:jc w:val="right"/>
              <w:rPr>
                <w:rFonts w:eastAsia="Calibri"/>
                <w:szCs w:val="22"/>
                <w:lang w:val="en-GB"/>
              </w:rPr>
            </w:pPr>
            <w:r w:rsidRPr="00E3562B">
              <w:rPr>
                <w:szCs w:val="22"/>
                <w:lang w:val="en-GB"/>
              </w:rPr>
              <w:t>0.59</w:t>
            </w:r>
          </w:p>
        </w:tc>
        <w:tc>
          <w:tcPr>
            <w:tcW w:w="0" w:type="auto"/>
            <w:tcBorders>
              <w:top w:val="single" w:sz="4" w:space="0" w:color="auto"/>
            </w:tcBorders>
            <w:noWrap/>
            <w:vAlign w:val="bottom"/>
          </w:tcPr>
          <w:p w14:paraId="571AC780" w14:textId="77777777" w:rsidR="00A60DA1" w:rsidRPr="00E3562B" w:rsidRDefault="00A60DA1" w:rsidP="00294522">
            <w:pPr>
              <w:spacing w:line="360" w:lineRule="auto"/>
              <w:jc w:val="right"/>
              <w:rPr>
                <w:rFonts w:eastAsia="Calibri"/>
                <w:szCs w:val="22"/>
                <w:lang w:val="en-GB"/>
              </w:rPr>
            </w:pPr>
            <w:r w:rsidRPr="00E3562B">
              <w:rPr>
                <w:szCs w:val="22"/>
                <w:lang w:val="en-GB"/>
              </w:rPr>
              <w:t>0.63</w:t>
            </w:r>
          </w:p>
        </w:tc>
      </w:tr>
      <w:tr w:rsidR="005D6588" w:rsidRPr="00E3562B" w14:paraId="6908DEE1" w14:textId="77777777" w:rsidTr="00294522">
        <w:trPr>
          <w:trHeight w:val="381"/>
        </w:trPr>
        <w:tc>
          <w:tcPr>
            <w:tcW w:w="0" w:type="auto"/>
            <w:noWrap/>
          </w:tcPr>
          <w:p w14:paraId="5BDA9FE0"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SD</w:t>
            </w:r>
          </w:p>
        </w:tc>
        <w:tc>
          <w:tcPr>
            <w:tcW w:w="0" w:type="auto"/>
            <w:noWrap/>
            <w:vAlign w:val="bottom"/>
          </w:tcPr>
          <w:p w14:paraId="6D343E19" w14:textId="77777777" w:rsidR="00A60DA1" w:rsidRPr="00E3562B" w:rsidRDefault="00A60DA1" w:rsidP="00294522">
            <w:pPr>
              <w:spacing w:line="360" w:lineRule="auto"/>
              <w:jc w:val="right"/>
              <w:rPr>
                <w:rFonts w:eastAsia="Calibri"/>
                <w:szCs w:val="22"/>
                <w:lang w:val="en-GB"/>
              </w:rPr>
            </w:pPr>
            <w:r w:rsidRPr="00E3562B">
              <w:rPr>
                <w:szCs w:val="22"/>
                <w:lang w:val="en-GB"/>
              </w:rPr>
              <w:t>0.24</w:t>
            </w:r>
          </w:p>
        </w:tc>
        <w:tc>
          <w:tcPr>
            <w:tcW w:w="0" w:type="auto"/>
            <w:noWrap/>
            <w:vAlign w:val="bottom"/>
          </w:tcPr>
          <w:p w14:paraId="083F2A3D"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c>
          <w:tcPr>
            <w:tcW w:w="0" w:type="auto"/>
            <w:noWrap/>
            <w:vAlign w:val="bottom"/>
          </w:tcPr>
          <w:p w14:paraId="7A442206"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c>
          <w:tcPr>
            <w:tcW w:w="0" w:type="auto"/>
            <w:noWrap/>
            <w:vAlign w:val="bottom"/>
          </w:tcPr>
          <w:p w14:paraId="22DA4568" w14:textId="77777777" w:rsidR="00A60DA1" w:rsidRPr="00E3562B" w:rsidRDefault="00A60DA1" w:rsidP="00294522">
            <w:pPr>
              <w:spacing w:line="360" w:lineRule="auto"/>
              <w:jc w:val="right"/>
              <w:rPr>
                <w:rFonts w:eastAsia="Calibri"/>
                <w:szCs w:val="22"/>
                <w:lang w:val="en-GB"/>
              </w:rPr>
            </w:pPr>
            <w:r w:rsidRPr="00E3562B">
              <w:rPr>
                <w:szCs w:val="22"/>
                <w:lang w:val="en-GB"/>
              </w:rPr>
              <w:t>0.25</w:t>
            </w:r>
          </w:p>
        </w:tc>
        <w:tc>
          <w:tcPr>
            <w:tcW w:w="0" w:type="auto"/>
            <w:noWrap/>
            <w:vAlign w:val="bottom"/>
          </w:tcPr>
          <w:p w14:paraId="2AA558C3"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c>
          <w:tcPr>
            <w:tcW w:w="0" w:type="auto"/>
            <w:noWrap/>
            <w:vAlign w:val="bottom"/>
          </w:tcPr>
          <w:p w14:paraId="244AEA3D" w14:textId="77777777" w:rsidR="00A60DA1" w:rsidRPr="00E3562B" w:rsidRDefault="00A60DA1" w:rsidP="00294522">
            <w:pPr>
              <w:spacing w:line="360" w:lineRule="auto"/>
              <w:jc w:val="right"/>
              <w:rPr>
                <w:rFonts w:eastAsia="Calibri"/>
                <w:szCs w:val="22"/>
                <w:lang w:val="en-GB"/>
              </w:rPr>
            </w:pPr>
            <w:r w:rsidRPr="00E3562B">
              <w:rPr>
                <w:szCs w:val="22"/>
                <w:lang w:val="en-GB"/>
              </w:rPr>
              <w:t>0.22</w:t>
            </w:r>
          </w:p>
        </w:tc>
      </w:tr>
      <w:tr w:rsidR="005D6588" w:rsidRPr="00E3562B" w14:paraId="044F01CA" w14:textId="77777777" w:rsidTr="00294522">
        <w:trPr>
          <w:trHeight w:val="381"/>
        </w:trPr>
        <w:tc>
          <w:tcPr>
            <w:tcW w:w="0" w:type="auto"/>
            <w:noWrap/>
          </w:tcPr>
          <w:p w14:paraId="145B4AD6"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p25</w:t>
            </w:r>
          </w:p>
        </w:tc>
        <w:tc>
          <w:tcPr>
            <w:tcW w:w="0" w:type="auto"/>
            <w:noWrap/>
            <w:vAlign w:val="bottom"/>
          </w:tcPr>
          <w:p w14:paraId="0D52B934"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3997C1FA"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0DF9759B"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3621705C"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3BE043FA"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259C9D65"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r>
      <w:tr w:rsidR="005D6588" w:rsidRPr="00E3562B" w14:paraId="75D76D44" w14:textId="77777777" w:rsidTr="00294522">
        <w:trPr>
          <w:trHeight w:val="381"/>
        </w:trPr>
        <w:tc>
          <w:tcPr>
            <w:tcW w:w="0" w:type="auto"/>
            <w:noWrap/>
          </w:tcPr>
          <w:p w14:paraId="66044A8B"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Median</w:t>
            </w:r>
          </w:p>
        </w:tc>
        <w:tc>
          <w:tcPr>
            <w:tcW w:w="0" w:type="auto"/>
            <w:noWrap/>
            <w:vAlign w:val="bottom"/>
          </w:tcPr>
          <w:p w14:paraId="4DAC9E1F"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noWrap/>
            <w:vAlign w:val="bottom"/>
          </w:tcPr>
          <w:p w14:paraId="723AED1E"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noWrap/>
            <w:vAlign w:val="bottom"/>
          </w:tcPr>
          <w:p w14:paraId="59A77A47"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noWrap/>
            <w:vAlign w:val="bottom"/>
          </w:tcPr>
          <w:p w14:paraId="090AE2AB"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noWrap/>
            <w:vAlign w:val="bottom"/>
          </w:tcPr>
          <w:p w14:paraId="01A66AAE"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noWrap/>
            <w:vAlign w:val="bottom"/>
          </w:tcPr>
          <w:p w14:paraId="68573D4C"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r>
      <w:tr w:rsidR="005D6588" w:rsidRPr="00E3562B" w14:paraId="4F7BC3E5" w14:textId="77777777" w:rsidTr="00294522">
        <w:trPr>
          <w:trHeight w:val="381"/>
        </w:trPr>
        <w:tc>
          <w:tcPr>
            <w:tcW w:w="0" w:type="auto"/>
            <w:tcBorders>
              <w:bottom w:val="single" w:sz="4" w:space="0" w:color="auto"/>
            </w:tcBorders>
            <w:noWrap/>
          </w:tcPr>
          <w:p w14:paraId="6487BB25"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p75</w:t>
            </w:r>
          </w:p>
        </w:tc>
        <w:tc>
          <w:tcPr>
            <w:tcW w:w="0" w:type="auto"/>
            <w:tcBorders>
              <w:bottom w:val="single" w:sz="4" w:space="0" w:color="auto"/>
            </w:tcBorders>
            <w:noWrap/>
            <w:vAlign w:val="bottom"/>
          </w:tcPr>
          <w:p w14:paraId="46235495" w14:textId="77777777" w:rsidR="00A60DA1" w:rsidRPr="00E3562B" w:rsidRDefault="00A60DA1" w:rsidP="00294522">
            <w:pPr>
              <w:spacing w:line="360" w:lineRule="auto"/>
              <w:jc w:val="right"/>
              <w:rPr>
                <w:rFonts w:eastAsia="Calibri"/>
                <w:szCs w:val="22"/>
                <w:lang w:val="en-GB"/>
              </w:rPr>
            </w:pPr>
            <w:r w:rsidRPr="00E3562B">
              <w:rPr>
                <w:szCs w:val="22"/>
                <w:lang w:val="en-GB"/>
              </w:rPr>
              <w:t>0.80</w:t>
            </w:r>
          </w:p>
        </w:tc>
        <w:tc>
          <w:tcPr>
            <w:tcW w:w="0" w:type="auto"/>
            <w:tcBorders>
              <w:bottom w:val="single" w:sz="4" w:space="0" w:color="auto"/>
            </w:tcBorders>
            <w:noWrap/>
            <w:vAlign w:val="bottom"/>
          </w:tcPr>
          <w:p w14:paraId="54709F4F"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tcBorders>
              <w:bottom w:val="single" w:sz="4" w:space="0" w:color="auto"/>
            </w:tcBorders>
            <w:noWrap/>
            <w:vAlign w:val="bottom"/>
          </w:tcPr>
          <w:p w14:paraId="7F9C88F7"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tcBorders>
              <w:bottom w:val="single" w:sz="4" w:space="0" w:color="auto"/>
            </w:tcBorders>
            <w:noWrap/>
            <w:vAlign w:val="bottom"/>
          </w:tcPr>
          <w:p w14:paraId="333F61D2" w14:textId="77777777" w:rsidR="00A60DA1" w:rsidRPr="00E3562B" w:rsidRDefault="00A60DA1" w:rsidP="00294522">
            <w:pPr>
              <w:spacing w:line="360" w:lineRule="auto"/>
              <w:jc w:val="right"/>
              <w:rPr>
                <w:rFonts w:eastAsia="Calibri"/>
                <w:szCs w:val="22"/>
                <w:lang w:val="en-GB"/>
              </w:rPr>
            </w:pPr>
            <w:r w:rsidRPr="00E3562B">
              <w:rPr>
                <w:szCs w:val="22"/>
                <w:lang w:val="en-GB"/>
              </w:rPr>
              <w:t>0.80</w:t>
            </w:r>
          </w:p>
        </w:tc>
        <w:tc>
          <w:tcPr>
            <w:tcW w:w="0" w:type="auto"/>
            <w:tcBorders>
              <w:bottom w:val="single" w:sz="4" w:space="0" w:color="auto"/>
            </w:tcBorders>
            <w:noWrap/>
            <w:vAlign w:val="bottom"/>
          </w:tcPr>
          <w:p w14:paraId="219872F5" w14:textId="77777777" w:rsidR="00A60DA1" w:rsidRPr="00E3562B" w:rsidRDefault="00A60DA1" w:rsidP="00294522">
            <w:pPr>
              <w:spacing w:line="360" w:lineRule="auto"/>
              <w:jc w:val="right"/>
              <w:rPr>
                <w:rFonts w:eastAsia="Calibri"/>
                <w:szCs w:val="22"/>
                <w:lang w:val="en-GB"/>
              </w:rPr>
            </w:pPr>
            <w:r w:rsidRPr="00E3562B">
              <w:rPr>
                <w:szCs w:val="22"/>
                <w:lang w:val="en-GB"/>
              </w:rPr>
              <w:t>0.80</w:t>
            </w:r>
          </w:p>
        </w:tc>
        <w:tc>
          <w:tcPr>
            <w:tcW w:w="0" w:type="auto"/>
            <w:tcBorders>
              <w:bottom w:val="single" w:sz="4" w:space="0" w:color="auto"/>
            </w:tcBorders>
            <w:noWrap/>
            <w:vAlign w:val="bottom"/>
          </w:tcPr>
          <w:p w14:paraId="707EE749" w14:textId="77777777" w:rsidR="00A60DA1" w:rsidRPr="00E3562B" w:rsidRDefault="00A60DA1" w:rsidP="00294522">
            <w:pPr>
              <w:spacing w:line="360" w:lineRule="auto"/>
              <w:jc w:val="right"/>
              <w:rPr>
                <w:rFonts w:eastAsia="Calibri"/>
                <w:szCs w:val="22"/>
                <w:lang w:val="en-GB"/>
              </w:rPr>
            </w:pPr>
            <w:r w:rsidRPr="00E3562B">
              <w:rPr>
                <w:szCs w:val="22"/>
                <w:lang w:val="en-GB"/>
              </w:rPr>
              <w:t>0.80</w:t>
            </w:r>
          </w:p>
        </w:tc>
      </w:tr>
      <w:tr w:rsidR="005D6588" w:rsidRPr="00E3562B" w14:paraId="3FDDFCC5" w14:textId="77777777" w:rsidTr="00294522">
        <w:trPr>
          <w:trHeight w:val="381"/>
        </w:trPr>
        <w:tc>
          <w:tcPr>
            <w:tcW w:w="0" w:type="auto"/>
            <w:gridSpan w:val="7"/>
            <w:tcBorders>
              <w:top w:val="single" w:sz="4" w:space="0" w:color="auto"/>
              <w:bottom w:val="single" w:sz="4" w:space="0" w:color="auto"/>
            </w:tcBorders>
            <w:noWrap/>
          </w:tcPr>
          <w:p w14:paraId="5A170314" w14:textId="77777777" w:rsidR="00A60DA1" w:rsidRPr="00E3562B" w:rsidRDefault="00A60DA1" w:rsidP="00294522">
            <w:pPr>
              <w:numPr>
                <w:ilvl w:val="0"/>
                <w:numId w:val="31"/>
              </w:numPr>
              <w:spacing w:line="240" w:lineRule="auto"/>
              <w:contextualSpacing/>
              <w:jc w:val="left"/>
              <w:rPr>
                <w:rFonts w:eastAsia="Calibri"/>
                <w:i/>
                <w:iCs/>
                <w:szCs w:val="22"/>
                <w:lang w:val="en-GB"/>
              </w:rPr>
            </w:pPr>
            <w:r w:rsidRPr="00E3562B">
              <w:rPr>
                <w:rFonts w:eastAsia="Calibri"/>
                <w:i/>
                <w:iCs/>
                <w:szCs w:val="22"/>
                <w:lang w:val="en-GB"/>
              </w:rPr>
              <w:t>Due Diligence</w:t>
            </w:r>
          </w:p>
        </w:tc>
      </w:tr>
      <w:tr w:rsidR="005D6588" w:rsidRPr="00E3562B" w14:paraId="2EEC413D" w14:textId="77777777" w:rsidTr="00294522">
        <w:trPr>
          <w:trHeight w:val="381"/>
        </w:trPr>
        <w:tc>
          <w:tcPr>
            <w:tcW w:w="0" w:type="auto"/>
            <w:tcBorders>
              <w:top w:val="single" w:sz="4" w:space="0" w:color="auto"/>
            </w:tcBorders>
            <w:noWrap/>
          </w:tcPr>
          <w:p w14:paraId="4236D7A0"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Mean</w:t>
            </w:r>
          </w:p>
        </w:tc>
        <w:tc>
          <w:tcPr>
            <w:tcW w:w="0" w:type="auto"/>
            <w:tcBorders>
              <w:top w:val="single" w:sz="4" w:space="0" w:color="auto"/>
            </w:tcBorders>
            <w:noWrap/>
            <w:vAlign w:val="bottom"/>
          </w:tcPr>
          <w:p w14:paraId="4CFAE898" w14:textId="77777777" w:rsidR="00A60DA1" w:rsidRPr="00E3562B" w:rsidRDefault="00A60DA1" w:rsidP="00294522">
            <w:pPr>
              <w:spacing w:line="360" w:lineRule="auto"/>
              <w:jc w:val="right"/>
              <w:rPr>
                <w:rFonts w:eastAsia="Calibri"/>
                <w:szCs w:val="22"/>
                <w:lang w:val="en-GB"/>
              </w:rPr>
            </w:pPr>
            <w:r w:rsidRPr="00E3562B">
              <w:rPr>
                <w:szCs w:val="22"/>
                <w:lang w:val="en-GB"/>
              </w:rPr>
              <w:t>0.22</w:t>
            </w:r>
          </w:p>
        </w:tc>
        <w:tc>
          <w:tcPr>
            <w:tcW w:w="0" w:type="auto"/>
            <w:tcBorders>
              <w:top w:val="single" w:sz="4" w:space="0" w:color="auto"/>
            </w:tcBorders>
            <w:noWrap/>
            <w:vAlign w:val="bottom"/>
          </w:tcPr>
          <w:p w14:paraId="50B9F665" w14:textId="77777777" w:rsidR="00A60DA1" w:rsidRPr="00E3562B" w:rsidRDefault="00A60DA1" w:rsidP="00294522">
            <w:pPr>
              <w:spacing w:line="360" w:lineRule="auto"/>
              <w:jc w:val="right"/>
              <w:rPr>
                <w:rFonts w:eastAsia="Calibri"/>
                <w:szCs w:val="22"/>
                <w:lang w:val="en-GB"/>
              </w:rPr>
            </w:pPr>
            <w:r w:rsidRPr="00E3562B">
              <w:rPr>
                <w:szCs w:val="22"/>
                <w:lang w:val="en-GB"/>
              </w:rPr>
              <w:t>0.18</w:t>
            </w:r>
          </w:p>
        </w:tc>
        <w:tc>
          <w:tcPr>
            <w:tcW w:w="0" w:type="auto"/>
            <w:tcBorders>
              <w:top w:val="single" w:sz="4" w:space="0" w:color="auto"/>
            </w:tcBorders>
            <w:noWrap/>
            <w:vAlign w:val="bottom"/>
          </w:tcPr>
          <w:p w14:paraId="092E5F1B" w14:textId="77777777" w:rsidR="00A60DA1" w:rsidRPr="00E3562B" w:rsidRDefault="00A60DA1" w:rsidP="00294522">
            <w:pPr>
              <w:spacing w:line="360" w:lineRule="auto"/>
              <w:jc w:val="right"/>
              <w:rPr>
                <w:rFonts w:eastAsia="Calibri"/>
                <w:szCs w:val="22"/>
                <w:lang w:val="en-GB"/>
              </w:rPr>
            </w:pPr>
            <w:r w:rsidRPr="00E3562B">
              <w:rPr>
                <w:szCs w:val="22"/>
                <w:lang w:val="en-GB"/>
              </w:rPr>
              <w:t>0.20</w:t>
            </w:r>
          </w:p>
        </w:tc>
        <w:tc>
          <w:tcPr>
            <w:tcW w:w="0" w:type="auto"/>
            <w:tcBorders>
              <w:top w:val="single" w:sz="4" w:space="0" w:color="auto"/>
            </w:tcBorders>
            <w:noWrap/>
            <w:vAlign w:val="bottom"/>
          </w:tcPr>
          <w:p w14:paraId="53033D30" w14:textId="77777777" w:rsidR="00A60DA1" w:rsidRPr="00E3562B" w:rsidRDefault="00A60DA1" w:rsidP="00294522">
            <w:pPr>
              <w:spacing w:line="360" w:lineRule="auto"/>
              <w:jc w:val="right"/>
              <w:rPr>
                <w:rFonts w:eastAsia="Calibri"/>
                <w:szCs w:val="22"/>
                <w:lang w:val="en-GB"/>
              </w:rPr>
            </w:pPr>
            <w:r w:rsidRPr="00E3562B">
              <w:rPr>
                <w:szCs w:val="22"/>
                <w:lang w:val="en-GB"/>
              </w:rPr>
              <w:t>0.24</w:t>
            </w:r>
          </w:p>
        </w:tc>
        <w:tc>
          <w:tcPr>
            <w:tcW w:w="0" w:type="auto"/>
            <w:tcBorders>
              <w:top w:val="single" w:sz="4" w:space="0" w:color="auto"/>
            </w:tcBorders>
            <w:noWrap/>
            <w:vAlign w:val="bottom"/>
          </w:tcPr>
          <w:p w14:paraId="3E4F44FC" w14:textId="77777777" w:rsidR="00A60DA1" w:rsidRPr="00E3562B" w:rsidRDefault="00A60DA1" w:rsidP="00294522">
            <w:pPr>
              <w:spacing w:line="360" w:lineRule="auto"/>
              <w:jc w:val="right"/>
              <w:rPr>
                <w:rFonts w:eastAsia="Calibri"/>
                <w:szCs w:val="22"/>
                <w:lang w:val="en-GB"/>
              </w:rPr>
            </w:pPr>
            <w:r w:rsidRPr="00E3562B">
              <w:rPr>
                <w:szCs w:val="22"/>
                <w:lang w:val="en-GB"/>
              </w:rPr>
              <w:t>0.25</w:t>
            </w:r>
          </w:p>
        </w:tc>
        <w:tc>
          <w:tcPr>
            <w:tcW w:w="0" w:type="auto"/>
            <w:tcBorders>
              <w:top w:val="single" w:sz="4" w:space="0" w:color="auto"/>
            </w:tcBorders>
            <w:noWrap/>
            <w:vAlign w:val="bottom"/>
          </w:tcPr>
          <w:p w14:paraId="02165CA1" w14:textId="77777777" w:rsidR="00A60DA1" w:rsidRPr="00E3562B" w:rsidRDefault="00A60DA1" w:rsidP="00294522">
            <w:pPr>
              <w:spacing w:line="360" w:lineRule="auto"/>
              <w:jc w:val="right"/>
              <w:rPr>
                <w:rFonts w:eastAsia="Calibri"/>
                <w:szCs w:val="22"/>
                <w:lang w:val="en-GB"/>
              </w:rPr>
            </w:pPr>
            <w:r w:rsidRPr="00E3562B">
              <w:rPr>
                <w:szCs w:val="22"/>
                <w:lang w:val="en-GB"/>
              </w:rPr>
              <w:t>0.25</w:t>
            </w:r>
          </w:p>
        </w:tc>
      </w:tr>
      <w:tr w:rsidR="005D6588" w:rsidRPr="00E3562B" w14:paraId="248418BF" w14:textId="77777777" w:rsidTr="00294522">
        <w:trPr>
          <w:trHeight w:val="381"/>
        </w:trPr>
        <w:tc>
          <w:tcPr>
            <w:tcW w:w="0" w:type="auto"/>
            <w:noWrap/>
          </w:tcPr>
          <w:p w14:paraId="388F9635"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SD</w:t>
            </w:r>
          </w:p>
        </w:tc>
        <w:tc>
          <w:tcPr>
            <w:tcW w:w="0" w:type="auto"/>
            <w:noWrap/>
            <w:vAlign w:val="bottom"/>
          </w:tcPr>
          <w:p w14:paraId="77823FF3" w14:textId="77777777" w:rsidR="00A60DA1" w:rsidRPr="00E3562B" w:rsidRDefault="00A60DA1" w:rsidP="00294522">
            <w:pPr>
              <w:spacing w:line="360" w:lineRule="auto"/>
              <w:jc w:val="right"/>
              <w:rPr>
                <w:rFonts w:eastAsia="Calibri"/>
                <w:szCs w:val="22"/>
                <w:lang w:val="en-GB"/>
              </w:rPr>
            </w:pPr>
            <w:r w:rsidRPr="00E3562B">
              <w:rPr>
                <w:szCs w:val="22"/>
                <w:lang w:val="en-GB"/>
              </w:rPr>
              <w:t>0.12</w:t>
            </w:r>
          </w:p>
        </w:tc>
        <w:tc>
          <w:tcPr>
            <w:tcW w:w="0" w:type="auto"/>
            <w:noWrap/>
            <w:vAlign w:val="bottom"/>
          </w:tcPr>
          <w:p w14:paraId="5ADC3F2B" w14:textId="77777777" w:rsidR="00A60DA1" w:rsidRPr="00E3562B" w:rsidRDefault="00A60DA1" w:rsidP="00294522">
            <w:pPr>
              <w:spacing w:line="360" w:lineRule="auto"/>
              <w:jc w:val="right"/>
              <w:rPr>
                <w:rFonts w:eastAsia="Calibri"/>
                <w:szCs w:val="22"/>
                <w:lang w:val="en-GB"/>
              </w:rPr>
            </w:pPr>
            <w:r w:rsidRPr="00E3562B">
              <w:rPr>
                <w:szCs w:val="22"/>
                <w:lang w:val="en-GB"/>
              </w:rPr>
              <w:t>0.11</w:t>
            </w:r>
          </w:p>
        </w:tc>
        <w:tc>
          <w:tcPr>
            <w:tcW w:w="0" w:type="auto"/>
            <w:noWrap/>
            <w:vAlign w:val="bottom"/>
          </w:tcPr>
          <w:p w14:paraId="4E70320E" w14:textId="77777777" w:rsidR="00A60DA1" w:rsidRPr="00E3562B" w:rsidRDefault="00A60DA1" w:rsidP="00294522">
            <w:pPr>
              <w:spacing w:line="360" w:lineRule="auto"/>
              <w:jc w:val="right"/>
              <w:rPr>
                <w:rFonts w:eastAsia="Calibri"/>
                <w:szCs w:val="22"/>
                <w:lang w:val="en-GB"/>
              </w:rPr>
            </w:pPr>
            <w:r w:rsidRPr="00E3562B">
              <w:rPr>
                <w:szCs w:val="22"/>
                <w:lang w:val="en-GB"/>
              </w:rPr>
              <w:t>0.11</w:t>
            </w:r>
          </w:p>
        </w:tc>
        <w:tc>
          <w:tcPr>
            <w:tcW w:w="0" w:type="auto"/>
            <w:noWrap/>
            <w:vAlign w:val="bottom"/>
          </w:tcPr>
          <w:p w14:paraId="413D3055" w14:textId="77777777" w:rsidR="00A60DA1" w:rsidRPr="00E3562B" w:rsidRDefault="00A60DA1" w:rsidP="00294522">
            <w:pPr>
              <w:spacing w:line="360" w:lineRule="auto"/>
              <w:jc w:val="right"/>
              <w:rPr>
                <w:rFonts w:eastAsia="Calibri"/>
                <w:szCs w:val="22"/>
                <w:lang w:val="en-GB"/>
              </w:rPr>
            </w:pPr>
            <w:r w:rsidRPr="00E3562B">
              <w:rPr>
                <w:szCs w:val="22"/>
                <w:lang w:val="en-GB"/>
              </w:rPr>
              <w:t>0.12</w:t>
            </w:r>
          </w:p>
        </w:tc>
        <w:tc>
          <w:tcPr>
            <w:tcW w:w="0" w:type="auto"/>
            <w:noWrap/>
            <w:vAlign w:val="bottom"/>
          </w:tcPr>
          <w:p w14:paraId="63740046" w14:textId="77777777" w:rsidR="00A60DA1" w:rsidRPr="00E3562B" w:rsidRDefault="00A60DA1" w:rsidP="00294522">
            <w:pPr>
              <w:spacing w:line="360" w:lineRule="auto"/>
              <w:jc w:val="right"/>
              <w:rPr>
                <w:rFonts w:eastAsia="Calibri"/>
                <w:szCs w:val="22"/>
                <w:lang w:val="en-GB"/>
              </w:rPr>
            </w:pPr>
            <w:r w:rsidRPr="00E3562B">
              <w:rPr>
                <w:szCs w:val="22"/>
                <w:lang w:val="en-GB"/>
              </w:rPr>
              <w:t>0.13</w:t>
            </w:r>
          </w:p>
        </w:tc>
        <w:tc>
          <w:tcPr>
            <w:tcW w:w="0" w:type="auto"/>
            <w:noWrap/>
            <w:vAlign w:val="bottom"/>
          </w:tcPr>
          <w:p w14:paraId="743B5DA2" w14:textId="77777777" w:rsidR="00A60DA1" w:rsidRPr="00E3562B" w:rsidRDefault="00A60DA1" w:rsidP="00294522">
            <w:pPr>
              <w:spacing w:line="360" w:lineRule="auto"/>
              <w:jc w:val="right"/>
              <w:rPr>
                <w:rFonts w:eastAsia="Calibri"/>
                <w:szCs w:val="22"/>
                <w:lang w:val="en-GB"/>
              </w:rPr>
            </w:pPr>
            <w:r w:rsidRPr="00E3562B">
              <w:rPr>
                <w:szCs w:val="22"/>
                <w:lang w:val="en-GB"/>
              </w:rPr>
              <w:t>0.10</w:t>
            </w:r>
          </w:p>
        </w:tc>
      </w:tr>
      <w:tr w:rsidR="005D6588" w:rsidRPr="00E3562B" w14:paraId="6DBD6A67" w14:textId="77777777" w:rsidTr="00294522">
        <w:trPr>
          <w:trHeight w:val="381"/>
        </w:trPr>
        <w:tc>
          <w:tcPr>
            <w:tcW w:w="0" w:type="auto"/>
            <w:noWrap/>
          </w:tcPr>
          <w:p w14:paraId="7AB62BD4"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p25</w:t>
            </w:r>
          </w:p>
        </w:tc>
        <w:tc>
          <w:tcPr>
            <w:tcW w:w="0" w:type="auto"/>
            <w:noWrap/>
            <w:vAlign w:val="bottom"/>
          </w:tcPr>
          <w:p w14:paraId="39BC590E" w14:textId="77777777" w:rsidR="00A60DA1" w:rsidRPr="00E3562B" w:rsidRDefault="00A60DA1" w:rsidP="00294522">
            <w:pPr>
              <w:spacing w:line="360" w:lineRule="auto"/>
              <w:jc w:val="right"/>
              <w:rPr>
                <w:rFonts w:eastAsia="Calibri"/>
                <w:szCs w:val="22"/>
                <w:lang w:val="en-GB"/>
              </w:rPr>
            </w:pPr>
            <w:r w:rsidRPr="00E3562B">
              <w:rPr>
                <w:szCs w:val="22"/>
                <w:lang w:val="en-GB"/>
              </w:rPr>
              <w:t>0.15</w:t>
            </w:r>
          </w:p>
        </w:tc>
        <w:tc>
          <w:tcPr>
            <w:tcW w:w="0" w:type="auto"/>
            <w:noWrap/>
            <w:vAlign w:val="bottom"/>
          </w:tcPr>
          <w:p w14:paraId="09B13D70" w14:textId="77777777" w:rsidR="00A60DA1" w:rsidRPr="00E3562B" w:rsidRDefault="00A60DA1" w:rsidP="00294522">
            <w:pPr>
              <w:spacing w:line="360" w:lineRule="auto"/>
              <w:jc w:val="right"/>
              <w:rPr>
                <w:rFonts w:eastAsia="Calibri"/>
                <w:szCs w:val="22"/>
                <w:lang w:val="en-GB"/>
              </w:rPr>
            </w:pPr>
            <w:r w:rsidRPr="00E3562B">
              <w:rPr>
                <w:szCs w:val="22"/>
                <w:lang w:val="en-GB"/>
              </w:rPr>
              <w:t>0.08</w:t>
            </w:r>
          </w:p>
        </w:tc>
        <w:tc>
          <w:tcPr>
            <w:tcW w:w="0" w:type="auto"/>
            <w:noWrap/>
            <w:vAlign w:val="bottom"/>
          </w:tcPr>
          <w:p w14:paraId="6F8EB2DF" w14:textId="77777777" w:rsidR="00A60DA1" w:rsidRPr="00E3562B" w:rsidRDefault="00A60DA1" w:rsidP="00294522">
            <w:pPr>
              <w:spacing w:line="360" w:lineRule="auto"/>
              <w:jc w:val="right"/>
              <w:rPr>
                <w:rFonts w:eastAsia="Calibri"/>
                <w:szCs w:val="22"/>
                <w:lang w:val="en-GB"/>
              </w:rPr>
            </w:pPr>
            <w:r w:rsidRPr="00E3562B">
              <w:rPr>
                <w:szCs w:val="22"/>
                <w:lang w:val="en-GB"/>
              </w:rPr>
              <w:t>0.15</w:t>
            </w:r>
          </w:p>
        </w:tc>
        <w:tc>
          <w:tcPr>
            <w:tcW w:w="0" w:type="auto"/>
            <w:noWrap/>
            <w:vAlign w:val="bottom"/>
          </w:tcPr>
          <w:p w14:paraId="50711643" w14:textId="77777777" w:rsidR="00A60DA1" w:rsidRPr="00E3562B" w:rsidRDefault="00A60DA1" w:rsidP="00294522">
            <w:pPr>
              <w:spacing w:line="360" w:lineRule="auto"/>
              <w:jc w:val="right"/>
              <w:rPr>
                <w:rFonts w:eastAsia="Calibri"/>
                <w:szCs w:val="22"/>
                <w:lang w:val="en-GB"/>
              </w:rPr>
            </w:pPr>
            <w:r w:rsidRPr="00E3562B">
              <w:rPr>
                <w:szCs w:val="22"/>
                <w:lang w:val="en-GB"/>
              </w:rPr>
              <w:t>0.15</w:t>
            </w:r>
          </w:p>
        </w:tc>
        <w:tc>
          <w:tcPr>
            <w:tcW w:w="0" w:type="auto"/>
            <w:noWrap/>
            <w:vAlign w:val="bottom"/>
          </w:tcPr>
          <w:p w14:paraId="1D6FEEEB" w14:textId="77777777" w:rsidR="00A60DA1" w:rsidRPr="00E3562B" w:rsidRDefault="00A60DA1" w:rsidP="00294522">
            <w:pPr>
              <w:spacing w:line="360" w:lineRule="auto"/>
              <w:jc w:val="right"/>
              <w:rPr>
                <w:rFonts w:eastAsia="Calibri"/>
                <w:szCs w:val="22"/>
                <w:lang w:val="en-GB"/>
              </w:rPr>
            </w:pPr>
            <w:r w:rsidRPr="00E3562B">
              <w:rPr>
                <w:szCs w:val="22"/>
                <w:lang w:val="en-GB"/>
              </w:rPr>
              <w:t>0.15</w:t>
            </w:r>
          </w:p>
        </w:tc>
        <w:tc>
          <w:tcPr>
            <w:tcW w:w="0" w:type="auto"/>
            <w:noWrap/>
            <w:vAlign w:val="bottom"/>
          </w:tcPr>
          <w:p w14:paraId="6A2D7A65" w14:textId="77777777" w:rsidR="00A60DA1" w:rsidRPr="00E3562B" w:rsidRDefault="00A60DA1" w:rsidP="00294522">
            <w:pPr>
              <w:spacing w:line="360" w:lineRule="auto"/>
              <w:jc w:val="right"/>
              <w:rPr>
                <w:rFonts w:eastAsia="Calibri"/>
                <w:szCs w:val="22"/>
                <w:lang w:val="en-GB"/>
              </w:rPr>
            </w:pPr>
            <w:r w:rsidRPr="00E3562B">
              <w:rPr>
                <w:szCs w:val="22"/>
                <w:lang w:val="en-GB"/>
              </w:rPr>
              <w:t>0.15</w:t>
            </w:r>
          </w:p>
        </w:tc>
      </w:tr>
      <w:tr w:rsidR="005D6588" w:rsidRPr="00E3562B" w14:paraId="4ECB550E" w14:textId="77777777" w:rsidTr="00294522">
        <w:trPr>
          <w:trHeight w:val="381"/>
        </w:trPr>
        <w:tc>
          <w:tcPr>
            <w:tcW w:w="0" w:type="auto"/>
            <w:noWrap/>
          </w:tcPr>
          <w:p w14:paraId="16A7D8F9"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Median</w:t>
            </w:r>
          </w:p>
        </w:tc>
        <w:tc>
          <w:tcPr>
            <w:tcW w:w="0" w:type="auto"/>
            <w:noWrap/>
            <w:vAlign w:val="bottom"/>
          </w:tcPr>
          <w:p w14:paraId="403B7D22"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c>
          <w:tcPr>
            <w:tcW w:w="0" w:type="auto"/>
            <w:noWrap/>
            <w:vAlign w:val="bottom"/>
          </w:tcPr>
          <w:p w14:paraId="453C4F6D" w14:textId="77777777" w:rsidR="00A60DA1" w:rsidRPr="00E3562B" w:rsidRDefault="00A60DA1" w:rsidP="00294522">
            <w:pPr>
              <w:spacing w:line="360" w:lineRule="auto"/>
              <w:jc w:val="right"/>
              <w:rPr>
                <w:rFonts w:eastAsia="Calibri"/>
                <w:szCs w:val="22"/>
                <w:lang w:val="en-GB"/>
              </w:rPr>
            </w:pPr>
            <w:r w:rsidRPr="00E3562B">
              <w:rPr>
                <w:szCs w:val="22"/>
                <w:lang w:val="en-GB"/>
              </w:rPr>
              <w:t>0.15</w:t>
            </w:r>
          </w:p>
        </w:tc>
        <w:tc>
          <w:tcPr>
            <w:tcW w:w="0" w:type="auto"/>
            <w:noWrap/>
            <w:vAlign w:val="bottom"/>
          </w:tcPr>
          <w:p w14:paraId="35BFECC7"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c>
          <w:tcPr>
            <w:tcW w:w="0" w:type="auto"/>
            <w:noWrap/>
            <w:vAlign w:val="bottom"/>
          </w:tcPr>
          <w:p w14:paraId="1EEB6284"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c>
          <w:tcPr>
            <w:tcW w:w="0" w:type="auto"/>
            <w:noWrap/>
            <w:vAlign w:val="bottom"/>
          </w:tcPr>
          <w:p w14:paraId="472F1BB9"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c>
          <w:tcPr>
            <w:tcW w:w="0" w:type="auto"/>
            <w:noWrap/>
            <w:vAlign w:val="bottom"/>
          </w:tcPr>
          <w:p w14:paraId="754763C4"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r>
      <w:tr w:rsidR="005D6588" w:rsidRPr="00E3562B" w14:paraId="43836078" w14:textId="77777777" w:rsidTr="00294522">
        <w:trPr>
          <w:trHeight w:val="381"/>
        </w:trPr>
        <w:tc>
          <w:tcPr>
            <w:tcW w:w="0" w:type="auto"/>
            <w:tcBorders>
              <w:bottom w:val="single" w:sz="4" w:space="0" w:color="auto"/>
            </w:tcBorders>
            <w:noWrap/>
          </w:tcPr>
          <w:p w14:paraId="698AE7DB"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p75</w:t>
            </w:r>
          </w:p>
        </w:tc>
        <w:tc>
          <w:tcPr>
            <w:tcW w:w="0" w:type="auto"/>
            <w:tcBorders>
              <w:bottom w:val="single" w:sz="4" w:space="0" w:color="auto"/>
            </w:tcBorders>
            <w:noWrap/>
            <w:vAlign w:val="bottom"/>
          </w:tcPr>
          <w:p w14:paraId="10ED9A5F" w14:textId="77777777" w:rsidR="00A60DA1" w:rsidRPr="00E3562B" w:rsidRDefault="00A60DA1" w:rsidP="00294522">
            <w:pPr>
              <w:spacing w:line="360" w:lineRule="auto"/>
              <w:jc w:val="right"/>
              <w:rPr>
                <w:rFonts w:eastAsia="Calibri"/>
                <w:szCs w:val="22"/>
                <w:lang w:val="en-GB"/>
              </w:rPr>
            </w:pPr>
            <w:r w:rsidRPr="00E3562B">
              <w:rPr>
                <w:szCs w:val="22"/>
                <w:lang w:val="en-GB"/>
              </w:rPr>
              <w:t>0.31</w:t>
            </w:r>
          </w:p>
        </w:tc>
        <w:tc>
          <w:tcPr>
            <w:tcW w:w="0" w:type="auto"/>
            <w:tcBorders>
              <w:bottom w:val="single" w:sz="4" w:space="0" w:color="auto"/>
            </w:tcBorders>
            <w:noWrap/>
            <w:vAlign w:val="bottom"/>
          </w:tcPr>
          <w:p w14:paraId="0647F1E0"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c>
          <w:tcPr>
            <w:tcW w:w="0" w:type="auto"/>
            <w:tcBorders>
              <w:bottom w:val="single" w:sz="4" w:space="0" w:color="auto"/>
            </w:tcBorders>
            <w:noWrap/>
            <w:vAlign w:val="bottom"/>
          </w:tcPr>
          <w:p w14:paraId="1116DD2B" w14:textId="77777777" w:rsidR="00A60DA1" w:rsidRPr="00E3562B" w:rsidRDefault="00A60DA1" w:rsidP="00294522">
            <w:pPr>
              <w:spacing w:line="360" w:lineRule="auto"/>
              <w:jc w:val="right"/>
              <w:rPr>
                <w:rFonts w:eastAsia="Calibri"/>
                <w:szCs w:val="22"/>
                <w:lang w:val="en-GB"/>
              </w:rPr>
            </w:pPr>
            <w:r w:rsidRPr="00E3562B">
              <w:rPr>
                <w:szCs w:val="22"/>
                <w:lang w:val="en-GB"/>
              </w:rPr>
              <w:t>0.31</w:t>
            </w:r>
          </w:p>
        </w:tc>
        <w:tc>
          <w:tcPr>
            <w:tcW w:w="0" w:type="auto"/>
            <w:tcBorders>
              <w:bottom w:val="single" w:sz="4" w:space="0" w:color="auto"/>
            </w:tcBorders>
            <w:noWrap/>
            <w:vAlign w:val="bottom"/>
          </w:tcPr>
          <w:p w14:paraId="352F7657" w14:textId="77777777" w:rsidR="00A60DA1" w:rsidRPr="00E3562B" w:rsidRDefault="00A60DA1" w:rsidP="00294522">
            <w:pPr>
              <w:spacing w:line="360" w:lineRule="auto"/>
              <w:jc w:val="right"/>
              <w:rPr>
                <w:rFonts w:eastAsia="Calibri"/>
                <w:szCs w:val="22"/>
                <w:lang w:val="en-GB"/>
              </w:rPr>
            </w:pPr>
            <w:r w:rsidRPr="00E3562B">
              <w:rPr>
                <w:szCs w:val="22"/>
                <w:lang w:val="en-GB"/>
              </w:rPr>
              <w:t>0.31</w:t>
            </w:r>
          </w:p>
        </w:tc>
        <w:tc>
          <w:tcPr>
            <w:tcW w:w="0" w:type="auto"/>
            <w:tcBorders>
              <w:bottom w:val="single" w:sz="4" w:space="0" w:color="auto"/>
            </w:tcBorders>
            <w:noWrap/>
            <w:vAlign w:val="bottom"/>
          </w:tcPr>
          <w:p w14:paraId="78DBB886" w14:textId="77777777" w:rsidR="00A60DA1" w:rsidRPr="00E3562B" w:rsidRDefault="00A60DA1" w:rsidP="00294522">
            <w:pPr>
              <w:spacing w:line="360" w:lineRule="auto"/>
              <w:jc w:val="right"/>
              <w:rPr>
                <w:rFonts w:eastAsia="Calibri"/>
                <w:szCs w:val="22"/>
                <w:lang w:val="en-GB"/>
              </w:rPr>
            </w:pPr>
            <w:r w:rsidRPr="00E3562B">
              <w:rPr>
                <w:szCs w:val="22"/>
                <w:lang w:val="en-GB"/>
              </w:rPr>
              <w:t>0.31</w:t>
            </w:r>
          </w:p>
        </w:tc>
        <w:tc>
          <w:tcPr>
            <w:tcW w:w="0" w:type="auto"/>
            <w:tcBorders>
              <w:bottom w:val="single" w:sz="4" w:space="0" w:color="auto"/>
            </w:tcBorders>
            <w:noWrap/>
            <w:vAlign w:val="bottom"/>
          </w:tcPr>
          <w:p w14:paraId="2042F37A" w14:textId="77777777" w:rsidR="00A60DA1" w:rsidRPr="00E3562B" w:rsidRDefault="00A60DA1" w:rsidP="00294522">
            <w:pPr>
              <w:spacing w:line="360" w:lineRule="auto"/>
              <w:jc w:val="right"/>
              <w:rPr>
                <w:rFonts w:eastAsia="Calibri"/>
                <w:szCs w:val="22"/>
                <w:lang w:val="en-GB"/>
              </w:rPr>
            </w:pPr>
            <w:r w:rsidRPr="00E3562B">
              <w:rPr>
                <w:szCs w:val="22"/>
                <w:lang w:val="en-GB"/>
              </w:rPr>
              <w:t>0.31</w:t>
            </w:r>
          </w:p>
        </w:tc>
      </w:tr>
      <w:tr w:rsidR="005D6588" w:rsidRPr="00E3562B" w14:paraId="275467C0" w14:textId="77777777" w:rsidTr="00294522">
        <w:trPr>
          <w:trHeight w:val="381"/>
        </w:trPr>
        <w:tc>
          <w:tcPr>
            <w:tcW w:w="0" w:type="auto"/>
            <w:gridSpan w:val="7"/>
            <w:tcBorders>
              <w:top w:val="single" w:sz="4" w:space="0" w:color="auto"/>
              <w:bottom w:val="single" w:sz="4" w:space="0" w:color="auto"/>
            </w:tcBorders>
            <w:noWrap/>
          </w:tcPr>
          <w:p w14:paraId="2218AA92" w14:textId="77777777" w:rsidR="00A60DA1" w:rsidRPr="00E3562B" w:rsidRDefault="00A60DA1" w:rsidP="00294522">
            <w:pPr>
              <w:numPr>
                <w:ilvl w:val="0"/>
                <w:numId w:val="31"/>
              </w:numPr>
              <w:spacing w:line="240" w:lineRule="auto"/>
              <w:contextualSpacing/>
              <w:jc w:val="left"/>
              <w:rPr>
                <w:rFonts w:eastAsia="Calibri"/>
                <w:i/>
                <w:iCs/>
                <w:szCs w:val="22"/>
                <w:lang w:val="en-GB"/>
              </w:rPr>
            </w:pPr>
            <w:r w:rsidRPr="00E3562B">
              <w:rPr>
                <w:rFonts w:eastAsia="Calibri"/>
                <w:i/>
                <w:iCs/>
                <w:szCs w:val="22"/>
                <w:lang w:val="en-GB"/>
              </w:rPr>
              <w:t>Risk Assessment &amp; Management</w:t>
            </w:r>
          </w:p>
        </w:tc>
      </w:tr>
      <w:tr w:rsidR="005D6588" w:rsidRPr="00E3562B" w14:paraId="156DFD42" w14:textId="77777777" w:rsidTr="00294522">
        <w:trPr>
          <w:trHeight w:val="381"/>
        </w:trPr>
        <w:tc>
          <w:tcPr>
            <w:tcW w:w="0" w:type="auto"/>
            <w:tcBorders>
              <w:top w:val="single" w:sz="4" w:space="0" w:color="auto"/>
            </w:tcBorders>
            <w:noWrap/>
          </w:tcPr>
          <w:p w14:paraId="6C1CF9E1"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Mean</w:t>
            </w:r>
          </w:p>
        </w:tc>
        <w:tc>
          <w:tcPr>
            <w:tcW w:w="0" w:type="auto"/>
            <w:tcBorders>
              <w:top w:val="single" w:sz="4" w:space="0" w:color="auto"/>
            </w:tcBorders>
            <w:noWrap/>
            <w:vAlign w:val="bottom"/>
          </w:tcPr>
          <w:p w14:paraId="2EAB115E" w14:textId="77777777" w:rsidR="00A60DA1" w:rsidRPr="00E3562B" w:rsidRDefault="00A60DA1" w:rsidP="00294522">
            <w:pPr>
              <w:spacing w:line="360" w:lineRule="auto"/>
              <w:jc w:val="right"/>
              <w:rPr>
                <w:rFonts w:eastAsia="Calibri"/>
                <w:szCs w:val="22"/>
                <w:lang w:val="en-GB"/>
              </w:rPr>
            </w:pPr>
            <w:r w:rsidRPr="00E3562B">
              <w:rPr>
                <w:szCs w:val="22"/>
                <w:lang w:val="en-GB"/>
              </w:rPr>
              <w:t>0.29</w:t>
            </w:r>
          </w:p>
        </w:tc>
        <w:tc>
          <w:tcPr>
            <w:tcW w:w="0" w:type="auto"/>
            <w:tcBorders>
              <w:top w:val="single" w:sz="4" w:space="0" w:color="auto"/>
            </w:tcBorders>
            <w:noWrap/>
            <w:vAlign w:val="bottom"/>
          </w:tcPr>
          <w:p w14:paraId="73C61AE3" w14:textId="77777777" w:rsidR="00A60DA1" w:rsidRPr="00E3562B" w:rsidRDefault="00A60DA1" w:rsidP="00294522">
            <w:pPr>
              <w:spacing w:line="360" w:lineRule="auto"/>
              <w:jc w:val="right"/>
              <w:rPr>
                <w:rFonts w:eastAsia="Calibri"/>
                <w:szCs w:val="22"/>
                <w:lang w:val="en-GB"/>
              </w:rPr>
            </w:pPr>
            <w:r w:rsidRPr="00E3562B">
              <w:rPr>
                <w:szCs w:val="22"/>
                <w:lang w:val="en-GB"/>
              </w:rPr>
              <w:t>0.22</w:t>
            </w:r>
          </w:p>
        </w:tc>
        <w:tc>
          <w:tcPr>
            <w:tcW w:w="0" w:type="auto"/>
            <w:tcBorders>
              <w:top w:val="single" w:sz="4" w:space="0" w:color="auto"/>
            </w:tcBorders>
            <w:noWrap/>
            <w:vAlign w:val="bottom"/>
          </w:tcPr>
          <w:p w14:paraId="12026B35" w14:textId="77777777" w:rsidR="00A60DA1" w:rsidRPr="00E3562B" w:rsidRDefault="00A60DA1" w:rsidP="00294522">
            <w:pPr>
              <w:spacing w:line="360" w:lineRule="auto"/>
              <w:jc w:val="right"/>
              <w:rPr>
                <w:rFonts w:eastAsia="Calibri"/>
                <w:szCs w:val="22"/>
                <w:lang w:val="en-GB"/>
              </w:rPr>
            </w:pPr>
            <w:r w:rsidRPr="00E3562B">
              <w:rPr>
                <w:szCs w:val="22"/>
                <w:lang w:val="en-GB"/>
              </w:rPr>
              <w:t>0.26</w:t>
            </w:r>
          </w:p>
        </w:tc>
        <w:tc>
          <w:tcPr>
            <w:tcW w:w="0" w:type="auto"/>
            <w:tcBorders>
              <w:top w:val="single" w:sz="4" w:space="0" w:color="auto"/>
            </w:tcBorders>
            <w:noWrap/>
            <w:vAlign w:val="bottom"/>
          </w:tcPr>
          <w:p w14:paraId="01D783BC" w14:textId="77777777" w:rsidR="00A60DA1" w:rsidRPr="00E3562B" w:rsidRDefault="00A60DA1" w:rsidP="00294522">
            <w:pPr>
              <w:spacing w:line="360" w:lineRule="auto"/>
              <w:jc w:val="right"/>
              <w:rPr>
                <w:rFonts w:eastAsia="Calibri"/>
                <w:szCs w:val="22"/>
                <w:lang w:val="en-GB"/>
              </w:rPr>
            </w:pPr>
            <w:r w:rsidRPr="00E3562B">
              <w:rPr>
                <w:szCs w:val="22"/>
                <w:lang w:val="en-GB"/>
              </w:rPr>
              <w:t>0.31</w:t>
            </w:r>
          </w:p>
        </w:tc>
        <w:tc>
          <w:tcPr>
            <w:tcW w:w="0" w:type="auto"/>
            <w:tcBorders>
              <w:top w:val="single" w:sz="4" w:space="0" w:color="auto"/>
            </w:tcBorders>
            <w:noWrap/>
            <w:vAlign w:val="bottom"/>
          </w:tcPr>
          <w:p w14:paraId="43E56E9B"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c>
          <w:tcPr>
            <w:tcW w:w="0" w:type="auto"/>
            <w:tcBorders>
              <w:top w:val="single" w:sz="4" w:space="0" w:color="auto"/>
            </w:tcBorders>
            <w:noWrap/>
            <w:vAlign w:val="bottom"/>
          </w:tcPr>
          <w:p w14:paraId="53D109B3" w14:textId="77777777" w:rsidR="00A60DA1" w:rsidRPr="00E3562B" w:rsidRDefault="00A60DA1" w:rsidP="00294522">
            <w:pPr>
              <w:spacing w:line="360" w:lineRule="auto"/>
              <w:jc w:val="right"/>
              <w:rPr>
                <w:rFonts w:eastAsia="Calibri"/>
                <w:szCs w:val="22"/>
                <w:lang w:val="en-GB"/>
              </w:rPr>
            </w:pPr>
            <w:r w:rsidRPr="00E3562B">
              <w:rPr>
                <w:szCs w:val="22"/>
                <w:lang w:val="en-GB"/>
              </w:rPr>
              <w:t>0.30</w:t>
            </w:r>
          </w:p>
        </w:tc>
      </w:tr>
      <w:tr w:rsidR="005D6588" w:rsidRPr="00E3562B" w14:paraId="1B99A250" w14:textId="77777777" w:rsidTr="00294522">
        <w:trPr>
          <w:trHeight w:val="381"/>
        </w:trPr>
        <w:tc>
          <w:tcPr>
            <w:tcW w:w="0" w:type="auto"/>
            <w:noWrap/>
          </w:tcPr>
          <w:p w14:paraId="37998FAA"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SD</w:t>
            </w:r>
          </w:p>
        </w:tc>
        <w:tc>
          <w:tcPr>
            <w:tcW w:w="0" w:type="auto"/>
            <w:noWrap/>
            <w:vAlign w:val="bottom"/>
          </w:tcPr>
          <w:p w14:paraId="19293990" w14:textId="77777777" w:rsidR="00A60DA1" w:rsidRPr="00E3562B" w:rsidRDefault="00A60DA1" w:rsidP="00294522">
            <w:pPr>
              <w:spacing w:line="360" w:lineRule="auto"/>
              <w:jc w:val="right"/>
              <w:rPr>
                <w:rFonts w:eastAsia="Calibri"/>
                <w:szCs w:val="22"/>
                <w:lang w:val="en-GB"/>
              </w:rPr>
            </w:pPr>
            <w:r w:rsidRPr="00E3562B">
              <w:rPr>
                <w:szCs w:val="22"/>
                <w:lang w:val="en-GB"/>
              </w:rPr>
              <w:t>0.18</w:t>
            </w:r>
          </w:p>
        </w:tc>
        <w:tc>
          <w:tcPr>
            <w:tcW w:w="0" w:type="auto"/>
            <w:noWrap/>
            <w:vAlign w:val="bottom"/>
          </w:tcPr>
          <w:p w14:paraId="5D9203C1" w14:textId="77777777" w:rsidR="00A60DA1" w:rsidRPr="00E3562B" w:rsidRDefault="00A60DA1" w:rsidP="00294522">
            <w:pPr>
              <w:spacing w:line="360" w:lineRule="auto"/>
              <w:jc w:val="right"/>
              <w:rPr>
                <w:rFonts w:eastAsia="Calibri"/>
                <w:szCs w:val="22"/>
                <w:lang w:val="en-GB"/>
              </w:rPr>
            </w:pPr>
            <w:r w:rsidRPr="00E3562B">
              <w:rPr>
                <w:szCs w:val="22"/>
                <w:lang w:val="en-GB"/>
              </w:rPr>
              <w:t>0.18</w:t>
            </w:r>
          </w:p>
        </w:tc>
        <w:tc>
          <w:tcPr>
            <w:tcW w:w="0" w:type="auto"/>
            <w:noWrap/>
            <w:vAlign w:val="bottom"/>
          </w:tcPr>
          <w:p w14:paraId="45A6F707" w14:textId="77777777" w:rsidR="00A60DA1" w:rsidRPr="00E3562B" w:rsidRDefault="00A60DA1" w:rsidP="00294522">
            <w:pPr>
              <w:spacing w:line="360" w:lineRule="auto"/>
              <w:jc w:val="right"/>
              <w:rPr>
                <w:rFonts w:eastAsia="Calibri"/>
                <w:szCs w:val="22"/>
                <w:lang w:val="en-GB"/>
              </w:rPr>
            </w:pPr>
            <w:r w:rsidRPr="00E3562B">
              <w:rPr>
                <w:szCs w:val="22"/>
                <w:lang w:val="en-GB"/>
              </w:rPr>
              <w:t>0.16</w:t>
            </w:r>
          </w:p>
        </w:tc>
        <w:tc>
          <w:tcPr>
            <w:tcW w:w="0" w:type="auto"/>
            <w:noWrap/>
            <w:vAlign w:val="bottom"/>
          </w:tcPr>
          <w:p w14:paraId="315FA14F" w14:textId="77777777" w:rsidR="00A60DA1" w:rsidRPr="00E3562B" w:rsidRDefault="00A60DA1" w:rsidP="00294522">
            <w:pPr>
              <w:spacing w:line="360" w:lineRule="auto"/>
              <w:jc w:val="right"/>
              <w:rPr>
                <w:rFonts w:eastAsia="Calibri"/>
                <w:szCs w:val="22"/>
                <w:lang w:val="en-GB"/>
              </w:rPr>
            </w:pPr>
            <w:r w:rsidRPr="00E3562B">
              <w:rPr>
                <w:szCs w:val="22"/>
                <w:lang w:val="en-GB"/>
              </w:rPr>
              <w:t>0.20</w:t>
            </w:r>
          </w:p>
        </w:tc>
        <w:tc>
          <w:tcPr>
            <w:tcW w:w="0" w:type="auto"/>
            <w:noWrap/>
            <w:vAlign w:val="bottom"/>
          </w:tcPr>
          <w:p w14:paraId="3CBC1E67" w14:textId="77777777" w:rsidR="00A60DA1" w:rsidRPr="00E3562B" w:rsidRDefault="00A60DA1" w:rsidP="00294522">
            <w:pPr>
              <w:spacing w:line="360" w:lineRule="auto"/>
              <w:jc w:val="right"/>
              <w:rPr>
                <w:rFonts w:eastAsia="Calibri"/>
                <w:szCs w:val="22"/>
                <w:lang w:val="en-GB"/>
              </w:rPr>
            </w:pPr>
            <w:r w:rsidRPr="00E3562B">
              <w:rPr>
                <w:szCs w:val="22"/>
                <w:lang w:val="en-GB"/>
              </w:rPr>
              <w:t>0.18</w:t>
            </w:r>
          </w:p>
        </w:tc>
        <w:tc>
          <w:tcPr>
            <w:tcW w:w="0" w:type="auto"/>
            <w:noWrap/>
            <w:vAlign w:val="bottom"/>
          </w:tcPr>
          <w:p w14:paraId="17E732EE" w14:textId="77777777" w:rsidR="00A60DA1" w:rsidRPr="00E3562B" w:rsidRDefault="00A60DA1" w:rsidP="00294522">
            <w:pPr>
              <w:spacing w:line="360" w:lineRule="auto"/>
              <w:jc w:val="right"/>
              <w:rPr>
                <w:rFonts w:eastAsia="Calibri"/>
                <w:szCs w:val="22"/>
                <w:lang w:val="en-GB"/>
              </w:rPr>
            </w:pPr>
            <w:r w:rsidRPr="00E3562B">
              <w:rPr>
                <w:szCs w:val="22"/>
                <w:lang w:val="en-GB"/>
              </w:rPr>
              <w:t>0.14</w:t>
            </w:r>
          </w:p>
        </w:tc>
      </w:tr>
      <w:tr w:rsidR="005D6588" w:rsidRPr="00E3562B" w14:paraId="7098AA2F" w14:textId="77777777" w:rsidTr="00294522">
        <w:trPr>
          <w:trHeight w:val="381"/>
        </w:trPr>
        <w:tc>
          <w:tcPr>
            <w:tcW w:w="0" w:type="auto"/>
            <w:noWrap/>
          </w:tcPr>
          <w:p w14:paraId="6FF4A656"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p25</w:t>
            </w:r>
          </w:p>
        </w:tc>
        <w:tc>
          <w:tcPr>
            <w:tcW w:w="0" w:type="auto"/>
            <w:noWrap/>
            <w:vAlign w:val="bottom"/>
          </w:tcPr>
          <w:p w14:paraId="179E11D4" w14:textId="77777777" w:rsidR="00A60DA1" w:rsidRPr="00E3562B" w:rsidRDefault="00A60DA1" w:rsidP="00294522">
            <w:pPr>
              <w:spacing w:line="360" w:lineRule="auto"/>
              <w:jc w:val="right"/>
              <w:rPr>
                <w:rFonts w:eastAsia="Calibri"/>
                <w:szCs w:val="22"/>
                <w:lang w:val="en-GB"/>
              </w:rPr>
            </w:pPr>
            <w:r w:rsidRPr="00E3562B">
              <w:rPr>
                <w:szCs w:val="22"/>
                <w:lang w:val="en-GB"/>
              </w:rPr>
              <w:t>0.17</w:t>
            </w:r>
          </w:p>
        </w:tc>
        <w:tc>
          <w:tcPr>
            <w:tcW w:w="0" w:type="auto"/>
            <w:noWrap/>
            <w:vAlign w:val="bottom"/>
          </w:tcPr>
          <w:p w14:paraId="261EAABD" w14:textId="77777777" w:rsidR="00A60DA1" w:rsidRPr="00E3562B" w:rsidRDefault="00A60DA1" w:rsidP="00294522">
            <w:pPr>
              <w:spacing w:line="360" w:lineRule="auto"/>
              <w:jc w:val="right"/>
              <w:rPr>
                <w:rFonts w:eastAsia="Calibri"/>
                <w:szCs w:val="22"/>
                <w:lang w:val="en-GB"/>
              </w:rPr>
            </w:pPr>
            <w:r w:rsidRPr="00E3562B">
              <w:rPr>
                <w:szCs w:val="22"/>
                <w:lang w:val="en-GB"/>
              </w:rPr>
              <w:t>0.17</w:t>
            </w:r>
          </w:p>
        </w:tc>
        <w:tc>
          <w:tcPr>
            <w:tcW w:w="0" w:type="auto"/>
            <w:noWrap/>
            <w:vAlign w:val="bottom"/>
          </w:tcPr>
          <w:p w14:paraId="0188DB66" w14:textId="77777777" w:rsidR="00A60DA1" w:rsidRPr="00E3562B" w:rsidRDefault="00A60DA1" w:rsidP="00294522">
            <w:pPr>
              <w:spacing w:line="360" w:lineRule="auto"/>
              <w:jc w:val="right"/>
              <w:rPr>
                <w:rFonts w:eastAsia="Calibri"/>
                <w:szCs w:val="22"/>
                <w:lang w:val="en-GB"/>
              </w:rPr>
            </w:pPr>
            <w:r w:rsidRPr="00E3562B">
              <w:rPr>
                <w:szCs w:val="22"/>
                <w:lang w:val="en-GB"/>
              </w:rPr>
              <w:t>0.17</w:t>
            </w:r>
          </w:p>
        </w:tc>
        <w:tc>
          <w:tcPr>
            <w:tcW w:w="0" w:type="auto"/>
            <w:noWrap/>
            <w:vAlign w:val="bottom"/>
          </w:tcPr>
          <w:p w14:paraId="7A557726" w14:textId="77777777" w:rsidR="00A60DA1" w:rsidRPr="00E3562B" w:rsidRDefault="00A60DA1" w:rsidP="00294522">
            <w:pPr>
              <w:spacing w:line="360" w:lineRule="auto"/>
              <w:jc w:val="right"/>
              <w:rPr>
                <w:rFonts w:eastAsia="Calibri"/>
                <w:szCs w:val="22"/>
                <w:lang w:val="en-GB"/>
              </w:rPr>
            </w:pPr>
            <w:r w:rsidRPr="00E3562B">
              <w:rPr>
                <w:szCs w:val="22"/>
                <w:lang w:val="en-GB"/>
              </w:rPr>
              <w:t>0.17</w:t>
            </w:r>
          </w:p>
        </w:tc>
        <w:tc>
          <w:tcPr>
            <w:tcW w:w="0" w:type="auto"/>
            <w:noWrap/>
            <w:vAlign w:val="bottom"/>
          </w:tcPr>
          <w:p w14:paraId="3BC8D542" w14:textId="77777777" w:rsidR="00A60DA1" w:rsidRPr="00E3562B" w:rsidRDefault="00A60DA1" w:rsidP="00294522">
            <w:pPr>
              <w:spacing w:line="360" w:lineRule="auto"/>
              <w:jc w:val="right"/>
              <w:rPr>
                <w:rFonts w:eastAsia="Calibri"/>
                <w:szCs w:val="22"/>
                <w:lang w:val="en-GB"/>
              </w:rPr>
            </w:pPr>
            <w:r w:rsidRPr="00E3562B">
              <w:rPr>
                <w:szCs w:val="22"/>
                <w:lang w:val="en-GB"/>
              </w:rPr>
              <w:t>0.17</w:t>
            </w:r>
          </w:p>
        </w:tc>
        <w:tc>
          <w:tcPr>
            <w:tcW w:w="0" w:type="auto"/>
            <w:noWrap/>
            <w:vAlign w:val="bottom"/>
          </w:tcPr>
          <w:p w14:paraId="22AA0BF0" w14:textId="77777777" w:rsidR="00A60DA1" w:rsidRPr="00E3562B" w:rsidRDefault="00A60DA1" w:rsidP="00294522">
            <w:pPr>
              <w:spacing w:line="360" w:lineRule="auto"/>
              <w:jc w:val="right"/>
              <w:rPr>
                <w:rFonts w:eastAsia="Calibri"/>
                <w:szCs w:val="22"/>
                <w:lang w:val="en-GB"/>
              </w:rPr>
            </w:pPr>
            <w:r w:rsidRPr="00E3562B">
              <w:rPr>
                <w:szCs w:val="22"/>
                <w:lang w:val="en-GB"/>
              </w:rPr>
              <w:t>0.17</w:t>
            </w:r>
          </w:p>
        </w:tc>
      </w:tr>
      <w:tr w:rsidR="005D6588" w:rsidRPr="00E3562B" w14:paraId="44EDF114" w14:textId="77777777" w:rsidTr="00294522">
        <w:trPr>
          <w:trHeight w:val="381"/>
        </w:trPr>
        <w:tc>
          <w:tcPr>
            <w:tcW w:w="0" w:type="auto"/>
            <w:noWrap/>
          </w:tcPr>
          <w:p w14:paraId="2BC5CF87"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Median</w:t>
            </w:r>
          </w:p>
        </w:tc>
        <w:tc>
          <w:tcPr>
            <w:tcW w:w="0" w:type="auto"/>
            <w:noWrap/>
            <w:vAlign w:val="bottom"/>
          </w:tcPr>
          <w:p w14:paraId="5EB72AA9"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c>
          <w:tcPr>
            <w:tcW w:w="0" w:type="auto"/>
            <w:noWrap/>
            <w:vAlign w:val="bottom"/>
          </w:tcPr>
          <w:p w14:paraId="33EC6D36" w14:textId="77777777" w:rsidR="00A60DA1" w:rsidRPr="00E3562B" w:rsidRDefault="00A60DA1" w:rsidP="00294522">
            <w:pPr>
              <w:spacing w:line="360" w:lineRule="auto"/>
              <w:jc w:val="right"/>
              <w:rPr>
                <w:rFonts w:eastAsia="Calibri"/>
                <w:szCs w:val="22"/>
                <w:lang w:val="en-GB"/>
              </w:rPr>
            </w:pPr>
            <w:r w:rsidRPr="00E3562B">
              <w:rPr>
                <w:szCs w:val="22"/>
                <w:lang w:val="en-GB"/>
              </w:rPr>
              <w:t>0.17</w:t>
            </w:r>
          </w:p>
        </w:tc>
        <w:tc>
          <w:tcPr>
            <w:tcW w:w="0" w:type="auto"/>
            <w:noWrap/>
            <w:vAlign w:val="bottom"/>
          </w:tcPr>
          <w:p w14:paraId="102685F7" w14:textId="77777777" w:rsidR="00A60DA1" w:rsidRPr="00E3562B" w:rsidRDefault="00A60DA1" w:rsidP="00294522">
            <w:pPr>
              <w:spacing w:line="360" w:lineRule="auto"/>
              <w:jc w:val="right"/>
              <w:rPr>
                <w:rFonts w:eastAsia="Calibri"/>
                <w:szCs w:val="22"/>
                <w:lang w:val="en-GB"/>
              </w:rPr>
            </w:pPr>
            <w:r w:rsidRPr="00E3562B">
              <w:rPr>
                <w:szCs w:val="22"/>
                <w:lang w:val="en-GB"/>
              </w:rPr>
              <w:t>0.17</w:t>
            </w:r>
          </w:p>
        </w:tc>
        <w:tc>
          <w:tcPr>
            <w:tcW w:w="0" w:type="auto"/>
            <w:noWrap/>
            <w:vAlign w:val="bottom"/>
          </w:tcPr>
          <w:p w14:paraId="30EE03F0"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c>
          <w:tcPr>
            <w:tcW w:w="0" w:type="auto"/>
            <w:noWrap/>
            <w:vAlign w:val="bottom"/>
          </w:tcPr>
          <w:p w14:paraId="3619D24C"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c>
          <w:tcPr>
            <w:tcW w:w="0" w:type="auto"/>
            <w:noWrap/>
            <w:vAlign w:val="bottom"/>
          </w:tcPr>
          <w:p w14:paraId="17A58BB9"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r>
      <w:tr w:rsidR="005D6588" w:rsidRPr="00E3562B" w14:paraId="49E589D5" w14:textId="77777777" w:rsidTr="00294522">
        <w:trPr>
          <w:trHeight w:val="381"/>
        </w:trPr>
        <w:tc>
          <w:tcPr>
            <w:tcW w:w="0" w:type="auto"/>
            <w:tcBorders>
              <w:bottom w:val="single" w:sz="4" w:space="0" w:color="auto"/>
            </w:tcBorders>
            <w:noWrap/>
          </w:tcPr>
          <w:p w14:paraId="774660EE"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p75</w:t>
            </w:r>
          </w:p>
        </w:tc>
        <w:tc>
          <w:tcPr>
            <w:tcW w:w="0" w:type="auto"/>
            <w:tcBorders>
              <w:bottom w:val="single" w:sz="4" w:space="0" w:color="auto"/>
            </w:tcBorders>
            <w:noWrap/>
            <w:vAlign w:val="bottom"/>
          </w:tcPr>
          <w:p w14:paraId="62019467"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c>
          <w:tcPr>
            <w:tcW w:w="0" w:type="auto"/>
            <w:tcBorders>
              <w:bottom w:val="single" w:sz="4" w:space="0" w:color="auto"/>
            </w:tcBorders>
            <w:noWrap/>
            <w:vAlign w:val="bottom"/>
          </w:tcPr>
          <w:p w14:paraId="71A71CB1"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c>
          <w:tcPr>
            <w:tcW w:w="0" w:type="auto"/>
            <w:tcBorders>
              <w:bottom w:val="single" w:sz="4" w:space="0" w:color="auto"/>
            </w:tcBorders>
            <w:noWrap/>
            <w:vAlign w:val="bottom"/>
          </w:tcPr>
          <w:p w14:paraId="33049402"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c>
          <w:tcPr>
            <w:tcW w:w="0" w:type="auto"/>
            <w:tcBorders>
              <w:bottom w:val="single" w:sz="4" w:space="0" w:color="auto"/>
            </w:tcBorders>
            <w:noWrap/>
            <w:vAlign w:val="bottom"/>
          </w:tcPr>
          <w:p w14:paraId="51AEE52C" w14:textId="77777777" w:rsidR="00A60DA1" w:rsidRPr="00E3562B" w:rsidRDefault="00A60DA1" w:rsidP="00294522">
            <w:pPr>
              <w:spacing w:line="360" w:lineRule="auto"/>
              <w:jc w:val="right"/>
              <w:rPr>
                <w:rFonts w:eastAsia="Calibri"/>
                <w:szCs w:val="22"/>
                <w:lang w:val="en-GB"/>
              </w:rPr>
            </w:pPr>
            <w:r w:rsidRPr="00E3562B">
              <w:rPr>
                <w:szCs w:val="22"/>
                <w:lang w:val="en-GB"/>
              </w:rPr>
              <w:t>0.50</w:t>
            </w:r>
          </w:p>
        </w:tc>
        <w:tc>
          <w:tcPr>
            <w:tcW w:w="0" w:type="auto"/>
            <w:tcBorders>
              <w:bottom w:val="single" w:sz="4" w:space="0" w:color="auto"/>
            </w:tcBorders>
            <w:noWrap/>
            <w:vAlign w:val="bottom"/>
          </w:tcPr>
          <w:p w14:paraId="3D9A97A9" w14:textId="77777777" w:rsidR="00A60DA1" w:rsidRPr="00E3562B" w:rsidRDefault="00A60DA1" w:rsidP="00294522">
            <w:pPr>
              <w:spacing w:line="360" w:lineRule="auto"/>
              <w:jc w:val="right"/>
              <w:rPr>
                <w:rFonts w:eastAsia="Calibri"/>
                <w:szCs w:val="22"/>
                <w:lang w:val="en-GB"/>
              </w:rPr>
            </w:pPr>
            <w:r w:rsidRPr="00E3562B">
              <w:rPr>
                <w:szCs w:val="22"/>
                <w:lang w:val="en-GB"/>
              </w:rPr>
              <w:t>0.42</w:t>
            </w:r>
          </w:p>
        </w:tc>
        <w:tc>
          <w:tcPr>
            <w:tcW w:w="0" w:type="auto"/>
            <w:tcBorders>
              <w:bottom w:val="single" w:sz="4" w:space="0" w:color="auto"/>
            </w:tcBorders>
            <w:noWrap/>
            <w:vAlign w:val="bottom"/>
          </w:tcPr>
          <w:p w14:paraId="6EB8FD97"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r>
      <w:tr w:rsidR="005D6588" w:rsidRPr="00E3562B" w14:paraId="5358C7FA" w14:textId="77777777" w:rsidTr="00294522">
        <w:trPr>
          <w:trHeight w:val="381"/>
        </w:trPr>
        <w:tc>
          <w:tcPr>
            <w:tcW w:w="0" w:type="auto"/>
            <w:gridSpan w:val="7"/>
            <w:tcBorders>
              <w:top w:val="single" w:sz="4" w:space="0" w:color="auto"/>
              <w:bottom w:val="single" w:sz="4" w:space="0" w:color="auto"/>
            </w:tcBorders>
            <w:noWrap/>
          </w:tcPr>
          <w:p w14:paraId="05E59383" w14:textId="77777777" w:rsidR="00A60DA1" w:rsidRPr="00E3562B" w:rsidRDefault="00A60DA1" w:rsidP="00294522">
            <w:pPr>
              <w:numPr>
                <w:ilvl w:val="0"/>
                <w:numId w:val="31"/>
              </w:numPr>
              <w:spacing w:line="240" w:lineRule="auto"/>
              <w:contextualSpacing/>
              <w:jc w:val="left"/>
              <w:rPr>
                <w:rFonts w:eastAsia="Calibri"/>
                <w:i/>
                <w:iCs/>
                <w:szCs w:val="22"/>
                <w:lang w:val="en-GB"/>
              </w:rPr>
            </w:pPr>
            <w:r w:rsidRPr="00E3562B">
              <w:rPr>
                <w:rFonts w:eastAsia="Calibri"/>
                <w:i/>
                <w:iCs/>
                <w:szCs w:val="22"/>
                <w:lang w:val="en-GB"/>
              </w:rPr>
              <w:t>Effectiveness/KPIs</w:t>
            </w:r>
          </w:p>
        </w:tc>
      </w:tr>
      <w:tr w:rsidR="005D6588" w:rsidRPr="00E3562B" w14:paraId="50C3F457" w14:textId="77777777" w:rsidTr="00294522">
        <w:trPr>
          <w:trHeight w:val="381"/>
        </w:trPr>
        <w:tc>
          <w:tcPr>
            <w:tcW w:w="0" w:type="auto"/>
            <w:tcBorders>
              <w:top w:val="single" w:sz="4" w:space="0" w:color="auto"/>
            </w:tcBorders>
            <w:noWrap/>
          </w:tcPr>
          <w:p w14:paraId="0FFCB54A"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Mean</w:t>
            </w:r>
          </w:p>
        </w:tc>
        <w:tc>
          <w:tcPr>
            <w:tcW w:w="0" w:type="auto"/>
            <w:tcBorders>
              <w:top w:val="single" w:sz="4" w:space="0" w:color="auto"/>
            </w:tcBorders>
            <w:noWrap/>
            <w:vAlign w:val="bottom"/>
          </w:tcPr>
          <w:p w14:paraId="6CC387D6" w14:textId="77777777" w:rsidR="00A60DA1" w:rsidRPr="00E3562B" w:rsidRDefault="00A60DA1" w:rsidP="00294522">
            <w:pPr>
              <w:spacing w:line="360" w:lineRule="auto"/>
              <w:jc w:val="right"/>
              <w:rPr>
                <w:rFonts w:eastAsia="Calibri"/>
                <w:szCs w:val="22"/>
                <w:lang w:val="en-GB"/>
              </w:rPr>
            </w:pPr>
            <w:r w:rsidRPr="00E3562B">
              <w:rPr>
                <w:szCs w:val="22"/>
                <w:lang w:val="en-GB"/>
              </w:rPr>
              <w:t>0.15</w:t>
            </w:r>
          </w:p>
        </w:tc>
        <w:tc>
          <w:tcPr>
            <w:tcW w:w="0" w:type="auto"/>
            <w:tcBorders>
              <w:top w:val="single" w:sz="4" w:space="0" w:color="auto"/>
            </w:tcBorders>
            <w:noWrap/>
            <w:vAlign w:val="bottom"/>
          </w:tcPr>
          <w:p w14:paraId="243F002D" w14:textId="77777777" w:rsidR="00A60DA1" w:rsidRPr="00E3562B" w:rsidRDefault="00A60DA1" w:rsidP="00294522">
            <w:pPr>
              <w:spacing w:line="360" w:lineRule="auto"/>
              <w:jc w:val="right"/>
              <w:rPr>
                <w:rFonts w:eastAsia="Calibri"/>
                <w:szCs w:val="22"/>
                <w:lang w:val="en-GB"/>
              </w:rPr>
            </w:pPr>
            <w:r w:rsidRPr="00E3562B">
              <w:rPr>
                <w:szCs w:val="22"/>
                <w:lang w:val="en-GB"/>
              </w:rPr>
              <w:t>0.07</w:t>
            </w:r>
          </w:p>
        </w:tc>
        <w:tc>
          <w:tcPr>
            <w:tcW w:w="0" w:type="auto"/>
            <w:tcBorders>
              <w:top w:val="single" w:sz="4" w:space="0" w:color="auto"/>
            </w:tcBorders>
            <w:noWrap/>
            <w:vAlign w:val="bottom"/>
          </w:tcPr>
          <w:p w14:paraId="1FF67353" w14:textId="77777777" w:rsidR="00A60DA1" w:rsidRPr="00E3562B" w:rsidRDefault="00A60DA1" w:rsidP="00294522">
            <w:pPr>
              <w:spacing w:line="360" w:lineRule="auto"/>
              <w:jc w:val="right"/>
              <w:rPr>
                <w:rFonts w:eastAsia="Calibri"/>
                <w:szCs w:val="22"/>
                <w:lang w:val="en-GB"/>
              </w:rPr>
            </w:pPr>
            <w:r w:rsidRPr="00E3562B">
              <w:rPr>
                <w:szCs w:val="22"/>
                <w:lang w:val="en-GB"/>
              </w:rPr>
              <w:t>0.14</w:t>
            </w:r>
          </w:p>
        </w:tc>
        <w:tc>
          <w:tcPr>
            <w:tcW w:w="0" w:type="auto"/>
            <w:tcBorders>
              <w:top w:val="single" w:sz="4" w:space="0" w:color="auto"/>
            </w:tcBorders>
            <w:noWrap/>
            <w:vAlign w:val="bottom"/>
          </w:tcPr>
          <w:p w14:paraId="4CB2FABD" w14:textId="77777777" w:rsidR="00A60DA1" w:rsidRPr="00E3562B" w:rsidRDefault="00A60DA1" w:rsidP="00294522">
            <w:pPr>
              <w:spacing w:line="360" w:lineRule="auto"/>
              <w:jc w:val="right"/>
              <w:rPr>
                <w:rFonts w:eastAsia="Calibri"/>
                <w:szCs w:val="22"/>
                <w:lang w:val="en-GB"/>
              </w:rPr>
            </w:pPr>
            <w:r w:rsidRPr="00E3562B">
              <w:rPr>
                <w:szCs w:val="22"/>
                <w:lang w:val="en-GB"/>
              </w:rPr>
              <w:t>0.16</w:t>
            </w:r>
          </w:p>
        </w:tc>
        <w:tc>
          <w:tcPr>
            <w:tcW w:w="0" w:type="auto"/>
            <w:tcBorders>
              <w:top w:val="single" w:sz="4" w:space="0" w:color="auto"/>
            </w:tcBorders>
            <w:noWrap/>
            <w:vAlign w:val="bottom"/>
          </w:tcPr>
          <w:p w14:paraId="0949F85C" w14:textId="77777777" w:rsidR="00A60DA1" w:rsidRPr="00E3562B" w:rsidRDefault="00A60DA1" w:rsidP="00294522">
            <w:pPr>
              <w:spacing w:line="360" w:lineRule="auto"/>
              <w:jc w:val="right"/>
              <w:rPr>
                <w:rFonts w:eastAsia="Calibri"/>
                <w:szCs w:val="22"/>
                <w:lang w:val="en-GB"/>
              </w:rPr>
            </w:pPr>
            <w:r w:rsidRPr="00E3562B">
              <w:rPr>
                <w:szCs w:val="22"/>
                <w:lang w:val="en-GB"/>
              </w:rPr>
              <w:t>0.18</w:t>
            </w:r>
          </w:p>
        </w:tc>
        <w:tc>
          <w:tcPr>
            <w:tcW w:w="0" w:type="auto"/>
            <w:tcBorders>
              <w:top w:val="single" w:sz="4" w:space="0" w:color="auto"/>
            </w:tcBorders>
            <w:noWrap/>
            <w:vAlign w:val="bottom"/>
          </w:tcPr>
          <w:p w14:paraId="75C990C6" w14:textId="77777777" w:rsidR="00A60DA1" w:rsidRPr="00E3562B" w:rsidRDefault="00A60DA1" w:rsidP="00294522">
            <w:pPr>
              <w:spacing w:line="360" w:lineRule="auto"/>
              <w:jc w:val="right"/>
              <w:rPr>
                <w:rFonts w:eastAsia="Calibri"/>
                <w:szCs w:val="22"/>
                <w:lang w:val="en-GB"/>
              </w:rPr>
            </w:pPr>
            <w:r w:rsidRPr="00E3562B">
              <w:rPr>
                <w:szCs w:val="22"/>
                <w:lang w:val="en-GB"/>
              </w:rPr>
              <w:t>0.19</w:t>
            </w:r>
          </w:p>
        </w:tc>
      </w:tr>
      <w:tr w:rsidR="005D6588" w:rsidRPr="00E3562B" w14:paraId="4B40A76C" w14:textId="77777777" w:rsidTr="00294522">
        <w:trPr>
          <w:trHeight w:val="381"/>
        </w:trPr>
        <w:tc>
          <w:tcPr>
            <w:tcW w:w="0" w:type="auto"/>
            <w:noWrap/>
          </w:tcPr>
          <w:p w14:paraId="0881838D"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lastRenderedPageBreak/>
              <w:t>SD</w:t>
            </w:r>
          </w:p>
        </w:tc>
        <w:tc>
          <w:tcPr>
            <w:tcW w:w="0" w:type="auto"/>
            <w:noWrap/>
            <w:vAlign w:val="bottom"/>
          </w:tcPr>
          <w:p w14:paraId="6BA078CF" w14:textId="77777777" w:rsidR="00A60DA1" w:rsidRPr="00E3562B" w:rsidRDefault="00A60DA1" w:rsidP="00294522">
            <w:pPr>
              <w:spacing w:line="360" w:lineRule="auto"/>
              <w:jc w:val="right"/>
              <w:rPr>
                <w:rFonts w:eastAsia="Calibri"/>
                <w:szCs w:val="22"/>
                <w:lang w:val="en-GB"/>
              </w:rPr>
            </w:pPr>
            <w:r w:rsidRPr="00E3562B">
              <w:rPr>
                <w:szCs w:val="22"/>
                <w:lang w:val="en-GB"/>
              </w:rPr>
              <w:t>0.22</w:t>
            </w:r>
          </w:p>
        </w:tc>
        <w:tc>
          <w:tcPr>
            <w:tcW w:w="0" w:type="auto"/>
            <w:noWrap/>
            <w:vAlign w:val="bottom"/>
          </w:tcPr>
          <w:p w14:paraId="06478D12" w14:textId="77777777" w:rsidR="00A60DA1" w:rsidRPr="00E3562B" w:rsidRDefault="00A60DA1" w:rsidP="00294522">
            <w:pPr>
              <w:spacing w:line="360" w:lineRule="auto"/>
              <w:jc w:val="right"/>
              <w:rPr>
                <w:rFonts w:eastAsia="Calibri"/>
                <w:szCs w:val="22"/>
                <w:lang w:val="en-GB"/>
              </w:rPr>
            </w:pPr>
            <w:r w:rsidRPr="00E3562B">
              <w:rPr>
                <w:szCs w:val="22"/>
                <w:lang w:val="en-GB"/>
              </w:rPr>
              <w:t>0.16</w:t>
            </w:r>
          </w:p>
        </w:tc>
        <w:tc>
          <w:tcPr>
            <w:tcW w:w="0" w:type="auto"/>
            <w:noWrap/>
            <w:vAlign w:val="bottom"/>
          </w:tcPr>
          <w:p w14:paraId="01FBA65D" w14:textId="77777777" w:rsidR="00A60DA1" w:rsidRPr="00E3562B" w:rsidRDefault="00A60DA1" w:rsidP="00294522">
            <w:pPr>
              <w:spacing w:line="360" w:lineRule="auto"/>
              <w:jc w:val="right"/>
              <w:rPr>
                <w:rFonts w:eastAsia="Calibri"/>
                <w:szCs w:val="22"/>
                <w:lang w:val="en-GB"/>
              </w:rPr>
            </w:pPr>
            <w:r w:rsidRPr="00E3562B">
              <w:rPr>
                <w:szCs w:val="22"/>
                <w:lang w:val="en-GB"/>
              </w:rPr>
              <w:t>0.19</w:t>
            </w:r>
          </w:p>
        </w:tc>
        <w:tc>
          <w:tcPr>
            <w:tcW w:w="0" w:type="auto"/>
            <w:noWrap/>
            <w:vAlign w:val="bottom"/>
          </w:tcPr>
          <w:p w14:paraId="2E29E174"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c>
          <w:tcPr>
            <w:tcW w:w="0" w:type="auto"/>
            <w:noWrap/>
            <w:vAlign w:val="bottom"/>
          </w:tcPr>
          <w:p w14:paraId="17BAE44E" w14:textId="77777777" w:rsidR="00A60DA1" w:rsidRPr="00E3562B" w:rsidRDefault="00A60DA1" w:rsidP="00294522">
            <w:pPr>
              <w:spacing w:line="360" w:lineRule="auto"/>
              <w:jc w:val="right"/>
              <w:rPr>
                <w:rFonts w:eastAsia="Calibri"/>
                <w:szCs w:val="22"/>
                <w:lang w:val="en-GB"/>
              </w:rPr>
            </w:pPr>
            <w:r w:rsidRPr="00E3562B">
              <w:rPr>
                <w:szCs w:val="22"/>
                <w:lang w:val="en-GB"/>
              </w:rPr>
              <w:t>0.23</w:t>
            </w:r>
          </w:p>
        </w:tc>
        <w:tc>
          <w:tcPr>
            <w:tcW w:w="0" w:type="auto"/>
            <w:noWrap/>
            <w:vAlign w:val="bottom"/>
          </w:tcPr>
          <w:p w14:paraId="77D5418D" w14:textId="77777777" w:rsidR="00A60DA1" w:rsidRPr="00E3562B" w:rsidRDefault="00A60DA1" w:rsidP="00294522">
            <w:pPr>
              <w:spacing w:line="360" w:lineRule="auto"/>
              <w:jc w:val="right"/>
              <w:rPr>
                <w:rFonts w:eastAsia="Calibri"/>
                <w:szCs w:val="22"/>
                <w:lang w:val="en-GB"/>
              </w:rPr>
            </w:pPr>
            <w:r w:rsidRPr="00E3562B">
              <w:rPr>
                <w:szCs w:val="22"/>
                <w:lang w:val="en-GB"/>
              </w:rPr>
              <w:t>0.24</w:t>
            </w:r>
          </w:p>
        </w:tc>
      </w:tr>
      <w:tr w:rsidR="005D6588" w:rsidRPr="00E3562B" w14:paraId="11EBEB0B" w14:textId="77777777" w:rsidTr="00294522">
        <w:trPr>
          <w:trHeight w:val="381"/>
        </w:trPr>
        <w:tc>
          <w:tcPr>
            <w:tcW w:w="0" w:type="auto"/>
            <w:noWrap/>
          </w:tcPr>
          <w:p w14:paraId="0A63B4FA"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p25</w:t>
            </w:r>
          </w:p>
        </w:tc>
        <w:tc>
          <w:tcPr>
            <w:tcW w:w="0" w:type="auto"/>
            <w:noWrap/>
            <w:vAlign w:val="bottom"/>
          </w:tcPr>
          <w:p w14:paraId="2E228D06"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c>
          <w:tcPr>
            <w:tcW w:w="0" w:type="auto"/>
            <w:noWrap/>
            <w:vAlign w:val="bottom"/>
          </w:tcPr>
          <w:p w14:paraId="7E88ED7A"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c>
          <w:tcPr>
            <w:tcW w:w="0" w:type="auto"/>
            <w:noWrap/>
            <w:vAlign w:val="bottom"/>
          </w:tcPr>
          <w:p w14:paraId="660B5A67"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c>
          <w:tcPr>
            <w:tcW w:w="0" w:type="auto"/>
            <w:noWrap/>
            <w:vAlign w:val="bottom"/>
          </w:tcPr>
          <w:p w14:paraId="5C980FA3"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c>
          <w:tcPr>
            <w:tcW w:w="0" w:type="auto"/>
            <w:noWrap/>
            <w:vAlign w:val="bottom"/>
          </w:tcPr>
          <w:p w14:paraId="509CC179"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c>
          <w:tcPr>
            <w:tcW w:w="0" w:type="auto"/>
            <w:noWrap/>
            <w:vAlign w:val="bottom"/>
          </w:tcPr>
          <w:p w14:paraId="28B70FF5"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r>
      <w:tr w:rsidR="005D6588" w:rsidRPr="00E3562B" w14:paraId="54B25030" w14:textId="77777777" w:rsidTr="00294522">
        <w:trPr>
          <w:trHeight w:val="381"/>
        </w:trPr>
        <w:tc>
          <w:tcPr>
            <w:tcW w:w="0" w:type="auto"/>
            <w:noWrap/>
          </w:tcPr>
          <w:p w14:paraId="22A4D1F3"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Median</w:t>
            </w:r>
          </w:p>
        </w:tc>
        <w:tc>
          <w:tcPr>
            <w:tcW w:w="0" w:type="auto"/>
            <w:noWrap/>
            <w:vAlign w:val="bottom"/>
          </w:tcPr>
          <w:p w14:paraId="28171FA9"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c>
          <w:tcPr>
            <w:tcW w:w="0" w:type="auto"/>
            <w:noWrap/>
            <w:vAlign w:val="bottom"/>
          </w:tcPr>
          <w:p w14:paraId="1A265BB5"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c>
          <w:tcPr>
            <w:tcW w:w="0" w:type="auto"/>
            <w:noWrap/>
            <w:vAlign w:val="bottom"/>
          </w:tcPr>
          <w:p w14:paraId="4C98E2E7"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c>
          <w:tcPr>
            <w:tcW w:w="0" w:type="auto"/>
            <w:noWrap/>
            <w:vAlign w:val="bottom"/>
          </w:tcPr>
          <w:p w14:paraId="2045A1F2"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c>
          <w:tcPr>
            <w:tcW w:w="0" w:type="auto"/>
            <w:noWrap/>
            <w:vAlign w:val="bottom"/>
          </w:tcPr>
          <w:p w14:paraId="2A627537"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c>
          <w:tcPr>
            <w:tcW w:w="0" w:type="auto"/>
            <w:noWrap/>
            <w:vAlign w:val="bottom"/>
          </w:tcPr>
          <w:p w14:paraId="1E379094" w14:textId="77777777" w:rsidR="00A60DA1" w:rsidRPr="00E3562B" w:rsidRDefault="00A60DA1" w:rsidP="00294522">
            <w:pPr>
              <w:spacing w:line="360" w:lineRule="auto"/>
              <w:jc w:val="right"/>
              <w:rPr>
                <w:rFonts w:eastAsia="Calibri"/>
                <w:szCs w:val="22"/>
                <w:lang w:val="en-GB"/>
              </w:rPr>
            </w:pPr>
            <w:r w:rsidRPr="00E3562B">
              <w:rPr>
                <w:szCs w:val="22"/>
                <w:lang w:val="en-GB"/>
              </w:rPr>
              <w:t>0.17</w:t>
            </w:r>
          </w:p>
        </w:tc>
      </w:tr>
      <w:tr w:rsidR="005D6588" w:rsidRPr="00E3562B" w14:paraId="7A14C6EB" w14:textId="77777777" w:rsidTr="00294522">
        <w:trPr>
          <w:trHeight w:val="381"/>
        </w:trPr>
        <w:tc>
          <w:tcPr>
            <w:tcW w:w="0" w:type="auto"/>
            <w:tcBorders>
              <w:bottom w:val="single" w:sz="4" w:space="0" w:color="auto"/>
            </w:tcBorders>
            <w:noWrap/>
          </w:tcPr>
          <w:p w14:paraId="57BB13C8"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p75</w:t>
            </w:r>
          </w:p>
        </w:tc>
        <w:tc>
          <w:tcPr>
            <w:tcW w:w="0" w:type="auto"/>
            <w:tcBorders>
              <w:bottom w:val="single" w:sz="4" w:space="0" w:color="auto"/>
            </w:tcBorders>
            <w:noWrap/>
            <w:vAlign w:val="bottom"/>
          </w:tcPr>
          <w:p w14:paraId="3EF2D166"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c>
          <w:tcPr>
            <w:tcW w:w="0" w:type="auto"/>
            <w:tcBorders>
              <w:bottom w:val="single" w:sz="4" w:space="0" w:color="auto"/>
            </w:tcBorders>
            <w:noWrap/>
            <w:vAlign w:val="bottom"/>
          </w:tcPr>
          <w:p w14:paraId="0458058F" w14:textId="77777777" w:rsidR="00A60DA1" w:rsidRPr="00E3562B" w:rsidRDefault="00A60DA1" w:rsidP="00294522">
            <w:pPr>
              <w:spacing w:line="360" w:lineRule="auto"/>
              <w:jc w:val="right"/>
              <w:rPr>
                <w:rFonts w:eastAsia="Calibri"/>
                <w:szCs w:val="22"/>
                <w:lang w:val="en-GB"/>
              </w:rPr>
            </w:pPr>
            <w:r w:rsidRPr="00E3562B">
              <w:rPr>
                <w:szCs w:val="22"/>
                <w:lang w:val="en-GB"/>
              </w:rPr>
              <w:t>0.00</w:t>
            </w:r>
          </w:p>
        </w:tc>
        <w:tc>
          <w:tcPr>
            <w:tcW w:w="0" w:type="auto"/>
            <w:tcBorders>
              <w:bottom w:val="single" w:sz="4" w:space="0" w:color="auto"/>
            </w:tcBorders>
            <w:noWrap/>
            <w:vAlign w:val="bottom"/>
          </w:tcPr>
          <w:p w14:paraId="3FD9E7B6"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c>
          <w:tcPr>
            <w:tcW w:w="0" w:type="auto"/>
            <w:tcBorders>
              <w:bottom w:val="single" w:sz="4" w:space="0" w:color="auto"/>
            </w:tcBorders>
            <w:noWrap/>
            <w:vAlign w:val="bottom"/>
          </w:tcPr>
          <w:p w14:paraId="259B03C4"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c>
          <w:tcPr>
            <w:tcW w:w="0" w:type="auto"/>
            <w:tcBorders>
              <w:bottom w:val="single" w:sz="4" w:space="0" w:color="auto"/>
            </w:tcBorders>
            <w:noWrap/>
            <w:vAlign w:val="bottom"/>
          </w:tcPr>
          <w:p w14:paraId="46EC3717"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c>
          <w:tcPr>
            <w:tcW w:w="0" w:type="auto"/>
            <w:tcBorders>
              <w:bottom w:val="single" w:sz="4" w:space="0" w:color="auto"/>
            </w:tcBorders>
            <w:noWrap/>
            <w:vAlign w:val="bottom"/>
          </w:tcPr>
          <w:p w14:paraId="6F0A52BB"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r>
      <w:tr w:rsidR="005D6588" w:rsidRPr="00E3562B" w14:paraId="0B1DEEE2" w14:textId="77777777" w:rsidTr="00294522">
        <w:trPr>
          <w:trHeight w:val="381"/>
        </w:trPr>
        <w:tc>
          <w:tcPr>
            <w:tcW w:w="0" w:type="auto"/>
            <w:gridSpan w:val="7"/>
            <w:tcBorders>
              <w:top w:val="single" w:sz="4" w:space="0" w:color="auto"/>
              <w:bottom w:val="single" w:sz="4" w:space="0" w:color="auto"/>
            </w:tcBorders>
            <w:noWrap/>
          </w:tcPr>
          <w:p w14:paraId="0A20104C" w14:textId="77777777" w:rsidR="00A60DA1" w:rsidRPr="00E3562B" w:rsidRDefault="00A60DA1" w:rsidP="00294522">
            <w:pPr>
              <w:numPr>
                <w:ilvl w:val="0"/>
                <w:numId w:val="31"/>
              </w:numPr>
              <w:spacing w:line="240" w:lineRule="auto"/>
              <w:contextualSpacing/>
              <w:jc w:val="left"/>
              <w:rPr>
                <w:rFonts w:eastAsia="Calibri"/>
                <w:i/>
                <w:iCs/>
                <w:szCs w:val="22"/>
                <w:lang w:val="en-GB"/>
              </w:rPr>
            </w:pPr>
            <w:r w:rsidRPr="00E3562B">
              <w:rPr>
                <w:rFonts w:eastAsia="Calibri"/>
                <w:i/>
                <w:iCs/>
                <w:szCs w:val="22"/>
                <w:lang w:val="en-GB"/>
              </w:rPr>
              <w:t>Training</w:t>
            </w:r>
          </w:p>
        </w:tc>
      </w:tr>
      <w:tr w:rsidR="005D6588" w:rsidRPr="00E3562B" w14:paraId="69C3D803" w14:textId="77777777" w:rsidTr="00294522">
        <w:trPr>
          <w:trHeight w:val="381"/>
        </w:trPr>
        <w:tc>
          <w:tcPr>
            <w:tcW w:w="0" w:type="auto"/>
            <w:tcBorders>
              <w:top w:val="single" w:sz="4" w:space="0" w:color="auto"/>
            </w:tcBorders>
            <w:noWrap/>
          </w:tcPr>
          <w:p w14:paraId="1661FB38"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Mean</w:t>
            </w:r>
          </w:p>
        </w:tc>
        <w:tc>
          <w:tcPr>
            <w:tcW w:w="0" w:type="auto"/>
            <w:tcBorders>
              <w:top w:val="single" w:sz="4" w:space="0" w:color="auto"/>
            </w:tcBorders>
            <w:noWrap/>
            <w:vAlign w:val="bottom"/>
          </w:tcPr>
          <w:p w14:paraId="47EF3FC7" w14:textId="77777777" w:rsidR="00A60DA1" w:rsidRPr="00E3562B" w:rsidRDefault="00A60DA1" w:rsidP="00294522">
            <w:pPr>
              <w:spacing w:line="360" w:lineRule="auto"/>
              <w:jc w:val="right"/>
              <w:rPr>
                <w:rFonts w:eastAsia="Calibri"/>
                <w:szCs w:val="22"/>
                <w:lang w:val="en-GB"/>
              </w:rPr>
            </w:pPr>
            <w:r w:rsidRPr="00E3562B">
              <w:rPr>
                <w:szCs w:val="22"/>
                <w:lang w:val="en-GB"/>
              </w:rPr>
              <w:t>0.31</w:t>
            </w:r>
          </w:p>
        </w:tc>
        <w:tc>
          <w:tcPr>
            <w:tcW w:w="0" w:type="auto"/>
            <w:tcBorders>
              <w:top w:val="single" w:sz="4" w:space="0" w:color="auto"/>
            </w:tcBorders>
            <w:noWrap/>
            <w:vAlign w:val="bottom"/>
          </w:tcPr>
          <w:p w14:paraId="406E841E" w14:textId="77777777" w:rsidR="00A60DA1" w:rsidRPr="00E3562B" w:rsidRDefault="00A60DA1" w:rsidP="00294522">
            <w:pPr>
              <w:spacing w:line="360" w:lineRule="auto"/>
              <w:jc w:val="right"/>
              <w:rPr>
                <w:rFonts w:eastAsia="Calibri"/>
                <w:szCs w:val="22"/>
                <w:lang w:val="en-GB"/>
              </w:rPr>
            </w:pPr>
            <w:r w:rsidRPr="00E3562B">
              <w:rPr>
                <w:szCs w:val="22"/>
                <w:lang w:val="en-GB"/>
              </w:rPr>
              <w:t>0.26</w:t>
            </w:r>
          </w:p>
        </w:tc>
        <w:tc>
          <w:tcPr>
            <w:tcW w:w="0" w:type="auto"/>
            <w:tcBorders>
              <w:top w:val="single" w:sz="4" w:space="0" w:color="auto"/>
            </w:tcBorders>
            <w:noWrap/>
            <w:vAlign w:val="bottom"/>
          </w:tcPr>
          <w:p w14:paraId="6ACF5008" w14:textId="77777777" w:rsidR="00A60DA1" w:rsidRPr="00E3562B" w:rsidRDefault="00A60DA1" w:rsidP="00294522">
            <w:pPr>
              <w:spacing w:line="360" w:lineRule="auto"/>
              <w:jc w:val="right"/>
              <w:rPr>
                <w:rFonts w:eastAsia="Calibri"/>
                <w:szCs w:val="22"/>
                <w:lang w:val="en-GB"/>
              </w:rPr>
            </w:pPr>
            <w:r w:rsidRPr="00E3562B">
              <w:rPr>
                <w:szCs w:val="22"/>
                <w:lang w:val="en-GB"/>
              </w:rPr>
              <w:t>0.27</w:t>
            </w:r>
          </w:p>
        </w:tc>
        <w:tc>
          <w:tcPr>
            <w:tcW w:w="0" w:type="auto"/>
            <w:tcBorders>
              <w:top w:val="single" w:sz="4" w:space="0" w:color="auto"/>
            </w:tcBorders>
            <w:noWrap/>
            <w:vAlign w:val="bottom"/>
          </w:tcPr>
          <w:p w14:paraId="2E3E3AA5" w14:textId="77777777" w:rsidR="00A60DA1" w:rsidRPr="00E3562B" w:rsidRDefault="00A60DA1" w:rsidP="00294522">
            <w:pPr>
              <w:spacing w:line="360" w:lineRule="auto"/>
              <w:jc w:val="right"/>
              <w:rPr>
                <w:rFonts w:eastAsia="Calibri"/>
                <w:szCs w:val="22"/>
                <w:lang w:val="en-GB"/>
              </w:rPr>
            </w:pPr>
            <w:r w:rsidRPr="00E3562B">
              <w:rPr>
                <w:szCs w:val="22"/>
                <w:lang w:val="en-GB"/>
              </w:rPr>
              <w:t>0.32</w:t>
            </w:r>
          </w:p>
        </w:tc>
        <w:tc>
          <w:tcPr>
            <w:tcW w:w="0" w:type="auto"/>
            <w:tcBorders>
              <w:top w:val="single" w:sz="4" w:space="0" w:color="auto"/>
            </w:tcBorders>
            <w:noWrap/>
            <w:vAlign w:val="bottom"/>
          </w:tcPr>
          <w:p w14:paraId="245C899C" w14:textId="77777777" w:rsidR="00A60DA1" w:rsidRPr="00E3562B" w:rsidRDefault="00A60DA1" w:rsidP="00294522">
            <w:pPr>
              <w:spacing w:line="360" w:lineRule="auto"/>
              <w:jc w:val="right"/>
              <w:rPr>
                <w:rFonts w:eastAsia="Calibri"/>
                <w:szCs w:val="22"/>
                <w:lang w:val="en-GB"/>
              </w:rPr>
            </w:pPr>
            <w:r w:rsidRPr="00E3562B">
              <w:rPr>
                <w:szCs w:val="22"/>
                <w:lang w:val="en-GB"/>
              </w:rPr>
              <w:t>0.34</w:t>
            </w:r>
          </w:p>
        </w:tc>
        <w:tc>
          <w:tcPr>
            <w:tcW w:w="0" w:type="auto"/>
            <w:tcBorders>
              <w:top w:val="single" w:sz="4" w:space="0" w:color="auto"/>
            </w:tcBorders>
            <w:noWrap/>
            <w:vAlign w:val="bottom"/>
          </w:tcPr>
          <w:p w14:paraId="0D17EBF5" w14:textId="77777777" w:rsidR="00A60DA1" w:rsidRPr="00E3562B" w:rsidRDefault="00A60DA1" w:rsidP="00294522">
            <w:pPr>
              <w:spacing w:line="360" w:lineRule="auto"/>
              <w:jc w:val="right"/>
              <w:rPr>
                <w:rFonts w:eastAsia="Calibri"/>
                <w:szCs w:val="22"/>
                <w:lang w:val="en-GB"/>
              </w:rPr>
            </w:pPr>
            <w:r w:rsidRPr="00E3562B">
              <w:rPr>
                <w:szCs w:val="22"/>
                <w:lang w:val="en-GB"/>
              </w:rPr>
              <w:t>0.33</w:t>
            </w:r>
          </w:p>
        </w:tc>
      </w:tr>
      <w:tr w:rsidR="005D6588" w:rsidRPr="00E3562B" w14:paraId="0B556790" w14:textId="77777777" w:rsidTr="00294522">
        <w:trPr>
          <w:trHeight w:val="381"/>
        </w:trPr>
        <w:tc>
          <w:tcPr>
            <w:tcW w:w="0" w:type="auto"/>
            <w:noWrap/>
          </w:tcPr>
          <w:p w14:paraId="1942EC45"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SD</w:t>
            </w:r>
          </w:p>
        </w:tc>
        <w:tc>
          <w:tcPr>
            <w:tcW w:w="0" w:type="auto"/>
            <w:noWrap/>
            <w:vAlign w:val="bottom"/>
          </w:tcPr>
          <w:p w14:paraId="376ECC3D" w14:textId="77777777" w:rsidR="00A60DA1" w:rsidRPr="00E3562B" w:rsidRDefault="00A60DA1" w:rsidP="00294522">
            <w:pPr>
              <w:spacing w:line="360" w:lineRule="auto"/>
              <w:jc w:val="right"/>
              <w:rPr>
                <w:rFonts w:eastAsia="Calibri"/>
                <w:szCs w:val="22"/>
                <w:lang w:val="en-GB"/>
              </w:rPr>
            </w:pPr>
            <w:r w:rsidRPr="00E3562B">
              <w:rPr>
                <w:szCs w:val="22"/>
                <w:lang w:val="en-GB"/>
              </w:rPr>
              <w:t>0.18</w:t>
            </w:r>
          </w:p>
        </w:tc>
        <w:tc>
          <w:tcPr>
            <w:tcW w:w="0" w:type="auto"/>
            <w:noWrap/>
            <w:vAlign w:val="bottom"/>
          </w:tcPr>
          <w:p w14:paraId="309E0A57" w14:textId="77777777" w:rsidR="00A60DA1" w:rsidRPr="00E3562B" w:rsidRDefault="00A60DA1" w:rsidP="00294522">
            <w:pPr>
              <w:spacing w:line="360" w:lineRule="auto"/>
              <w:jc w:val="right"/>
              <w:rPr>
                <w:rFonts w:eastAsia="Calibri"/>
                <w:szCs w:val="22"/>
                <w:lang w:val="en-GB"/>
              </w:rPr>
            </w:pPr>
            <w:r w:rsidRPr="00E3562B">
              <w:rPr>
                <w:szCs w:val="22"/>
                <w:lang w:val="en-GB"/>
              </w:rPr>
              <w:t>0.18</w:t>
            </w:r>
          </w:p>
        </w:tc>
        <w:tc>
          <w:tcPr>
            <w:tcW w:w="0" w:type="auto"/>
            <w:noWrap/>
            <w:vAlign w:val="bottom"/>
          </w:tcPr>
          <w:p w14:paraId="39FF7EB4" w14:textId="77777777" w:rsidR="00A60DA1" w:rsidRPr="00E3562B" w:rsidRDefault="00A60DA1" w:rsidP="00294522">
            <w:pPr>
              <w:spacing w:line="360" w:lineRule="auto"/>
              <w:jc w:val="right"/>
              <w:rPr>
                <w:rFonts w:eastAsia="Calibri"/>
                <w:szCs w:val="22"/>
                <w:lang w:val="en-GB"/>
              </w:rPr>
            </w:pPr>
            <w:r w:rsidRPr="00E3562B">
              <w:rPr>
                <w:szCs w:val="22"/>
                <w:lang w:val="en-GB"/>
              </w:rPr>
              <w:t>0.18</w:t>
            </w:r>
          </w:p>
        </w:tc>
        <w:tc>
          <w:tcPr>
            <w:tcW w:w="0" w:type="auto"/>
            <w:noWrap/>
            <w:vAlign w:val="bottom"/>
          </w:tcPr>
          <w:p w14:paraId="19AC83BA" w14:textId="77777777" w:rsidR="00A60DA1" w:rsidRPr="00E3562B" w:rsidRDefault="00A60DA1" w:rsidP="00294522">
            <w:pPr>
              <w:spacing w:line="360" w:lineRule="auto"/>
              <w:jc w:val="right"/>
              <w:rPr>
                <w:rFonts w:eastAsia="Calibri"/>
                <w:szCs w:val="22"/>
                <w:lang w:val="en-GB"/>
              </w:rPr>
            </w:pPr>
            <w:r w:rsidRPr="00E3562B">
              <w:rPr>
                <w:szCs w:val="22"/>
                <w:lang w:val="en-GB"/>
              </w:rPr>
              <w:t>0.18</w:t>
            </w:r>
          </w:p>
        </w:tc>
        <w:tc>
          <w:tcPr>
            <w:tcW w:w="0" w:type="auto"/>
            <w:noWrap/>
            <w:vAlign w:val="bottom"/>
          </w:tcPr>
          <w:p w14:paraId="0A46433A" w14:textId="77777777" w:rsidR="00A60DA1" w:rsidRPr="00E3562B" w:rsidRDefault="00A60DA1" w:rsidP="00294522">
            <w:pPr>
              <w:spacing w:line="360" w:lineRule="auto"/>
              <w:jc w:val="right"/>
              <w:rPr>
                <w:rFonts w:eastAsia="Calibri"/>
                <w:szCs w:val="22"/>
                <w:lang w:val="en-GB"/>
              </w:rPr>
            </w:pPr>
            <w:r w:rsidRPr="00E3562B">
              <w:rPr>
                <w:szCs w:val="22"/>
                <w:lang w:val="en-GB"/>
              </w:rPr>
              <w:t>0.18</w:t>
            </w:r>
          </w:p>
        </w:tc>
        <w:tc>
          <w:tcPr>
            <w:tcW w:w="0" w:type="auto"/>
            <w:noWrap/>
            <w:vAlign w:val="bottom"/>
          </w:tcPr>
          <w:p w14:paraId="448DB494" w14:textId="77777777" w:rsidR="00A60DA1" w:rsidRPr="00E3562B" w:rsidRDefault="00A60DA1" w:rsidP="00294522">
            <w:pPr>
              <w:spacing w:line="360" w:lineRule="auto"/>
              <w:jc w:val="right"/>
              <w:rPr>
                <w:rFonts w:eastAsia="Calibri"/>
                <w:szCs w:val="22"/>
                <w:lang w:val="en-GB"/>
              </w:rPr>
            </w:pPr>
            <w:r w:rsidRPr="00E3562B">
              <w:rPr>
                <w:szCs w:val="22"/>
                <w:lang w:val="en-GB"/>
              </w:rPr>
              <w:t>0.17</w:t>
            </w:r>
          </w:p>
        </w:tc>
      </w:tr>
      <w:tr w:rsidR="005D6588" w:rsidRPr="00E3562B" w14:paraId="2BD8BFD3" w14:textId="77777777" w:rsidTr="00294522">
        <w:trPr>
          <w:trHeight w:val="381"/>
        </w:trPr>
        <w:tc>
          <w:tcPr>
            <w:tcW w:w="0" w:type="auto"/>
            <w:noWrap/>
          </w:tcPr>
          <w:p w14:paraId="6672B1F6"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p25</w:t>
            </w:r>
          </w:p>
        </w:tc>
        <w:tc>
          <w:tcPr>
            <w:tcW w:w="0" w:type="auto"/>
            <w:noWrap/>
            <w:vAlign w:val="bottom"/>
          </w:tcPr>
          <w:p w14:paraId="5922227A" w14:textId="77777777" w:rsidR="00A60DA1" w:rsidRPr="00E3562B" w:rsidRDefault="00A60DA1" w:rsidP="00294522">
            <w:pPr>
              <w:spacing w:line="360" w:lineRule="auto"/>
              <w:jc w:val="right"/>
              <w:rPr>
                <w:rFonts w:eastAsia="Calibri"/>
                <w:szCs w:val="22"/>
                <w:lang w:val="en-GB"/>
              </w:rPr>
            </w:pPr>
            <w:r w:rsidRPr="00E3562B">
              <w:rPr>
                <w:szCs w:val="22"/>
                <w:lang w:val="en-GB"/>
              </w:rPr>
              <w:t>0.14</w:t>
            </w:r>
          </w:p>
        </w:tc>
        <w:tc>
          <w:tcPr>
            <w:tcW w:w="0" w:type="auto"/>
            <w:noWrap/>
            <w:vAlign w:val="bottom"/>
          </w:tcPr>
          <w:p w14:paraId="0D9182AE" w14:textId="77777777" w:rsidR="00A60DA1" w:rsidRPr="00E3562B" w:rsidRDefault="00A60DA1" w:rsidP="00294522">
            <w:pPr>
              <w:spacing w:line="360" w:lineRule="auto"/>
              <w:jc w:val="right"/>
              <w:rPr>
                <w:rFonts w:eastAsia="Calibri"/>
                <w:szCs w:val="22"/>
                <w:lang w:val="en-GB"/>
              </w:rPr>
            </w:pPr>
            <w:r w:rsidRPr="00E3562B">
              <w:rPr>
                <w:szCs w:val="22"/>
                <w:lang w:val="en-GB"/>
              </w:rPr>
              <w:t>0.14</w:t>
            </w:r>
          </w:p>
        </w:tc>
        <w:tc>
          <w:tcPr>
            <w:tcW w:w="0" w:type="auto"/>
            <w:noWrap/>
            <w:vAlign w:val="bottom"/>
          </w:tcPr>
          <w:p w14:paraId="224F1751" w14:textId="77777777" w:rsidR="00A60DA1" w:rsidRPr="00E3562B" w:rsidRDefault="00A60DA1" w:rsidP="00294522">
            <w:pPr>
              <w:spacing w:line="360" w:lineRule="auto"/>
              <w:jc w:val="right"/>
              <w:rPr>
                <w:rFonts w:eastAsia="Calibri"/>
                <w:szCs w:val="22"/>
                <w:lang w:val="en-GB"/>
              </w:rPr>
            </w:pPr>
            <w:r w:rsidRPr="00E3562B">
              <w:rPr>
                <w:szCs w:val="22"/>
                <w:lang w:val="en-GB"/>
              </w:rPr>
              <w:t>0.14</w:t>
            </w:r>
          </w:p>
        </w:tc>
        <w:tc>
          <w:tcPr>
            <w:tcW w:w="0" w:type="auto"/>
            <w:noWrap/>
            <w:vAlign w:val="bottom"/>
          </w:tcPr>
          <w:p w14:paraId="4F3E4A8D" w14:textId="77777777" w:rsidR="00A60DA1" w:rsidRPr="00E3562B" w:rsidRDefault="00A60DA1" w:rsidP="00294522">
            <w:pPr>
              <w:spacing w:line="360" w:lineRule="auto"/>
              <w:jc w:val="right"/>
              <w:rPr>
                <w:rFonts w:eastAsia="Calibri"/>
                <w:szCs w:val="22"/>
                <w:lang w:val="en-GB"/>
              </w:rPr>
            </w:pPr>
            <w:r w:rsidRPr="00E3562B">
              <w:rPr>
                <w:szCs w:val="22"/>
                <w:lang w:val="en-GB"/>
              </w:rPr>
              <w:t>0.14</w:t>
            </w:r>
          </w:p>
        </w:tc>
        <w:tc>
          <w:tcPr>
            <w:tcW w:w="0" w:type="auto"/>
            <w:noWrap/>
            <w:vAlign w:val="bottom"/>
          </w:tcPr>
          <w:p w14:paraId="23BEF20B" w14:textId="77777777" w:rsidR="00A60DA1" w:rsidRPr="00E3562B" w:rsidRDefault="00A60DA1" w:rsidP="00294522">
            <w:pPr>
              <w:spacing w:line="360" w:lineRule="auto"/>
              <w:jc w:val="right"/>
              <w:rPr>
                <w:rFonts w:eastAsia="Calibri"/>
                <w:szCs w:val="22"/>
                <w:lang w:val="en-GB"/>
              </w:rPr>
            </w:pPr>
            <w:r w:rsidRPr="00E3562B">
              <w:rPr>
                <w:szCs w:val="22"/>
                <w:lang w:val="en-GB"/>
              </w:rPr>
              <w:t>0.29</w:t>
            </w:r>
          </w:p>
        </w:tc>
        <w:tc>
          <w:tcPr>
            <w:tcW w:w="0" w:type="auto"/>
            <w:noWrap/>
            <w:vAlign w:val="bottom"/>
          </w:tcPr>
          <w:p w14:paraId="6F585C45" w14:textId="77777777" w:rsidR="00A60DA1" w:rsidRPr="00E3562B" w:rsidRDefault="00A60DA1" w:rsidP="00294522">
            <w:pPr>
              <w:spacing w:line="360" w:lineRule="auto"/>
              <w:jc w:val="right"/>
              <w:rPr>
                <w:rFonts w:eastAsia="Calibri"/>
                <w:szCs w:val="22"/>
                <w:lang w:val="en-GB"/>
              </w:rPr>
            </w:pPr>
            <w:r w:rsidRPr="00E3562B">
              <w:rPr>
                <w:szCs w:val="22"/>
                <w:lang w:val="en-GB"/>
              </w:rPr>
              <w:t>0.29</w:t>
            </w:r>
          </w:p>
        </w:tc>
      </w:tr>
      <w:tr w:rsidR="005D6588" w:rsidRPr="00E3562B" w14:paraId="7CC196EE" w14:textId="77777777" w:rsidTr="00294522">
        <w:trPr>
          <w:trHeight w:val="381"/>
        </w:trPr>
        <w:tc>
          <w:tcPr>
            <w:tcW w:w="0" w:type="auto"/>
            <w:noWrap/>
          </w:tcPr>
          <w:p w14:paraId="3543C5C3"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Median</w:t>
            </w:r>
          </w:p>
        </w:tc>
        <w:tc>
          <w:tcPr>
            <w:tcW w:w="0" w:type="auto"/>
            <w:noWrap/>
            <w:vAlign w:val="bottom"/>
          </w:tcPr>
          <w:p w14:paraId="0406A7F4" w14:textId="77777777" w:rsidR="00A60DA1" w:rsidRPr="00E3562B" w:rsidRDefault="00A60DA1" w:rsidP="00294522">
            <w:pPr>
              <w:spacing w:line="360" w:lineRule="auto"/>
              <w:jc w:val="right"/>
              <w:rPr>
                <w:rFonts w:eastAsia="Calibri"/>
                <w:szCs w:val="22"/>
                <w:lang w:val="en-GB"/>
              </w:rPr>
            </w:pPr>
            <w:r w:rsidRPr="00E3562B">
              <w:rPr>
                <w:szCs w:val="22"/>
                <w:lang w:val="en-GB"/>
              </w:rPr>
              <w:t>0.29</w:t>
            </w:r>
          </w:p>
        </w:tc>
        <w:tc>
          <w:tcPr>
            <w:tcW w:w="0" w:type="auto"/>
            <w:noWrap/>
            <w:vAlign w:val="bottom"/>
          </w:tcPr>
          <w:p w14:paraId="0E65F484" w14:textId="77777777" w:rsidR="00A60DA1" w:rsidRPr="00E3562B" w:rsidRDefault="00A60DA1" w:rsidP="00294522">
            <w:pPr>
              <w:spacing w:line="360" w:lineRule="auto"/>
              <w:jc w:val="right"/>
              <w:rPr>
                <w:rFonts w:eastAsia="Calibri"/>
                <w:szCs w:val="22"/>
                <w:lang w:val="en-GB"/>
              </w:rPr>
            </w:pPr>
            <w:r w:rsidRPr="00E3562B">
              <w:rPr>
                <w:szCs w:val="22"/>
                <w:lang w:val="en-GB"/>
              </w:rPr>
              <w:t>0.29</w:t>
            </w:r>
          </w:p>
        </w:tc>
        <w:tc>
          <w:tcPr>
            <w:tcW w:w="0" w:type="auto"/>
            <w:noWrap/>
            <w:vAlign w:val="bottom"/>
          </w:tcPr>
          <w:p w14:paraId="78621A41" w14:textId="77777777" w:rsidR="00A60DA1" w:rsidRPr="00E3562B" w:rsidRDefault="00A60DA1" w:rsidP="00294522">
            <w:pPr>
              <w:spacing w:line="360" w:lineRule="auto"/>
              <w:jc w:val="right"/>
              <w:rPr>
                <w:rFonts w:eastAsia="Calibri"/>
                <w:szCs w:val="22"/>
                <w:lang w:val="en-GB"/>
              </w:rPr>
            </w:pPr>
            <w:r w:rsidRPr="00E3562B">
              <w:rPr>
                <w:szCs w:val="22"/>
                <w:lang w:val="en-GB"/>
              </w:rPr>
              <w:t>0.29</w:t>
            </w:r>
          </w:p>
        </w:tc>
        <w:tc>
          <w:tcPr>
            <w:tcW w:w="0" w:type="auto"/>
            <w:noWrap/>
            <w:vAlign w:val="bottom"/>
          </w:tcPr>
          <w:p w14:paraId="6696398E" w14:textId="77777777" w:rsidR="00A60DA1" w:rsidRPr="00E3562B" w:rsidRDefault="00A60DA1" w:rsidP="00294522">
            <w:pPr>
              <w:spacing w:line="360" w:lineRule="auto"/>
              <w:jc w:val="right"/>
              <w:rPr>
                <w:rFonts w:eastAsia="Calibri"/>
                <w:szCs w:val="22"/>
                <w:lang w:val="en-GB"/>
              </w:rPr>
            </w:pPr>
            <w:r w:rsidRPr="00E3562B">
              <w:rPr>
                <w:szCs w:val="22"/>
                <w:lang w:val="en-GB"/>
              </w:rPr>
              <w:t>0.29</w:t>
            </w:r>
          </w:p>
        </w:tc>
        <w:tc>
          <w:tcPr>
            <w:tcW w:w="0" w:type="auto"/>
            <w:noWrap/>
            <w:vAlign w:val="bottom"/>
          </w:tcPr>
          <w:p w14:paraId="2C2AE5DD" w14:textId="77777777" w:rsidR="00A60DA1" w:rsidRPr="00E3562B" w:rsidRDefault="00A60DA1" w:rsidP="00294522">
            <w:pPr>
              <w:spacing w:line="360" w:lineRule="auto"/>
              <w:jc w:val="right"/>
              <w:rPr>
                <w:rFonts w:eastAsia="Calibri"/>
                <w:szCs w:val="22"/>
                <w:lang w:val="en-GB"/>
              </w:rPr>
            </w:pPr>
            <w:r w:rsidRPr="00E3562B">
              <w:rPr>
                <w:szCs w:val="22"/>
                <w:lang w:val="en-GB"/>
              </w:rPr>
              <w:t>0.29</w:t>
            </w:r>
          </w:p>
        </w:tc>
        <w:tc>
          <w:tcPr>
            <w:tcW w:w="0" w:type="auto"/>
            <w:noWrap/>
            <w:vAlign w:val="bottom"/>
          </w:tcPr>
          <w:p w14:paraId="04C10AA2" w14:textId="77777777" w:rsidR="00A60DA1" w:rsidRPr="00E3562B" w:rsidRDefault="00A60DA1" w:rsidP="00294522">
            <w:pPr>
              <w:spacing w:line="360" w:lineRule="auto"/>
              <w:jc w:val="right"/>
              <w:rPr>
                <w:rFonts w:eastAsia="Calibri"/>
                <w:szCs w:val="22"/>
                <w:lang w:val="en-GB"/>
              </w:rPr>
            </w:pPr>
            <w:r w:rsidRPr="00E3562B">
              <w:rPr>
                <w:szCs w:val="22"/>
                <w:lang w:val="en-GB"/>
              </w:rPr>
              <w:t>0.29</w:t>
            </w:r>
          </w:p>
        </w:tc>
      </w:tr>
      <w:tr w:rsidR="005D6588" w:rsidRPr="00E3562B" w14:paraId="4AC056A3" w14:textId="77777777" w:rsidTr="00294522">
        <w:trPr>
          <w:trHeight w:val="381"/>
        </w:trPr>
        <w:tc>
          <w:tcPr>
            <w:tcW w:w="0" w:type="auto"/>
            <w:tcBorders>
              <w:bottom w:val="single" w:sz="4" w:space="0" w:color="auto"/>
            </w:tcBorders>
            <w:noWrap/>
          </w:tcPr>
          <w:p w14:paraId="29C81D80"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p75</w:t>
            </w:r>
          </w:p>
        </w:tc>
        <w:tc>
          <w:tcPr>
            <w:tcW w:w="0" w:type="auto"/>
            <w:tcBorders>
              <w:bottom w:val="single" w:sz="4" w:space="0" w:color="auto"/>
            </w:tcBorders>
            <w:noWrap/>
            <w:vAlign w:val="bottom"/>
          </w:tcPr>
          <w:p w14:paraId="7D2086D8" w14:textId="77777777" w:rsidR="00A60DA1" w:rsidRPr="00E3562B" w:rsidRDefault="00A60DA1" w:rsidP="00294522">
            <w:pPr>
              <w:spacing w:line="360" w:lineRule="auto"/>
              <w:jc w:val="right"/>
              <w:rPr>
                <w:rFonts w:eastAsia="Calibri"/>
                <w:szCs w:val="22"/>
                <w:lang w:val="en-GB"/>
              </w:rPr>
            </w:pPr>
            <w:r w:rsidRPr="00E3562B">
              <w:rPr>
                <w:szCs w:val="22"/>
                <w:lang w:val="en-GB"/>
              </w:rPr>
              <w:t>0.43</w:t>
            </w:r>
          </w:p>
        </w:tc>
        <w:tc>
          <w:tcPr>
            <w:tcW w:w="0" w:type="auto"/>
            <w:tcBorders>
              <w:bottom w:val="single" w:sz="4" w:space="0" w:color="auto"/>
            </w:tcBorders>
            <w:noWrap/>
            <w:vAlign w:val="bottom"/>
          </w:tcPr>
          <w:p w14:paraId="63E21A62" w14:textId="77777777" w:rsidR="00A60DA1" w:rsidRPr="00E3562B" w:rsidRDefault="00A60DA1" w:rsidP="00294522">
            <w:pPr>
              <w:spacing w:line="360" w:lineRule="auto"/>
              <w:jc w:val="right"/>
              <w:rPr>
                <w:rFonts w:eastAsia="Calibri"/>
                <w:szCs w:val="22"/>
                <w:lang w:val="en-GB"/>
              </w:rPr>
            </w:pPr>
            <w:r w:rsidRPr="00E3562B">
              <w:rPr>
                <w:szCs w:val="22"/>
                <w:lang w:val="en-GB"/>
              </w:rPr>
              <w:t>0.29</w:t>
            </w:r>
          </w:p>
        </w:tc>
        <w:tc>
          <w:tcPr>
            <w:tcW w:w="0" w:type="auto"/>
            <w:tcBorders>
              <w:bottom w:val="single" w:sz="4" w:space="0" w:color="auto"/>
            </w:tcBorders>
            <w:noWrap/>
            <w:vAlign w:val="bottom"/>
          </w:tcPr>
          <w:p w14:paraId="741AFCA3" w14:textId="77777777" w:rsidR="00A60DA1" w:rsidRPr="00E3562B" w:rsidRDefault="00A60DA1" w:rsidP="00294522">
            <w:pPr>
              <w:spacing w:line="360" w:lineRule="auto"/>
              <w:jc w:val="right"/>
              <w:rPr>
                <w:rFonts w:eastAsia="Calibri"/>
                <w:szCs w:val="22"/>
                <w:lang w:val="en-GB"/>
              </w:rPr>
            </w:pPr>
            <w:r w:rsidRPr="00E3562B">
              <w:rPr>
                <w:szCs w:val="22"/>
                <w:lang w:val="en-GB"/>
              </w:rPr>
              <w:t>0.43</w:t>
            </w:r>
          </w:p>
        </w:tc>
        <w:tc>
          <w:tcPr>
            <w:tcW w:w="0" w:type="auto"/>
            <w:tcBorders>
              <w:bottom w:val="single" w:sz="4" w:space="0" w:color="auto"/>
            </w:tcBorders>
            <w:noWrap/>
            <w:vAlign w:val="bottom"/>
          </w:tcPr>
          <w:p w14:paraId="4A5AEDA7" w14:textId="77777777" w:rsidR="00A60DA1" w:rsidRPr="00E3562B" w:rsidRDefault="00A60DA1" w:rsidP="00294522">
            <w:pPr>
              <w:spacing w:line="360" w:lineRule="auto"/>
              <w:jc w:val="right"/>
              <w:rPr>
                <w:rFonts w:eastAsia="Calibri"/>
                <w:szCs w:val="22"/>
                <w:lang w:val="en-GB"/>
              </w:rPr>
            </w:pPr>
            <w:r w:rsidRPr="00E3562B">
              <w:rPr>
                <w:szCs w:val="22"/>
                <w:lang w:val="en-GB"/>
              </w:rPr>
              <w:t>0.43</w:t>
            </w:r>
          </w:p>
        </w:tc>
        <w:tc>
          <w:tcPr>
            <w:tcW w:w="0" w:type="auto"/>
            <w:tcBorders>
              <w:bottom w:val="single" w:sz="4" w:space="0" w:color="auto"/>
            </w:tcBorders>
            <w:noWrap/>
            <w:vAlign w:val="bottom"/>
          </w:tcPr>
          <w:p w14:paraId="1D5C0400" w14:textId="77777777" w:rsidR="00A60DA1" w:rsidRPr="00E3562B" w:rsidRDefault="00A60DA1" w:rsidP="00294522">
            <w:pPr>
              <w:spacing w:line="360" w:lineRule="auto"/>
              <w:jc w:val="right"/>
              <w:rPr>
                <w:rFonts w:eastAsia="Calibri"/>
                <w:szCs w:val="22"/>
                <w:lang w:val="en-GB"/>
              </w:rPr>
            </w:pPr>
            <w:r w:rsidRPr="00E3562B">
              <w:rPr>
                <w:szCs w:val="22"/>
                <w:lang w:val="en-GB"/>
              </w:rPr>
              <w:t>0.43</w:t>
            </w:r>
          </w:p>
        </w:tc>
        <w:tc>
          <w:tcPr>
            <w:tcW w:w="0" w:type="auto"/>
            <w:tcBorders>
              <w:bottom w:val="single" w:sz="4" w:space="0" w:color="auto"/>
            </w:tcBorders>
            <w:noWrap/>
            <w:vAlign w:val="bottom"/>
          </w:tcPr>
          <w:p w14:paraId="6E122FCA" w14:textId="77777777" w:rsidR="00A60DA1" w:rsidRPr="00E3562B" w:rsidRDefault="00A60DA1" w:rsidP="00294522">
            <w:pPr>
              <w:spacing w:line="360" w:lineRule="auto"/>
              <w:jc w:val="right"/>
              <w:rPr>
                <w:rFonts w:eastAsia="Calibri"/>
                <w:szCs w:val="22"/>
                <w:lang w:val="en-GB"/>
              </w:rPr>
            </w:pPr>
            <w:r w:rsidRPr="00E3562B">
              <w:rPr>
                <w:szCs w:val="22"/>
                <w:lang w:val="en-GB"/>
              </w:rPr>
              <w:t>0.43</w:t>
            </w:r>
          </w:p>
        </w:tc>
      </w:tr>
      <w:tr w:rsidR="005D6588" w:rsidRPr="00E3562B" w14:paraId="5B06F75C" w14:textId="77777777" w:rsidTr="00294522">
        <w:trPr>
          <w:trHeight w:val="381"/>
        </w:trPr>
        <w:tc>
          <w:tcPr>
            <w:tcW w:w="0" w:type="auto"/>
            <w:gridSpan w:val="7"/>
            <w:tcBorders>
              <w:top w:val="single" w:sz="4" w:space="0" w:color="auto"/>
              <w:bottom w:val="single" w:sz="4" w:space="0" w:color="auto"/>
            </w:tcBorders>
            <w:noWrap/>
          </w:tcPr>
          <w:p w14:paraId="4FC8879A" w14:textId="77777777" w:rsidR="00A60DA1" w:rsidRPr="00E3562B" w:rsidRDefault="00A60DA1" w:rsidP="00294522">
            <w:pPr>
              <w:numPr>
                <w:ilvl w:val="0"/>
                <w:numId w:val="31"/>
              </w:numPr>
              <w:spacing w:line="240" w:lineRule="auto"/>
              <w:contextualSpacing/>
              <w:jc w:val="left"/>
              <w:rPr>
                <w:rFonts w:eastAsia="Calibri"/>
                <w:i/>
                <w:iCs/>
                <w:szCs w:val="22"/>
                <w:lang w:val="en-GB"/>
              </w:rPr>
            </w:pPr>
            <w:r w:rsidRPr="00E3562B">
              <w:rPr>
                <w:rFonts w:eastAsia="Calibri"/>
                <w:i/>
                <w:iCs/>
                <w:szCs w:val="22"/>
                <w:lang w:val="en-GB"/>
              </w:rPr>
              <w:t>Additional features</w:t>
            </w:r>
          </w:p>
        </w:tc>
      </w:tr>
      <w:tr w:rsidR="005D6588" w:rsidRPr="00E3562B" w14:paraId="1552C4AE" w14:textId="77777777" w:rsidTr="00294522">
        <w:trPr>
          <w:trHeight w:val="381"/>
        </w:trPr>
        <w:tc>
          <w:tcPr>
            <w:tcW w:w="0" w:type="auto"/>
            <w:tcBorders>
              <w:top w:val="single" w:sz="4" w:space="0" w:color="auto"/>
            </w:tcBorders>
            <w:noWrap/>
          </w:tcPr>
          <w:p w14:paraId="354C6B26"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Mean</w:t>
            </w:r>
          </w:p>
        </w:tc>
        <w:tc>
          <w:tcPr>
            <w:tcW w:w="0" w:type="auto"/>
            <w:tcBorders>
              <w:top w:val="single" w:sz="4" w:space="0" w:color="auto"/>
            </w:tcBorders>
            <w:noWrap/>
            <w:vAlign w:val="bottom"/>
          </w:tcPr>
          <w:p w14:paraId="4FB76BC4" w14:textId="77777777" w:rsidR="00A60DA1" w:rsidRPr="00E3562B" w:rsidRDefault="00A60DA1" w:rsidP="00294522">
            <w:pPr>
              <w:spacing w:line="360" w:lineRule="auto"/>
              <w:jc w:val="right"/>
              <w:rPr>
                <w:rFonts w:eastAsia="Calibri"/>
                <w:szCs w:val="22"/>
                <w:lang w:val="en-GB"/>
              </w:rPr>
            </w:pPr>
            <w:r w:rsidRPr="00E3562B">
              <w:rPr>
                <w:szCs w:val="22"/>
                <w:lang w:val="en-GB"/>
              </w:rPr>
              <w:t>0.55</w:t>
            </w:r>
          </w:p>
        </w:tc>
        <w:tc>
          <w:tcPr>
            <w:tcW w:w="0" w:type="auto"/>
            <w:tcBorders>
              <w:top w:val="single" w:sz="4" w:space="0" w:color="auto"/>
            </w:tcBorders>
            <w:noWrap/>
            <w:vAlign w:val="bottom"/>
          </w:tcPr>
          <w:p w14:paraId="4AAE2BAC" w14:textId="77777777" w:rsidR="00A60DA1" w:rsidRPr="00E3562B" w:rsidRDefault="00A60DA1" w:rsidP="00294522">
            <w:pPr>
              <w:spacing w:line="360" w:lineRule="auto"/>
              <w:jc w:val="right"/>
              <w:rPr>
                <w:rFonts w:eastAsia="Calibri"/>
                <w:szCs w:val="22"/>
                <w:lang w:val="en-GB"/>
              </w:rPr>
            </w:pPr>
            <w:r w:rsidRPr="00E3562B">
              <w:rPr>
                <w:szCs w:val="22"/>
                <w:lang w:val="en-GB"/>
              </w:rPr>
              <w:t>0.45</w:t>
            </w:r>
          </w:p>
        </w:tc>
        <w:tc>
          <w:tcPr>
            <w:tcW w:w="0" w:type="auto"/>
            <w:tcBorders>
              <w:top w:val="single" w:sz="4" w:space="0" w:color="auto"/>
            </w:tcBorders>
            <w:noWrap/>
            <w:vAlign w:val="bottom"/>
          </w:tcPr>
          <w:p w14:paraId="16CE4DCA" w14:textId="77777777" w:rsidR="00A60DA1" w:rsidRPr="00E3562B" w:rsidRDefault="00A60DA1" w:rsidP="00294522">
            <w:pPr>
              <w:spacing w:line="360" w:lineRule="auto"/>
              <w:jc w:val="right"/>
              <w:rPr>
                <w:rFonts w:eastAsia="Calibri"/>
                <w:szCs w:val="22"/>
                <w:lang w:val="en-GB"/>
              </w:rPr>
            </w:pPr>
            <w:r w:rsidRPr="00E3562B">
              <w:rPr>
                <w:szCs w:val="22"/>
                <w:lang w:val="en-GB"/>
              </w:rPr>
              <w:t>0.50</w:t>
            </w:r>
          </w:p>
        </w:tc>
        <w:tc>
          <w:tcPr>
            <w:tcW w:w="0" w:type="auto"/>
            <w:tcBorders>
              <w:top w:val="single" w:sz="4" w:space="0" w:color="auto"/>
            </w:tcBorders>
            <w:noWrap/>
            <w:vAlign w:val="bottom"/>
          </w:tcPr>
          <w:p w14:paraId="038AEBDE" w14:textId="77777777" w:rsidR="00A60DA1" w:rsidRPr="00E3562B" w:rsidRDefault="00A60DA1" w:rsidP="00294522">
            <w:pPr>
              <w:spacing w:line="360" w:lineRule="auto"/>
              <w:jc w:val="right"/>
              <w:rPr>
                <w:rFonts w:eastAsia="Calibri"/>
                <w:szCs w:val="22"/>
                <w:lang w:val="en-GB"/>
              </w:rPr>
            </w:pPr>
            <w:r w:rsidRPr="00E3562B">
              <w:rPr>
                <w:szCs w:val="22"/>
                <w:lang w:val="en-GB"/>
              </w:rPr>
              <w:t>0.56</w:t>
            </w:r>
          </w:p>
        </w:tc>
        <w:tc>
          <w:tcPr>
            <w:tcW w:w="0" w:type="auto"/>
            <w:tcBorders>
              <w:top w:val="single" w:sz="4" w:space="0" w:color="auto"/>
            </w:tcBorders>
            <w:noWrap/>
            <w:vAlign w:val="bottom"/>
          </w:tcPr>
          <w:p w14:paraId="038760F2"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tcBorders>
              <w:top w:val="single" w:sz="4" w:space="0" w:color="auto"/>
            </w:tcBorders>
            <w:noWrap/>
            <w:vAlign w:val="bottom"/>
          </w:tcPr>
          <w:p w14:paraId="7B9EC75A" w14:textId="77777777" w:rsidR="00A60DA1" w:rsidRPr="00E3562B" w:rsidRDefault="00A60DA1" w:rsidP="00294522">
            <w:pPr>
              <w:spacing w:line="360" w:lineRule="auto"/>
              <w:jc w:val="right"/>
              <w:rPr>
                <w:rFonts w:eastAsia="Calibri"/>
                <w:szCs w:val="22"/>
                <w:lang w:val="en-GB"/>
              </w:rPr>
            </w:pPr>
            <w:r w:rsidRPr="00E3562B">
              <w:rPr>
                <w:szCs w:val="22"/>
                <w:lang w:val="en-GB"/>
              </w:rPr>
              <w:t>0.61</w:t>
            </w:r>
          </w:p>
        </w:tc>
      </w:tr>
      <w:tr w:rsidR="005D6588" w:rsidRPr="00E3562B" w14:paraId="711FFE61" w14:textId="77777777" w:rsidTr="00294522">
        <w:trPr>
          <w:trHeight w:val="381"/>
        </w:trPr>
        <w:tc>
          <w:tcPr>
            <w:tcW w:w="0" w:type="auto"/>
            <w:noWrap/>
          </w:tcPr>
          <w:p w14:paraId="234FF9CA"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SD</w:t>
            </w:r>
          </w:p>
        </w:tc>
        <w:tc>
          <w:tcPr>
            <w:tcW w:w="0" w:type="auto"/>
            <w:noWrap/>
            <w:vAlign w:val="bottom"/>
          </w:tcPr>
          <w:p w14:paraId="4E2E8529" w14:textId="77777777" w:rsidR="00A60DA1" w:rsidRPr="00E3562B" w:rsidRDefault="00A60DA1" w:rsidP="00294522">
            <w:pPr>
              <w:spacing w:line="360" w:lineRule="auto"/>
              <w:jc w:val="right"/>
              <w:rPr>
                <w:rFonts w:eastAsia="Calibri"/>
                <w:szCs w:val="22"/>
                <w:lang w:val="en-GB"/>
              </w:rPr>
            </w:pPr>
            <w:r w:rsidRPr="00E3562B">
              <w:rPr>
                <w:szCs w:val="22"/>
                <w:lang w:val="en-GB"/>
              </w:rPr>
              <w:t>0.20</w:t>
            </w:r>
          </w:p>
        </w:tc>
        <w:tc>
          <w:tcPr>
            <w:tcW w:w="0" w:type="auto"/>
            <w:noWrap/>
            <w:vAlign w:val="bottom"/>
          </w:tcPr>
          <w:p w14:paraId="69B75A5F" w14:textId="77777777" w:rsidR="00A60DA1" w:rsidRPr="00E3562B" w:rsidRDefault="00A60DA1" w:rsidP="00294522">
            <w:pPr>
              <w:spacing w:line="360" w:lineRule="auto"/>
              <w:jc w:val="right"/>
              <w:rPr>
                <w:rFonts w:eastAsia="Calibri"/>
                <w:szCs w:val="22"/>
                <w:lang w:val="en-GB"/>
              </w:rPr>
            </w:pPr>
            <w:r w:rsidRPr="00E3562B">
              <w:rPr>
                <w:szCs w:val="22"/>
                <w:lang w:val="en-GB"/>
              </w:rPr>
              <w:t>0.19</w:t>
            </w:r>
          </w:p>
        </w:tc>
        <w:tc>
          <w:tcPr>
            <w:tcW w:w="0" w:type="auto"/>
            <w:noWrap/>
            <w:vAlign w:val="bottom"/>
          </w:tcPr>
          <w:p w14:paraId="3A12DE9B" w14:textId="77777777" w:rsidR="00A60DA1" w:rsidRPr="00E3562B" w:rsidRDefault="00A60DA1" w:rsidP="00294522">
            <w:pPr>
              <w:spacing w:line="360" w:lineRule="auto"/>
              <w:jc w:val="right"/>
              <w:rPr>
                <w:rFonts w:eastAsia="Calibri"/>
                <w:szCs w:val="22"/>
                <w:lang w:val="en-GB"/>
              </w:rPr>
            </w:pPr>
            <w:r w:rsidRPr="00E3562B">
              <w:rPr>
                <w:szCs w:val="22"/>
                <w:lang w:val="en-GB"/>
              </w:rPr>
              <w:t>0.21</w:t>
            </w:r>
          </w:p>
        </w:tc>
        <w:tc>
          <w:tcPr>
            <w:tcW w:w="0" w:type="auto"/>
            <w:noWrap/>
            <w:vAlign w:val="bottom"/>
          </w:tcPr>
          <w:p w14:paraId="00F2AFF6" w14:textId="77777777" w:rsidR="00A60DA1" w:rsidRPr="00E3562B" w:rsidRDefault="00A60DA1" w:rsidP="00294522">
            <w:pPr>
              <w:spacing w:line="360" w:lineRule="auto"/>
              <w:jc w:val="right"/>
              <w:rPr>
                <w:rFonts w:eastAsia="Calibri"/>
                <w:szCs w:val="22"/>
                <w:lang w:val="en-GB"/>
              </w:rPr>
            </w:pPr>
            <w:r w:rsidRPr="00E3562B">
              <w:rPr>
                <w:szCs w:val="22"/>
                <w:lang w:val="en-GB"/>
              </w:rPr>
              <w:t>0.19</w:t>
            </w:r>
          </w:p>
        </w:tc>
        <w:tc>
          <w:tcPr>
            <w:tcW w:w="0" w:type="auto"/>
            <w:noWrap/>
            <w:vAlign w:val="bottom"/>
          </w:tcPr>
          <w:p w14:paraId="79552710" w14:textId="77777777" w:rsidR="00A60DA1" w:rsidRPr="00E3562B" w:rsidRDefault="00A60DA1" w:rsidP="00294522">
            <w:pPr>
              <w:spacing w:line="360" w:lineRule="auto"/>
              <w:jc w:val="right"/>
              <w:rPr>
                <w:rFonts w:eastAsia="Calibri"/>
                <w:szCs w:val="22"/>
                <w:lang w:val="en-GB"/>
              </w:rPr>
            </w:pPr>
            <w:r w:rsidRPr="00E3562B">
              <w:rPr>
                <w:szCs w:val="22"/>
                <w:lang w:val="en-GB"/>
              </w:rPr>
              <w:t>0.18</w:t>
            </w:r>
          </w:p>
        </w:tc>
        <w:tc>
          <w:tcPr>
            <w:tcW w:w="0" w:type="auto"/>
            <w:noWrap/>
            <w:vAlign w:val="bottom"/>
          </w:tcPr>
          <w:p w14:paraId="52C88194" w14:textId="77777777" w:rsidR="00A60DA1" w:rsidRPr="00E3562B" w:rsidRDefault="00A60DA1" w:rsidP="00294522">
            <w:pPr>
              <w:spacing w:line="360" w:lineRule="auto"/>
              <w:jc w:val="right"/>
              <w:rPr>
                <w:rFonts w:eastAsia="Calibri"/>
                <w:szCs w:val="22"/>
                <w:lang w:val="en-GB"/>
              </w:rPr>
            </w:pPr>
            <w:r w:rsidRPr="00E3562B">
              <w:rPr>
                <w:szCs w:val="22"/>
                <w:lang w:val="en-GB"/>
              </w:rPr>
              <w:t>0.19</w:t>
            </w:r>
          </w:p>
        </w:tc>
      </w:tr>
      <w:tr w:rsidR="005D6588" w:rsidRPr="00E3562B" w14:paraId="19746A99" w14:textId="77777777" w:rsidTr="00294522">
        <w:trPr>
          <w:trHeight w:val="381"/>
        </w:trPr>
        <w:tc>
          <w:tcPr>
            <w:tcW w:w="0" w:type="auto"/>
            <w:noWrap/>
          </w:tcPr>
          <w:p w14:paraId="736EB37D"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p25</w:t>
            </w:r>
          </w:p>
        </w:tc>
        <w:tc>
          <w:tcPr>
            <w:tcW w:w="0" w:type="auto"/>
            <w:noWrap/>
            <w:vAlign w:val="bottom"/>
          </w:tcPr>
          <w:p w14:paraId="78E8C41C"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14B85033"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7DE968E6"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7E6A3E7B"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4CEBE97F"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11698DDF"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r>
      <w:tr w:rsidR="005D6588" w:rsidRPr="00E3562B" w14:paraId="729DC8E3" w14:textId="77777777" w:rsidTr="00294522">
        <w:trPr>
          <w:trHeight w:val="381"/>
        </w:trPr>
        <w:tc>
          <w:tcPr>
            <w:tcW w:w="0" w:type="auto"/>
            <w:noWrap/>
          </w:tcPr>
          <w:p w14:paraId="222A271B"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Median</w:t>
            </w:r>
          </w:p>
        </w:tc>
        <w:tc>
          <w:tcPr>
            <w:tcW w:w="0" w:type="auto"/>
            <w:noWrap/>
            <w:vAlign w:val="bottom"/>
          </w:tcPr>
          <w:p w14:paraId="462B0123"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noWrap/>
            <w:vAlign w:val="bottom"/>
          </w:tcPr>
          <w:p w14:paraId="7AD77CBE"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37D98DD8" w14:textId="77777777" w:rsidR="00A60DA1" w:rsidRPr="00E3562B" w:rsidRDefault="00A60DA1" w:rsidP="00294522">
            <w:pPr>
              <w:spacing w:line="360" w:lineRule="auto"/>
              <w:jc w:val="right"/>
              <w:rPr>
                <w:rFonts w:eastAsia="Calibri"/>
                <w:szCs w:val="22"/>
                <w:lang w:val="en-GB"/>
              </w:rPr>
            </w:pPr>
            <w:r w:rsidRPr="00E3562B">
              <w:rPr>
                <w:szCs w:val="22"/>
                <w:lang w:val="en-GB"/>
              </w:rPr>
              <w:t>0.40</w:t>
            </w:r>
          </w:p>
        </w:tc>
        <w:tc>
          <w:tcPr>
            <w:tcW w:w="0" w:type="auto"/>
            <w:noWrap/>
            <w:vAlign w:val="bottom"/>
          </w:tcPr>
          <w:p w14:paraId="30236505"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noWrap/>
            <w:vAlign w:val="bottom"/>
          </w:tcPr>
          <w:p w14:paraId="58E74A94"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noWrap/>
            <w:vAlign w:val="bottom"/>
          </w:tcPr>
          <w:p w14:paraId="3C2500D5"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r>
      <w:tr w:rsidR="005D6588" w:rsidRPr="00E3562B" w14:paraId="1F02A8C4" w14:textId="77777777" w:rsidTr="00294522">
        <w:trPr>
          <w:trHeight w:val="381"/>
        </w:trPr>
        <w:tc>
          <w:tcPr>
            <w:tcW w:w="0" w:type="auto"/>
            <w:tcBorders>
              <w:bottom w:val="single" w:sz="4" w:space="0" w:color="auto"/>
            </w:tcBorders>
            <w:noWrap/>
          </w:tcPr>
          <w:p w14:paraId="2A30A0AE" w14:textId="77777777" w:rsidR="00A60DA1" w:rsidRPr="00E3562B" w:rsidRDefault="00A60DA1" w:rsidP="00294522">
            <w:pPr>
              <w:spacing w:line="240" w:lineRule="auto"/>
              <w:jc w:val="left"/>
              <w:rPr>
                <w:rFonts w:eastAsia="Calibri"/>
                <w:szCs w:val="22"/>
                <w:lang w:val="en-GB"/>
              </w:rPr>
            </w:pPr>
            <w:r w:rsidRPr="00E3562B">
              <w:rPr>
                <w:rFonts w:eastAsia="Calibri"/>
                <w:szCs w:val="22"/>
                <w:lang w:val="en-GB"/>
              </w:rPr>
              <w:t>p75</w:t>
            </w:r>
          </w:p>
        </w:tc>
        <w:tc>
          <w:tcPr>
            <w:tcW w:w="0" w:type="auto"/>
            <w:tcBorders>
              <w:bottom w:val="single" w:sz="4" w:space="0" w:color="auto"/>
            </w:tcBorders>
            <w:noWrap/>
            <w:vAlign w:val="bottom"/>
          </w:tcPr>
          <w:p w14:paraId="26910290" w14:textId="77777777" w:rsidR="00A60DA1" w:rsidRPr="00E3562B" w:rsidRDefault="00A60DA1" w:rsidP="00294522">
            <w:pPr>
              <w:spacing w:line="360" w:lineRule="auto"/>
              <w:jc w:val="right"/>
              <w:rPr>
                <w:rFonts w:eastAsia="Calibri"/>
                <w:szCs w:val="22"/>
                <w:lang w:val="en-GB"/>
              </w:rPr>
            </w:pPr>
            <w:r w:rsidRPr="00E3562B">
              <w:rPr>
                <w:szCs w:val="22"/>
                <w:lang w:val="en-GB"/>
              </w:rPr>
              <w:t>0.80</w:t>
            </w:r>
          </w:p>
        </w:tc>
        <w:tc>
          <w:tcPr>
            <w:tcW w:w="0" w:type="auto"/>
            <w:tcBorders>
              <w:bottom w:val="single" w:sz="4" w:space="0" w:color="auto"/>
            </w:tcBorders>
            <w:noWrap/>
            <w:vAlign w:val="bottom"/>
          </w:tcPr>
          <w:p w14:paraId="241C0F81"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tcBorders>
              <w:bottom w:val="single" w:sz="4" w:space="0" w:color="auto"/>
            </w:tcBorders>
            <w:noWrap/>
            <w:vAlign w:val="bottom"/>
          </w:tcPr>
          <w:p w14:paraId="638B7C63" w14:textId="77777777" w:rsidR="00A60DA1" w:rsidRPr="00E3562B" w:rsidRDefault="00A60DA1" w:rsidP="00294522">
            <w:pPr>
              <w:spacing w:line="360" w:lineRule="auto"/>
              <w:jc w:val="right"/>
              <w:rPr>
                <w:rFonts w:eastAsia="Calibri"/>
                <w:szCs w:val="22"/>
                <w:lang w:val="en-GB"/>
              </w:rPr>
            </w:pPr>
            <w:r w:rsidRPr="00E3562B">
              <w:rPr>
                <w:szCs w:val="22"/>
                <w:lang w:val="en-GB"/>
              </w:rPr>
              <w:t>0.60</w:t>
            </w:r>
          </w:p>
        </w:tc>
        <w:tc>
          <w:tcPr>
            <w:tcW w:w="0" w:type="auto"/>
            <w:tcBorders>
              <w:bottom w:val="single" w:sz="4" w:space="0" w:color="auto"/>
            </w:tcBorders>
            <w:noWrap/>
            <w:vAlign w:val="bottom"/>
          </w:tcPr>
          <w:p w14:paraId="792FC877" w14:textId="77777777" w:rsidR="00A60DA1" w:rsidRPr="00E3562B" w:rsidRDefault="00A60DA1" w:rsidP="00294522">
            <w:pPr>
              <w:spacing w:line="360" w:lineRule="auto"/>
              <w:jc w:val="right"/>
              <w:rPr>
                <w:rFonts w:eastAsia="Calibri"/>
                <w:szCs w:val="22"/>
                <w:lang w:val="en-GB"/>
              </w:rPr>
            </w:pPr>
            <w:r w:rsidRPr="00E3562B">
              <w:rPr>
                <w:szCs w:val="22"/>
                <w:lang w:val="en-GB"/>
              </w:rPr>
              <w:t>0.80</w:t>
            </w:r>
          </w:p>
        </w:tc>
        <w:tc>
          <w:tcPr>
            <w:tcW w:w="0" w:type="auto"/>
            <w:tcBorders>
              <w:bottom w:val="single" w:sz="4" w:space="0" w:color="auto"/>
            </w:tcBorders>
            <w:noWrap/>
            <w:vAlign w:val="bottom"/>
          </w:tcPr>
          <w:p w14:paraId="392A69A7" w14:textId="77777777" w:rsidR="00A60DA1" w:rsidRPr="00E3562B" w:rsidRDefault="00A60DA1" w:rsidP="00294522">
            <w:pPr>
              <w:spacing w:line="360" w:lineRule="auto"/>
              <w:jc w:val="right"/>
              <w:rPr>
                <w:rFonts w:eastAsia="Calibri"/>
                <w:szCs w:val="22"/>
                <w:lang w:val="en-GB"/>
              </w:rPr>
            </w:pPr>
            <w:r w:rsidRPr="00E3562B">
              <w:rPr>
                <w:szCs w:val="22"/>
                <w:lang w:val="en-GB"/>
              </w:rPr>
              <w:t>0.80</w:t>
            </w:r>
          </w:p>
        </w:tc>
        <w:tc>
          <w:tcPr>
            <w:tcW w:w="0" w:type="auto"/>
            <w:tcBorders>
              <w:bottom w:val="single" w:sz="4" w:space="0" w:color="auto"/>
            </w:tcBorders>
            <w:noWrap/>
            <w:vAlign w:val="bottom"/>
          </w:tcPr>
          <w:p w14:paraId="2B23FF37" w14:textId="77777777" w:rsidR="00A60DA1" w:rsidRPr="00E3562B" w:rsidRDefault="00A60DA1" w:rsidP="00294522">
            <w:pPr>
              <w:spacing w:line="360" w:lineRule="auto"/>
              <w:jc w:val="right"/>
              <w:rPr>
                <w:rFonts w:eastAsia="Calibri"/>
                <w:szCs w:val="22"/>
                <w:lang w:val="en-GB"/>
              </w:rPr>
            </w:pPr>
            <w:r w:rsidRPr="00E3562B">
              <w:rPr>
                <w:szCs w:val="22"/>
                <w:lang w:val="en-GB"/>
              </w:rPr>
              <w:t>0.80</w:t>
            </w:r>
          </w:p>
        </w:tc>
      </w:tr>
    </w:tbl>
    <w:p w14:paraId="44111B21" w14:textId="77777777" w:rsidR="00A60DA1" w:rsidRPr="00E3562B" w:rsidRDefault="00A60DA1" w:rsidP="00A60DA1">
      <w:pPr>
        <w:spacing w:line="240" w:lineRule="auto"/>
        <w:rPr>
          <w:szCs w:val="24"/>
          <w:lang w:val="en-GB"/>
        </w:rPr>
      </w:pPr>
    </w:p>
    <w:p w14:paraId="5F4A961B" w14:textId="77777777" w:rsidR="00A60DA1" w:rsidRPr="00E3562B" w:rsidRDefault="00A60DA1" w:rsidP="00A60DA1">
      <w:pPr>
        <w:spacing w:line="240" w:lineRule="auto"/>
        <w:rPr>
          <w:szCs w:val="24"/>
          <w:lang w:val="en-GB"/>
        </w:rPr>
      </w:pPr>
    </w:p>
    <w:p w14:paraId="4B6D70D6" w14:textId="77777777" w:rsidR="00A60DA1" w:rsidRPr="00E3562B" w:rsidRDefault="00A60DA1" w:rsidP="00A60DA1">
      <w:pPr>
        <w:spacing w:line="240" w:lineRule="auto"/>
        <w:rPr>
          <w:szCs w:val="24"/>
          <w:lang w:val="en-GB"/>
        </w:rPr>
      </w:pPr>
    </w:p>
    <w:p w14:paraId="408E9237" w14:textId="77777777" w:rsidR="00A60DA1" w:rsidRPr="00E3562B" w:rsidRDefault="00A60DA1" w:rsidP="00A60DA1">
      <w:pPr>
        <w:spacing w:line="240" w:lineRule="auto"/>
        <w:rPr>
          <w:szCs w:val="24"/>
          <w:lang w:val="en-GB"/>
        </w:rPr>
      </w:pPr>
    </w:p>
    <w:p w14:paraId="388C24F8" w14:textId="77777777" w:rsidR="00A60DA1" w:rsidRPr="00E3562B" w:rsidRDefault="00A60DA1" w:rsidP="00A60DA1">
      <w:pPr>
        <w:spacing w:line="240" w:lineRule="auto"/>
        <w:rPr>
          <w:szCs w:val="24"/>
          <w:lang w:val="en-GB"/>
        </w:rPr>
      </w:pPr>
    </w:p>
    <w:p w14:paraId="73730187" w14:textId="77777777" w:rsidR="00A60DA1" w:rsidRPr="00E3562B" w:rsidRDefault="00A60DA1" w:rsidP="00A60DA1">
      <w:pPr>
        <w:spacing w:line="240" w:lineRule="auto"/>
        <w:rPr>
          <w:szCs w:val="24"/>
          <w:lang w:val="en-GB"/>
        </w:rPr>
      </w:pPr>
    </w:p>
    <w:p w14:paraId="1E0E842B" w14:textId="77777777" w:rsidR="00A60DA1" w:rsidRPr="00E3562B" w:rsidRDefault="00A60DA1" w:rsidP="00A60DA1">
      <w:pPr>
        <w:spacing w:line="240" w:lineRule="auto"/>
        <w:rPr>
          <w:i/>
          <w:iCs/>
          <w:sz w:val="22"/>
          <w:szCs w:val="22"/>
          <w:lang w:val="en-GB"/>
        </w:rPr>
      </w:pPr>
    </w:p>
    <w:p w14:paraId="2DF11D4B" w14:textId="77777777" w:rsidR="00A60DA1" w:rsidRPr="00E3562B" w:rsidRDefault="00A60DA1" w:rsidP="00A60DA1">
      <w:pPr>
        <w:spacing w:line="240" w:lineRule="auto"/>
        <w:jc w:val="left"/>
        <w:rPr>
          <w:i/>
          <w:iCs/>
          <w:sz w:val="22"/>
          <w:szCs w:val="22"/>
          <w:lang w:val="en-GB"/>
        </w:rPr>
      </w:pPr>
      <w:r w:rsidRPr="00E3562B">
        <w:rPr>
          <w:i/>
          <w:iCs/>
          <w:sz w:val="22"/>
          <w:szCs w:val="22"/>
          <w:lang w:val="en-GB"/>
        </w:rPr>
        <w:br w:type="page"/>
      </w:r>
    </w:p>
    <w:p w14:paraId="15FD9E84" w14:textId="41B6C280" w:rsidR="00A60DA1" w:rsidRPr="00E3562B" w:rsidRDefault="00A60DA1" w:rsidP="00A60DA1">
      <w:pPr>
        <w:spacing w:line="360" w:lineRule="auto"/>
        <w:rPr>
          <w:lang w:val="en-GB"/>
        </w:rPr>
      </w:pPr>
      <w:r w:rsidRPr="00E3562B">
        <w:rPr>
          <w:b/>
          <w:bCs/>
          <w:lang w:val="en-GB"/>
        </w:rPr>
        <w:lastRenderedPageBreak/>
        <w:t>Table 4.</w:t>
      </w:r>
      <w:r w:rsidRPr="00E3562B">
        <w:rPr>
          <w:lang w:val="en-GB"/>
        </w:rPr>
        <w:t xml:space="preserve"> Summary statistics</w:t>
      </w:r>
    </w:p>
    <w:tbl>
      <w:tblPr>
        <w:tblStyle w:val="TableGrid212211"/>
        <w:tblpPr w:leftFromText="180" w:rightFromText="180" w:vertAnchor="text" w:horzAnchor="margin" w:tblpY="69"/>
        <w:tblW w:w="91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1521"/>
        <w:gridCol w:w="1521"/>
        <w:gridCol w:w="1521"/>
        <w:gridCol w:w="1521"/>
        <w:gridCol w:w="1521"/>
      </w:tblGrid>
      <w:tr w:rsidR="005D6588" w:rsidRPr="00E3562B" w14:paraId="54DBE9D3" w14:textId="77777777" w:rsidTr="00294522">
        <w:trPr>
          <w:trHeight w:val="269"/>
        </w:trPr>
        <w:tc>
          <w:tcPr>
            <w:tcW w:w="1521" w:type="dxa"/>
            <w:tcBorders>
              <w:top w:val="single" w:sz="4" w:space="0" w:color="auto"/>
              <w:bottom w:val="single" w:sz="4" w:space="0" w:color="auto"/>
            </w:tcBorders>
            <w:noWrap/>
            <w:hideMark/>
          </w:tcPr>
          <w:p w14:paraId="3DB6E061" w14:textId="77777777" w:rsidR="00A60DA1" w:rsidRPr="00E3562B" w:rsidRDefault="00A60DA1" w:rsidP="00294522">
            <w:pPr>
              <w:spacing w:line="276" w:lineRule="auto"/>
              <w:jc w:val="left"/>
              <w:rPr>
                <w:rFonts w:asciiTheme="majorBidi" w:hAnsiTheme="majorBidi" w:cstheme="majorBidi"/>
                <w:szCs w:val="22"/>
                <w:lang w:val="en-GB" w:eastAsia="en-GB"/>
              </w:rPr>
            </w:pPr>
            <w:r w:rsidRPr="00E3562B">
              <w:rPr>
                <w:rFonts w:asciiTheme="majorBidi" w:hAnsiTheme="majorBidi" w:cstheme="majorBidi"/>
                <w:szCs w:val="22"/>
                <w:lang w:val="en-GB" w:eastAsia="en-GB"/>
              </w:rPr>
              <w:t>Variables</w:t>
            </w:r>
          </w:p>
        </w:tc>
        <w:tc>
          <w:tcPr>
            <w:tcW w:w="1521" w:type="dxa"/>
            <w:tcBorders>
              <w:top w:val="single" w:sz="4" w:space="0" w:color="auto"/>
              <w:bottom w:val="single" w:sz="4" w:space="0" w:color="auto"/>
            </w:tcBorders>
            <w:noWrap/>
            <w:hideMark/>
          </w:tcPr>
          <w:p w14:paraId="2BCACC72"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 xml:space="preserve"> Mean</w:t>
            </w:r>
          </w:p>
        </w:tc>
        <w:tc>
          <w:tcPr>
            <w:tcW w:w="1521" w:type="dxa"/>
            <w:tcBorders>
              <w:top w:val="single" w:sz="4" w:space="0" w:color="auto"/>
              <w:bottom w:val="single" w:sz="4" w:space="0" w:color="auto"/>
            </w:tcBorders>
            <w:noWrap/>
            <w:hideMark/>
          </w:tcPr>
          <w:p w14:paraId="1E11F7C6"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 xml:space="preserve"> SD</w:t>
            </w:r>
          </w:p>
        </w:tc>
        <w:tc>
          <w:tcPr>
            <w:tcW w:w="1521" w:type="dxa"/>
            <w:tcBorders>
              <w:top w:val="single" w:sz="4" w:space="0" w:color="auto"/>
              <w:bottom w:val="single" w:sz="4" w:space="0" w:color="auto"/>
            </w:tcBorders>
            <w:noWrap/>
            <w:hideMark/>
          </w:tcPr>
          <w:p w14:paraId="325B2FE9"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p25</w:t>
            </w:r>
          </w:p>
        </w:tc>
        <w:tc>
          <w:tcPr>
            <w:tcW w:w="1521" w:type="dxa"/>
            <w:tcBorders>
              <w:top w:val="single" w:sz="4" w:space="0" w:color="auto"/>
              <w:bottom w:val="single" w:sz="4" w:space="0" w:color="auto"/>
            </w:tcBorders>
            <w:noWrap/>
            <w:hideMark/>
          </w:tcPr>
          <w:p w14:paraId="6F49D456"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 xml:space="preserve">  Median</w:t>
            </w:r>
          </w:p>
        </w:tc>
        <w:tc>
          <w:tcPr>
            <w:tcW w:w="1521" w:type="dxa"/>
            <w:tcBorders>
              <w:top w:val="single" w:sz="4" w:space="0" w:color="auto"/>
              <w:bottom w:val="single" w:sz="4" w:space="0" w:color="auto"/>
            </w:tcBorders>
          </w:tcPr>
          <w:p w14:paraId="7E63C726"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p75</w:t>
            </w:r>
          </w:p>
        </w:tc>
      </w:tr>
      <w:tr w:rsidR="005D6588" w:rsidRPr="00E3562B" w14:paraId="71776068" w14:textId="77777777" w:rsidTr="00294522">
        <w:trPr>
          <w:trHeight w:val="269"/>
        </w:trPr>
        <w:tc>
          <w:tcPr>
            <w:tcW w:w="1521" w:type="dxa"/>
            <w:tcBorders>
              <w:top w:val="single" w:sz="4" w:space="0" w:color="auto"/>
            </w:tcBorders>
            <w:noWrap/>
          </w:tcPr>
          <w:p w14:paraId="13A62895" w14:textId="77777777" w:rsidR="00A60DA1" w:rsidRPr="00E3562B" w:rsidRDefault="00A60DA1" w:rsidP="00294522">
            <w:pPr>
              <w:spacing w:line="276" w:lineRule="auto"/>
              <w:jc w:val="left"/>
              <w:rPr>
                <w:rFonts w:asciiTheme="majorBidi" w:hAnsiTheme="majorBidi" w:cstheme="majorBidi"/>
                <w:szCs w:val="22"/>
                <w:lang w:val="en-GB"/>
              </w:rPr>
            </w:pPr>
            <w:r w:rsidRPr="00E3562B">
              <w:rPr>
                <w:rFonts w:asciiTheme="majorBidi" w:hAnsiTheme="majorBidi" w:cstheme="majorBidi"/>
                <w:szCs w:val="22"/>
                <w:lang w:val="en-GB"/>
              </w:rPr>
              <w:t>CEOP</w:t>
            </w:r>
          </w:p>
        </w:tc>
        <w:tc>
          <w:tcPr>
            <w:tcW w:w="1521" w:type="dxa"/>
            <w:tcBorders>
              <w:top w:val="single" w:sz="4" w:space="0" w:color="auto"/>
            </w:tcBorders>
            <w:noWrap/>
          </w:tcPr>
          <w:p w14:paraId="686FA94E"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0.586</w:t>
            </w:r>
          </w:p>
        </w:tc>
        <w:tc>
          <w:tcPr>
            <w:tcW w:w="1521" w:type="dxa"/>
            <w:tcBorders>
              <w:top w:val="single" w:sz="4" w:space="0" w:color="auto"/>
            </w:tcBorders>
            <w:noWrap/>
          </w:tcPr>
          <w:p w14:paraId="1EBEF2A0"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0.561</w:t>
            </w:r>
          </w:p>
        </w:tc>
        <w:tc>
          <w:tcPr>
            <w:tcW w:w="1521" w:type="dxa"/>
            <w:tcBorders>
              <w:top w:val="single" w:sz="4" w:space="0" w:color="auto"/>
            </w:tcBorders>
            <w:shd w:val="clear" w:color="auto" w:fill="FFFFFF"/>
            <w:noWrap/>
            <w:vAlign w:val="bottom"/>
          </w:tcPr>
          <w:p w14:paraId="1E6E9D13"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tcBorders>
              <w:top w:val="single" w:sz="4" w:space="0" w:color="auto"/>
            </w:tcBorders>
            <w:shd w:val="clear" w:color="auto" w:fill="FFFFFF"/>
            <w:noWrap/>
            <w:vAlign w:val="bottom"/>
          </w:tcPr>
          <w:p w14:paraId="148C972E"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1.00</w:t>
            </w:r>
          </w:p>
        </w:tc>
        <w:tc>
          <w:tcPr>
            <w:tcW w:w="1521" w:type="dxa"/>
            <w:tcBorders>
              <w:top w:val="single" w:sz="4" w:space="0" w:color="auto"/>
            </w:tcBorders>
            <w:shd w:val="clear" w:color="auto" w:fill="FFFFFF"/>
            <w:vAlign w:val="bottom"/>
          </w:tcPr>
          <w:p w14:paraId="709078CE"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1.00</w:t>
            </w:r>
          </w:p>
        </w:tc>
      </w:tr>
      <w:tr w:rsidR="005D6588" w:rsidRPr="00E3562B" w14:paraId="5FE883CE" w14:textId="77777777" w:rsidTr="00294522">
        <w:trPr>
          <w:trHeight w:val="269"/>
        </w:trPr>
        <w:tc>
          <w:tcPr>
            <w:tcW w:w="1521" w:type="dxa"/>
            <w:noWrap/>
          </w:tcPr>
          <w:p w14:paraId="0BBA7371" w14:textId="77777777" w:rsidR="00A60DA1" w:rsidRPr="00E3562B" w:rsidRDefault="00A60DA1" w:rsidP="00294522">
            <w:pPr>
              <w:spacing w:line="276" w:lineRule="auto"/>
              <w:jc w:val="left"/>
              <w:rPr>
                <w:rFonts w:asciiTheme="majorBidi" w:hAnsiTheme="majorBidi" w:cstheme="majorBidi"/>
                <w:szCs w:val="22"/>
                <w:lang w:val="en-GB"/>
              </w:rPr>
            </w:pPr>
            <w:r w:rsidRPr="00E3562B">
              <w:rPr>
                <w:rFonts w:asciiTheme="majorBidi" w:hAnsiTheme="majorBidi" w:cstheme="majorBidi"/>
                <w:szCs w:val="22"/>
                <w:lang w:val="en-GB"/>
              </w:rPr>
              <w:t>DUALITY</w:t>
            </w:r>
          </w:p>
        </w:tc>
        <w:tc>
          <w:tcPr>
            <w:tcW w:w="1521" w:type="dxa"/>
            <w:noWrap/>
          </w:tcPr>
          <w:p w14:paraId="0AEB5AB2"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0.043</w:t>
            </w:r>
          </w:p>
        </w:tc>
        <w:tc>
          <w:tcPr>
            <w:tcW w:w="1521" w:type="dxa"/>
            <w:noWrap/>
          </w:tcPr>
          <w:p w14:paraId="02030B53"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0.202</w:t>
            </w:r>
          </w:p>
        </w:tc>
        <w:tc>
          <w:tcPr>
            <w:tcW w:w="1521" w:type="dxa"/>
            <w:shd w:val="clear" w:color="auto" w:fill="FFFFFF"/>
            <w:noWrap/>
            <w:vAlign w:val="bottom"/>
          </w:tcPr>
          <w:p w14:paraId="49D62C85"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shd w:val="clear" w:color="auto" w:fill="FFFFFF"/>
            <w:noWrap/>
            <w:vAlign w:val="bottom"/>
          </w:tcPr>
          <w:p w14:paraId="3876BB18"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shd w:val="clear" w:color="auto" w:fill="FFFFFF"/>
            <w:vAlign w:val="bottom"/>
          </w:tcPr>
          <w:p w14:paraId="3DF44ADB"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r>
      <w:tr w:rsidR="005D6588" w:rsidRPr="00E3562B" w14:paraId="0370A1FD" w14:textId="77777777" w:rsidTr="00294522">
        <w:trPr>
          <w:trHeight w:val="269"/>
        </w:trPr>
        <w:tc>
          <w:tcPr>
            <w:tcW w:w="1521" w:type="dxa"/>
            <w:noWrap/>
          </w:tcPr>
          <w:p w14:paraId="76156447" w14:textId="03535AEE" w:rsidR="00A60DA1" w:rsidRPr="00E3562B" w:rsidRDefault="00A60DA1" w:rsidP="00294522">
            <w:pPr>
              <w:spacing w:line="276" w:lineRule="auto"/>
              <w:jc w:val="left"/>
              <w:rPr>
                <w:rFonts w:asciiTheme="majorBidi" w:hAnsiTheme="majorBidi" w:cstheme="majorBidi"/>
                <w:szCs w:val="22"/>
                <w:lang w:val="en-GB"/>
              </w:rPr>
            </w:pPr>
            <w:r w:rsidRPr="00E3562B">
              <w:rPr>
                <w:rFonts w:asciiTheme="majorBidi" w:hAnsiTheme="majorBidi" w:cstheme="majorBidi"/>
                <w:szCs w:val="22"/>
                <w:lang w:val="en-GB"/>
              </w:rPr>
              <w:t>EX</w:t>
            </w:r>
            <w:r w:rsidR="00751767" w:rsidRPr="00E3562B">
              <w:rPr>
                <w:rFonts w:asciiTheme="majorBidi" w:hAnsiTheme="majorBidi" w:cstheme="majorBidi"/>
                <w:szCs w:val="22"/>
                <w:lang w:val="en-GB"/>
              </w:rPr>
              <w:t>EC</w:t>
            </w:r>
          </w:p>
        </w:tc>
        <w:tc>
          <w:tcPr>
            <w:tcW w:w="1521" w:type="dxa"/>
            <w:noWrap/>
          </w:tcPr>
          <w:p w14:paraId="2DB4EDF5"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0.562</w:t>
            </w:r>
          </w:p>
        </w:tc>
        <w:tc>
          <w:tcPr>
            <w:tcW w:w="1521" w:type="dxa"/>
            <w:noWrap/>
          </w:tcPr>
          <w:p w14:paraId="111994B7"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0.497</w:t>
            </w:r>
          </w:p>
        </w:tc>
        <w:tc>
          <w:tcPr>
            <w:tcW w:w="1521" w:type="dxa"/>
            <w:shd w:val="clear" w:color="auto" w:fill="FFFFFF"/>
            <w:noWrap/>
            <w:vAlign w:val="bottom"/>
          </w:tcPr>
          <w:p w14:paraId="1D6AF99D"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shd w:val="clear" w:color="auto" w:fill="FFFFFF"/>
            <w:noWrap/>
            <w:vAlign w:val="bottom"/>
          </w:tcPr>
          <w:p w14:paraId="2BF6BA4D" w14:textId="6B71BD05" w:rsidR="00A60DA1" w:rsidRPr="00E3562B" w:rsidRDefault="00765AEA"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1</w:t>
            </w:r>
            <w:r w:rsidR="00A60DA1" w:rsidRPr="00E3562B">
              <w:rPr>
                <w:rFonts w:asciiTheme="majorBidi" w:hAnsiTheme="majorBidi" w:cstheme="majorBidi"/>
                <w:szCs w:val="22"/>
                <w:lang w:val="en-GB"/>
              </w:rPr>
              <w:t>.00</w:t>
            </w:r>
          </w:p>
        </w:tc>
        <w:tc>
          <w:tcPr>
            <w:tcW w:w="1521" w:type="dxa"/>
            <w:shd w:val="clear" w:color="auto" w:fill="FFFFFF"/>
            <w:vAlign w:val="bottom"/>
          </w:tcPr>
          <w:p w14:paraId="3355F3A4" w14:textId="4DE4BEB5" w:rsidR="00A60DA1" w:rsidRPr="00E3562B" w:rsidRDefault="00765AEA"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1</w:t>
            </w:r>
            <w:r w:rsidR="00A60DA1" w:rsidRPr="00E3562B">
              <w:rPr>
                <w:rFonts w:asciiTheme="majorBidi" w:hAnsiTheme="majorBidi" w:cstheme="majorBidi"/>
                <w:szCs w:val="22"/>
                <w:lang w:val="en-GB"/>
              </w:rPr>
              <w:t>.00</w:t>
            </w:r>
          </w:p>
        </w:tc>
      </w:tr>
      <w:tr w:rsidR="005D6588" w:rsidRPr="00E3562B" w14:paraId="299DB0A8" w14:textId="77777777" w:rsidTr="00294522">
        <w:trPr>
          <w:trHeight w:val="269"/>
        </w:trPr>
        <w:tc>
          <w:tcPr>
            <w:tcW w:w="1521" w:type="dxa"/>
            <w:noWrap/>
            <w:hideMark/>
          </w:tcPr>
          <w:p w14:paraId="13031E5C" w14:textId="77777777" w:rsidR="00A60DA1" w:rsidRPr="00E3562B" w:rsidRDefault="00A60DA1" w:rsidP="00294522">
            <w:pPr>
              <w:spacing w:line="276" w:lineRule="auto"/>
              <w:jc w:val="left"/>
              <w:rPr>
                <w:rFonts w:asciiTheme="majorBidi" w:hAnsiTheme="majorBidi" w:cstheme="majorBidi"/>
                <w:szCs w:val="22"/>
                <w:lang w:val="en-GB" w:eastAsia="en-GB"/>
              </w:rPr>
            </w:pPr>
            <w:r w:rsidRPr="00E3562B">
              <w:rPr>
                <w:rFonts w:asciiTheme="majorBidi" w:hAnsiTheme="majorBidi" w:cstheme="majorBidi"/>
                <w:szCs w:val="22"/>
                <w:lang w:val="en-GB"/>
              </w:rPr>
              <w:t>BGD</w:t>
            </w:r>
          </w:p>
        </w:tc>
        <w:tc>
          <w:tcPr>
            <w:tcW w:w="1521" w:type="dxa"/>
            <w:noWrap/>
          </w:tcPr>
          <w:p w14:paraId="79B072C7"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29.84</w:t>
            </w:r>
          </w:p>
        </w:tc>
        <w:tc>
          <w:tcPr>
            <w:tcW w:w="1521" w:type="dxa"/>
            <w:noWrap/>
          </w:tcPr>
          <w:p w14:paraId="013047D0"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8.837</w:t>
            </w:r>
          </w:p>
        </w:tc>
        <w:tc>
          <w:tcPr>
            <w:tcW w:w="1521" w:type="dxa"/>
            <w:shd w:val="clear" w:color="auto" w:fill="FFFFFF"/>
            <w:noWrap/>
            <w:vAlign w:val="bottom"/>
          </w:tcPr>
          <w:p w14:paraId="343FB26E"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25.00</w:t>
            </w:r>
          </w:p>
        </w:tc>
        <w:tc>
          <w:tcPr>
            <w:tcW w:w="1521" w:type="dxa"/>
            <w:shd w:val="clear" w:color="auto" w:fill="FFFFFF"/>
            <w:noWrap/>
            <w:vAlign w:val="bottom"/>
          </w:tcPr>
          <w:p w14:paraId="0AAD04D3"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30.00</w:t>
            </w:r>
          </w:p>
        </w:tc>
        <w:tc>
          <w:tcPr>
            <w:tcW w:w="1521" w:type="dxa"/>
            <w:shd w:val="clear" w:color="auto" w:fill="FFFFFF"/>
            <w:vAlign w:val="bottom"/>
          </w:tcPr>
          <w:p w14:paraId="2A9ECFFC"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36.36</w:t>
            </w:r>
          </w:p>
        </w:tc>
      </w:tr>
      <w:tr w:rsidR="005D6588" w:rsidRPr="00E3562B" w14:paraId="367ABFCF" w14:textId="77777777" w:rsidTr="00294522">
        <w:trPr>
          <w:trHeight w:val="269"/>
        </w:trPr>
        <w:tc>
          <w:tcPr>
            <w:tcW w:w="1521" w:type="dxa"/>
            <w:noWrap/>
            <w:hideMark/>
          </w:tcPr>
          <w:p w14:paraId="218EDE69" w14:textId="77777777" w:rsidR="00A60DA1" w:rsidRPr="00E3562B" w:rsidRDefault="00A60DA1" w:rsidP="00294522">
            <w:pPr>
              <w:spacing w:line="276" w:lineRule="auto"/>
              <w:jc w:val="left"/>
              <w:rPr>
                <w:rFonts w:asciiTheme="majorBidi" w:hAnsiTheme="majorBidi" w:cstheme="majorBidi"/>
                <w:szCs w:val="22"/>
                <w:lang w:val="en-GB" w:eastAsia="en-GB"/>
              </w:rPr>
            </w:pPr>
            <w:r w:rsidRPr="00E3562B">
              <w:rPr>
                <w:rFonts w:asciiTheme="majorBidi" w:hAnsiTheme="majorBidi" w:cstheme="majorBidi"/>
                <w:szCs w:val="22"/>
                <w:lang w:val="en-GB"/>
              </w:rPr>
              <w:t>BLAU</w:t>
            </w:r>
          </w:p>
        </w:tc>
        <w:tc>
          <w:tcPr>
            <w:tcW w:w="1521" w:type="dxa"/>
            <w:noWrap/>
          </w:tcPr>
          <w:p w14:paraId="00F714EA"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0.402</w:t>
            </w:r>
          </w:p>
        </w:tc>
        <w:tc>
          <w:tcPr>
            <w:tcW w:w="1521" w:type="dxa"/>
            <w:noWrap/>
          </w:tcPr>
          <w:p w14:paraId="21E9F7AA"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0.078</w:t>
            </w:r>
          </w:p>
        </w:tc>
        <w:tc>
          <w:tcPr>
            <w:tcW w:w="1521" w:type="dxa"/>
            <w:shd w:val="clear" w:color="auto" w:fill="FFFFFF"/>
            <w:noWrap/>
            <w:vAlign w:val="bottom"/>
          </w:tcPr>
          <w:p w14:paraId="27CEFBC1"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0.38</w:t>
            </w:r>
          </w:p>
        </w:tc>
        <w:tc>
          <w:tcPr>
            <w:tcW w:w="1521" w:type="dxa"/>
            <w:shd w:val="clear" w:color="auto" w:fill="FFFFFF"/>
            <w:noWrap/>
            <w:vAlign w:val="bottom"/>
          </w:tcPr>
          <w:p w14:paraId="4A9CF148"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0.42</w:t>
            </w:r>
          </w:p>
        </w:tc>
        <w:tc>
          <w:tcPr>
            <w:tcW w:w="1521" w:type="dxa"/>
            <w:shd w:val="clear" w:color="auto" w:fill="FFFFFF"/>
            <w:vAlign w:val="bottom"/>
          </w:tcPr>
          <w:p w14:paraId="01E12CA7"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0.46</w:t>
            </w:r>
          </w:p>
        </w:tc>
      </w:tr>
      <w:tr w:rsidR="005D6588" w:rsidRPr="00E3562B" w14:paraId="553EE8CC" w14:textId="77777777" w:rsidTr="00294522">
        <w:trPr>
          <w:trHeight w:val="269"/>
        </w:trPr>
        <w:tc>
          <w:tcPr>
            <w:tcW w:w="1521" w:type="dxa"/>
            <w:noWrap/>
            <w:hideMark/>
          </w:tcPr>
          <w:p w14:paraId="1E1D4A6F" w14:textId="77777777" w:rsidR="00A60DA1" w:rsidRPr="00E3562B" w:rsidRDefault="00A60DA1" w:rsidP="00294522">
            <w:pPr>
              <w:spacing w:line="276" w:lineRule="auto"/>
              <w:jc w:val="left"/>
              <w:rPr>
                <w:rFonts w:asciiTheme="majorBidi" w:hAnsiTheme="majorBidi" w:cstheme="majorBidi"/>
                <w:szCs w:val="22"/>
                <w:lang w:val="en-GB"/>
              </w:rPr>
            </w:pPr>
            <w:r w:rsidRPr="00E3562B">
              <w:rPr>
                <w:rFonts w:asciiTheme="majorBidi" w:hAnsiTheme="majorBidi" w:cstheme="majorBidi"/>
                <w:szCs w:val="22"/>
                <w:lang w:val="en-GB"/>
              </w:rPr>
              <w:t>FD1</w:t>
            </w:r>
          </w:p>
        </w:tc>
        <w:tc>
          <w:tcPr>
            <w:tcW w:w="1521" w:type="dxa"/>
            <w:noWrap/>
          </w:tcPr>
          <w:p w14:paraId="64BD53D2"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6.40</w:t>
            </w:r>
          </w:p>
        </w:tc>
        <w:tc>
          <w:tcPr>
            <w:tcW w:w="1521" w:type="dxa"/>
            <w:noWrap/>
          </w:tcPr>
          <w:p w14:paraId="4E4594C7"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0.245</w:t>
            </w:r>
          </w:p>
        </w:tc>
        <w:tc>
          <w:tcPr>
            <w:tcW w:w="1521" w:type="dxa"/>
            <w:shd w:val="clear" w:color="auto" w:fill="FFFFFF"/>
            <w:noWrap/>
            <w:vAlign w:val="bottom"/>
          </w:tcPr>
          <w:p w14:paraId="5E6968F0"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shd w:val="clear" w:color="auto" w:fill="FFFFFF"/>
            <w:noWrap/>
            <w:vAlign w:val="bottom"/>
          </w:tcPr>
          <w:p w14:paraId="0CEBA671"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shd w:val="clear" w:color="auto" w:fill="FFFFFF"/>
            <w:vAlign w:val="bottom"/>
          </w:tcPr>
          <w:p w14:paraId="475CFC11"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r>
      <w:tr w:rsidR="005D6588" w:rsidRPr="00E3562B" w14:paraId="5A440E10" w14:textId="77777777" w:rsidTr="00294522">
        <w:trPr>
          <w:trHeight w:val="269"/>
        </w:trPr>
        <w:tc>
          <w:tcPr>
            <w:tcW w:w="1521" w:type="dxa"/>
            <w:noWrap/>
            <w:hideMark/>
          </w:tcPr>
          <w:p w14:paraId="6975C508" w14:textId="77777777" w:rsidR="00A60DA1" w:rsidRPr="00E3562B" w:rsidRDefault="00A60DA1" w:rsidP="00294522">
            <w:pPr>
              <w:spacing w:line="276" w:lineRule="auto"/>
              <w:jc w:val="left"/>
              <w:rPr>
                <w:rFonts w:asciiTheme="majorBidi" w:hAnsiTheme="majorBidi" w:cstheme="majorBidi"/>
                <w:szCs w:val="22"/>
                <w:lang w:val="en-GB"/>
              </w:rPr>
            </w:pPr>
            <w:r w:rsidRPr="00E3562B">
              <w:rPr>
                <w:rFonts w:asciiTheme="majorBidi" w:hAnsiTheme="majorBidi" w:cstheme="majorBidi"/>
                <w:szCs w:val="22"/>
                <w:lang w:val="en-GB"/>
              </w:rPr>
              <w:t>FD2</w:t>
            </w:r>
          </w:p>
        </w:tc>
        <w:tc>
          <w:tcPr>
            <w:tcW w:w="1521" w:type="dxa"/>
            <w:noWrap/>
          </w:tcPr>
          <w:p w14:paraId="6614A576"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22.80</w:t>
            </w:r>
          </w:p>
        </w:tc>
        <w:tc>
          <w:tcPr>
            <w:tcW w:w="1521" w:type="dxa"/>
            <w:noWrap/>
          </w:tcPr>
          <w:p w14:paraId="411C8CBD"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0.420</w:t>
            </w:r>
          </w:p>
        </w:tc>
        <w:tc>
          <w:tcPr>
            <w:tcW w:w="1521" w:type="dxa"/>
            <w:shd w:val="clear" w:color="auto" w:fill="FFFFFF"/>
            <w:noWrap/>
            <w:vAlign w:val="bottom"/>
          </w:tcPr>
          <w:p w14:paraId="7F500593"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shd w:val="clear" w:color="auto" w:fill="FFFFFF"/>
            <w:noWrap/>
            <w:vAlign w:val="bottom"/>
          </w:tcPr>
          <w:p w14:paraId="3BF2CD37"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shd w:val="clear" w:color="auto" w:fill="FFFFFF"/>
            <w:vAlign w:val="bottom"/>
          </w:tcPr>
          <w:p w14:paraId="6CB797B6"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r>
      <w:tr w:rsidR="005D6588" w:rsidRPr="00E3562B" w14:paraId="3B7DCCF1" w14:textId="77777777" w:rsidTr="00294522">
        <w:trPr>
          <w:trHeight w:val="269"/>
        </w:trPr>
        <w:tc>
          <w:tcPr>
            <w:tcW w:w="1521" w:type="dxa"/>
            <w:noWrap/>
            <w:hideMark/>
          </w:tcPr>
          <w:p w14:paraId="7FDC59D8" w14:textId="77777777" w:rsidR="00A60DA1" w:rsidRPr="00E3562B" w:rsidRDefault="00A60DA1" w:rsidP="00294522">
            <w:pPr>
              <w:spacing w:line="276" w:lineRule="auto"/>
              <w:jc w:val="left"/>
              <w:rPr>
                <w:rFonts w:asciiTheme="majorBidi" w:hAnsiTheme="majorBidi" w:cstheme="majorBidi"/>
                <w:szCs w:val="22"/>
                <w:lang w:val="en-GB"/>
              </w:rPr>
            </w:pPr>
            <w:r w:rsidRPr="00E3562B">
              <w:rPr>
                <w:rFonts w:asciiTheme="majorBidi" w:hAnsiTheme="majorBidi" w:cstheme="majorBidi"/>
                <w:szCs w:val="22"/>
                <w:lang w:val="en-GB"/>
              </w:rPr>
              <w:t>FD3</w:t>
            </w:r>
          </w:p>
        </w:tc>
        <w:tc>
          <w:tcPr>
            <w:tcW w:w="1521" w:type="dxa"/>
            <w:noWrap/>
          </w:tcPr>
          <w:p w14:paraId="436FB219"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33.00</w:t>
            </w:r>
          </w:p>
        </w:tc>
        <w:tc>
          <w:tcPr>
            <w:tcW w:w="1521" w:type="dxa"/>
            <w:noWrap/>
          </w:tcPr>
          <w:p w14:paraId="2F104206"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0.457</w:t>
            </w:r>
          </w:p>
        </w:tc>
        <w:tc>
          <w:tcPr>
            <w:tcW w:w="1521" w:type="dxa"/>
            <w:shd w:val="clear" w:color="auto" w:fill="FFFFFF"/>
            <w:noWrap/>
            <w:vAlign w:val="bottom"/>
          </w:tcPr>
          <w:p w14:paraId="1DC1AAF6"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shd w:val="clear" w:color="auto" w:fill="FFFFFF"/>
            <w:noWrap/>
            <w:vAlign w:val="bottom"/>
          </w:tcPr>
          <w:p w14:paraId="29C85D7C"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shd w:val="clear" w:color="auto" w:fill="FFFFFF"/>
            <w:vAlign w:val="bottom"/>
          </w:tcPr>
          <w:p w14:paraId="06B727C8"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1.00</w:t>
            </w:r>
          </w:p>
        </w:tc>
      </w:tr>
      <w:tr w:rsidR="005D6588" w:rsidRPr="00E3562B" w14:paraId="219BBD6B" w14:textId="77777777" w:rsidTr="00294522">
        <w:trPr>
          <w:trHeight w:val="269"/>
        </w:trPr>
        <w:tc>
          <w:tcPr>
            <w:tcW w:w="1521" w:type="dxa"/>
            <w:noWrap/>
          </w:tcPr>
          <w:p w14:paraId="642C169C" w14:textId="77777777" w:rsidR="00A60DA1" w:rsidRPr="00E3562B" w:rsidRDefault="00A60DA1" w:rsidP="00294522">
            <w:pPr>
              <w:spacing w:line="276" w:lineRule="auto"/>
              <w:jc w:val="left"/>
              <w:rPr>
                <w:rFonts w:asciiTheme="majorBidi" w:hAnsiTheme="majorBidi" w:cstheme="majorBidi"/>
                <w:szCs w:val="22"/>
                <w:lang w:val="en-GB"/>
              </w:rPr>
            </w:pPr>
            <w:r w:rsidRPr="00E3562B">
              <w:rPr>
                <w:rFonts w:asciiTheme="majorBidi" w:hAnsiTheme="majorBidi" w:cstheme="majorBidi"/>
                <w:szCs w:val="22"/>
                <w:lang w:val="en-GB"/>
              </w:rPr>
              <w:t>FD4</w:t>
            </w:r>
          </w:p>
        </w:tc>
        <w:tc>
          <w:tcPr>
            <w:tcW w:w="1521" w:type="dxa"/>
            <w:noWrap/>
          </w:tcPr>
          <w:p w14:paraId="0A6C4F71"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37.80</w:t>
            </w:r>
          </w:p>
        </w:tc>
        <w:tc>
          <w:tcPr>
            <w:tcW w:w="1521" w:type="dxa"/>
            <w:noWrap/>
          </w:tcPr>
          <w:p w14:paraId="783063AF"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0.480</w:t>
            </w:r>
          </w:p>
        </w:tc>
        <w:tc>
          <w:tcPr>
            <w:tcW w:w="1521" w:type="dxa"/>
            <w:shd w:val="clear" w:color="auto" w:fill="FFFFFF"/>
            <w:noWrap/>
            <w:vAlign w:val="bottom"/>
          </w:tcPr>
          <w:p w14:paraId="736D3545"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shd w:val="clear" w:color="auto" w:fill="FFFFFF"/>
            <w:noWrap/>
            <w:vAlign w:val="bottom"/>
          </w:tcPr>
          <w:p w14:paraId="3FA18C48"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0.00</w:t>
            </w:r>
          </w:p>
        </w:tc>
        <w:tc>
          <w:tcPr>
            <w:tcW w:w="1521" w:type="dxa"/>
            <w:shd w:val="clear" w:color="auto" w:fill="FFFFFF"/>
            <w:vAlign w:val="bottom"/>
          </w:tcPr>
          <w:p w14:paraId="338F7582"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1.00</w:t>
            </w:r>
          </w:p>
        </w:tc>
      </w:tr>
      <w:tr w:rsidR="005D6588" w:rsidRPr="00E3562B" w14:paraId="7D22C019" w14:textId="77777777" w:rsidTr="00294522">
        <w:trPr>
          <w:trHeight w:val="269"/>
        </w:trPr>
        <w:tc>
          <w:tcPr>
            <w:tcW w:w="1521" w:type="dxa"/>
            <w:noWrap/>
            <w:hideMark/>
          </w:tcPr>
          <w:p w14:paraId="6EBE6665" w14:textId="77777777" w:rsidR="00A60DA1" w:rsidRPr="00E3562B" w:rsidRDefault="00A60DA1" w:rsidP="00294522">
            <w:pPr>
              <w:spacing w:line="276" w:lineRule="auto"/>
              <w:jc w:val="left"/>
              <w:rPr>
                <w:rFonts w:asciiTheme="majorBidi" w:hAnsiTheme="majorBidi" w:cstheme="majorBidi"/>
                <w:szCs w:val="22"/>
                <w:lang w:val="en-GB" w:eastAsia="en-GB"/>
              </w:rPr>
            </w:pPr>
            <w:r w:rsidRPr="00E3562B">
              <w:rPr>
                <w:rFonts w:asciiTheme="majorBidi" w:hAnsiTheme="majorBidi" w:cstheme="majorBidi"/>
                <w:szCs w:val="22"/>
                <w:lang w:val="en-GB"/>
              </w:rPr>
              <w:t>FSIZE</w:t>
            </w:r>
          </w:p>
        </w:tc>
        <w:tc>
          <w:tcPr>
            <w:tcW w:w="1521" w:type="dxa"/>
            <w:noWrap/>
          </w:tcPr>
          <w:p w14:paraId="196B1732"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16.581</w:t>
            </w:r>
          </w:p>
        </w:tc>
        <w:tc>
          <w:tcPr>
            <w:tcW w:w="1521" w:type="dxa"/>
            <w:noWrap/>
          </w:tcPr>
          <w:p w14:paraId="3C659F39"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1.956</w:t>
            </w:r>
          </w:p>
        </w:tc>
        <w:tc>
          <w:tcPr>
            <w:tcW w:w="1521" w:type="dxa"/>
            <w:shd w:val="clear" w:color="auto" w:fill="FFFFFF"/>
            <w:noWrap/>
            <w:vAlign w:val="bottom"/>
          </w:tcPr>
          <w:p w14:paraId="219A212E"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15.42</w:t>
            </w:r>
          </w:p>
        </w:tc>
        <w:tc>
          <w:tcPr>
            <w:tcW w:w="1521" w:type="dxa"/>
            <w:shd w:val="clear" w:color="auto" w:fill="FFFFFF"/>
            <w:noWrap/>
            <w:vAlign w:val="bottom"/>
          </w:tcPr>
          <w:p w14:paraId="30F7A286"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16.33</w:t>
            </w:r>
          </w:p>
        </w:tc>
        <w:tc>
          <w:tcPr>
            <w:tcW w:w="1521" w:type="dxa"/>
            <w:shd w:val="clear" w:color="auto" w:fill="FFFFFF"/>
            <w:vAlign w:val="bottom"/>
          </w:tcPr>
          <w:p w14:paraId="2722CD17"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17.80</w:t>
            </w:r>
          </w:p>
        </w:tc>
      </w:tr>
      <w:tr w:rsidR="005D6588" w:rsidRPr="00E3562B" w14:paraId="028DC972" w14:textId="77777777" w:rsidTr="00294522">
        <w:trPr>
          <w:trHeight w:val="269"/>
        </w:trPr>
        <w:tc>
          <w:tcPr>
            <w:tcW w:w="1521" w:type="dxa"/>
            <w:noWrap/>
            <w:hideMark/>
          </w:tcPr>
          <w:p w14:paraId="393069A1" w14:textId="77777777" w:rsidR="00A60DA1" w:rsidRPr="00E3562B" w:rsidRDefault="00A60DA1" w:rsidP="00294522">
            <w:pPr>
              <w:spacing w:line="276" w:lineRule="auto"/>
              <w:jc w:val="left"/>
              <w:rPr>
                <w:rFonts w:asciiTheme="majorBidi" w:hAnsiTheme="majorBidi" w:cstheme="majorBidi"/>
                <w:szCs w:val="22"/>
                <w:lang w:val="en-GB" w:eastAsia="en-GB"/>
              </w:rPr>
            </w:pPr>
            <w:r w:rsidRPr="00E3562B">
              <w:rPr>
                <w:rFonts w:asciiTheme="majorBidi" w:hAnsiTheme="majorBidi" w:cstheme="majorBidi"/>
                <w:szCs w:val="22"/>
                <w:lang w:val="en-GB"/>
              </w:rPr>
              <w:t>ROA</w:t>
            </w:r>
          </w:p>
        </w:tc>
        <w:tc>
          <w:tcPr>
            <w:tcW w:w="1521" w:type="dxa"/>
            <w:noWrap/>
          </w:tcPr>
          <w:p w14:paraId="11512AB8"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7.294</w:t>
            </w:r>
          </w:p>
        </w:tc>
        <w:tc>
          <w:tcPr>
            <w:tcW w:w="1521" w:type="dxa"/>
            <w:noWrap/>
          </w:tcPr>
          <w:p w14:paraId="71E09787"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6.592</w:t>
            </w:r>
          </w:p>
        </w:tc>
        <w:tc>
          <w:tcPr>
            <w:tcW w:w="1521" w:type="dxa"/>
            <w:shd w:val="clear" w:color="auto" w:fill="FFFFFF"/>
            <w:noWrap/>
            <w:vAlign w:val="bottom"/>
          </w:tcPr>
          <w:p w14:paraId="50220935"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2.37</w:t>
            </w:r>
          </w:p>
        </w:tc>
        <w:tc>
          <w:tcPr>
            <w:tcW w:w="1521" w:type="dxa"/>
            <w:shd w:val="clear" w:color="auto" w:fill="FFFFFF"/>
            <w:noWrap/>
            <w:vAlign w:val="bottom"/>
          </w:tcPr>
          <w:p w14:paraId="44C81723"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6.23</w:t>
            </w:r>
          </w:p>
        </w:tc>
        <w:tc>
          <w:tcPr>
            <w:tcW w:w="1521" w:type="dxa"/>
            <w:shd w:val="clear" w:color="auto" w:fill="FFFFFF"/>
            <w:vAlign w:val="bottom"/>
          </w:tcPr>
          <w:p w14:paraId="4B2C6E3C"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10.81</w:t>
            </w:r>
          </w:p>
        </w:tc>
      </w:tr>
      <w:tr w:rsidR="005D6588" w:rsidRPr="00E3562B" w14:paraId="45FBCB5D" w14:textId="77777777" w:rsidTr="00294522">
        <w:trPr>
          <w:trHeight w:val="269"/>
        </w:trPr>
        <w:tc>
          <w:tcPr>
            <w:tcW w:w="1521" w:type="dxa"/>
            <w:noWrap/>
            <w:hideMark/>
          </w:tcPr>
          <w:p w14:paraId="1475BF22" w14:textId="77777777" w:rsidR="00A60DA1" w:rsidRPr="00E3562B" w:rsidRDefault="00A60DA1" w:rsidP="00294522">
            <w:pPr>
              <w:spacing w:line="276" w:lineRule="auto"/>
              <w:jc w:val="left"/>
              <w:rPr>
                <w:rFonts w:asciiTheme="majorBidi" w:hAnsiTheme="majorBidi" w:cstheme="majorBidi"/>
                <w:szCs w:val="22"/>
                <w:lang w:val="en-GB" w:eastAsia="en-GB"/>
              </w:rPr>
            </w:pPr>
            <w:r w:rsidRPr="00E3562B">
              <w:rPr>
                <w:rFonts w:asciiTheme="majorBidi" w:hAnsiTheme="majorBidi" w:cstheme="majorBidi"/>
                <w:szCs w:val="22"/>
                <w:lang w:val="en-GB"/>
              </w:rPr>
              <w:t>LEV</w:t>
            </w:r>
          </w:p>
        </w:tc>
        <w:tc>
          <w:tcPr>
            <w:tcW w:w="1521" w:type="dxa"/>
            <w:noWrap/>
          </w:tcPr>
          <w:p w14:paraId="04322EFC"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25.709</w:t>
            </w:r>
          </w:p>
        </w:tc>
        <w:tc>
          <w:tcPr>
            <w:tcW w:w="1521" w:type="dxa"/>
            <w:noWrap/>
          </w:tcPr>
          <w:p w14:paraId="1441236F"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16.668</w:t>
            </w:r>
          </w:p>
        </w:tc>
        <w:tc>
          <w:tcPr>
            <w:tcW w:w="1521" w:type="dxa"/>
            <w:shd w:val="clear" w:color="auto" w:fill="FFFFFF"/>
            <w:noWrap/>
            <w:vAlign w:val="bottom"/>
          </w:tcPr>
          <w:p w14:paraId="21F92168"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13.61</w:t>
            </w:r>
          </w:p>
        </w:tc>
        <w:tc>
          <w:tcPr>
            <w:tcW w:w="1521" w:type="dxa"/>
            <w:shd w:val="clear" w:color="auto" w:fill="FFFFFF"/>
            <w:noWrap/>
            <w:vAlign w:val="bottom"/>
          </w:tcPr>
          <w:p w14:paraId="6D836294"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26.54</w:t>
            </w:r>
          </w:p>
        </w:tc>
        <w:tc>
          <w:tcPr>
            <w:tcW w:w="1521" w:type="dxa"/>
            <w:shd w:val="clear" w:color="auto" w:fill="FFFFFF"/>
            <w:vAlign w:val="bottom"/>
          </w:tcPr>
          <w:p w14:paraId="6469B2C3"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36.50</w:t>
            </w:r>
          </w:p>
        </w:tc>
      </w:tr>
      <w:tr w:rsidR="005D6588" w:rsidRPr="00E3562B" w14:paraId="73D0BE9B" w14:textId="77777777" w:rsidTr="00294522">
        <w:trPr>
          <w:trHeight w:val="269"/>
        </w:trPr>
        <w:tc>
          <w:tcPr>
            <w:tcW w:w="1521" w:type="dxa"/>
            <w:noWrap/>
            <w:hideMark/>
          </w:tcPr>
          <w:p w14:paraId="67B59788" w14:textId="77777777" w:rsidR="00A60DA1" w:rsidRPr="00E3562B" w:rsidRDefault="00A60DA1" w:rsidP="00294522">
            <w:pPr>
              <w:spacing w:line="276" w:lineRule="auto"/>
              <w:jc w:val="left"/>
              <w:rPr>
                <w:rFonts w:asciiTheme="majorBidi" w:hAnsiTheme="majorBidi" w:cstheme="majorBidi"/>
                <w:szCs w:val="22"/>
                <w:lang w:val="en-GB" w:eastAsia="en-GB"/>
              </w:rPr>
            </w:pPr>
            <w:r w:rsidRPr="00E3562B">
              <w:rPr>
                <w:rFonts w:asciiTheme="majorBidi" w:hAnsiTheme="majorBidi" w:cstheme="majorBidi"/>
                <w:szCs w:val="22"/>
                <w:lang w:val="en-GB"/>
              </w:rPr>
              <w:t>BSIZE</w:t>
            </w:r>
          </w:p>
        </w:tc>
        <w:tc>
          <w:tcPr>
            <w:tcW w:w="1521" w:type="dxa"/>
            <w:noWrap/>
          </w:tcPr>
          <w:p w14:paraId="3C833A10"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10.338</w:t>
            </w:r>
          </w:p>
        </w:tc>
        <w:tc>
          <w:tcPr>
            <w:tcW w:w="1521" w:type="dxa"/>
            <w:noWrap/>
          </w:tcPr>
          <w:p w14:paraId="115742BE"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2.053</w:t>
            </w:r>
          </w:p>
        </w:tc>
        <w:tc>
          <w:tcPr>
            <w:tcW w:w="1521" w:type="dxa"/>
            <w:shd w:val="clear" w:color="auto" w:fill="FFFFFF"/>
            <w:noWrap/>
            <w:vAlign w:val="bottom"/>
          </w:tcPr>
          <w:p w14:paraId="5BA83F13"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9.00</w:t>
            </w:r>
          </w:p>
        </w:tc>
        <w:tc>
          <w:tcPr>
            <w:tcW w:w="1521" w:type="dxa"/>
            <w:shd w:val="clear" w:color="auto" w:fill="FFFFFF"/>
            <w:noWrap/>
            <w:vAlign w:val="bottom"/>
          </w:tcPr>
          <w:p w14:paraId="6088A3C0"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10.00</w:t>
            </w:r>
          </w:p>
        </w:tc>
        <w:tc>
          <w:tcPr>
            <w:tcW w:w="1521" w:type="dxa"/>
            <w:shd w:val="clear" w:color="auto" w:fill="FFFFFF"/>
            <w:vAlign w:val="bottom"/>
          </w:tcPr>
          <w:p w14:paraId="74FEF382"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12.00</w:t>
            </w:r>
          </w:p>
        </w:tc>
      </w:tr>
      <w:tr w:rsidR="005D6588" w:rsidRPr="00E3562B" w14:paraId="5D9D4C26" w14:textId="77777777" w:rsidTr="00294522">
        <w:trPr>
          <w:trHeight w:val="269"/>
        </w:trPr>
        <w:tc>
          <w:tcPr>
            <w:tcW w:w="1521" w:type="dxa"/>
            <w:noWrap/>
            <w:hideMark/>
          </w:tcPr>
          <w:p w14:paraId="2A2D2E3B" w14:textId="77777777" w:rsidR="00A60DA1" w:rsidRPr="00E3562B" w:rsidRDefault="00A60DA1" w:rsidP="00294522">
            <w:pPr>
              <w:spacing w:line="276" w:lineRule="auto"/>
              <w:jc w:val="left"/>
              <w:rPr>
                <w:rFonts w:asciiTheme="majorBidi" w:hAnsiTheme="majorBidi" w:cstheme="majorBidi"/>
                <w:szCs w:val="22"/>
                <w:lang w:val="en-GB" w:eastAsia="en-GB"/>
              </w:rPr>
            </w:pPr>
            <w:r w:rsidRPr="00E3562B">
              <w:rPr>
                <w:rFonts w:asciiTheme="majorBidi" w:hAnsiTheme="majorBidi" w:cstheme="majorBidi"/>
                <w:szCs w:val="22"/>
                <w:lang w:val="en-GB"/>
              </w:rPr>
              <w:t>BINDE</w:t>
            </w:r>
          </w:p>
        </w:tc>
        <w:tc>
          <w:tcPr>
            <w:tcW w:w="1521" w:type="dxa"/>
            <w:noWrap/>
          </w:tcPr>
          <w:p w14:paraId="225352E5"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66.112</w:t>
            </w:r>
          </w:p>
        </w:tc>
        <w:tc>
          <w:tcPr>
            <w:tcW w:w="1521" w:type="dxa"/>
            <w:noWrap/>
          </w:tcPr>
          <w:p w14:paraId="719FDD47"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11.142</w:t>
            </w:r>
          </w:p>
        </w:tc>
        <w:tc>
          <w:tcPr>
            <w:tcW w:w="1521" w:type="dxa"/>
            <w:shd w:val="clear" w:color="auto" w:fill="FFFFFF"/>
            <w:noWrap/>
            <w:vAlign w:val="bottom"/>
          </w:tcPr>
          <w:p w14:paraId="1CF8CE94"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58.33</w:t>
            </w:r>
          </w:p>
        </w:tc>
        <w:tc>
          <w:tcPr>
            <w:tcW w:w="1521" w:type="dxa"/>
            <w:shd w:val="clear" w:color="auto" w:fill="FFFFFF"/>
            <w:noWrap/>
            <w:vAlign w:val="bottom"/>
          </w:tcPr>
          <w:p w14:paraId="1019B8E5"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66.67</w:t>
            </w:r>
          </w:p>
        </w:tc>
        <w:tc>
          <w:tcPr>
            <w:tcW w:w="1521" w:type="dxa"/>
            <w:shd w:val="clear" w:color="auto" w:fill="FFFFFF"/>
            <w:vAlign w:val="bottom"/>
          </w:tcPr>
          <w:p w14:paraId="45D6D45A"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75.00</w:t>
            </w:r>
          </w:p>
        </w:tc>
      </w:tr>
      <w:tr w:rsidR="005D6588" w:rsidRPr="00E3562B" w14:paraId="072807C8" w14:textId="77777777" w:rsidTr="00294522">
        <w:trPr>
          <w:trHeight w:val="269"/>
        </w:trPr>
        <w:tc>
          <w:tcPr>
            <w:tcW w:w="1521" w:type="dxa"/>
            <w:noWrap/>
            <w:hideMark/>
          </w:tcPr>
          <w:p w14:paraId="767F2445" w14:textId="77777777" w:rsidR="00A60DA1" w:rsidRPr="00E3562B" w:rsidRDefault="00A60DA1" w:rsidP="00294522">
            <w:pPr>
              <w:spacing w:line="276" w:lineRule="auto"/>
              <w:jc w:val="left"/>
              <w:rPr>
                <w:rFonts w:asciiTheme="majorBidi" w:hAnsiTheme="majorBidi" w:cstheme="majorBidi"/>
                <w:szCs w:val="22"/>
                <w:lang w:val="en-GB" w:eastAsia="en-GB"/>
              </w:rPr>
            </w:pPr>
            <w:r w:rsidRPr="00E3562B">
              <w:rPr>
                <w:rFonts w:asciiTheme="majorBidi" w:hAnsiTheme="majorBidi" w:cstheme="majorBidi"/>
                <w:szCs w:val="22"/>
                <w:lang w:val="en-GB"/>
              </w:rPr>
              <w:t>MTBV</w:t>
            </w:r>
          </w:p>
        </w:tc>
        <w:tc>
          <w:tcPr>
            <w:tcW w:w="1521" w:type="dxa"/>
            <w:noWrap/>
          </w:tcPr>
          <w:p w14:paraId="069F5C70"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5.152</w:t>
            </w:r>
          </w:p>
        </w:tc>
        <w:tc>
          <w:tcPr>
            <w:tcW w:w="1521" w:type="dxa"/>
            <w:noWrap/>
          </w:tcPr>
          <w:p w14:paraId="2AA9E16C"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68.925</w:t>
            </w:r>
          </w:p>
        </w:tc>
        <w:tc>
          <w:tcPr>
            <w:tcW w:w="1521" w:type="dxa"/>
            <w:shd w:val="clear" w:color="auto" w:fill="FFFFFF"/>
            <w:noWrap/>
            <w:vAlign w:val="bottom"/>
          </w:tcPr>
          <w:p w14:paraId="5239B091"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1.23</w:t>
            </w:r>
          </w:p>
        </w:tc>
        <w:tc>
          <w:tcPr>
            <w:tcW w:w="1521" w:type="dxa"/>
            <w:shd w:val="clear" w:color="auto" w:fill="FFFFFF"/>
            <w:noWrap/>
            <w:vAlign w:val="bottom"/>
          </w:tcPr>
          <w:p w14:paraId="0A379DB2"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2.38</w:t>
            </w:r>
          </w:p>
        </w:tc>
        <w:tc>
          <w:tcPr>
            <w:tcW w:w="1521" w:type="dxa"/>
            <w:shd w:val="clear" w:color="auto" w:fill="FFFFFF"/>
            <w:vAlign w:val="bottom"/>
          </w:tcPr>
          <w:p w14:paraId="12A9622D"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5.15</w:t>
            </w:r>
          </w:p>
        </w:tc>
      </w:tr>
      <w:tr w:rsidR="005D6588" w:rsidRPr="00E3562B" w14:paraId="2B10C8DE" w14:textId="77777777" w:rsidTr="00294522">
        <w:trPr>
          <w:trHeight w:val="269"/>
        </w:trPr>
        <w:tc>
          <w:tcPr>
            <w:tcW w:w="1521" w:type="dxa"/>
            <w:tcBorders>
              <w:bottom w:val="single" w:sz="4" w:space="0" w:color="auto"/>
            </w:tcBorders>
            <w:noWrap/>
            <w:hideMark/>
          </w:tcPr>
          <w:p w14:paraId="25BF364F" w14:textId="77777777" w:rsidR="00A60DA1" w:rsidRPr="00E3562B" w:rsidRDefault="00A60DA1" w:rsidP="00294522">
            <w:pPr>
              <w:spacing w:line="276" w:lineRule="auto"/>
              <w:jc w:val="left"/>
              <w:rPr>
                <w:rFonts w:asciiTheme="majorBidi" w:hAnsiTheme="majorBidi" w:cstheme="majorBidi"/>
                <w:szCs w:val="22"/>
                <w:lang w:val="en-GB" w:eastAsia="en-GB"/>
              </w:rPr>
            </w:pPr>
            <w:r w:rsidRPr="00E3562B">
              <w:rPr>
                <w:rFonts w:asciiTheme="majorBidi" w:hAnsiTheme="majorBidi" w:cstheme="majorBidi"/>
                <w:szCs w:val="22"/>
                <w:lang w:val="en-GB"/>
              </w:rPr>
              <w:t>CSRCOM</w:t>
            </w:r>
          </w:p>
        </w:tc>
        <w:tc>
          <w:tcPr>
            <w:tcW w:w="1521" w:type="dxa"/>
            <w:tcBorders>
              <w:bottom w:val="single" w:sz="4" w:space="0" w:color="auto"/>
            </w:tcBorders>
            <w:noWrap/>
          </w:tcPr>
          <w:p w14:paraId="33934672"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0.881</w:t>
            </w:r>
          </w:p>
        </w:tc>
        <w:tc>
          <w:tcPr>
            <w:tcW w:w="1521" w:type="dxa"/>
            <w:tcBorders>
              <w:bottom w:val="single" w:sz="4" w:space="0" w:color="auto"/>
            </w:tcBorders>
            <w:noWrap/>
          </w:tcPr>
          <w:p w14:paraId="340263C6"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0.324</w:t>
            </w:r>
          </w:p>
        </w:tc>
        <w:tc>
          <w:tcPr>
            <w:tcW w:w="1521" w:type="dxa"/>
            <w:tcBorders>
              <w:bottom w:val="single" w:sz="4" w:space="0" w:color="auto"/>
            </w:tcBorders>
            <w:shd w:val="clear" w:color="auto" w:fill="FFFFFF"/>
            <w:noWrap/>
            <w:vAlign w:val="bottom"/>
          </w:tcPr>
          <w:p w14:paraId="5ABA6D08"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1.00</w:t>
            </w:r>
          </w:p>
        </w:tc>
        <w:tc>
          <w:tcPr>
            <w:tcW w:w="1521" w:type="dxa"/>
            <w:tcBorders>
              <w:bottom w:val="single" w:sz="4" w:space="0" w:color="auto"/>
            </w:tcBorders>
            <w:shd w:val="clear" w:color="auto" w:fill="FFFFFF"/>
            <w:noWrap/>
            <w:vAlign w:val="bottom"/>
          </w:tcPr>
          <w:p w14:paraId="3CF5BE66" w14:textId="77777777" w:rsidR="00A60DA1" w:rsidRPr="00E3562B" w:rsidRDefault="00A60DA1" w:rsidP="00294522">
            <w:pPr>
              <w:spacing w:line="276" w:lineRule="auto"/>
              <w:jc w:val="right"/>
              <w:rPr>
                <w:rFonts w:asciiTheme="majorBidi" w:hAnsiTheme="majorBidi" w:cstheme="majorBidi"/>
                <w:szCs w:val="22"/>
                <w:lang w:val="en-GB" w:eastAsia="en-GB"/>
              </w:rPr>
            </w:pPr>
            <w:r w:rsidRPr="00E3562B">
              <w:rPr>
                <w:rFonts w:asciiTheme="majorBidi" w:hAnsiTheme="majorBidi" w:cstheme="majorBidi"/>
                <w:szCs w:val="22"/>
                <w:lang w:val="en-GB"/>
              </w:rPr>
              <w:t>1.00</w:t>
            </w:r>
          </w:p>
        </w:tc>
        <w:tc>
          <w:tcPr>
            <w:tcW w:w="1521" w:type="dxa"/>
            <w:tcBorders>
              <w:bottom w:val="single" w:sz="4" w:space="0" w:color="auto"/>
            </w:tcBorders>
            <w:shd w:val="clear" w:color="auto" w:fill="FFFFFF"/>
            <w:vAlign w:val="bottom"/>
          </w:tcPr>
          <w:p w14:paraId="3A961783" w14:textId="77777777" w:rsidR="00A60DA1" w:rsidRPr="00E3562B" w:rsidRDefault="00A60DA1" w:rsidP="00294522">
            <w:pPr>
              <w:spacing w:line="276" w:lineRule="auto"/>
              <w:jc w:val="right"/>
              <w:rPr>
                <w:rFonts w:asciiTheme="majorBidi" w:hAnsiTheme="majorBidi" w:cstheme="majorBidi"/>
                <w:szCs w:val="22"/>
                <w:lang w:val="en-GB"/>
              </w:rPr>
            </w:pPr>
            <w:r w:rsidRPr="00E3562B">
              <w:rPr>
                <w:rFonts w:asciiTheme="majorBidi" w:hAnsiTheme="majorBidi" w:cstheme="majorBidi"/>
                <w:szCs w:val="22"/>
                <w:lang w:val="en-GB"/>
              </w:rPr>
              <w:t>1.00</w:t>
            </w:r>
          </w:p>
        </w:tc>
      </w:tr>
    </w:tbl>
    <w:p w14:paraId="3DF6C30B" w14:textId="77777777" w:rsidR="00A60DA1" w:rsidRPr="00E3562B" w:rsidRDefault="00A60DA1" w:rsidP="00A60DA1">
      <w:pPr>
        <w:spacing w:line="240" w:lineRule="auto"/>
        <w:rPr>
          <w:i/>
          <w:iCs/>
          <w:sz w:val="20"/>
          <w:lang w:val="en-GB"/>
        </w:rPr>
      </w:pPr>
      <w:r w:rsidRPr="00E3562B">
        <w:rPr>
          <w:i/>
          <w:iCs/>
          <w:sz w:val="20"/>
          <w:lang w:val="en-GB"/>
        </w:rPr>
        <w:t>Note: Detailed definitions of all variables are available in Table 2.</w:t>
      </w:r>
    </w:p>
    <w:p w14:paraId="3EA54108" w14:textId="77777777" w:rsidR="00A60DA1" w:rsidRPr="00E3562B" w:rsidRDefault="00A60DA1" w:rsidP="00A60DA1">
      <w:pPr>
        <w:spacing w:line="240" w:lineRule="auto"/>
        <w:rPr>
          <w:i/>
          <w:iCs/>
          <w:sz w:val="22"/>
          <w:szCs w:val="22"/>
          <w:lang w:val="en-GB"/>
        </w:rPr>
      </w:pPr>
    </w:p>
    <w:p w14:paraId="64BCA70C" w14:textId="77777777" w:rsidR="00A60DA1" w:rsidRPr="00E3562B" w:rsidRDefault="00A60DA1" w:rsidP="00A60DA1">
      <w:pPr>
        <w:spacing w:line="240" w:lineRule="auto"/>
        <w:jc w:val="left"/>
        <w:rPr>
          <w:i/>
          <w:iCs/>
          <w:sz w:val="22"/>
          <w:szCs w:val="22"/>
          <w:lang w:val="en-GB"/>
        </w:rPr>
      </w:pPr>
    </w:p>
    <w:p w14:paraId="34615AB7" w14:textId="77777777" w:rsidR="00A60DA1" w:rsidRPr="00E3562B" w:rsidRDefault="00A60DA1" w:rsidP="00A60DA1">
      <w:pPr>
        <w:spacing w:line="240" w:lineRule="auto"/>
        <w:jc w:val="left"/>
        <w:rPr>
          <w:i/>
          <w:iCs/>
          <w:sz w:val="22"/>
          <w:szCs w:val="22"/>
          <w:lang w:val="en-GB"/>
        </w:rPr>
      </w:pPr>
    </w:p>
    <w:p w14:paraId="15E1F2C7" w14:textId="77777777" w:rsidR="00A60DA1" w:rsidRPr="00E3562B" w:rsidRDefault="00A60DA1" w:rsidP="00A60DA1">
      <w:pPr>
        <w:spacing w:line="240" w:lineRule="auto"/>
        <w:jc w:val="left"/>
        <w:rPr>
          <w:i/>
          <w:iCs/>
          <w:sz w:val="22"/>
          <w:szCs w:val="22"/>
          <w:lang w:val="en-GB"/>
        </w:rPr>
        <w:sectPr w:rsidR="00A60DA1" w:rsidRPr="00E3562B" w:rsidSect="00625A08">
          <w:footerReference w:type="even" r:id="rId14"/>
          <w:footerReference w:type="default" r:id="rId15"/>
          <w:pgSz w:w="11901" w:h="16817"/>
          <w:pgMar w:top="1440" w:right="1418" w:bottom="1440" w:left="1418" w:header="709" w:footer="709" w:gutter="0"/>
          <w:cols w:space="720"/>
        </w:sectPr>
      </w:pPr>
      <w:r w:rsidRPr="00E3562B">
        <w:rPr>
          <w:i/>
          <w:iCs/>
          <w:sz w:val="22"/>
          <w:szCs w:val="22"/>
          <w:lang w:val="en-GB"/>
        </w:rPr>
        <w:t xml:space="preserve">     </w:t>
      </w:r>
    </w:p>
    <w:p w14:paraId="182B7D09" w14:textId="77777777" w:rsidR="00A60DA1" w:rsidRPr="00E3562B" w:rsidRDefault="00A60DA1" w:rsidP="00A60DA1">
      <w:pPr>
        <w:spacing w:line="240" w:lineRule="auto"/>
        <w:jc w:val="left"/>
        <w:rPr>
          <w:bCs/>
          <w:sz w:val="20"/>
          <w:lang w:val="en-GB"/>
        </w:rPr>
      </w:pPr>
      <w:r w:rsidRPr="00E3562B">
        <w:rPr>
          <w:b/>
          <w:lang w:val="en-GB"/>
        </w:rPr>
        <w:lastRenderedPageBreak/>
        <w:t>Table 5.</w:t>
      </w:r>
      <w:r w:rsidRPr="00E3562B">
        <w:rPr>
          <w:bCs/>
          <w:lang w:val="en-GB"/>
        </w:rPr>
        <w:t xml:space="preserve"> Pairwise correlations</w:t>
      </w:r>
    </w:p>
    <w:tbl>
      <w:tblPr>
        <w:tblW w:w="13892" w:type="dxa"/>
        <w:tblLayout w:type="fixed"/>
        <w:tblLook w:val="0000" w:firstRow="0" w:lastRow="0" w:firstColumn="0" w:lastColumn="0" w:noHBand="0" w:noVBand="0"/>
      </w:tblPr>
      <w:tblGrid>
        <w:gridCol w:w="2222"/>
        <w:gridCol w:w="823"/>
        <w:gridCol w:w="823"/>
        <w:gridCol w:w="823"/>
        <w:gridCol w:w="823"/>
        <w:gridCol w:w="823"/>
        <w:gridCol w:w="823"/>
        <w:gridCol w:w="823"/>
        <w:gridCol w:w="823"/>
        <w:gridCol w:w="823"/>
        <w:gridCol w:w="823"/>
        <w:gridCol w:w="823"/>
        <w:gridCol w:w="823"/>
        <w:gridCol w:w="823"/>
        <w:gridCol w:w="971"/>
      </w:tblGrid>
      <w:tr w:rsidR="005D6588" w:rsidRPr="00E3562B" w14:paraId="6065E0F8" w14:textId="77777777" w:rsidTr="00294522">
        <w:trPr>
          <w:trHeight w:val="250"/>
        </w:trPr>
        <w:tc>
          <w:tcPr>
            <w:tcW w:w="2222" w:type="dxa"/>
            <w:tcBorders>
              <w:top w:val="single" w:sz="4" w:space="0" w:color="auto"/>
              <w:left w:val="nil"/>
              <w:bottom w:val="single" w:sz="6" w:space="0" w:color="auto"/>
              <w:right w:val="nil"/>
            </w:tcBorders>
          </w:tcPr>
          <w:p w14:paraId="57687359"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Variables</w:t>
            </w:r>
          </w:p>
        </w:tc>
        <w:tc>
          <w:tcPr>
            <w:tcW w:w="823" w:type="dxa"/>
            <w:tcBorders>
              <w:top w:val="single" w:sz="4" w:space="0" w:color="auto"/>
              <w:left w:val="nil"/>
              <w:bottom w:val="single" w:sz="6" w:space="0" w:color="auto"/>
              <w:right w:val="nil"/>
            </w:tcBorders>
          </w:tcPr>
          <w:p w14:paraId="5D1DF63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w:t>
            </w:r>
          </w:p>
        </w:tc>
        <w:tc>
          <w:tcPr>
            <w:tcW w:w="823" w:type="dxa"/>
            <w:tcBorders>
              <w:top w:val="single" w:sz="4" w:space="0" w:color="auto"/>
              <w:left w:val="nil"/>
              <w:bottom w:val="single" w:sz="6" w:space="0" w:color="auto"/>
              <w:right w:val="nil"/>
            </w:tcBorders>
          </w:tcPr>
          <w:p w14:paraId="617AC656" w14:textId="77777777" w:rsidR="00A60DA1" w:rsidRPr="00E3562B" w:rsidRDefault="00A60DA1" w:rsidP="00294522">
            <w:pPr>
              <w:widowControl w:val="0"/>
              <w:autoSpaceDE w:val="0"/>
              <w:autoSpaceDN w:val="0"/>
              <w:adjustRightInd w:val="0"/>
              <w:spacing w:line="240" w:lineRule="auto"/>
              <w:jc w:val="center"/>
              <w:rPr>
                <w:sz w:val="20"/>
                <w:lang w:val="en-GB"/>
              </w:rPr>
            </w:pPr>
            <w:r w:rsidRPr="00E3562B">
              <w:rPr>
                <w:sz w:val="20"/>
                <w:lang w:val="en-GB"/>
              </w:rPr>
              <w:t>(2)</w:t>
            </w:r>
          </w:p>
        </w:tc>
        <w:tc>
          <w:tcPr>
            <w:tcW w:w="823" w:type="dxa"/>
            <w:tcBorders>
              <w:top w:val="single" w:sz="4" w:space="0" w:color="auto"/>
              <w:left w:val="nil"/>
              <w:bottom w:val="single" w:sz="6" w:space="0" w:color="auto"/>
              <w:right w:val="nil"/>
            </w:tcBorders>
          </w:tcPr>
          <w:p w14:paraId="3E17B9D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(3)</w:t>
            </w:r>
          </w:p>
        </w:tc>
        <w:tc>
          <w:tcPr>
            <w:tcW w:w="823" w:type="dxa"/>
            <w:tcBorders>
              <w:top w:val="single" w:sz="4" w:space="0" w:color="auto"/>
              <w:left w:val="nil"/>
              <w:bottom w:val="single" w:sz="6" w:space="0" w:color="auto"/>
              <w:right w:val="nil"/>
            </w:tcBorders>
          </w:tcPr>
          <w:p w14:paraId="2F415CD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(4)</w:t>
            </w:r>
          </w:p>
        </w:tc>
        <w:tc>
          <w:tcPr>
            <w:tcW w:w="823" w:type="dxa"/>
            <w:tcBorders>
              <w:top w:val="single" w:sz="4" w:space="0" w:color="auto"/>
              <w:left w:val="nil"/>
              <w:bottom w:val="single" w:sz="6" w:space="0" w:color="auto"/>
              <w:right w:val="nil"/>
            </w:tcBorders>
          </w:tcPr>
          <w:p w14:paraId="7992DDD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(5)</w:t>
            </w:r>
          </w:p>
        </w:tc>
        <w:tc>
          <w:tcPr>
            <w:tcW w:w="823" w:type="dxa"/>
            <w:tcBorders>
              <w:top w:val="single" w:sz="4" w:space="0" w:color="auto"/>
              <w:left w:val="nil"/>
              <w:bottom w:val="single" w:sz="6" w:space="0" w:color="auto"/>
              <w:right w:val="nil"/>
            </w:tcBorders>
          </w:tcPr>
          <w:p w14:paraId="1254B2F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(6)</w:t>
            </w:r>
          </w:p>
        </w:tc>
        <w:tc>
          <w:tcPr>
            <w:tcW w:w="823" w:type="dxa"/>
            <w:tcBorders>
              <w:top w:val="single" w:sz="4" w:space="0" w:color="auto"/>
              <w:left w:val="nil"/>
              <w:bottom w:val="single" w:sz="6" w:space="0" w:color="auto"/>
              <w:right w:val="nil"/>
            </w:tcBorders>
          </w:tcPr>
          <w:p w14:paraId="5662299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(7)</w:t>
            </w:r>
          </w:p>
        </w:tc>
        <w:tc>
          <w:tcPr>
            <w:tcW w:w="823" w:type="dxa"/>
            <w:tcBorders>
              <w:top w:val="single" w:sz="4" w:space="0" w:color="auto"/>
              <w:left w:val="nil"/>
              <w:bottom w:val="single" w:sz="6" w:space="0" w:color="auto"/>
              <w:right w:val="nil"/>
            </w:tcBorders>
          </w:tcPr>
          <w:p w14:paraId="0EE31FE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(8)</w:t>
            </w:r>
          </w:p>
        </w:tc>
        <w:tc>
          <w:tcPr>
            <w:tcW w:w="823" w:type="dxa"/>
            <w:tcBorders>
              <w:top w:val="single" w:sz="4" w:space="0" w:color="auto"/>
              <w:left w:val="nil"/>
              <w:bottom w:val="single" w:sz="6" w:space="0" w:color="auto"/>
              <w:right w:val="nil"/>
            </w:tcBorders>
          </w:tcPr>
          <w:p w14:paraId="3A4B159E"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(9)</w:t>
            </w:r>
          </w:p>
        </w:tc>
        <w:tc>
          <w:tcPr>
            <w:tcW w:w="823" w:type="dxa"/>
            <w:tcBorders>
              <w:top w:val="single" w:sz="4" w:space="0" w:color="auto"/>
              <w:left w:val="nil"/>
              <w:bottom w:val="single" w:sz="6" w:space="0" w:color="auto"/>
              <w:right w:val="nil"/>
            </w:tcBorders>
          </w:tcPr>
          <w:p w14:paraId="6D89132E"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w:t>
            </w:r>
          </w:p>
        </w:tc>
        <w:tc>
          <w:tcPr>
            <w:tcW w:w="823" w:type="dxa"/>
            <w:tcBorders>
              <w:top w:val="single" w:sz="4" w:space="0" w:color="auto"/>
              <w:left w:val="nil"/>
              <w:bottom w:val="single" w:sz="6" w:space="0" w:color="auto"/>
              <w:right w:val="nil"/>
            </w:tcBorders>
          </w:tcPr>
          <w:p w14:paraId="3EB1C22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(11)</w:t>
            </w:r>
          </w:p>
        </w:tc>
        <w:tc>
          <w:tcPr>
            <w:tcW w:w="823" w:type="dxa"/>
            <w:tcBorders>
              <w:top w:val="single" w:sz="4" w:space="0" w:color="auto"/>
              <w:left w:val="nil"/>
              <w:bottom w:val="single" w:sz="6" w:space="0" w:color="auto"/>
              <w:right w:val="nil"/>
            </w:tcBorders>
          </w:tcPr>
          <w:p w14:paraId="4472F29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(12)</w:t>
            </w:r>
          </w:p>
        </w:tc>
        <w:tc>
          <w:tcPr>
            <w:tcW w:w="823" w:type="dxa"/>
            <w:tcBorders>
              <w:top w:val="single" w:sz="4" w:space="0" w:color="auto"/>
              <w:left w:val="nil"/>
              <w:bottom w:val="single" w:sz="6" w:space="0" w:color="auto"/>
              <w:right w:val="nil"/>
            </w:tcBorders>
          </w:tcPr>
          <w:p w14:paraId="08D083B0"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(13)</w:t>
            </w:r>
          </w:p>
        </w:tc>
        <w:tc>
          <w:tcPr>
            <w:tcW w:w="971" w:type="dxa"/>
            <w:tcBorders>
              <w:top w:val="single" w:sz="4" w:space="0" w:color="auto"/>
              <w:left w:val="nil"/>
              <w:bottom w:val="single" w:sz="6" w:space="0" w:color="auto"/>
              <w:right w:val="nil"/>
            </w:tcBorders>
          </w:tcPr>
          <w:p w14:paraId="4258B6B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(14)</w:t>
            </w:r>
          </w:p>
        </w:tc>
      </w:tr>
      <w:tr w:rsidR="005D6588" w:rsidRPr="00E3562B" w14:paraId="3D200B87" w14:textId="77777777" w:rsidTr="00294522">
        <w:trPr>
          <w:trHeight w:val="239"/>
        </w:trPr>
        <w:tc>
          <w:tcPr>
            <w:tcW w:w="2222" w:type="dxa"/>
            <w:tcBorders>
              <w:top w:val="single" w:sz="6" w:space="0" w:color="auto"/>
              <w:left w:val="nil"/>
              <w:bottom w:val="nil"/>
              <w:right w:val="nil"/>
            </w:tcBorders>
          </w:tcPr>
          <w:p w14:paraId="3F74722B"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(1) MSDI</w:t>
            </w:r>
          </w:p>
        </w:tc>
        <w:tc>
          <w:tcPr>
            <w:tcW w:w="823" w:type="dxa"/>
            <w:tcBorders>
              <w:top w:val="nil"/>
              <w:left w:val="nil"/>
              <w:bottom w:val="nil"/>
              <w:right w:val="nil"/>
            </w:tcBorders>
          </w:tcPr>
          <w:p w14:paraId="714CC0E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Borders>
              <w:top w:val="nil"/>
              <w:left w:val="nil"/>
              <w:bottom w:val="nil"/>
              <w:right w:val="nil"/>
            </w:tcBorders>
          </w:tcPr>
          <w:p w14:paraId="28920DC1"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06266DD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0B51C5C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5B1E0F61"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B40E823"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4164FC4"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6FF163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53048B02"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055A0B1"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002A5C2"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09DB5E8"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5D58421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1DED8BFC"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4598F9E0" w14:textId="77777777" w:rsidTr="00294522">
        <w:trPr>
          <w:trHeight w:val="250"/>
        </w:trPr>
        <w:tc>
          <w:tcPr>
            <w:tcW w:w="2222" w:type="dxa"/>
            <w:tcBorders>
              <w:top w:val="nil"/>
              <w:left w:val="nil"/>
              <w:right w:val="nil"/>
            </w:tcBorders>
          </w:tcPr>
          <w:p w14:paraId="116710BD"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right w:val="nil"/>
            </w:tcBorders>
          </w:tcPr>
          <w:p w14:paraId="39F9DC35"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4181A3E9"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257A0680"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555822B5"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31385B29"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5A0E12D4"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68F52E2C"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20F9420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1567AE10"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458D5E46"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5B6681B0"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068A2A1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right w:val="nil"/>
            </w:tcBorders>
          </w:tcPr>
          <w:p w14:paraId="7D7E4098"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right w:val="nil"/>
            </w:tcBorders>
          </w:tcPr>
          <w:p w14:paraId="6F8111E9"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555ACE98" w14:textId="77777777" w:rsidTr="00294522">
        <w:trPr>
          <w:trHeight w:val="250"/>
        </w:trPr>
        <w:tc>
          <w:tcPr>
            <w:tcW w:w="2222" w:type="dxa"/>
          </w:tcPr>
          <w:p w14:paraId="18B6E550"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(2) CEOP</w:t>
            </w:r>
          </w:p>
        </w:tc>
        <w:tc>
          <w:tcPr>
            <w:tcW w:w="823" w:type="dxa"/>
          </w:tcPr>
          <w:p w14:paraId="3B87E6D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-0.219</w:t>
            </w:r>
          </w:p>
        </w:tc>
        <w:tc>
          <w:tcPr>
            <w:tcW w:w="823" w:type="dxa"/>
          </w:tcPr>
          <w:p w14:paraId="67B0539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Pr>
          <w:p w14:paraId="7284E276"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6EF0B1B0"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22DDB1A3"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2DF48811"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1914C374"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4C9AF35C"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6F76EF6E"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40CC3517"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751D7D02"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0751A4C6"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622AFAE6"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Pr>
          <w:p w14:paraId="25E82186"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18A6DBB4" w14:textId="77777777" w:rsidTr="00294522">
        <w:trPr>
          <w:trHeight w:val="250"/>
        </w:trPr>
        <w:tc>
          <w:tcPr>
            <w:tcW w:w="2222" w:type="dxa"/>
          </w:tcPr>
          <w:p w14:paraId="17B490E9"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Pr>
          <w:p w14:paraId="0527FF8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Pr>
          <w:p w14:paraId="6A81CEE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10EC5CDA"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56B2C93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23DF5C9E"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4AF0CDF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131B9D1C"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2566FD1C"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7B08EF03"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20C6501C"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72FC0C20"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4A6A0C2E"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Pr>
          <w:p w14:paraId="6162118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Pr>
          <w:p w14:paraId="0A48746B"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409A37AA" w14:textId="77777777" w:rsidTr="00294522">
        <w:trPr>
          <w:trHeight w:val="250"/>
        </w:trPr>
        <w:tc>
          <w:tcPr>
            <w:tcW w:w="2222" w:type="dxa"/>
            <w:tcBorders>
              <w:left w:val="nil"/>
              <w:bottom w:val="nil"/>
              <w:right w:val="nil"/>
            </w:tcBorders>
          </w:tcPr>
          <w:p w14:paraId="54475005"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(3) BGD</w:t>
            </w:r>
          </w:p>
        </w:tc>
        <w:tc>
          <w:tcPr>
            <w:tcW w:w="823" w:type="dxa"/>
            <w:tcBorders>
              <w:left w:val="nil"/>
              <w:bottom w:val="nil"/>
              <w:right w:val="nil"/>
            </w:tcBorders>
          </w:tcPr>
          <w:p w14:paraId="4ED5C28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0.213</w:t>
            </w:r>
          </w:p>
        </w:tc>
        <w:tc>
          <w:tcPr>
            <w:tcW w:w="823" w:type="dxa"/>
            <w:tcBorders>
              <w:left w:val="nil"/>
              <w:bottom w:val="nil"/>
              <w:right w:val="nil"/>
            </w:tcBorders>
          </w:tcPr>
          <w:p w14:paraId="7994B8C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-0.097</w:t>
            </w:r>
          </w:p>
        </w:tc>
        <w:tc>
          <w:tcPr>
            <w:tcW w:w="823" w:type="dxa"/>
            <w:tcBorders>
              <w:left w:val="nil"/>
              <w:bottom w:val="nil"/>
              <w:right w:val="nil"/>
            </w:tcBorders>
          </w:tcPr>
          <w:p w14:paraId="59811D7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Borders>
              <w:left w:val="nil"/>
              <w:bottom w:val="nil"/>
              <w:right w:val="nil"/>
            </w:tcBorders>
          </w:tcPr>
          <w:p w14:paraId="4954CF46"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left w:val="nil"/>
              <w:bottom w:val="nil"/>
              <w:right w:val="nil"/>
            </w:tcBorders>
          </w:tcPr>
          <w:p w14:paraId="55A0973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left w:val="nil"/>
              <w:bottom w:val="nil"/>
              <w:right w:val="nil"/>
            </w:tcBorders>
          </w:tcPr>
          <w:p w14:paraId="0CD6945E"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left w:val="nil"/>
              <w:bottom w:val="nil"/>
              <w:right w:val="nil"/>
            </w:tcBorders>
          </w:tcPr>
          <w:p w14:paraId="1F069D23"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left w:val="nil"/>
              <w:bottom w:val="nil"/>
              <w:right w:val="nil"/>
            </w:tcBorders>
          </w:tcPr>
          <w:p w14:paraId="5BC70A06"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left w:val="nil"/>
              <w:bottom w:val="nil"/>
              <w:right w:val="nil"/>
            </w:tcBorders>
          </w:tcPr>
          <w:p w14:paraId="7DD87ED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left w:val="nil"/>
              <w:bottom w:val="nil"/>
              <w:right w:val="nil"/>
            </w:tcBorders>
          </w:tcPr>
          <w:p w14:paraId="7587D9B2"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left w:val="nil"/>
              <w:bottom w:val="nil"/>
              <w:right w:val="nil"/>
            </w:tcBorders>
          </w:tcPr>
          <w:p w14:paraId="77B773C7"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left w:val="nil"/>
              <w:bottom w:val="nil"/>
              <w:right w:val="nil"/>
            </w:tcBorders>
          </w:tcPr>
          <w:p w14:paraId="53E18BB5"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left w:val="nil"/>
              <w:bottom w:val="nil"/>
              <w:right w:val="nil"/>
            </w:tcBorders>
          </w:tcPr>
          <w:p w14:paraId="0EB986A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left w:val="nil"/>
              <w:bottom w:val="nil"/>
              <w:right w:val="nil"/>
            </w:tcBorders>
          </w:tcPr>
          <w:p w14:paraId="7E709893"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3DD31A8F" w14:textId="77777777" w:rsidTr="00294522">
        <w:trPr>
          <w:trHeight w:val="250"/>
        </w:trPr>
        <w:tc>
          <w:tcPr>
            <w:tcW w:w="2222" w:type="dxa"/>
            <w:tcBorders>
              <w:top w:val="nil"/>
              <w:left w:val="nil"/>
              <w:bottom w:val="nil"/>
              <w:right w:val="nil"/>
            </w:tcBorders>
          </w:tcPr>
          <w:p w14:paraId="77563CC3"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nil"/>
              <w:right w:val="nil"/>
            </w:tcBorders>
          </w:tcPr>
          <w:p w14:paraId="4265F409"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5C4FC606"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(0.048)</w:t>
            </w:r>
          </w:p>
        </w:tc>
        <w:tc>
          <w:tcPr>
            <w:tcW w:w="823" w:type="dxa"/>
            <w:tcBorders>
              <w:top w:val="nil"/>
              <w:left w:val="nil"/>
              <w:bottom w:val="nil"/>
              <w:right w:val="nil"/>
            </w:tcBorders>
          </w:tcPr>
          <w:p w14:paraId="7B6CBC54"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581CECA"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FE6E0FE"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4752404C"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9797D26"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04C2F6F8"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46894B9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C26460A"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0359A11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08680D9"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309B7D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06DF4127"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2D9851AE" w14:textId="77777777" w:rsidTr="00294522">
        <w:trPr>
          <w:trHeight w:val="250"/>
        </w:trPr>
        <w:tc>
          <w:tcPr>
            <w:tcW w:w="2222" w:type="dxa"/>
            <w:tcBorders>
              <w:top w:val="nil"/>
              <w:left w:val="nil"/>
              <w:bottom w:val="nil"/>
              <w:right w:val="nil"/>
            </w:tcBorders>
          </w:tcPr>
          <w:p w14:paraId="66AEABED"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(4) FD1</w:t>
            </w:r>
          </w:p>
        </w:tc>
        <w:tc>
          <w:tcPr>
            <w:tcW w:w="823" w:type="dxa"/>
            <w:tcBorders>
              <w:top w:val="nil"/>
              <w:left w:val="nil"/>
              <w:bottom w:val="nil"/>
              <w:right w:val="nil"/>
            </w:tcBorders>
          </w:tcPr>
          <w:p w14:paraId="560683F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-0.084</w:t>
            </w:r>
          </w:p>
        </w:tc>
        <w:tc>
          <w:tcPr>
            <w:tcW w:w="823" w:type="dxa"/>
            <w:tcBorders>
              <w:top w:val="nil"/>
              <w:left w:val="nil"/>
              <w:bottom w:val="nil"/>
              <w:right w:val="nil"/>
            </w:tcBorders>
          </w:tcPr>
          <w:p w14:paraId="530208B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0.006</w:t>
            </w:r>
          </w:p>
        </w:tc>
        <w:tc>
          <w:tcPr>
            <w:tcW w:w="823" w:type="dxa"/>
            <w:tcBorders>
              <w:top w:val="nil"/>
              <w:left w:val="nil"/>
              <w:bottom w:val="nil"/>
              <w:right w:val="nil"/>
            </w:tcBorders>
          </w:tcPr>
          <w:p w14:paraId="1014B709"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-0.488</w:t>
            </w:r>
          </w:p>
        </w:tc>
        <w:tc>
          <w:tcPr>
            <w:tcW w:w="823" w:type="dxa"/>
            <w:tcBorders>
              <w:top w:val="nil"/>
              <w:left w:val="nil"/>
              <w:bottom w:val="nil"/>
              <w:right w:val="nil"/>
            </w:tcBorders>
          </w:tcPr>
          <w:p w14:paraId="05BE9F5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Borders>
              <w:top w:val="nil"/>
              <w:left w:val="nil"/>
              <w:bottom w:val="nil"/>
              <w:right w:val="nil"/>
            </w:tcBorders>
          </w:tcPr>
          <w:p w14:paraId="7CF3F351"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5CA7066"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246CA34"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0C7FBD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316385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67CEA8E"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13F07D9"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A1D0DD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7A99ED7"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713F89DA"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0FDC9047" w14:textId="77777777" w:rsidTr="00294522">
        <w:trPr>
          <w:trHeight w:val="250"/>
        </w:trPr>
        <w:tc>
          <w:tcPr>
            <w:tcW w:w="2222" w:type="dxa"/>
            <w:tcBorders>
              <w:top w:val="nil"/>
              <w:left w:val="nil"/>
              <w:bottom w:val="nil"/>
              <w:right w:val="nil"/>
            </w:tcBorders>
          </w:tcPr>
          <w:p w14:paraId="47823FD3"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nil"/>
              <w:right w:val="nil"/>
            </w:tcBorders>
          </w:tcPr>
          <w:p w14:paraId="6AD763A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(0.115)</w:t>
            </w:r>
          </w:p>
        </w:tc>
        <w:tc>
          <w:tcPr>
            <w:tcW w:w="823" w:type="dxa"/>
            <w:tcBorders>
              <w:top w:val="nil"/>
              <w:left w:val="nil"/>
              <w:bottom w:val="nil"/>
              <w:right w:val="nil"/>
            </w:tcBorders>
          </w:tcPr>
          <w:p w14:paraId="64171459"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(0.910)</w:t>
            </w:r>
          </w:p>
        </w:tc>
        <w:tc>
          <w:tcPr>
            <w:tcW w:w="823" w:type="dxa"/>
            <w:tcBorders>
              <w:top w:val="nil"/>
              <w:left w:val="nil"/>
              <w:bottom w:val="nil"/>
              <w:right w:val="nil"/>
            </w:tcBorders>
          </w:tcPr>
          <w:p w14:paraId="64747EF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64377B08"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F77CFA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266FDA8"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41DFFC1"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DE97458"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402116B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5071D7B4"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A6CF114"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00695A32"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4B5E00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3060E276"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2227733A" w14:textId="77777777" w:rsidTr="00294522">
        <w:trPr>
          <w:trHeight w:val="250"/>
        </w:trPr>
        <w:tc>
          <w:tcPr>
            <w:tcW w:w="2222" w:type="dxa"/>
            <w:tcBorders>
              <w:top w:val="nil"/>
              <w:left w:val="nil"/>
              <w:bottom w:val="nil"/>
              <w:right w:val="nil"/>
            </w:tcBorders>
          </w:tcPr>
          <w:p w14:paraId="1B97AB3E"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(5) FD2</w:t>
            </w:r>
          </w:p>
        </w:tc>
        <w:tc>
          <w:tcPr>
            <w:tcW w:w="823" w:type="dxa"/>
            <w:tcBorders>
              <w:top w:val="nil"/>
              <w:left w:val="nil"/>
              <w:bottom w:val="nil"/>
              <w:right w:val="nil"/>
            </w:tcBorders>
          </w:tcPr>
          <w:p w14:paraId="24912CE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-0.163</w:t>
            </w:r>
          </w:p>
        </w:tc>
        <w:tc>
          <w:tcPr>
            <w:tcW w:w="823" w:type="dxa"/>
            <w:tcBorders>
              <w:top w:val="nil"/>
              <w:left w:val="nil"/>
              <w:bottom w:val="nil"/>
              <w:right w:val="nil"/>
            </w:tcBorders>
          </w:tcPr>
          <w:p w14:paraId="7073BF4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0.200</w:t>
            </w:r>
          </w:p>
        </w:tc>
        <w:tc>
          <w:tcPr>
            <w:tcW w:w="823" w:type="dxa"/>
            <w:tcBorders>
              <w:top w:val="nil"/>
              <w:left w:val="nil"/>
              <w:bottom w:val="nil"/>
              <w:right w:val="nil"/>
            </w:tcBorders>
          </w:tcPr>
          <w:p w14:paraId="237D02B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-0.214</w:t>
            </w:r>
          </w:p>
        </w:tc>
        <w:tc>
          <w:tcPr>
            <w:tcW w:w="823" w:type="dxa"/>
            <w:tcBorders>
              <w:top w:val="nil"/>
              <w:left w:val="nil"/>
              <w:bottom w:val="nil"/>
              <w:right w:val="nil"/>
            </w:tcBorders>
          </w:tcPr>
          <w:p w14:paraId="0DDD37A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-0.262</w:t>
            </w:r>
          </w:p>
        </w:tc>
        <w:tc>
          <w:tcPr>
            <w:tcW w:w="823" w:type="dxa"/>
            <w:tcBorders>
              <w:top w:val="nil"/>
              <w:left w:val="nil"/>
              <w:bottom w:val="nil"/>
              <w:right w:val="nil"/>
            </w:tcBorders>
          </w:tcPr>
          <w:p w14:paraId="7AAD35C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Borders>
              <w:top w:val="nil"/>
              <w:left w:val="nil"/>
              <w:bottom w:val="nil"/>
              <w:right w:val="nil"/>
            </w:tcBorders>
          </w:tcPr>
          <w:p w14:paraId="61F5A00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70A4E45"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51697958"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5660FB5C"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197E2D1"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AE5696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E0A8450"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482EBB9"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4D99D905"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173DDF3A" w14:textId="77777777" w:rsidTr="00294522">
        <w:trPr>
          <w:trHeight w:val="250"/>
        </w:trPr>
        <w:tc>
          <w:tcPr>
            <w:tcW w:w="2222" w:type="dxa"/>
            <w:tcBorders>
              <w:top w:val="nil"/>
              <w:left w:val="nil"/>
              <w:bottom w:val="nil"/>
              <w:right w:val="nil"/>
            </w:tcBorders>
          </w:tcPr>
          <w:p w14:paraId="5E7C4CD0"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nil"/>
              <w:right w:val="nil"/>
            </w:tcBorders>
          </w:tcPr>
          <w:p w14:paraId="619BB21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(0.051)</w:t>
            </w:r>
          </w:p>
        </w:tc>
        <w:tc>
          <w:tcPr>
            <w:tcW w:w="823" w:type="dxa"/>
            <w:tcBorders>
              <w:top w:val="nil"/>
              <w:left w:val="nil"/>
              <w:bottom w:val="nil"/>
              <w:right w:val="nil"/>
            </w:tcBorders>
          </w:tcPr>
          <w:p w14:paraId="2D0CC140"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5D5E8F5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0FAEB7D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3CCF2013"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10E4D7E"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4CBFDDB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7AAD5B4"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FD55B1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7156A22"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B958B45"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30CA5A3"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473B5AAC"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4B124715"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01A97D4F" w14:textId="77777777" w:rsidTr="00294522">
        <w:trPr>
          <w:trHeight w:val="250"/>
        </w:trPr>
        <w:tc>
          <w:tcPr>
            <w:tcW w:w="2222" w:type="dxa"/>
            <w:tcBorders>
              <w:top w:val="nil"/>
              <w:left w:val="nil"/>
              <w:bottom w:val="nil"/>
              <w:right w:val="nil"/>
            </w:tcBorders>
          </w:tcPr>
          <w:p w14:paraId="3BA96B71"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(6) FD3</w:t>
            </w:r>
          </w:p>
        </w:tc>
        <w:tc>
          <w:tcPr>
            <w:tcW w:w="823" w:type="dxa"/>
            <w:tcBorders>
              <w:top w:val="nil"/>
              <w:left w:val="nil"/>
              <w:bottom w:val="nil"/>
              <w:right w:val="nil"/>
            </w:tcBorders>
          </w:tcPr>
          <w:p w14:paraId="6D8BB0CE"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-0.024</w:t>
            </w:r>
          </w:p>
        </w:tc>
        <w:tc>
          <w:tcPr>
            <w:tcW w:w="823" w:type="dxa"/>
            <w:tcBorders>
              <w:top w:val="nil"/>
              <w:left w:val="nil"/>
              <w:bottom w:val="nil"/>
              <w:right w:val="nil"/>
            </w:tcBorders>
          </w:tcPr>
          <w:p w14:paraId="230AB81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-0.013</w:t>
            </w:r>
          </w:p>
        </w:tc>
        <w:tc>
          <w:tcPr>
            <w:tcW w:w="823" w:type="dxa"/>
            <w:tcBorders>
              <w:top w:val="nil"/>
              <w:left w:val="nil"/>
              <w:bottom w:val="nil"/>
              <w:right w:val="nil"/>
            </w:tcBorders>
          </w:tcPr>
          <w:p w14:paraId="6D45EBF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0.209</w:t>
            </w:r>
          </w:p>
        </w:tc>
        <w:tc>
          <w:tcPr>
            <w:tcW w:w="823" w:type="dxa"/>
            <w:tcBorders>
              <w:top w:val="nil"/>
              <w:left w:val="nil"/>
              <w:bottom w:val="nil"/>
              <w:right w:val="nil"/>
            </w:tcBorders>
          </w:tcPr>
          <w:p w14:paraId="2E79CB0E"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-0.264</w:t>
            </w:r>
          </w:p>
        </w:tc>
        <w:tc>
          <w:tcPr>
            <w:tcW w:w="823" w:type="dxa"/>
            <w:tcBorders>
              <w:top w:val="nil"/>
              <w:left w:val="nil"/>
              <w:bottom w:val="nil"/>
              <w:right w:val="nil"/>
            </w:tcBorders>
          </w:tcPr>
          <w:p w14:paraId="116FA2A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-0.405</w:t>
            </w:r>
          </w:p>
        </w:tc>
        <w:tc>
          <w:tcPr>
            <w:tcW w:w="823" w:type="dxa"/>
            <w:tcBorders>
              <w:top w:val="nil"/>
              <w:left w:val="nil"/>
              <w:bottom w:val="nil"/>
              <w:right w:val="nil"/>
            </w:tcBorders>
          </w:tcPr>
          <w:p w14:paraId="02BF3D2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Borders>
              <w:top w:val="nil"/>
              <w:left w:val="nil"/>
              <w:bottom w:val="nil"/>
              <w:right w:val="nil"/>
            </w:tcBorders>
          </w:tcPr>
          <w:p w14:paraId="7D99D742"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1E3F3D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10F63FC"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67BC0AA"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049B3F5C"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52DA5AC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DDA5506"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5BFC85E5"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1E06E1B8" w14:textId="77777777" w:rsidTr="00294522">
        <w:trPr>
          <w:trHeight w:val="250"/>
        </w:trPr>
        <w:tc>
          <w:tcPr>
            <w:tcW w:w="2222" w:type="dxa"/>
            <w:tcBorders>
              <w:top w:val="nil"/>
              <w:left w:val="nil"/>
              <w:bottom w:val="nil"/>
              <w:right w:val="nil"/>
            </w:tcBorders>
          </w:tcPr>
          <w:p w14:paraId="5E38EE61"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nil"/>
              <w:right w:val="nil"/>
            </w:tcBorders>
          </w:tcPr>
          <w:p w14:paraId="491DDF4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(0.618)</w:t>
            </w:r>
          </w:p>
        </w:tc>
        <w:tc>
          <w:tcPr>
            <w:tcW w:w="823" w:type="dxa"/>
            <w:tcBorders>
              <w:top w:val="nil"/>
              <w:left w:val="nil"/>
              <w:bottom w:val="nil"/>
              <w:right w:val="nil"/>
            </w:tcBorders>
          </w:tcPr>
          <w:p w14:paraId="1A0C46A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(0.785)</w:t>
            </w:r>
          </w:p>
        </w:tc>
        <w:tc>
          <w:tcPr>
            <w:tcW w:w="823" w:type="dxa"/>
            <w:tcBorders>
              <w:top w:val="nil"/>
              <w:left w:val="nil"/>
              <w:bottom w:val="nil"/>
              <w:right w:val="nil"/>
            </w:tcBorders>
          </w:tcPr>
          <w:p w14:paraId="63FFE2B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6AA9631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7F4B56A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08490537"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459C4DA"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2E1D00A"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BF6D864"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7D8361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CA0E2CE"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329E4B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938C95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02915F6F"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5277CBC2" w14:textId="77777777" w:rsidTr="00294522">
        <w:trPr>
          <w:trHeight w:val="250"/>
        </w:trPr>
        <w:tc>
          <w:tcPr>
            <w:tcW w:w="2222" w:type="dxa"/>
            <w:tcBorders>
              <w:top w:val="nil"/>
              <w:left w:val="nil"/>
              <w:bottom w:val="nil"/>
              <w:right w:val="nil"/>
            </w:tcBorders>
          </w:tcPr>
          <w:p w14:paraId="090E12C3"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(7) FD4</w:t>
            </w:r>
          </w:p>
        </w:tc>
        <w:tc>
          <w:tcPr>
            <w:tcW w:w="823" w:type="dxa"/>
            <w:tcBorders>
              <w:top w:val="nil"/>
              <w:left w:val="nil"/>
              <w:bottom w:val="nil"/>
              <w:right w:val="nil"/>
            </w:tcBorders>
          </w:tcPr>
          <w:p w14:paraId="7BF26ED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0.180</w:t>
            </w:r>
          </w:p>
        </w:tc>
        <w:tc>
          <w:tcPr>
            <w:tcW w:w="823" w:type="dxa"/>
            <w:tcBorders>
              <w:top w:val="nil"/>
              <w:left w:val="nil"/>
              <w:bottom w:val="nil"/>
              <w:right w:val="nil"/>
            </w:tcBorders>
          </w:tcPr>
          <w:p w14:paraId="1E92600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-0.159</w:t>
            </w:r>
          </w:p>
        </w:tc>
        <w:tc>
          <w:tcPr>
            <w:tcW w:w="823" w:type="dxa"/>
            <w:tcBorders>
              <w:top w:val="nil"/>
              <w:left w:val="nil"/>
              <w:bottom w:val="nil"/>
              <w:right w:val="nil"/>
            </w:tcBorders>
          </w:tcPr>
          <w:p w14:paraId="707AE28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0.645</w:t>
            </w:r>
          </w:p>
        </w:tc>
        <w:tc>
          <w:tcPr>
            <w:tcW w:w="823" w:type="dxa"/>
            <w:tcBorders>
              <w:top w:val="nil"/>
              <w:left w:val="nil"/>
              <w:bottom w:val="nil"/>
              <w:right w:val="nil"/>
            </w:tcBorders>
          </w:tcPr>
          <w:p w14:paraId="35523EA6"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-0.228</w:t>
            </w:r>
          </w:p>
        </w:tc>
        <w:tc>
          <w:tcPr>
            <w:tcW w:w="823" w:type="dxa"/>
            <w:tcBorders>
              <w:top w:val="nil"/>
              <w:left w:val="nil"/>
              <w:bottom w:val="nil"/>
              <w:right w:val="nil"/>
            </w:tcBorders>
          </w:tcPr>
          <w:p w14:paraId="2F3A30D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-0.349</w:t>
            </w:r>
          </w:p>
        </w:tc>
        <w:tc>
          <w:tcPr>
            <w:tcW w:w="823" w:type="dxa"/>
            <w:tcBorders>
              <w:top w:val="nil"/>
              <w:left w:val="nil"/>
              <w:bottom w:val="nil"/>
              <w:right w:val="nil"/>
            </w:tcBorders>
          </w:tcPr>
          <w:p w14:paraId="6671377E"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-0.382</w:t>
            </w:r>
          </w:p>
        </w:tc>
        <w:tc>
          <w:tcPr>
            <w:tcW w:w="823" w:type="dxa"/>
            <w:tcBorders>
              <w:top w:val="nil"/>
              <w:left w:val="nil"/>
              <w:bottom w:val="nil"/>
              <w:right w:val="nil"/>
            </w:tcBorders>
          </w:tcPr>
          <w:p w14:paraId="206AD93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Borders>
              <w:top w:val="nil"/>
              <w:left w:val="nil"/>
              <w:bottom w:val="nil"/>
              <w:right w:val="nil"/>
            </w:tcBorders>
          </w:tcPr>
          <w:p w14:paraId="3E1C7AF5"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5A5F0A1"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A0D3259"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57513C59"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2850F20"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5A234F0"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5AD5ADC2"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7DDA26B4" w14:textId="77777777" w:rsidTr="00294522">
        <w:trPr>
          <w:trHeight w:val="250"/>
        </w:trPr>
        <w:tc>
          <w:tcPr>
            <w:tcW w:w="2222" w:type="dxa"/>
            <w:tcBorders>
              <w:top w:val="nil"/>
              <w:left w:val="nil"/>
              <w:bottom w:val="nil"/>
              <w:right w:val="nil"/>
            </w:tcBorders>
          </w:tcPr>
          <w:p w14:paraId="58D0BAF9"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nil"/>
              <w:right w:val="nil"/>
            </w:tcBorders>
          </w:tcPr>
          <w:p w14:paraId="5AA1D91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0E114FA0"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(0.001)</w:t>
            </w:r>
          </w:p>
        </w:tc>
        <w:tc>
          <w:tcPr>
            <w:tcW w:w="823" w:type="dxa"/>
            <w:tcBorders>
              <w:top w:val="nil"/>
              <w:left w:val="nil"/>
              <w:bottom w:val="nil"/>
              <w:right w:val="nil"/>
            </w:tcBorders>
          </w:tcPr>
          <w:p w14:paraId="4928568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2B8D96F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71E4AA70"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6C6B736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71386720"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BD935EE"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6F6B650"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1BD0682"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BAF9558"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A01555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4034CF7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4508CE2B"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0A86A795" w14:textId="77777777" w:rsidTr="00294522">
        <w:trPr>
          <w:trHeight w:val="250"/>
        </w:trPr>
        <w:tc>
          <w:tcPr>
            <w:tcW w:w="2222" w:type="dxa"/>
            <w:tcBorders>
              <w:top w:val="nil"/>
              <w:left w:val="nil"/>
              <w:bottom w:val="nil"/>
              <w:right w:val="nil"/>
            </w:tcBorders>
          </w:tcPr>
          <w:p w14:paraId="350BB47D"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(8) FSIZE</w:t>
            </w:r>
          </w:p>
        </w:tc>
        <w:tc>
          <w:tcPr>
            <w:tcW w:w="823" w:type="dxa"/>
            <w:tcBorders>
              <w:top w:val="nil"/>
              <w:left w:val="nil"/>
              <w:bottom w:val="nil"/>
              <w:right w:val="nil"/>
            </w:tcBorders>
          </w:tcPr>
          <w:p w14:paraId="1D17E4D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0.177</w:t>
            </w:r>
          </w:p>
        </w:tc>
        <w:tc>
          <w:tcPr>
            <w:tcW w:w="823" w:type="dxa"/>
            <w:tcBorders>
              <w:top w:val="nil"/>
              <w:left w:val="nil"/>
              <w:bottom w:val="nil"/>
              <w:right w:val="nil"/>
            </w:tcBorders>
          </w:tcPr>
          <w:p w14:paraId="38B40119"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-0.295</w:t>
            </w:r>
          </w:p>
        </w:tc>
        <w:tc>
          <w:tcPr>
            <w:tcW w:w="823" w:type="dxa"/>
            <w:tcBorders>
              <w:top w:val="nil"/>
              <w:left w:val="nil"/>
              <w:bottom w:val="nil"/>
              <w:right w:val="nil"/>
            </w:tcBorders>
          </w:tcPr>
          <w:p w14:paraId="6C9AFDD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0.159</w:t>
            </w:r>
          </w:p>
        </w:tc>
        <w:tc>
          <w:tcPr>
            <w:tcW w:w="823" w:type="dxa"/>
            <w:tcBorders>
              <w:top w:val="nil"/>
              <w:left w:val="nil"/>
              <w:bottom w:val="nil"/>
              <w:right w:val="nil"/>
            </w:tcBorders>
          </w:tcPr>
          <w:p w14:paraId="1109E2B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-0.218</w:t>
            </w:r>
          </w:p>
        </w:tc>
        <w:tc>
          <w:tcPr>
            <w:tcW w:w="823" w:type="dxa"/>
            <w:tcBorders>
              <w:top w:val="nil"/>
              <w:left w:val="nil"/>
              <w:bottom w:val="nil"/>
              <w:right w:val="nil"/>
            </w:tcBorders>
          </w:tcPr>
          <w:p w14:paraId="434AB79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-0.087</w:t>
            </w:r>
          </w:p>
        </w:tc>
        <w:tc>
          <w:tcPr>
            <w:tcW w:w="823" w:type="dxa"/>
            <w:tcBorders>
              <w:top w:val="nil"/>
              <w:left w:val="nil"/>
              <w:bottom w:val="nil"/>
              <w:right w:val="nil"/>
            </w:tcBorders>
          </w:tcPr>
          <w:p w14:paraId="24719EB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0.148</w:t>
            </w:r>
          </w:p>
        </w:tc>
        <w:tc>
          <w:tcPr>
            <w:tcW w:w="823" w:type="dxa"/>
            <w:tcBorders>
              <w:top w:val="nil"/>
              <w:left w:val="nil"/>
              <w:bottom w:val="nil"/>
              <w:right w:val="nil"/>
            </w:tcBorders>
          </w:tcPr>
          <w:p w14:paraId="35E2357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0.163</w:t>
            </w:r>
          </w:p>
        </w:tc>
        <w:tc>
          <w:tcPr>
            <w:tcW w:w="823" w:type="dxa"/>
            <w:tcBorders>
              <w:top w:val="nil"/>
              <w:left w:val="nil"/>
              <w:bottom w:val="nil"/>
              <w:right w:val="nil"/>
            </w:tcBorders>
          </w:tcPr>
          <w:p w14:paraId="422AA49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Borders>
              <w:top w:val="nil"/>
              <w:left w:val="nil"/>
              <w:bottom w:val="nil"/>
              <w:right w:val="nil"/>
            </w:tcBorders>
          </w:tcPr>
          <w:p w14:paraId="78F85CA9"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B07C79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481B491"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EF8F31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4F93BAF0"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71775862"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295C799A" w14:textId="77777777" w:rsidTr="00294522">
        <w:trPr>
          <w:trHeight w:val="250"/>
        </w:trPr>
        <w:tc>
          <w:tcPr>
            <w:tcW w:w="2222" w:type="dxa"/>
            <w:tcBorders>
              <w:top w:val="nil"/>
              <w:left w:val="nil"/>
              <w:bottom w:val="nil"/>
              <w:right w:val="nil"/>
            </w:tcBorders>
          </w:tcPr>
          <w:p w14:paraId="6AD7BBE5"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nil"/>
              <w:right w:val="nil"/>
            </w:tcBorders>
          </w:tcPr>
          <w:p w14:paraId="715025F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2ACC822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02AA699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5EA181A6"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74F7953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(0.008)</w:t>
            </w:r>
          </w:p>
        </w:tc>
        <w:tc>
          <w:tcPr>
            <w:tcW w:w="823" w:type="dxa"/>
            <w:tcBorders>
              <w:top w:val="nil"/>
              <w:left w:val="nil"/>
              <w:bottom w:val="nil"/>
              <w:right w:val="nil"/>
            </w:tcBorders>
          </w:tcPr>
          <w:p w14:paraId="5923927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44B7412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454ACE5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1DB4F73"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583D92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E2F6A7E"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C1520C5"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196D37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423C963D"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1A32D0D3" w14:textId="77777777" w:rsidTr="00294522">
        <w:trPr>
          <w:trHeight w:val="250"/>
        </w:trPr>
        <w:tc>
          <w:tcPr>
            <w:tcW w:w="2222" w:type="dxa"/>
            <w:tcBorders>
              <w:top w:val="nil"/>
              <w:left w:val="nil"/>
              <w:bottom w:val="nil"/>
              <w:right w:val="nil"/>
            </w:tcBorders>
          </w:tcPr>
          <w:p w14:paraId="5BB1E1CF"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(9) ROA</w:t>
            </w:r>
          </w:p>
        </w:tc>
        <w:tc>
          <w:tcPr>
            <w:tcW w:w="823" w:type="dxa"/>
            <w:tcBorders>
              <w:top w:val="nil"/>
              <w:left w:val="nil"/>
              <w:bottom w:val="nil"/>
              <w:right w:val="nil"/>
            </w:tcBorders>
          </w:tcPr>
          <w:p w14:paraId="5230AC5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-0.104</w:t>
            </w:r>
          </w:p>
        </w:tc>
        <w:tc>
          <w:tcPr>
            <w:tcW w:w="823" w:type="dxa"/>
            <w:tcBorders>
              <w:top w:val="nil"/>
              <w:left w:val="nil"/>
              <w:bottom w:val="nil"/>
              <w:right w:val="nil"/>
            </w:tcBorders>
          </w:tcPr>
          <w:p w14:paraId="3051A11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0.143</w:t>
            </w:r>
          </w:p>
        </w:tc>
        <w:tc>
          <w:tcPr>
            <w:tcW w:w="823" w:type="dxa"/>
            <w:tcBorders>
              <w:top w:val="nil"/>
              <w:left w:val="nil"/>
              <w:bottom w:val="nil"/>
              <w:right w:val="nil"/>
            </w:tcBorders>
          </w:tcPr>
          <w:p w14:paraId="469E9EE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0.041</w:t>
            </w:r>
          </w:p>
        </w:tc>
        <w:tc>
          <w:tcPr>
            <w:tcW w:w="823" w:type="dxa"/>
            <w:tcBorders>
              <w:top w:val="nil"/>
              <w:left w:val="nil"/>
              <w:bottom w:val="nil"/>
              <w:right w:val="nil"/>
            </w:tcBorders>
          </w:tcPr>
          <w:p w14:paraId="4E4263F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0.092</w:t>
            </w:r>
          </w:p>
        </w:tc>
        <w:tc>
          <w:tcPr>
            <w:tcW w:w="823" w:type="dxa"/>
            <w:tcBorders>
              <w:top w:val="nil"/>
              <w:left w:val="nil"/>
              <w:bottom w:val="nil"/>
              <w:right w:val="nil"/>
            </w:tcBorders>
          </w:tcPr>
          <w:p w14:paraId="64031F4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-0.016</w:t>
            </w:r>
          </w:p>
        </w:tc>
        <w:tc>
          <w:tcPr>
            <w:tcW w:w="823" w:type="dxa"/>
            <w:tcBorders>
              <w:top w:val="nil"/>
              <w:left w:val="nil"/>
              <w:bottom w:val="nil"/>
              <w:right w:val="nil"/>
            </w:tcBorders>
          </w:tcPr>
          <w:p w14:paraId="66D4BBD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-0.062</w:t>
            </w:r>
          </w:p>
        </w:tc>
        <w:tc>
          <w:tcPr>
            <w:tcW w:w="823" w:type="dxa"/>
            <w:tcBorders>
              <w:top w:val="nil"/>
              <w:left w:val="nil"/>
              <w:bottom w:val="nil"/>
              <w:right w:val="nil"/>
            </w:tcBorders>
          </w:tcPr>
          <w:p w14:paraId="0A3806E6"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-0.025</w:t>
            </w:r>
          </w:p>
        </w:tc>
        <w:tc>
          <w:tcPr>
            <w:tcW w:w="823" w:type="dxa"/>
            <w:tcBorders>
              <w:top w:val="nil"/>
              <w:left w:val="nil"/>
              <w:bottom w:val="nil"/>
              <w:right w:val="nil"/>
            </w:tcBorders>
          </w:tcPr>
          <w:p w14:paraId="226D517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-0.506</w:t>
            </w:r>
          </w:p>
        </w:tc>
        <w:tc>
          <w:tcPr>
            <w:tcW w:w="823" w:type="dxa"/>
            <w:tcBorders>
              <w:top w:val="nil"/>
              <w:left w:val="nil"/>
              <w:bottom w:val="nil"/>
              <w:right w:val="nil"/>
            </w:tcBorders>
          </w:tcPr>
          <w:p w14:paraId="56DB06A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Borders>
              <w:top w:val="nil"/>
              <w:left w:val="nil"/>
              <w:bottom w:val="nil"/>
              <w:right w:val="nil"/>
            </w:tcBorders>
          </w:tcPr>
          <w:p w14:paraId="2B9A9533"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45A9446"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01F73DF7"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0510DBD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72CF6A6D"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6E81AF49" w14:textId="77777777" w:rsidTr="00294522">
        <w:trPr>
          <w:trHeight w:val="250"/>
        </w:trPr>
        <w:tc>
          <w:tcPr>
            <w:tcW w:w="2222" w:type="dxa"/>
            <w:tcBorders>
              <w:top w:val="nil"/>
              <w:left w:val="nil"/>
              <w:bottom w:val="nil"/>
              <w:right w:val="nil"/>
            </w:tcBorders>
          </w:tcPr>
          <w:p w14:paraId="2A81F550"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nil"/>
              <w:right w:val="nil"/>
            </w:tcBorders>
          </w:tcPr>
          <w:p w14:paraId="56ACBC8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(0.036)</w:t>
            </w:r>
          </w:p>
        </w:tc>
        <w:tc>
          <w:tcPr>
            <w:tcW w:w="823" w:type="dxa"/>
            <w:tcBorders>
              <w:top w:val="nil"/>
              <w:left w:val="nil"/>
              <w:bottom w:val="nil"/>
              <w:right w:val="nil"/>
            </w:tcBorders>
          </w:tcPr>
          <w:p w14:paraId="3BCA59C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(0.004)</w:t>
            </w:r>
          </w:p>
        </w:tc>
        <w:tc>
          <w:tcPr>
            <w:tcW w:w="823" w:type="dxa"/>
            <w:tcBorders>
              <w:top w:val="nil"/>
              <w:left w:val="nil"/>
              <w:bottom w:val="nil"/>
              <w:right w:val="nil"/>
            </w:tcBorders>
          </w:tcPr>
          <w:p w14:paraId="5CE3A22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(0.225)</w:t>
            </w:r>
          </w:p>
        </w:tc>
        <w:tc>
          <w:tcPr>
            <w:tcW w:w="823" w:type="dxa"/>
            <w:tcBorders>
              <w:top w:val="nil"/>
              <w:left w:val="nil"/>
              <w:bottom w:val="nil"/>
              <w:right w:val="nil"/>
            </w:tcBorders>
          </w:tcPr>
          <w:p w14:paraId="23D0911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(0.006)</w:t>
            </w:r>
          </w:p>
        </w:tc>
        <w:tc>
          <w:tcPr>
            <w:tcW w:w="823" w:type="dxa"/>
            <w:tcBorders>
              <w:top w:val="nil"/>
              <w:left w:val="nil"/>
              <w:bottom w:val="nil"/>
              <w:right w:val="nil"/>
            </w:tcBorders>
          </w:tcPr>
          <w:p w14:paraId="135B719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(0.639)</w:t>
            </w:r>
          </w:p>
        </w:tc>
        <w:tc>
          <w:tcPr>
            <w:tcW w:w="823" w:type="dxa"/>
            <w:tcBorders>
              <w:top w:val="nil"/>
              <w:left w:val="nil"/>
              <w:bottom w:val="nil"/>
              <w:right w:val="nil"/>
            </w:tcBorders>
          </w:tcPr>
          <w:p w14:paraId="3622150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(0.060)</w:t>
            </w:r>
          </w:p>
        </w:tc>
        <w:tc>
          <w:tcPr>
            <w:tcW w:w="823" w:type="dxa"/>
            <w:tcBorders>
              <w:top w:val="nil"/>
              <w:left w:val="nil"/>
              <w:bottom w:val="nil"/>
              <w:right w:val="nil"/>
            </w:tcBorders>
          </w:tcPr>
          <w:p w14:paraId="548CD56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(0.443)</w:t>
            </w:r>
          </w:p>
        </w:tc>
        <w:tc>
          <w:tcPr>
            <w:tcW w:w="823" w:type="dxa"/>
            <w:tcBorders>
              <w:top w:val="nil"/>
              <w:left w:val="nil"/>
              <w:bottom w:val="nil"/>
              <w:right w:val="nil"/>
            </w:tcBorders>
          </w:tcPr>
          <w:p w14:paraId="39E49F6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12C4D07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37F5EF2"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686A3657"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4DB38BE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C0C31FA"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7AE64212"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632705ED" w14:textId="77777777" w:rsidTr="00294522">
        <w:trPr>
          <w:trHeight w:val="250"/>
        </w:trPr>
        <w:tc>
          <w:tcPr>
            <w:tcW w:w="2222" w:type="dxa"/>
            <w:tcBorders>
              <w:top w:val="nil"/>
              <w:left w:val="nil"/>
              <w:bottom w:val="nil"/>
              <w:right w:val="nil"/>
            </w:tcBorders>
          </w:tcPr>
          <w:p w14:paraId="002E8261"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(10) LEV</w:t>
            </w:r>
          </w:p>
        </w:tc>
        <w:tc>
          <w:tcPr>
            <w:tcW w:w="823" w:type="dxa"/>
            <w:tcBorders>
              <w:top w:val="nil"/>
              <w:left w:val="nil"/>
              <w:bottom w:val="nil"/>
              <w:right w:val="nil"/>
            </w:tcBorders>
          </w:tcPr>
          <w:p w14:paraId="134C6449"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0.117</w:t>
            </w:r>
          </w:p>
        </w:tc>
        <w:tc>
          <w:tcPr>
            <w:tcW w:w="823" w:type="dxa"/>
            <w:tcBorders>
              <w:top w:val="nil"/>
              <w:left w:val="nil"/>
              <w:bottom w:val="nil"/>
              <w:right w:val="nil"/>
            </w:tcBorders>
          </w:tcPr>
          <w:p w14:paraId="74AFFBF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-0.042</w:t>
            </w:r>
          </w:p>
        </w:tc>
        <w:tc>
          <w:tcPr>
            <w:tcW w:w="823" w:type="dxa"/>
            <w:tcBorders>
              <w:top w:val="nil"/>
              <w:left w:val="nil"/>
              <w:bottom w:val="nil"/>
              <w:right w:val="nil"/>
            </w:tcBorders>
          </w:tcPr>
          <w:p w14:paraId="1E622AD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0.078</w:t>
            </w:r>
          </w:p>
        </w:tc>
        <w:tc>
          <w:tcPr>
            <w:tcW w:w="823" w:type="dxa"/>
            <w:tcBorders>
              <w:top w:val="nil"/>
              <w:left w:val="nil"/>
              <w:bottom w:val="nil"/>
              <w:right w:val="nil"/>
            </w:tcBorders>
          </w:tcPr>
          <w:p w14:paraId="3711A28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-0.016</w:t>
            </w:r>
          </w:p>
        </w:tc>
        <w:tc>
          <w:tcPr>
            <w:tcW w:w="823" w:type="dxa"/>
            <w:tcBorders>
              <w:top w:val="nil"/>
              <w:left w:val="nil"/>
              <w:bottom w:val="nil"/>
              <w:right w:val="nil"/>
            </w:tcBorders>
          </w:tcPr>
          <w:p w14:paraId="3A946ED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-0.032</w:t>
            </w:r>
          </w:p>
        </w:tc>
        <w:tc>
          <w:tcPr>
            <w:tcW w:w="823" w:type="dxa"/>
            <w:tcBorders>
              <w:top w:val="nil"/>
              <w:left w:val="nil"/>
              <w:bottom w:val="nil"/>
              <w:right w:val="nil"/>
            </w:tcBorders>
          </w:tcPr>
          <w:p w14:paraId="6B6CA2C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0.018</w:t>
            </w:r>
          </w:p>
        </w:tc>
        <w:tc>
          <w:tcPr>
            <w:tcW w:w="823" w:type="dxa"/>
            <w:tcBorders>
              <w:top w:val="nil"/>
              <w:left w:val="nil"/>
              <w:bottom w:val="nil"/>
              <w:right w:val="nil"/>
            </w:tcBorders>
          </w:tcPr>
          <w:p w14:paraId="41AE0F2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0.031</w:t>
            </w:r>
          </w:p>
        </w:tc>
        <w:tc>
          <w:tcPr>
            <w:tcW w:w="823" w:type="dxa"/>
            <w:tcBorders>
              <w:top w:val="nil"/>
              <w:left w:val="nil"/>
              <w:bottom w:val="nil"/>
              <w:right w:val="nil"/>
            </w:tcBorders>
          </w:tcPr>
          <w:p w14:paraId="4D890B7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-0.023</w:t>
            </w:r>
          </w:p>
        </w:tc>
        <w:tc>
          <w:tcPr>
            <w:tcW w:w="823" w:type="dxa"/>
            <w:tcBorders>
              <w:top w:val="nil"/>
              <w:left w:val="nil"/>
              <w:bottom w:val="nil"/>
              <w:right w:val="nil"/>
            </w:tcBorders>
          </w:tcPr>
          <w:p w14:paraId="1D8A819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0.009</w:t>
            </w:r>
          </w:p>
        </w:tc>
        <w:tc>
          <w:tcPr>
            <w:tcW w:w="823" w:type="dxa"/>
            <w:tcBorders>
              <w:top w:val="nil"/>
              <w:left w:val="nil"/>
              <w:bottom w:val="nil"/>
              <w:right w:val="nil"/>
            </w:tcBorders>
          </w:tcPr>
          <w:p w14:paraId="659A6D1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Borders>
              <w:top w:val="nil"/>
              <w:left w:val="nil"/>
              <w:bottom w:val="nil"/>
              <w:right w:val="nil"/>
            </w:tcBorders>
          </w:tcPr>
          <w:p w14:paraId="70593459"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93A1E5D"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5AB9C25"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1392006D"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13AB3B3E" w14:textId="77777777" w:rsidTr="00294522">
        <w:trPr>
          <w:trHeight w:val="250"/>
        </w:trPr>
        <w:tc>
          <w:tcPr>
            <w:tcW w:w="2222" w:type="dxa"/>
            <w:tcBorders>
              <w:top w:val="nil"/>
              <w:left w:val="nil"/>
              <w:bottom w:val="nil"/>
              <w:right w:val="nil"/>
            </w:tcBorders>
          </w:tcPr>
          <w:p w14:paraId="6B1B3501"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nil"/>
              <w:right w:val="nil"/>
            </w:tcBorders>
          </w:tcPr>
          <w:p w14:paraId="0DCD546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(0.018)</w:t>
            </w:r>
          </w:p>
        </w:tc>
        <w:tc>
          <w:tcPr>
            <w:tcW w:w="823" w:type="dxa"/>
            <w:tcBorders>
              <w:top w:val="nil"/>
              <w:left w:val="nil"/>
              <w:bottom w:val="nil"/>
              <w:right w:val="nil"/>
            </w:tcBorders>
          </w:tcPr>
          <w:p w14:paraId="192B188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(0.397)</w:t>
            </w:r>
          </w:p>
        </w:tc>
        <w:tc>
          <w:tcPr>
            <w:tcW w:w="823" w:type="dxa"/>
            <w:tcBorders>
              <w:top w:val="nil"/>
              <w:left w:val="nil"/>
              <w:bottom w:val="nil"/>
              <w:right w:val="nil"/>
            </w:tcBorders>
          </w:tcPr>
          <w:p w14:paraId="2558E696"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(0.020)</w:t>
            </w:r>
          </w:p>
        </w:tc>
        <w:tc>
          <w:tcPr>
            <w:tcW w:w="823" w:type="dxa"/>
            <w:tcBorders>
              <w:top w:val="nil"/>
              <w:left w:val="nil"/>
              <w:bottom w:val="nil"/>
              <w:right w:val="nil"/>
            </w:tcBorders>
          </w:tcPr>
          <w:p w14:paraId="5E92BF6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(0.629)</w:t>
            </w:r>
          </w:p>
        </w:tc>
        <w:tc>
          <w:tcPr>
            <w:tcW w:w="823" w:type="dxa"/>
            <w:tcBorders>
              <w:top w:val="nil"/>
              <w:left w:val="nil"/>
              <w:bottom w:val="nil"/>
              <w:right w:val="nil"/>
            </w:tcBorders>
          </w:tcPr>
          <w:p w14:paraId="3EC624D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(0.337)</w:t>
            </w:r>
          </w:p>
        </w:tc>
        <w:tc>
          <w:tcPr>
            <w:tcW w:w="823" w:type="dxa"/>
            <w:tcBorders>
              <w:top w:val="nil"/>
              <w:left w:val="nil"/>
              <w:bottom w:val="nil"/>
              <w:right w:val="nil"/>
            </w:tcBorders>
          </w:tcPr>
          <w:p w14:paraId="527F4190"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(0.577)</w:t>
            </w:r>
          </w:p>
        </w:tc>
        <w:tc>
          <w:tcPr>
            <w:tcW w:w="823" w:type="dxa"/>
            <w:tcBorders>
              <w:top w:val="nil"/>
              <w:left w:val="nil"/>
              <w:bottom w:val="nil"/>
              <w:right w:val="nil"/>
            </w:tcBorders>
          </w:tcPr>
          <w:p w14:paraId="770310C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(0.344)</w:t>
            </w:r>
          </w:p>
        </w:tc>
        <w:tc>
          <w:tcPr>
            <w:tcW w:w="823" w:type="dxa"/>
            <w:tcBorders>
              <w:top w:val="nil"/>
              <w:left w:val="nil"/>
              <w:bottom w:val="nil"/>
              <w:right w:val="nil"/>
            </w:tcBorders>
          </w:tcPr>
          <w:p w14:paraId="4BA73F2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(0.488)</w:t>
            </w:r>
          </w:p>
        </w:tc>
        <w:tc>
          <w:tcPr>
            <w:tcW w:w="823" w:type="dxa"/>
            <w:tcBorders>
              <w:top w:val="nil"/>
              <w:left w:val="nil"/>
              <w:bottom w:val="nil"/>
              <w:right w:val="nil"/>
            </w:tcBorders>
          </w:tcPr>
          <w:p w14:paraId="6A2E1F5E"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(0.783)</w:t>
            </w:r>
          </w:p>
        </w:tc>
        <w:tc>
          <w:tcPr>
            <w:tcW w:w="823" w:type="dxa"/>
            <w:tcBorders>
              <w:top w:val="nil"/>
              <w:left w:val="nil"/>
              <w:bottom w:val="nil"/>
              <w:right w:val="nil"/>
            </w:tcBorders>
          </w:tcPr>
          <w:p w14:paraId="06764A72"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03129D1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C21D64B"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3926F203"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261F23C0"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38C28E99" w14:textId="77777777" w:rsidTr="00294522">
        <w:trPr>
          <w:trHeight w:val="250"/>
        </w:trPr>
        <w:tc>
          <w:tcPr>
            <w:tcW w:w="2222" w:type="dxa"/>
            <w:tcBorders>
              <w:top w:val="nil"/>
              <w:left w:val="nil"/>
              <w:bottom w:val="nil"/>
              <w:right w:val="nil"/>
            </w:tcBorders>
          </w:tcPr>
          <w:p w14:paraId="2B0C7FBC"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(11) BSIZE</w:t>
            </w:r>
          </w:p>
        </w:tc>
        <w:tc>
          <w:tcPr>
            <w:tcW w:w="823" w:type="dxa"/>
            <w:tcBorders>
              <w:top w:val="nil"/>
              <w:left w:val="nil"/>
              <w:bottom w:val="nil"/>
              <w:right w:val="nil"/>
            </w:tcBorders>
          </w:tcPr>
          <w:p w14:paraId="198D0A5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0.074</w:t>
            </w:r>
          </w:p>
        </w:tc>
        <w:tc>
          <w:tcPr>
            <w:tcW w:w="823" w:type="dxa"/>
            <w:tcBorders>
              <w:top w:val="nil"/>
              <w:left w:val="nil"/>
              <w:bottom w:val="nil"/>
              <w:right w:val="nil"/>
            </w:tcBorders>
          </w:tcPr>
          <w:p w14:paraId="52D28A8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-0.206</w:t>
            </w:r>
          </w:p>
        </w:tc>
        <w:tc>
          <w:tcPr>
            <w:tcW w:w="823" w:type="dxa"/>
            <w:tcBorders>
              <w:top w:val="nil"/>
              <w:left w:val="nil"/>
              <w:bottom w:val="nil"/>
              <w:right w:val="nil"/>
            </w:tcBorders>
          </w:tcPr>
          <w:p w14:paraId="7219AF4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0.066</w:t>
            </w:r>
          </w:p>
        </w:tc>
        <w:tc>
          <w:tcPr>
            <w:tcW w:w="823" w:type="dxa"/>
            <w:tcBorders>
              <w:top w:val="nil"/>
              <w:left w:val="nil"/>
              <w:bottom w:val="nil"/>
              <w:right w:val="nil"/>
            </w:tcBorders>
          </w:tcPr>
          <w:p w14:paraId="5E669DF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-0.202</w:t>
            </w:r>
          </w:p>
        </w:tc>
        <w:tc>
          <w:tcPr>
            <w:tcW w:w="823" w:type="dxa"/>
            <w:tcBorders>
              <w:top w:val="nil"/>
              <w:left w:val="nil"/>
              <w:bottom w:val="nil"/>
              <w:right w:val="nil"/>
            </w:tcBorders>
          </w:tcPr>
          <w:p w14:paraId="21C634B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-0.142</w:t>
            </w:r>
          </w:p>
        </w:tc>
        <w:tc>
          <w:tcPr>
            <w:tcW w:w="823" w:type="dxa"/>
            <w:tcBorders>
              <w:top w:val="nil"/>
              <w:left w:val="nil"/>
              <w:bottom w:val="nil"/>
              <w:right w:val="nil"/>
            </w:tcBorders>
          </w:tcPr>
          <w:p w14:paraId="4BE033B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0.114</w:t>
            </w:r>
          </w:p>
        </w:tc>
        <w:tc>
          <w:tcPr>
            <w:tcW w:w="823" w:type="dxa"/>
            <w:tcBorders>
              <w:top w:val="nil"/>
              <w:left w:val="nil"/>
              <w:bottom w:val="nil"/>
              <w:right w:val="nil"/>
            </w:tcBorders>
          </w:tcPr>
          <w:p w14:paraId="732D671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0.321</w:t>
            </w:r>
          </w:p>
        </w:tc>
        <w:tc>
          <w:tcPr>
            <w:tcW w:w="823" w:type="dxa"/>
            <w:tcBorders>
              <w:top w:val="nil"/>
              <w:left w:val="nil"/>
              <w:bottom w:val="nil"/>
              <w:right w:val="nil"/>
            </w:tcBorders>
          </w:tcPr>
          <w:p w14:paraId="2FD80B16"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0.553</w:t>
            </w:r>
          </w:p>
        </w:tc>
        <w:tc>
          <w:tcPr>
            <w:tcW w:w="823" w:type="dxa"/>
            <w:tcBorders>
              <w:top w:val="nil"/>
              <w:left w:val="nil"/>
              <w:bottom w:val="nil"/>
              <w:right w:val="nil"/>
            </w:tcBorders>
          </w:tcPr>
          <w:p w14:paraId="0E2E140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-0.262</w:t>
            </w:r>
          </w:p>
        </w:tc>
        <w:tc>
          <w:tcPr>
            <w:tcW w:w="823" w:type="dxa"/>
            <w:tcBorders>
              <w:top w:val="nil"/>
              <w:left w:val="nil"/>
              <w:bottom w:val="nil"/>
              <w:right w:val="nil"/>
            </w:tcBorders>
          </w:tcPr>
          <w:p w14:paraId="18C3EE06"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-0.039</w:t>
            </w:r>
          </w:p>
        </w:tc>
        <w:tc>
          <w:tcPr>
            <w:tcW w:w="823" w:type="dxa"/>
            <w:tcBorders>
              <w:top w:val="nil"/>
              <w:left w:val="nil"/>
              <w:bottom w:val="nil"/>
              <w:right w:val="nil"/>
            </w:tcBorders>
          </w:tcPr>
          <w:p w14:paraId="2F8F119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Borders>
              <w:top w:val="nil"/>
              <w:left w:val="nil"/>
              <w:bottom w:val="nil"/>
              <w:right w:val="nil"/>
            </w:tcBorders>
          </w:tcPr>
          <w:p w14:paraId="1EA32E58"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7535A0EF"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256BEF28"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0975EEB0" w14:textId="77777777" w:rsidTr="00294522">
        <w:trPr>
          <w:trHeight w:val="250"/>
        </w:trPr>
        <w:tc>
          <w:tcPr>
            <w:tcW w:w="2222" w:type="dxa"/>
            <w:tcBorders>
              <w:top w:val="nil"/>
              <w:left w:val="nil"/>
              <w:bottom w:val="nil"/>
              <w:right w:val="nil"/>
            </w:tcBorders>
          </w:tcPr>
          <w:p w14:paraId="1AE55ED9"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nil"/>
              <w:right w:val="nil"/>
            </w:tcBorders>
          </w:tcPr>
          <w:p w14:paraId="6C74677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(0.131)</w:t>
            </w:r>
          </w:p>
        </w:tc>
        <w:tc>
          <w:tcPr>
            <w:tcW w:w="823" w:type="dxa"/>
            <w:tcBorders>
              <w:top w:val="nil"/>
              <w:left w:val="nil"/>
              <w:bottom w:val="nil"/>
              <w:right w:val="nil"/>
            </w:tcBorders>
          </w:tcPr>
          <w:p w14:paraId="48B17E9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5C526290"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(0.045)</w:t>
            </w:r>
          </w:p>
        </w:tc>
        <w:tc>
          <w:tcPr>
            <w:tcW w:w="823" w:type="dxa"/>
            <w:tcBorders>
              <w:top w:val="nil"/>
              <w:left w:val="nil"/>
              <w:bottom w:val="nil"/>
              <w:right w:val="nil"/>
            </w:tcBorders>
          </w:tcPr>
          <w:p w14:paraId="5F9C03E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7F4DB93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63C72AB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(0.001)</w:t>
            </w:r>
          </w:p>
        </w:tc>
        <w:tc>
          <w:tcPr>
            <w:tcW w:w="823" w:type="dxa"/>
            <w:tcBorders>
              <w:top w:val="nil"/>
              <w:left w:val="nil"/>
              <w:bottom w:val="nil"/>
              <w:right w:val="nil"/>
            </w:tcBorders>
          </w:tcPr>
          <w:p w14:paraId="6ABF00C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3C8EB38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49893F7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3153BB40"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(0.244)</w:t>
            </w:r>
          </w:p>
        </w:tc>
        <w:tc>
          <w:tcPr>
            <w:tcW w:w="823" w:type="dxa"/>
            <w:tcBorders>
              <w:top w:val="nil"/>
              <w:left w:val="nil"/>
              <w:bottom w:val="nil"/>
              <w:right w:val="nil"/>
            </w:tcBorders>
          </w:tcPr>
          <w:p w14:paraId="744360FC"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57ECA279"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2C21F0C6"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2D1E963A"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6AF13DB2" w14:textId="77777777" w:rsidTr="00294522">
        <w:trPr>
          <w:trHeight w:val="250"/>
        </w:trPr>
        <w:tc>
          <w:tcPr>
            <w:tcW w:w="2222" w:type="dxa"/>
            <w:tcBorders>
              <w:top w:val="nil"/>
              <w:left w:val="nil"/>
              <w:bottom w:val="nil"/>
              <w:right w:val="nil"/>
            </w:tcBorders>
          </w:tcPr>
          <w:p w14:paraId="0C529195"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(12) BINDE</w:t>
            </w:r>
          </w:p>
        </w:tc>
        <w:tc>
          <w:tcPr>
            <w:tcW w:w="823" w:type="dxa"/>
            <w:tcBorders>
              <w:top w:val="nil"/>
              <w:left w:val="nil"/>
              <w:bottom w:val="nil"/>
              <w:right w:val="nil"/>
            </w:tcBorders>
          </w:tcPr>
          <w:p w14:paraId="56A7CB1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0.186</w:t>
            </w:r>
          </w:p>
        </w:tc>
        <w:tc>
          <w:tcPr>
            <w:tcW w:w="823" w:type="dxa"/>
            <w:tcBorders>
              <w:top w:val="nil"/>
              <w:left w:val="nil"/>
              <w:bottom w:val="nil"/>
              <w:right w:val="nil"/>
            </w:tcBorders>
          </w:tcPr>
          <w:p w14:paraId="7E26C92E"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-0.315</w:t>
            </w:r>
          </w:p>
        </w:tc>
        <w:tc>
          <w:tcPr>
            <w:tcW w:w="823" w:type="dxa"/>
            <w:tcBorders>
              <w:top w:val="nil"/>
              <w:left w:val="nil"/>
              <w:bottom w:val="nil"/>
              <w:right w:val="nil"/>
            </w:tcBorders>
          </w:tcPr>
          <w:p w14:paraId="3100E0C6"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0.328</w:t>
            </w:r>
          </w:p>
        </w:tc>
        <w:tc>
          <w:tcPr>
            <w:tcW w:w="823" w:type="dxa"/>
            <w:tcBorders>
              <w:top w:val="nil"/>
              <w:left w:val="nil"/>
              <w:bottom w:val="nil"/>
              <w:right w:val="nil"/>
            </w:tcBorders>
          </w:tcPr>
          <w:p w14:paraId="09BBD789"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-0.267</w:t>
            </w:r>
          </w:p>
        </w:tc>
        <w:tc>
          <w:tcPr>
            <w:tcW w:w="823" w:type="dxa"/>
            <w:tcBorders>
              <w:top w:val="nil"/>
              <w:left w:val="nil"/>
              <w:bottom w:val="nil"/>
              <w:right w:val="nil"/>
            </w:tcBorders>
          </w:tcPr>
          <w:p w14:paraId="064860D0"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-0.078</w:t>
            </w:r>
          </w:p>
        </w:tc>
        <w:tc>
          <w:tcPr>
            <w:tcW w:w="823" w:type="dxa"/>
            <w:tcBorders>
              <w:top w:val="nil"/>
              <w:left w:val="nil"/>
              <w:bottom w:val="nil"/>
              <w:right w:val="nil"/>
            </w:tcBorders>
          </w:tcPr>
          <w:p w14:paraId="21B6CE5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0.135</w:t>
            </w:r>
          </w:p>
        </w:tc>
        <w:tc>
          <w:tcPr>
            <w:tcW w:w="823" w:type="dxa"/>
            <w:tcBorders>
              <w:top w:val="nil"/>
              <w:left w:val="nil"/>
              <w:bottom w:val="nil"/>
              <w:right w:val="nil"/>
            </w:tcBorders>
          </w:tcPr>
          <w:p w14:paraId="7D1619E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0.246</w:t>
            </w:r>
          </w:p>
        </w:tc>
        <w:tc>
          <w:tcPr>
            <w:tcW w:w="823" w:type="dxa"/>
            <w:tcBorders>
              <w:top w:val="nil"/>
              <w:left w:val="nil"/>
              <w:bottom w:val="nil"/>
              <w:right w:val="nil"/>
            </w:tcBorders>
          </w:tcPr>
          <w:p w14:paraId="53ED4F6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0.368</w:t>
            </w:r>
          </w:p>
        </w:tc>
        <w:tc>
          <w:tcPr>
            <w:tcW w:w="823" w:type="dxa"/>
            <w:tcBorders>
              <w:top w:val="nil"/>
              <w:left w:val="nil"/>
              <w:bottom w:val="nil"/>
              <w:right w:val="nil"/>
            </w:tcBorders>
          </w:tcPr>
          <w:p w14:paraId="520CB03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-0.216</w:t>
            </w:r>
          </w:p>
        </w:tc>
        <w:tc>
          <w:tcPr>
            <w:tcW w:w="823" w:type="dxa"/>
            <w:tcBorders>
              <w:top w:val="nil"/>
              <w:left w:val="nil"/>
              <w:bottom w:val="nil"/>
              <w:right w:val="nil"/>
            </w:tcBorders>
          </w:tcPr>
          <w:p w14:paraId="4BD1CB0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0.110</w:t>
            </w:r>
          </w:p>
        </w:tc>
        <w:tc>
          <w:tcPr>
            <w:tcW w:w="823" w:type="dxa"/>
            <w:tcBorders>
              <w:top w:val="nil"/>
              <w:left w:val="nil"/>
              <w:bottom w:val="nil"/>
              <w:right w:val="nil"/>
            </w:tcBorders>
          </w:tcPr>
          <w:p w14:paraId="4A65E41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0.220</w:t>
            </w:r>
          </w:p>
        </w:tc>
        <w:tc>
          <w:tcPr>
            <w:tcW w:w="823" w:type="dxa"/>
            <w:tcBorders>
              <w:top w:val="nil"/>
              <w:left w:val="nil"/>
              <w:bottom w:val="nil"/>
              <w:right w:val="nil"/>
            </w:tcBorders>
          </w:tcPr>
          <w:p w14:paraId="41EB3FE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823" w:type="dxa"/>
            <w:tcBorders>
              <w:top w:val="nil"/>
              <w:left w:val="nil"/>
              <w:bottom w:val="nil"/>
              <w:right w:val="nil"/>
            </w:tcBorders>
          </w:tcPr>
          <w:p w14:paraId="790092E8"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2610BB61"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291FFAF2" w14:textId="77777777" w:rsidTr="00294522">
        <w:trPr>
          <w:trHeight w:val="250"/>
        </w:trPr>
        <w:tc>
          <w:tcPr>
            <w:tcW w:w="2222" w:type="dxa"/>
            <w:tcBorders>
              <w:top w:val="nil"/>
              <w:left w:val="nil"/>
              <w:bottom w:val="nil"/>
              <w:right w:val="nil"/>
            </w:tcBorders>
          </w:tcPr>
          <w:p w14:paraId="43D8BE1D"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nil"/>
              <w:right w:val="nil"/>
            </w:tcBorders>
          </w:tcPr>
          <w:p w14:paraId="6D02407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0A6FFE9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05865C9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0E9AEB1E"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683AA4B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(0.018)</w:t>
            </w:r>
          </w:p>
        </w:tc>
        <w:tc>
          <w:tcPr>
            <w:tcW w:w="823" w:type="dxa"/>
            <w:tcBorders>
              <w:top w:val="nil"/>
              <w:left w:val="nil"/>
              <w:bottom w:val="nil"/>
              <w:right w:val="nil"/>
            </w:tcBorders>
          </w:tcPr>
          <w:p w14:paraId="2CCD802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62BB490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45EDE6C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52BBAB46"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04A678B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(0.001)</w:t>
            </w:r>
          </w:p>
        </w:tc>
        <w:tc>
          <w:tcPr>
            <w:tcW w:w="823" w:type="dxa"/>
            <w:tcBorders>
              <w:top w:val="nil"/>
              <w:left w:val="nil"/>
              <w:bottom w:val="nil"/>
              <w:right w:val="nil"/>
            </w:tcBorders>
          </w:tcPr>
          <w:p w14:paraId="0172E27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2F670071"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823" w:type="dxa"/>
            <w:tcBorders>
              <w:top w:val="nil"/>
              <w:left w:val="nil"/>
              <w:bottom w:val="nil"/>
              <w:right w:val="nil"/>
            </w:tcBorders>
          </w:tcPr>
          <w:p w14:paraId="1D88C9A5"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23AC6EB6"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7FA7689B" w14:textId="77777777" w:rsidTr="00294522">
        <w:trPr>
          <w:trHeight w:val="250"/>
        </w:trPr>
        <w:tc>
          <w:tcPr>
            <w:tcW w:w="2222" w:type="dxa"/>
            <w:tcBorders>
              <w:top w:val="nil"/>
              <w:left w:val="nil"/>
              <w:bottom w:val="nil"/>
              <w:right w:val="nil"/>
            </w:tcBorders>
          </w:tcPr>
          <w:p w14:paraId="4AEAE84C"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(13) MTBV</w:t>
            </w:r>
          </w:p>
        </w:tc>
        <w:tc>
          <w:tcPr>
            <w:tcW w:w="823" w:type="dxa"/>
            <w:tcBorders>
              <w:top w:val="nil"/>
              <w:left w:val="nil"/>
              <w:bottom w:val="nil"/>
              <w:right w:val="nil"/>
            </w:tcBorders>
          </w:tcPr>
          <w:p w14:paraId="30DE8DA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-0.039</w:t>
            </w:r>
          </w:p>
        </w:tc>
        <w:tc>
          <w:tcPr>
            <w:tcW w:w="823" w:type="dxa"/>
            <w:tcBorders>
              <w:top w:val="nil"/>
              <w:left w:val="nil"/>
              <w:bottom w:val="nil"/>
              <w:right w:val="nil"/>
            </w:tcBorders>
          </w:tcPr>
          <w:p w14:paraId="64ED205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0.027</w:t>
            </w:r>
          </w:p>
        </w:tc>
        <w:tc>
          <w:tcPr>
            <w:tcW w:w="823" w:type="dxa"/>
            <w:tcBorders>
              <w:top w:val="nil"/>
              <w:left w:val="nil"/>
              <w:bottom w:val="nil"/>
              <w:right w:val="nil"/>
            </w:tcBorders>
          </w:tcPr>
          <w:p w14:paraId="77FDF620"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0.035</w:t>
            </w:r>
          </w:p>
        </w:tc>
        <w:tc>
          <w:tcPr>
            <w:tcW w:w="823" w:type="dxa"/>
            <w:tcBorders>
              <w:top w:val="nil"/>
              <w:left w:val="nil"/>
              <w:bottom w:val="nil"/>
              <w:right w:val="nil"/>
            </w:tcBorders>
          </w:tcPr>
          <w:p w14:paraId="64D831FE"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0.001</w:t>
            </w:r>
          </w:p>
        </w:tc>
        <w:tc>
          <w:tcPr>
            <w:tcW w:w="823" w:type="dxa"/>
            <w:tcBorders>
              <w:top w:val="nil"/>
              <w:left w:val="nil"/>
              <w:bottom w:val="nil"/>
              <w:right w:val="nil"/>
            </w:tcBorders>
          </w:tcPr>
          <w:p w14:paraId="5502CD9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0.011</w:t>
            </w:r>
          </w:p>
        </w:tc>
        <w:tc>
          <w:tcPr>
            <w:tcW w:w="823" w:type="dxa"/>
            <w:tcBorders>
              <w:top w:val="nil"/>
              <w:left w:val="nil"/>
              <w:bottom w:val="nil"/>
              <w:right w:val="nil"/>
            </w:tcBorders>
          </w:tcPr>
          <w:p w14:paraId="6795FE6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0.014</w:t>
            </w:r>
          </w:p>
        </w:tc>
        <w:tc>
          <w:tcPr>
            <w:tcW w:w="823" w:type="dxa"/>
            <w:tcBorders>
              <w:top w:val="nil"/>
              <w:left w:val="nil"/>
              <w:bottom w:val="nil"/>
              <w:right w:val="nil"/>
            </w:tcBorders>
          </w:tcPr>
          <w:p w14:paraId="004DD2D9"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-0.020</w:t>
            </w:r>
          </w:p>
        </w:tc>
        <w:tc>
          <w:tcPr>
            <w:tcW w:w="823" w:type="dxa"/>
            <w:tcBorders>
              <w:top w:val="nil"/>
              <w:left w:val="nil"/>
              <w:bottom w:val="nil"/>
              <w:right w:val="nil"/>
            </w:tcBorders>
          </w:tcPr>
          <w:p w14:paraId="449E73F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-0.192</w:t>
            </w:r>
          </w:p>
        </w:tc>
        <w:tc>
          <w:tcPr>
            <w:tcW w:w="823" w:type="dxa"/>
            <w:tcBorders>
              <w:top w:val="nil"/>
              <w:left w:val="nil"/>
              <w:bottom w:val="nil"/>
              <w:right w:val="nil"/>
            </w:tcBorders>
          </w:tcPr>
          <w:p w14:paraId="0DD4DB1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0.214</w:t>
            </w:r>
          </w:p>
        </w:tc>
        <w:tc>
          <w:tcPr>
            <w:tcW w:w="823" w:type="dxa"/>
            <w:tcBorders>
              <w:top w:val="nil"/>
              <w:left w:val="nil"/>
              <w:bottom w:val="nil"/>
              <w:right w:val="nil"/>
            </w:tcBorders>
          </w:tcPr>
          <w:p w14:paraId="39E53D2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-0.057</w:t>
            </w:r>
          </w:p>
        </w:tc>
        <w:tc>
          <w:tcPr>
            <w:tcW w:w="823" w:type="dxa"/>
            <w:tcBorders>
              <w:top w:val="nil"/>
              <w:left w:val="nil"/>
              <w:bottom w:val="nil"/>
              <w:right w:val="nil"/>
            </w:tcBorders>
          </w:tcPr>
          <w:p w14:paraId="2A688F96"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-0.080</w:t>
            </w:r>
          </w:p>
        </w:tc>
        <w:tc>
          <w:tcPr>
            <w:tcW w:w="823" w:type="dxa"/>
            <w:tcBorders>
              <w:top w:val="nil"/>
              <w:left w:val="nil"/>
              <w:bottom w:val="nil"/>
              <w:right w:val="nil"/>
            </w:tcBorders>
          </w:tcPr>
          <w:p w14:paraId="085935B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-0.041</w:t>
            </w:r>
          </w:p>
        </w:tc>
        <w:tc>
          <w:tcPr>
            <w:tcW w:w="823" w:type="dxa"/>
            <w:tcBorders>
              <w:top w:val="nil"/>
              <w:left w:val="nil"/>
              <w:bottom w:val="nil"/>
              <w:right w:val="nil"/>
            </w:tcBorders>
          </w:tcPr>
          <w:p w14:paraId="616ED7F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c>
          <w:tcPr>
            <w:tcW w:w="971" w:type="dxa"/>
            <w:tcBorders>
              <w:top w:val="nil"/>
              <w:left w:val="nil"/>
              <w:bottom w:val="nil"/>
              <w:right w:val="nil"/>
            </w:tcBorders>
          </w:tcPr>
          <w:p w14:paraId="745F1B4E"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3E0CE6CC" w14:textId="77777777" w:rsidTr="00294522">
        <w:trPr>
          <w:trHeight w:val="250"/>
        </w:trPr>
        <w:tc>
          <w:tcPr>
            <w:tcW w:w="2222" w:type="dxa"/>
            <w:tcBorders>
              <w:top w:val="nil"/>
              <w:left w:val="nil"/>
              <w:bottom w:val="nil"/>
              <w:right w:val="nil"/>
            </w:tcBorders>
          </w:tcPr>
          <w:p w14:paraId="54650A74"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nil"/>
              <w:right w:val="nil"/>
            </w:tcBorders>
          </w:tcPr>
          <w:p w14:paraId="434EDFA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(0.425)</w:t>
            </w:r>
          </w:p>
        </w:tc>
        <w:tc>
          <w:tcPr>
            <w:tcW w:w="823" w:type="dxa"/>
            <w:tcBorders>
              <w:top w:val="nil"/>
              <w:left w:val="nil"/>
              <w:bottom w:val="nil"/>
              <w:right w:val="nil"/>
            </w:tcBorders>
          </w:tcPr>
          <w:p w14:paraId="43E5F50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(0.584)</w:t>
            </w:r>
          </w:p>
        </w:tc>
        <w:tc>
          <w:tcPr>
            <w:tcW w:w="823" w:type="dxa"/>
            <w:tcBorders>
              <w:top w:val="nil"/>
              <w:left w:val="nil"/>
              <w:bottom w:val="nil"/>
              <w:right w:val="nil"/>
            </w:tcBorders>
          </w:tcPr>
          <w:p w14:paraId="67F53F8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(0.293)</w:t>
            </w:r>
          </w:p>
        </w:tc>
        <w:tc>
          <w:tcPr>
            <w:tcW w:w="823" w:type="dxa"/>
            <w:tcBorders>
              <w:top w:val="nil"/>
              <w:left w:val="nil"/>
              <w:bottom w:val="nil"/>
              <w:right w:val="nil"/>
            </w:tcBorders>
          </w:tcPr>
          <w:p w14:paraId="46938DF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(0.975)</w:t>
            </w:r>
          </w:p>
        </w:tc>
        <w:tc>
          <w:tcPr>
            <w:tcW w:w="823" w:type="dxa"/>
            <w:tcBorders>
              <w:top w:val="nil"/>
              <w:left w:val="nil"/>
              <w:bottom w:val="nil"/>
              <w:right w:val="nil"/>
            </w:tcBorders>
          </w:tcPr>
          <w:p w14:paraId="25BA07B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(0.735)</w:t>
            </w:r>
          </w:p>
        </w:tc>
        <w:tc>
          <w:tcPr>
            <w:tcW w:w="823" w:type="dxa"/>
            <w:tcBorders>
              <w:top w:val="nil"/>
              <w:left w:val="nil"/>
              <w:bottom w:val="nil"/>
              <w:right w:val="nil"/>
            </w:tcBorders>
          </w:tcPr>
          <w:p w14:paraId="6CC78A5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(0.678)</w:t>
            </w:r>
          </w:p>
        </w:tc>
        <w:tc>
          <w:tcPr>
            <w:tcW w:w="823" w:type="dxa"/>
            <w:tcBorders>
              <w:top w:val="nil"/>
              <w:left w:val="nil"/>
              <w:bottom w:val="nil"/>
              <w:right w:val="nil"/>
            </w:tcBorders>
          </w:tcPr>
          <w:p w14:paraId="3E12292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(0.557)</w:t>
            </w:r>
          </w:p>
        </w:tc>
        <w:tc>
          <w:tcPr>
            <w:tcW w:w="823" w:type="dxa"/>
            <w:tcBorders>
              <w:top w:val="nil"/>
              <w:left w:val="nil"/>
              <w:bottom w:val="nil"/>
              <w:right w:val="nil"/>
            </w:tcBorders>
          </w:tcPr>
          <w:p w14:paraId="59C1B46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7731C6B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nil"/>
              <w:right w:val="nil"/>
            </w:tcBorders>
          </w:tcPr>
          <w:p w14:paraId="4BA0BC9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(0.090)</w:t>
            </w:r>
          </w:p>
        </w:tc>
        <w:tc>
          <w:tcPr>
            <w:tcW w:w="823" w:type="dxa"/>
            <w:tcBorders>
              <w:top w:val="nil"/>
              <w:left w:val="nil"/>
              <w:bottom w:val="nil"/>
              <w:right w:val="nil"/>
            </w:tcBorders>
          </w:tcPr>
          <w:p w14:paraId="706F8E3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(0.017)</w:t>
            </w:r>
          </w:p>
        </w:tc>
        <w:tc>
          <w:tcPr>
            <w:tcW w:w="823" w:type="dxa"/>
            <w:tcBorders>
              <w:top w:val="nil"/>
              <w:left w:val="nil"/>
              <w:bottom w:val="nil"/>
              <w:right w:val="nil"/>
            </w:tcBorders>
          </w:tcPr>
          <w:p w14:paraId="02AF0DD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(0.226)</w:t>
            </w:r>
          </w:p>
        </w:tc>
        <w:tc>
          <w:tcPr>
            <w:tcW w:w="823" w:type="dxa"/>
            <w:tcBorders>
              <w:top w:val="nil"/>
              <w:left w:val="nil"/>
              <w:bottom w:val="nil"/>
              <w:right w:val="nil"/>
            </w:tcBorders>
          </w:tcPr>
          <w:p w14:paraId="10B31713" w14:textId="77777777" w:rsidR="00A60DA1" w:rsidRPr="00E3562B" w:rsidRDefault="00A60DA1" w:rsidP="00294522">
            <w:pPr>
              <w:widowControl w:val="0"/>
              <w:autoSpaceDE w:val="0"/>
              <w:autoSpaceDN w:val="0"/>
              <w:adjustRightInd w:val="0"/>
              <w:spacing w:line="240" w:lineRule="auto"/>
              <w:jc w:val="right"/>
              <w:rPr>
                <w:sz w:val="20"/>
                <w:lang w:val="en-GB"/>
              </w:rPr>
            </w:pPr>
          </w:p>
        </w:tc>
        <w:tc>
          <w:tcPr>
            <w:tcW w:w="971" w:type="dxa"/>
            <w:tcBorders>
              <w:top w:val="nil"/>
              <w:left w:val="nil"/>
              <w:bottom w:val="nil"/>
              <w:right w:val="nil"/>
            </w:tcBorders>
          </w:tcPr>
          <w:p w14:paraId="4188F432" w14:textId="77777777" w:rsidR="00A60DA1" w:rsidRPr="00E3562B" w:rsidRDefault="00A60DA1" w:rsidP="00294522">
            <w:pPr>
              <w:widowControl w:val="0"/>
              <w:autoSpaceDE w:val="0"/>
              <w:autoSpaceDN w:val="0"/>
              <w:adjustRightInd w:val="0"/>
              <w:spacing w:line="240" w:lineRule="auto"/>
              <w:jc w:val="right"/>
              <w:rPr>
                <w:sz w:val="20"/>
                <w:lang w:val="en-GB"/>
              </w:rPr>
            </w:pPr>
          </w:p>
        </w:tc>
      </w:tr>
      <w:tr w:rsidR="005D6588" w:rsidRPr="00E3562B" w14:paraId="1D81ED00" w14:textId="77777777" w:rsidTr="00294522">
        <w:trPr>
          <w:trHeight w:val="250"/>
        </w:trPr>
        <w:tc>
          <w:tcPr>
            <w:tcW w:w="2222" w:type="dxa"/>
            <w:tcBorders>
              <w:top w:val="nil"/>
              <w:left w:val="nil"/>
              <w:right w:val="nil"/>
            </w:tcBorders>
          </w:tcPr>
          <w:p w14:paraId="0FFF08A3" w14:textId="77777777" w:rsidR="00A60DA1" w:rsidRPr="00E3562B" w:rsidRDefault="00A60DA1" w:rsidP="00294522">
            <w:pPr>
              <w:widowControl w:val="0"/>
              <w:autoSpaceDE w:val="0"/>
              <w:autoSpaceDN w:val="0"/>
              <w:adjustRightInd w:val="0"/>
              <w:spacing w:line="240" w:lineRule="auto"/>
              <w:rPr>
                <w:sz w:val="20"/>
                <w:lang w:val="en-GB"/>
              </w:rPr>
            </w:pPr>
            <w:r w:rsidRPr="00E3562B">
              <w:rPr>
                <w:sz w:val="20"/>
                <w:lang w:val="en-GB"/>
              </w:rPr>
              <w:t>(14) CSRCOM</w:t>
            </w:r>
          </w:p>
        </w:tc>
        <w:tc>
          <w:tcPr>
            <w:tcW w:w="823" w:type="dxa"/>
            <w:tcBorders>
              <w:top w:val="nil"/>
              <w:left w:val="nil"/>
              <w:right w:val="nil"/>
            </w:tcBorders>
          </w:tcPr>
          <w:p w14:paraId="45FB179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0.154</w:t>
            </w:r>
          </w:p>
        </w:tc>
        <w:tc>
          <w:tcPr>
            <w:tcW w:w="823" w:type="dxa"/>
            <w:tcBorders>
              <w:top w:val="nil"/>
              <w:left w:val="nil"/>
              <w:right w:val="nil"/>
            </w:tcBorders>
          </w:tcPr>
          <w:p w14:paraId="4CC5463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-0.147</w:t>
            </w:r>
          </w:p>
        </w:tc>
        <w:tc>
          <w:tcPr>
            <w:tcW w:w="823" w:type="dxa"/>
            <w:tcBorders>
              <w:top w:val="nil"/>
              <w:left w:val="nil"/>
              <w:right w:val="nil"/>
            </w:tcBorders>
          </w:tcPr>
          <w:p w14:paraId="47245D1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0.044</w:t>
            </w:r>
          </w:p>
        </w:tc>
        <w:tc>
          <w:tcPr>
            <w:tcW w:w="823" w:type="dxa"/>
            <w:tcBorders>
              <w:top w:val="nil"/>
              <w:left w:val="nil"/>
              <w:right w:val="nil"/>
            </w:tcBorders>
          </w:tcPr>
          <w:p w14:paraId="5914076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-0.200</w:t>
            </w:r>
          </w:p>
        </w:tc>
        <w:tc>
          <w:tcPr>
            <w:tcW w:w="823" w:type="dxa"/>
            <w:tcBorders>
              <w:top w:val="nil"/>
              <w:left w:val="nil"/>
              <w:right w:val="nil"/>
            </w:tcBorders>
          </w:tcPr>
          <w:p w14:paraId="706D08A1"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-0.020</w:t>
            </w:r>
          </w:p>
        </w:tc>
        <w:tc>
          <w:tcPr>
            <w:tcW w:w="823" w:type="dxa"/>
            <w:tcBorders>
              <w:top w:val="nil"/>
              <w:left w:val="nil"/>
              <w:right w:val="nil"/>
            </w:tcBorders>
          </w:tcPr>
          <w:p w14:paraId="21F0FF40"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0.067</w:t>
            </w:r>
          </w:p>
        </w:tc>
        <w:tc>
          <w:tcPr>
            <w:tcW w:w="823" w:type="dxa"/>
            <w:tcBorders>
              <w:top w:val="nil"/>
              <w:left w:val="nil"/>
              <w:right w:val="nil"/>
            </w:tcBorders>
          </w:tcPr>
          <w:p w14:paraId="357D105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0.076</w:t>
            </w:r>
          </w:p>
        </w:tc>
        <w:tc>
          <w:tcPr>
            <w:tcW w:w="823" w:type="dxa"/>
            <w:tcBorders>
              <w:top w:val="nil"/>
              <w:left w:val="nil"/>
              <w:right w:val="nil"/>
            </w:tcBorders>
          </w:tcPr>
          <w:p w14:paraId="19E8CE7F"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0.391</w:t>
            </w:r>
          </w:p>
        </w:tc>
        <w:tc>
          <w:tcPr>
            <w:tcW w:w="823" w:type="dxa"/>
            <w:tcBorders>
              <w:top w:val="nil"/>
              <w:left w:val="nil"/>
              <w:right w:val="nil"/>
            </w:tcBorders>
          </w:tcPr>
          <w:p w14:paraId="13469F6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-0.219</w:t>
            </w:r>
          </w:p>
        </w:tc>
        <w:tc>
          <w:tcPr>
            <w:tcW w:w="823" w:type="dxa"/>
            <w:tcBorders>
              <w:top w:val="nil"/>
              <w:left w:val="nil"/>
              <w:right w:val="nil"/>
            </w:tcBorders>
          </w:tcPr>
          <w:p w14:paraId="175DEDE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0.022</w:t>
            </w:r>
          </w:p>
        </w:tc>
        <w:tc>
          <w:tcPr>
            <w:tcW w:w="823" w:type="dxa"/>
            <w:tcBorders>
              <w:top w:val="nil"/>
              <w:left w:val="nil"/>
              <w:right w:val="nil"/>
            </w:tcBorders>
          </w:tcPr>
          <w:p w14:paraId="097CE60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0.269</w:t>
            </w:r>
          </w:p>
        </w:tc>
        <w:tc>
          <w:tcPr>
            <w:tcW w:w="823" w:type="dxa"/>
            <w:tcBorders>
              <w:top w:val="nil"/>
              <w:left w:val="nil"/>
              <w:right w:val="nil"/>
            </w:tcBorders>
          </w:tcPr>
          <w:p w14:paraId="179160F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0.114</w:t>
            </w:r>
          </w:p>
        </w:tc>
        <w:tc>
          <w:tcPr>
            <w:tcW w:w="823" w:type="dxa"/>
            <w:tcBorders>
              <w:top w:val="nil"/>
              <w:left w:val="nil"/>
              <w:right w:val="nil"/>
            </w:tcBorders>
          </w:tcPr>
          <w:p w14:paraId="3F4226C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-0.174</w:t>
            </w:r>
          </w:p>
        </w:tc>
        <w:tc>
          <w:tcPr>
            <w:tcW w:w="971" w:type="dxa"/>
            <w:tcBorders>
              <w:top w:val="nil"/>
              <w:left w:val="nil"/>
              <w:right w:val="nil"/>
            </w:tcBorders>
          </w:tcPr>
          <w:p w14:paraId="67D62623"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1.000</w:t>
            </w:r>
          </w:p>
        </w:tc>
      </w:tr>
      <w:tr w:rsidR="005D6588" w:rsidRPr="00E3562B" w14:paraId="3D2DF6B0" w14:textId="77777777" w:rsidTr="00294522">
        <w:trPr>
          <w:trHeight w:val="250"/>
        </w:trPr>
        <w:tc>
          <w:tcPr>
            <w:tcW w:w="2222" w:type="dxa"/>
            <w:tcBorders>
              <w:top w:val="nil"/>
              <w:left w:val="nil"/>
              <w:bottom w:val="single" w:sz="4" w:space="0" w:color="auto"/>
              <w:right w:val="nil"/>
            </w:tcBorders>
          </w:tcPr>
          <w:p w14:paraId="1C6DDC23" w14:textId="77777777" w:rsidR="00A60DA1" w:rsidRPr="00E3562B" w:rsidRDefault="00A60DA1" w:rsidP="00294522">
            <w:pPr>
              <w:widowControl w:val="0"/>
              <w:autoSpaceDE w:val="0"/>
              <w:autoSpaceDN w:val="0"/>
              <w:adjustRightInd w:val="0"/>
              <w:spacing w:line="240" w:lineRule="auto"/>
              <w:rPr>
                <w:sz w:val="20"/>
                <w:lang w:val="en-GB"/>
              </w:rPr>
            </w:pPr>
          </w:p>
        </w:tc>
        <w:tc>
          <w:tcPr>
            <w:tcW w:w="823" w:type="dxa"/>
            <w:tcBorders>
              <w:top w:val="nil"/>
              <w:left w:val="nil"/>
              <w:bottom w:val="single" w:sz="4" w:space="0" w:color="auto"/>
              <w:right w:val="nil"/>
            </w:tcBorders>
          </w:tcPr>
          <w:p w14:paraId="3DA2FAF7"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(0.002)</w:t>
            </w:r>
          </w:p>
        </w:tc>
        <w:tc>
          <w:tcPr>
            <w:tcW w:w="823" w:type="dxa"/>
            <w:tcBorders>
              <w:top w:val="nil"/>
              <w:left w:val="nil"/>
              <w:bottom w:val="single" w:sz="4" w:space="0" w:color="auto"/>
              <w:right w:val="nil"/>
            </w:tcBorders>
          </w:tcPr>
          <w:p w14:paraId="30829DD0"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(0.003)</w:t>
            </w:r>
          </w:p>
        </w:tc>
        <w:tc>
          <w:tcPr>
            <w:tcW w:w="823" w:type="dxa"/>
            <w:tcBorders>
              <w:top w:val="nil"/>
              <w:left w:val="nil"/>
              <w:bottom w:val="single" w:sz="4" w:space="0" w:color="auto"/>
              <w:right w:val="nil"/>
            </w:tcBorders>
          </w:tcPr>
          <w:p w14:paraId="1DED045D"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(0.341)</w:t>
            </w:r>
          </w:p>
        </w:tc>
        <w:tc>
          <w:tcPr>
            <w:tcW w:w="823" w:type="dxa"/>
            <w:tcBorders>
              <w:top w:val="nil"/>
              <w:left w:val="nil"/>
              <w:bottom w:val="single" w:sz="4" w:space="0" w:color="auto"/>
              <w:right w:val="nil"/>
            </w:tcBorders>
          </w:tcPr>
          <w:p w14:paraId="28CD286C"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single" w:sz="4" w:space="0" w:color="auto"/>
              <w:right w:val="nil"/>
            </w:tcBorders>
          </w:tcPr>
          <w:p w14:paraId="61947965"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(0.672)</w:t>
            </w:r>
          </w:p>
        </w:tc>
        <w:tc>
          <w:tcPr>
            <w:tcW w:w="823" w:type="dxa"/>
            <w:tcBorders>
              <w:top w:val="nil"/>
              <w:left w:val="nil"/>
              <w:bottom w:val="single" w:sz="4" w:space="0" w:color="auto"/>
              <w:right w:val="nil"/>
            </w:tcBorders>
          </w:tcPr>
          <w:p w14:paraId="1802007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(0.146)</w:t>
            </w:r>
          </w:p>
        </w:tc>
        <w:tc>
          <w:tcPr>
            <w:tcW w:w="823" w:type="dxa"/>
            <w:tcBorders>
              <w:top w:val="nil"/>
              <w:left w:val="nil"/>
              <w:bottom w:val="single" w:sz="4" w:space="0" w:color="auto"/>
              <w:right w:val="nil"/>
            </w:tcBorders>
          </w:tcPr>
          <w:p w14:paraId="1FD7C65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(0.098)</w:t>
            </w:r>
          </w:p>
        </w:tc>
        <w:tc>
          <w:tcPr>
            <w:tcW w:w="823" w:type="dxa"/>
            <w:tcBorders>
              <w:top w:val="nil"/>
              <w:left w:val="nil"/>
              <w:bottom w:val="single" w:sz="4" w:space="0" w:color="auto"/>
              <w:right w:val="nil"/>
            </w:tcBorders>
          </w:tcPr>
          <w:p w14:paraId="33E0E8E6"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single" w:sz="4" w:space="0" w:color="auto"/>
              <w:right w:val="nil"/>
            </w:tcBorders>
          </w:tcPr>
          <w:p w14:paraId="56538B9B"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single" w:sz="4" w:space="0" w:color="auto"/>
              <w:right w:val="nil"/>
            </w:tcBorders>
          </w:tcPr>
          <w:p w14:paraId="5E1FA128"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(0.636)</w:t>
            </w:r>
          </w:p>
        </w:tc>
        <w:tc>
          <w:tcPr>
            <w:tcW w:w="823" w:type="dxa"/>
            <w:tcBorders>
              <w:top w:val="nil"/>
              <w:left w:val="nil"/>
              <w:bottom w:val="single" w:sz="4" w:space="0" w:color="auto"/>
              <w:right w:val="nil"/>
            </w:tcBorders>
          </w:tcPr>
          <w:p w14:paraId="7E76724A"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823" w:type="dxa"/>
            <w:tcBorders>
              <w:top w:val="nil"/>
              <w:left w:val="nil"/>
              <w:bottom w:val="single" w:sz="4" w:space="0" w:color="auto"/>
              <w:right w:val="nil"/>
            </w:tcBorders>
          </w:tcPr>
          <w:p w14:paraId="210B7D44"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(0.013)</w:t>
            </w:r>
          </w:p>
        </w:tc>
        <w:tc>
          <w:tcPr>
            <w:tcW w:w="823" w:type="dxa"/>
            <w:tcBorders>
              <w:top w:val="nil"/>
              <w:left w:val="nil"/>
              <w:bottom w:val="single" w:sz="4" w:space="0" w:color="auto"/>
              <w:right w:val="nil"/>
            </w:tcBorders>
          </w:tcPr>
          <w:p w14:paraId="50D16142" w14:textId="77777777" w:rsidR="00A60DA1" w:rsidRPr="00E3562B" w:rsidRDefault="00A60DA1" w:rsidP="00294522">
            <w:pPr>
              <w:widowControl w:val="0"/>
              <w:autoSpaceDE w:val="0"/>
              <w:autoSpaceDN w:val="0"/>
              <w:adjustRightInd w:val="0"/>
              <w:spacing w:line="240" w:lineRule="auto"/>
              <w:jc w:val="right"/>
              <w:rPr>
                <w:sz w:val="20"/>
                <w:lang w:val="en-GB"/>
              </w:rPr>
            </w:pPr>
            <w:r w:rsidRPr="00E3562B">
              <w:rPr>
                <w:sz w:val="20"/>
                <w:lang w:val="en-GB"/>
              </w:rPr>
              <w:t>(0.000)</w:t>
            </w:r>
          </w:p>
        </w:tc>
        <w:tc>
          <w:tcPr>
            <w:tcW w:w="971" w:type="dxa"/>
            <w:tcBorders>
              <w:top w:val="nil"/>
              <w:left w:val="nil"/>
              <w:bottom w:val="single" w:sz="4" w:space="0" w:color="auto"/>
              <w:right w:val="nil"/>
            </w:tcBorders>
          </w:tcPr>
          <w:p w14:paraId="0B8D0CBA" w14:textId="77777777" w:rsidR="00A60DA1" w:rsidRPr="00E3562B" w:rsidRDefault="00A60DA1" w:rsidP="00294522">
            <w:pPr>
              <w:widowControl w:val="0"/>
              <w:autoSpaceDE w:val="0"/>
              <w:autoSpaceDN w:val="0"/>
              <w:adjustRightInd w:val="0"/>
              <w:spacing w:line="240" w:lineRule="auto"/>
              <w:jc w:val="right"/>
              <w:rPr>
                <w:sz w:val="20"/>
                <w:lang w:val="en-GB"/>
              </w:rPr>
            </w:pPr>
          </w:p>
        </w:tc>
      </w:tr>
    </w:tbl>
    <w:p w14:paraId="275DA3D8" w14:textId="77777777" w:rsidR="00A60DA1" w:rsidRPr="00E3562B" w:rsidRDefault="00A60DA1" w:rsidP="00A60DA1">
      <w:pPr>
        <w:spacing w:line="240" w:lineRule="auto"/>
        <w:rPr>
          <w:i/>
          <w:iCs/>
          <w:sz w:val="20"/>
          <w:lang w:val="en-GB"/>
        </w:rPr>
      </w:pPr>
      <w:r w:rsidRPr="00E3562B">
        <w:rPr>
          <w:i/>
          <w:iCs/>
          <w:sz w:val="20"/>
          <w:lang w:val="en-GB"/>
        </w:rPr>
        <w:t>Note: Detailed definitions of all variables are available in Table 2.</w:t>
      </w:r>
    </w:p>
    <w:p w14:paraId="4E634A25" w14:textId="77777777" w:rsidR="00A60DA1" w:rsidRPr="00E3562B" w:rsidRDefault="00A60DA1" w:rsidP="00A60DA1">
      <w:pPr>
        <w:spacing w:line="240" w:lineRule="auto"/>
        <w:rPr>
          <w:i/>
          <w:iCs/>
          <w:sz w:val="22"/>
          <w:szCs w:val="22"/>
          <w:lang w:val="en-GB"/>
        </w:rPr>
      </w:pPr>
    </w:p>
    <w:p w14:paraId="52203B84" w14:textId="77777777" w:rsidR="00A60DA1" w:rsidRPr="00E3562B" w:rsidRDefault="00A60DA1" w:rsidP="00A60DA1">
      <w:pPr>
        <w:spacing w:line="240" w:lineRule="auto"/>
        <w:jc w:val="left"/>
        <w:rPr>
          <w:b/>
          <w:bCs/>
          <w:sz w:val="20"/>
          <w:lang w:val="en-GB"/>
        </w:rPr>
        <w:sectPr w:rsidR="00A60DA1" w:rsidRPr="00E3562B" w:rsidSect="00625A08">
          <w:headerReference w:type="even" r:id="rId16"/>
          <w:headerReference w:type="default" r:id="rId17"/>
          <w:footerReference w:type="even" r:id="rId18"/>
          <w:footerReference w:type="default" r:id="rId19"/>
          <w:headerReference w:type="first" r:id="rId20"/>
          <w:footerReference w:type="first" r:id="rId21"/>
          <w:pgSz w:w="16840" w:h="11900" w:orient="landscape"/>
          <w:pgMar w:top="1797" w:right="1440" w:bottom="1797" w:left="1440" w:header="709" w:footer="709" w:gutter="0"/>
          <w:cols w:space="708"/>
        </w:sectPr>
      </w:pPr>
    </w:p>
    <w:p w14:paraId="39981B22" w14:textId="77777777" w:rsidR="00A60DA1" w:rsidRPr="00E3562B" w:rsidRDefault="00A60DA1" w:rsidP="00A60DA1">
      <w:pPr>
        <w:spacing w:line="240" w:lineRule="auto"/>
        <w:rPr>
          <w:lang w:val="en-GB"/>
        </w:rPr>
      </w:pPr>
      <w:r w:rsidRPr="00E3562B">
        <w:rPr>
          <w:b/>
          <w:bCs/>
          <w:lang w:val="en-GB"/>
        </w:rPr>
        <w:lastRenderedPageBreak/>
        <w:t>Table 6</w:t>
      </w:r>
      <w:r w:rsidRPr="00E3562B">
        <w:rPr>
          <w:lang w:val="en-GB"/>
        </w:rPr>
        <w:t>. Fixed-effect regression results of association between CEO power, BGD and MSDI</w:t>
      </w:r>
    </w:p>
    <w:tbl>
      <w:tblPr>
        <w:tblW w:w="9072" w:type="dxa"/>
        <w:jc w:val="center"/>
        <w:tblLayout w:type="fixed"/>
        <w:tblLook w:val="04A0" w:firstRow="1" w:lastRow="0" w:firstColumn="1" w:lastColumn="0" w:noHBand="0" w:noVBand="1"/>
      </w:tblPr>
      <w:tblGrid>
        <w:gridCol w:w="1856"/>
        <w:gridCol w:w="2822"/>
        <w:gridCol w:w="2268"/>
        <w:gridCol w:w="2126"/>
      </w:tblGrid>
      <w:tr w:rsidR="005D6588" w:rsidRPr="00E3562B" w14:paraId="027F7C32" w14:textId="77777777" w:rsidTr="00294522">
        <w:trPr>
          <w:trHeight w:val="561"/>
          <w:jc w:val="center"/>
        </w:trPr>
        <w:tc>
          <w:tcPr>
            <w:tcW w:w="1856" w:type="dxa"/>
            <w:tcBorders>
              <w:top w:val="single" w:sz="4" w:space="0" w:color="auto"/>
              <w:left w:val="nil"/>
              <w:bottom w:val="single" w:sz="4" w:space="0" w:color="auto"/>
              <w:right w:val="nil"/>
            </w:tcBorders>
            <w:shd w:val="clear" w:color="auto" w:fill="FFFFFF" w:themeFill="background1"/>
          </w:tcPr>
          <w:p w14:paraId="1B55BB93" w14:textId="77777777" w:rsidR="00A60DA1" w:rsidRPr="00E3562B" w:rsidRDefault="00A60DA1" w:rsidP="00294522">
            <w:pPr>
              <w:spacing w:line="276" w:lineRule="auto"/>
              <w:rPr>
                <w:rFonts w:asciiTheme="majorBidi" w:hAnsiTheme="majorBidi" w:cstheme="majorBidi"/>
                <w:sz w:val="22"/>
                <w:szCs w:val="22"/>
                <w:lang w:val="en-GB"/>
              </w:rPr>
            </w:pPr>
          </w:p>
        </w:tc>
        <w:tc>
          <w:tcPr>
            <w:tcW w:w="2822" w:type="dxa"/>
            <w:tcBorders>
              <w:top w:val="single" w:sz="4" w:space="0" w:color="auto"/>
              <w:left w:val="nil"/>
              <w:bottom w:val="single" w:sz="4" w:space="0" w:color="auto"/>
              <w:right w:val="nil"/>
            </w:tcBorders>
            <w:shd w:val="clear" w:color="auto" w:fill="FFFFFF" w:themeFill="background1"/>
          </w:tcPr>
          <w:p w14:paraId="4309B02C"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MSDI</w:t>
            </w:r>
          </w:p>
          <w:p w14:paraId="65B8638B"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(1) </w:t>
            </w:r>
          </w:p>
        </w:tc>
        <w:tc>
          <w:tcPr>
            <w:tcW w:w="2268" w:type="dxa"/>
            <w:tcBorders>
              <w:top w:val="single" w:sz="4" w:space="0" w:color="auto"/>
              <w:left w:val="nil"/>
              <w:bottom w:val="single" w:sz="4" w:space="0" w:color="auto"/>
              <w:right w:val="nil"/>
            </w:tcBorders>
            <w:shd w:val="clear" w:color="auto" w:fill="FFFFFF" w:themeFill="background1"/>
          </w:tcPr>
          <w:p w14:paraId="6DCFCA59"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MSDI</w:t>
            </w:r>
          </w:p>
          <w:p w14:paraId="5792A607"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(2) </w:t>
            </w:r>
          </w:p>
        </w:tc>
        <w:tc>
          <w:tcPr>
            <w:tcW w:w="2126" w:type="dxa"/>
            <w:tcBorders>
              <w:top w:val="single" w:sz="4" w:space="0" w:color="auto"/>
              <w:left w:val="nil"/>
              <w:bottom w:val="single" w:sz="4" w:space="0" w:color="auto"/>
              <w:right w:val="nil"/>
            </w:tcBorders>
            <w:shd w:val="clear" w:color="auto" w:fill="FFFFFF" w:themeFill="background1"/>
          </w:tcPr>
          <w:p w14:paraId="2FF83163"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MSDI</w:t>
            </w:r>
          </w:p>
          <w:p w14:paraId="5F8B6A72"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(3) </w:t>
            </w:r>
          </w:p>
        </w:tc>
      </w:tr>
      <w:tr w:rsidR="005D6588" w:rsidRPr="00E3562B" w14:paraId="4874AEF4" w14:textId="77777777" w:rsidTr="00294522">
        <w:trPr>
          <w:trHeight w:val="262"/>
          <w:jc w:val="center"/>
        </w:trPr>
        <w:tc>
          <w:tcPr>
            <w:tcW w:w="1856" w:type="dxa"/>
            <w:tcBorders>
              <w:top w:val="single" w:sz="4" w:space="0" w:color="auto"/>
              <w:left w:val="nil"/>
              <w:bottom w:val="nil"/>
              <w:right w:val="nil"/>
            </w:tcBorders>
            <w:shd w:val="clear" w:color="auto" w:fill="FFFFFF" w:themeFill="background1"/>
          </w:tcPr>
          <w:p w14:paraId="6FCC4967"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CEOP</w:t>
            </w:r>
          </w:p>
        </w:tc>
        <w:tc>
          <w:tcPr>
            <w:tcW w:w="2822" w:type="dxa"/>
            <w:tcBorders>
              <w:top w:val="single" w:sz="4" w:space="0" w:color="auto"/>
              <w:left w:val="nil"/>
              <w:bottom w:val="nil"/>
              <w:right w:val="nil"/>
            </w:tcBorders>
          </w:tcPr>
          <w:p w14:paraId="0B28D9F4"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-3.278*</w:t>
            </w:r>
          </w:p>
        </w:tc>
        <w:tc>
          <w:tcPr>
            <w:tcW w:w="2268" w:type="dxa"/>
            <w:tcBorders>
              <w:top w:val="single" w:sz="4" w:space="0" w:color="auto"/>
              <w:left w:val="nil"/>
              <w:bottom w:val="nil"/>
              <w:right w:val="nil"/>
            </w:tcBorders>
            <w:shd w:val="clear" w:color="auto" w:fill="FFFFFF" w:themeFill="background1"/>
          </w:tcPr>
          <w:p w14:paraId="393E0E7A" w14:textId="77777777" w:rsidR="00A60DA1" w:rsidRPr="00E3562B" w:rsidRDefault="00A60DA1" w:rsidP="00294522">
            <w:pPr>
              <w:spacing w:line="276" w:lineRule="auto"/>
              <w:jc w:val="right"/>
              <w:rPr>
                <w:rFonts w:asciiTheme="majorBidi" w:hAnsiTheme="majorBidi" w:cstheme="majorBidi"/>
                <w:sz w:val="22"/>
                <w:szCs w:val="22"/>
                <w:lang w:val="en-GB"/>
              </w:rPr>
            </w:pPr>
          </w:p>
        </w:tc>
        <w:tc>
          <w:tcPr>
            <w:tcW w:w="2126" w:type="dxa"/>
            <w:tcBorders>
              <w:top w:val="single" w:sz="4" w:space="0" w:color="auto"/>
              <w:left w:val="nil"/>
              <w:bottom w:val="nil"/>
              <w:right w:val="nil"/>
            </w:tcBorders>
          </w:tcPr>
          <w:p w14:paraId="1CBE37F0"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-3.390**</w:t>
            </w:r>
          </w:p>
        </w:tc>
      </w:tr>
      <w:tr w:rsidR="005D6588" w:rsidRPr="00E3562B" w14:paraId="701693DC" w14:textId="77777777" w:rsidTr="00294522">
        <w:trPr>
          <w:trHeight w:val="262"/>
          <w:jc w:val="center"/>
        </w:trPr>
        <w:tc>
          <w:tcPr>
            <w:tcW w:w="1856" w:type="dxa"/>
            <w:tcBorders>
              <w:top w:val="nil"/>
              <w:left w:val="nil"/>
              <w:bottom w:val="nil"/>
              <w:right w:val="nil"/>
            </w:tcBorders>
            <w:shd w:val="clear" w:color="auto" w:fill="FFFFFF" w:themeFill="background1"/>
          </w:tcPr>
          <w:p w14:paraId="3F68AC65"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2822" w:type="dxa"/>
            <w:tcBorders>
              <w:top w:val="nil"/>
              <w:left w:val="nil"/>
              <w:bottom w:val="nil"/>
              <w:right w:val="nil"/>
            </w:tcBorders>
          </w:tcPr>
          <w:p w14:paraId="2DAA6BCB"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(-1.965)</w:t>
            </w:r>
          </w:p>
        </w:tc>
        <w:tc>
          <w:tcPr>
            <w:tcW w:w="2268" w:type="dxa"/>
            <w:tcBorders>
              <w:top w:val="nil"/>
              <w:left w:val="nil"/>
              <w:bottom w:val="nil"/>
              <w:right w:val="nil"/>
            </w:tcBorders>
            <w:shd w:val="clear" w:color="auto" w:fill="FFFFFF" w:themeFill="background1"/>
          </w:tcPr>
          <w:p w14:paraId="7DF6210F" w14:textId="77777777" w:rsidR="00A60DA1" w:rsidRPr="00E3562B" w:rsidRDefault="00A60DA1" w:rsidP="00294522">
            <w:pPr>
              <w:spacing w:line="276" w:lineRule="auto"/>
              <w:jc w:val="right"/>
              <w:rPr>
                <w:rFonts w:asciiTheme="majorBidi" w:hAnsiTheme="majorBidi" w:cstheme="majorBidi"/>
                <w:sz w:val="22"/>
                <w:szCs w:val="22"/>
                <w:lang w:val="en-GB"/>
              </w:rPr>
            </w:pPr>
          </w:p>
        </w:tc>
        <w:tc>
          <w:tcPr>
            <w:tcW w:w="2126" w:type="dxa"/>
            <w:tcBorders>
              <w:top w:val="nil"/>
              <w:left w:val="nil"/>
              <w:bottom w:val="nil"/>
              <w:right w:val="nil"/>
            </w:tcBorders>
          </w:tcPr>
          <w:p w14:paraId="665F463E"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(-2.079)</w:t>
            </w:r>
          </w:p>
        </w:tc>
      </w:tr>
      <w:tr w:rsidR="005D6588" w:rsidRPr="00E3562B" w14:paraId="7C899BA2" w14:textId="77777777" w:rsidTr="00294522">
        <w:trPr>
          <w:trHeight w:val="262"/>
          <w:jc w:val="center"/>
        </w:trPr>
        <w:tc>
          <w:tcPr>
            <w:tcW w:w="1856" w:type="dxa"/>
            <w:tcBorders>
              <w:top w:val="nil"/>
              <w:left w:val="nil"/>
              <w:bottom w:val="nil"/>
              <w:right w:val="nil"/>
            </w:tcBorders>
            <w:shd w:val="clear" w:color="auto" w:fill="FFFFFF" w:themeFill="background1"/>
          </w:tcPr>
          <w:p w14:paraId="2D3348DF"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BGD</w:t>
            </w:r>
          </w:p>
        </w:tc>
        <w:tc>
          <w:tcPr>
            <w:tcW w:w="2822" w:type="dxa"/>
            <w:tcBorders>
              <w:top w:val="nil"/>
              <w:left w:val="nil"/>
              <w:bottom w:val="nil"/>
              <w:right w:val="nil"/>
            </w:tcBorders>
            <w:shd w:val="clear" w:color="auto" w:fill="FFFFFF" w:themeFill="background1"/>
          </w:tcPr>
          <w:p w14:paraId="237F66DC" w14:textId="77777777" w:rsidR="00A60DA1" w:rsidRPr="00E3562B" w:rsidRDefault="00A60DA1" w:rsidP="00294522">
            <w:pPr>
              <w:spacing w:line="276" w:lineRule="auto"/>
              <w:jc w:val="right"/>
              <w:rPr>
                <w:rFonts w:asciiTheme="majorBidi" w:hAnsiTheme="majorBidi" w:cstheme="majorBidi"/>
                <w:sz w:val="22"/>
                <w:szCs w:val="22"/>
                <w:lang w:val="en-GB"/>
              </w:rPr>
            </w:pPr>
          </w:p>
        </w:tc>
        <w:tc>
          <w:tcPr>
            <w:tcW w:w="2268" w:type="dxa"/>
            <w:tcBorders>
              <w:top w:val="nil"/>
              <w:left w:val="nil"/>
              <w:bottom w:val="nil"/>
              <w:right w:val="nil"/>
            </w:tcBorders>
          </w:tcPr>
          <w:p w14:paraId="6999C336"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0.275***</w:t>
            </w:r>
          </w:p>
        </w:tc>
        <w:tc>
          <w:tcPr>
            <w:tcW w:w="2126" w:type="dxa"/>
            <w:tcBorders>
              <w:top w:val="nil"/>
              <w:left w:val="nil"/>
              <w:bottom w:val="nil"/>
              <w:right w:val="nil"/>
            </w:tcBorders>
          </w:tcPr>
          <w:p w14:paraId="4AE2DEC9"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0.277***</w:t>
            </w:r>
          </w:p>
        </w:tc>
      </w:tr>
      <w:tr w:rsidR="005D6588" w:rsidRPr="00E3562B" w14:paraId="6914A9FA" w14:textId="77777777" w:rsidTr="00294522">
        <w:trPr>
          <w:trHeight w:val="262"/>
          <w:jc w:val="center"/>
        </w:trPr>
        <w:tc>
          <w:tcPr>
            <w:tcW w:w="1856" w:type="dxa"/>
            <w:tcBorders>
              <w:top w:val="nil"/>
              <w:left w:val="nil"/>
              <w:bottom w:val="nil"/>
              <w:right w:val="nil"/>
            </w:tcBorders>
            <w:shd w:val="clear" w:color="auto" w:fill="FFFFFF" w:themeFill="background1"/>
          </w:tcPr>
          <w:p w14:paraId="46249528"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2822" w:type="dxa"/>
            <w:tcBorders>
              <w:top w:val="nil"/>
              <w:left w:val="nil"/>
              <w:bottom w:val="nil"/>
              <w:right w:val="nil"/>
            </w:tcBorders>
            <w:shd w:val="clear" w:color="auto" w:fill="FFFFFF" w:themeFill="background1"/>
          </w:tcPr>
          <w:p w14:paraId="047AEA63" w14:textId="77777777" w:rsidR="00A60DA1" w:rsidRPr="00E3562B" w:rsidRDefault="00A60DA1" w:rsidP="00294522">
            <w:pPr>
              <w:spacing w:line="276" w:lineRule="auto"/>
              <w:jc w:val="right"/>
              <w:rPr>
                <w:rFonts w:asciiTheme="majorBidi" w:hAnsiTheme="majorBidi" w:cstheme="majorBidi"/>
                <w:sz w:val="22"/>
                <w:szCs w:val="22"/>
                <w:lang w:val="en-GB"/>
              </w:rPr>
            </w:pPr>
          </w:p>
        </w:tc>
        <w:tc>
          <w:tcPr>
            <w:tcW w:w="2268" w:type="dxa"/>
            <w:tcBorders>
              <w:top w:val="nil"/>
              <w:left w:val="nil"/>
              <w:bottom w:val="nil"/>
              <w:right w:val="nil"/>
            </w:tcBorders>
          </w:tcPr>
          <w:p w14:paraId="7A7E9D0C"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(4.293)</w:t>
            </w:r>
          </w:p>
        </w:tc>
        <w:tc>
          <w:tcPr>
            <w:tcW w:w="2126" w:type="dxa"/>
            <w:tcBorders>
              <w:top w:val="nil"/>
              <w:left w:val="nil"/>
              <w:bottom w:val="nil"/>
              <w:right w:val="nil"/>
            </w:tcBorders>
          </w:tcPr>
          <w:p w14:paraId="665BC154"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(4.343)</w:t>
            </w:r>
          </w:p>
        </w:tc>
      </w:tr>
      <w:tr w:rsidR="005D6588" w:rsidRPr="00E3562B" w14:paraId="74A37C82" w14:textId="77777777" w:rsidTr="00294522">
        <w:trPr>
          <w:trHeight w:val="262"/>
          <w:jc w:val="center"/>
        </w:trPr>
        <w:tc>
          <w:tcPr>
            <w:tcW w:w="1856" w:type="dxa"/>
            <w:tcBorders>
              <w:top w:val="nil"/>
              <w:left w:val="nil"/>
              <w:bottom w:val="nil"/>
              <w:right w:val="nil"/>
            </w:tcBorders>
            <w:shd w:val="clear" w:color="auto" w:fill="FFFFFF" w:themeFill="background1"/>
          </w:tcPr>
          <w:p w14:paraId="58C9BC54"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FSIZE</w:t>
            </w:r>
          </w:p>
        </w:tc>
        <w:tc>
          <w:tcPr>
            <w:tcW w:w="2822" w:type="dxa"/>
            <w:tcBorders>
              <w:top w:val="nil"/>
              <w:left w:val="nil"/>
              <w:bottom w:val="nil"/>
              <w:right w:val="nil"/>
            </w:tcBorders>
          </w:tcPr>
          <w:p w14:paraId="4E4ABA8E"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1.246***</w:t>
            </w:r>
          </w:p>
        </w:tc>
        <w:tc>
          <w:tcPr>
            <w:tcW w:w="2268" w:type="dxa"/>
            <w:tcBorders>
              <w:top w:val="nil"/>
              <w:left w:val="nil"/>
              <w:bottom w:val="nil"/>
              <w:right w:val="nil"/>
            </w:tcBorders>
          </w:tcPr>
          <w:p w14:paraId="23E3C3D6"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1.262***</w:t>
            </w:r>
          </w:p>
        </w:tc>
        <w:tc>
          <w:tcPr>
            <w:tcW w:w="2126" w:type="dxa"/>
            <w:tcBorders>
              <w:top w:val="nil"/>
              <w:left w:val="nil"/>
              <w:bottom w:val="nil"/>
              <w:right w:val="nil"/>
            </w:tcBorders>
          </w:tcPr>
          <w:p w14:paraId="73DCB1F2"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1.240***</w:t>
            </w:r>
          </w:p>
        </w:tc>
      </w:tr>
      <w:tr w:rsidR="005D6588" w:rsidRPr="00E3562B" w14:paraId="7531C6B5" w14:textId="77777777" w:rsidTr="00294522">
        <w:trPr>
          <w:trHeight w:val="262"/>
          <w:jc w:val="center"/>
        </w:trPr>
        <w:tc>
          <w:tcPr>
            <w:tcW w:w="1856" w:type="dxa"/>
            <w:tcBorders>
              <w:top w:val="nil"/>
              <w:left w:val="nil"/>
              <w:bottom w:val="nil"/>
              <w:right w:val="nil"/>
            </w:tcBorders>
          </w:tcPr>
          <w:p w14:paraId="3EEC8123"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 </w:t>
            </w:r>
          </w:p>
        </w:tc>
        <w:tc>
          <w:tcPr>
            <w:tcW w:w="2822" w:type="dxa"/>
            <w:tcBorders>
              <w:top w:val="nil"/>
              <w:left w:val="nil"/>
              <w:bottom w:val="nil"/>
              <w:right w:val="nil"/>
            </w:tcBorders>
          </w:tcPr>
          <w:p w14:paraId="1222E393"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(2.879)</w:t>
            </w:r>
          </w:p>
        </w:tc>
        <w:tc>
          <w:tcPr>
            <w:tcW w:w="2268" w:type="dxa"/>
            <w:tcBorders>
              <w:top w:val="nil"/>
              <w:left w:val="nil"/>
              <w:bottom w:val="nil"/>
              <w:right w:val="nil"/>
            </w:tcBorders>
          </w:tcPr>
          <w:p w14:paraId="5F81394B"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(2.971)</w:t>
            </w:r>
          </w:p>
        </w:tc>
        <w:tc>
          <w:tcPr>
            <w:tcW w:w="2126" w:type="dxa"/>
            <w:tcBorders>
              <w:top w:val="nil"/>
              <w:left w:val="nil"/>
              <w:bottom w:val="nil"/>
              <w:right w:val="nil"/>
            </w:tcBorders>
          </w:tcPr>
          <w:p w14:paraId="7B7FE99B"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(2.931)</w:t>
            </w:r>
          </w:p>
        </w:tc>
      </w:tr>
      <w:tr w:rsidR="005D6588" w:rsidRPr="00E3562B" w14:paraId="11C9E375" w14:textId="77777777" w:rsidTr="00294522">
        <w:trPr>
          <w:trHeight w:val="262"/>
          <w:jc w:val="center"/>
        </w:trPr>
        <w:tc>
          <w:tcPr>
            <w:tcW w:w="1856" w:type="dxa"/>
            <w:tcBorders>
              <w:top w:val="nil"/>
              <w:left w:val="nil"/>
              <w:bottom w:val="nil"/>
              <w:right w:val="nil"/>
            </w:tcBorders>
          </w:tcPr>
          <w:p w14:paraId="11A10112"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ROA</w:t>
            </w:r>
          </w:p>
        </w:tc>
        <w:tc>
          <w:tcPr>
            <w:tcW w:w="2822" w:type="dxa"/>
            <w:tcBorders>
              <w:top w:val="nil"/>
              <w:left w:val="nil"/>
              <w:bottom w:val="nil"/>
              <w:right w:val="nil"/>
            </w:tcBorders>
          </w:tcPr>
          <w:p w14:paraId="68B2D7FE"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0.037</w:t>
            </w:r>
          </w:p>
        </w:tc>
        <w:tc>
          <w:tcPr>
            <w:tcW w:w="2268" w:type="dxa"/>
            <w:tcBorders>
              <w:top w:val="nil"/>
              <w:left w:val="nil"/>
              <w:bottom w:val="nil"/>
              <w:right w:val="nil"/>
            </w:tcBorders>
          </w:tcPr>
          <w:p w14:paraId="30151DEA"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-0.033</w:t>
            </w:r>
          </w:p>
        </w:tc>
        <w:tc>
          <w:tcPr>
            <w:tcW w:w="2126" w:type="dxa"/>
            <w:tcBorders>
              <w:top w:val="nil"/>
              <w:left w:val="nil"/>
              <w:bottom w:val="nil"/>
              <w:right w:val="nil"/>
            </w:tcBorders>
          </w:tcPr>
          <w:p w14:paraId="35297067"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-0.02a4</w:t>
            </w:r>
          </w:p>
        </w:tc>
      </w:tr>
      <w:tr w:rsidR="005D6588" w:rsidRPr="00E3562B" w14:paraId="09022156" w14:textId="77777777" w:rsidTr="00294522">
        <w:trPr>
          <w:trHeight w:val="262"/>
          <w:jc w:val="center"/>
        </w:trPr>
        <w:tc>
          <w:tcPr>
            <w:tcW w:w="1856" w:type="dxa"/>
            <w:tcBorders>
              <w:top w:val="nil"/>
              <w:left w:val="nil"/>
              <w:bottom w:val="nil"/>
              <w:right w:val="nil"/>
            </w:tcBorders>
          </w:tcPr>
          <w:p w14:paraId="0927B049"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 </w:t>
            </w:r>
          </w:p>
        </w:tc>
        <w:tc>
          <w:tcPr>
            <w:tcW w:w="2822" w:type="dxa"/>
            <w:tcBorders>
              <w:top w:val="nil"/>
              <w:left w:val="nil"/>
              <w:bottom w:val="nil"/>
              <w:right w:val="nil"/>
            </w:tcBorders>
          </w:tcPr>
          <w:p w14:paraId="52A29D83"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(0.367)</w:t>
            </w:r>
          </w:p>
        </w:tc>
        <w:tc>
          <w:tcPr>
            <w:tcW w:w="2268" w:type="dxa"/>
            <w:tcBorders>
              <w:top w:val="nil"/>
              <w:left w:val="nil"/>
              <w:bottom w:val="nil"/>
              <w:right w:val="nil"/>
            </w:tcBorders>
          </w:tcPr>
          <w:p w14:paraId="43817EE2"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(-0.330)</w:t>
            </w:r>
          </w:p>
        </w:tc>
        <w:tc>
          <w:tcPr>
            <w:tcW w:w="2126" w:type="dxa"/>
            <w:tcBorders>
              <w:top w:val="nil"/>
              <w:left w:val="nil"/>
              <w:bottom w:val="nil"/>
              <w:right w:val="nil"/>
            </w:tcBorders>
          </w:tcPr>
          <w:p w14:paraId="59ED8B34"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(-0.241)</w:t>
            </w:r>
          </w:p>
        </w:tc>
      </w:tr>
      <w:tr w:rsidR="005D6588" w:rsidRPr="00E3562B" w14:paraId="7DE60031" w14:textId="77777777" w:rsidTr="00294522">
        <w:trPr>
          <w:trHeight w:val="262"/>
          <w:jc w:val="center"/>
        </w:trPr>
        <w:tc>
          <w:tcPr>
            <w:tcW w:w="1856" w:type="dxa"/>
            <w:tcBorders>
              <w:top w:val="nil"/>
              <w:left w:val="nil"/>
              <w:bottom w:val="nil"/>
              <w:right w:val="nil"/>
            </w:tcBorders>
          </w:tcPr>
          <w:p w14:paraId="31C592BF"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LEV</w:t>
            </w:r>
          </w:p>
        </w:tc>
        <w:tc>
          <w:tcPr>
            <w:tcW w:w="2822" w:type="dxa"/>
            <w:tcBorders>
              <w:top w:val="nil"/>
              <w:left w:val="nil"/>
              <w:bottom w:val="nil"/>
              <w:right w:val="nil"/>
            </w:tcBorders>
          </w:tcPr>
          <w:p w14:paraId="039B6D33"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0.084**</w:t>
            </w:r>
          </w:p>
        </w:tc>
        <w:tc>
          <w:tcPr>
            <w:tcW w:w="2268" w:type="dxa"/>
            <w:tcBorders>
              <w:top w:val="nil"/>
              <w:left w:val="nil"/>
              <w:bottom w:val="nil"/>
              <w:right w:val="nil"/>
            </w:tcBorders>
          </w:tcPr>
          <w:p w14:paraId="7CB8FFC3"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0.084**</w:t>
            </w:r>
          </w:p>
        </w:tc>
        <w:tc>
          <w:tcPr>
            <w:tcW w:w="2126" w:type="dxa"/>
            <w:tcBorders>
              <w:top w:val="nil"/>
              <w:left w:val="nil"/>
              <w:bottom w:val="nil"/>
              <w:right w:val="nil"/>
            </w:tcBorders>
          </w:tcPr>
          <w:p w14:paraId="6038CB8E"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0.085***</w:t>
            </w:r>
          </w:p>
        </w:tc>
      </w:tr>
      <w:tr w:rsidR="005D6588" w:rsidRPr="00E3562B" w14:paraId="5150A0B1" w14:textId="77777777" w:rsidTr="00294522">
        <w:trPr>
          <w:trHeight w:val="262"/>
          <w:jc w:val="center"/>
        </w:trPr>
        <w:tc>
          <w:tcPr>
            <w:tcW w:w="1856" w:type="dxa"/>
            <w:tcBorders>
              <w:top w:val="nil"/>
              <w:left w:val="nil"/>
              <w:bottom w:val="nil"/>
              <w:right w:val="nil"/>
            </w:tcBorders>
          </w:tcPr>
          <w:p w14:paraId="7BA2506F"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2822" w:type="dxa"/>
            <w:tcBorders>
              <w:top w:val="nil"/>
              <w:left w:val="nil"/>
              <w:bottom w:val="nil"/>
              <w:right w:val="nil"/>
            </w:tcBorders>
          </w:tcPr>
          <w:p w14:paraId="1CF49D40"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(2.510)</w:t>
            </w:r>
          </w:p>
        </w:tc>
        <w:tc>
          <w:tcPr>
            <w:tcW w:w="2268" w:type="dxa"/>
            <w:tcBorders>
              <w:top w:val="nil"/>
              <w:left w:val="nil"/>
              <w:bottom w:val="nil"/>
              <w:right w:val="nil"/>
            </w:tcBorders>
          </w:tcPr>
          <w:p w14:paraId="6F415B84"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(2.581)</w:t>
            </w:r>
          </w:p>
        </w:tc>
        <w:tc>
          <w:tcPr>
            <w:tcW w:w="2126" w:type="dxa"/>
            <w:tcBorders>
              <w:top w:val="nil"/>
              <w:left w:val="nil"/>
              <w:bottom w:val="nil"/>
              <w:right w:val="nil"/>
            </w:tcBorders>
          </w:tcPr>
          <w:p w14:paraId="3960CACB"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(2.611)</w:t>
            </w:r>
          </w:p>
        </w:tc>
      </w:tr>
      <w:tr w:rsidR="005D6588" w:rsidRPr="00E3562B" w14:paraId="594D377A" w14:textId="77777777" w:rsidTr="00294522">
        <w:trPr>
          <w:trHeight w:val="262"/>
          <w:jc w:val="center"/>
        </w:trPr>
        <w:tc>
          <w:tcPr>
            <w:tcW w:w="1856" w:type="dxa"/>
            <w:tcBorders>
              <w:top w:val="nil"/>
              <w:left w:val="nil"/>
              <w:bottom w:val="nil"/>
              <w:right w:val="nil"/>
            </w:tcBorders>
          </w:tcPr>
          <w:p w14:paraId="1D318311"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BSIZE</w:t>
            </w:r>
          </w:p>
        </w:tc>
        <w:tc>
          <w:tcPr>
            <w:tcW w:w="2822" w:type="dxa"/>
            <w:tcBorders>
              <w:top w:val="nil"/>
              <w:left w:val="nil"/>
              <w:bottom w:val="nil"/>
              <w:right w:val="nil"/>
            </w:tcBorders>
          </w:tcPr>
          <w:p w14:paraId="0F7DD1B6"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-0.278</w:t>
            </w:r>
          </w:p>
        </w:tc>
        <w:tc>
          <w:tcPr>
            <w:tcW w:w="2268" w:type="dxa"/>
            <w:tcBorders>
              <w:top w:val="nil"/>
              <w:left w:val="nil"/>
              <w:bottom w:val="nil"/>
              <w:right w:val="nil"/>
            </w:tcBorders>
          </w:tcPr>
          <w:p w14:paraId="68E2DEE0"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-0.310</w:t>
            </w:r>
          </w:p>
        </w:tc>
        <w:tc>
          <w:tcPr>
            <w:tcW w:w="2126" w:type="dxa"/>
            <w:tcBorders>
              <w:top w:val="nil"/>
              <w:left w:val="nil"/>
              <w:bottom w:val="nil"/>
              <w:right w:val="nil"/>
            </w:tcBorders>
          </w:tcPr>
          <w:p w14:paraId="628D1436"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-0.291</w:t>
            </w:r>
          </w:p>
        </w:tc>
      </w:tr>
      <w:tr w:rsidR="005D6588" w:rsidRPr="00E3562B" w14:paraId="6DD9E517" w14:textId="77777777" w:rsidTr="00294522">
        <w:trPr>
          <w:trHeight w:val="262"/>
          <w:jc w:val="center"/>
        </w:trPr>
        <w:tc>
          <w:tcPr>
            <w:tcW w:w="1856" w:type="dxa"/>
            <w:tcBorders>
              <w:top w:val="nil"/>
              <w:left w:val="nil"/>
              <w:bottom w:val="nil"/>
              <w:right w:val="nil"/>
            </w:tcBorders>
          </w:tcPr>
          <w:p w14:paraId="025637B0"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2822" w:type="dxa"/>
            <w:tcBorders>
              <w:top w:val="nil"/>
              <w:left w:val="nil"/>
              <w:bottom w:val="nil"/>
              <w:right w:val="nil"/>
            </w:tcBorders>
          </w:tcPr>
          <w:p w14:paraId="40A311C9"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(-0.865)</w:t>
            </w:r>
          </w:p>
        </w:tc>
        <w:tc>
          <w:tcPr>
            <w:tcW w:w="2268" w:type="dxa"/>
            <w:tcBorders>
              <w:top w:val="nil"/>
              <w:left w:val="nil"/>
              <w:bottom w:val="nil"/>
              <w:right w:val="nil"/>
            </w:tcBorders>
          </w:tcPr>
          <w:p w14:paraId="4AEE245D"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(-0.982)</w:t>
            </w:r>
          </w:p>
        </w:tc>
        <w:tc>
          <w:tcPr>
            <w:tcW w:w="2126" w:type="dxa"/>
            <w:tcBorders>
              <w:top w:val="nil"/>
              <w:left w:val="nil"/>
              <w:bottom w:val="nil"/>
              <w:right w:val="nil"/>
            </w:tcBorders>
          </w:tcPr>
          <w:p w14:paraId="2CF5D42F"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(-0.927)</w:t>
            </w:r>
          </w:p>
        </w:tc>
      </w:tr>
      <w:tr w:rsidR="005D6588" w:rsidRPr="00E3562B" w14:paraId="671D699D" w14:textId="77777777" w:rsidTr="00294522">
        <w:trPr>
          <w:trHeight w:val="262"/>
          <w:jc w:val="center"/>
        </w:trPr>
        <w:tc>
          <w:tcPr>
            <w:tcW w:w="1856" w:type="dxa"/>
            <w:tcBorders>
              <w:top w:val="nil"/>
              <w:left w:val="nil"/>
              <w:bottom w:val="nil"/>
              <w:right w:val="nil"/>
            </w:tcBorders>
          </w:tcPr>
          <w:p w14:paraId="5B369146"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BINDE</w:t>
            </w:r>
          </w:p>
        </w:tc>
        <w:tc>
          <w:tcPr>
            <w:tcW w:w="2822" w:type="dxa"/>
            <w:tcBorders>
              <w:top w:val="nil"/>
              <w:left w:val="nil"/>
              <w:bottom w:val="nil"/>
              <w:right w:val="nil"/>
            </w:tcBorders>
          </w:tcPr>
          <w:p w14:paraId="57701640"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-0.007</w:t>
            </w:r>
          </w:p>
        </w:tc>
        <w:tc>
          <w:tcPr>
            <w:tcW w:w="2268" w:type="dxa"/>
            <w:tcBorders>
              <w:top w:val="nil"/>
              <w:left w:val="nil"/>
              <w:bottom w:val="nil"/>
              <w:right w:val="nil"/>
            </w:tcBorders>
          </w:tcPr>
          <w:p w14:paraId="02127DB4"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0.088*</w:t>
            </w:r>
          </w:p>
        </w:tc>
        <w:tc>
          <w:tcPr>
            <w:tcW w:w="2126" w:type="dxa"/>
            <w:tcBorders>
              <w:top w:val="nil"/>
              <w:left w:val="nil"/>
              <w:bottom w:val="nil"/>
              <w:right w:val="nil"/>
            </w:tcBorders>
          </w:tcPr>
          <w:p w14:paraId="1A6D1DD0"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-0.053</w:t>
            </w:r>
          </w:p>
        </w:tc>
      </w:tr>
      <w:tr w:rsidR="005D6588" w:rsidRPr="00E3562B" w14:paraId="7E54CB77" w14:textId="77777777" w:rsidTr="00294522">
        <w:trPr>
          <w:trHeight w:val="262"/>
          <w:jc w:val="center"/>
        </w:trPr>
        <w:tc>
          <w:tcPr>
            <w:tcW w:w="1856" w:type="dxa"/>
            <w:tcBorders>
              <w:top w:val="nil"/>
              <w:left w:val="nil"/>
              <w:bottom w:val="nil"/>
              <w:right w:val="nil"/>
            </w:tcBorders>
          </w:tcPr>
          <w:p w14:paraId="6E698D97"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2822" w:type="dxa"/>
            <w:tcBorders>
              <w:top w:val="nil"/>
              <w:left w:val="nil"/>
              <w:bottom w:val="nil"/>
              <w:right w:val="nil"/>
            </w:tcBorders>
          </w:tcPr>
          <w:p w14:paraId="6269C6B9"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(-0.075)</w:t>
            </w:r>
          </w:p>
        </w:tc>
        <w:tc>
          <w:tcPr>
            <w:tcW w:w="2268" w:type="dxa"/>
            <w:tcBorders>
              <w:top w:val="nil"/>
              <w:left w:val="nil"/>
              <w:bottom w:val="nil"/>
              <w:right w:val="nil"/>
            </w:tcBorders>
          </w:tcPr>
          <w:p w14:paraId="0EF9A491"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(1.672)</w:t>
            </w:r>
          </w:p>
        </w:tc>
        <w:tc>
          <w:tcPr>
            <w:tcW w:w="2126" w:type="dxa"/>
            <w:tcBorders>
              <w:top w:val="nil"/>
              <w:left w:val="nil"/>
              <w:bottom w:val="nil"/>
              <w:right w:val="nil"/>
            </w:tcBorders>
          </w:tcPr>
          <w:p w14:paraId="1A2AFDBC"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(-0.613)</w:t>
            </w:r>
          </w:p>
        </w:tc>
      </w:tr>
      <w:tr w:rsidR="005D6588" w:rsidRPr="00E3562B" w14:paraId="06D9455A" w14:textId="77777777" w:rsidTr="00294522">
        <w:trPr>
          <w:trHeight w:val="262"/>
          <w:jc w:val="center"/>
        </w:trPr>
        <w:tc>
          <w:tcPr>
            <w:tcW w:w="1856" w:type="dxa"/>
            <w:tcBorders>
              <w:top w:val="nil"/>
              <w:left w:val="nil"/>
              <w:bottom w:val="nil"/>
              <w:right w:val="nil"/>
            </w:tcBorders>
          </w:tcPr>
          <w:p w14:paraId="160EA0F3"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MTBV</w:t>
            </w:r>
          </w:p>
        </w:tc>
        <w:tc>
          <w:tcPr>
            <w:tcW w:w="2822" w:type="dxa"/>
            <w:tcBorders>
              <w:top w:val="nil"/>
              <w:left w:val="nil"/>
              <w:bottom w:val="nil"/>
              <w:right w:val="nil"/>
            </w:tcBorders>
          </w:tcPr>
          <w:p w14:paraId="4A41428C"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0.002</w:t>
            </w:r>
          </w:p>
        </w:tc>
        <w:tc>
          <w:tcPr>
            <w:tcW w:w="2268" w:type="dxa"/>
            <w:tcBorders>
              <w:top w:val="nil"/>
              <w:left w:val="nil"/>
              <w:bottom w:val="nil"/>
              <w:right w:val="nil"/>
            </w:tcBorders>
          </w:tcPr>
          <w:p w14:paraId="44A2DE82"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0.002</w:t>
            </w:r>
          </w:p>
        </w:tc>
        <w:tc>
          <w:tcPr>
            <w:tcW w:w="2126" w:type="dxa"/>
            <w:tcBorders>
              <w:top w:val="nil"/>
              <w:left w:val="nil"/>
              <w:bottom w:val="nil"/>
              <w:right w:val="nil"/>
            </w:tcBorders>
          </w:tcPr>
          <w:p w14:paraId="373EFF6A"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0.003</w:t>
            </w:r>
          </w:p>
        </w:tc>
      </w:tr>
      <w:tr w:rsidR="005D6588" w:rsidRPr="00E3562B" w14:paraId="1B7FE5DE" w14:textId="77777777" w:rsidTr="00294522">
        <w:trPr>
          <w:trHeight w:val="262"/>
          <w:jc w:val="center"/>
        </w:trPr>
        <w:tc>
          <w:tcPr>
            <w:tcW w:w="1856" w:type="dxa"/>
            <w:tcBorders>
              <w:top w:val="nil"/>
              <w:left w:val="nil"/>
              <w:bottom w:val="nil"/>
              <w:right w:val="nil"/>
            </w:tcBorders>
          </w:tcPr>
          <w:p w14:paraId="584637E1"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2822" w:type="dxa"/>
            <w:tcBorders>
              <w:top w:val="nil"/>
              <w:left w:val="nil"/>
              <w:bottom w:val="nil"/>
              <w:right w:val="nil"/>
            </w:tcBorders>
          </w:tcPr>
          <w:p w14:paraId="18DA96B2"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(0.162)</w:t>
            </w:r>
          </w:p>
        </w:tc>
        <w:tc>
          <w:tcPr>
            <w:tcW w:w="2268" w:type="dxa"/>
            <w:tcBorders>
              <w:top w:val="nil"/>
              <w:left w:val="nil"/>
              <w:bottom w:val="nil"/>
              <w:right w:val="nil"/>
            </w:tcBorders>
          </w:tcPr>
          <w:p w14:paraId="14D3E9FB"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(0.293)</w:t>
            </w:r>
          </w:p>
        </w:tc>
        <w:tc>
          <w:tcPr>
            <w:tcW w:w="2126" w:type="dxa"/>
            <w:tcBorders>
              <w:top w:val="nil"/>
              <w:left w:val="nil"/>
              <w:bottom w:val="nil"/>
              <w:right w:val="nil"/>
            </w:tcBorders>
          </w:tcPr>
          <w:p w14:paraId="20C40852"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(0.317)</w:t>
            </w:r>
          </w:p>
        </w:tc>
      </w:tr>
      <w:tr w:rsidR="005D6588" w:rsidRPr="00E3562B" w14:paraId="1A8B3C36" w14:textId="77777777" w:rsidTr="00294522">
        <w:trPr>
          <w:trHeight w:val="262"/>
          <w:jc w:val="center"/>
        </w:trPr>
        <w:tc>
          <w:tcPr>
            <w:tcW w:w="1856" w:type="dxa"/>
            <w:tcBorders>
              <w:top w:val="nil"/>
              <w:left w:val="nil"/>
              <w:bottom w:val="nil"/>
              <w:right w:val="nil"/>
            </w:tcBorders>
          </w:tcPr>
          <w:p w14:paraId="14A23258"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CSRCOM</w:t>
            </w:r>
          </w:p>
        </w:tc>
        <w:tc>
          <w:tcPr>
            <w:tcW w:w="2822" w:type="dxa"/>
            <w:tcBorders>
              <w:top w:val="nil"/>
              <w:left w:val="nil"/>
              <w:bottom w:val="nil"/>
              <w:right w:val="nil"/>
            </w:tcBorders>
          </w:tcPr>
          <w:p w14:paraId="2D721264"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2.744</w:t>
            </w:r>
          </w:p>
        </w:tc>
        <w:tc>
          <w:tcPr>
            <w:tcW w:w="2268" w:type="dxa"/>
            <w:tcBorders>
              <w:top w:val="nil"/>
              <w:left w:val="nil"/>
              <w:bottom w:val="nil"/>
              <w:right w:val="nil"/>
            </w:tcBorders>
          </w:tcPr>
          <w:p w14:paraId="0C38578E"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3.422*</w:t>
            </w:r>
          </w:p>
        </w:tc>
        <w:tc>
          <w:tcPr>
            <w:tcW w:w="2126" w:type="dxa"/>
            <w:tcBorders>
              <w:top w:val="nil"/>
              <w:left w:val="nil"/>
              <w:bottom w:val="nil"/>
              <w:right w:val="nil"/>
            </w:tcBorders>
          </w:tcPr>
          <w:p w14:paraId="6883922A"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3.027</w:t>
            </w:r>
          </w:p>
        </w:tc>
      </w:tr>
      <w:tr w:rsidR="005D6588" w:rsidRPr="00E3562B" w14:paraId="00B587A7" w14:textId="77777777" w:rsidTr="00294522">
        <w:trPr>
          <w:trHeight w:val="262"/>
          <w:jc w:val="center"/>
        </w:trPr>
        <w:tc>
          <w:tcPr>
            <w:tcW w:w="1856" w:type="dxa"/>
            <w:tcBorders>
              <w:top w:val="nil"/>
              <w:left w:val="nil"/>
              <w:bottom w:val="nil"/>
              <w:right w:val="nil"/>
            </w:tcBorders>
          </w:tcPr>
          <w:p w14:paraId="6A91AD1F"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2822" w:type="dxa"/>
            <w:tcBorders>
              <w:top w:val="nil"/>
              <w:left w:val="nil"/>
              <w:bottom w:val="nil"/>
              <w:right w:val="nil"/>
            </w:tcBorders>
          </w:tcPr>
          <w:p w14:paraId="71AB5F5E"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(1.416)</w:t>
            </w:r>
          </w:p>
        </w:tc>
        <w:tc>
          <w:tcPr>
            <w:tcW w:w="2268" w:type="dxa"/>
            <w:tcBorders>
              <w:top w:val="nil"/>
              <w:left w:val="nil"/>
              <w:bottom w:val="nil"/>
              <w:right w:val="nil"/>
            </w:tcBorders>
          </w:tcPr>
          <w:p w14:paraId="56768292"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(1.807)</w:t>
            </w:r>
          </w:p>
        </w:tc>
        <w:tc>
          <w:tcPr>
            <w:tcW w:w="2126" w:type="dxa"/>
            <w:tcBorders>
              <w:top w:val="nil"/>
              <w:left w:val="nil"/>
              <w:bottom w:val="nil"/>
              <w:right w:val="nil"/>
            </w:tcBorders>
          </w:tcPr>
          <w:p w14:paraId="1B7C0AC2"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(1.597)</w:t>
            </w:r>
          </w:p>
        </w:tc>
      </w:tr>
      <w:tr w:rsidR="005D6588" w:rsidRPr="00E3562B" w14:paraId="628A3897" w14:textId="77777777" w:rsidTr="00294522">
        <w:trPr>
          <w:trHeight w:val="262"/>
          <w:jc w:val="center"/>
        </w:trPr>
        <w:tc>
          <w:tcPr>
            <w:tcW w:w="1856" w:type="dxa"/>
            <w:tcBorders>
              <w:top w:val="nil"/>
              <w:left w:val="nil"/>
              <w:bottom w:val="nil"/>
              <w:right w:val="nil"/>
            </w:tcBorders>
          </w:tcPr>
          <w:p w14:paraId="4F21B69B" w14:textId="77777777" w:rsidR="00A60DA1" w:rsidRPr="00E3562B" w:rsidRDefault="00A60DA1" w:rsidP="00294522">
            <w:pPr>
              <w:spacing w:line="276" w:lineRule="auto"/>
              <w:jc w:val="left"/>
              <w:rPr>
                <w:rFonts w:asciiTheme="majorBidi" w:hAnsiTheme="majorBidi" w:cstheme="majorBidi"/>
                <w:iCs/>
                <w:sz w:val="22"/>
                <w:szCs w:val="22"/>
                <w:lang w:val="en-GB"/>
              </w:rPr>
            </w:pPr>
            <w:r w:rsidRPr="00E3562B">
              <w:rPr>
                <w:rFonts w:asciiTheme="majorBidi" w:hAnsiTheme="majorBidi" w:cstheme="majorBidi"/>
                <w:iCs/>
                <w:sz w:val="22"/>
                <w:szCs w:val="22"/>
                <w:lang w:val="en-GB"/>
              </w:rPr>
              <w:t>INDUSTRY</w:t>
            </w:r>
          </w:p>
        </w:tc>
        <w:tc>
          <w:tcPr>
            <w:tcW w:w="2822" w:type="dxa"/>
            <w:tcBorders>
              <w:top w:val="nil"/>
              <w:left w:val="nil"/>
              <w:bottom w:val="nil"/>
              <w:right w:val="nil"/>
            </w:tcBorders>
          </w:tcPr>
          <w:p w14:paraId="5B674734"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Yes   </w:t>
            </w:r>
          </w:p>
        </w:tc>
        <w:tc>
          <w:tcPr>
            <w:tcW w:w="2268" w:type="dxa"/>
            <w:tcBorders>
              <w:top w:val="nil"/>
              <w:left w:val="nil"/>
              <w:bottom w:val="nil"/>
              <w:right w:val="nil"/>
            </w:tcBorders>
          </w:tcPr>
          <w:p w14:paraId="2423749A"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Yes   </w:t>
            </w:r>
          </w:p>
        </w:tc>
        <w:tc>
          <w:tcPr>
            <w:tcW w:w="2126" w:type="dxa"/>
            <w:tcBorders>
              <w:top w:val="nil"/>
              <w:left w:val="nil"/>
              <w:bottom w:val="nil"/>
              <w:right w:val="nil"/>
            </w:tcBorders>
          </w:tcPr>
          <w:p w14:paraId="7F3D0232"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Yes   </w:t>
            </w:r>
          </w:p>
        </w:tc>
      </w:tr>
      <w:tr w:rsidR="005D6588" w:rsidRPr="00E3562B" w14:paraId="099F5725" w14:textId="77777777" w:rsidTr="00294522">
        <w:trPr>
          <w:trHeight w:val="262"/>
          <w:jc w:val="center"/>
        </w:trPr>
        <w:tc>
          <w:tcPr>
            <w:tcW w:w="1856" w:type="dxa"/>
            <w:tcBorders>
              <w:top w:val="nil"/>
              <w:left w:val="nil"/>
              <w:bottom w:val="nil"/>
              <w:right w:val="nil"/>
            </w:tcBorders>
          </w:tcPr>
          <w:p w14:paraId="6BA9DF94" w14:textId="77777777" w:rsidR="00A60DA1" w:rsidRPr="00E3562B" w:rsidRDefault="00A60DA1" w:rsidP="00294522">
            <w:pPr>
              <w:spacing w:line="276" w:lineRule="auto"/>
              <w:jc w:val="left"/>
              <w:rPr>
                <w:rFonts w:asciiTheme="majorBidi" w:hAnsiTheme="majorBidi" w:cstheme="majorBidi"/>
                <w:iCs/>
                <w:sz w:val="22"/>
                <w:szCs w:val="22"/>
                <w:lang w:val="en-GB"/>
              </w:rPr>
            </w:pPr>
            <w:r w:rsidRPr="00E3562B">
              <w:rPr>
                <w:rFonts w:asciiTheme="majorBidi" w:hAnsiTheme="majorBidi" w:cstheme="majorBidi"/>
                <w:iCs/>
                <w:sz w:val="22"/>
                <w:szCs w:val="22"/>
                <w:lang w:val="en-GB"/>
              </w:rPr>
              <w:t>YEAR</w:t>
            </w:r>
          </w:p>
        </w:tc>
        <w:tc>
          <w:tcPr>
            <w:tcW w:w="2822" w:type="dxa"/>
            <w:tcBorders>
              <w:top w:val="nil"/>
              <w:left w:val="nil"/>
              <w:bottom w:val="nil"/>
              <w:right w:val="nil"/>
            </w:tcBorders>
          </w:tcPr>
          <w:p w14:paraId="6EF33217"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Yes   </w:t>
            </w:r>
          </w:p>
        </w:tc>
        <w:tc>
          <w:tcPr>
            <w:tcW w:w="2268" w:type="dxa"/>
            <w:tcBorders>
              <w:top w:val="nil"/>
              <w:left w:val="nil"/>
              <w:bottom w:val="nil"/>
              <w:right w:val="nil"/>
            </w:tcBorders>
          </w:tcPr>
          <w:p w14:paraId="02D589FB"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Yes   </w:t>
            </w:r>
          </w:p>
        </w:tc>
        <w:tc>
          <w:tcPr>
            <w:tcW w:w="2126" w:type="dxa"/>
            <w:tcBorders>
              <w:top w:val="nil"/>
              <w:left w:val="nil"/>
              <w:bottom w:val="nil"/>
              <w:right w:val="nil"/>
            </w:tcBorders>
          </w:tcPr>
          <w:p w14:paraId="551B0BC5"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Yes   </w:t>
            </w:r>
          </w:p>
        </w:tc>
      </w:tr>
      <w:tr w:rsidR="005D6588" w:rsidRPr="00E3562B" w14:paraId="660DA7A4" w14:textId="77777777" w:rsidTr="00294522">
        <w:trPr>
          <w:trHeight w:val="262"/>
          <w:jc w:val="center"/>
        </w:trPr>
        <w:tc>
          <w:tcPr>
            <w:tcW w:w="1856" w:type="dxa"/>
            <w:tcBorders>
              <w:top w:val="nil"/>
              <w:left w:val="nil"/>
              <w:bottom w:val="nil"/>
              <w:right w:val="nil"/>
            </w:tcBorders>
          </w:tcPr>
          <w:p w14:paraId="40DED100"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Constant </w:t>
            </w:r>
          </w:p>
        </w:tc>
        <w:tc>
          <w:tcPr>
            <w:tcW w:w="2822" w:type="dxa"/>
            <w:tcBorders>
              <w:top w:val="nil"/>
              <w:left w:val="nil"/>
              <w:bottom w:val="nil"/>
              <w:right w:val="nil"/>
            </w:tcBorders>
          </w:tcPr>
          <w:p w14:paraId="3F04CD6F"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14.37</w:t>
            </w:r>
          </w:p>
        </w:tc>
        <w:tc>
          <w:tcPr>
            <w:tcW w:w="2268" w:type="dxa"/>
            <w:tcBorders>
              <w:top w:val="nil"/>
              <w:left w:val="nil"/>
              <w:bottom w:val="nil"/>
              <w:right w:val="nil"/>
            </w:tcBorders>
          </w:tcPr>
          <w:p w14:paraId="3649EC66"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-2.314</w:t>
            </w:r>
          </w:p>
        </w:tc>
        <w:tc>
          <w:tcPr>
            <w:tcW w:w="2126" w:type="dxa"/>
            <w:tcBorders>
              <w:top w:val="nil"/>
              <w:left w:val="nil"/>
              <w:bottom w:val="nil"/>
              <w:right w:val="nil"/>
            </w:tcBorders>
          </w:tcPr>
          <w:p w14:paraId="4CFECD0F"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9.432</w:t>
            </w:r>
          </w:p>
        </w:tc>
      </w:tr>
      <w:tr w:rsidR="005D6588" w:rsidRPr="00E3562B" w14:paraId="217F37DA" w14:textId="77777777" w:rsidTr="00294522">
        <w:trPr>
          <w:trHeight w:val="262"/>
          <w:jc w:val="center"/>
        </w:trPr>
        <w:tc>
          <w:tcPr>
            <w:tcW w:w="1856" w:type="dxa"/>
            <w:tcBorders>
              <w:top w:val="nil"/>
              <w:left w:val="nil"/>
              <w:bottom w:val="nil"/>
              <w:right w:val="nil"/>
            </w:tcBorders>
          </w:tcPr>
          <w:p w14:paraId="34E52DB3"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 </w:t>
            </w:r>
          </w:p>
        </w:tc>
        <w:tc>
          <w:tcPr>
            <w:tcW w:w="2822" w:type="dxa"/>
            <w:tcBorders>
              <w:top w:val="nil"/>
              <w:left w:val="nil"/>
              <w:bottom w:val="nil"/>
              <w:right w:val="nil"/>
            </w:tcBorders>
          </w:tcPr>
          <w:p w14:paraId="5716EDD0"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(1.566)</w:t>
            </w:r>
          </w:p>
        </w:tc>
        <w:tc>
          <w:tcPr>
            <w:tcW w:w="2268" w:type="dxa"/>
            <w:tcBorders>
              <w:top w:val="nil"/>
              <w:left w:val="nil"/>
              <w:bottom w:val="nil"/>
              <w:right w:val="nil"/>
            </w:tcBorders>
          </w:tcPr>
          <w:p w14:paraId="25AE30D6"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(-0.326)</w:t>
            </w:r>
          </w:p>
        </w:tc>
        <w:tc>
          <w:tcPr>
            <w:tcW w:w="2126" w:type="dxa"/>
            <w:tcBorders>
              <w:top w:val="nil"/>
              <w:left w:val="nil"/>
              <w:bottom w:val="nil"/>
              <w:right w:val="nil"/>
            </w:tcBorders>
          </w:tcPr>
          <w:p w14:paraId="26944747"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(1.043)</w:t>
            </w:r>
          </w:p>
        </w:tc>
      </w:tr>
      <w:tr w:rsidR="005D6588" w:rsidRPr="00E3562B" w14:paraId="002A9FF2" w14:textId="77777777" w:rsidTr="00294522">
        <w:trPr>
          <w:trHeight w:val="262"/>
          <w:jc w:val="center"/>
        </w:trPr>
        <w:tc>
          <w:tcPr>
            <w:tcW w:w="1856" w:type="dxa"/>
            <w:tcBorders>
              <w:top w:val="nil"/>
              <w:left w:val="nil"/>
              <w:right w:val="nil"/>
            </w:tcBorders>
          </w:tcPr>
          <w:p w14:paraId="288E5D7F"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No. of observations</w:t>
            </w:r>
          </w:p>
        </w:tc>
        <w:tc>
          <w:tcPr>
            <w:tcW w:w="2822" w:type="dxa"/>
            <w:tcBorders>
              <w:top w:val="nil"/>
              <w:left w:val="nil"/>
              <w:right w:val="nil"/>
            </w:tcBorders>
          </w:tcPr>
          <w:p w14:paraId="78A5868F"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417</w:t>
            </w:r>
          </w:p>
        </w:tc>
        <w:tc>
          <w:tcPr>
            <w:tcW w:w="2268" w:type="dxa"/>
            <w:tcBorders>
              <w:top w:val="nil"/>
              <w:left w:val="nil"/>
              <w:right w:val="nil"/>
            </w:tcBorders>
          </w:tcPr>
          <w:p w14:paraId="01280959"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417</w:t>
            </w:r>
          </w:p>
        </w:tc>
        <w:tc>
          <w:tcPr>
            <w:tcW w:w="2126" w:type="dxa"/>
            <w:tcBorders>
              <w:top w:val="nil"/>
              <w:left w:val="nil"/>
              <w:right w:val="nil"/>
            </w:tcBorders>
          </w:tcPr>
          <w:p w14:paraId="77FB564C"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417</w:t>
            </w:r>
          </w:p>
        </w:tc>
      </w:tr>
      <w:tr w:rsidR="005D6588" w:rsidRPr="00E3562B" w14:paraId="3E9FD39C" w14:textId="77777777" w:rsidTr="00294522">
        <w:trPr>
          <w:trHeight w:val="262"/>
          <w:jc w:val="center"/>
        </w:trPr>
        <w:tc>
          <w:tcPr>
            <w:tcW w:w="1856" w:type="dxa"/>
            <w:tcBorders>
              <w:top w:val="nil"/>
              <w:left w:val="nil"/>
              <w:bottom w:val="single" w:sz="4" w:space="0" w:color="auto"/>
              <w:right w:val="nil"/>
            </w:tcBorders>
          </w:tcPr>
          <w:p w14:paraId="7E46A901"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Adj. R</w:t>
            </w:r>
            <w:r w:rsidRPr="00E3562B">
              <w:rPr>
                <w:rFonts w:asciiTheme="majorBidi" w:hAnsiTheme="majorBidi" w:cstheme="majorBidi"/>
                <w:sz w:val="22"/>
                <w:szCs w:val="22"/>
                <w:vertAlign w:val="superscript"/>
                <w:lang w:val="en-GB"/>
              </w:rPr>
              <w:t>2</w:t>
            </w:r>
          </w:p>
        </w:tc>
        <w:tc>
          <w:tcPr>
            <w:tcW w:w="2822" w:type="dxa"/>
            <w:tcBorders>
              <w:top w:val="nil"/>
              <w:left w:val="nil"/>
              <w:bottom w:val="single" w:sz="4" w:space="0" w:color="auto"/>
              <w:right w:val="nil"/>
            </w:tcBorders>
          </w:tcPr>
          <w:p w14:paraId="77CE7E00"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0.281</w:t>
            </w:r>
          </w:p>
        </w:tc>
        <w:tc>
          <w:tcPr>
            <w:tcW w:w="2268" w:type="dxa"/>
            <w:tcBorders>
              <w:top w:val="nil"/>
              <w:left w:val="nil"/>
              <w:bottom w:val="single" w:sz="4" w:space="0" w:color="auto"/>
              <w:right w:val="nil"/>
            </w:tcBorders>
          </w:tcPr>
          <w:p w14:paraId="47C4D124"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0.288</w:t>
            </w:r>
          </w:p>
        </w:tc>
        <w:tc>
          <w:tcPr>
            <w:tcW w:w="2126" w:type="dxa"/>
            <w:tcBorders>
              <w:top w:val="nil"/>
              <w:left w:val="nil"/>
              <w:bottom w:val="single" w:sz="4" w:space="0" w:color="auto"/>
              <w:right w:val="nil"/>
            </w:tcBorders>
          </w:tcPr>
          <w:p w14:paraId="649837C1"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0.317</w:t>
            </w:r>
          </w:p>
        </w:tc>
      </w:tr>
    </w:tbl>
    <w:p w14:paraId="1485E21D" w14:textId="77777777" w:rsidR="00A60DA1" w:rsidRPr="00E3562B" w:rsidRDefault="00A60DA1" w:rsidP="00A60DA1">
      <w:pPr>
        <w:spacing w:line="240" w:lineRule="auto"/>
        <w:jc w:val="left"/>
        <w:rPr>
          <w:i/>
          <w:iCs/>
          <w:sz w:val="20"/>
          <w:lang w:val="en-GB"/>
        </w:rPr>
      </w:pPr>
      <w:bookmarkStart w:id="15" w:name="_Hlk166086425"/>
      <w:r w:rsidRPr="00E3562B">
        <w:rPr>
          <w:i/>
          <w:iCs/>
          <w:sz w:val="20"/>
          <w:lang w:val="en-GB"/>
        </w:rPr>
        <w:t>Note: Detailed definitions of all variables are available in Table 2. t-statistics are provided in parentheses. *p &lt; 0.10.**p &lt; 0.05.***p &lt; 0.01.</w:t>
      </w:r>
    </w:p>
    <w:bookmarkEnd w:id="15"/>
    <w:p w14:paraId="6F402F39" w14:textId="77777777" w:rsidR="00A60DA1" w:rsidRPr="00E3562B" w:rsidRDefault="00A60DA1" w:rsidP="00A60DA1">
      <w:pPr>
        <w:pStyle w:val="NormalWeb"/>
        <w:spacing w:before="0" w:beforeAutospacing="0"/>
        <w:contextualSpacing/>
        <w:rPr>
          <w:lang w:val="en-GB"/>
        </w:rPr>
        <w:sectPr w:rsidR="00A60DA1" w:rsidRPr="00E3562B" w:rsidSect="00625A08">
          <w:pgSz w:w="11901" w:h="16817"/>
          <w:pgMar w:top="1440" w:right="1418" w:bottom="1440" w:left="1418" w:header="709" w:footer="709" w:gutter="0"/>
          <w:cols w:space="708"/>
          <w:docGrid w:linePitch="326"/>
        </w:sectPr>
      </w:pPr>
    </w:p>
    <w:p w14:paraId="0C60A2DC" w14:textId="2A7495C9" w:rsidR="00A60DA1" w:rsidRPr="00E3562B" w:rsidRDefault="00A60DA1" w:rsidP="00A60DA1">
      <w:pPr>
        <w:spacing w:line="240" w:lineRule="auto"/>
        <w:rPr>
          <w:lang w:val="en-GB"/>
        </w:rPr>
      </w:pPr>
      <w:r w:rsidRPr="00E3562B">
        <w:rPr>
          <w:b/>
          <w:bCs/>
          <w:lang w:val="en-GB"/>
        </w:rPr>
        <w:lastRenderedPageBreak/>
        <w:t>Table 7.</w:t>
      </w:r>
      <w:r w:rsidRPr="00E3562B">
        <w:rPr>
          <w:lang w:val="en-GB"/>
        </w:rPr>
        <w:t xml:space="preserve"> Fixed-effect regression results of association between CEO power, BGD and individual categories of MSDI. </w:t>
      </w:r>
    </w:p>
    <w:tbl>
      <w:tblPr>
        <w:tblW w:w="13609" w:type="dxa"/>
        <w:tblLayout w:type="fixed"/>
        <w:tblLook w:val="04A0" w:firstRow="1" w:lastRow="0" w:firstColumn="1" w:lastColumn="0" w:noHBand="0" w:noVBand="1"/>
      </w:tblPr>
      <w:tblGrid>
        <w:gridCol w:w="1701"/>
        <w:gridCol w:w="2127"/>
        <w:gridCol w:w="1418"/>
        <w:gridCol w:w="1417"/>
        <w:gridCol w:w="1843"/>
        <w:gridCol w:w="1701"/>
        <w:gridCol w:w="1559"/>
        <w:gridCol w:w="1843"/>
      </w:tblGrid>
      <w:tr w:rsidR="005D6588" w:rsidRPr="00E3562B" w14:paraId="48D827E7" w14:textId="77777777" w:rsidTr="00294522">
        <w:trPr>
          <w:trHeight w:val="268"/>
        </w:trPr>
        <w:tc>
          <w:tcPr>
            <w:tcW w:w="1701" w:type="dxa"/>
            <w:tcBorders>
              <w:top w:val="single" w:sz="4" w:space="0" w:color="auto"/>
              <w:left w:val="nil"/>
              <w:bottom w:val="single" w:sz="4" w:space="0" w:color="auto"/>
              <w:right w:val="nil"/>
            </w:tcBorders>
          </w:tcPr>
          <w:p w14:paraId="72547CDA" w14:textId="77777777" w:rsidR="00A60DA1" w:rsidRPr="00E3562B" w:rsidRDefault="00A60DA1" w:rsidP="00294522">
            <w:pPr>
              <w:spacing w:line="240" w:lineRule="auto"/>
              <w:jc w:val="left"/>
              <w:rPr>
                <w:sz w:val="22"/>
                <w:szCs w:val="22"/>
                <w:lang w:val="en-GB"/>
              </w:rPr>
            </w:pPr>
            <w:r w:rsidRPr="00E3562B">
              <w:rPr>
                <w:sz w:val="22"/>
                <w:szCs w:val="22"/>
                <w:lang w:val="en-GB"/>
              </w:rPr>
              <w:t>(Model)</w:t>
            </w:r>
          </w:p>
          <w:p w14:paraId="2E46BA79" w14:textId="77777777" w:rsidR="00A60DA1" w:rsidRPr="00E3562B" w:rsidRDefault="00A60DA1" w:rsidP="00294522">
            <w:pPr>
              <w:spacing w:line="240" w:lineRule="auto"/>
              <w:jc w:val="left"/>
              <w:rPr>
                <w:sz w:val="22"/>
                <w:szCs w:val="22"/>
                <w:lang w:val="en-GB"/>
              </w:rPr>
            </w:pPr>
            <w:r w:rsidRPr="00E3562B">
              <w:rPr>
                <w:sz w:val="22"/>
                <w:szCs w:val="22"/>
                <w:lang w:val="en-GB"/>
              </w:rPr>
              <w:t>Variables</w:t>
            </w:r>
          </w:p>
        </w:tc>
        <w:tc>
          <w:tcPr>
            <w:tcW w:w="2127" w:type="dxa"/>
            <w:tcBorders>
              <w:top w:val="single" w:sz="4" w:space="0" w:color="auto"/>
              <w:left w:val="nil"/>
              <w:bottom w:val="single" w:sz="4" w:space="0" w:color="auto"/>
              <w:right w:val="nil"/>
            </w:tcBorders>
          </w:tcPr>
          <w:p w14:paraId="6A6C706C" w14:textId="77777777" w:rsidR="00A60DA1" w:rsidRPr="00E3562B" w:rsidRDefault="00A60DA1" w:rsidP="00294522">
            <w:pPr>
              <w:spacing w:line="240" w:lineRule="auto"/>
              <w:jc w:val="center"/>
              <w:rPr>
                <w:sz w:val="22"/>
                <w:szCs w:val="22"/>
                <w:lang w:val="en-GB"/>
              </w:rPr>
            </w:pPr>
            <w:r w:rsidRPr="00E3562B">
              <w:rPr>
                <w:sz w:val="22"/>
                <w:szCs w:val="22"/>
                <w:lang w:val="en-GB"/>
              </w:rPr>
              <w:t>(1)</w:t>
            </w:r>
          </w:p>
          <w:p w14:paraId="5D21CF7A" w14:textId="77777777" w:rsidR="00A60DA1" w:rsidRPr="00E3562B" w:rsidRDefault="00A60DA1" w:rsidP="00294522">
            <w:pPr>
              <w:spacing w:line="240" w:lineRule="auto"/>
              <w:jc w:val="center"/>
              <w:rPr>
                <w:sz w:val="22"/>
                <w:szCs w:val="22"/>
                <w:lang w:val="en-GB"/>
              </w:rPr>
            </w:pPr>
            <w:r w:rsidRPr="00E3562B">
              <w:rPr>
                <w:sz w:val="22"/>
                <w:szCs w:val="22"/>
                <w:lang w:val="en-GB"/>
              </w:rPr>
              <w:t>Organisation structure</w:t>
            </w:r>
          </w:p>
        </w:tc>
        <w:tc>
          <w:tcPr>
            <w:tcW w:w="1418" w:type="dxa"/>
            <w:tcBorders>
              <w:top w:val="single" w:sz="4" w:space="0" w:color="auto"/>
              <w:left w:val="nil"/>
              <w:bottom w:val="single" w:sz="4" w:space="0" w:color="auto"/>
              <w:right w:val="nil"/>
            </w:tcBorders>
          </w:tcPr>
          <w:p w14:paraId="752158E7" w14:textId="77777777" w:rsidR="00A60DA1" w:rsidRPr="00E3562B" w:rsidRDefault="00A60DA1" w:rsidP="00294522">
            <w:pPr>
              <w:spacing w:line="240" w:lineRule="auto"/>
              <w:jc w:val="center"/>
              <w:rPr>
                <w:sz w:val="22"/>
                <w:szCs w:val="22"/>
                <w:lang w:val="en-GB"/>
              </w:rPr>
            </w:pPr>
            <w:r w:rsidRPr="00E3562B">
              <w:rPr>
                <w:sz w:val="22"/>
                <w:szCs w:val="22"/>
                <w:lang w:val="en-GB"/>
              </w:rPr>
              <w:t>(2)</w:t>
            </w:r>
          </w:p>
          <w:p w14:paraId="1B5C911A" w14:textId="77777777" w:rsidR="00A60DA1" w:rsidRPr="00E3562B" w:rsidRDefault="00A60DA1" w:rsidP="00294522">
            <w:pPr>
              <w:spacing w:line="240" w:lineRule="auto"/>
              <w:jc w:val="center"/>
              <w:rPr>
                <w:sz w:val="22"/>
                <w:szCs w:val="22"/>
                <w:lang w:val="en-GB"/>
              </w:rPr>
            </w:pPr>
            <w:r w:rsidRPr="00E3562B">
              <w:rPr>
                <w:sz w:val="22"/>
                <w:szCs w:val="22"/>
                <w:lang w:val="en-GB"/>
              </w:rPr>
              <w:t>Policies</w:t>
            </w:r>
          </w:p>
        </w:tc>
        <w:tc>
          <w:tcPr>
            <w:tcW w:w="1417" w:type="dxa"/>
            <w:tcBorders>
              <w:top w:val="single" w:sz="4" w:space="0" w:color="auto"/>
              <w:left w:val="nil"/>
              <w:bottom w:val="single" w:sz="4" w:space="0" w:color="auto"/>
              <w:right w:val="nil"/>
            </w:tcBorders>
          </w:tcPr>
          <w:p w14:paraId="49375D99" w14:textId="77777777" w:rsidR="00A60DA1" w:rsidRPr="00E3562B" w:rsidRDefault="00A60DA1" w:rsidP="00294522">
            <w:pPr>
              <w:spacing w:line="240" w:lineRule="auto"/>
              <w:jc w:val="center"/>
              <w:rPr>
                <w:sz w:val="22"/>
                <w:szCs w:val="22"/>
                <w:lang w:val="en-GB"/>
              </w:rPr>
            </w:pPr>
            <w:r w:rsidRPr="00E3562B">
              <w:rPr>
                <w:sz w:val="22"/>
                <w:szCs w:val="22"/>
                <w:lang w:val="en-GB"/>
              </w:rPr>
              <w:t>(3)</w:t>
            </w:r>
          </w:p>
          <w:p w14:paraId="6C0E9789" w14:textId="77777777" w:rsidR="00A60DA1" w:rsidRPr="00E3562B" w:rsidRDefault="00A60DA1" w:rsidP="00294522">
            <w:pPr>
              <w:spacing w:line="240" w:lineRule="auto"/>
              <w:jc w:val="center"/>
              <w:rPr>
                <w:sz w:val="22"/>
                <w:szCs w:val="22"/>
                <w:lang w:val="en-GB"/>
              </w:rPr>
            </w:pPr>
            <w:r w:rsidRPr="00E3562B">
              <w:rPr>
                <w:sz w:val="22"/>
                <w:szCs w:val="22"/>
                <w:lang w:val="en-GB"/>
              </w:rPr>
              <w:t>Due diligence</w:t>
            </w:r>
          </w:p>
        </w:tc>
        <w:tc>
          <w:tcPr>
            <w:tcW w:w="1843" w:type="dxa"/>
            <w:tcBorders>
              <w:top w:val="single" w:sz="4" w:space="0" w:color="auto"/>
              <w:left w:val="nil"/>
              <w:bottom w:val="single" w:sz="4" w:space="0" w:color="auto"/>
              <w:right w:val="nil"/>
            </w:tcBorders>
          </w:tcPr>
          <w:p w14:paraId="06D864A0" w14:textId="77777777" w:rsidR="00A60DA1" w:rsidRPr="00E3562B" w:rsidRDefault="00A60DA1" w:rsidP="00294522">
            <w:pPr>
              <w:spacing w:line="240" w:lineRule="auto"/>
              <w:jc w:val="center"/>
              <w:rPr>
                <w:sz w:val="22"/>
                <w:szCs w:val="22"/>
                <w:lang w:val="en-GB"/>
              </w:rPr>
            </w:pPr>
            <w:r w:rsidRPr="00E3562B">
              <w:rPr>
                <w:sz w:val="22"/>
                <w:szCs w:val="22"/>
                <w:lang w:val="en-GB"/>
              </w:rPr>
              <w:t>(4)</w:t>
            </w:r>
          </w:p>
          <w:p w14:paraId="3698F95C" w14:textId="77777777" w:rsidR="00A60DA1" w:rsidRPr="00E3562B" w:rsidRDefault="00A60DA1" w:rsidP="00294522">
            <w:pPr>
              <w:spacing w:line="240" w:lineRule="auto"/>
              <w:jc w:val="center"/>
              <w:rPr>
                <w:sz w:val="22"/>
                <w:szCs w:val="22"/>
                <w:lang w:val="en-GB"/>
              </w:rPr>
            </w:pPr>
            <w:r w:rsidRPr="00E3562B">
              <w:rPr>
                <w:sz w:val="22"/>
                <w:szCs w:val="22"/>
                <w:lang w:val="en-GB"/>
              </w:rPr>
              <w:t>Risk assessment &amp; management</w:t>
            </w:r>
          </w:p>
        </w:tc>
        <w:tc>
          <w:tcPr>
            <w:tcW w:w="1701" w:type="dxa"/>
            <w:tcBorders>
              <w:top w:val="single" w:sz="4" w:space="0" w:color="auto"/>
              <w:left w:val="nil"/>
              <w:bottom w:val="single" w:sz="4" w:space="0" w:color="auto"/>
              <w:right w:val="nil"/>
            </w:tcBorders>
          </w:tcPr>
          <w:p w14:paraId="25A310D8" w14:textId="77777777" w:rsidR="00A60DA1" w:rsidRPr="00E3562B" w:rsidRDefault="00A60DA1" w:rsidP="00294522">
            <w:pPr>
              <w:spacing w:line="240" w:lineRule="auto"/>
              <w:jc w:val="center"/>
              <w:rPr>
                <w:sz w:val="22"/>
                <w:szCs w:val="22"/>
                <w:lang w:val="en-GB"/>
              </w:rPr>
            </w:pPr>
            <w:r w:rsidRPr="00E3562B">
              <w:rPr>
                <w:sz w:val="22"/>
                <w:szCs w:val="22"/>
                <w:lang w:val="en-GB"/>
              </w:rPr>
              <w:t>(5) Effectiveness/</w:t>
            </w:r>
          </w:p>
          <w:p w14:paraId="7BCA00D0" w14:textId="77777777" w:rsidR="00A60DA1" w:rsidRPr="00E3562B" w:rsidRDefault="00A60DA1" w:rsidP="00294522">
            <w:pPr>
              <w:spacing w:line="240" w:lineRule="auto"/>
              <w:jc w:val="center"/>
              <w:rPr>
                <w:sz w:val="22"/>
                <w:szCs w:val="22"/>
                <w:lang w:val="en-GB"/>
              </w:rPr>
            </w:pPr>
            <w:r w:rsidRPr="00E3562B">
              <w:rPr>
                <w:sz w:val="22"/>
                <w:szCs w:val="22"/>
                <w:lang w:val="en-GB"/>
              </w:rPr>
              <w:t>KPIs</w:t>
            </w:r>
          </w:p>
        </w:tc>
        <w:tc>
          <w:tcPr>
            <w:tcW w:w="1559" w:type="dxa"/>
            <w:tcBorders>
              <w:top w:val="single" w:sz="4" w:space="0" w:color="auto"/>
              <w:left w:val="nil"/>
              <w:bottom w:val="single" w:sz="4" w:space="0" w:color="auto"/>
              <w:right w:val="nil"/>
            </w:tcBorders>
          </w:tcPr>
          <w:p w14:paraId="0F8E1D4F" w14:textId="77777777" w:rsidR="00A60DA1" w:rsidRPr="00E3562B" w:rsidRDefault="00A60DA1" w:rsidP="00294522">
            <w:pPr>
              <w:spacing w:line="240" w:lineRule="auto"/>
              <w:jc w:val="center"/>
              <w:rPr>
                <w:sz w:val="22"/>
                <w:szCs w:val="22"/>
                <w:lang w:val="en-GB"/>
              </w:rPr>
            </w:pPr>
            <w:r w:rsidRPr="00E3562B">
              <w:rPr>
                <w:sz w:val="22"/>
                <w:szCs w:val="22"/>
                <w:lang w:val="en-GB"/>
              </w:rPr>
              <w:t>(6)</w:t>
            </w:r>
          </w:p>
          <w:p w14:paraId="5A0708FC" w14:textId="77777777" w:rsidR="00A60DA1" w:rsidRPr="00E3562B" w:rsidRDefault="00A60DA1" w:rsidP="00294522">
            <w:pPr>
              <w:spacing w:line="240" w:lineRule="auto"/>
              <w:jc w:val="center"/>
              <w:rPr>
                <w:sz w:val="22"/>
                <w:szCs w:val="22"/>
                <w:lang w:val="en-GB"/>
              </w:rPr>
            </w:pPr>
            <w:r w:rsidRPr="00E3562B">
              <w:rPr>
                <w:sz w:val="22"/>
                <w:szCs w:val="22"/>
                <w:lang w:val="en-GB"/>
              </w:rPr>
              <w:t>Training</w:t>
            </w:r>
          </w:p>
        </w:tc>
        <w:tc>
          <w:tcPr>
            <w:tcW w:w="1843" w:type="dxa"/>
            <w:tcBorders>
              <w:top w:val="single" w:sz="4" w:space="0" w:color="auto"/>
              <w:left w:val="nil"/>
              <w:bottom w:val="single" w:sz="4" w:space="0" w:color="auto"/>
              <w:right w:val="nil"/>
            </w:tcBorders>
          </w:tcPr>
          <w:p w14:paraId="5AF0889B" w14:textId="77777777" w:rsidR="00A60DA1" w:rsidRPr="00E3562B" w:rsidRDefault="00A60DA1" w:rsidP="00294522">
            <w:pPr>
              <w:spacing w:line="240" w:lineRule="auto"/>
              <w:jc w:val="center"/>
              <w:rPr>
                <w:sz w:val="22"/>
                <w:szCs w:val="22"/>
                <w:lang w:val="en-GB"/>
              </w:rPr>
            </w:pPr>
            <w:r w:rsidRPr="00E3562B">
              <w:rPr>
                <w:sz w:val="22"/>
                <w:szCs w:val="22"/>
                <w:lang w:val="en-GB"/>
              </w:rPr>
              <w:t>(7)</w:t>
            </w:r>
          </w:p>
          <w:p w14:paraId="58B59313" w14:textId="77777777" w:rsidR="00A60DA1" w:rsidRPr="00E3562B" w:rsidRDefault="00A60DA1" w:rsidP="00294522">
            <w:pPr>
              <w:spacing w:line="240" w:lineRule="auto"/>
              <w:jc w:val="center"/>
              <w:rPr>
                <w:sz w:val="22"/>
                <w:szCs w:val="22"/>
                <w:lang w:val="en-GB"/>
              </w:rPr>
            </w:pPr>
            <w:r w:rsidRPr="00E3562B">
              <w:rPr>
                <w:sz w:val="22"/>
                <w:szCs w:val="22"/>
                <w:lang w:val="en-GB"/>
              </w:rPr>
              <w:t>Additional features</w:t>
            </w:r>
          </w:p>
        </w:tc>
      </w:tr>
      <w:tr w:rsidR="005D6588" w:rsidRPr="00E3562B" w14:paraId="3FDBAC4D" w14:textId="77777777" w:rsidTr="00294522">
        <w:trPr>
          <w:trHeight w:val="249"/>
        </w:trPr>
        <w:tc>
          <w:tcPr>
            <w:tcW w:w="1701" w:type="dxa"/>
            <w:tcBorders>
              <w:top w:val="single" w:sz="4" w:space="0" w:color="auto"/>
              <w:left w:val="nil"/>
              <w:bottom w:val="nil"/>
              <w:right w:val="nil"/>
            </w:tcBorders>
          </w:tcPr>
          <w:p w14:paraId="277FA741" w14:textId="77777777" w:rsidR="00A60DA1" w:rsidRPr="00E3562B" w:rsidRDefault="00A60DA1" w:rsidP="00294522">
            <w:pPr>
              <w:spacing w:line="240"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CEOP</w:t>
            </w:r>
          </w:p>
        </w:tc>
        <w:tc>
          <w:tcPr>
            <w:tcW w:w="2127" w:type="dxa"/>
            <w:tcBorders>
              <w:top w:val="single" w:sz="4" w:space="0" w:color="auto"/>
              <w:left w:val="nil"/>
              <w:bottom w:val="nil"/>
              <w:right w:val="nil"/>
            </w:tcBorders>
          </w:tcPr>
          <w:p w14:paraId="67403663"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0.004</w:t>
            </w:r>
          </w:p>
        </w:tc>
        <w:tc>
          <w:tcPr>
            <w:tcW w:w="1418" w:type="dxa"/>
            <w:tcBorders>
              <w:top w:val="single" w:sz="4" w:space="0" w:color="auto"/>
              <w:left w:val="nil"/>
              <w:bottom w:val="nil"/>
              <w:right w:val="nil"/>
            </w:tcBorders>
          </w:tcPr>
          <w:p w14:paraId="257362A3"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-0.101***</w:t>
            </w:r>
          </w:p>
        </w:tc>
        <w:tc>
          <w:tcPr>
            <w:tcW w:w="1417" w:type="dxa"/>
            <w:tcBorders>
              <w:top w:val="single" w:sz="4" w:space="0" w:color="auto"/>
              <w:left w:val="nil"/>
              <w:bottom w:val="nil"/>
              <w:right w:val="nil"/>
            </w:tcBorders>
          </w:tcPr>
          <w:p w14:paraId="569BC58E"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-0.040**</w:t>
            </w:r>
          </w:p>
        </w:tc>
        <w:tc>
          <w:tcPr>
            <w:tcW w:w="1843" w:type="dxa"/>
            <w:tcBorders>
              <w:top w:val="single" w:sz="4" w:space="0" w:color="auto"/>
              <w:left w:val="nil"/>
              <w:bottom w:val="nil"/>
              <w:right w:val="nil"/>
            </w:tcBorders>
          </w:tcPr>
          <w:p w14:paraId="30F6B739"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-0.052*</w:t>
            </w:r>
          </w:p>
        </w:tc>
        <w:tc>
          <w:tcPr>
            <w:tcW w:w="1701" w:type="dxa"/>
            <w:tcBorders>
              <w:top w:val="single" w:sz="4" w:space="0" w:color="auto"/>
              <w:left w:val="nil"/>
              <w:bottom w:val="nil"/>
              <w:right w:val="nil"/>
            </w:tcBorders>
          </w:tcPr>
          <w:p w14:paraId="03DFC8FF"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-0.056*</w:t>
            </w:r>
          </w:p>
        </w:tc>
        <w:tc>
          <w:tcPr>
            <w:tcW w:w="1559" w:type="dxa"/>
            <w:tcBorders>
              <w:top w:val="single" w:sz="4" w:space="0" w:color="auto"/>
              <w:left w:val="nil"/>
              <w:bottom w:val="nil"/>
              <w:right w:val="nil"/>
            </w:tcBorders>
          </w:tcPr>
          <w:p w14:paraId="3B2E9675"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-0.006</w:t>
            </w:r>
          </w:p>
        </w:tc>
        <w:tc>
          <w:tcPr>
            <w:tcW w:w="1843" w:type="dxa"/>
            <w:tcBorders>
              <w:top w:val="single" w:sz="4" w:space="0" w:color="auto"/>
              <w:left w:val="nil"/>
              <w:bottom w:val="nil"/>
              <w:right w:val="nil"/>
            </w:tcBorders>
          </w:tcPr>
          <w:p w14:paraId="054EECB6"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0.027</w:t>
            </w:r>
          </w:p>
        </w:tc>
      </w:tr>
      <w:tr w:rsidR="005D6588" w:rsidRPr="00E3562B" w14:paraId="4FEA0C50" w14:textId="77777777" w:rsidTr="00294522">
        <w:trPr>
          <w:trHeight w:val="249"/>
        </w:trPr>
        <w:tc>
          <w:tcPr>
            <w:tcW w:w="1701" w:type="dxa"/>
            <w:tcBorders>
              <w:top w:val="nil"/>
              <w:left w:val="nil"/>
              <w:bottom w:val="nil"/>
              <w:right w:val="nil"/>
            </w:tcBorders>
          </w:tcPr>
          <w:p w14:paraId="696DE9ED" w14:textId="77777777" w:rsidR="00A60DA1" w:rsidRPr="00E3562B" w:rsidRDefault="00A60DA1" w:rsidP="00294522">
            <w:pPr>
              <w:spacing w:line="240"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 </w:t>
            </w:r>
          </w:p>
        </w:tc>
        <w:tc>
          <w:tcPr>
            <w:tcW w:w="2127" w:type="dxa"/>
            <w:tcBorders>
              <w:top w:val="nil"/>
              <w:left w:val="nil"/>
              <w:bottom w:val="nil"/>
              <w:right w:val="nil"/>
            </w:tcBorders>
          </w:tcPr>
          <w:p w14:paraId="38B40EC7"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(0.111)</w:t>
            </w:r>
          </w:p>
        </w:tc>
        <w:tc>
          <w:tcPr>
            <w:tcW w:w="1418" w:type="dxa"/>
            <w:tcBorders>
              <w:top w:val="nil"/>
              <w:left w:val="nil"/>
              <w:bottom w:val="nil"/>
              <w:right w:val="nil"/>
            </w:tcBorders>
          </w:tcPr>
          <w:p w14:paraId="6EA7AE6C"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(-2.945)</w:t>
            </w:r>
          </w:p>
        </w:tc>
        <w:tc>
          <w:tcPr>
            <w:tcW w:w="1417" w:type="dxa"/>
            <w:tcBorders>
              <w:top w:val="nil"/>
              <w:left w:val="nil"/>
              <w:bottom w:val="nil"/>
              <w:right w:val="nil"/>
            </w:tcBorders>
          </w:tcPr>
          <w:p w14:paraId="31DB660A"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(-2.371)</w:t>
            </w:r>
          </w:p>
        </w:tc>
        <w:tc>
          <w:tcPr>
            <w:tcW w:w="1843" w:type="dxa"/>
            <w:tcBorders>
              <w:top w:val="nil"/>
              <w:left w:val="nil"/>
              <w:bottom w:val="nil"/>
              <w:right w:val="nil"/>
            </w:tcBorders>
          </w:tcPr>
          <w:p w14:paraId="48E64A66"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(-1.956)</w:t>
            </w:r>
          </w:p>
        </w:tc>
        <w:tc>
          <w:tcPr>
            <w:tcW w:w="1701" w:type="dxa"/>
            <w:tcBorders>
              <w:top w:val="nil"/>
              <w:left w:val="nil"/>
              <w:bottom w:val="nil"/>
              <w:right w:val="nil"/>
            </w:tcBorders>
          </w:tcPr>
          <w:p w14:paraId="45C110CF"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(-1.671)</w:t>
            </w:r>
          </w:p>
        </w:tc>
        <w:tc>
          <w:tcPr>
            <w:tcW w:w="1559" w:type="dxa"/>
            <w:tcBorders>
              <w:top w:val="nil"/>
              <w:left w:val="nil"/>
              <w:bottom w:val="nil"/>
              <w:right w:val="nil"/>
            </w:tcBorders>
          </w:tcPr>
          <w:p w14:paraId="1AAEA24E"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(-0.197)</w:t>
            </w:r>
          </w:p>
        </w:tc>
        <w:tc>
          <w:tcPr>
            <w:tcW w:w="1843" w:type="dxa"/>
            <w:tcBorders>
              <w:top w:val="nil"/>
              <w:left w:val="nil"/>
              <w:bottom w:val="nil"/>
              <w:right w:val="nil"/>
            </w:tcBorders>
          </w:tcPr>
          <w:p w14:paraId="38953A4A"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(0.901)</w:t>
            </w:r>
          </w:p>
        </w:tc>
      </w:tr>
      <w:tr w:rsidR="005D6588" w:rsidRPr="00E3562B" w14:paraId="6C98BDDC" w14:textId="77777777" w:rsidTr="00294522">
        <w:trPr>
          <w:trHeight w:val="249"/>
        </w:trPr>
        <w:tc>
          <w:tcPr>
            <w:tcW w:w="1701" w:type="dxa"/>
            <w:tcBorders>
              <w:top w:val="nil"/>
              <w:left w:val="nil"/>
              <w:bottom w:val="nil"/>
              <w:right w:val="nil"/>
            </w:tcBorders>
          </w:tcPr>
          <w:p w14:paraId="60E73453" w14:textId="77777777" w:rsidR="00A60DA1" w:rsidRPr="00E3562B" w:rsidRDefault="00A60DA1" w:rsidP="00294522">
            <w:pPr>
              <w:spacing w:line="240"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BGD</w:t>
            </w:r>
          </w:p>
        </w:tc>
        <w:tc>
          <w:tcPr>
            <w:tcW w:w="2127" w:type="dxa"/>
            <w:tcBorders>
              <w:top w:val="nil"/>
              <w:left w:val="nil"/>
              <w:bottom w:val="nil"/>
              <w:right w:val="nil"/>
            </w:tcBorders>
          </w:tcPr>
          <w:p w14:paraId="20CF3723"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0.002</w:t>
            </w:r>
          </w:p>
        </w:tc>
        <w:tc>
          <w:tcPr>
            <w:tcW w:w="1418" w:type="dxa"/>
            <w:tcBorders>
              <w:top w:val="nil"/>
              <w:left w:val="nil"/>
              <w:bottom w:val="nil"/>
              <w:right w:val="nil"/>
            </w:tcBorders>
          </w:tcPr>
          <w:p w14:paraId="4882EB2B"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0.004**</w:t>
            </w:r>
          </w:p>
        </w:tc>
        <w:tc>
          <w:tcPr>
            <w:tcW w:w="1417" w:type="dxa"/>
            <w:tcBorders>
              <w:top w:val="nil"/>
              <w:left w:val="nil"/>
              <w:bottom w:val="nil"/>
              <w:right w:val="nil"/>
            </w:tcBorders>
          </w:tcPr>
          <w:p w14:paraId="6184A5F6"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0.003***</w:t>
            </w:r>
          </w:p>
        </w:tc>
        <w:tc>
          <w:tcPr>
            <w:tcW w:w="1843" w:type="dxa"/>
            <w:tcBorders>
              <w:top w:val="nil"/>
              <w:left w:val="nil"/>
              <w:bottom w:val="nil"/>
              <w:right w:val="nil"/>
            </w:tcBorders>
          </w:tcPr>
          <w:p w14:paraId="38DFCA4D"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0.007**</w:t>
            </w:r>
          </w:p>
        </w:tc>
        <w:tc>
          <w:tcPr>
            <w:tcW w:w="1701" w:type="dxa"/>
            <w:tcBorders>
              <w:top w:val="nil"/>
              <w:left w:val="nil"/>
              <w:bottom w:val="nil"/>
              <w:right w:val="nil"/>
            </w:tcBorders>
          </w:tcPr>
          <w:p w14:paraId="7C60B014"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0.004***</w:t>
            </w:r>
          </w:p>
        </w:tc>
        <w:tc>
          <w:tcPr>
            <w:tcW w:w="1559" w:type="dxa"/>
            <w:tcBorders>
              <w:top w:val="nil"/>
              <w:left w:val="nil"/>
              <w:bottom w:val="nil"/>
              <w:right w:val="nil"/>
            </w:tcBorders>
          </w:tcPr>
          <w:p w14:paraId="244FF3BE"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0.002**</w:t>
            </w:r>
          </w:p>
        </w:tc>
        <w:tc>
          <w:tcPr>
            <w:tcW w:w="1843" w:type="dxa"/>
            <w:tcBorders>
              <w:top w:val="nil"/>
              <w:left w:val="nil"/>
              <w:bottom w:val="nil"/>
              <w:right w:val="nil"/>
            </w:tcBorders>
          </w:tcPr>
          <w:p w14:paraId="2A4678E5"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0.002*</w:t>
            </w:r>
          </w:p>
        </w:tc>
      </w:tr>
      <w:tr w:rsidR="005D6588" w:rsidRPr="00E3562B" w14:paraId="78ABDFB3" w14:textId="77777777" w:rsidTr="00294522">
        <w:trPr>
          <w:trHeight w:val="249"/>
        </w:trPr>
        <w:tc>
          <w:tcPr>
            <w:tcW w:w="1701" w:type="dxa"/>
            <w:tcBorders>
              <w:top w:val="nil"/>
              <w:left w:val="nil"/>
              <w:bottom w:val="nil"/>
              <w:right w:val="nil"/>
            </w:tcBorders>
          </w:tcPr>
          <w:p w14:paraId="3AB88481" w14:textId="77777777" w:rsidR="00A60DA1" w:rsidRPr="00E3562B" w:rsidRDefault="00A60DA1" w:rsidP="00294522">
            <w:pPr>
              <w:spacing w:line="240" w:lineRule="auto"/>
              <w:jc w:val="left"/>
              <w:rPr>
                <w:rFonts w:asciiTheme="majorBidi" w:hAnsiTheme="majorBidi" w:cstheme="majorBidi"/>
                <w:sz w:val="22"/>
                <w:szCs w:val="22"/>
                <w:lang w:val="en-GB"/>
              </w:rPr>
            </w:pPr>
          </w:p>
        </w:tc>
        <w:tc>
          <w:tcPr>
            <w:tcW w:w="2127" w:type="dxa"/>
            <w:tcBorders>
              <w:top w:val="nil"/>
              <w:left w:val="nil"/>
              <w:bottom w:val="nil"/>
              <w:right w:val="nil"/>
            </w:tcBorders>
          </w:tcPr>
          <w:p w14:paraId="53C00BC6"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(1.432)</w:t>
            </w:r>
          </w:p>
        </w:tc>
        <w:tc>
          <w:tcPr>
            <w:tcW w:w="1418" w:type="dxa"/>
            <w:tcBorders>
              <w:top w:val="nil"/>
              <w:left w:val="nil"/>
              <w:bottom w:val="nil"/>
              <w:right w:val="nil"/>
            </w:tcBorders>
          </w:tcPr>
          <w:p w14:paraId="09908CA4"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(2.483)</w:t>
            </w:r>
          </w:p>
        </w:tc>
        <w:tc>
          <w:tcPr>
            <w:tcW w:w="1417" w:type="dxa"/>
            <w:tcBorders>
              <w:top w:val="nil"/>
              <w:left w:val="nil"/>
              <w:bottom w:val="nil"/>
              <w:right w:val="nil"/>
            </w:tcBorders>
          </w:tcPr>
          <w:p w14:paraId="09701DAA"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(4.048)</w:t>
            </w:r>
          </w:p>
        </w:tc>
        <w:tc>
          <w:tcPr>
            <w:tcW w:w="1843" w:type="dxa"/>
            <w:tcBorders>
              <w:top w:val="nil"/>
              <w:left w:val="nil"/>
              <w:bottom w:val="nil"/>
              <w:right w:val="nil"/>
            </w:tcBorders>
          </w:tcPr>
          <w:p w14:paraId="2D2EAB12"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(2.513)</w:t>
            </w:r>
          </w:p>
        </w:tc>
        <w:tc>
          <w:tcPr>
            <w:tcW w:w="1701" w:type="dxa"/>
            <w:tcBorders>
              <w:top w:val="nil"/>
              <w:left w:val="nil"/>
              <w:bottom w:val="nil"/>
              <w:right w:val="nil"/>
            </w:tcBorders>
          </w:tcPr>
          <w:p w14:paraId="7265A0BC"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(3.383)</w:t>
            </w:r>
          </w:p>
        </w:tc>
        <w:tc>
          <w:tcPr>
            <w:tcW w:w="1559" w:type="dxa"/>
            <w:tcBorders>
              <w:top w:val="nil"/>
              <w:left w:val="nil"/>
              <w:bottom w:val="nil"/>
              <w:right w:val="nil"/>
            </w:tcBorders>
          </w:tcPr>
          <w:p w14:paraId="3FD44C46"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(1.974)</w:t>
            </w:r>
          </w:p>
        </w:tc>
        <w:tc>
          <w:tcPr>
            <w:tcW w:w="1843" w:type="dxa"/>
            <w:tcBorders>
              <w:top w:val="nil"/>
              <w:left w:val="nil"/>
              <w:bottom w:val="nil"/>
              <w:right w:val="nil"/>
            </w:tcBorders>
          </w:tcPr>
          <w:p w14:paraId="4E7EFC8F"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(1.811)</w:t>
            </w:r>
          </w:p>
        </w:tc>
      </w:tr>
      <w:tr w:rsidR="005D6588" w:rsidRPr="00E3562B" w14:paraId="1E6A7313" w14:textId="77777777" w:rsidTr="00294522">
        <w:trPr>
          <w:trHeight w:val="249"/>
        </w:trPr>
        <w:tc>
          <w:tcPr>
            <w:tcW w:w="1701" w:type="dxa"/>
            <w:tcBorders>
              <w:top w:val="nil"/>
              <w:left w:val="nil"/>
              <w:bottom w:val="nil"/>
              <w:right w:val="nil"/>
            </w:tcBorders>
          </w:tcPr>
          <w:p w14:paraId="74B1C97D" w14:textId="77777777" w:rsidR="00A60DA1" w:rsidRPr="00E3562B" w:rsidRDefault="00A60DA1" w:rsidP="00294522">
            <w:pPr>
              <w:spacing w:line="240" w:lineRule="auto"/>
              <w:jc w:val="left"/>
              <w:rPr>
                <w:rFonts w:asciiTheme="majorBidi" w:hAnsiTheme="majorBidi" w:cstheme="majorBidi"/>
                <w:sz w:val="22"/>
                <w:szCs w:val="22"/>
                <w:lang w:val="en-GB"/>
              </w:rPr>
            </w:pPr>
          </w:p>
          <w:p w14:paraId="638BBD2A" w14:textId="77777777" w:rsidR="00A60DA1" w:rsidRPr="00E3562B" w:rsidRDefault="00A60DA1" w:rsidP="00294522">
            <w:pPr>
              <w:spacing w:line="240"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CONTROLS</w:t>
            </w:r>
          </w:p>
        </w:tc>
        <w:tc>
          <w:tcPr>
            <w:tcW w:w="2127" w:type="dxa"/>
            <w:tcBorders>
              <w:top w:val="nil"/>
              <w:left w:val="nil"/>
              <w:bottom w:val="nil"/>
              <w:right w:val="nil"/>
            </w:tcBorders>
          </w:tcPr>
          <w:p w14:paraId="02E4DEBC" w14:textId="77777777" w:rsidR="00A60DA1" w:rsidRPr="00E3562B" w:rsidRDefault="00A60DA1" w:rsidP="00294522">
            <w:pPr>
              <w:spacing w:line="240" w:lineRule="auto"/>
              <w:jc w:val="right"/>
              <w:rPr>
                <w:rFonts w:asciiTheme="majorBidi" w:hAnsiTheme="majorBidi" w:cstheme="majorBidi"/>
                <w:iCs/>
                <w:sz w:val="22"/>
                <w:szCs w:val="22"/>
                <w:lang w:val="en-GB"/>
              </w:rPr>
            </w:pPr>
          </w:p>
          <w:p w14:paraId="21418A0C"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iCs/>
                <w:sz w:val="22"/>
                <w:szCs w:val="22"/>
                <w:lang w:val="en-GB"/>
              </w:rPr>
              <w:t xml:space="preserve">Yes   </w:t>
            </w:r>
          </w:p>
        </w:tc>
        <w:tc>
          <w:tcPr>
            <w:tcW w:w="1418" w:type="dxa"/>
            <w:tcBorders>
              <w:top w:val="nil"/>
              <w:left w:val="nil"/>
              <w:bottom w:val="nil"/>
              <w:right w:val="nil"/>
            </w:tcBorders>
          </w:tcPr>
          <w:p w14:paraId="6A59A73B" w14:textId="77777777" w:rsidR="00A60DA1" w:rsidRPr="00E3562B" w:rsidRDefault="00A60DA1" w:rsidP="00294522">
            <w:pPr>
              <w:spacing w:line="240" w:lineRule="auto"/>
              <w:jc w:val="right"/>
              <w:rPr>
                <w:rFonts w:asciiTheme="majorBidi" w:hAnsiTheme="majorBidi" w:cstheme="majorBidi"/>
                <w:iCs/>
                <w:sz w:val="22"/>
                <w:szCs w:val="22"/>
                <w:lang w:val="en-GB"/>
              </w:rPr>
            </w:pPr>
          </w:p>
          <w:p w14:paraId="0C716E1C"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iCs/>
                <w:sz w:val="22"/>
                <w:szCs w:val="22"/>
                <w:lang w:val="en-GB"/>
              </w:rPr>
              <w:t xml:space="preserve">Yes   </w:t>
            </w:r>
          </w:p>
        </w:tc>
        <w:tc>
          <w:tcPr>
            <w:tcW w:w="1417" w:type="dxa"/>
            <w:tcBorders>
              <w:top w:val="nil"/>
              <w:left w:val="nil"/>
              <w:bottom w:val="nil"/>
              <w:right w:val="nil"/>
            </w:tcBorders>
          </w:tcPr>
          <w:p w14:paraId="7699DC52" w14:textId="77777777" w:rsidR="00A60DA1" w:rsidRPr="00E3562B" w:rsidRDefault="00A60DA1" w:rsidP="00294522">
            <w:pPr>
              <w:spacing w:line="240" w:lineRule="auto"/>
              <w:jc w:val="right"/>
              <w:rPr>
                <w:rFonts w:asciiTheme="majorBidi" w:hAnsiTheme="majorBidi" w:cstheme="majorBidi"/>
                <w:iCs/>
                <w:sz w:val="22"/>
                <w:szCs w:val="22"/>
                <w:lang w:val="en-GB"/>
              </w:rPr>
            </w:pPr>
          </w:p>
          <w:p w14:paraId="07A61FD1"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iCs/>
                <w:sz w:val="22"/>
                <w:szCs w:val="22"/>
                <w:lang w:val="en-GB"/>
              </w:rPr>
              <w:t xml:space="preserve">Yes   </w:t>
            </w:r>
          </w:p>
        </w:tc>
        <w:tc>
          <w:tcPr>
            <w:tcW w:w="1843" w:type="dxa"/>
            <w:tcBorders>
              <w:top w:val="nil"/>
              <w:left w:val="nil"/>
              <w:bottom w:val="nil"/>
              <w:right w:val="nil"/>
            </w:tcBorders>
          </w:tcPr>
          <w:p w14:paraId="0B1F494E" w14:textId="77777777" w:rsidR="00A60DA1" w:rsidRPr="00E3562B" w:rsidRDefault="00A60DA1" w:rsidP="00294522">
            <w:pPr>
              <w:spacing w:line="240" w:lineRule="auto"/>
              <w:jc w:val="right"/>
              <w:rPr>
                <w:rFonts w:asciiTheme="majorBidi" w:hAnsiTheme="majorBidi" w:cstheme="majorBidi"/>
                <w:iCs/>
                <w:sz w:val="22"/>
                <w:szCs w:val="22"/>
                <w:lang w:val="en-GB"/>
              </w:rPr>
            </w:pPr>
          </w:p>
          <w:p w14:paraId="4A4BE78A"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iCs/>
                <w:sz w:val="22"/>
                <w:szCs w:val="22"/>
                <w:lang w:val="en-GB"/>
              </w:rPr>
              <w:t xml:space="preserve">Yes   </w:t>
            </w:r>
          </w:p>
        </w:tc>
        <w:tc>
          <w:tcPr>
            <w:tcW w:w="1701" w:type="dxa"/>
            <w:tcBorders>
              <w:top w:val="nil"/>
              <w:left w:val="nil"/>
              <w:bottom w:val="nil"/>
              <w:right w:val="nil"/>
            </w:tcBorders>
          </w:tcPr>
          <w:p w14:paraId="5CFE676E" w14:textId="77777777" w:rsidR="00A60DA1" w:rsidRPr="00E3562B" w:rsidRDefault="00A60DA1" w:rsidP="00294522">
            <w:pPr>
              <w:spacing w:line="240" w:lineRule="auto"/>
              <w:jc w:val="right"/>
              <w:rPr>
                <w:rFonts w:asciiTheme="majorBidi" w:hAnsiTheme="majorBidi" w:cstheme="majorBidi"/>
                <w:iCs/>
                <w:sz w:val="22"/>
                <w:szCs w:val="22"/>
                <w:lang w:val="en-GB"/>
              </w:rPr>
            </w:pPr>
          </w:p>
          <w:p w14:paraId="26D2E00C"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iCs/>
                <w:sz w:val="22"/>
                <w:szCs w:val="22"/>
                <w:lang w:val="en-GB"/>
              </w:rPr>
              <w:t xml:space="preserve">Yes   </w:t>
            </w:r>
          </w:p>
        </w:tc>
        <w:tc>
          <w:tcPr>
            <w:tcW w:w="1559" w:type="dxa"/>
            <w:tcBorders>
              <w:top w:val="nil"/>
              <w:left w:val="nil"/>
              <w:bottom w:val="nil"/>
              <w:right w:val="nil"/>
            </w:tcBorders>
          </w:tcPr>
          <w:p w14:paraId="02E9F438" w14:textId="77777777" w:rsidR="00A60DA1" w:rsidRPr="00E3562B" w:rsidRDefault="00A60DA1" w:rsidP="00294522">
            <w:pPr>
              <w:spacing w:line="240" w:lineRule="auto"/>
              <w:jc w:val="right"/>
              <w:rPr>
                <w:rFonts w:asciiTheme="majorBidi" w:hAnsiTheme="majorBidi" w:cstheme="majorBidi"/>
                <w:iCs/>
                <w:sz w:val="22"/>
                <w:szCs w:val="22"/>
                <w:lang w:val="en-GB"/>
              </w:rPr>
            </w:pPr>
          </w:p>
          <w:p w14:paraId="644AC33C"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iCs/>
                <w:sz w:val="22"/>
                <w:szCs w:val="22"/>
                <w:lang w:val="en-GB"/>
              </w:rPr>
              <w:t xml:space="preserve">Yes   </w:t>
            </w:r>
          </w:p>
        </w:tc>
        <w:tc>
          <w:tcPr>
            <w:tcW w:w="1843" w:type="dxa"/>
            <w:tcBorders>
              <w:top w:val="nil"/>
              <w:left w:val="nil"/>
              <w:bottom w:val="nil"/>
              <w:right w:val="nil"/>
            </w:tcBorders>
          </w:tcPr>
          <w:p w14:paraId="2330CC29" w14:textId="77777777" w:rsidR="00A60DA1" w:rsidRPr="00E3562B" w:rsidRDefault="00A60DA1" w:rsidP="00294522">
            <w:pPr>
              <w:spacing w:line="240" w:lineRule="auto"/>
              <w:jc w:val="right"/>
              <w:rPr>
                <w:rFonts w:asciiTheme="majorBidi" w:hAnsiTheme="majorBidi" w:cstheme="majorBidi"/>
                <w:iCs/>
                <w:sz w:val="22"/>
                <w:szCs w:val="22"/>
                <w:lang w:val="en-GB"/>
              </w:rPr>
            </w:pPr>
          </w:p>
          <w:p w14:paraId="221518F0"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iCs/>
                <w:sz w:val="22"/>
                <w:szCs w:val="22"/>
                <w:lang w:val="en-GB"/>
              </w:rPr>
              <w:t xml:space="preserve">Yes   </w:t>
            </w:r>
          </w:p>
        </w:tc>
      </w:tr>
      <w:tr w:rsidR="005D6588" w:rsidRPr="00E3562B" w14:paraId="767B5DF2" w14:textId="77777777" w:rsidTr="00294522">
        <w:trPr>
          <w:trHeight w:val="249"/>
        </w:trPr>
        <w:tc>
          <w:tcPr>
            <w:tcW w:w="1701" w:type="dxa"/>
            <w:tcBorders>
              <w:top w:val="nil"/>
              <w:left w:val="nil"/>
              <w:bottom w:val="nil"/>
              <w:right w:val="nil"/>
            </w:tcBorders>
          </w:tcPr>
          <w:p w14:paraId="74CD691B" w14:textId="77777777" w:rsidR="00A60DA1" w:rsidRPr="00E3562B" w:rsidRDefault="00A60DA1" w:rsidP="00294522">
            <w:pPr>
              <w:spacing w:line="240" w:lineRule="auto"/>
              <w:jc w:val="left"/>
              <w:rPr>
                <w:rFonts w:asciiTheme="majorBidi" w:hAnsiTheme="majorBidi" w:cstheme="majorBidi"/>
                <w:iCs/>
                <w:sz w:val="22"/>
                <w:szCs w:val="22"/>
                <w:lang w:val="en-GB"/>
              </w:rPr>
            </w:pPr>
            <w:r w:rsidRPr="00E3562B">
              <w:rPr>
                <w:rFonts w:asciiTheme="majorBidi" w:hAnsiTheme="majorBidi" w:cstheme="majorBidi"/>
                <w:iCs/>
                <w:sz w:val="22"/>
                <w:szCs w:val="22"/>
                <w:lang w:val="en-GB"/>
              </w:rPr>
              <w:t>INDUSTRY</w:t>
            </w:r>
          </w:p>
        </w:tc>
        <w:tc>
          <w:tcPr>
            <w:tcW w:w="2127" w:type="dxa"/>
            <w:tcBorders>
              <w:top w:val="nil"/>
              <w:left w:val="nil"/>
              <w:bottom w:val="nil"/>
              <w:right w:val="nil"/>
            </w:tcBorders>
          </w:tcPr>
          <w:p w14:paraId="07461C69"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418" w:type="dxa"/>
            <w:tcBorders>
              <w:top w:val="nil"/>
              <w:left w:val="nil"/>
              <w:bottom w:val="nil"/>
              <w:right w:val="nil"/>
            </w:tcBorders>
          </w:tcPr>
          <w:p w14:paraId="27BC9554"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417" w:type="dxa"/>
            <w:tcBorders>
              <w:top w:val="nil"/>
              <w:left w:val="nil"/>
              <w:bottom w:val="nil"/>
              <w:right w:val="nil"/>
            </w:tcBorders>
          </w:tcPr>
          <w:p w14:paraId="08B97F4D"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843" w:type="dxa"/>
            <w:tcBorders>
              <w:top w:val="nil"/>
              <w:left w:val="nil"/>
              <w:bottom w:val="nil"/>
              <w:right w:val="nil"/>
            </w:tcBorders>
          </w:tcPr>
          <w:p w14:paraId="4F5560E6"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701" w:type="dxa"/>
            <w:tcBorders>
              <w:top w:val="nil"/>
              <w:left w:val="nil"/>
              <w:bottom w:val="nil"/>
              <w:right w:val="nil"/>
            </w:tcBorders>
          </w:tcPr>
          <w:p w14:paraId="19732CAD"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559" w:type="dxa"/>
            <w:tcBorders>
              <w:top w:val="nil"/>
              <w:left w:val="nil"/>
              <w:bottom w:val="nil"/>
              <w:right w:val="nil"/>
            </w:tcBorders>
          </w:tcPr>
          <w:p w14:paraId="7285A982"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843" w:type="dxa"/>
            <w:tcBorders>
              <w:top w:val="nil"/>
              <w:left w:val="nil"/>
              <w:bottom w:val="nil"/>
              <w:right w:val="nil"/>
            </w:tcBorders>
          </w:tcPr>
          <w:p w14:paraId="0CC4D711"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r>
      <w:tr w:rsidR="005D6588" w:rsidRPr="00E3562B" w14:paraId="1294FF24" w14:textId="77777777" w:rsidTr="00294522">
        <w:trPr>
          <w:trHeight w:val="249"/>
        </w:trPr>
        <w:tc>
          <w:tcPr>
            <w:tcW w:w="1701" w:type="dxa"/>
            <w:tcBorders>
              <w:top w:val="nil"/>
              <w:left w:val="nil"/>
              <w:bottom w:val="nil"/>
              <w:right w:val="nil"/>
            </w:tcBorders>
          </w:tcPr>
          <w:p w14:paraId="75D004A6" w14:textId="77777777" w:rsidR="00A60DA1" w:rsidRPr="00E3562B" w:rsidRDefault="00A60DA1" w:rsidP="00294522">
            <w:pPr>
              <w:spacing w:line="240" w:lineRule="auto"/>
              <w:jc w:val="left"/>
              <w:rPr>
                <w:rFonts w:asciiTheme="majorBidi" w:hAnsiTheme="majorBidi" w:cstheme="majorBidi"/>
                <w:iCs/>
                <w:sz w:val="22"/>
                <w:szCs w:val="22"/>
                <w:lang w:val="en-GB"/>
              </w:rPr>
            </w:pPr>
            <w:r w:rsidRPr="00E3562B">
              <w:rPr>
                <w:rFonts w:asciiTheme="majorBidi" w:hAnsiTheme="majorBidi" w:cstheme="majorBidi"/>
                <w:iCs/>
                <w:sz w:val="22"/>
                <w:szCs w:val="22"/>
                <w:lang w:val="en-GB"/>
              </w:rPr>
              <w:t>YEAR</w:t>
            </w:r>
          </w:p>
        </w:tc>
        <w:tc>
          <w:tcPr>
            <w:tcW w:w="2127" w:type="dxa"/>
            <w:tcBorders>
              <w:top w:val="nil"/>
              <w:left w:val="nil"/>
              <w:bottom w:val="nil"/>
              <w:right w:val="nil"/>
            </w:tcBorders>
          </w:tcPr>
          <w:p w14:paraId="484F3855"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418" w:type="dxa"/>
            <w:tcBorders>
              <w:top w:val="nil"/>
              <w:left w:val="nil"/>
              <w:bottom w:val="nil"/>
              <w:right w:val="nil"/>
            </w:tcBorders>
          </w:tcPr>
          <w:p w14:paraId="2231019A"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417" w:type="dxa"/>
            <w:tcBorders>
              <w:top w:val="nil"/>
              <w:left w:val="nil"/>
              <w:bottom w:val="nil"/>
              <w:right w:val="nil"/>
            </w:tcBorders>
          </w:tcPr>
          <w:p w14:paraId="4D1739ED"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843" w:type="dxa"/>
            <w:tcBorders>
              <w:top w:val="nil"/>
              <w:left w:val="nil"/>
              <w:bottom w:val="nil"/>
              <w:right w:val="nil"/>
            </w:tcBorders>
          </w:tcPr>
          <w:p w14:paraId="0F160FCB"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701" w:type="dxa"/>
            <w:tcBorders>
              <w:top w:val="nil"/>
              <w:left w:val="nil"/>
              <w:bottom w:val="nil"/>
              <w:right w:val="nil"/>
            </w:tcBorders>
          </w:tcPr>
          <w:p w14:paraId="5C68984A"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559" w:type="dxa"/>
            <w:tcBorders>
              <w:top w:val="nil"/>
              <w:left w:val="nil"/>
              <w:bottom w:val="nil"/>
              <w:right w:val="nil"/>
            </w:tcBorders>
          </w:tcPr>
          <w:p w14:paraId="33A73BE8"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c>
          <w:tcPr>
            <w:tcW w:w="1843" w:type="dxa"/>
            <w:tcBorders>
              <w:top w:val="nil"/>
              <w:left w:val="nil"/>
              <w:bottom w:val="nil"/>
              <w:right w:val="nil"/>
            </w:tcBorders>
          </w:tcPr>
          <w:p w14:paraId="31B1F1C6"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iCs/>
                <w:sz w:val="22"/>
                <w:szCs w:val="22"/>
                <w:lang w:val="en-GB"/>
              </w:rPr>
              <w:t xml:space="preserve">Yes   </w:t>
            </w:r>
          </w:p>
        </w:tc>
      </w:tr>
      <w:tr w:rsidR="005D6588" w:rsidRPr="00E3562B" w14:paraId="1A6D0CBE" w14:textId="77777777" w:rsidTr="00294522">
        <w:trPr>
          <w:trHeight w:val="249"/>
        </w:trPr>
        <w:tc>
          <w:tcPr>
            <w:tcW w:w="1701" w:type="dxa"/>
            <w:tcBorders>
              <w:top w:val="nil"/>
              <w:left w:val="nil"/>
              <w:bottom w:val="nil"/>
              <w:right w:val="nil"/>
            </w:tcBorders>
          </w:tcPr>
          <w:p w14:paraId="790CC31E" w14:textId="77777777" w:rsidR="00A60DA1" w:rsidRPr="00E3562B" w:rsidRDefault="00A60DA1" w:rsidP="00294522">
            <w:pPr>
              <w:spacing w:line="240"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Constant </w:t>
            </w:r>
          </w:p>
        </w:tc>
        <w:tc>
          <w:tcPr>
            <w:tcW w:w="2127" w:type="dxa"/>
            <w:tcBorders>
              <w:top w:val="nil"/>
              <w:left w:val="nil"/>
              <w:bottom w:val="nil"/>
              <w:right w:val="nil"/>
            </w:tcBorders>
          </w:tcPr>
          <w:p w14:paraId="79A65B31"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0.656***</w:t>
            </w:r>
          </w:p>
        </w:tc>
        <w:tc>
          <w:tcPr>
            <w:tcW w:w="1418" w:type="dxa"/>
            <w:tcBorders>
              <w:top w:val="nil"/>
              <w:left w:val="nil"/>
              <w:bottom w:val="nil"/>
              <w:right w:val="nil"/>
            </w:tcBorders>
          </w:tcPr>
          <w:p w14:paraId="7E056C65"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0.334*</w:t>
            </w:r>
          </w:p>
        </w:tc>
        <w:tc>
          <w:tcPr>
            <w:tcW w:w="1417" w:type="dxa"/>
            <w:tcBorders>
              <w:top w:val="nil"/>
              <w:left w:val="nil"/>
              <w:bottom w:val="nil"/>
              <w:right w:val="nil"/>
            </w:tcBorders>
          </w:tcPr>
          <w:p w14:paraId="311C59CD"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0.0359</w:t>
            </w:r>
          </w:p>
        </w:tc>
        <w:tc>
          <w:tcPr>
            <w:tcW w:w="1843" w:type="dxa"/>
            <w:tcBorders>
              <w:top w:val="nil"/>
              <w:left w:val="nil"/>
              <w:bottom w:val="nil"/>
              <w:right w:val="nil"/>
            </w:tcBorders>
          </w:tcPr>
          <w:p w14:paraId="27ADD1BC"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-0.0586</w:t>
            </w:r>
          </w:p>
        </w:tc>
        <w:tc>
          <w:tcPr>
            <w:tcW w:w="1701" w:type="dxa"/>
            <w:tcBorders>
              <w:top w:val="nil"/>
              <w:left w:val="nil"/>
              <w:bottom w:val="nil"/>
              <w:right w:val="nil"/>
            </w:tcBorders>
          </w:tcPr>
          <w:p w14:paraId="5253DEFB"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-0.0635</w:t>
            </w:r>
          </w:p>
        </w:tc>
        <w:tc>
          <w:tcPr>
            <w:tcW w:w="1559" w:type="dxa"/>
            <w:tcBorders>
              <w:top w:val="nil"/>
              <w:left w:val="nil"/>
              <w:bottom w:val="nil"/>
              <w:right w:val="nil"/>
            </w:tcBorders>
          </w:tcPr>
          <w:p w14:paraId="769E1A2C"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0.0111</w:t>
            </w:r>
          </w:p>
        </w:tc>
        <w:tc>
          <w:tcPr>
            <w:tcW w:w="1843" w:type="dxa"/>
            <w:tcBorders>
              <w:top w:val="nil"/>
              <w:left w:val="nil"/>
              <w:bottom w:val="nil"/>
              <w:right w:val="nil"/>
            </w:tcBorders>
          </w:tcPr>
          <w:p w14:paraId="2A5F05C4"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0.0464</w:t>
            </w:r>
          </w:p>
        </w:tc>
      </w:tr>
      <w:tr w:rsidR="005D6588" w:rsidRPr="00E3562B" w14:paraId="47F4852A" w14:textId="77777777" w:rsidTr="00294522">
        <w:trPr>
          <w:trHeight w:val="249"/>
        </w:trPr>
        <w:tc>
          <w:tcPr>
            <w:tcW w:w="1701" w:type="dxa"/>
            <w:tcBorders>
              <w:top w:val="nil"/>
              <w:left w:val="nil"/>
              <w:bottom w:val="nil"/>
              <w:right w:val="nil"/>
            </w:tcBorders>
          </w:tcPr>
          <w:p w14:paraId="648E9503" w14:textId="77777777" w:rsidR="00A60DA1" w:rsidRPr="00E3562B" w:rsidRDefault="00A60DA1" w:rsidP="00294522">
            <w:pPr>
              <w:spacing w:line="240"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 </w:t>
            </w:r>
          </w:p>
        </w:tc>
        <w:tc>
          <w:tcPr>
            <w:tcW w:w="2127" w:type="dxa"/>
            <w:tcBorders>
              <w:top w:val="nil"/>
              <w:left w:val="nil"/>
              <w:bottom w:val="nil"/>
              <w:right w:val="nil"/>
            </w:tcBorders>
          </w:tcPr>
          <w:p w14:paraId="4CF77293"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(3.325)</w:t>
            </w:r>
          </w:p>
        </w:tc>
        <w:tc>
          <w:tcPr>
            <w:tcW w:w="1418" w:type="dxa"/>
            <w:tcBorders>
              <w:top w:val="nil"/>
              <w:left w:val="nil"/>
              <w:bottom w:val="nil"/>
              <w:right w:val="nil"/>
            </w:tcBorders>
          </w:tcPr>
          <w:p w14:paraId="4BF34D1D"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(1.764)</w:t>
            </w:r>
          </w:p>
        </w:tc>
        <w:tc>
          <w:tcPr>
            <w:tcW w:w="1417" w:type="dxa"/>
            <w:tcBorders>
              <w:top w:val="nil"/>
              <w:left w:val="nil"/>
              <w:bottom w:val="nil"/>
              <w:right w:val="nil"/>
            </w:tcBorders>
          </w:tcPr>
          <w:p w14:paraId="4FE237F6"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(0.380)</w:t>
            </w:r>
          </w:p>
        </w:tc>
        <w:tc>
          <w:tcPr>
            <w:tcW w:w="1843" w:type="dxa"/>
            <w:tcBorders>
              <w:top w:val="nil"/>
              <w:left w:val="nil"/>
              <w:bottom w:val="nil"/>
              <w:right w:val="nil"/>
            </w:tcBorders>
          </w:tcPr>
          <w:p w14:paraId="3489BDD2"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(-0.400)</w:t>
            </w:r>
          </w:p>
        </w:tc>
        <w:tc>
          <w:tcPr>
            <w:tcW w:w="1701" w:type="dxa"/>
            <w:tcBorders>
              <w:top w:val="nil"/>
              <w:left w:val="nil"/>
              <w:bottom w:val="nil"/>
              <w:right w:val="nil"/>
            </w:tcBorders>
          </w:tcPr>
          <w:p w14:paraId="2343F8E2"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(-0.343)</w:t>
            </w:r>
          </w:p>
        </w:tc>
        <w:tc>
          <w:tcPr>
            <w:tcW w:w="1559" w:type="dxa"/>
            <w:tcBorders>
              <w:top w:val="nil"/>
              <w:left w:val="nil"/>
              <w:bottom w:val="nil"/>
              <w:right w:val="nil"/>
            </w:tcBorders>
          </w:tcPr>
          <w:p w14:paraId="01AFB68B" w14:textId="77777777" w:rsidR="00A60DA1" w:rsidRPr="00E3562B" w:rsidRDefault="00A60DA1" w:rsidP="00294522">
            <w:pPr>
              <w:spacing w:line="240" w:lineRule="auto"/>
              <w:jc w:val="right"/>
              <w:rPr>
                <w:rFonts w:asciiTheme="majorBidi" w:hAnsiTheme="majorBidi" w:cstheme="majorBidi"/>
                <w:iCs/>
                <w:sz w:val="22"/>
                <w:szCs w:val="22"/>
                <w:lang w:val="en-GB"/>
              </w:rPr>
            </w:pPr>
            <w:r w:rsidRPr="00E3562B">
              <w:rPr>
                <w:rFonts w:asciiTheme="majorBidi" w:hAnsiTheme="majorBidi" w:cstheme="majorBidi"/>
                <w:sz w:val="22"/>
                <w:szCs w:val="22"/>
                <w:lang w:val="en-GB"/>
              </w:rPr>
              <w:t>(0.0709)</w:t>
            </w:r>
          </w:p>
        </w:tc>
        <w:tc>
          <w:tcPr>
            <w:tcW w:w="1843" w:type="dxa"/>
            <w:tcBorders>
              <w:top w:val="nil"/>
              <w:left w:val="nil"/>
              <w:bottom w:val="nil"/>
              <w:right w:val="nil"/>
            </w:tcBorders>
          </w:tcPr>
          <w:p w14:paraId="4CFAAE10"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(0.280)</w:t>
            </w:r>
          </w:p>
        </w:tc>
      </w:tr>
      <w:tr w:rsidR="005D6588" w:rsidRPr="00E3562B" w14:paraId="2D86B115" w14:textId="77777777" w:rsidTr="00294522">
        <w:trPr>
          <w:trHeight w:val="249"/>
        </w:trPr>
        <w:tc>
          <w:tcPr>
            <w:tcW w:w="1701" w:type="dxa"/>
            <w:tcBorders>
              <w:top w:val="nil"/>
              <w:left w:val="nil"/>
              <w:right w:val="nil"/>
            </w:tcBorders>
          </w:tcPr>
          <w:p w14:paraId="0AA57593" w14:textId="77777777" w:rsidR="00A60DA1" w:rsidRPr="00E3562B" w:rsidRDefault="00A60DA1" w:rsidP="00294522">
            <w:pPr>
              <w:spacing w:line="240"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No. of observations</w:t>
            </w:r>
          </w:p>
        </w:tc>
        <w:tc>
          <w:tcPr>
            <w:tcW w:w="2127" w:type="dxa"/>
            <w:tcBorders>
              <w:top w:val="nil"/>
              <w:left w:val="nil"/>
              <w:right w:val="nil"/>
            </w:tcBorders>
          </w:tcPr>
          <w:p w14:paraId="089C4FAA"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417</w:t>
            </w:r>
          </w:p>
        </w:tc>
        <w:tc>
          <w:tcPr>
            <w:tcW w:w="1418" w:type="dxa"/>
            <w:tcBorders>
              <w:top w:val="nil"/>
              <w:left w:val="nil"/>
              <w:right w:val="nil"/>
            </w:tcBorders>
          </w:tcPr>
          <w:p w14:paraId="6FA8D644"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417</w:t>
            </w:r>
          </w:p>
        </w:tc>
        <w:tc>
          <w:tcPr>
            <w:tcW w:w="1417" w:type="dxa"/>
            <w:tcBorders>
              <w:top w:val="nil"/>
              <w:left w:val="nil"/>
              <w:right w:val="nil"/>
            </w:tcBorders>
          </w:tcPr>
          <w:p w14:paraId="3B30E0AB"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417</w:t>
            </w:r>
          </w:p>
        </w:tc>
        <w:tc>
          <w:tcPr>
            <w:tcW w:w="1843" w:type="dxa"/>
            <w:tcBorders>
              <w:top w:val="nil"/>
              <w:left w:val="nil"/>
              <w:right w:val="nil"/>
            </w:tcBorders>
          </w:tcPr>
          <w:p w14:paraId="5D27E499"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417</w:t>
            </w:r>
          </w:p>
        </w:tc>
        <w:tc>
          <w:tcPr>
            <w:tcW w:w="1701" w:type="dxa"/>
            <w:tcBorders>
              <w:top w:val="nil"/>
              <w:left w:val="nil"/>
              <w:right w:val="nil"/>
            </w:tcBorders>
          </w:tcPr>
          <w:p w14:paraId="5E79B1AC"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417</w:t>
            </w:r>
          </w:p>
        </w:tc>
        <w:tc>
          <w:tcPr>
            <w:tcW w:w="1559" w:type="dxa"/>
            <w:tcBorders>
              <w:top w:val="nil"/>
              <w:left w:val="nil"/>
              <w:right w:val="nil"/>
            </w:tcBorders>
          </w:tcPr>
          <w:p w14:paraId="7DA2097E"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417</w:t>
            </w:r>
          </w:p>
        </w:tc>
        <w:tc>
          <w:tcPr>
            <w:tcW w:w="1843" w:type="dxa"/>
            <w:tcBorders>
              <w:top w:val="nil"/>
              <w:left w:val="nil"/>
              <w:right w:val="nil"/>
            </w:tcBorders>
          </w:tcPr>
          <w:p w14:paraId="4C532A32"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417</w:t>
            </w:r>
          </w:p>
        </w:tc>
      </w:tr>
      <w:tr w:rsidR="005D6588" w:rsidRPr="00E3562B" w14:paraId="50852197" w14:textId="77777777" w:rsidTr="00294522">
        <w:trPr>
          <w:trHeight w:val="249"/>
        </w:trPr>
        <w:tc>
          <w:tcPr>
            <w:tcW w:w="1701" w:type="dxa"/>
            <w:tcBorders>
              <w:top w:val="nil"/>
              <w:left w:val="nil"/>
              <w:bottom w:val="single" w:sz="4" w:space="0" w:color="auto"/>
              <w:right w:val="nil"/>
            </w:tcBorders>
          </w:tcPr>
          <w:p w14:paraId="23444234" w14:textId="77777777" w:rsidR="00A60DA1" w:rsidRPr="00E3562B" w:rsidRDefault="00A60DA1" w:rsidP="00294522">
            <w:pPr>
              <w:spacing w:line="240"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Adj. R</w:t>
            </w:r>
            <w:r w:rsidRPr="00E3562B">
              <w:rPr>
                <w:rFonts w:asciiTheme="majorBidi" w:hAnsiTheme="majorBidi" w:cstheme="majorBidi"/>
                <w:sz w:val="22"/>
                <w:szCs w:val="22"/>
                <w:vertAlign w:val="superscript"/>
                <w:lang w:val="en-GB"/>
              </w:rPr>
              <w:t>2</w:t>
            </w:r>
          </w:p>
        </w:tc>
        <w:tc>
          <w:tcPr>
            <w:tcW w:w="2127" w:type="dxa"/>
            <w:tcBorders>
              <w:top w:val="nil"/>
              <w:left w:val="nil"/>
              <w:bottom w:val="single" w:sz="6" w:space="0" w:color="auto"/>
              <w:right w:val="nil"/>
            </w:tcBorders>
          </w:tcPr>
          <w:p w14:paraId="0CAC9AFD"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0.124</w:t>
            </w:r>
          </w:p>
        </w:tc>
        <w:tc>
          <w:tcPr>
            <w:tcW w:w="1418" w:type="dxa"/>
            <w:tcBorders>
              <w:top w:val="nil"/>
              <w:left w:val="nil"/>
              <w:bottom w:val="single" w:sz="6" w:space="0" w:color="auto"/>
              <w:right w:val="nil"/>
            </w:tcBorders>
          </w:tcPr>
          <w:p w14:paraId="54C28412"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0.142</w:t>
            </w:r>
          </w:p>
        </w:tc>
        <w:tc>
          <w:tcPr>
            <w:tcW w:w="1417" w:type="dxa"/>
            <w:tcBorders>
              <w:top w:val="nil"/>
              <w:left w:val="nil"/>
              <w:bottom w:val="single" w:sz="6" w:space="0" w:color="auto"/>
              <w:right w:val="nil"/>
            </w:tcBorders>
          </w:tcPr>
          <w:p w14:paraId="45518E2A"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0.221</w:t>
            </w:r>
          </w:p>
        </w:tc>
        <w:tc>
          <w:tcPr>
            <w:tcW w:w="1843" w:type="dxa"/>
            <w:tcBorders>
              <w:top w:val="nil"/>
              <w:left w:val="nil"/>
              <w:bottom w:val="single" w:sz="6" w:space="0" w:color="auto"/>
              <w:right w:val="nil"/>
            </w:tcBorders>
          </w:tcPr>
          <w:p w14:paraId="64C7C31D"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0.224</w:t>
            </w:r>
          </w:p>
        </w:tc>
        <w:tc>
          <w:tcPr>
            <w:tcW w:w="1701" w:type="dxa"/>
            <w:tcBorders>
              <w:top w:val="nil"/>
              <w:left w:val="nil"/>
              <w:bottom w:val="single" w:sz="6" w:space="0" w:color="auto"/>
              <w:right w:val="nil"/>
            </w:tcBorders>
          </w:tcPr>
          <w:p w14:paraId="5E9511EA"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0.162</w:t>
            </w:r>
          </w:p>
        </w:tc>
        <w:tc>
          <w:tcPr>
            <w:tcW w:w="1559" w:type="dxa"/>
            <w:tcBorders>
              <w:top w:val="nil"/>
              <w:left w:val="nil"/>
              <w:bottom w:val="single" w:sz="6" w:space="0" w:color="auto"/>
              <w:right w:val="nil"/>
            </w:tcBorders>
          </w:tcPr>
          <w:p w14:paraId="17DD2ACE"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0.122</w:t>
            </w:r>
          </w:p>
        </w:tc>
        <w:tc>
          <w:tcPr>
            <w:tcW w:w="1843" w:type="dxa"/>
            <w:tcBorders>
              <w:top w:val="nil"/>
              <w:left w:val="nil"/>
              <w:bottom w:val="single" w:sz="6" w:space="0" w:color="auto"/>
              <w:right w:val="nil"/>
            </w:tcBorders>
          </w:tcPr>
          <w:p w14:paraId="1ABFF0C9" w14:textId="77777777" w:rsidR="00A60DA1" w:rsidRPr="00E3562B" w:rsidRDefault="00A60DA1" w:rsidP="00294522">
            <w:pPr>
              <w:spacing w:line="240"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0.241</w:t>
            </w:r>
          </w:p>
        </w:tc>
      </w:tr>
    </w:tbl>
    <w:p w14:paraId="1E667E24" w14:textId="77777777" w:rsidR="00A60DA1" w:rsidRPr="00E3562B" w:rsidRDefault="00A60DA1" w:rsidP="00A60DA1">
      <w:pPr>
        <w:spacing w:line="240" w:lineRule="auto"/>
        <w:jc w:val="left"/>
        <w:rPr>
          <w:i/>
          <w:iCs/>
          <w:sz w:val="20"/>
          <w:lang w:val="en-GB"/>
        </w:rPr>
      </w:pPr>
      <w:r w:rsidRPr="00E3562B">
        <w:rPr>
          <w:i/>
          <w:iCs/>
          <w:sz w:val="20"/>
          <w:lang w:val="en-GB"/>
        </w:rPr>
        <w:t>Note: Detailed definitions of all variables are available in Table 2. t-statistics are provided in parentheses. *p &lt; 0.10.**p &lt; 0.05.***p &lt; 0.01.</w:t>
      </w:r>
    </w:p>
    <w:p w14:paraId="5D01EE36" w14:textId="77777777" w:rsidR="00A60DA1" w:rsidRPr="00E3562B" w:rsidRDefault="00A60DA1" w:rsidP="00A60DA1">
      <w:pPr>
        <w:spacing w:line="240" w:lineRule="auto"/>
        <w:rPr>
          <w:i/>
          <w:iCs/>
          <w:sz w:val="20"/>
          <w:lang w:val="en-GB"/>
        </w:rPr>
      </w:pPr>
    </w:p>
    <w:p w14:paraId="2E1C843B" w14:textId="77777777" w:rsidR="00A60DA1" w:rsidRPr="00E3562B" w:rsidRDefault="00A60DA1" w:rsidP="00A60DA1">
      <w:pPr>
        <w:rPr>
          <w:b/>
          <w:bCs/>
          <w:lang w:val="en-GB"/>
        </w:rPr>
        <w:sectPr w:rsidR="00A60DA1" w:rsidRPr="00E3562B" w:rsidSect="00625A08">
          <w:pgSz w:w="16817" w:h="11901" w:orient="landscape"/>
          <w:pgMar w:top="1418" w:right="1440" w:bottom="1418" w:left="1440" w:header="709" w:footer="709" w:gutter="0"/>
          <w:cols w:space="708"/>
          <w:docGrid w:linePitch="326"/>
        </w:sectPr>
      </w:pPr>
    </w:p>
    <w:p w14:paraId="17099384" w14:textId="6DA28B43" w:rsidR="00A60DA1" w:rsidRPr="00E3562B" w:rsidRDefault="00A60DA1" w:rsidP="00A60DA1">
      <w:pPr>
        <w:spacing w:line="240" w:lineRule="auto"/>
        <w:rPr>
          <w:lang w:val="en-GB"/>
        </w:rPr>
      </w:pPr>
      <w:r w:rsidRPr="00E3562B">
        <w:rPr>
          <w:b/>
          <w:bCs/>
          <w:lang w:val="en-GB"/>
        </w:rPr>
        <w:lastRenderedPageBreak/>
        <w:t>Table 8.</w:t>
      </w:r>
      <w:r w:rsidRPr="00E3562B">
        <w:rPr>
          <w:lang w:val="en-GB"/>
        </w:rPr>
        <w:t xml:space="preserve"> The moderating effect of </w:t>
      </w:r>
      <w:r w:rsidR="00127300" w:rsidRPr="00E3562B">
        <w:rPr>
          <w:lang w:val="en-GB"/>
        </w:rPr>
        <w:t>BGD</w:t>
      </w:r>
      <w:r w:rsidRPr="00E3562B">
        <w:rPr>
          <w:lang w:val="en-GB"/>
        </w:rPr>
        <w:t xml:space="preserve"> on the relationship </w:t>
      </w:r>
      <w:r w:rsidR="007B6EA4" w:rsidRPr="00E3562B">
        <w:rPr>
          <w:lang w:val="en-GB"/>
        </w:rPr>
        <w:t>between</w:t>
      </w:r>
      <w:r w:rsidRPr="00E3562B">
        <w:rPr>
          <w:lang w:val="en-GB"/>
        </w:rPr>
        <w:t xml:space="preserve"> CEO power and MSDI</w:t>
      </w:r>
    </w:p>
    <w:p w14:paraId="656CFEC0" w14:textId="77777777" w:rsidR="00A60DA1" w:rsidRPr="00E3562B" w:rsidRDefault="00A60DA1" w:rsidP="00A60DA1">
      <w:pPr>
        <w:spacing w:line="240" w:lineRule="auto"/>
        <w:rPr>
          <w:b/>
          <w:bCs/>
          <w:lang w:val="en-GB"/>
        </w:rPr>
      </w:pPr>
    </w:p>
    <w:tbl>
      <w:tblPr>
        <w:tblStyle w:val="TableGrid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701"/>
        <w:gridCol w:w="1276"/>
        <w:gridCol w:w="1134"/>
        <w:gridCol w:w="1134"/>
        <w:gridCol w:w="1134"/>
      </w:tblGrid>
      <w:tr w:rsidR="005D6588" w:rsidRPr="00E3562B" w14:paraId="6565A824" w14:textId="77777777" w:rsidTr="00294522">
        <w:trPr>
          <w:trHeight w:val="374"/>
        </w:trPr>
        <w:tc>
          <w:tcPr>
            <w:tcW w:w="3119" w:type="dxa"/>
            <w:tcBorders>
              <w:top w:val="single" w:sz="4" w:space="0" w:color="auto"/>
              <w:bottom w:val="single" w:sz="4" w:space="0" w:color="auto"/>
            </w:tcBorders>
          </w:tcPr>
          <w:p w14:paraId="2175F6C0" w14:textId="77777777" w:rsidR="00A60DA1" w:rsidRPr="00E3562B" w:rsidRDefault="00A60DA1" w:rsidP="00294522">
            <w:pPr>
              <w:spacing w:line="276" w:lineRule="auto"/>
              <w:rPr>
                <w:rFonts w:asciiTheme="majorBidi" w:hAnsiTheme="majorBidi" w:cstheme="majorBidi"/>
                <w:szCs w:val="22"/>
              </w:rPr>
            </w:pPr>
            <w:bookmarkStart w:id="16" w:name="_Hlk125668298"/>
          </w:p>
        </w:tc>
        <w:tc>
          <w:tcPr>
            <w:tcW w:w="1701" w:type="dxa"/>
            <w:tcBorders>
              <w:top w:val="single" w:sz="4" w:space="0" w:color="auto"/>
              <w:bottom w:val="single" w:sz="4" w:space="0" w:color="auto"/>
            </w:tcBorders>
          </w:tcPr>
          <w:p w14:paraId="4587E5E9"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MSDI</w:t>
            </w:r>
          </w:p>
          <w:p w14:paraId="098C0466"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w:t>
            </w:r>
          </w:p>
        </w:tc>
        <w:tc>
          <w:tcPr>
            <w:tcW w:w="1276" w:type="dxa"/>
            <w:tcBorders>
              <w:top w:val="single" w:sz="4" w:space="0" w:color="auto"/>
              <w:bottom w:val="single" w:sz="4" w:space="0" w:color="auto"/>
            </w:tcBorders>
          </w:tcPr>
          <w:p w14:paraId="5B916DFB"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MSDI</w:t>
            </w:r>
          </w:p>
          <w:p w14:paraId="75352779"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(2)</w:t>
            </w:r>
          </w:p>
        </w:tc>
        <w:tc>
          <w:tcPr>
            <w:tcW w:w="1134" w:type="dxa"/>
            <w:tcBorders>
              <w:top w:val="single" w:sz="4" w:space="0" w:color="auto"/>
              <w:bottom w:val="single" w:sz="4" w:space="0" w:color="auto"/>
            </w:tcBorders>
          </w:tcPr>
          <w:p w14:paraId="13383F60"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MSDI</w:t>
            </w:r>
          </w:p>
          <w:p w14:paraId="6FE4076F"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(3)</w:t>
            </w:r>
          </w:p>
        </w:tc>
        <w:tc>
          <w:tcPr>
            <w:tcW w:w="1134" w:type="dxa"/>
            <w:tcBorders>
              <w:top w:val="single" w:sz="4" w:space="0" w:color="auto"/>
              <w:bottom w:val="single" w:sz="4" w:space="0" w:color="auto"/>
            </w:tcBorders>
          </w:tcPr>
          <w:p w14:paraId="19FE2B0E"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MSDI</w:t>
            </w:r>
          </w:p>
          <w:p w14:paraId="46C68A22"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(4)</w:t>
            </w:r>
          </w:p>
        </w:tc>
        <w:tc>
          <w:tcPr>
            <w:tcW w:w="1134" w:type="dxa"/>
            <w:tcBorders>
              <w:top w:val="single" w:sz="4" w:space="0" w:color="auto"/>
              <w:bottom w:val="single" w:sz="4" w:space="0" w:color="auto"/>
            </w:tcBorders>
          </w:tcPr>
          <w:p w14:paraId="49AE1038"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MSDI</w:t>
            </w:r>
          </w:p>
          <w:p w14:paraId="35B11454"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(5)</w:t>
            </w:r>
          </w:p>
        </w:tc>
      </w:tr>
      <w:tr w:rsidR="005D6588" w:rsidRPr="00E3562B" w14:paraId="0374F369" w14:textId="77777777" w:rsidTr="00294522">
        <w:trPr>
          <w:trHeight w:val="247"/>
        </w:trPr>
        <w:tc>
          <w:tcPr>
            <w:tcW w:w="3119" w:type="dxa"/>
            <w:tcBorders>
              <w:top w:val="single" w:sz="4" w:space="0" w:color="auto"/>
            </w:tcBorders>
          </w:tcPr>
          <w:p w14:paraId="07F04DD0"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CEOP</w:t>
            </w:r>
          </w:p>
        </w:tc>
        <w:tc>
          <w:tcPr>
            <w:tcW w:w="1701" w:type="dxa"/>
            <w:tcBorders>
              <w:top w:val="nil"/>
              <w:left w:val="nil"/>
              <w:bottom w:val="nil"/>
              <w:right w:val="nil"/>
            </w:tcBorders>
          </w:tcPr>
          <w:p w14:paraId="28E5EB26"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-8.256***</w:t>
            </w:r>
          </w:p>
        </w:tc>
        <w:tc>
          <w:tcPr>
            <w:tcW w:w="1276" w:type="dxa"/>
            <w:tcBorders>
              <w:top w:val="nil"/>
              <w:left w:val="nil"/>
              <w:bottom w:val="nil"/>
              <w:right w:val="nil"/>
            </w:tcBorders>
          </w:tcPr>
          <w:p w14:paraId="177AC854"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-3.722**</w:t>
            </w:r>
          </w:p>
        </w:tc>
        <w:tc>
          <w:tcPr>
            <w:tcW w:w="1134" w:type="dxa"/>
            <w:tcBorders>
              <w:top w:val="nil"/>
              <w:left w:val="nil"/>
              <w:bottom w:val="nil"/>
              <w:right w:val="nil"/>
            </w:tcBorders>
          </w:tcPr>
          <w:p w14:paraId="5C6408D8"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-2.873</w:t>
            </w:r>
          </w:p>
        </w:tc>
        <w:tc>
          <w:tcPr>
            <w:tcW w:w="1134" w:type="dxa"/>
            <w:tcBorders>
              <w:top w:val="nil"/>
              <w:left w:val="nil"/>
              <w:bottom w:val="nil"/>
              <w:right w:val="nil"/>
            </w:tcBorders>
          </w:tcPr>
          <w:p w14:paraId="04B42781"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-4.826**</w:t>
            </w:r>
          </w:p>
        </w:tc>
        <w:tc>
          <w:tcPr>
            <w:tcW w:w="1134" w:type="dxa"/>
            <w:tcBorders>
              <w:top w:val="nil"/>
              <w:left w:val="nil"/>
              <w:bottom w:val="nil"/>
              <w:right w:val="nil"/>
            </w:tcBorders>
          </w:tcPr>
          <w:p w14:paraId="0E5C3BF6"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-3.389*</w:t>
            </w:r>
          </w:p>
        </w:tc>
      </w:tr>
      <w:tr w:rsidR="005D6588" w:rsidRPr="00E3562B" w14:paraId="1552B0E4" w14:textId="77777777" w:rsidTr="00294522">
        <w:trPr>
          <w:trHeight w:val="247"/>
        </w:trPr>
        <w:tc>
          <w:tcPr>
            <w:tcW w:w="3119" w:type="dxa"/>
          </w:tcPr>
          <w:p w14:paraId="38AAA89C" w14:textId="77777777" w:rsidR="00A60DA1" w:rsidRPr="00E3562B" w:rsidRDefault="00A60DA1" w:rsidP="00294522">
            <w:pPr>
              <w:spacing w:line="276" w:lineRule="auto"/>
              <w:jc w:val="left"/>
              <w:rPr>
                <w:rFonts w:asciiTheme="majorBidi" w:hAnsiTheme="majorBidi" w:cstheme="majorBidi"/>
                <w:szCs w:val="22"/>
              </w:rPr>
            </w:pPr>
          </w:p>
        </w:tc>
        <w:tc>
          <w:tcPr>
            <w:tcW w:w="1701" w:type="dxa"/>
            <w:tcBorders>
              <w:top w:val="nil"/>
              <w:left w:val="nil"/>
              <w:bottom w:val="nil"/>
              <w:right w:val="nil"/>
            </w:tcBorders>
          </w:tcPr>
          <w:p w14:paraId="06133B9F"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(-2.138)</w:t>
            </w:r>
          </w:p>
        </w:tc>
        <w:tc>
          <w:tcPr>
            <w:tcW w:w="1276" w:type="dxa"/>
            <w:tcBorders>
              <w:top w:val="nil"/>
              <w:left w:val="nil"/>
              <w:bottom w:val="nil"/>
              <w:right w:val="nil"/>
            </w:tcBorders>
          </w:tcPr>
          <w:p w14:paraId="2AE2F929"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(-2.245)</w:t>
            </w:r>
          </w:p>
        </w:tc>
        <w:tc>
          <w:tcPr>
            <w:tcW w:w="1134" w:type="dxa"/>
            <w:tcBorders>
              <w:top w:val="nil"/>
              <w:left w:val="nil"/>
              <w:bottom w:val="nil"/>
              <w:right w:val="nil"/>
            </w:tcBorders>
          </w:tcPr>
          <w:p w14:paraId="607D6EC9"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(-1.651)</w:t>
            </w:r>
          </w:p>
        </w:tc>
        <w:tc>
          <w:tcPr>
            <w:tcW w:w="1134" w:type="dxa"/>
            <w:tcBorders>
              <w:top w:val="nil"/>
              <w:left w:val="nil"/>
              <w:bottom w:val="nil"/>
              <w:right w:val="nil"/>
            </w:tcBorders>
          </w:tcPr>
          <w:p w14:paraId="47100D81"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(-2.440)</w:t>
            </w:r>
          </w:p>
        </w:tc>
        <w:tc>
          <w:tcPr>
            <w:tcW w:w="1134" w:type="dxa"/>
            <w:tcBorders>
              <w:top w:val="nil"/>
              <w:left w:val="nil"/>
              <w:bottom w:val="nil"/>
              <w:right w:val="nil"/>
            </w:tcBorders>
          </w:tcPr>
          <w:p w14:paraId="4DE2EAB3"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(-1.964)</w:t>
            </w:r>
          </w:p>
        </w:tc>
      </w:tr>
      <w:tr w:rsidR="005D6588" w:rsidRPr="00E3562B" w14:paraId="0556448B" w14:textId="77777777" w:rsidTr="00294522">
        <w:trPr>
          <w:trHeight w:val="193"/>
        </w:trPr>
        <w:tc>
          <w:tcPr>
            <w:tcW w:w="3119" w:type="dxa"/>
          </w:tcPr>
          <w:p w14:paraId="2058E8D5"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BGD</w:t>
            </w:r>
          </w:p>
        </w:tc>
        <w:tc>
          <w:tcPr>
            <w:tcW w:w="1701" w:type="dxa"/>
            <w:tcBorders>
              <w:top w:val="nil"/>
              <w:left w:val="nil"/>
              <w:bottom w:val="nil"/>
              <w:right w:val="nil"/>
            </w:tcBorders>
          </w:tcPr>
          <w:p w14:paraId="0DE8EA3B"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0.172</w:t>
            </w:r>
          </w:p>
        </w:tc>
        <w:tc>
          <w:tcPr>
            <w:tcW w:w="1276" w:type="dxa"/>
            <w:tcBorders>
              <w:top w:val="nil"/>
              <w:left w:val="nil"/>
              <w:bottom w:val="nil"/>
              <w:right w:val="nil"/>
            </w:tcBorders>
          </w:tcPr>
          <w:p w14:paraId="3B6E8B69"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1AE71AE8"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2EFFEF01"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2B80C019"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70CE91AE" w14:textId="77777777" w:rsidTr="00294522">
        <w:trPr>
          <w:trHeight w:val="193"/>
        </w:trPr>
        <w:tc>
          <w:tcPr>
            <w:tcW w:w="3119" w:type="dxa"/>
          </w:tcPr>
          <w:p w14:paraId="59904A95" w14:textId="77777777" w:rsidR="00A60DA1" w:rsidRPr="00E3562B" w:rsidRDefault="00A60DA1" w:rsidP="00294522">
            <w:pPr>
              <w:spacing w:line="276" w:lineRule="auto"/>
              <w:jc w:val="left"/>
              <w:rPr>
                <w:rFonts w:asciiTheme="majorBidi" w:hAnsiTheme="majorBidi" w:cstheme="majorBidi"/>
                <w:szCs w:val="22"/>
              </w:rPr>
            </w:pPr>
          </w:p>
        </w:tc>
        <w:tc>
          <w:tcPr>
            <w:tcW w:w="1701" w:type="dxa"/>
            <w:tcBorders>
              <w:top w:val="nil"/>
              <w:left w:val="nil"/>
              <w:bottom w:val="nil"/>
              <w:right w:val="nil"/>
            </w:tcBorders>
          </w:tcPr>
          <w:p w14:paraId="0F8A17EA"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(1.739)</w:t>
            </w:r>
          </w:p>
        </w:tc>
        <w:tc>
          <w:tcPr>
            <w:tcW w:w="1276" w:type="dxa"/>
            <w:tcBorders>
              <w:top w:val="nil"/>
              <w:left w:val="nil"/>
              <w:bottom w:val="nil"/>
              <w:right w:val="nil"/>
            </w:tcBorders>
          </w:tcPr>
          <w:p w14:paraId="3FC4210F"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62350700"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275A80F0"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56114D47"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35FD02D8" w14:textId="77777777" w:rsidTr="00294522">
        <w:trPr>
          <w:trHeight w:val="193"/>
        </w:trPr>
        <w:tc>
          <w:tcPr>
            <w:tcW w:w="3119" w:type="dxa"/>
          </w:tcPr>
          <w:p w14:paraId="3FB7A7D6"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CEOP * BGD</w:t>
            </w:r>
          </w:p>
        </w:tc>
        <w:tc>
          <w:tcPr>
            <w:tcW w:w="1701" w:type="dxa"/>
            <w:tcBorders>
              <w:top w:val="nil"/>
              <w:left w:val="nil"/>
              <w:bottom w:val="nil"/>
              <w:right w:val="nil"/>
            </w:tcBorders>
          </w:tcPr>
          <w:p w14:paraId="03AE9EAD"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0.160**</w:t>
            </w:r>
          </w:p>
        </w:tc>
        <w:tc>
          <w:tcPr>
            <w:tcW w:w="1276" w:type="dxa"/>
          </w:tcPr>
          <w:p w14:paraId="5D0A15D5"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66F4750D"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4B3B6A69"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416E0D32"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1EDF3706" w14:textId="77777777" w:rsidTr="00294522">
        <w:trPr>
          <w:trHeight w:val="193"/>
        </w:trPr>
        <w:tc>
          <w:tcPr>
            <w:tcW w:w="3119" w:type="dxa"/>
          </w:tcPr>
          <w:p w14:paraId="4662DD7A" w14:textId="77777777" w:rsidR="00A60DA1" w:rsidRPr="00E3562B" w:rsidRDefault="00A60DA1" w:rsidP="00294522">
            <w:pPr>
              <w:spacing w:line="276" w:lineRule="auto"/>
              <w:jc w:val="left"/>
              <w:rPr>
                <w:rFonts w:asciiTheme="majorBidi" w:hAnsiTheme="majorBidi" w:cstheme="majorBidi"/>
                <w:szCs w:val="22"/>
              </w:rPr>
            </w:pPr>
          </w:p>
        </w:tc>
        <w:tc>
          <w:tcPr>
            <w:tcW w:w="1701" w:type="dxa"/>
            <w:tcBorders>
              <w:top w:val="nil"/>
              <w:left w:val="nil"/>
              <w:bottom w:val="nil"/>
              <w:right w:val="nil"/>
            </w:tcBorders>
          </w:tcPr>
          <w:p w14:paraId="59D77653"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(1.389)</w:t>
            </w:r>
          </w:p>
        </w:tc>
        <w:tc>
          <w:tcPr>
            <w:tcW w:w="1276" w:type="dxa"/>
          </w:tcPr>
          <w:p w14:paraId="39E3224C"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59A796C6"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0D50099E"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528DA426"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7E40282F" w14:textId="77777777" w:rsidTr="00294522">
        <w:trPr>
          <w:trHeight w:val="247"/>
        </w:trPr>
        <w:tc>
          <w:tcPr>
            <w:tcW w:w="3119" w:type="dxa"/>
          </w:tcPr>
          <w:p w14:paraId="744EA643"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FD1</w:t>
            </w:r>
          </w:p>
        </w:tc>
        <w:tc>
          <w:tcPr>
            <w:tcW w:w="1701" w:type="dxa"/>
          </w:tcPr>
          <w:p w14:paraId="084D4451" w14:textId="77777777" w:rsidR="00A60DA1" w:rsidRPr="00E3562B" w:rsidRDefault="00A60DA1" w:rsidP="00294522">
            <w:pPr>
              <w:spacing w:line="276" w:lineRule="auto"/>
              <w:jc w:val="right"/>
              <w:rPr>
                <w:rFonts w:asciiTheme="majorBidi" w:hAnsiTheme="majorBidi" w:cstheme="majorBidi"/>
                <w:szCs w:val="22"/>
              </w:rPr>
            </w:pPr>
          </w:p>
        </w:tc>
        <w:tc>
          <w:tcPr>
            <w:tcW w:w="1276" w:type="dxa"/>
            <w:tcBorders>
              <w:top w:val="nil"/>
              <w:left w:val="nil"/>
              <w:bottom w:val="nil"/>
              <w:right w:val="nil"/>
            </w:tcBorders>
          </w:tcPr>
          <w:p w14:paraId="1742812A"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6.126*</w:t>
            </w:r>
          </w:p>
        </w:tc>
        <w:tc>
          <w:tcPr>
            <w:tcW w:w="1134" w:type="dxa"/>
          </w:tcPr>
          <w:p w14:paraId="6D61E266"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5F376175"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6AA2AFD3"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0137D092" w14:textId="77777777" w:rsidTr="00294522">
        <w:trPr>
          <w:trHeight w:val="247"/>
        </w:trPr>
        <w:tc>
          <w:tcPr>
            <w:tcW w:w="3119" w:type="dxa"/>
          </w:tcPr>
          <w:p w14:paraId="7E52A0E9" w14:textId="77777777" w:rsidR="00A60DA1" w:rsidRPr="00E3562B" w:rsidRDefault="00A60DA1" w:rsidP="00294522">
            <w:pPr>
              <w:spacing w:line="276" w:lineRule="auto"/>
              <w:jc w:val="left"/>
              <w:rPr>
                <w:rFonts w:asciiTheme="majorBidi" w:hAnsiTheme="majorBidi" w:cstheme="majorBidi"/>
                <w:szCs w:val="22"/>
              </w:rPr>
            </w:pPr>
          </w:p>
        </w:tc>
        <w:tc>
          <w:tcPr>
            <w:tcW w:w="1701" w:type="dxa"/>
          </w:tcPr>
          <w:p w14:paraId="42F40501" w14:textId="77777777" w:rsidR="00A60DA1" w:rsidRPr="00E3562B" w:rsidRDefault="00A60DA1" w:rsidP="00294522">
            <w:pPr>
              <w:spacing w:line="276" w:lineRule="auto"/>
              <w:jc w:val="right"/>
              <w:rPr>
                <w:rFonts w:asciiTheme="majorBidi" w:hAnsiTheme="majorBidi" w:cstheme="majorBidi"/>
                <w:szCs w:val="22"/>
              </w:rPr>
            </w:pPr>
          </w:p>
        </w:tc>
        <w:tc>
          <w:tcPr>
            <w:tcW w:w="1276" w:type="dxa"/>
            <w:tcBorders>
              <w:top w:val="nil"/>
              <w:left w:val="nil"/>
              <w:bottom w:val="nil"/>
              <w:right w:val="nil"/>
            </w:tcBorders>
          </w:tcPr>
          <w:p w14:paraId="2670C2AB"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(1.426)</w:t>
            </w:r>
          </w:p>
        </w:tc>
        <w:tc>
          <w:tcPr>
            <w:tcW w:w="1134" w:type="dxa"/>
          </w:tcPr>
          <w:p w14:paraId="4EE8E2A7"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574BF3EA"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17D92A48"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27E993FA" w14:textId="77777777" w:rsidTr="00294522">
        <w:trPr>
          <w:trHeight w:val="247"/>
        </w:trPr>
        <w:tc>
          <w:tcPr>
            <w:tcW w:w="3119" w:type="dxa"/>
          </w:tcPr>
          <w:p w14:paraId="55491E4B"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CEOP * FD1</w:t>
            </w:r>
          </w:p>
        </w:tc>
        <w:tc>
          <w:tcPr>
            <w:tcW w:w="1701" w:type="dxa"/>
          </w:tcPr>
          <w:p w14:paraId="711C185C" w14:textId="77777777" w:rsidR="00A60DA1" w:rsidRPr="00E3562B" w:rsidRDefault="00A60DA1" w:rsidP="00294522">
            <w:pPr>
              <w:spacing w:line="276" w:lineRule="auto"/>
              <w:jc w:val="right"/>
              <w:rPr>
                <w:rFonts w:asciiTheme="majorBidi" w:hAnsiTheme="majorBidi" w:cstheme="majorBidi"/>
                <w:szCs w:val="22"/>
              </w:rPr>
            </w:pPr>
          </w:p>
        </w:tc>
        <w:tc>
          <w:tcPr>
            <w:tcW w:w="1276" w:type="dxa"/>
            <w:tcBorders>
              <w:top w:val="nil"/>
              <w:left w:val="nil"/>
              <w:bottom w:val="nil"/>
              <w:right w:val="nil"/>
            </w:tcBorders>
          </w:tcPr>
          <w:p w14:paraId="5DDF630D"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-16.27***</w:t>
            </w:r>
          </w:p>
        </w:tc>
        <w:tc>
          <w:tcPr>
            <w:tcW w:w="1134" w:type="dxa"/>
          </w:tcPr>
          <w:p w14:paraId="5DE7DDA3"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232E8FFB"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4C565AE3"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36A40EE8" w14:textId="77777777" w:rsidTr="00294522">
        <w:trPr>
          <w:trHeight w:val="247"/>
        </w:trPr>
        <w:tc>
          <w:tcPr>
            <w:tcW w:w="3119" w:type="dxa"/>
          </w:tcPr>
          <w:p w14:paraId="46DEABAC" w14:textId="77777777" w:rsidR="00A60DA1" w:rsidRPr="00E3562B" w:rsidRDefault="00A60DA1" w:rsidP="00294522">
            <w:pPr>
              <w:spacing w:line="276" w:lineRule="auto"/>
              <w:jc w:val="left"/>
              <w:rPr>
                <w:rFonts w:asciiTheme="majorBidi" w:hAnsiTheme="majorBidi" w:cstheme="majorBidi"/>
                <w:szCs w:val="22"/>
              </w:rPr>
            </w:pPr>
          </w:p>
        </w:tc>
        <w:tc>
          <w:tcPr>
            <w:tcW w:w="1701" w:type="dxa"/>
          </w:tcPr>
          <w:p w14:paraId="676CB4C2" w14:textId="77777777" w:rsidR="00A60DA1" w:rsidRPr="00E3562B" w:rsidRDefault="00A60DA1" w:rsidP="00294522">
            <w:pPr>
              <w:spacing w:line="276" w:lineRule="auto"/>
              <w:jc w:val="right"/>
              <w:rPr>
                <w:rFonts w:asciiTheme="majorBidi" w:hAnsiTheme="majorBidi" w:cstheme="majorBidi"/>
                <w:szCs w:val="22"/>
              </w:rPr>
            </w:pPr>
          </w:p>
        </w:tc>
        <w:tc>
          <w:tcPr>
            <w:tcW w:w="1276" w:type="dxa"/>
            <w:tcBorders>
              <w:top w:val="nil"/>
              <w:left w:val="nil"/>
              <w:bottom w:val="nil"/>
              <w:right w:val="nil"/>
            </w:tcBorders>
          </w:tcPr>
          <w:p w14:paraId="505F570F"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(-3.085)</w:t>
            </w:r>
          </w:p>
        </w:tc>
        <w:tc>
          <w:tcPr>
            <w:tcW w:w="1134" w:type="dxa"/>
          </w:tcPr>
          <w:p w14:paraId="749BB975"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1526A3A2"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06604783"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17C93E48" w14:textId="77777777" w:rsidTr="00294522">
        <w:trPr>
          <w:trHeight w:val="247"/>
        </w:trPr>
        <w:tc>
          <w:tcPr>
            <w:tcW w:w="3119" w:type="dxa"/>
          </w:tcPr>
          <w:p w14:paraId="4EDCBB76"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FD2</w:t>
            </w:r>
          </w:p>
        </w:tc>
        <w:tc>
          <w:tcPr>
            <w:tcW w:w="1701" w:type="dxa"/>
          </w:tcPr>
          <w:p w14:paraId="05108E43"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672E657F"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79F8AC13"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-2.302</w:t>
            </w:r>
          </w:p>
        </w:tc>
        <w:tc>
          <w:tcPr>
            <w:tcW w:w="1134" w:type="dxa"/>
          </w:tcPr>
          <w:p w14:paraId="53EE472B"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772D169B"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3965906F" w14:textId="77777777" w:rsidTr="00294522">
        <w:trPr>
          <w:trHeight w:val="247"/>
        </w:trPr>
        <w:tc>
          <w:tcPr>
            <w:tcW w:w="3119" w:type="dxa"/>
          </w:tcPr>
          <w:p w14:paraId="1E67214E" w14:textId="77777777" w:rsidR="00A60DA1" w:rsidRPr="00E3562B" w:rsidRDefault="00A60DA1" w:rsidP="00294522">
            <w:pPr>
              <w:spacing w:line="276" w:lineRule="auto"/>
              <w:jc w:val="left"/>
              <w:rPr>
                <w:rFonts w:asciiTheme="majorBidi" w:hAnsiTheme="majorBidi" w:cstheme="majorBidi"/>
                <w:szCs w:val="22"/>
              </w:rPr>
            </w:pPr>
          </w:p>
        </w:tc>
        <w:tc>
          <w:tcPr>
            <w:tcW w:w="1701" w:type="dxa"/>
          </w:tcPr>
          <w:p w14:paraId="75757C4F"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372ECDC6"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1998EE23"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(-1.048)</w:t>
            </w:r>
          </w:p>
        </w:tc>
        <w:tc>
          <w:tcPr>
            <w:tcW w:w="1134" w:type="dxa"/>
          </w:tcPr>
          <w:p w14:paraId="1AF479F4"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2FF732D3"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2FA9B05A" w14:textId="77777777" w:rsidTr="00294522">
        <w:trPr>
          <w:trHeight w:val="247"/>
        </w:trPr>
        <w:tc>
          <w:tcPr>
            <w:tcW w:w="3119" w:type="dxa"/>
          </w:tcPr>
          <w:p w14:paraId="0862CC9E"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CEOP* FD2</w:t>
            </w:r>
          </w:p>
        </w:tc>
        <w:tc>
          <w:tcPr>
            <w:tcW w:w="1701" w:type="dxa"/>
          </w:tcPr>
          <w:p w14:paraId="51507827"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171E5732"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0203E9A4"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-1.090</w:t>
            </w:r>
          </w:p>
        </w:tc>
        <w:tc>
          <w:tcPr>
            <w:tcW w:w="1134" w:type="dxa"/>
          </w:tcPr>
          <w:p w14:paraId="6B26EF33"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4FB36154"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0893E9B0" w14:textId="77777777" w:rsidTr="00294522">
        <w:trPr>
          <w:trHeight w:val="247"/>
        </w:trPr>
        <w:tc>
          <w:tcPr>
            <w:tcW w:w="3119" w:type="dxa"/>
          </w:tcPr>
          <w:p w14:paraId="1BDF488F" w14:textId="77777777" w:rsidR="00A60DA1" w:rsidRPr="00E3562B" w:rsidRDefault="00A60DA1" w:rsidP="00294522">
            <w:pPr>
              <w:spacing w:line="276" w:lineRule="auto"/>
              <w:jc w:val="left"/>
              <w:rPr>
                <w:rFonts w:asciiTheme="majorBidi" w:hAnsiTheme="majorBidi" w:cstheme="majorBidi"/>
                <w:szCs w:val="22"/>
              </w:rPr>
            </w:pPr>
          </w:p>
        </w:tc>
        <w:tc>
          <w:tcPr>
            <w:tcW w:w="1701" w:type="dxa"/>
          </w:tcPr>
          <w:p w14:paraId="5FEF63F3"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7DDA3E7C"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389C19C0"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(-0.478)</w:t>
            </w:r>
          </w:p>
        </w:tc>
        <w:tc>
          <w:tcPr>
            <w:tcW w:w="1134" w:type="dxa"/>
          </w:tcPr>
          <w:p w14:paraId="5794BA95"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7FC6CC2D"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3F75D098" w14:textId="77777777" w:rsidTr="00294522">
        <w:trPr>
          <w:trHeight w:val="247"/>
        </w:trPr>
        <w:tc>
          <w:tcPr>
            <w:tcW w:w="3119" w:type="dxa"/>
          </w:tcPr>
          <w:p w14:paraId="2D78CAD9"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FD3</w:t>
            </w:r>
          </w:p>
        </w:tc>
        <w:tc>
          <w:tcPr>
            <w:tcW w:w="1701" w:type="dxa"/>
          </w:tcPr>
          <w:p w14:paraId="0E0AAC5E"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4A835B34"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2C4EB78D"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62E47802"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-3.190*</w:t>
            </w:r>
          </w:p>
        </w:tc>
        <w:tc>
          <w:tcPr>
            <w:tcW w:w="1134" w:type="dxa"/>
          </w:tcPr>
          <w:p w14:paraId="71DCD21F"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6BDCFF00" w14:textId="77777777" w:rsidTr="00294522">
        <w:trPr>
          <w:trHeight w:val="247"/>
        </w:trPr>
        <w:tc>
          <w:tcPr>
            <w:tcW w:w="3119" w:type="dxa"/>
          </w:tcPr>
          <w:p w14:paraId="25D02F43" w14:textId="77777777" w:rsidR="00A60DA1" w:rsidRPr="00E3562B" w:rsidRDefault="00A60DA1" w:rsidP="00294522">
            <w:pPr>
              <w:spacing w:line="276" w:lineRule="auto"/>
              <w:jc w:val="left"/>
              <w:rPr>
                <w:rFonts w:asciiTheme="majorBidi" w:hAnsiTheme="majorBidi" w:cstheme="majorBidi"/>
                <w:szCs w:val="22"/>
              </w:rPr>
            </w:pPr>
          </w:p>
        </w:tc>
        <w:tc>
          <w:tcPr>
            <w:tcW w:w="1701" w:type="dxa"/>
          </w:tcPr>
          <w:p w14:paraId="3EB1E13A"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491A3746"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0DC76408"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35553417"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(-1.923)</w:t>
            </w:r>
          </w:p>
        </w:tc>
        <w:tc>
          <w:tcPr>
            <w:tcW w:w="1134" w:type="dxa"/>
          </w:tcPr>
          <w:p w14:paraId="20BC1E24"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33958F00" w14:textId="77777777" w:rsidTr="00294522">
        <w:trPr>
          <w:trHeight w:val="247"/>
        </w:trPr>
        <w:tc>
          <w:tcPr>
            <w:tcW w:w="3119" w:type="dxa"/>
          </w:tcPr>
          <w:p w14:paraId="182F9E7C"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CEOP * FD3</w:t>
            </w:r>
          </w:p>
        </w:tc>
        <w:tc>
          <w:tcPr>
            <w:tcW w:w="1701" w:type="dxa"/>
          </w:tcPr>
          <w:p w14:paraId="75DFBBB5"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23310598"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2AB04EFE"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48D337A5"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3.209</w:t>
            </w:r>
          </w:p>
        </w:tc>
        <w:tc>
          <w:tcPr>
            <w:tcW w:w="1134" w:type="dxa"/>
          </w:tcPr>
          <w:p w14:paraId="6A0A98D2"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269BE952" w14:textId="77777777" w:rsidTr="00294522">
        <w:trPr>
          <w:trHeight w:val="247"/>
        </w:trPr>
        <w:tc>
          <w:tcPr>
            <w:tcW w:w="3119" w:type="dxa"/>
          </w:tcPr>
          <w:p w14:paraId="0B9BBD42" w14:textId="77777777" w:rsidR="00A60DA1" w:rsidRPr="00E3562B" w:rsidRDefault="00A60DA1" w:rsidP="00294522">
            <w:pPr>
              <w:spacing w:line="276" w:lineRule="auto"/>
              <w:jc w:val="left"/>
              <w:rPr>
                <w:rFonts w:asciiTheme="majorBidi" w:hAnsiTheme="majorBidi" w:cstheme="majorBidi"/>
                <w:szCs w:val="22"/>
              </w:rPr>
            </w:pPr>
          </w:p>
        </w:tc>
        <w:tc>
          <w:tcPr>
            <w:tcW w:w="1701" w:type="dxa"/>
          </w:tcPr>
          <w:p w14:paraId="70B840AD"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6796136C"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037409B4"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15A4EE59"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(1.555)</w:t>
            </w:r>
          </w:p>
        </w:tc>
        <w:tc>
          <w:tcPr>
            <w:tcW w:w="1134" w:type="dxa"/>
          </w:tcPr>
          <w:p w14:paraId="73588965" w14:textId="77777777" w:rsidR="00A60DA1" w:rsidRPr="00E3562B" w:rsidRDefault="00A60DA1" w:rsidP="00294522">
            <w:pPr>
              <w:spacing w:line="276" w:lineRule="auto"/>
              <w:jc w:val="right"/>
              <w:rPr>
                <w:rFonts w:asciiTheme="majorBidi" w:hAnsiTheme="majorBidi" w:cstheme="majorBidi"/>
                <w:szCs w:val="22"/>
              </w:rPr>
            </w:pPr>
          </w:p>
        </w:tc>
      </w:tr>
      <w:tr w:rsidR="005D6588" w:rsidRPr="00E3562B" w14:paraId="4C69843E" w14:textId="77777777" w:rsidTr="00294522">
        <w:trPr>
          <w:trHeight w:val="247"/>
        </w:trPr>
        <w:tc>
          <w:tcPr>
            <w:tcW w:w="3119" w:type="dxa"/>
          </w:tcPr>
          <w:p w14:paraId="4652AB8E"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FD4</w:t>
            </w:r>
          </w:p>
        </w:tc>
        <w:tc>
          <w:tcPr>
            <w:tcW w:w="1701" w:type="dxa"/>
          </w:tcPr>
          <w:p w14:paraId="6C8C4C56"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5D5972B5"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4B926025"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497F55D7"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350CF040"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4.006</w:t>
            </w:r>
          </w:p>
        </w:tc>
      </w:tr>
      <w:tr w:rsidR="005D6588" w:rsidRPr="00E3562B" w14:paraId="0F3D6DE7" w14:textId="77777777" w:rsidTr="00294522">
        <w:trPr>
          <w:trHeight w:val="247"/>
        </w:trPr>
        <w:tc>
          <w:tcPr>
            <w:tcW w:w="3119" w:type="dxa"/>
          </w:tcPr>
          <w:p w14:paraId="070312D2" w14:textId="77777777" w:rsidR="00A60DA1" w:rsidRPr="00E3562B" w:rsidRDefault="00A60DA1" w:rsidP="00294522">
            <w:pPr>
              <w:spacing w:line="276" w:lineRule="auto"/>
              <w:jc w:val="left"/>
              <w:rPr>
                <w:rFonts w:asciiTheme="majorBidi" w:hAnsiTheme="majorBidi" w:cstheme="majorBidi"/>
                <w:szCs w:val="22"/>
              </w:rPr>
            </w:pPr>
          </w:p>
        </w:tc>
        <w:tc>
          <w:tcPr>
            <w:tcW w:w="1701" w:type="dxa"/>
          </w:tcPr>
          <w:p w14:paraId="1BF5C308"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3E47BAFC"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60DD2E69"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204A5C52"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5FC47806"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(2.349)</w:t>
            </w:r>
          </w:p>
        </w:tc>
      </w:tr>
      <w:tr w:rsidR="005D6588" w:rsidRPr="00E3562B" w14:paraId="75832E5C" w14:textId="77777777" w:rsidTr="00294522">
        <w:trPr>
          <w:trHeight w:val="247"/>
        </w:trPr>
        <w:tc>
          <w:tcPr>
            <w:tcW w:w="3119" w:type="dxa"/>
          </w:tcPr>
          <w:p w14:paraId="42ADE3BA"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CEOP * EFD4</w:t>
            </w:r>
          </w:p>
        </w:tc>
        <w:tc>
          <w:tcPr>
            <w:tcW w:w="1701" w:type="dxa"/>
          </w:tcPr>
          <w:p w14:paraId="240621E0"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1A4E56E9"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4A68D587"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32D46E51"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1A98DDD7"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1.572**</w:t>
            </w:r>
          </w:p>
        </w:tc>
      </w:tr>
      <w:tr w:rsidR="005D6588" w:rsidRPr="00E3562B" w14:paraId="14BEAAEC" w14:textId="77777777" w:rsidTr="00294522">
        <w:trPr>
          <w:trHeight w:val="247"/>
        </w:trPr>
        <w:tc>
          <w:tcPr>
            <w:tcW w:w="3119" w:type="dxa"/>
          </w:tcPr>
          <w:p w14:paraId="44967489" w14:textId="77777777" w:rsidR="00A60DA1" w:rsidRPr="00E3562B" w:rsidRDefault="00A60DA1" w:rsidP="00294522">
            <w:pPr>
              <w:spacing w:line="276" w:lineRule="auto"/>
              <w:jc w:val="left"/>
              <w:rPr>
                <w:rFonts w:asciiTheme="majorBidi" w:hAnsiTheme="majorBidi" w:cstheme="majorBidi"/>
                <w:szCs w:val="22"/>
              </w:rPr>
            </w:pPr>
          </w:p>
        </w:tc>
        <w:tc>
          <w:tcPr>
            <w:tcW w:w="1701" w:type="dxa"/>
          </w:tcPr>
          <w:p w14:paraId="5B018203" w14:textId="77777777" w:rsidR="00A60DA1" w:rsidRPr="00E3562B" w:rsidRDefault="00A60DA1" w:rsidP="00294522">
            <w:pPr>
              <w:spacing w:line="276" w:lineRule="auto"/>
              <w:jc w:val="right"/>
              <w:rPr>
                <w:rFonts w:asciiTheme="majorBidi" w:hAnsiTheme="majorBidi" w:cstheme="majorBidi"/>
                <w:szCs w:val="22"/>
              </w:rPr>
            </w:pPr>
          </w:p>
        </w:tc>
        <w:tc>
          <w:tcPr>
            <w:tcW w:w="1276" w:type="dxa"/>
          </w:tcPr>
          <w:p w14:paraId="63E5898D"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77DAC59A" w14:textId="77777777" w:rsidR="00A60DA1" w:rsidRPr="00E3562B" w:rsidRDefault="00A60DA1" w:rsidP="00294522">
            <w:pPr>
              <w:spacing w:line="276" w:lineRule="auto"/>
              <w:jc w:val="right"/>
              <w:rPr>
                <w:rFonts w:asciiTheme="majorBidi" w:hAnsiTheme="majorBidi" w:cstheme="majorBidi"/>
                <w:szCs w:val="22"/>
              </w:rPr>
            </w:pPr>
          </w:p>
        </w:tc>
        <w:tc>
          <w:tcPr>
            <w:tcW w:w="1134" w:type="dxa"/>
          </w:tcPr>
          <w:p w14:paraId="1EDBADEB" w14:textId="77777777" w:rsidR="00A60DA1" w:rsidRPr="00E3562B" w:rsidRDefault="00A60DA1" w:rsidP="00294522">
            <w:pPr>
              <w:spacing w:line="276" w:lineRule="auto"/>
              <w:jc w:val="right"/>
              <w:rPr>
                <w:rFonts w:asciiTheme="majorBidi" w:hAnsiTheme="majorBidi" w:cstheme="majorBidi"/>
                <w:szCs w:val="22"/>
              </w:rPr>
            </w:pPr>
          </w:p>
        </w:tc>
        <w:tc>
          <w:tcPr>
            <w:tcW w:w="1134" w:type="dxa"/>
            <w:tcBorders>
              <w:top w:val="nil"/>
              <w:left w:val="nil"/>
              <w:bottom w:val="nil"/>
              <w:right w:val="nil"/>
            </w:tcBorders>
          </w:tcPr>
          <w:p w14:paraId="6CABC558"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(0.758)</w:t>
            </w:r>
          </w:p>
        </w:tc>
      </w:tr>
      <w:tr w:rsidR="005D6588" w:rsidRPr="00E3562B" w14:paraId="14AC06F1" w14:textId="77777777" w:rsidTr="00294522">
        <w:trPr>
          <w:trHeight w:val="247"/>
        </w:trPr>
        <w:tc>
          <w:tcPr>
            <w:tcW w:w="3119" w:type="dxa"/>
          </w:tcPr>
          <w:p w14:paraId="71AFCD37"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CONTROLS</w:t>
            </w:r>
          </w:p>
        </w:tc>
        <w:tc>
          <w:tcPr>
            <w:tcW w:w="1701" w:type="dxa"/>
          </w:tcPr>
          <w:p w14:paraId="00609AA4" w14:textId="77777777" w:rsidR="00A60DA1" w:rsidRPr="00E3562B" w:rsidRDefault="00A60DA1" w:rsidP="00294522">
            <w:pPr>
              <w:spacing w:line="276" w:lineRule="auto"/>
              <w:jc w:val="right"/>
              <w:rPr>
                <w:rFonts w:asciiTheme="majorBidi" w:eastAsiaTheme="minorEastAsia" w:hAnsiTheme="majorBidi" w:cstheme="majorBidi"/>
                <w:szCs w:val="22"/>
                <w:lang w:eastAsia="en-GB"/>
              </w:rPr>
            </w:pPr>
            <w:r w:rsidRPr="00E3562B">
              <w:rPr>
                <w:rFonts w:asciiTheme="majorBidi" w:hAnsiTheme="majorBidi" w:cstheme="majorBidi"/>
                <w:iCs/>
                <w:szCs w:val="22"/>
              </w:rPr>
              <w:t xml:space="preserve">Yes   </w:t>
            </w:r>
          </w:p>
        </w:tc>
        <w:tc>
          <w:tcPr>
            <w:tcW w:w="1276" w:type="dxa"/>
          </w:tcPr>
          <w:p w14:paraId="1519292C" w14:textId="77777777" w:rsidR="00A60DA1" w:rsidRPr="00E3562B" w:rsidRDefault="00A60DA1" w:rsidP="00294522">
            <w:pPr>
              <w:spacing w:line="276" w:lineRule="auto"/>
              <w:jc w:val="right"/>
              <w:rPr>
                <w:rFonts w:asciiTheme="majorBidi" w:eastAsiaTheme="minorEastAsia" w:hAnsiTheme="majorBidi" w:cstheme="majorBidi"/>
                <w:szCs w:val="22"/>
                <w:lang w:eastAsia="en-GB"/>
              </w:rPr>
            </w:pPr>
            <w:r w:rsidRPr="00E3562B">
              <w:rPr>
                <w:rFonts w:asciiTheme="majorBidi" w:hAnsiTheme="majorBidi" w:cstheme="majorBidi"/>
                <w:iCs/>
                <w:szCs w:val="22"/>
              </w:rPr>
              <w:t xml:space="preserve">Yes   </w:t>
            </w:r>
          </w:p>
        </w:tc>
        <w:tc>
          <w:tcPr>
            <w:tcW w:w="1134" w:type="dxa"/>
          </w:tcPr>
          <w:p w14:paraId="014D3B2E"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iCs/>
                <w:szCs w:val="22"/>
              </w:rPr>
              <w:t xml:space="preserve">Yes   </w:t>
            </w:r>
          </w:p>
        </w:tc>
        <w:tc>
          <w:tcPr>
            <w:tcW w:w="1134" w:type="dxa"/>
          </w:tcPr>
          <w:p w14:paraId="0AE40C6B" w14:textId="77777777" w:rsidR="00A60DA1" w:rsidRPr="00E3562B" w:rsidRDefault="00A60DA1" w:rsidP="00294522">
            <w:pPr>
              <w:spacing w:line="276" w:lineRule="auto"/>
              <w:jc w:val="right"/>
              <w:rPr>
                <w:rFonts w:asciiTheme="majorBidi" w:eastAsiaTheme="minorEastAsia" w:hAnsiTheme="majorBidi" w:cstheme="majorBidi"/>
                <w:szCs w:val="22"/>
                <w:lang w:eastAsia="en-GB"/>
              </w:rPr>
            </w:pPr>
            <w:r w:rsidRPr="00E3562B">
              <w:rPr>
                <w:rFonts w:asciiTheme="majorBidi" w:hAnsiTheme="majorBidi" w:cstheme="majorBidi"/>
                <w:iCs/>
                <w:szCs w:val="22"/>
              </w:rPr>
              <w:t xml:space="preserve">Yes   </w:t>
            </w:r>
          </w:p>
        </w:tc>
        <w:tc>
          <w:tcPr>
            <w:tcW w:w="1134" w:type="dxa"/>
          </w:tcPr>
          <w:p w14:paraId="69BD0D16" w14:textId="77777777" w:rsidR="00A60DA1" w:rsidRPr="00E3562B" w:rsidRDefault="00A60DA1" w:rsidP="00294522">
            <w:pPr>
              <w:spacing w:line="276" w:lineRule="auto"/>
              <w:jc w:val="right"/>
              <w:rPr>
                <w:rFonts w:asciiTheme="majorBidi" w:eastAsiaTheme="minorEastAsia" w:hAnsiTheme="majorBidi" w:cstheme="majorBidi"/>
                <w:szCs w:val="22"/>
                <w:lang w:eastAsia="en-GB"/>
              </w:rPr>
            </w:pPr>
            <w:r w:rsidRPr="00E3562B">
              <w:rPr>
                <w:rFonts w:asciiTheme="majorBidi" w:hAnsiTheme="majorBidi" w:cstheme="majorBidi"/>
                <w:iCs/>
                <w:szCs w:val="22"/>
              </w:rPr>
              <w:t xml:space="preserve">Yes   </w:t>
            </w:r>
          </w:p>
        </w:tc>
      </w:tr>
      <w:tr w:rsidR="005D6588" w:rsidRPr="00E3562B" w14:paraId="55A6ED56" w14:textId="77777777" w:rsidTr="00294522">
        <w:trPr>
          <w:trHeight w:val="247"/>
        </w:trPr>
        <w:tc>
          <w:tcPr>
            <w:tcW w:w="3119" w:type="dxa"/>
          </w:tcPr>
          <w:p w14:paraId="2692F5D0" w14:textId="77777777" w:rsidR="00A60DA1" w:rsidRPr="00E3562B" w:rsidRDefault="00A60DA1" w:rsidP="00294522">
            <w:pPr>
              <w:spacing w:line="276" w:lineRule="auto"/>
              <w:jc w:val="left"/>
              <w:rPr>
                <w:rFonts w:asciiTheme="majorBidi" w:hAnsiTheme="majorBidi" w:cstheme="majorBidi"/>
                <w:iCs/>
                <w:szCs w:val="22"/>
              </w:rPr>
            </w:pPr>
            <w:r w:rsidRPr="00E3562B">
              <w:rPr>
                <w:rFonts w:asciiTheme="majorBidi" w:hAnsiTheme="majorBidi" w:cstheme="majorBidi"/>
                <w:iCs/>
                <w:szCs w:val="22"/>
              </w:rPr>
              <w:t>INDUSTRY</w:t>
            </w:r>
          </w:p>
        </w:tc>
        <w:tc>
          <w:tcPr>
            <w:tcW w:w="1701" w:type="dxa"/>
          </w:tcPr>
          <w:p w14:paraId="6EECF11F"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iCs/>
                <w:szCs w:val="22"/>
              </w:rPr>
              <w:t xml:space="preserve">Yes   </w:t>
            </w:r>
          </w:p>
        </w:tc>
        <w:tc>
          <w:tcPr>
            <w:tcW w:w="1276" w:type="dxa"/>
          </w:tcPr>
          <w:p w14:paraId="12EB13D2"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iCs/>
                <w:szCs w:val="22"/>
              </w:rPr>
              <w:t xml:space="preserve">Yes   </w:t>
            </w:r>
          </w:p>
        </w:tc>
        <w:tc>
          <w:tcPr>
            <w:tcW w:w="1134" w:type="dxa"/>
          </w:tcPr>
          <w:p w14:paraId="5F6425F2"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iCs/>
                <w:szCs w:val="22"/>
              </w:rPr>
              <w:t xml:space="preserve">Yes   </w:t>
            </w:r>
          </w:p>
        </w:tc>
        <w:tc>
          <w:tcPr>
            <w:tcW w:w="1134" w:type="dxa"/>
          </w:tcPr>
          <w:p w14:paraId="201099C5"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iCs/>
                <w:szCs w:val="22"/>
              </w:rPr>
              <w:t xml:space="preserve">Yes   </w:t>
            </w:r>
          </w:p>
        </w:tc>
        <w:tc>
          <w:tcPr>
            <w:tcW w:w="1134" w:type="dxa"/>
          </w:tcPr>
          <w:p w14:paraId="37E7E0C6"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iCs/>
                <w:szCs w:val="22"/>
              </w:rPr>
              <w:t xml:space="preserve">Yes   </w:t>
            </w:r>
          </w:p>
        </w:tc>
      </w:tr>
      <w:tr w:rsidR="005D6588" w:rsidRPr="00E3562B" w14:paraId="7B79B989" w14:textId="77777777" w:rsidTr="00294522">
        <w:trPr>
          <w:trHeight w:val="247"/>
        </w:trPr>
        <w:tc>
          <w:tcPr>
            <w:tcW w:w="3119" w:type="dxa"/>
          </w:tcPr>
          <w:p w14:paraId="7FEBDB2C" w14:textId="77777777" w:rsidR="00A60DA1" w:rsidRPr="00E3562B" w:rsidRDefault="00A60DA1" w:rsidP="00294522">
            <w:pPr>
              <w:spacing w:line="276" w:lineRule="auto"/>
              <w:jc w:val="left"/>
              <w:rPr>
                <w:rFonts w:asciiTheme="majorBidi" w:hAnsiTheme="majorBidi" w:cstheme="majorBidi"/>
                <w:iCs/>
                <w:szCs w:val="22"/>
              </w:rPr>
            </w:pPr>
            <w:r w:rsidRPr="00E3562B">
              <w:rPr>
                <w:rFonts w:asciiTheme="majorBidi" w:hAnsiTheme="majorBidi" w:cstheme="majorBidi"/>
                <w:iCs/>
                <w:szCs w:val="22"/>
              </w:rPr>
              <w:t>YEAR</w:t>
            </w:r>
          </w:p>
        </w:tc>
        <w:tc>
          <w:tcPr>
            <w:tcW w:w="1701" w:type="dxa"/>
          </w:tcPr>
          <w:p w14:paraId="16442C82"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iCs/>
                <w:szCs w:val="22"/>
              </w:rPr>
              <w:t xml:space="preserve">Yes   </w:t>
            </w:r>
          </w:p>
        </w:tc>
        <w:tc>
          <w:tcPr>
            <w:tcW w:w="1276" w:type="dxa"/>
          </w:tcPr>
          <w:p w14:paraId="506C4514"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iCs/>
                <w:szCs w:val="22"/>
              </w:rPr>
              <w:t xml:space="preserve">Yes   </w:t>
            </w:r>
          </w:p>
        </w:tc>
        <w:tc>
          <w:tcPr>
            <w:tcW w:w="1134" w:type="dxa"/>
          </w:tcPr>
          <w:p w14:paraId="64A2DF8A"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iCs/>
                <w:szCs w:val="22"/>
              </w:rPr>
              <w:t xml:space="preserve">Yes   </w:t>
            </w:r>
          </w:p>
        </w:tc>
        <w:tc>
          <w:tcPr>
            <w:tcW w:w="1134" w:type="dxa"/>
          </w:tcPr>
          <w:p w14:paraId="576691B7"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iCs/>
                <w:szCs w:val="22"/>
              </w:rPr>
              <w:t xml:space="preserve">Yes   </w:t>
            </w:r>
          </w:p>
        </w:tc>
        <w:tc>
          <w:tcPr>
            <w:tcW w:w="1134" w:type="dxa"/>
          </w:tcPr>
          <w:p w14:paraId="14F0F87E"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iCs/>
                <w:szCs w:val="22"/>
              </w:rPr>
              <w:t xml:space="preserve">Yes   </w:t>
            </w:r>
          </w:p>
        </w:tc>
      </w:tr>
      <w:tr w:rsidR="005D6588" w:rsidRPr="00E3562B" w14:paraId="0E3970F0" w14:textId="77777777" w:rsidTr="00294522">
        <w:trPr>
          <w:trHeight w:val="247"/>
        </w:trPr>
        <w:tc>
          <w:tcPr>
            <w:tcW w:w="3119" w:type="dxa"/>
          </w:tcPr>
          <w:p w14:paraId="07CFACB7"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 xml:space="preserve">Constant </w:t>
            </w:r>
          </w:p>
        </w:tc>
        <w:tc>
          <w:tcPr>
            <w:tcW w:w="1701" w:type="dxa"/>
            <w:tcBorders>
              <w:top w:val="nil"/>
              <w:left w:val="nil"/>
              <w:bottom w:val="nil"/>
              <w:right w:val="nil"/>
            </w:tcBorders>
          </w:tcPr>
          <w:p w14:paraId="4521AA58"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13.06</w:t>
            </w:r>
          </w:p>
        </w:tc>
        <w:tc>
          <w:tcPr>
            <w:tcW w:w="1276" w:type="dxa"/>
            <w:tcBorders>
              <w:top w:val="nil"/>
              <w:left w:val="nil"/>
              <w:bottom w:val="nil"/>
              <w:right w:val="nil"/>
            </w:tcBorders>
          </w:tcPr>
          <w:p w14:paraId="3790BED9"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18.48**</w:t>
            </w:r>
          </w:p>
        </w:tc>
        <w:tc>
          <w:tcPr>
            <w:tcW w:w="1134" w:type="dxa"/>
            <w:tcBorders>
              <w:top w:val="nil"/>
              <w:left w:val="nil"/>
              <w:bottom w:val="nil"/>
              <w:right w:val="nil"/>
            </w:tcBorders>
          </w:tcPr>
          <w:p w14:paraId="46F64C3F"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18.24*</w:t>
            </w:r>
          </w:p>
        </w:tc>
        <w:tc>
          <w:tcPr>
            <w:tcW w:w="1134" w:type="dxa"/>
            <w:tcBorders>
              <w:top w:val="nil"/>
              <w:left w:val="nil"/>
              <w:bottom w:val="nil"/>
              <w:right w:val="nil"/>
            </w:tcBorders>
          </w:tcPr>
          <w:p w14:paraId="71D7D650"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17.26*</w:t>
            </w:r>
          </w:p>
        </w:tc>
        <w:tc>
          <w:tcPr>
            <w:tcW w:w="1134" w:type="dxa"/>
            <w:tcBorders>
              <w:top w:val="nil"/>
              <w:left w:val="nil"/>
              <w:bottom w:val="nil"/>
              <w:right w:val="nil"/>
            </w:tcBorders>
          </w:tcPr>
          <w:p w14:paraId="0045BB92"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18.08**</w:t>
            </w:r>
          </w:p>
        </w:tc>
      </w:tr>
      <w:tr w:rsidR="005D6588" w:rsidRPr="00E3562B" w14:paraId="2F4F019C" w14:textId="77777777" w:rsidTr="00294522">
        <w:trPr>
          <w:trHeight w:val="247"/>
        </w:trPr>
        <w:tc>
          <w:tcPr>
            <w:tcW w:w="3119" w:type="dxa"/>
          </w:tcPr>
          <w:p w14:paraId="4CAE50B3"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 xml:space="preserve"> </w:t>
            </w:r>
          </w:p>
        </w:tc>
        <w:tc>
          <w:tcPr>
            <w:tcW w:w="1701" w:type="dxa"/>
            <w:tcBorders>
              <w:top w:val="nil"/>
              <w:left w:val="nil"/>
              <w:bottom w:val="nil"/>
              <w:right w:val="nil"/>
            </w:tcBorders>
          </w:tcPr>
          <w:p w14:paraId="565ABCFF"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szCs w:val="22"/>
              </w:rPr>
              <w:t>(1.389)</w:t>
            </w:r>
          </w:p>
        </w:tc>
        <w:tc>
          <w:tcPr>
            <w:tcW w:w="1276" w:type="dxa"/>
            <w:tcBorders>
              <w:top w:val="nil"/>
              <w:left w:val="nil"/>
              <w:bottom w:val="nil"/>
              <w:right w:val="nil"/>
            </w:tcBorders>
          </w:tcPr>
          <w:p w14:paraId="72116A1C"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szCs w:val="22"/>
              </w:rPr>
              <w:t>(2.004)</w:t>
            </w:r>
          </w:p>
        </w:tc>
        <w:tc>
          <w:tcPr>
            <w:tcW w:w="1134" w:type="dxa"/>
            <w:tcBorders>
              <w:top w:val="nil"/>
              <w:left w:val="nil"/>
              <w:bottom w:val="nil"/>
              <w:right w:val="nil"/>
            </w:tcBorders>
          </w:tcPr>
          <w:p w14:paraId="2120AE75"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(1.957)</w:t>
            </w:r>
          </w:p>
        </w:tc>
        <w:tc>
          <w:tcPr>
            <w:tcW w:w="1134" w:type="dxa"/>
            <w:tcBorders>
              <w:top w:val="nil"/>
              <w:left w:val="nil"/>
              <w:bottom w:val="nil"/>
              <w:right w:val="nil"/>
            </w:tcBorders>
          </w:tcPr>
          <w:p w14:paraId="7DD182C3"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szCs w:val="22"/>
              </w:rPr>
              <w:t>(1.844)</w:t>
            </w:r>
          </w:p>
        </w:tc>
        <w:tc>
          <w:tcPr>
            <w:tcW w:w="1134" w:type="dxa"/>
            <w:tcBorders>
              <w:top w:val="nil"/>
              <w:left w:val="nil"/>
              <w:bottom w:val="nil"/>
              <w:right w:val="nil"/>
            </w:tcBorders>
          </w:tcPr>
          <w:p w14:paraId="69925EE2" w14:textId="77777777" w:rsidR="00A60DA1" w:rsidRPr="00E3562B" w:rsidRDefault="00A60DA1" w:rsidP="00294522">
            <w:pPr>
              <w:spacing w:line="276" w:lineRule="auto"/>
              <w:jc w:val="right"/>
              <w:rPr>
                <w:rFonts w:asciiTheme="majorBidi" w:hAnsiTheme="majorBidi" w:cstheme="majorBidi"/>
                <w:iCs/>
                <w:szCs w:val="22"/>
              </w:rPr>
            </w:pPr>
            <w:r w:rsidRPr="00E3562B">
              <w:rPr>
                <w:rFonts w:asciiTheme="majorBidi" w:hAnsiTheme="majorBidi" w:cstheme="majorBidi"/>
                <w:szCs w:val="22"/>
              </w:rPr>
              <w:t>(1.995)</w:t>
            </w:r>
          </w:p>
        </w:tc>
      </w:tr>
      <w:tr w:rsidR="005D6588" w:rsidRPr="00E3562B" w14:paraId="348B4893" w14:textId="77777777" w:rsidTr="00294522">
        <w:trPr>
          <w:trHeight w:val="247"/>
        </w:trPr>
        <w:tc>
          <w:tcPr>
            <w:tcW w:w="3119" w:type="dxa"/>
          </w:tcPr>
          <w:p w14:paraId="04FD7AAB"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No. of observations</w:t>
            </w:r>
          </w:p>
        </w:tc>
        <w:tc>
          <w:tcPr>
            <w:tcW w:w="1701" w:type="dxa"/>
          </w:tcPr>
          <w:p w14:paraId="0B57A00E"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417</w:t>
            </w:r>
          </w:p>
        </w:tc>
        <w:tc>
          <w:tcPr>
            <w:tcW w:w="1276" w:type="dxa"/>
          </w:tcPr>
          <w:p w14:paraId="3BA3F9D3"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417</w:t>
            </w:r>
          </w:p>
        </w:tc>
        <w:tc>
          <w:tcPr>
            <w:tcW w:w="1134" w:type="dxa"/>
          </w:tcPr>
          <w:p w14:paraId="1CB3EB19"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417</w:t>
            </w:r>
          </w:p>
        </w:tc>
        <w:tc>
          <w:tcPr>
            <w:tcW w:w="1134" w:type="dxa"/>
          </w:tcPr>
          <w:p w14:paraId="3D4ED096"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417</w:t>
            </w:r>
          </w:p>
        </w:tc>
        <w:tc>
          <w:tcPr>
            <w:tcW w:w="1134" w:type="dxa"/>
          </w:tcPr>
          <w:p w14:paraId="13A4CE4E"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417</w:t>
            </w:r>
          </w:p>
        </w:tc>
      </w:tr>
      <w:tr w:rsidR="005D6588" w:rsidRPr="00E3562B" w14:paraId="1E8F7D86" w14:textId="77777777" w:rsidTr="00294522">
        <w:trPr>
          <w:trHeight w:val="247"/>
        </w:trPr>
        <w:tc>
          <w:tcPr>
            <w:tcW w:w="3119" w:type="dxa"/>
            <w:tcBorders>
              <w:bottom w:val="single" w:sz="4" w:space="0" w:color="auto"/>
            </w:tcBorders>
          </w:tcPr>
          <w:p w14:paraId="5E6BF8C1" w14:textId="77777777" w:rsidR="00A60DA1" w:rsidRPr="00E3562B" w:rsidRDefault="00A60DA1" w:rsidP="00294522">
            <w:pPr>
              <w:spacing w:line="276" w:lineRule="auto"/>
              <w:jc w:val="left"/>
              <w:rPr>
                <w:rFonts w:asciiTheme="majorBidi" w:hAnsiTheme="majorBidi" w:cstheme="majorBidi"/>
                <w:szCs w:val="22"/>
              </w:rPr>
            </w:pPr>
            <w:r w:rsidRPr="00E3562B">
              <w:rPr>
                <w:rFonts w:asciiTheme="majorBidi" w:hAnsiTheme="majorBidi" w:cstheme="majorBidi"/>
                <w:szCs w:val="22"/>
              </w:rPr>
              <w:t>Adj. R</w:t>
            </w:r>
            <w:r w:rsidRPr="00E3562B">
              <w:rPr>
                <w:rFonts w:asciiTheme="majorBidi" w:hAnsiTheme="majorBidi" w:cstheme="majorBidi"/>
                <w:szCs w:val="22"/>
                <w:vertAlign w:val="superscript"/>
              </w:rPr>
              <w:t>2</w:t>
            </w:r>
          </w:p>
        </w:tc>
        <w:tc>
          <w:tcPr>
            <w:tcW w:w="1701" w:type="dxa"/>
            <w:tcBorders>
              <w:bottom w:val="single" w:sz="4" w:space="0" w:color="auto"/>
            </w:tcBorders>
          </w:tcPr>
          <w:p w14:paraId="6F32FDA5"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0.210</w:t>
            </w:r>
          </w:p>
        </w:tc>
        <w:tc>
          <w:tcPr>
            <w:tcW w:w="1276" w:type="dxa"/>
            <w:tcBorders>
              <w:bottom w:val="single" w:sz="4" w:space="0" w:color="auto"/>
            </w:tcBorders>
          </w:tcPr>
          <w:p w14:paraId="1239949C"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0.214</w:t>
            </w:r>
          </w:p>
        </w:tc>
        <w:tc>
          <w:tcPr>
            <w:tcW w:w="1134" w:type="dxa"/>
            <w:tcBorders>
              <w:bottom w:val="single" w:sz="4" w:space="0" w:color="auto"/>
            </w:tcBorders>
          </w:tcPr>
          <w:p w14:paraId="4606ED47"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0.211</w:t>
            </w:r>
          </w:p>
        </w:tc>
        <w:tc>
          <w:tcPr>
            <w:tcW w:w="1134" w:type="dxa"/>
            <w:tcBorders>
              <w:bottom w:val="single" w:sz="4" w:space="0" w:color="auto"/>
            </w:tcBorders>
          </w:tcPr>
          <w:p w14:paraId="12C99702"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0.251</w:t>
            </w:r>
          </w:p>
        </w:tc>
        <w:tc>
          <w:tcPr>
            <w:tcW w:w="1134" w:type="dxa"/>
            <w:tcBorders>
              <w:bottom w:val="single" w:sz="4" w:space="0" w:color="auto"/>
            </w:tcBorders>
          </w:tcPr>
          <w:p w14:paraId="5AB2F5E0" w14:textId="77777777" w:rsidR="00A60DA1" w:rsidRPr="00E3562B" w:rsidRDefault="00A60DA1" w:rsidP="00294522">
            <w:pPr>
              <w:spacing w:line="276" w:lineRule="auto"/>
              <w:jc w:val="right"/>
              <w:rPr>
                <w:rFonts w:asciiTheme="majorBidi" w:hAnsiTheme="majorBidi" w:cstheme="majorBidi"/>
                <w:szCs w:val="22"/>
              </w:rPr>
            </w:pPr>
            <w:r w:rsidRPr="00E3562B">
              <w:rPr>
                <w:rFonts w:asciiTheme="majorBidi" w:hAnsiTheme="majorBidi" w:cstheme="majorBidi"/>
                <w:szCs w:val="22"/>
              </w:rPr>
              <w:t>0.342</w:t>
            </w:r>
          </w:p>
        </w:tc>
      </w:tr>
    </w:tbl>
    <w:bookmarkEnd w:id="16"/>
    <w:p w14:paraId="01CF4DC8" w14:textId="77777777" w:rsidR="00A60DA1" w:rsidRPr="00E3562B" w:rsidRDefault="00A60DA1" w:rsidP="00A60DA1">
      <w:pPr>
        <w:spacing w:line="240" w:lineRule="auto"/>
        <w:jc w:val="left"/>
        <w:rPr>
          <w:i/>
          <w:iCs/>
          <w:sz w:val="20"/>
          <w:lang w:val="en-GB"/>
        </w:rPr>
      </w:pPr>
      <w:r w:rsidRPr="00E3562B">
        <w:rPr>
          <w:i/>
          <w:iCs/>
          <w:sz w:val="20"/>
          <w:lang w:val="en-GB"/>
        </w:rPr>
        <w:t>Note: Detailed definitions of all variables are available in Table 2. t-statistics are provided in parentheses. *p &lt; 0.10.**p &lt; 0.05.***p &lt; 0.01.</w:t>
      </w:r>
    </w:p>
    <w:p w14:paraId="08E7ABCE" w14:textId="77777777" w:rsidR="00A60DA1" w:rsidRPr="00E3562B" w:rsidRDefault="00A60DA1" w:rsidP="00A60DA1">
      <w:pPr>
        <w:spacing w:line="240" w:lineRule="auto"/>
        <w:jc w:val="left"/>
        <w:rPr>
          <w:b/>
          <w:bCs/>
          <w:szCs w:val="24"/>
          <w:lang w:val="en-GB"/>
        </w:rPr>
      </w:pPr>
    </w:p>
    <w:p w14:paraId="3AB6AF84" w14:textId="77777777" w:rsidR="00A60DA1" w:rsidRPr="00E3562B" w:rsidRDefault="00A60DA1" w:rsidP="00A60DA1">
      <w:pPr>
        <w:rPr>
          <w:b/>
          <w:bCs/>
          <w:lang w:val="en-GB"/>
        </w:rPr>
      </w:pPr>
    </w:p>
    <w:p w14:paraId="0D7835D6" w14:textId="77777777" w:rsidR="00A60DA1" w:rsidRPr="00E3562B" w:rsidRDefault="00A60DA1" w:rsidP="00A60DA1">
      <w:pPr>
        <w:rPr>
          <w:b/>
          <w:bCs/>
          <w:lang w:val="en-GB"/>
        </w:rPr>
      </w:pPr>
    </w:p>
    <w:p w14:paraId="57B60398" w14:textId="77777777" w:rsidR="00A60DA1" w:rsidRPr="00E3562B" w:rsidRDefault="00A60DA1" w:rsidP="00A60DA1">
      <w:pPr>
        <w:spacing w:line="240" w:lineRule="auto"/>
        <w:rPr>
          <w:b/>
          <w:bCs/>
          <w:lang w:val="en-GB"/>
        </w:rPr>
        <w:sectPr w:rsidR="00A60DA1" w:rsidRPr="00E3562B" w:rsidSect="00625A08">
          <w:footerReference w:type="default" r:id="rId22"/>
          <w:pgSz w:w="11901" w:h="16817"/>
          <w:pgMar w:top="1440" w:right="1418" w:bottom="1440" w:left="1418" w:header="709" w:footer="709" w:gutter="0"/>
          <w:cols w:space="708"/>
        </w:sectPr>
      </w:pPr>
    </w:p>
    <w:p w14:paraId="7CB4C88A" w14:textId="77777777" w:rsidR="00A60DA1" w:rsidRPr="00E3562B" w:rsidRDefault="00A60DA1" w:rsidP="00A60DA1">
      <w:pPr>
        <w:spacing w:line="240" w:lineRule="auto"/>
        <w:rPr>
          <w:szCs w:val="24"/>
          <w:lang w:val="en-GB"/>
        </w:rPr>
      </w:pPr>
      <w:r w:rsidRPr="00E3562B">
        <w:rPr>
          <w:b/>
          <w:bCs/>
          <w:szCs w:val="24"/>
          <w:lang w:val="en-GB"/>
        </w:rPr>
        <w:lastRenderedPageBreak/>
        <w:t>Table 9.</w:t>
      </w:r>
      <w:r w:rsidRPr="00E3562B">
        <w:rPr>
          <w:szCs w:val="24"/>
          <w:lang w:val="en-GB"/>
        </w:rPr>
        <w:t xml:space="preserve"> Comparison of industries with high risk of modern slavery and industries with low risk</w:t>
      </w:r>
    </w:p>
    <w:p w14:paraId="3E7E4CAB" w14:textId="77777777" w:rsidR="00A60DA1" w:rsidRPr="00E3562B" w:rsidRDefault="00A60DA1" w:rsidP="00A60DA1">
      <w:pPr>
        <w:spacing w:line="240" w:lineRule="auto"/>
        <w:rPr>
          <w:b/>
          <w:bCs/>
          <w:szCs w:val="24"/>
          <w:lang w:val="en-GB"/>
        </w:rPr>
      </w:pPr>
    </w:p>
    <w:tbl>
      <w:tblPr>
        <w:tblW w:w="9233" w:type="dxa"/>
        <w:jc w:val="center"/>
        <w:tblLayout w:type="fixed"/>
        <w:tblLook w:val="04A0" w:firstRow="1" w:lastRow="0" w:firstColumn="1" w:lastColumn="0" w:noHBand="0" w:noVBand="1"/>
      </w:tblPr>
      <w:tblGrid>
        <w:gridCol w:w="1834"/>
        <w:gridCol w:w="467"/>
        <w:gridCol w:w="3224"/>
        <w:gridCol w:w="3532"/>
        <w:gridCol w:w="176"/>
      </w:tblGrid>
      <w:tr w:rsidR="005D6588" w:rsidRPr="00E3562B" w14:paraId="261284E8" w14:textId="77777777" w:rsidTr="00294522">
        <w:trPr>
          <w:trHeight w:val="263"/>
          <w:jc w:val="center"/>
        </w:trPr>
        <w:tc>
          <w:tcPr>
            <w:tcW w:w="1835" w:type="dxa"/>
            <w:tcBorders>
              <w:top w:val="single" w:sz="4" w:space="0" w:color="auto"/>
              <w:left w:val="nil"/>
            </w:tcBorders>
            <w:shd w:val="clear" w:color="auto" w:fill="FFFFFF" w:themeFill="background1"/>
          </w:tcPr>
          <w:p w14:paraId="0E5023C0" w14:textId="77777777" w:rsidR="00A60DA1" w:rsidRPr="00E3562B" w:rsidRDefault="00A60DA1" w:rsidP="00294522">
            <w:pPr>
              <w:spacing w:line="276" w:lineRule="auto"/>
              <w:rPr>
                <w:rFonts w:asciiTheme="majorBidi" w:hAnsiTheme="majorBidi" w:cstheme="majorBidi"/>
                <w:sz w:val="22"/>
                <w:szCs w:val="22"/>
                <w:lang w:val="en-GB"/>
              </w:rPr>
            </w:pPr>
            <w:r w:rsidRPr="00E3562B">
              <w:rPr>
                <w:rFonts w:asciiTheme="majorBidi" w:hAnsiTheme="majorBidi" w:cstheme="majorBidi"/>
                <w:sz w:val="22"/>
                <w:szCs w:val="22"/>
                <w:lang w:val="en-GB"/>
              </w:rPr>
              <w:t xml:space="preserve">Variables </w:t>
            </w:r>
          </w:p>
        </w:tc>
        <w:tc>
          <w:tcPr>
            <w:tcW w:w="7398" w:type="dxa"/>
            <w:gridSpan w:val="4"/>
            <w:tcBorders>
              <w:top w:val="single" w:sz="4" w:space="0" w:color="auto"/>
              <w:bottom w:val="single" w:sz="4" w:space="0" w:color="auto"/>
            </w:tcBorders>
            <w:shd w:val="clear" w:color="auto" w:fill="FFFFFF" w:themeFill="background1"/>
          </w:tcPr>
          <w:p w14:paraId="3378383F" w14:textId="77777777" w:rsidR="00A60DA1" w:rsidRPr="00E3562B" w:rsidRDefault="00A60DA1" w:rsidP="00294522">
            <w:pPr>
              <w:spacing w:line="276" w:lineRule="auto"/>
              <w:ind w:left="2736"/>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MSDI                                                </w:t>
            </w:r>
            <w:proofErr w:type="spellStart"/>
            <w:r w:rsidRPr="00E3562B">
              <w:rPr>
                <w:rFonts w:asciiTheme="majorBidi" w:hAnsiTheme="majorBidi" w:cstheme="majorBidi"/>
                <w:sz w:val="22"/>
                <w:szCs w:val="22"/>
                <w:lang w:val="en-GB"/>
              </w:rPr>
              <w:t>MSDI</w:t>
            </w:r>
            <w:proofErr w:type="spellEnd"/>
          </w:p>
        </w:tc>
      </w:tr>
      <w:tr w:rsidR="005D6588" w:rsidRPr="00E3562B" w14:paraId="703B4EEF" w14:textId="77777777" w:rsidTr="00294522">
        <w:trPr>
          <w:gridAfter w:val="1"/>
          <w:wAfter w:w="175" w:type="dxa"/>
          <w:trHeight w:val="283"/>
          <w:jc w:val="center"/>
        </w:trPr>
        <w:tc>
          <w:tcPr>
            <w:tcW w:w="1835" w:type="dxa"/>
            <w:tcBorders>
              <w:left w:val="nil"/>
              <w:bottom w:val="single" w:sz="4" w:space="0" w:color="auto"/>
              <w:right w:val="nil"/>
            </w:tcBorders>
            <w:shd w:val="clear" w:color="auto" w:fill="FFFFFF" w:themeFill="background1"/>
          </w:tcPr>
          <w:p w14:paraId="2F817EB7" w14:textId="77777777" w:rsidR="00A60DA1" w:rsidRPr="00E3562B" w:rsidRDefault="00A60DA1" w:rsidP="00294522">
            <w:pPr>
              <w:spacing w:line="276" w:lineRule="auto"/>
              <w:rPr>
                <w:rFonts w:asciiTheme="majorBidi" w:hAnsiTheme="majorBidi" w:cstheme="majorBidi"/>
                <w:sz w:val="22"/>
                <w:szCs w:val="22"/>
                <w:lang w:val="en-GB"/>
              </w:rPr>
            </w:pPr>
            <w:r w:rsidRPr="00E3562B">
              <w:rPr>
                <w:rFonts w:asciiTheme="majorBidi" w:hAnsiTheme="majorBidi" w:cstheme="majorBidi"/>
                <w:sz w:val="22"/>
                <w:szCs w:val="22"/>
                <w:lang w:val="en-GB"/>
              </w:rPr>
              <w:t>(Model)</w:t>
            </w:r>
          </w:p>
        </w:tc>
        <w:tc>
          <w:tcPr>
            <w:tcW w:w="3691" w:type="dxa"/>
            <w:gridSpan w:val="2"/>
            <w:tcBorders>
              <w:top w:val="single" w:sz="4" w:space="0" w:color="auto"/>
              <w:left w:val="nil"/>
              <w:bottom w:val="single" w:sz="4" w:space="0" w:color="auto"/>
              <w:right w:val="nil"/>
            </w:tcBorders>
            <w:shd w:val="clear" w:color="auto" w:fill="FFFFFF" w:themeFill="background1"/>
          </w:tcPr>
          <w:p w14:paraId="15E7026F"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(1) </w:t>
            </w:r>
          </w:p>
          <w:p w14:paraId="5A550888"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Low risk of modern slavery</w:t>
            </w:r>
          </w:p>
        </w:tc>
        <w:tc>
          <w:tcPr>
            <w:tcW w:w="3532" w:type="dxa"/>
            <w:tcBorders>
              <w:top w:val="single" w:sz="4" w:space="0" w:color="auto"/>
              <w:left w:val="nil"/>
              <w:bottom w:val="single" w:sz="4" w:space="0" w:color="auto"/>
              <w:right w:val="nil"/>
            </w:tcBorders>
            <w:shd w:val="clear" w:color="auto" w:fill="FFFFFF" w:themeFill="background1"/>
          </w:tcPr>
          <w:p w14:paraId="0B3529B1"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(2)</w:t>
            </w:r>
          </w:p>
          <w:p w14:paraId="118D2E71"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rPr>
              <w:t>High risk of modern slavery</w:t>
            </w:r>
          </w:p>
        </w:tc>
      </w:tr>
      <w:tr w:rsidR="005D6588" w:rsidRPr="00E3562B" w14:paraId="29E70A77" w14:textId="77777777" w:rsidTr="00294522">
        <w:trPr>
          <w:gridAfter w:val="1"/>
          <w:wAfter w:w="175" w:type="dxa"/>
          <w:trHeight w:val="263"/>
          <w:jc w:val="center"/>
        </w:trPr>
        <w:tc>
          <w:tcPr>
            <w:tcW w:w="1835" w:type="dxa"/>
            <w:tcBorders>
              <w:top w:val="single" w:sz="4" w:space="0" w:color="auto"/>
              <w:left w:val="nil"/>
              <w:bottom w:val="nil"/>
              <w:right w:val="nil"/>
            </w:tcBorders>
            <w:shd w:val="clear" w:color="auto" w:fill="FFFFFF" w:themeFill="background1"/>
          </w:tcPr>
          <w:p w14:paraId="2E501545"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CEOP</w:t>
            </w:r>
          </w:p>
        </w:tc>
        <w:tc>
          <w:tcPr>
            <w:tcW w:w="3691" w:type="dxa"/>
            <w:gridSpan w:val="2"/>
            <w:tcBorders>
              <w:top w:val="single" w:sz="4" w:space="0" w:color="auto"/>
              <w:left w:val="nil"/>
              <w:bottom w:val="nil"/>
              <w:right w:val="nil"/>
            </w:tcBorders>
          </w:tcPr>
          <w:p w14:paraId="514CC804"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0.425</w:t>
            </w:r>
          </w:p>
        </w:tc>
        <w:tc>
          <w:tcPr>
            <w:tcW w:w="3532" w:type="dxa"/>
            <w:tcBorders>
              <w:top w:val="single" w:sz="4" w:space="0" w:color="auto"/>
              <w:left w:val="nil"/>
              <w:bottom w:val="nil"/>
              <w:right w:val="nil"/>
            </w:tcBorders>
          </w:tcPr>
          <w:p w14:paraId="09A21407"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-5.132**</w:t>
            </w:r>
          </w:p>
        </w:tc>
      </w:tr>
      <w:tr w:rsidR="005D6588" w:rsidRPr="00E3562B" w14:paraId="7DB4F3A9" w14:textId="77777777" w:rsidTr="00294522">
        <w:trPr>
          <w:gridAfter w:val="1"/>
          <w:wAfter w:w="175" w:type="dxa"/>
          <w:trHeight w:val="263"/>
          <w:jc w:val="center"/>
        </w:trPr>
        <w:tc>
          <w:tcPr>
            <w:tcW w:w="1835" w:type="dxa"/>
            <w:tcBorders>
              <w:top w:val="nil"/>
              <w:left w:val="nil"/>
              <w:bottom w:val="nil"/>
              <w:right w:val="nil"/>
            </w:tcBorders>
            <w:shd w:val="clear" w:color="auto" w:fill="FFFFFF" w:themeFill="background1"/>
          </w:tcPr>
          <w:p w14:paraId="1F893A5E"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3691" w:type="dxa"/>
            <w:gridSpan w:val="2"/>
            <w:tcBorders>
              <w:top w:val="nil"/>
              <w:left w:val="nil"/>
              <w:bottom w:val="nil"/>
              <w:right w:val="nil"/>
            </w:tcBorders>
          </w:tcPr>
          <w:p w14:paraId="6E90F865"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(0.171)</w:t>
            </w:r>
          </w:p>
        </w:tc>
        <w:tc>
          <w:tcPr>
            <w:tcW w:w="3532" w:type="dxa"/>
            <w:tcBorders>
              <w:top w:val="nil"/>
              <w:left w:val="nil"/>
              <w:bottom w:val="nil"/>
              <w:right w:val="nil"/>
            </w:tcBorders>
          </w:tcPr>
          <w:p w14:paraId="4A962923"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(-2.446)</w:t>
            </w:r>
          </w:p>
        </w:tc>
      </w:tr>
      <w:tr w:rsidR="005D6588" w:rsidRPr="00E3562B" w14:paraId="4D7938B3" w14:textId="77777777" w:rsidTr="00294522">
        <w:trPr>
          <w:gridAfter w:val="1"/>
          <w:wAfter w:w="175" w:type="dxa"/>
          <w:trHeight w:val="263"/>
          <w:jc w:val="center"/>
        </w:trPr>
        <w:tc>
          <w:tcPr>
            <w:tcW w:w="1835" w:type="dxa"/>
            <w:tcBorders>
              <w:top w:val="nil"/>
              <w:left w:val="nil"/>
              <w:bottom w:val="nil"/>
              <w:right w:val="nil"/>
            </w:tcBorders>
            <w:shd w:val="clear" w:color="auto" w:fill="FFFFFF" w:themeFill="background1"/>
          </w:tcPr>
          <w:p w14:paraId="21F49355"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BGD</w:t>
            </w:r>
          </w:p>
        </w:tc>
        <w:tc>
          <w:tcPr>
            <w:tcW w:w="3691" w:type="dxa"/>
            <w:gridSpan w:val="2"/>
            <w:tcBorders>
              <w:top w:val="nil"/>
              <w:left w:val="nil"/>
              <w:bottom w:val="nil"/>
              <w:right w:val="nil"/>
            </w:tcBorders>
          </w:tcPr>
          <w:p w14:paraId="3EC4DDF3"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0.388***</w:t>
            </w:r>
          </w:p>
        </w:tc>
        <w:tc>
          <w:tcPr>
            <w:tcW w:w="3532" w:type="dxa"/>
            <w:tcBorders>
              <w:top w:val="nil"/>
              <w:left w:val="nil"/>
              <w:bottom w:val="nil"/>
              <w:right w:val="nil"/>
            </w:tcBorders>
          </w:tcPr>
          <w:p w14:paraId="2183845A"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0.306***</w:t>
            </w:r>
          </w:p>
        </w:tc>
      </w:tr>
      <w:tr w:rsidR="005D6588" w:rsidRPr="00E3562B" w14:paraId="716F0DDF" w14:textId="77777777" w:rsidTr="00294522">
        <w:trPr>
          <w:gridAfter w:val="1"/>
          <w:wAfter w:w="175" w:type="dxa"/>
          <w:trHeight w:val="263"/>
          <w:jc w:val="center"/>
        </w:trPr>
        <w:tc>
          <w:tcPr>
            <w:tcW w:w="1835" w:type="dxa"/>
            <w:tcBorders>
              <w:top w:val="nil"/>
              <w:left w:val="nil"/>
              <w:bottom w:val="nil"/>
              <w:right w:val="nil"/>
            </w:tcBorders>
            <w:shd w:val="clear" w:color="auto" w:fill="FFFFFF" w:themeFill="background1"/>
          </w:tcPr>
          <w:p w14:paraId="3E811A39"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3691" w:type="dxa"/>
            <w:gridSpan w:val="2"/>
            <w:tcBorders>
              <w:top w:val="nil"/>
              <w:left w:val="nil"/>
              <w:bottom w:val="nil"/>
              <w:right w:val="nil"/>
            </w:tcBorders>
          </w:tcPr>
          <w:p w14:paraId="79D7C576"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(3.486)</w:t>
            </w:r>
          </w:p>
        </w:tc>
        <w:tc>
          <w:tcPr>
            <w:tcW w:w="3532" w:type="dxa"/>
            <w:tcBorders>
              <w:top w:val="nil"/>
              <w:left w:val="nil"/>
              <w:bottom w:val="nil"/>
              <w:right w:val="nil"/>
            </w:tcBorders>
          </w:tcPr>
          <w:p w14:paraId="65BF2804"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(4.069)</w:t>
            </w:r>
          </w:p>
        </w:tc>
      </w:tr>
      <w:tr w:rsidR="005D6588" w:rsidRPr="00E3562B" w14:paraId="42481B39" w14:textId="77777777" w:rsidTr="00294522">
        <w:trPr>
          <w:gridAfter w:val="1"/>
          <w:wAfter w:w="175" w:type="dxa"/>
          <w:trHeight w:val="263"/>
          <w:jc w:val="center"/>
        </w:trPr>
        <w:tc>
          <w:tcPr>
            <w:tcW w:w="1835" w:type="dxa"/>
            <w:tcBorders>
              <w:top w:val="nil"/>
              <w:left w:val="nil"/>
              <w:bottom w:val="nil"/>
              <w:right w:val="nil"/>
            </w:tcBorders>
            <w:shd w:val="clear" w:color="auto" w:fill="FFFFFF" w:themeFill="background1"/>
          </w:tcPr>
          <w:p w14:paraId="4C741DD8"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FSIZE</w:t>
            </w:r>
          </w:p>
        </w:tc>
        <w:tc>
          <w:tcPr>
            <w:tcW w:w="3691" w:type="dxa"/>
            <w:gridSpan w:val="2"/>
            <w:tcBorders>
              <w:top w:val="nil"/>
              <w:left w:val="nil"/>
              <w:bottom w:val="nil"/>
              <w:right w:val="nil"/>
            </w:tcBorders>
          </w:tcPr>
          <w:p w14:paraId="1DA9CECC"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0.875</w:t>
            </w:r>
          </w:p>
        </w:tc>
        <w:tc>
          <w:tcPr>
            <w:tcW w:w="3532" w:type="dxa"/>
            <w:tcBorders>
              <w:top w:val="nil"/>
              <w:left w:val="nil"/>
              <w:bottom w:val="nil"/>
              <w:right w:val="nil"/>
            </w:tcBorders>
          </w:tcPr>
          <w:p w14:paraId="166F2E18"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2.658***</w:t>
            </w:r>
          </w:p>
        </w:tc>
      </w:tr>
      <w:tr w:rsidR="005D6588" w:rsidRPr="00E3562B" w14:paraId="6B1934C3" w14:textId="77777777" w:rsidTr="00294522">
        <w:trPr>
          <w:gridAfter w:val="1"/>
          <w:wAfter w:w="175" w:type="dxa"/>
          <w:trHeight w:val="263"/>
          <w:jc w:val="center"/>
        </w:trPr>
        <w:tc>
          <w:tcPr>
            <w:tcW w:w="1835" w:type="dxa"/>
            <w:tcBorders>
              <w:top w:val="nil"/>
              <w:left w:val="nil"/>
              <w:bottom w:val="nil"/>
              <w:right w:val="nil"/>
            </w:tcBorders>
          </w:tcPr>
          <w:p w14:paraId="63491EA4"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 </w:t>
            </w:r>
          </w:p>
        </w:tc>
        <w:tc>
          <w:tcPr>
            <w:tcW w:w="3691" w:type="dxa"/>
            <w:gridSpan w:val="2"/>
            <w:tcBorders>
              <w:top w:val="nil"/>
              <w:left w:val="nil"/>
              <w:bottom w:val="nil"/>
              <w:right w:val="nil"/>
            </w:tcBorders>
          </w:tcPr>
          <w:p w14:paraId="0729579E"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(1.209)</w:t>
            </w:r>
          </w:p>
        </w:tc>
        <w:tc>
          <w:tcPr>
            <w:tcW w:w="3532" w:type="dxa"/>
            <w:tcBorders>
              <w:top w:val="nil"/>
              <w:left w:val="nil"/>
              <w:bottom w:val="nil"/>
              <w:right w:val="nil"/>
            </w:tcBorders>
          </w:tcPr>
          <w:p w14:paraId="5812FA4D"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(4.744)</w:t>
            </w:r>
          </w:p>
        </w:tc>
      </w:tr>
      <w:tr w:rsidR="005D6588" w:rsidRPr="00E3562B" w14:paraId="79C42657" w14:textId="77777777" w:rsidTr="00294522">
        <w:trPr>
          <w:gridAfter w:val="1"/>
          <w:wAfter w:w="175" w:type="dxa"/>
          <w:trHeight w:val="263"/>
          <w:jc w:val="center"/>
        </w:trPr>
        <w:tc>
          <w:tcPr>
            <w:tcW w:w="1835" w:type="dxa"/>
            <w:tcBorders>
              <w:top w:val="nil"/>
              <w:left w:val="nil"/>
              <w:bottom w:val="nil"/>
              <w:right w:val="nil"/>
            </w:tcBorders>
          </w:tcPr>
          <w:p w14:paraId="410A000C"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ROA</w:t>
            </w:r>
          </w:p>
        </w:tc>
        <w:tc>
          <w:tcPr>
            <w:tcW w:w="3691" w:type="dxa"/>
            <w:gridSpan w:val="2"/>
            <w:tcBorders>
              <w:top w:val="nil"/>
              <w:left w:val="nil"/>
              <w:bottom w:val="nil"/>
              <w:right w:val="nil"/>
            </w:tcBorders>
          </w:tcPr>
          <w:p w14:paraId="37B092B8"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-0.260</w:t>
            </w:r>
          </w:p>
        </w:tc>
        <w:tc>
          <w:tcPr>
            <w:tcW w:w="3532" w:type="dxa"/>
            <w:tcBorders>
              <w:top w:val="nil"/>
              <w:left w:val="nil"/>
              <w:bottom w:val="nil"/>
              <w:right w:val="nil"/>
            </w:tcBorders>
          </w:tcPr>
          <w:p w14:paraId="0BF965D4"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-0.0430</w:t>
            </w:r>
          </w:p>
        </w:tc>
      </w:tr>
      <w:tr w:rsidR="005D6588" w:rsidRPr="00E3562B" w14:paraId="1E8B6AF1" w14:textId="77777777" w:rsidTr="00294522">
        <w:trPr>
          <w:gridAfter w:val="1"/>
          <w:wAfter w:w="175" w:type="dxa"/>
          <w:trHeight w:val="263"/>
          <w:jc w:val="center"/>
        </w:trPr>
        <w:tc>
          <w:tcPr>
            <w:tcW w:w="1835" w:type="dxa"/>
            <w:tcBorders>
              <w:top w:val="nil"/>
              <w:left w:val="nil"/>
              <w:bottom w:val="nil"/>
              <w:right w:val="nil"/>
            </w:tcBorders>
          </w:tcPr>
          <w:p w14:paraId="74FFDDE0"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 </w:t>
            </w:r>
          </w:p>
        </w:tc>
        <w:tc>
          <w:tcPr>
            <w:tcW w:w="3691" w:type="dxa"/>
            <w:gridSpan w:val="2"/>
            <w:tcBorders>
              <w:top w:val="nil"/>
              <w:left w:val="nil"/>
              <w:bottom w:val="nil"/>
              <w:right w:val="nil"/>
            </w:tcBorders>
          </w:tcPr>
          <w:p w14:paraId="16EFC766"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(-1.490)</w:t>
            </w:r>
          </w:p>
        </w:tc>
        <w:tc>
          <w:tcPr>
            <w:tcW w:w="3532" w:type="dxa"/>
            <w:tcBorders>
              <w:top w:val="nil"/>
              <w:left w:val="nil"/>
              <w:bottom w:val="nil"/>
              <w:right w:val="nil"/>
            </w:tcBorders>
          </w:tcPr>
          <w:p w14:paraId="07C152A0"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(-0.362)</w:t>
            </w:r>
          </w:p>
        </w:tc>
      </w:tr>
      <w:tr w:rsidR="005D6588" w:rsidRPr="00E3562B" w14:paraId="7D61BC10" w14:textId="77777777" w:rsidTr="00294522">
        <w:trPr>
          <w:gridAfter w:val="1"/>
          <w:wAfter w:w="175" w:type="dxa"/>
          <w:trHeight w:val="263"/>
          <w:jc w:val="center"/>
        </w:trPr>
        <w:tc>
          <w:tcPr>
            <w:tcW w:w="1835" w:type="dxa"/>
            <w:tcBorders>
              <w:top w:val="nil"/>
              <w:left w:val="nil"/>
              <w:bottom w:val="nil"/>
              <w:right w:val="nil"/>
            </w:tcBorders>
          </w:tcPr>
          <w:p w14:paraId="65925679"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LEV</w:t>
            </w:r>
          </w:p>
        </w:tc>
        <w:tc>
          <w:tcPr>
            <w:tcW w:w="3691" w:type="dxa"/>
            <w:gridSpan w:val="2"/>
            <w:tcBorders>
              <w:top w:val="nil"/>
              <w:left w:val="nil"/>
              <w:bottom w:val="nil"/>
              <w:right w:val="nil"/>
            </w:tcBorders>
          </w:tcPr>
          <w:p w14:paraId="3A0C3F44"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0.156***</w:t>
            </w:r>
          </w:p>
        </w:tc>
        <w:tc>
          <w:tcPr>
            <w:tcW w:w="3532" w:type="dxa"/>
            <w:tcBorders>
              <w:top w:val="nil"/>
              <w:left w:val="nil"/>
              <w:bottom w:val="nil"/>
              <w:right w:val="nil"/>
            </w:tcBorders>
          </w:tcPr>
          <w:p w14:paraId="02E3EF58"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-0.007</w:t>
            </w:r>
          </w:p>
        </w:tc>
      </w:tr>
      <w:tr w:rsidR="005D6588" w:rsidRPr="00E3562B" w14:paraId="345234E1" w14:textId="77777777" w:rsidTr="00294522">
        <w:trPr>
          <w:gridAfter w:val="1"/>
          <w:wAfter w:w="175" w:type="dxa"/>
          <w:trHeight w:val="263"/>
          <w:jc w:val="center"/>
        </w:trPr>
        <w:tc>
          <w:tcPr>
            <w:tcW w:w="1835" w:type="dxa"/>
            <w:tcBorders>
              <w:top w:val="nil"/>
              <w:left w:val="nil"/>
              <w:bottom w:val="nil"/>
              <w:right w:val="nil"/>
            </w:tcBorders>
          </w:tcPr>
          <w:p w14:paraId="29789B64"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3691" w:type="dxa"/>
            <w:gridSpan w:val="2"/>
            <w:tcBorders>
              <w:top w:val="nil"/>
              <w:left w:val="nil"/>
              <w:bottom w:val="nil"/>
              <w:right w:val="nil"/>
            </w:tcBorders>
          </w:tcPr>
          <w:p w14:paraId="12EE1330"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(3.374)</w:t>
            </w:r>
          </w:p>
        </w:tc>
        <w:tc>
          <w:tcPr>
            <w:tcW w:w="3532" w:type="dxa"/>
            <w:tcBorders>
              <w:top w:val="nil"/>
              <w:left w:val="nil"/>
              <w:bottom w:val="nil"/>
              <w:right w:val="nil"/>
            </w:tcBorders>
          </w:tcPr>
          <w:p w14:paraId="5262D355"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(-0.153)</w:t>
            </w:r>
          </w:p>
        </w:tc>
      </w:tr>
      <w:tr w:rsidR="005D6588" w:rsidRPr="00E3562B" w14:paraId="332A7487" w14:textId="77777777" w:rsidTr="00294522">
        <w:trPr>
          <w:gridAfter w:val="1"/>
          <w:wAfter w:w="175" w:type="dxa"/>
          <w:trHeight w:val="263"/>
          <w:jc w:val="center"/>
        </w:trPr>
        <w:tc>
          <w:tcPr>
            <w:tcW w:w="1835" w:type="dxa"/>
            <w:tcBorders>
              <w:top w:val="nil"/>
              <w:left w:val="nil"/>
              <w:bottom w:val="nil"/>
              <w:right w:val="nil"/>
            </w:tcBorders>
          </w:tcPr>
          <w:p w14:paraId="50C35CC6"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BSIZE</w:t>
            </w:r>
          </w:p>
        </w:tc>
        <w:tc>
          <w:tcPr>
            <w:tcW w:w="3691" w:type="dxa"/>
            <w:gridSpan w:val="2"/>
            <w:tcBorders>
              <w:top w:val="nil"/>
              <w:left w:val="nil"/>
              <w:bottom w:val="nil"/>
              <w:right w:val="nil"/>
            </w:tcBorders>
          </w:tcPr>
          <w:p w14:paraId="71CB0B3E"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0.171</w:t>
            </w:r>
          </w:p>
        </w:tc>
        <w:tc>
          <w:tcPr>
            <w:tcW w:w="3532" w:type="dxa"/>
            <w:tcBorders>
              <w:top w:val="nil"/>
              <w:left w:val="nil"/>
              <w:bottom w:val="nil"/>
              <w:right w:val="nil"/>
            </w:tcBorders>
          </w:tcPr>
          <w:p w14:paraId="157B3845"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-0.532</w:t>
            </w:r>
          </w:p>
        </w:tc>
      </w:tr>
      <w:tr w:rsidR="005D6588" w:rsidRPr="00E3562B" w14:paraId="494177AF" w14:textId="77777777" w:rsidTr="00294522">
        <w:trPr>
          <w:gridAfter w:val="1"/>
          <w:wAfter w:w="175" w:type="dxa"/>
          <w:trHeight w:val="263"/>
          <w:jc w:val="center"/>
        </w:trPr>
        <w:tc>
          <w:tcPr>
            <w:tcW w:w="1835" w:type="dxa"/>
            <w:tcBorders>
              <w:top w:val="nil"/>
              <w:left w:val="nil"/>
              <w:bottom w:val="nil"/>
              <w:right w:val="nil"/>
            </w:tcBorders>
          </w:tcPr>
          <w:p w14:paraId="7EC52120"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3691" w:type="dxa"/>
            <w:gridSpan w:val="2"/>
            <w:tcBorders>
              <w:top w:val="nil"/>
              <w:left w:val="nil"/>
              <w:bottom w:val="nil"/>
              <w:right w:val="nil"/>
            </w:tcBorders>
          </w:tcPr>
          <w:p w14:paraId="6B94D0C4"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(0.378)</w:t>
            </w:r>
          </w:p>
        </w:tc>
        <w:tc>
          <w:tcPr>
            <w:tcW w:w="3532" w:type="dxa"/>
            <w:tcBorders>
              <w:top w:val="nil"/>
              <w:left w:val="nil"/>
              <w:bottom w:val="nil"/>
              <w:right w:val="nil"/>
            </w:tcBorders>
          </w:tcPr>
          <w:p w14:paraId="4719F10E"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(-1.270)</w:t>
            </w:r>
          </w:p>
        </w:tc>
      </w:tr>
      <w:tr w:rsidR="005D6588" w:rsidRPr="00E3562B" w14:paraId="1C4C6F78" w14:textId="77777777" w:rsidTr="00294522">
        <w:trPr>
          <w:gridAfter w:val="1"/>
          <w:wAfter w:w="175" w:type="dxa"/>
          <w:trHeight w:val="263"/>
          <w:jc w:val="center"/>
        </w:trPr>
        <w:tc>
          <w:tcPr>
            <w:tcW w:w="1835" w:type="dxa"/>
            <w:tcBorders>
              <w:top w:val="nil"/>
              <w:left w:val="nil"/>
              <w:bottom w:val="nil"/>
              <w:right w:val="nil"/>
            </w:tcBorders>
          </w:tcPr>
          <w:p w14:paraId="6F9946FE"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BINDE</w:t>
            </w:r>
          </w:p>
        </w:tc>
        <w:tc>
          <w:tcPr>
            <w:tcW w:w="3691" w:type="dxa"/>
            <w:gridSpan w:val="2"/>
            <w:tcBorders>
              <w:top w:val="nil"/>
              <w:left w:val="nil"/>
              <w:bottom w:val="nil"/>
              <w:right w:val="nil"/>
            </w:tcBorders>
          </w:tcPr>
          <w:p w14:paraId="664576FB"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-0.0115</w:t>
            </w:r>
          </w:p>
        </w:tc>
        <w:tc>
          <w:tcPr>
            <w:tcW w:w="3532" w:type="dxa"/>
            <w:tcBorders>
              <w:top w:val="nil"/>
              <w:left w:val="nil"/>
              <w:bottom w:val="nil"/>
              <w:right w:val="nil"/>
            </w:tcBorders>
          </w:tcPr>
          <w:p w14:paraId="11F26D01"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-0.177</w:t>
            </w:r>
          </w:p>
        </w:tc>
      </w:tr>
      <w:tr w:rsidR="005D6588" w:rsidRPr="00E3562B" w14:paraId="410CB5B2" w14:textId="77777777" w:rsidTr="00294522">
        <w:trPr>
          <w:gridAfter w:val="1"/>
          <w:wAfter w:w="175" w:type="dxa"/>
          <w:trHeight w:val="263"/>
          <w:jc w:val="center"/>
        </w:trPr>
        <w:tc>
          <w:tcPr>
            <w:tcW w:w="1835" w:type="dxa"/>
            <w:tcBorders>
              <w:top w:val="nil"/>
              <w:left w:val="nil"/>
              <w:bottom w:val="nil"/>
              <w:right w:val="nil"/>
            </w:tcBorders>
          </w:tcPr>
          <w:p w14:paraId="3B5D1999"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3691" w:type="dxa"/>
            <w:gridSpan w:val="2"/>
            <w:tcBorders>
              <w:top w:val="nil"/>
              <w:left w:val="nil"/>
              <w:bottom w:val="nil"/>
              <w:right w:val="nil"/>
            </w:tcBorders>
          </w:tcPr>
          <w:p w14:paraId="7DABD599"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(-0.082)</w:t>
            </w:r>
          </w:p>
        </w:tc>
        <w:tc>
          <w:tcPr>
            <w:tcW w:w="3532" w:type="dxa"/>
            <w:tcBorders>
              <w:top w:val="nil"/>
              <w:left w:val="nil"/>
              <w:bottom w:val="nil"/>
              <w:right w:val="nil"/>
            </w:tcBorders>
          </w:tcPr>
          <w:p w14:paraId="442E58AD"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(-1.646)</w:t>
            </w:r>
          </w:p>
        </w:tc>
      </w:tr>
      <w:tr w:rsidR="005D6588" w:rsidRPr="00E3562B" w14:paraId="6F0FD81A" w14:textId="77777777" w:rsidTr="00294522">
        <w:trPr>
          <w:gridAfter w:val="1"/>
          <w:wAfter w:w="175" w:type="dxa"/>
          <w:trHeight w:val="263"/>
          <w:jc w:val="center"/>
        </w:trPr>
        <w:tc>
          <w:tcPr>
            <w:tcW w:w="1835" w:type="dxa"/>
            <w:tcBorders>
              <w:top w:val="nil"/>
              <w:left w:val="nil"/>
              <w:bottom w:val="nil"/>
              <w:right w:val="nil"/>
            </w:tcBorders>
          </w:tcPr>
          <w:p w14:paraId="1FA34721"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MTBV</w:t>
            </w:r>
          </w:p>
        </w:tc>
        <w:tc>
          <w:tcPr>
            <w:tcW w:w="3691" w:type="dxa"/>
            <w:gridSpan w:val="2"/>
            <w:tcBorders>
              <w:top w:val="nil"/>
              <w:left w:val="nil"/>
              <w:bottom w:val="nil"/>
              <w:right w:val="nil"/>
            </w:tcBorders>
          </w:tcPr>
          <w:p w14:paraId="55EC922E"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0.005</w:t>
            </w:r>
          </w:p>
        </w:tc>
        <w:tc>
          <w:tcPr>
            <w:tcW w:w="3532" w:type="dxa"/>
            <w:tcBorders>
              <w:top w:val="nil"/>
              <w:left w:val="nil"/>
              <w:bottom w:val="nil"/>
              <w:right w:val="nil"/>
            </w:tcBorders>
          </w:tcPr>
          <w:p w14:paraId="6FB0DCB4"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-0.059</w:t>
            </w:r>
          </w:p>
        </w:tc>
      </w:tr>
      <w:tr w:rsidR="005D6588" w:rsidRPr="00E3562B" w14:paraId="392A3378" w14:textId="77777777" w:rsidTr="00294522">
        <w:trPr>
          <w:gridAfter w:val="1"/>
          <w:wAfter w:w="175" w:type="dxa"/>
          <w:trHeight w:val="263"/>
          <w:jc w:val="center"/>
        </w:trPr>
        <w:tc>
          <w:tcPr>
            <w:tcW w:w="1835" w:type="dxa"/>
            <w:tcBorders>
              <w:top w:val="nil"/>
              <w:left w:val="nil"/>
              <w:bottom w:val="nil"/>
              <w:right w:val="nil"/>
            </w:tcBorders>
          </w:tcPr>
          <w:p w14:paraId="4DE2613E"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3691" w:type="dxa"/>
            <w:gridSpan w:val="2"/>
            <w:tcBorders>
              <w:top w:val="nil"/>
              <w:left w:val="nil"/>
              <w:bottom w:val="nil"/>
              <w:right w:val="nil"/>
            </w:tcBorders>
          </w:tcPr>
          <w:p w14:paraId="00B974D9"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(0.664)</w:t>
            </w:r>
          </w:p>
        </w:tc>
        <w:tc>
          <w:tcPr>
            <w:tcW w:w="3532" w:type="dxa"/>
            <w:tcBorders>
              <w:top w:val="nil"/>
              <w:left w:val="nil"/>
              <w:bottom w:val="nil"/>
              <w:right w:val="nil"/>
            </w:tcBorders>
          </w:tcPr>
          <w:p w14:paraId="65C45CD5"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(-0.334)</w:t>
            </w:r>
          </w:p>
        </w:tc>
      </w:tr>
      <w:tr w:rsidR="005D6588" w:rsidRPr="00E3562B" w14:paraId="08093183" w14:textId="77777777" w:rsidTr="00294522">
        <w:trPr>
          <w:gridAfter w:val="1"/>
          <w:wAfter w:w="175" w:type="dxa"/>
          <w:trHeight w:val="263"/>
          <w:jc w:val="center"/>
        </w:trPr>
        <w:tc>
          <w:tcPr>
            <w:tcW w:w="1835" w:type="dxa"/>
            <w:tcBorders>
              <w:top w:val="nil"/>
              <w:left w:val="nil"/>
              <w:bottom w:val="nil"/>
              <w:right w:val="nil"/>
            </w:tcBorders>
          </w:tcPr>
          <w:p w14:paraId="23054A9A"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CSRCOM</w:t>
            </w:r>
          </w:p>
        </w:tc>
        <w:tc>
          <w:tcPr>
            <w:tcW w:w="3691" w:type="dxa"/>
            <w:gridSpan w:val="2"/>
            <w:tcBorders>
              <w:top w:val="nil"/>
              <w:left w:val="nil"/>
              <w:bottom w:val="nil"/>
              <w:right w:val="nil"/>
            </w:tcBorders>
          </w:tcPr>
          <w:p w14:paraId="1D0BBEC7"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-0.135</w:t>
            </w:r>
          </w:p>
        </w:tc>
        <w:tc>
          <w:tcPr>
            <w:tcW w:w="3532" w:type="dxa"/>
            <w:tcBorders>
              <w:top w:val="nil"/>
              <w:left w:val="nil"/>
              <w:bottom w:val="nil"/>
              <w:right w:val="nil"/>
            </w:tcBorders>
          </w:tcPr>
          <w:p w14:paraId="66A2A10C"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-1.162</w:t>
            </w:r>
          </w:p>
        </w:tc>
      </w:tr>
      <w:tr w:rsidR="005D6588" w:rsidRPr="00E3562B" w14:paraId="16D43FE4" w14:textId="77777777" w:rsidTr="00294522">
        <w:trPr>
          <w:gridAfter w:val="1"/>
          <w:wAfter w:w="175" w:type="dxa"/>
          <w:trHeight w:val="263"/>
          <w:jc w:val="center"/>
        </w:trPr>
        <w:tc>
          <w:tcPr>
            <w:tcW w:w="1835" w:type="dxa"/>
            <w:tcBorders>
              <w:top w:val="nil"/>
              <w:left w:val="nil"/>
              <w:bottom w:val="nil"/>
              <w:right w:val="nil"/>
            </w:tcBorders>
          </w:tcPr>
          <w:p w14:paraId="63BD347F" w14:textId="77777777" w:rsidR="00A60DA1" w:rsidRPr="00E3562B" w:rsidRDefault="00A60DA1" w:rsidP="00294522">
            <w:pPr>
              <w:spacing w:line="276" w:lineRule="auto"/>
              <w:jc w:val="left"/>
              <w:rPr>
                <w:rFonts w:asciiTheme="majorBidi" w:hAnsiTheme="majorBidi" w:cstheme="majorBidi"/>
                <w:sz w:val="22"/>
                <w:szCs w:val="22"/>
                <w:lang w:val="en-GB"/>
              </w:rPr>
            </w:pPr>
          </w:p>
        </w:tc>
        <w:tc>
          <w:tcPr>
            <w:tcW w:w="3691" w:type="dxa"/>
            <w:gridSpan w:val="2"/>
            <w:tcBorders>
              <w:top w:val="nil"/>
              <w:left w:val="nil"/>
              <w:bottom w:val="nil"/>
              <w:right w:val="nil"/>
            </w:tcBorders>
          </w:tcPr>
          <w:p w14:paraId="6C93D808"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(-0.049)</w:t>
            </w:r>
          </w:p>
        </w:tc>
        <w:tc>
          <w:tcPr>
            <w:tcW w:w="3532" w:type="dxa"/>
            <w:tcBorders>
              <w:top w:val="nil"/>
              <w:left w:val="nil"/>
              <w:bottom w:val="nil"/>
              <w:right w:val="nil"/>
            </w:tcBorders>
          </w:tcPr>
          <w:p w14:paraId="7ED39A52"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(-0.385)</w:t>
            </w:r>
          </w:p>
        </w:tc>
      </w:tr>
      <w:tr w:rsidR="005D6588" w:rsidRPr="00E3562B" w14:paraId="52748A74" w14:textId="77777777" w:rsidTr="00294522">
        <w:trPr>
          <w:gridAfter w:val="1"/>
          <w:wAfter w:w="175" w:type="dxa"/>
          <w:trHeight w:val="263"/>
          <w:jc w:val="center"/>
        </w:trPr>
        <w:tc>
          <w:tcPr>
            <w:tcW w:w="1835" w:type="dxa"/>
            <w:tcBorders>
              <w:top w:val="nil"/>
              <w:left w:val="nil"/>
              <w:bottom w:val="nil"/>
              <w:right w:val="nil"/>
            </w:tcBorders>
          </w:tcPr>
          <w:p w14:paraId="67A3CA4B" w14:textId="77777777" w:rsidR="00A60DA1" w:rsidRPr="00E3562B" w:rsidRDefault="00A60DA1" w:rsidP="00294522">
            <w:pPr>
              <w:spacing w:line="276" w:lineRule="auto"/>
              <w:jc w:val="left"/>
              <w:rPr>
                <w:rFonts w:asciiTheme="majorBidi" w:hAnsiTheme="majorBidi" w:cstheme="majorBidi"/>
                <w:iCs/>
                <w:sz w:val="22"/>
                <w:szCs w:val="22"/>
                <w:lang w:val="en-GB"/>
              </w:rPr>
            </w:pPr>
            <w:r w:rsidRPr="00E3562B">
              <w:rPr>
                <w:rFonts w:asciiTheme="majorBidi" w:hAnsiTheme="majorBidi" w:cstheme="majorBidi"/>
                <w:iCs/>
                <w:sz w:val="22"/>
                <w:szCs w:val="22"/>
                <w:lang w:val="en-GB"/>
              </w:rPr>
              <w:t>YEAR</w:t>
            </w:r>
          </w:p>
        </w:tc>
        <w:tc>
          <w:tcPr>
            <w:tcW w:w="3691" w:type="dxa"/>
            <w:gridSpan w:val="2"/>
            <w:tcBorders>
              <w:top w:val="nil"/>
              <w:left w:val="nil"/>
              <w:bottom w:val="nil"/>
              <w:right w:val="nil"/>
            </w:tcBorders>
          </w:tcPr>
          <w:p w14:paraId="11948F7E"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 xml:space="preserve">Yes   </w:t>
            </w:r>
          </w:p>
        </w:tc>
        <w:tc>
          <w:tcPr>
            <w:tcW w:w="3532" w:type="dxa"/>
            <w:tcBorders>
              <w:top w:val="nil"/>
              <w:left w:val="nil"/>
              <w:bottom w:val="nil"/>
              <w:right w:val="nil"/>
            </w:tcBorders>
          </w:tcPr>
          <w:p w14:paraId="0B518C00"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 xml:space="preserve">Yes   </w:t>
            </w:r>
          </w:p>
        </w:tc>
      </w:tr>
      <w:tr w:rsidR="005D6588" w:rsidRPr="00E3562B" w14:paraId="375F2994" w14:textId="77777777" w:rsidTr="00294522">
        <w:trPr>
          <w:gridAfter w:val="1"/>
          <w:wAfter w:w="175" w:type="dxa"/>
          <w:trHeight w:val="263"/>
          <w:jc w:val="center"/>
        </w:trPr>
        <w:tc>
          <w:tcPr>
            <w:tcW w:w="1835" w:type="dxa"/>
            <w:tcBorders>
              <w:top w:val="nil"/>
              <w:left w:val="nil"/>
              <w:bottom w:val="nil"/>
              <w:right w:val="nil"/>
            </w:tcBorders>
          </w:tcPr>
          <w:p w14:paraId="5BF075A8"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Constant </w:t>
            </w:r>
          </w:p>
        </w:tc>
        <w:tc>
          <w:tcPr>
            <w:tcW w:w="3691" w:type="dxa"/>
            <w:gridSpan w:val="2"/>
            <w:tcBorders>
              <w:top w:val="nil"/>
              <w:left w:val="nil"/>
              <w:bottom w:val="nil"/>
              <w:right w:val="nil"/>
            </w:tcBorders>
          </w:tcPr>
          <w:p w14:paraId="32DE8EFD"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1.019</w:t>
            </w:r>
          </w:p>
        </w:tc>
        <w:tc>
          <w:tcPr>
            <w:tcW w:w="3532" w:type="dxa"/>
            <w:tcBorders>
              <w:top w:val="nil"/>
              <w:left w:val="nil"/>
              <w:bottom w:val="nil"/>
              <w:right w:val="nil"/>
            </w:tcBorders>
          </w:tcPr>
          <w:p w14:paraId="1F205B66"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6.173</w:t>
            </w:r>
          </w:p>
        </w:tc>
      </w:tr>
      <w:tr w:rsidR="005D6588" w:rsidRPr="00E3562B" w14:paraId="6981CBC5" w14:textId="77777777" w:rsidTr="00294522">
        <w:trPr>
          <w:gridAfter w:val="1"/>
          <w:wAfter w:w="175" w:type="dxa"/>
          <w:trHeight w:val="263"/>
          <w:jc w:val="center"/>
        </w:trPr>
        <w:tc>
          <w:tcPr>
            <w:tcW w:w="1835" w:type="dxa"/>
            <w:tcBorders>
              <w:top w:val="nil"/>
              <w:left w:val="nil"/>
              <w:bottom w:val="nil"/>
              <w:right w:val="nil"/>
            </w:tcBorders>
          </w:tcPr>
          <w:p w14:paraId="58CADE38"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 xml:space="preserve"> </w:t>
            </w:r>
          </w:p>
        </w:tc>
        <w:tc>
          <w:tcPr>
            <w:tcW w:w="3691" w:type="dxa"/>
            <w:gridSpan w:val="2"/>
            <w:tcBorders>
              <w:top w:val="nil"/>
              <w:left w:val="nil"/>
              <w:bottom w:val="nil"/>
              <w:right w:val="nil"/>
            </w:tcBorders>
          </w:tcPr>
          <w:p w14:paraId="79BBE0CF"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(0.066)</w:t>
            </w:r>
          </w:p>
        </w:tc>
        <w:tc>
          <w:tcPr>
            <w:tcW w:w="3532" w:type="dxa"/>
            <w:tcBorders>
              <w:top w:val="nil"/>
              <w:left w:val="nil"/>
              <w:bottom w:val="nil"/>
              <w:right w:val="nil"/>
            </w:tcBorders>
          </w:tcPr>
          <w:p w14:paraId="37AC5691" w14:textId="77777777" w:rsidR="00A60DA1" w:rsidRPr="00E3562B" w:rsidRDefault="00A60DA1" w:rsidP="00294522">
            <w:pPr>
              <w:spacing w:line="276" w:lineRule="auto"/>
              <w:jc w:val="right"/>
              <w:rPr>
                <w:rFonts w:asciiTheme="majorBidi" w:hAnsiTheme="majorBidi" w:cstheme="majorBidi"/>
                <w:sz w:val="22"/>
                <w:szCs w:val="22"/>
                <w:lang w:val="en-GB" w:eastAsia="en-GB"/>
              </w:rPr>
            </w:pPr>
            <w:r w:rsidRPr="00E3562B">
              <w:rPr>
                <w:rFonts w:asciiTheme="majorBidi" w:hAnsiTheme="majorBidi" w:cstheme="majorBidi"/>
                <w:sz w:val="22"/>
                <w:szCs w:val="22"/>
                <w:lang w:val="en-GB" w:eastAsia="en-GB"/>
              </w:rPr>
              <w:t>(0.530)</w:t>
            </w:r>
          </w:p>
        </w:tc>
      </w:tr>
      <w:tr w:rsidR="005D6588" w:rsidRPr="00E3562B" w14:paraId="1CF89142" w14:textId="77777777" w:rsidTr="00294522">
        <w:trPr>
          <w:gridAfter w:val="1"/>
          <w:wAfter w:w="176" w:type="dxa"/>
          <w:trHeight w:val="263"/>
          <w:jc w:val="center"/>
        </w:trPr>
        <w:tc>
          <w:tcPr>
            <w:tcW w:w="2302" w:type="dxa"/>
            <w:gridSpan w:val="2"/>
            <w:tcBorders>
              <w:top w:val="nil"/>
              <w:left w:val="nil"/>
              <w:right w:val="nil"/>
            </w:tcBorders>
          </w:tcPr>
          <w:p w14:paraId="33732F44"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No. of observations</w:t>
            </w:r>
          </w:p>
        </w:tc>
        <w:tc>
          <w:tcPr>
            <w:tcW w:w="3223" w:type="dxa"/>
            <w:tcBorders>
              <w:top w:val="nil"/>
              <w:left w:val="nil"/>
              <w:bottom w:val="nil"/>
              <w:right w:val="nil"/>
            </w:tcBorders>
          </w:tcPr>
          <w:p w14:paraId="64E9105A"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eastAsia="en-GB"/>
              </w:rPr>
              <w:t>146</w:t>
            </w:r>
          </w:p>
        </w:tc>
        <w:tc>
          <w:tcPr>
            <w:tcW w:w="3532" w:type="dxa"/>
            <w:tcBorders>
              <w:top w:val="nil"/>
              <w:left w:val="nil"/>
              <w:bottom w:val="nil"/>
              <w:right w:val="nil"/>
            </w:tcBorders>
          </w:tcPr>
          <w:p w14:paraId="5C2545EE"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eastAsia="en-GB"/>
              </w:rPr>
              <w:t>248</w:t>
            </w:r>
          </w:p>
        </w:tc>
      </w:tr>
      <w:tr w:rsidR="005D6588" w:rsidRPr="00E3562B" w14:paraId="6D8ABFA2" w14:textId="77777777" w:rsidTr="00294522">
        <w:trPr>
          <w:gridAfter w:val="1"/>
          <w:wAfter w:w="176" w:type="dxa"/>
          <w:trHeight w:val="263"/>
          <w:jc w:val="center"/>
        </w:trPr>
        <w:tc>
          <w:tcPr>
            <w:tcW w:w="2302" w:type="dxa"/>
            <w:gridSpan w:val="2"/>
            <w:tcBorders>
              <w:top w:val="nil"/>
              <w:left w:val="nil"/>
              <w:bottom w:val="single" w:sz="4" w:space="0" w:color="auto"/>
              <w:right w:val="nil"/>
            </w:tcBorders>
          </w:tcPr>
          <w:p w14:paraId="06E943A2" w14:textId="77777777" w:rsidR="00A60DA1" w:rsidRPr="00E3562B" w:rsidRDefault="00A60DA1" w:rsidP="00294522">
            <w:pPr>
              <w:spacing w:line="276" w:lineRule="auto"/>
              <w:jc w:val="left"/>
              <w:rPr>
                <w:rFonts w:asciiTheme="majorBidi" w:hAnsiTheme="majorBidi" w:cstheme="majorBidi"/>
                <w:sz w:val="22"/>
                <w:szCs w:val="22"/>
                <w:lang w:val="en-GB"/>
              </w:rPr>
            </w:pPr>
            <w:r w:rsidRPr="00E3562B">
              <w:rPr>
                <w:rFonts w:asciiTheme="majorBidi" w:hAnsiTheme="majorBidi" w:cstheme="majorBidi"/>
                <w:sz w:val="22"/>
                <w:szCs w:val="22"/>
                <w:lang w:val="en-GB"/>
              </w:rPr>
              <w:t>Adj. R</w:t>
            </w:r>
            <w:r w:rsidRPr="00E3562B">
              <w:rPr>
                <w:rFonts w:asciiTheme="majorBidi" w:hAnsiTheme="majorBidi" w:cstheme="majorBidi"/>
                <w:sz w:val="22"/>
                <w:szCs w:val="22"/>
                <w:vertAlign w:val="superscript"/>
                <w:lang w:val="en-GB"/>
              </w:rPr>
              <w:t>2</w:t>
            </w:r>
          </w:p>
        </w:tc>
        <w:tc>
          <w:tcPr>
            <w:tcW w:w="3223" w:type="dxa"/>
            <w:tcBorders>
              <w:top w:val="nil"/>
              <w:left w:val="nil"/>
              <w:bottom w:val="single" w:sz="6" w:space="0" w:color="auto"/>
              <w:right w:val="nil"/>
            </w:tcBorders>
          </w:tcPr>
          <w:p w14:paraId="3DD4493C"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eastAsia="en-GB"/>
              </w:rPr>
              <w:t>0.197</w:t>
            </w:r>
          </w:p>
        </w:tc>
        <w:tc>
          <w:tcPr>
            <w:tcW w:w="3532" w:type="dxa"/>
            <w:tcBorders>
              <w:top w:val="nil"/>
              <w:left w:val="nil"/>
              <w:bottom w:val="single" w:sz="6" w:space="0" w:color="auto"/>
              <w:right w:val="nil"/>
            </w:tcBorders>
          </w:tcPr>
          <w:p w14:paraId="140A6328" w14:textId="77777777" w:rsidR="00A60DA1" w:rsidRPr="00E3562B" w:rsidRDefault="00A60DA1" w:rsidP="00294522">
            <w:pPr>
              <w:spacing w:line="276" w:lineRule="auto"/>
              <w:jc w:val="right"/>
              <w:rPr>
                <w:rFonts w:asciiTheme="majorBidi" w:hAnsiTheme="majorBidi" w:cstheme="majorBidi"/>
                <w:sz w:val="22"/>
                <w:szCs w:val="22"/>
                <w:lang w:val="en-GB"/>
              </w:rPr>
            </w:pPr>
            <w:r w:rsidRPr="00E3562B">
              <w:rPr>
                <w:rFonts w:asciiTheme="majorBidi" w:hAnsiTheme="majorBidi" w:cstheme="majorBidi"/>
                <w:sz w:val="22"/>
                <w:szCs w:val="22"/>
                <w:lang w:val="en-GB" w:eastAsia="en-GB"/>
              </w:rPr>
              <w:t>0.204</w:t>
            </w:r>
          </w:p>
        </w:tc>
      </w:tr>
    </w:tbl>
    <w:p w14:paraId="7EE69C57" w14:textId="77777777" w:rsidR="00A60DA1" w:rsidRPr="00E3562B" w:rsidRDefault="00A60DA1" w:rsidP="00A60DA1">
      <w:pPr>
        <w:spacing w:line="240" w:lineRule="auto"/>
        <w:jc w:val="left"/>
        <w:rPr>
          <w:i/>
          <w:iCs/>
          <w:sz w:val="20"/>
          <w:lang w:val="en-GB"/>
        </w:rPr>
      </w:pPr>
      <w:r w:rsidRPr="00E3562B">
        <w:rPr>
          <w:i/>
          <w:iCs/>
          <w:sz w:val="20"/>
          <w:lang w:val="en-GB"/>
        </w:rPr>
        <w:t>Note: Detailed definitions of all variables are available in Table 2. t-statistics are provided in parentheses. *p &lt; 0.10.**p &lt; 0.05.***p &lt; 0.01.</w:t>
      </w:r>
    </w:p>
    <w:p w14:paraId="7008A46C" w14:textId="77777777" w:rsidR="00A60DA1" w:rsidRPr="00E3562B" w:rsidRDefault="00A60DA1" w:rsidP="00A60DA1">
      <w:pPr>
        <w:pStyle w:val="NormalWeb"/>
        <w:spacing w:before="0" w:beforeAutospacing="0"/>
        <w:contextualSpacing/>
        <w:rPr>
          <w:lang w:val="en-GB"/>
        </w:rPr>
      </w:pPr>
    </w:p>
    <w:p w14:paraId="1698B5F4" w14:textId="77777777" w:rsidR="00A60DA1" w:rsidRPr="00E3562B" w:rsidRDefault="00A60DA1" w:rsidP="00A60DA1">
      <w:pPr>
        <w:spacing w:line="240" w:lineRule="auto"/>
        <w:jc w:val="left"/>
        <w:rPr>
          <w:i/>
          <w:iCs/>
          <w:szCs w:val="24"/>
          <w:lang w:val="en-GB"/>
        </w:rPr>
      </w:pPr>
      <w:r w:rsidRPr="00E3562B">
        <w:rPr>
          <w:i/>
          <w:iCs/>
          <w:szCs w:val="24"/>
          <w:lang w:val="en-GB"/>
        </w:rPr>
        <w:br w:type="page"/>
      </w:r>
    </w:p>
    <w:p w14:paraId="7B8908B6" w14:textId="77777777" w:rsidR="00A60DA1" w:rsidRPr="00E3562B" w:rsidRDefault="00A60DA1" w:rsidP="00A60DA1">
      <w:pPr>
        <w:spacing w:line="240" w:lineRule="auto"/>
        <w:rPr>
          <w:szCs w:val="24"/>
          <w:lang w:val="en-GB"/>
        </w:rPr>
      </w:pPr>
      <w:r w:rsidRPr="00E3562B">
        <w:rPr>
          <w:b/>
          <w:bCs/>
          <w:szCs w:val="24"/>
          <w:lang w:val="en-GB"/>
        </w:rPr>
        <w:lastRenderedPageBreak/>
        <w:t>Table 10.</w:t>
      </w:r>
      <w:r w:rsidRPr="00E3562B">
        <w:rPr>
          <w:szCs w:val="24"/>
          <w:lang w:val="en-GB"/>
        </w:rPr>
        <w:t xml:space="preserve"> Robustness checks</w:t>
      </w:r>
    </w:p>
    <w:p w14:paraId="53201B5D" w14:textId="77777777" w:rsidR="00A60DA1" w:rsidRPr="00E3562B" w:rsidRDefault="00A60DA1" w:rsidP="00A60DA1">
      <w:pPr>
        <w:spacing w:line="240" w:lineRule="auto"/>
        <w:rPr>
          <w:i/>
          <w:iCs/>
          <w:szCs w:val="24"/>
          <w:lang w:val="en-GB"/>
        </w:rPr>
      </w:pP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276"/>
        <w:gridCol w:w="1418"/>
        <w:gridCol w:w="1417"/>
        <w:gridCol w:w="1418"/>
        <w:gridCol w:w="1417"/>
      </w:tblGrid>
      <w:tr w:rsidR="005D6588" w:rsidRPr="00E3562B" w14:paraId="0D20E5B2" w14:textId="77777777" w:rsidTr="00294522">
        <w:trPr>
          <w:trHeight w:val="249"/>
        </w:trPr>
        <w:tc>
          <w:tcPr>
            <w:tcW w:w="2268" w:type="dxa"/>
            <w:tcBorders>
              <w:top w:val="single" w:sz="4" w:space="0" w:color="auto"/>
            </w:tcBorders>
          </w:tcPr>
          <w:p w14:paraId="11C69255" w14:textId="77777777" w:rsidR="00A60DA1" w:rsidRPr="00E3562B" w:rsidRDefault="00A60DA1" w:rsidP="00294522">
            <w:pPr>
              <w:spacing w:line="240" w:lineRule="auto"/>
              <w:rPr>
                <w:rFonts w:asciiTheme="majorBidi" w:hAnsiTheme="majorBidi" w:cstheme="majorBidi"/>
                <w:szCs w:val="22"/>
              </w:rPr>
            </w:pPr>
            <w:r w:rsidRPr="00E3562B">
              <w:rPr>
                <w:rFonts w:asciiTheme="majorBidi" w:hAnsiTheme="majorBidi" w:cstheme="majorBidi"/>
                <w:szCs w:val="22"/>
              </w:rPr>
              <w:t xml:space="preserve">Variables </w:t>
            </w:r>
          </w:p>
        </w:tc>
        <w:tc>
          <w:tcPr>
            <w:tcW w:w="1276" w:type="dxa"/>
            <w:tcBorders>
              <w:top w:val="single" w:sz="4" w:space="0" w:color="auto"/>
              <w:bottom w:val="single" w:sz="4" w:space="0" w:color="auto"/>
            </w:tcBorders>
          </w:tcPr>
          <w:p w14:paraId="09E88EAA" w14:textId="77777777" w:rsidR="00A60DA1" w:rsidRPr="00E3562B" w:rsidRDefault="00A60DA1" w:rsidP="00294522">
            <w:pPr>
              <w:spacing w:line="240" w:lineRule="auto"/>
              <w:jc w:val="left"/>
              <w:rPr>
                <w:rFonts w:asciiTheme="majorBidi" w:hAnsiTheme="majorBidi" w:cstheme="majorBidi"/>
                <w:szCs w:val="22"/>
              </w:rPr>
            </w:pPr>
          </w:p>
        </w:tc>
        <w:tc>
          <w:tcPr>
            <w:tcW w:w="5670" w:type="dxa"/>
            <w:gridSpan w:val="4"/>
            <w:tcBorders>
              <w:top w:val="single" w:sz="4" w:space="0" w:color="auto"/>
              <w:bottom w:val="single" w:sz="4" w:space="0" w:color="auto"/>
            </w:tcBorders>
          </w:tcPr>
          <w:p w14:paraId="39B5C3AF"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Dependent variable: MSDI</w:t>
            </w:r>
          </w:p>
        </w:tc>
      </w:tr>
      <w:tr w:rsidR="005D6588" w:rsidRPr="00E3562B" w14:paraId="27292FAF" w14:textId="77777777" w:rsidTr="00294522">
        <w:trPr>
          <w:trHeight w:val="267"/>
        </w:trPr>
        <w:tc>
          <w:tcPr>
            <w:tcW w:w="2268" w:type="dxa"/>
            <w:tcBorders>
              <w:bottom w:val="single" w:sz="4" w:space="0" w:color="auto"/>
            </w:tcBorders>
          </w:tcPr>
          <w:p w14:paraId="42189E54" w14:textId="77777777" w:rsidR="00A60DA1" w:rsidRPr="00E3562B" w:rsidRDefault="00A60DA1" w:rsidP="00294522">
            <w:pPr>
              <w:spacing w:line="240" w:lineRule="auto"/>
              <w:rPr>
                <w:rFonts w:asciiTheme="majorBidi" w:hAnsiTheme="majorBidi" w:cstheme="majorBidi"/>
                <w:szCs w:val="22"/>
              </w:rPr>
            </w:pPr>
            <w:r w:rsidRPr="00E3562B">
              <w:rPr>
                <w:rFonts w:asciiTheme="majorBidi" w:hAnsiTheme="majorBidi" w:cstheme="majorBidi"/>
                <w:szCs w:val="22"/>
              </w:rPr>
              <w:t>(Model)</w:t>
            </w:r>
          </w:p>
        </w:tc>
        <w:tc>
          <w:tcPr>
            <w:tcW w:w="1276" w:type="dxa"/>
            <w:tcBorders>
              <w:top w:val="single" w:sz="4" w:space="0" w:color="auto"/>
              <w:bottom w:val="single" w:sz="4" w:space="0" w:color="auto"/>
            </w:tcBorders>
          </w:tcPr>
          <w:p w14:paraId="457ECCFD"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 Alternative measure</w:t>
            </w:r>
          </w:p>
        </w:tc>
        <w:tc>
          <w:tcPr>
            <w:tcW w:w="1418" w:type="dxa"/>
            <w:tcBorders>
              <w:top w:val="single" w:sz="4" w:space="0" w:color="auto"/>
              <w:bottom w:val="single" w:sz="4" w:space="0" w:color="auto"/>
            </w:tcBorders>
          </w:tcPr>
          <w:p w14:paraId="2C8AE2E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(2) </w:t>
            </w:r>
          </w:p>
          <w:p w14:paraId="672F54FD"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2SLS</w:t>
            </w:r>
          </w:p>
        </w:tc>
        <w:tc>
          <w:tcPr>
            <w:tcW w:w="1417" w:type="dxa"/>
            <w:tcBorders>
              <w:top w:val="single" w:sz="4" w:space="0" w:color="auto"/>
              <w:bottom w:val="single" w:sz="4" w:space="0" w:color="auto"/>
            </w:tcBorders>
          </w:tcPr>
          <w:p w14:paraId="1DDC5A09"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(3) </w:t>
            </w:r>
          </w:p>
          <w:p w14:paraId="2976C2DE"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2SLS</w:t>
            </w:r>
          </w:p>
        </w:tc>
        <w:tc>
          <w:tcPr>
            <w:tcW w:w="1418" w:type="dxa"/>
            <w:tcBorders>
              <w:top w:val="single" w:sz="4" w:space="0" w:color="auto"/>
              <w:bottom w:val="single" w:sz="4" w:space="0" w:color="auto"/>
            </w:tcBorders>
          </w:tcPr>
          <w:p w14:paraId="4C1E8FF2"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(4) </w:t>
            </w:r>
          </w:p>
          <w:p w14:paraId="4B8513D3"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GMM</w:t>
            </w:r>
          </w:p>
        </w:tc>
        <w:tc>
          <w:tcPr>
            <w:tcW w:w="1417" w:type="dxa"/>
            <w:tcBorders>
              <w:top w:val="single" w:sz="4" w:space="0" w:color="auto"/>
              <w:bottom w:val="single" w:sz="4" w:space="0" w:color="auto"/>
            </w:tcBorders>
          </w:tcPr>
          <w:p w14:paraId="4B56687B"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(5) </w:t>
            </w:r>
          </w:p>
          <w:p w14:paraId="4CF326ED"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GMM</w:t>
            </w:r>
          </w:p>
        </w:tc>
      </w:tr>
      <w:tr w:rsidR="005D6588" w:rsidRPr="00E3562B" w14:paraId="5FE2858F" w14:textId="77777777" w:rsidTr="00294522">
        <w:trPr>
          <w:trHeight w:val="249"/>
        </w:trPr>
        <w:tc>
          <w:tcPr>
            <w:tcW w:w="2268" w:type="dxa"/>
            <w:tcBorders>
              <w:top w:val="single" w:sz="4" w:space="0" w:color="auto"/>
            </w:tcBorders>
          </w:tcPr>
          <w:p w14:paraId="72172164"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 xml:space="preserve">Lagged MSDI  </w:t>
            </w:r>
          </w:p>
        </w:tc>
        <w:tc>
          <w:tcPr>
            <w:tcW w:w="1276" w:type="dxa"/>
            <w:tcBorders>
              <w:top w:val="single" w:sz="4" w:space="0" w:color="auto"/>
            </w:tcBorders>
          </w:tcPr>
          <w:p w14:paraId="7C68EAD7" w14:textId="77777777" w:rsidR="00A60DA1" w:rsidRPr="00E3562B" w:rsidRDefault="00A60DA1" w:rsidP="00294522">
            <w:pPr>
              <w:spacing w:line="240" w:lineRule="auto"/>
              <w:jc w:val="right"/>
              <w:rPr>
                <w:rFonts w:asciiTheme="majorBidi" w:hAnsiTheme="majorBidi" w:cstheme="majorBidi"/>
                <w:szCs w:val="22"/>
              </w:rPr>
            </w:pPr>
          </w:p>
        </w:tc>
        <w:tc>
          <w:tcPr>
            <w:tcW w:w="1418" w:type="dxa"/>
            <w:tcBorders>
              <w:top w:val="single" w:sz="4" w:space="0" w:color="auto"/>
            </w:tcBorders>
          </w:tcPr>
          <w:p w14:paraId="60064180" w14:textId="77777777" w:rsidR="00A60DA1" w:rsidRPr="00E3562B" w:rsidRDefault="00A60DA1" w:rsidP="00294522">
            <w:pPr>
              <w:spacing w:line="240" w:lineRule="auto"/>
              <w:jc w:val="right"/>
              <w:rPr>
                <w:rFonts w:asciiTheme="majorBidi" w:hAnsiTheme="majorBidi" w:cstheme="majorBidi"/>
                <w:szCs w:val="22"/>
              </w:rPr>
            </w:pPr>
          </w:p>
        </w:tc>
        <w:tc>
          <w:tcPr>
            <w:tcW w:w="1417" w:type="dxa"/>
            <w:tcBorders>
              <w:top w:val="single" w:sz="4" w:space="0" w:color="auto"/>
            </w:tcBorders>
          </w:tcPr>
          <w:p w14:paraId="6B0BAE07" w14:textId="77777777" w:rsidR="00A60DA1" w:rsidRPr="00E3562B" w:rsidRDefault="00A60DA1" w:rsidP="00294522">
            <w:pPr>
              <w:spacing w:line="240" w:lineRule="auto"/>
              <w:jc w:val="right"/>
              <w:rPr>
                <w:rFonts w:asciiTheme="majorBidi" w:hAnsiTheme="majorBidi" w:cstheme="majorBidi"/>
                <w:szCs w:val="22"/>
              </w:rPr>
            </w:pPr>
          </w:p>
        </w:tc>
        <w:tc>
          <w:tcPr>
            <w:tcW w:w="1418" w:type="dxa"/>
            <w:tcBorders>
              <w:top w:val="nil"/>
              <w:left w:val="nil"/>
              <w:bottom w:val="nil"/>
              <w:right w:val="nil"/>
            </w:tcBorders>
          </w:tcPr>
          <w:p w14:paraId="3A203D47"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3.406*</w:t>
            </w:r>
          </w:p>
        </w:tc>
        <w:tc>
          <w:tcPr>
            <w:tcW w:w="1417" w:type="dxa"/>
            <w:tcBorders>
              <w:top w:val="nil"/>
              <w:left w:val="nil"/>
              <w:bottom w:val="nil"/>
              <w:right w:val="nil"/>
            </w:tcBorders>
          </w:tcPr>
          <w:p w14:paraId="01DB94A7"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8.913*</w:t>
            </w:r>
          </w:p>
        </w:tc>
      </w:tr>
      <w:tr w:rsidR="005D6588" w:rsidRPr="00E3562B" w14:paraId="75A40D1A" w14:textId="77777777" w:rsidTr="00294522">
        <w:trPr>
          <w:trHeight w:val="249"/>
        </w:trPr>
        <w:tc>
          <w:tcPr>
            <w:tcW w:w="2268" w:type="dxa"/>
          </w:tcPr>
          <w:p w14:paraId="102AB651" w14:textId="77777777" w:rsidR="00A60DA1" w:rsidRPr="00E3562B" w:rsidRDefault="00A60DA1" w:rsidP="00294522">
            <w:pPr>
              <w:spacing w:line="240" w:lineRule="auto"/>
              <w:jc w:val="left"/>
              <w:rPr>
                <w:rFonts w:asciiTheme="majorBidi" w:hAnsiTheme="majorBidi" w:cstheme="majorBidi"/>
                <w:szCs w:val="22"/>
              </w:rPr>
            </w:pPr>
          </w:p>
        </w:tc>
        <w:tc>
          <w:tcPr>
            <w:tcW w:w="1276" w:type="dxa"/>
          </w:tcPr>
          <w:p w14:paraId="51A0F31A" w14:textId="77777777" w:rsidR="00A60DA1" w:rsidRPr="00E3562B" w:rsidRDefault="00A60DA1" w:rsidP="00294522">
            <w:pPr>
              <w:spacing w:line="240" w:lineRule="auto"/>
              <w:jc w:val="right"/>
              <w:rPr>
                <w:rFonts w:asciiTheme="majorBidi" w:hAnsiTheme="majorBidi" w:cstheme="majorBidi"/>
                <w:szCs w:val="22"/>
              </w:rPr>
            </w:pPr>
          </w:p>
        </w:tc>
        <w:tc>
          <w:tcPr>
            <w:tcW w:w="1418" w:type="dxa"/>
          </w:tcPr>
          <w:p w14:paraId="269B16B2" w14:textId="77777777" w:rsidR="00A60DA1" w:rsidRPr="00E3562B" w:rsidRDefault="00A60DA1" w:rsidP="00294522">
            <w:pPr>
              <w:spacing w:line="240" w:lineRule="auto"/>
              <w:jc w:val="right"/>
              <w:rPr>
                <w:rFonts w:asciiTheme="majorBidi" w:hAnsiTheme="majorBidi" w:cstheme="majorBidi"/>
                <w:szCs w:val="22"/>
              </w:rPr>
            </w:pPr>
          </w:p>
        </w:tc>
        <w:tc>
          <w:tcPr>
            <w:tcW w:w="1417" w:type="dxa"/>
          </w:tcPr>
          <w:p w14:paraId="26C273DF" w14:textId="77777777" w:rsidR="00A60DA1" w:rsidRPr="00E3562B" w:rsidRDefault="00A60DA1" w:rsidP="00294522">
            <w:pPr>
              <w:spacing w:line="240" w:lineRule="auto"/>
              <w:jc w:val="right"/>
              <w:rPr>
                <w:rFonts w:asciiTheme="majorBidi" w:hAnsiTheme="majorBidi" w:cstheme="majorBidi"/>
                <w:szCs w:val="22"/>
              </w:rPr>
            </w:pPr>
          </w:p>
        </w:tc>
        <w:tc>
          <w:tcPr>
            <w:tcW w:w="1418" w:type="dxa"/>
            <w:tcBorders>
              <w:top w:val="nil"/>
              <w:left w:val="nil"/>
              <w:bottom w:val="nil"/>
              <w:right w:val="nil"/>
            </w:tcBorders>
          </w:tcPr>
          <w:p w14:paraId="0CE3F740"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(1.724)</w:t>
            </w:r>
          </w:p>
        </w:tc>
        <w:tc>
          <w:tcPr>
            <w:tcW w:w="1417" w:type="dxa"/>
            <w:tcBorders>
              <w:top w:val="nil"/>
              <w:left w:val="nil"/>
              <w:bottom w:val="nil"/>
              <w:right w:val="nil"/>
            </w:tcBorders>
          </w:tcPr>
          <w:p w14:paraId="2090FF6F"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(2.058)</w:t>
            </w:r>
          </w:p>
        </w:tc>
      </w:tr>
      <w:tr w:rsidR="005D6588" w:rsidRPr="00E3562B" w14:paraId="13A92A4B" w14:textId="77777777" w:rsidTr="00294522">
        <w:trPr>
          <w:trHeight w:val="249"/>
        </w:trPr>
        <w:tc>
          <w:tcPr>
            <w:tcW w:w="2268" w:type="dxa"/>
          </w:tcPr>
          <w:p w14:paraId="31979F19"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CEOP</w:t>
            </w:r>
          </w:p>
        </w:tc>
        <w:tc>
          <w:tcPr>
            <w:tcW w:w="1276" w:type="dxa"/>
            <w:tcBorders>
              <w:top w:val="nil"/>
              <w:left w:val="nil"/>
              <w:bottom w:val="nil"/>
              <w:right w:val="nil"/>
            </w:tcBorders>
          </w:tcPr>
          <w:p w14:paraId="20BF5747"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-14.52***</w:t>
            </w:r>
          </w:p>
        </w:tc>
        <w:tc>
          <w:tcPr>
            <w:tcW w:w="1418" w:type="dxa"/>
          </w:tcPr>
          <w:p w14:paraId="6784066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-2.721**</w:t>
            </w:r>
          </w:p>
        </w:tc>
        <w:tc>
          <w:tcPr>
            <w:tcW w:w="1417" w:type="dxa"/>
            <w:tcBorders>
              <w:top w:val="nil"/>
              <w:left w:val="nil"/>
              <w:bottom w:val="nil"/>
              <w:right w:val="nil"/>
            </w:tcBorders>
          </w:tcPr>
          <w:p w14:paraId="4EF74FF3"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-2.572*</w:t>
            </w:r>
          </w:p>
        </w:tc>
        <w:tc>
          <w:tcPr>
            <w:tcW w:w="1418" w:type="dxa"/>
            <w:tcBorders>
              <w:top w:val="nil"/>
              <w:left w:val="nil"/>
              <w:bottom w:val="nil"/>
              <w:right w:val="nil"/>
            </w:tcBorders>
          </w:tcPr>
          <w:p w14:paraId="00C2FAA4"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-6.762**</w:t>
            </w:r>
          </w:p>
        </w:tc>
        <w:tc>
          <w:tcPr>
            <w:tcW w:w="1417" w:type="dxa"/>
            <w:tcBorders>
              <w:top w:val="nil"/>
              <w:left w:val="nil"/>
              <w:bottom w:val="nil"/>
              <w:right w:val="nil"/>
            </w:tcBorders>
          </w:tcPr>
          <w:p w14:paraId="5316257E"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-16.63***</w:t>
            </w:r>
          </w:p>
        </w:tc>
      </w:tr>
      <w:tr w:rsidR="005D6588" w:rsidRPr="00E3562B" w14:paraId="1796304E" w14:textId="77777777" w:rsidTr="00294522">
        <w:trPr>
          <w:trHeight w:val="249"/>
        </w:trPr>
        <w:tc>
          <w:tcPr>
            <w:tcW w:w="2268" w:type="dxa"/>
          </w:tcPr>
          <w:p w14:paraId="5BC8442E" w14:textId="77777777" w:rsidR="00A60DA1" w:rsidRPr="00E3562B" w:rsidRDefault="00A60DA1" w:rsidP="00294522">
            <w:pPr>
              <w:spacing w:line="240" w:lineRule="auto"/>
              <w:jc w:val="left"/>
              <w:rPr>
                <w:rFonts w:asciiTheme="majorBidi" w:hAnsiTheme="majorBidi" w:cstheme="majorBidi"/>
                <w:szCs w:val="22"/>
              </w:rPr>
            </w:pPr>
          </w:p>
        </w:tc>
        <w:tc>
          <w:tcPr>
            <w:tcW w:w="1276" w:type="dxa"/>
            <w:tcBorders>
              <w:top w:val="nil"/>
              <w:left w:val="nil"/>
              <w:bottom w:val="nil"/>
              <w:right w:val="nil"/>
            </w:tcBorders>
          </w:tcPr>
          <w:p w14:paraId="2CEC76BF"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(-2.868)</w:t>
            </w:r>
          </w:p>
        </w:tc>
        <w:tc>
          <w:tcPr>
            <w:tcW w:w="1418" w:type="dxa"/>
          </w:tcPr>
          <w:p w14:paraId="069455A8"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(-1.166)</w:t>
            </w:r>
          </w:p>
        </w:tc>
        <w:tc>
          <w:tcPr>
            <w:tcW w:w="1417" w:type="dxa"/>
            <w:tcBorders>
              <w:top w:val="nil"/>
              <w:left w:val="nil"/>
              <w:bottom w:val="nil"/>
              <w:right w:val="nil"/>
            </w:tcBorders>
          </w:tcPr>
          <w:p w14:paraId="03A6C07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(-1.820)</w:t>
            </w:r>
          </w:p>
        </w:tc>
        <w:tc>
          <w:tcPr>
            <w:tcW w:w="1418" w:type="dxa"/>
            <w:tcBorders>
              <w:top w:val="nil"/>
              <w:left w:val="nil"/>
              <w:bottom w:val="nil"/>
              <w:right w:val="nil"/>
            </w:tcBorders>
          </w:tcPr>
          <w:p w14:paraId="2F322BB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(-1.932)</w:t>
            </w:r>
          </w:p>
        </w:tc>
        <w:tc>
          <w:tcPr>
            <w:tcW w:w="1417" w:type="dxa"/>
            <w:tcBorders>
              <w:top w:val="nil"/>
              <w:left w:val="nil"/>
              <w:bottom w:val="nil"/>
              <w:right w:val="nil"/>
            </w:tcBorders>
          </w:tcPr>
          <w:p w14:paraId="32C3AB7A"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(-2.148)</w:t>
            </w:r>
          </w:p>
        </w:tc>
      </w:tr>
      <w:tr w:rsidR="005D6588" w:rsidRPr="00E3562B" w14:paraId="54183112" w14:textId="77777777" w:rsidTr="00294522">
        <w:trPr>
          <w:trHeight w:val="249"/>
        </w:trPr>
        <w:tc>
          <w:tcPr>
            <w:tcW w:w="2268" w:type="dxa"/>
          </w:tcPr>
          <w:p w14:paraId="77C7D0A9"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BLAU</w:t>
            </w:r>
          </w:p>
        </w:tc>
        <w:tc>
          <w:tcPr>
            <w:tcW w:w="1276" w:type="dxa"/>
            <w:tcBorders>
              <w:top w:val="nil"/>
              <w:left w:val="nil"/>
              <w:bottom w:val="nil"/>
              <w:right w:val="nil"/>
            </w:tcBorders>
          </w:tcPr>
          <w:p w14:paraId="479CE9AA"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3.583</w:t>
            </w:r>
          </w:p>
        </w:tc>
        <w:tc>
          <w:tcPr>
            <w:tcW w:w="1418" w:type="dxa"/>
          </w:tcPr>
          <w:p w14:paraId="69BD0BC7" w14:textId="77777777" w:rsidR="00A60DA1" w:rsidRPr="00E3562B" w:rsidRDefault="00A60DA1" w:rsidP="00294522">
            <w:pPr>
              <w:spacing w:line="240" w:lineRule="auto"/>
              <w:jc w:val="right"/>
              <w:rPr>
                <w:rFonts w:asciiTheme="majorBidi" w:hAnsiTheme="majorBidi" w:cstheme="majorBidi"/>
                <w:szCs w:val="22"/>
              </w:rPr>
            </w:pPr>
          </w:p>
        </w:tc>
        <w:tc>
          <w:tcPr>
            <w:tcW w:w="1417" w:type="dxa"/>
          </w:tcPr>
          <w:p w14:paraId="1479B626" w14:textId="77777777" w:rsidR="00A60DA1" w:rsidRPr="00E3562B" w:rsidRDefault="00A60DA1" w:rsidP="00294522">
            <w:pPr>
              <w:spacing w:line="240" w:lineRule="auto"/>
              <w:jc w:val="right"/>
              <w:rPr>
                <w:rFonts w:asciiTheme="majorBidi" w:hAnsiTheme="majorBidi" w:cstheme="majorBidi"/>
                <w:szCs w:val="22"/>
              </w:rPr>
            </w:pPr>
          </w:p>
        </w:tc>
        <w:tc>
          <w:tcPr>
            <w:tcW w:w="1418" w:type="dxa"/>
          </w:tcPr>
          <w:p w14:paraId="1C4D9604" w14:textId="77777777" w:rsidR="00A60DA1" w:rsidRPr="00E3562B" w:rsidRDefault="00A60DA1" w:rsidP="00294522">
            <w:pPr>
              <w:spacing w:line="240" w:lineRule="auto"/>
              <w:jc w:val="right"/>
              <w:rPr>
                <w:rFonts w:asciiTheme="majorBidi" w:hAnsiTheme="majorBidi" w:cstheme="majorBidi"/>
                <w:szCs w:val="22"/>
              </w:rPr>
            </w:pPr>
          </w:p>
        </w:tc>
        <w:tc>
          <w:tcPr>
            <w:tcW w:w="1417" w:type="dxa"/>
          </w:tcPr>
          <w:p w14:paraId="6780D27F" w14:textId="77777777" w:rsidR="00A60DA1" w:rsidRPr="00E3562B" w:rsidRDefault="00A60DA1" w:rsidP="00294522">
            <w:pPr>
              <w:spacing w:line="240" w:lineRule="auto"/>
              <w:jc w:val="right"/>
              <w:rPr>
                <w:rFonts w:asciiTheme="majorBidi" w:hAnsiTheme="majorBidi" w:cstheme="majorBidi"/>
                <w:szCs w:val="22"/>
              </w:rPr>
            </w:pPr>
          </w:p>
        </w:tc>
      </w:tr>
      <w:tr w:rsidR="005D6588" w:rsidRPr="00E3562B" w14:paraId="2CA7DDB0" w14:textId="77777777" w:rsidTr="00294522">
        <w:trPr>
          <w:trHeight w:val="249"/>
        </w:trPr>
        <w:tc>
          <w:tcPr>
            <w:tcW w:w="2268" w:type="dxa"/>
          </w:tcPr>
          <w:p w14:paraId="3F1F5EB3" w14:textId="77777777" w:rsidR="00A60DA1" w:rsidRPr="00E3562B" w:rsidRDefault="00A60DA1" w:rsidP="00294522">
            <w:pPr>
              <w:spacing w:line="240" w:lineRule="auto"/>
              <w:jc w:val="left"/>
              <w:rPr>
                <w:rFonts w:asciiTheme="majorBidi" w:hAnsiTheme="majorBidi" w:cstheme="majorBidi"/>
                <w:szCs w:val="22"/>
              </w:rPr>
            </w:pPr>
          </w:p>
        </w:tc>
        <w:tc>
          <w:tcPr>
            <w:tcW w:w="1276" w:type="dxa"/>
            <w:tcBorders>
              <w:top w:val="nil"/>
              <w:left w:val="nil"/>
              <w:bottom w:val="nil"/>
              <w:right w:val="nil"/>
            </w:tcBorders>
          </w:tcPr>
          <w:p w14:paraId="3180C6BB"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(0.328)</w:t>
            </w:r>
          </w:p>
        </w:tc>
        <w:tc>
          <w:tcPr>
            <w:tcW w:w="1418" w:type="dxa"/>
          </w:tcPr>
          <w:p w14:paraId="3454B546" w14:textId="77777777" w:rsidR="00A60DA1" w:rsidRPr="00E3562B" w:rsidRDefault="00A60DA1" w:rsidP="00294522">
            <w:pPr>
              <w:spacing w:line="240" w:lineRule="auto"/>
              <w:jc w:val="right"/>
              <w:rPr>
                <w:rFonts w:asciiTheme="majorBidi" w:hAnsiTheme="majorBidi" w:cstheme="majorBidi"/>
                <w:szCs w:val="22"/>
              </w:rPr>
            </w:pPr>
          </w:p>
        </w:tc>
        <w:tc>
          <w:tcPr>
            <w:tcW w:w="1417" w:type="dxa"/>
          </w:tcPr>
          <w:p w14:paraId="30BB00E4" w14:textId="77777777" w:rsidR="00A60DA1" w:rsidRPr="00E3562B" w:rsidRDefault="00A60DA1" w:rsidP="00294522">
            <w:pPr>
              <w:spacing w:line="240" w:lineRule="auto"/>
              <w:jc w:val="right"/>
              <w:rPr>
                <w:rFonts w:asciiTheme="majorBidi" w:hAnsiTheme="majorBidi" w:cstheme="majorBidi"/>
                <w:szCs w:val="22"/>
              </w:rPr>
            </w:pPr>
          </w:p>
        </w:tc>
        <w:tc>
          <w:tcPr>
            <w:tcW w:w="1418" w:type="dxa"/>
          </w:tcPr>
          <w:p w14:paraId="111E0917" w14:textId="77777777" w:rsidR="00A60DA1" w:rsidRPr="00E3562B" w:rsidRDefault="00A60DA1" w:rsidP="00294522">
            <w:pPr>
              <w:spacing w:line="240" w:lineRule="auto"/>
              <w:jc w:val="right"/>
              <w:rPr>
                <w:rFonts w:asciiTheme="majorBidi" w:hAnsiTheme="majorBidi" w:cstheme="majorBidi"/>
                <w:szCs w:val="22"/>
              </w:rPr>
            </w:pPr>
          </w:p>
        </w:tc>
        <w:tc>
          <w:tcPr>
            <w:tcW w:w="1417" w:type="dxa"/>
          </w:tcPr>
          <w:p w14:paraId="484F7E2A" w14:textId="77777777" w:rsidR="00A60DA1" w:rsidRPr="00E3562B" w:rsidRDefault="00A60DA1" w:rsidP="00294522">
            <w:pPr>
              <w:spacing w:line="240" w:lineRule="auto"/>
              <w:jc w:val="right"/>
              <w:rPr>
                <w:rFonts w:asciiTheme="majorBidi" w:hAnsiTheme="majorBidi" w:cstheme="majorBidi"/>
                <w:szCs w:val="22"/>
              </w:rPr>
            </w:pPr>
          </w:p>
        </w:tc>
      </w:tr>
      <w:tr w:rsidR="005D6588" w:rsidRPr="00E3562B" w14:paraId="66CD4438" w14:textId="77777777" w:rsidTr="00294522">
        <w:trPr>
          <w:trHeight w:val="249"/>
        </w:trPr>
        <w:tc>
          <w:tcPr>
            <w:tcW w:w="2268" w:type="dxa"/>
          </w:tcPr>
          <w:p w14:paraId="3EF066E7"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CEOP * BLAU</w:t>
            </w:r>
          </w:p>
        </w:tc>
        <w:tc>
          <w:tcPr>
            <w:tcW w:w="1276" w:type="dxa"/>
            <w:tcBorders>
              <w:top w:val="nil"/>
              <w:left w:val="nil"/>
              <w:bottom w:val="nil"/>
              <w:right w:val="nil"/>
            </w:tcBorders>
          </w:tcPr>
          <w:p w14:paraId="27A88E13"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28.690**</w:t>
            </w:r>
          </w:p>
        </w:tc>
        <w:tc>
          <w:tcPr>
            <w:tcW w:w="1418" w:type="dxa"/>
          </w:tcPr>
          <w:p w14:paraId="085F46CC" w14:textId="77777777" w:rsidR="00A60DA1" w:rsidRPr="00E3562B" w:rsidRDefault="00A60DA1" w:rsidP="00294522">
            <w:pPr>
              <w:spacing w:line="240" w:lineRule="auto"/>
              <w:jc w:val="right"/>
              <w:rPr>
                <w:rFonts w:asciiTheme="majorBidi" w:hAnsiTheme="majorBidi" w:cstheme="majorBidi"/>
                <w:szCs w:val="22"/>
              </w:rPr>
            </w:pPr>
          </w:p>
        </w:tc>
        <w:tc>
          <w:tcPr>
            <w:tcW w:w="1417" w:type="dxa"/>
          </w:tcPr>
          <w:p w14:paraId="4A2BB60F" w14:textId="77777777" w:rsidR="00A60DA1" w:rsidRPr="00E3562B" w:rsidRDefault="00A60DA1" w:rsidP="00294522">
            <w:pPr>
              <w:spacing w:line="240" w:lineRule="auto"/>
              <w:jc w:val="right"/>
              <w:rPr>
                <w:rFonts w:asciiTheme="majorBidi" w:hAnsiTheme="majorBidi" w:cstheme="majorBidi"/>
                <w:szCs w:val="22"/>
              </w:rPr>
            </w:pPr>
          </w:p>
        </w:tc>
        <w:tc>
          <w:tcPr>
            <w:tcW w:w="1418" w:type="dxa"/>
          </w:tcPr>
          <w:p w14:paraId="09F42EE6" w14:textId="77777777" w:rsidR="00A60DA1" w:rsidRPr="00E3562B" w:rsidRDefault="00A60DA1" w:rsidP="00294522">
            <w:pPr>
              <w:spacing w:line="240" w:lineRule="auto"/>
              <w:jc w:val="right"/>
              <w:rPr>
                <w:rFonts w:asciiTheme="majorBidi" w:hAnsiTheme="majorBidi" w:cstheme="majorBidi"/>
                <w:szCs w:val="22"/>
              </w:rPr>
            </w:pPr>
          </w:p>
        </w:tc>
        <w:tc>
          <w:tcPr>
            <w:tcW w:w="1417" w:type="dxa"/>
          </w:tcPr>
          <w:p w14:paraId="77B7F209" w14:textId="77777777" w:rsidR="00A60DA1" w:rsidRPr="00E3562B" w:rsidRDefault="00A60DA1" w:rsidP="00294522">
            <w:pPr>
              <w:spacing w:line="240" w:lineRule="auto"/>
              <w:jc w:val="right"/>
              <w:rPr>
                <w:rFonts w:asciiTheme="majorBidi" w:hAnsiTheme="majorBidi" w:cstheme="majorBidi"/>
                <w:szCs w:val="22"/>
              </w:rPr>
            </w:pPr>
          </w:p>
        </w:tc>
      </w:tr>
      <w:tr w:rsidR="005D6588" w:rsidRPr="00E3562B" w14:paraId="27CD6E97" w14:textId="77777777" w:rsidTr="00294522">
        <w:trPr>
          <w:trHeight w:val="249"/>
        </w:trPr>
        <w:tc>
          <w:tcPr>
            <w:tcW w:w="2268" w:type="dxa"/>
          </w:tcPr>
          <w:p w14:paraId="6BBF0968" w14:textId="77777777" w:rsidR="00A60DA1" w:rsidRPr="00E3562B" w:rsidRDefault="00A60DA1" w:rsidP="00294522">
            <w:pPr>
              <w:spacing w:line="240" w:lineRule="auto"/>
              <w:jc w:val="left"/>
              <w:rPr>
                <w:rFonts w:asciiTheme="majorBidi" w:hAnsiTheme="majorBidi" w:cstheme="majorBidi"/>
                <w:szCs w:val="22"/>
              </w:rPr>
            </w:pPr>
          </w:p>
        </w:tc>
        <w:tc>
          <w:tcPr>
            <w:tcW w:w="1276" w:type="dxa"/>
            <w:tcBorders>
              <w:top w:val="nil"/>
              <w:left w:val="nil"/>
              <w:bottom w:val="nil"/>
              <w:right w:val="nil"/>
            </w:tcBorders>
          </w:tcPr>
          <w:p w14:paraId="1AD8DEA8"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(2.426)</w:t>
            </w:r>
          </w:p>
        </w:tc>
        <w:tc>
          <w:tcPr>
            <w:tcW w:w="1418" w:type="dxa"/>
          </w:tcPr>
          <w:p w14:paraId="0CE2A0E3" w14:textId="77777777" w:rsidR="00A60DA1" w:rsidRPr="00E3562B" w:rsidRDefault="00A60DA1" w:rsidP="00294522">
            <w:pPr>
              <w:spacing w:line="240" w:lineRule="auto"/>
              <w:jc w:val="right"/>
              <w:rPr>
                <w:rFonts w:asciiTheme="majorBidi" w:hAnsiTheme="majorBidi" w:cstheme="majorBidi"/>
                <w:szCs w:val="22"/>
              </w:rPr>
            </w:pPr>
          </w:p>
        </w:tc>
        <w:tc>
          <w:tcPr>
            <w:tcW w:w="1417" w:type="dxa"/>
          </w:tcPr>
          <w:p w14:paraId="6D42CD60" w14:textId="77777777" w:rsidR="00A60DA1" w:rsidRPr="00E3562B" w:rsidRDefault="00A60DA1" w:rsidP="00294522">
            <w:pPr>
              <w:spacing w:line="240" w:lineRule="auto"/>
              <w:jc w:val="right"/>
              <w:rPr>
                <w:rFonts w:asciiTheme="majorBidi" w:hAnsiTheme="majorBidi" w:cstheme="majorBidi"/>
                <w:szCs w:val="22"/>
              </w:rPr>
            </w:pPr>
          </w:p>
        </w:tc>
        <w:tc>
          <w:tcPr>
            <w:tcW w:w="1418" w:type="dxa"/>
          </w:tcPr>
          <w:p w14:paraId="36CDBC75" w14:textId="77777777" w:rsidR="00A60DA1" w:rsidRPr="00E3562B" w:rsidRDefault="00A60DA1" w:rsidP="00294522">
            <w:pPr>
              <w:spacing w:line="240" w:lineRule="auto"/>
              <w:jc w:val="right"/>
              <w:rPr>
                <w:rFonts w:asciiTheme="majorBidi" w:hAnsiTheme="majorBidi" w:cstheme="majorBidi"/>
                <w:szCs w:val="22"/>
              </w:rPr>
            </w:pPr>
          </w:p>
        </w:tc>
        <w:tc>
          <w:tcPr>
            <w:tcW w:w="1417" w:type="dxa"/>
          </w:tcPr>
          <w:p w14:paraId="0DC3B397" w14:textId="77777777" w:rsidR="00A60DA1" w:rsidRPr="00E3562B" w:rsidRDefault="00A60DA1" w:rsidP="00294522">
            <w:pPr>
              <w:spacing w:line="240" w:lineRule="auto"/>
              <w:jc w:val="right"/>
              <w:rPr>
                <w:rFonts w:asciiTheme="majorBidi" w:hAnsiTheme="majorBidi" w:cstheme="majorBidi"/>
                <w:szCs w:val="22"/>
              </w:rPr>
            </w:pPr>
          </w:p>
        </w:tc>
      </w:tr>
      <w:tr w:rsidR="005D6588" w:rsidRPr="00E3562B" w14:paraId="1F375F7D" w14:textId="77777777" w:rsidTr="00294522">
        <w:trPr>
          <w:trHeight w:val="249"/>
        </w:trPr>
        <w:tc>
          <w:tcPr>
            <w:tcW w:w="2268" w:type="dxa"/>
          </w:tcPr>
          <w:p w14:paraId="0F185C51"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BGD</w:t>
            </w:r>
          </w:p>
        </w:tc>
        <w:tc>
          <w:tcPr>
            <w:tcW w:w="1276" w:type="dxa"/>
          </w:tcPr>
          <w:p w14:paraId="349A5183" w14:textId="77777777" w:rsidR="00A60DA1" w:rsidRPr="00E3562B" w:rsidRDefault="00A60DA1" w:rsidP="00294522">
            <w:pPr>
              <w:spacing w:line="240" w:lineRule="auto"/>
              <w:jc w:val="right"/>
              <w:rPr>
                <w:rFonts w:asciiTheme="majorBidi" w:hAnsiTheme="majorBidi" w:cstheme="majorBidi"/>
                <w:szCs w:val="22"/>
              </w:rPr>
            </w:pPr>
          </w:p>
        </w:tc>
        <w:tc>
          <w:tcPr>
            <w:tcW w:w="1418" w:type="dxa"/>
          </w:tcPr>
          <w:p w14:paraId="1F35F060"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0.263**</w:t>
            </w:r>
          </w:p>
        </w:tc>
        <w:tc>
          <w:tcPr>
            <w:tcW w:w="1417" w:type="dxa"/>
            <w:tcBorders>
              <w:top w:val="nil"/>
              <w:left w:val="nil"/>
              <w:bottom w:val="nil"/>
              <w:right w:val="nil"/>
            </w:tcBorders>
          </w:tcPr>
          <w:p w14:paraId="735347E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3.314**</w:t>
            </w:r>
          </w:p>
        </w:tc>
        <w:tc>
          <w:tcPr>
            <w:tcW w:w="1418" w:type="dxa"/>
            <w:tcBorders>
              <w:top w:val="nil"/>
              <w:left w:val="nil"/>
              <w:bottom w:val="nil"/>
              <w:right w:val="nil"/>
            </w:tcBorders>
          </w:tcPr>
          <w:p w14:paraId="5CFB19A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0.277***</w:t>
            </w:r>
          </w:p>
        </w:tc>
        <w:tc>
          <w:tcPr>
            <w:tcW w:w="1417" w:type="dxa"/>
            <w:tcBorders>
              <w:top w:val="nil"/>
              <w:left w:val="nil"/>
              <w:bottom w:val="nil"/>
              <w:right w:val="nil"/>
            </w:tcBorders>
          </w:tcPr>
          <w:p w14:paraId="2813EB52"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0.168</w:t>
            </w:r>
          </w:p>
        </w:tc>
      </w:tr>
      <w:tr w:rsidR="005D6588" w:rsidRPr="00E3562B" w14:paraId="7D229A75" w14:textId="77777777" w:rsidTr="00294522">
        <w:trPr>
          <w:trHeight w:val="249"/>
        </w:trPr>
        <w:tc>
          <w:tcPr>
            <w:tcW w:w="2268" w:type="dxa"/>
          </w:tcPr>
          <w:p w14:paraId="2A5708D1"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 xml:space="preserve"> </w:t>
            </w:r>
          </w:p>
        </w:tc>
        <w:tc>
          <w:tcPr>
            <w:tcW w:w="1276" w:type="dxa"/>
          </w:tcPr>
          <w:p w14:paraId="67F9FB90" w14:textId="77777777" w:rsidR="00A60DA1" w:rsidRPr="00E3562B" w:rsidRDefault="00A60DA1" w:rsidP="00294522">
            <w:pPr>
              <w:spacing w:line="240" w:lineRule="auto"/>
              <w:jc w:val="right"/>
              <w:rPr>
                <w:rFonts w:asciiTheme="majorBidi" w:hAnsiTheme="majorBidi" w:cstheme="majorBidi"/>
                <w:szCs w:val="22"/>
              </w:rPr>
            </w:pPr>
          </w:p>
        </w:tc>
        <w:tc>
          <w:tcPr>
            <w:tcW w:w="1418" w:type="dxa"/>
          </w:tcPr>
          <w:p w14:paraId="7C34A1A5"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(0.062)</w:t>
            </w:r>
          </w:p>
        </w:tc>
        <w:tc>
          <w:tcPr>
            <w:tcW w:w="1417" w:type="dxa"/>
            <w:tcBorders>
              <w:top w:val="nil"/>
              <w:left w:val="nil"/>
              <w:bottom w:val="nil"/>
              <w:right w:val="nil"/>
            </w:tcBorders>
          </w:tcPr>
          <w:p w14:paraId="0A2A2B15"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(2.029)</w:t>
            </w:r>
          </w:p>
        </w:tc>
        <w:tc>
          <w:tcPr>
            <w:tcW w:w="1418" w:type="dxa"/>
            <w:tcBorders>
              <w:top w:val="nil"/>
              <w:left w:val="nil"/>
              <w:bottom w:val="nil"/>
              <w:right w:val="nil"/>
            </w:tcBorders>
          </w:tcPr>
          <w:p w14:paraId="0EC38D17"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(4.320)</w:t>
            </w:r>
          </w:p>
        </w:tc>
        <w:tc>
          <w:tcPr>
            <w:tcW w:w="1417" w:type="dxa"/>
            <w:tcBorders>
              <w:top w:val="nil"/>
              <w:left w:val="nil"/>
              <w:bottom w:val="nil"/>
              <w:right w:val="nil"/>
            </w:tcBorders>
          </w:tcPr>
          <w:p w14:paraId="7F085144"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(1.687)</w:t>
            </w:r>
          </w:p>
        </w:tc>
      </w:tr>
      <w:tr w:rsidR="005D6588" w:rsidRPr="00E3562B" w14:paraId="2F2BAA09" w14:textId="77777777" w:rsidTr="00294522">
        <w:trPr>
          <w:trHeight w:val="249"/>
        </w:trPr>
        <w:tc>
          <w:tcPr>
            <w:tcW w:w="2268" w:type="dxa"/>
          </w:tcPr>
          <w:p w14:paraId="338C64FA"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CEOP * BGD</w:t>
            </w:r>
          </w:p>
        </w:tc>
        <w:tc>
          <w:tcPr>
            <w:tcW w:w="1276" w:type="dxa"/>
          </w:tcPr>
          <w:p w14:paraId="2C0AA902" w14:textId="77777777" w:rsidR="00A60DA1" w:rsidRPr="00E3562B" w:rsidRDefault="00A60DA1" w:rsidP="00294522">
            <w:pPr>
              <w:spacing w:line="240" w:lineRule="auto"/>
              <w:jc w:val="right"/>
              <w:rPr>
                <w:rFonts w:asciiTheme="majorBidi" w:hAnsiTheme="majorBidi" w:cstheme="majorBidi"/>
                <w:szCs w:val="22"/>
              </w:rPr>
            </w:pPr>
          </w:p>
        </w:tc>
        <w:tc>
          <w:tcPr>
            <w:tcW w:w="1418" w:type="dxa"/>
          </w:tcPr>
          <w:p w14:paraId="30027191" w14:textId="77777777" w:rsidR="00A60DA1" w:rsidRPr="00E3562B" w:rsidRDefault="00A60DA1" w:rsidP="00294522">
            <w:pPr>
              <w:spacing w:line="240" w:lineRule="auto"/>
              <w:jc w:val="right"/>
              <w:rPr>
                <w:rFonts w:asciiTheme="majorBidi" w:hAnsiTheme="majorBidi" w:cstheme="majorBidi"/>
                <w:szCs w:val="22"/>
              </w:rPr>
            </w:pPr>
          </w:p>
        </w:tc>
        <w:tc>
          <w:tcPr>
            <w:tcW w:w="1417" w:type="dxa"/>
            <w:tcBorders>
              <w:top w:val="nil"/>
              <w:left w:val="nil"/>
              <w:bottom w:val="nil"/>
              <w:right w:val="nil"/>
            </w:tcBorders>
          </w:tcPr>
          <w:p w14:paraId="68CB9839"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4.321***</w:t>
            </w:r>
          </w:p>
        </w:tc>
        <w:tc>
          <w:tcPr>
            <w:tcW w:w="1418" w:type="dxa"/>
          </w:tcPr>
          <w:p w14:paraId="659BA6A9" w14:textId="77777777" w:rsidR="00A60DA1" w:rsidRPr="00E3562B" w:rsidRDefault="00A60DA1" w:rsidP="00294522">
            <w:pPr>
              <w:spacing w:line="240" w:lineRule="auto"/>
              <w:jc w:val="right"/>
              <w:rPr>
                <w:rFonts w:asciiTheme="majorBidi" w:hAnsiTheme="majorBidi" w:cstheme="majorBidi"/>
                <w:szCs w:val="22"/>
              </w:rPr>
            </w:pPr>
          </w:p>
        </w:tc>
        <w:tc>
          <w:tcPr>
            <w:tcW w:w="1417" w:type="dxa"/>
            <w:tcBorders>
              <w:top w:val="nil"/>
              <w:left w:val="nil"/>
              <w:bottom w:val="nil"/>
              <w:right w:val="nil"/>
            </w:tcBorders>
          </w:tcPr>
          <w:p w14:paraId="1F558713"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0.169**</w:t>
            </w:r>
          </w:p>
        </w:tc>
      </w:tr>
      <w:tr w:rsidR="005D6588" w:rsidRPr="00E3562B" w14:paraId="67F9B95D" w14:textId="77777777" w:rsidTr="00294522">
        <w:trPr>
          <w:trHeight w:val="249"/>
        </w:trPr>
        <w:tc>
          <w:tcPr>
            <w:tcW w:w="2268" w:type="dxa"/>
          </w:tcPr>
          <w:p w14:paraId="3926F5B5" w14:textId="77777777" w:rsidR="00A60DA1" w:rsidRPr="00E3562B" w:rsidRDefault="00A60DA1" w:rsidP="00294522">
            <w:pPr>
              <w:spacing w:line="240" w:lineRule="auto"/>
              <w:jc w:val="left"/>
              <w:rPr>
                <w:rFonts w:asciiTheme="majorBidi" w:hAnsiTheme="majorBidi" w:cstheme="majorBidi"/>
                <w:szCs w:val="22"/>
              </w:rPr>
            </w:pPr>
          </w:p>
        </w:tc>
        <w:tc>
          <w:tcPr>
            <w:tcW w:w="1276" w:type="dxa"/>
          </w:tcPr>
          <w:p w14:paraId="26AD03D0" w14:textId="77777777" w:rsidR="00A60DA1" w:rsidRPr="00E3562B" w:rsidRDefault="00A60DA1" w:rsidP="00294522">
            <w:pPr>
              <w:spacing w:line="240" w:lineRule="auto"/>
              <w:jc w:val="right"/>
              <w:rPr>
                <w:rFonts w:asciiTheme="majorBidi" w:hAnsiTheme="majorBidi" w:cstheme="majorBidi"/>
                <w:szCs w:val="22"/>
              </w:rPr>
            </w:pPr>
          </w:p>
        </w:tc>
        <w:tc>
          <w:tcPr>
            <w:tcW w:w="1418" w:type="dxa"/>
          </w:tcPr>
          <w:p w14:paraId="5677FAFC" w14:textId="77777777" w:rsidR="00A60DA1" w:rsidRPr="00E3562B" w:rsidRDefault="00A60DA1" w:rsidP="00294522">
            <w:pPr>
              <w:spacing w:line="240" w:lineRule="auto"/>
              <w:jc w:val="right"/>
              <w:rPr>
                <w:rFonts w:asciiTheme="majorBidi" w:hAnsiTheme="majorBidi" w:cstheme="majorBidi"/>
                <w:szCs w:val="22"/>
              </w:rPr>
            </w:pPr>
          </w:p>
        </w:tc>
        <w:tc>
          <w:tcPr>
            <w:tcW w:w="1417" w:type="dxa"/>
            <w:tcBorders>
              <w:top w:val="nil"/>
              <w:left w:val="nil"/>
              <w:bottom w:val="nil"/>
              <w:right w:val="nil"/>
            </w:tcBorders>
          </w:tcPr>
          <w:p w14:paraId="53E466C5"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(1.457)</w:t>
            </w:r>
          </w:p>
        </w:tc>
        <w:tc>
          <w:tcPr>
            <w:tcW w:w="1418" w:type="dxa"/>
          </w:tcPr>
          <w:p w14:paraId="7C476981" w14:textId="77777777" w:rsidR="00A60DA1" w:rsidRPr="00E3562B" w:rsidRDefault="00A60DA1" w:rsidP="00294522">
            <w:pPr>
              <w:spacing w:line="240" w:lineRule="auto"/>
              <w:jc w:val="right"/>
              <w:rPr>
                <w:rFonts w:asciiTheme="majorBidi" w:hAnsiTheme="majorBidi" w:cstheme="majorBidi"/>
                <w:szCs w:val="22"/>
              </w:rPr>
            </w:pPr>
          </w:p>
        </w:tc>
        <w:tc>
          <w:tcPr>
            <w:tcW w:w="1417" w:type="dxa"/>
            <w:tcBorders>
              <w:top w:val="nil"/>
              <w:left w:val="nil"/>
              <w:bottom w:val="nil"/>
              <w:right w:val="nil"/>
            </w:tcBorders>
          </w:tcPr>
          <w:p w14:paraId="5AA7872D"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(1.428)</w:t>
            </w:r>
          </w:p>
        </w:tc>
      </w:tr>
      <w:tr w:rsidR="005D6588" w:rsidRPr="00E3562B" w14:paraId="7519E30B" w14:textId="77777777" w:rsidTr="00294522">
        <w:trPr>
          <w:trHeight w:val="249"/>
        </w:trPr>
        <w:tc>
          <w:tcPr>
            <w:tcW w:w="2268" w:type="dxa"/>
          </w:tcPr>
          <w:p w14:paraId="724913D3"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FSIZE</w:t>
            </w:r>
          </w:p>
        </w:tc>
        <w:tc>
          <w:tcPr>
            <w:tcW w:w="1276" w:type="dxa"/>
            <w:tcBorders>
              <w:top w:val="nil"/>
              <w:left w:val="nil"/>
              <w:bottom w:val="nil"/>
              <w:right w:val="nil"/>
            </w:tcBorders>
          </w:tcPr>
          <w:p w14:paraId="788A8D32"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1.297***</w:t>
            </w:r>
          </w:p>
        </w:tc>
        <w:tc>
          <w:tcPr>
            <w:tcW w:w="1418" w:type="dxa"/>
            <w:tcBorders>
              <w:top w:val="nil"/>
              <w:left w:val="nil"/>
              <w:bottom w:val="nil"/>
              <w:right w:val="nil"/>
            </w:tcBorders>
          </w:tcPr>
          <w:p w14:paraId="7657A7A1"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1.375***</w:t>
            </w:r>
          </w:p>
        </w:tc>
        <w:tc>
          <w:tcPr>
            <w:tcW w:w="1417" w:type="dxa"/>
            <w:tcBorders>
              <w:top w:val="nil"/>
              <w:left w:val="nil"/>
              <w:bottom w:val="nil"/>
              <w:right w:val="nil"/>
            </w:tcBorders>
          </w:tcPr>
          <w:p w14:paraId="1BC6BE0E"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1.333***</w:t>
            </w:r>
          </w:p>
        </w:tc>
        <w:tc>
          <w:tcPr>
            <w:tcW w:w="1418" w:type="dxa"/>
            <w:tcBorders>
              <w:top w:val="nil"/>
              <w:left w:val="nil"/>
              <w:bottom w:val="nil"/>
              <w:right w:val="nil"/>
            </w:tcBorders>
          </w:tcPr>
          <w:p w14:paraId="3275EE9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1.241***</w:t>
            </w:r>
          </w:p>
        </w:tc>
        <w:tc>
          <w:tcPr>
            <w:tcW w:w="1417" w:type="dxa"/>
            <w:tcBorders>
              <w:top w:val="nil"/>
              <w:left w:val="nil"/>
              <w:bottom w:val="nil"/>
              <w:right w:val="nil"/>
            </w:tcBorders>
          </w:tcPr>
          <w:p w14:paraId="714EBF9D"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1.240***</w:t>
            </w:r>
          </w:p>
        </w:tc>
      </w:tr>
      <w:tr w:rsidR="005D6588" w:rsidRPr="00E3562B" w14:paraId="28CB9F8C" w14:textId="77777777" w:rsidTr="00294522">
        <w:trPr>
          <w:trHeight w:val="249"/>
        </w:trPr>
        <w:tc>
          <w:tcPr>
            <w:tcW w:w="2268" w:type="dxa"/>
          </w:tcPr>
          <w:p w14:paraId="7D280452"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 xml:space="preserve"> </w:t>
            </w:r>
          </w:p>
        </w:tc>
        <w:tc>
          <w:tcPr>
            <w:tcW w:w="1276" w:type="dxa"/>
            <w:tcBorders>
              <w:top w:val="nil"/>
              <w:left w:val="nil"/>
              <w:bottom w:val="nil"/>
              <w:right w:val="nil"/>
            </w:tcBorders>
          </w:tcPr>
          <w:p w14:paraId="033AAA37"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(3.111)</w:t>
            </w:r>
          </w:p>
        </w:tc>
        <w:tc>
          <w:tcPr>
            <w:tcW w:w="1418" w:type="dxa"/>
            <w:tcBorders>
              <w:top w:val="nil"/>
              <w:left w:val="nil"/>
              <w:bottom w:val="nil"/>
              <w:right w:val="nil"/>
            </w:tcBorders>
          </w:tcPr>
          <w:p w14:paraId="7CA0AD29"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(3.270)</w:t>
            </w:r>
          </w:p>
        </w:tc>
        <w:tc>
          <w:tcPr>
            <w:tcW w:w="1417" w:type="dxa"/>
            <w:tcBorders>
              <w:top w:val="nil"/>
              <w:left w:val="nil"/>
              <w:bottom w:val="nil"/>
              <w:right w:val="nil"/>
            </w:tcBorders>
          </w:tcPr>
          <w:p w14:paraId="3B1FEC0B"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(3.192)</w:t>
            </w:r>
          </w:p>
        </w:tc>
        <w:tc>
          <w:tcPr>
            <w:tcW w:w="1418" w:type="dxa"/>
            <w:tcBorders>
              <w:top w:val="nil"/>
              <w:left w:val="nil"/>
              <w:bottom w:val="nil"/>
              <w:right w:val="nil"/>
            </w:tcBorders>
          </w:tcPr>
          <w:p w14:paraId="52AF2D00"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(2.911)</w:t>
            </w:r>
          </w:p>
        </w:tc>
        <w:tc>
          <w:tcPr>
            <w:tcW w:w="1417" w:type="dxa"/>
            <w:tcBorders>
              <w:top w:val="nil"/>
              <w:left w:val="nil"/>
              <w:bottom w:val="nil"/>
              <w:right w:val="nil"/>
            </w:tcBorders>
          </w:tcPr>
          <w:p w14:paraId="255E2C0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(2.914)</w:t>
            </w:r>
          </w:p>
        </w:tc>
      </w:tr>
      <w:tr w:rsidR="005D6588" w:rsidRPr="00E3562B" w14:paraId="75E77609" w14:textId="77777777" w:rsidTr="00294522">
        <w:trPr>
          <w:trHeight w:val="249"/>
        </w:trPr>
        <w:tc>
          <w:tcPr>
            <w:tcW w:w="2268" w:type="dxa"/>
          </w:tcPr>
          <w:p w14:paraId="26B48EA2"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ROA</w:t>
            </w:r>
          </w:p>
        </w:tc>
        <w:tc>
          <w:tcPr>
            <w:tcW w:w="1276" w:type="dxa"/>
            <w:tcBorders>
              <w:top w:val="nil"/>
              <w:left w:val="nil"/>
              <w:bottom w:val="nil"/>
              <w:right w:val="nil"/>
            </w:tcBorders>
          </w:tcPr>
          <w:p w14:paraId="77D0AF58"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0.019</w:t>
            </w:r>
          </w:p>
        </w:tc>
        <w:tc>
          <w:tcPr>
            <w:tcW w:w="1418" w:type="dxa"/>
            <w:tcBorders>
              <w:top w:val="nil"/>
              <w:left w:val="nil"/>
              <w:bottom w:val="nil"/>
              <w:right w:val="nil"/>
            </w:tcBorders>
          </w:tcPr>
          <w:p w14:paraId="1BE3C2A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0.006</w:t>
            </w:r>
          </w:p>
        </w:tc>
        <w:tc>
          <w:tcPr>
            <w:tcW w:w="1417" w:type="dxa"/>
            <w:tcBorders>
              <w:top w:val="nil"/>
              <w:left w:val="nil"/>
              <w:bottom w:val="nil"/>
              <w:right w:val="nil"/>
            </w:tcBorders>
          </w:tcPr>
          <w:p w14:paraId="0BAF2191"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0.011</w:t>
            </w:r>
          </w:p>
        </w:tc>
        <w:tc>
          <w:tcPr>
            <w:tcW w:w="1418" w:type="dxa"/>
            <w:tcBorders>
              <w:top w:val="nil"/>
              <w:left w:val="nil"/>
              <w:bottom w:val="nil"/>
              <w:right w:val="nil"/>
            </w:tcBorders>
          </w:tcPr>
          <w:p w14:paraId="58A7612F"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-0.024</w:t>
            </w:r>
          </w:p>
        </w:tc>
        <w:tc>
          <w:tcPr>
            <w:tcW w:w="1417" w:type="dxa"/>
            <w:tcBorders>
              <w:top w:val="nil"/>
              <w:left w:val="nil"/>
              <w:bottom w:val="nil"/>
              <w:right w:val="nil"/>
            </w:tcBorders>
          </w:tcPr>
          <w:p w14:paraId="28483A0B"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-0.021</w:t>
            </w:r>
          </w:p>
        </w:tc>
      </w:tr>
      <w:tr w:rsidR="005D6588" w:rsidRPr="00E3562B" w14:paraId="2F58128C" w14:textId="77777777" w:rsidTr="00294522">
        <w:trPr>
          <w:trHeight w:val="249"/>
        </w:trPr>
        <w:tc>
          <w:tcPr>
            <w:tcW w:w="2268" w:type="dxa"/>
          </w:tcPr>
          <w:p w14:paraId="4BA82065"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 xml:space="preserve"> </w:t>
            </w:r>
          </w:p>
        </w:tc>
        <w:tc>
          <w:tcPr>
            <w:tcW w:w="1276" w:type="dxa"/>
            <w:tcBorders>
              <w:top w:val="nil"/>
              <w:left w:val="nil"/>
              <w:bottom w:val="nil"/>
              <w:right w:val="nil"/>
            </w:tcBorders>
          </w:tcPr>
          <w:p w14:paraId="0BEF968A"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(0.221)</w:t>
            </w:r>
          </w:p>
        </w:tc>
        <w:tc>
          <w:tcPr>
            <w:tcW w:w="1418" w:type="dxa"/>
            <w:tcBorders>
              <w:top w:val="nil"/>
              <w:left w:val="nil"/>
              <w:bottom w:val="nil"/>
              <w:right w:val="nil"/>
            </w:tcBorders>
          </w:tcPr>
          <w:p w14:paraId="016EE96E"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(0.0730)</w:t>
            </w:r>
          </w:p>
        </w:tc>
        <w:tc>
          <w:tcPr>
            <w:tcW w:w="1417" w:type="dxa"/>
            <w:tcBorders>
              <w:top w:val="nil"/>
              <w:left w:val="nil"/>
              <w:bottom w:val="nil"/>
              <w:right w:val="nil"/>
            </w:tcBorders>
          </w:tcPr>
          <w:p w14:paraId="16FDC468"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(0.129)</w:t>
            </w:r>
          </w:p>
        </w:tc>
        <w:tc>
          <w:tcPr>
            <w:tcW w:w="1418" w:type="dxa"/>
            <w:tcBorders>
              <w:top w:val="nil"/>
              <w:left w:val="nil"/>
              <w:bottom w:val="nil"/>
              <w:right w:val="nil"/>
            </w:tcBorders>
          </w:tcPr>
          <w:p w14:paraId="20647A0A"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(-0.240)</w:t>
            </w:r>
          </w:p>
        </w:tc>
        <w:tc>
          <w:tcPr>
            <w:tcW w:w="1417" w:type="dxa"/>
            <w:tcBorders>
              <w:top w:val="nil"/>
              <w:left w:val="nil"/>
              <w:bottom w:val="nil"/>
              <w:right w:val="nil"/>
            </w:tcBorders>
          </w:tcPr>
          <w:p w14:paraId="49AA8FB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(-0.213)</w:t>
            </w:r>
          </w:p>
        </w:tc>
      </w:tr>
      <w:tr w:rsidR="005D6588" w:rsidRPr="00E3562B" w14:paraId="0722BF5A" w14:textId="77777777" w:rsidTr="00294522">
        <w:trPr>
          <w:trHeight w:val="249"/>
        </w:trPr>
        <w:tc>
          <w:tcPr>
            <w:tcW w:w="2268" w:type="dxa"/>
          </w:tcPr>
          <w:p w14:paraId="60CC4359"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LEV</w:t>
            </w:r>
          </w:p>
        </w:tc>
        <w:tc>
          <w:tcPr>
            <w:tcW w:w="1276" w:type="dxa"/>
            <w:tcBorders>
              <w:top w:val="nil"/>
              <w:left w:val="nil"/>
              <w:bottom w:val="nil"/>
              <w:right w:val="nil"/>
            </w:tcBorders>
          </w:tcPr>
          <w:p w14:paraId="174099E8"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-0.001</w:t>
            </w:r>
          </w:p>
        </w:tc>
        <w:tc>
          <w:tcPr>
            <w:tcW w:w="1418" w:type="dxa"/>
            <w:tcBorders>
              <w:top w:val="nil"/>
              <w:left w:val="nil"/>
              <w:bottom w:val="nil"/>
              <w:right w:val="nil"/>
            </w:tcBorders>
          </w:tcPr>
          <w:p w14:paraId="245D1454"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0.006</w:t>
            </w:r>
          </w:p>
        </w:tc>
        <w:tc>
          <w:tcPr>
            <w:tcW w:w="1417" w:type="dxa"/>
            <w:tcBorders>
              <w:top w:val="nil"/>
              <w:left w:val="nil"/>
              <w:bottom w:val="nil"/>
              <w:right w:val="nil"/>
            </w:tcBorders>
          </w:tcPr>
          <w:p w14:paraId="21E19317"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0.003</w:t>
            </w:r>
          </w:p>
        </w:tc>
        <w:tc>
          <w:tcPr>
            <w:tcW w:w="1418" w:type="dxa"/>
            <w:tcBorders>
              <w:top w:val="nil"/>
              <w:left w:val="nil"/>
              <w:bottom w:val="nil"/>
              <w:right w:val="nil"/>
            </w:tcBorders>
          </w:tcPr>
          <w:p w14:paraId="65D4922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0.085**</w:t>
            </w:r>
          </w:p>
        </w:tc>
        <w:tc>
          <w:tcPr>
            <w:tcW w:w="1417" w:type="dxa"/>
            <w:tcBorders>
              <w:top w:val="nil"/>
              <w:left w:val="nil"/>
              <w:bottom w:val="nil"/>
              <w:right w:val="nil"/>
            </w:tcBorders>
          </w:tcPr>
          <w:p w14:paraId="26F7AFDF"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0.083**</w:t>
            </w:r>
          </w:p>
        </w:tc>
      </w:tr>
      <w:tr w:rsidR="005D6588" w:rsidRPr="00E3562B" w14:paraId="26624670" w14:textId="77777777" w:rsidTr="00294522">
        <w:trPr>
          <w:trHeight w:val="249"/>
        </w:trPr>
        <w:tc>
          <w:tcPr>
            <w:tcW w:w="2268" w:type="dxa"/>
          </w:tcPr>
          <w:p w14:paraId="5B13A228" w14:textId="77777777" w:rsidR="00A60DA1" w:rsidRPr="00E3562B" w:rsidRDefault="00A60DA1" w:rsidP="00294522">
            <w:pPr>
              <w:spacing w:line="240" w:lineRule="auto"/>
              <w:jc w:val="left"/>
              <w:rPr>
                <w:rFonts w:asciiTheme="majorBidi" w:hAnsiTheme="majorBidi" w:cstheme="majorBidi"/>
                <w:szCs w:val="22"/>
              </w:rPr>
            </w:pPr>
          </w:p>
        </w:tc>
        <w:tc>
          <w:tcPr>
            <w:tcW w:w="1276" w:type="dxa"/>
            <w:tcBorders>
              <w:top w:val="nil"/>
              <w:left w:val="nil"/>
              <w:bottom w:val="nil"/>
              <w:right w:val="nil"/>
            </w:tcBorders>
          </w:tcPr>
          <w:p w14:paraId="1B40B6CB"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(-0.033)</w:t>
            </w:r>
          </w:p>
        </w:tc>
        <w:tc>
          <w:tcPr>
            <w:tcW w:w="1418" w:type="dxa"/>
            <w:tcBorders>
              <w:top w:val="nil"/>
              <w:left w:val="nil"/>
              <w:bottom w:val="nil"/>
              <w:right w:val="nil"/>
            </w:tcBorders>
          </w:tcPr>
          <w:p w14:paraId="1CB1508E"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(0.174)</w:t>
            </w:r>
          </w:p>
        </w:tc>
        <w:tc>
          <w:tcPr>
            <w:tcW w:w="1417" w:type="dxa"/>
            <w:tcBorders>
              <w:top w:val="nil"/>
              <w:left w:val="nil"/>
              <w:bottom w:val="nil"/>
              <w:right w:val="nil"/>
            </w:tcBorders>
          </w:tcPr>
          <w:p w14:paraId="596C2403"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(0.099)</w:t>
            </w:r>
          </w:p>
        </w:tc>
        <w:tc>
          <w:tcPr>
            <w:tcW w:w="1418" w:type="dxa"/>
            <w:tcBorders>
              <w:top w:val="nil"/>
              <w:left w:val="nil"/>
              <w:bottom w:val="nil"/>
              <w:right w:val="nil"/>
            </w:tcBorders>
          </w:tcPr>
          <w:p w14:paraId="24AE6B6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(2.578)</w:t>
            </w:r>
          </w:p>
        </w:tc>
        <w:tc>
          <w:tcPr>
            <w:tcW w:w="1417" w:type="dxa"/>
            <w:tcBorders>
              <w:top w:val="nil"/>
              <w:left w:val="nil"/>
              <w:bottom w:val="nil"/>
              <w:right w:val="nil"/>
            </w:tcBorders>
          </w:tcPr>
          <w:p w14:paraId="525BCA07"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(2.522)</w:t>
            </w:r>
          </w:p>
        </w:tc>
      </w:tr>
      <w:tr w:rsidR="005D6588" w:rsidRPr="00E3562B" w14:paraId="17BECB72" w14:textId="77777777" w:rsidTr="00294522">
        <w:trPr>
          <w:trHeight w:val="249"/>
        </w:trPr>
        <w:tc>
          <w:tcPr>
            <w:tcW w:w="2268" w:type="dxa"/>
          </w:tcPr>
          <w:p w14:paraId="2334ECA3"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BSIZE</w:t>
            </w:r>
          </w:p>
        </w:tc>
        <w:tc>
          <w:tcPr>
            <w:tcW w:w="1276" w:type="dxa"/>
            <w:tcBorders>
              <w:top w:val="nil"/>
              <w:left w:val="nil"/>
              <w:bottom w:val="nil"/>
              <w:right w:val="nil"/>
            </w:tcBorders>
          </w:tcPr>
          <w:p w14:paraId="4066FAAA"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-0.148</w:t>
            </w:r>
          </w:p>
        </w:tc>
        <w:tc>
          <w:tcPr>
            <w:tcW w:w="1418" w:type="dxa"/>
            <w:tcBorders>
              <w:top w:val="nil"/>
              <w:left w:val="nil"/>
              <w:bottom w:val="nil"/>
              <w:right w:val="nil"/>
            </w:tcBorders>
          </w:tcPr>
          <w:p w14:paraId="49AB103E"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-0.168</w:t>
            </w:r>
          </w:p>
        </w:tc>
        <w:tc>
          <w:tcPr>
            <w:tcW w:w="1417" w:type="dxa"/>
            <w:tcBorders>
              <w:top w:val="nil"/>
              <w:left w:val="nil"/>
              <w:bottom w:val="nil"/>
              <w:right w:val="nil"/>
            </w:tcBorders>
          </w:tcPr>
          <w:p w14:paraId="429AF51D"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-0.135</w:t>
            </w:r>
          </w:p>
        </w:tc>
        <w:tc>
          <w:tcPr>
            <w:tcW w:w="1418" w:type="dxa"/>
            <w:tcBorders>
              <w:top w:val="nil"/>
              <w:left w:val="nil"/>
              <w:bottom w:val="nil"/>
              <w:right w:val="nil"/>
            </w:tcBorders>
          </w:tcPr>
          <w:p w14:paraId="4DBA242A"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-0.291</w:t>
            </w:r>
          </w:p>
        </w:tc>
        <w:tc>
          <w:tcPr>
            <w:tcW w:w="1417" w:type="dxa"/>
            <w:tcBorders>
              <w:top w:val="nil"/>
              <w:left w:val="nil"/>
              <w:bottom w:val="nil"/>
              <w:right w:val="nil"/>
            </w:tcBorders>
          </w:tcPr>
          <w:p w14:paraId="790A35C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-0.260</w:t>
            </w:r>
          </w:p>
        </w:tc>
      </w:tr>
      <w:tr w:rsidR="005D6588" w:rsidRPr="00E3562B" w14:paraId="5488C65A" w14:textId="77777777" w:rsidTr="00294522">
        <w:trPr>
          <w:trHeight w:val="249"/>
        </w:trPr>
        <w:tc>
          <w:tcPr>
            <w:tcW w:w="2268" w:type="dxa"/>
          </w:tcPr>
          <w:p w14:paraId="0D8FA378" w14:textId="77777777" w:rsidR="00A60DA1" w:rsidRPr="00E3562B" w:rsidRDefault="00A60DA1" w:rsidP="00294522">
            <w:pPr>
              <w:spacing w:line="240" w:lineRule="auto"/>
              <w:jc w:val="left"/>
              <w:rPr>
                <w:rFonts w:asciiTheme="majorBidi" w:hAnsiTheme="majorBidi" w:cstheme="majorBidi"/>
                <w:szCs w:val="22"/>
              </w:rPr>
            </w:pPr>
          </w:p>
        </w:tc>
        <w:tc>
          <w:tcPr>
            <w:tcW w:w="1276" w:type="dxa"/>
            <w:tcBorders>
              <w:top w:val="nil"/>
              <w:left w:val="nil"/>
              <w:bottom w:val="nil"/>
              <w:right w:val="nil"/>
            </w:tcBorders>
          </w:tcPr>
          <w:p w14:paraId="5A7ED7E8"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(-0.546)</w:t>
            </w:r>
          </w:p>
        </w:tc>
        <w:tc>
          <w:tcPr>
            <w:tcW w:w="1418" w:type="dxa"/>
            <w:tcBorders>
              <w:top w:val="nil"/>
              <w:left w:val="nil"/>
              <w:bottom w:val="nil"/>
              <w:right w:val="nil"/>
            </w:tcBorders>
          </w:tcPr>
          <w:p w14:paraId="4F2DCAA7"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(-0.616)</w:t>
            </w:r>
          </w:p>
        </w:tc>
        <w:tc>
          <w:tcPr>
            <w:tcW w:w="1417" w:type="dxa"/>
            <w:tcBorders>
              <w:top w:val="nil"/>
              <w:left w:val="nil"/>
              <w:bottom w:val="nil"/>
              <w:right w:val="nil"/>
            </w:tcBorders>
          </w:tcPr>
          <w:p w14:paraId="2AC44DA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(-0.498)</w:t>
            </w:r>
          </w:p>
        </w:tc>
        <w:tc>
          <w:tcPr>
            <w:tcW w:w="1418" w:type="dxa"/>
            <w:tcBorders>
              <w:top w:val="nil"/>
              <w:left w:val="nil"/>
              <w:bottom w:val="nil"/>
              <w:right w:val="nil"/>
            </w:tcBorders>
          </w:tcPr>
          <w:p w14:paraId="47E493A1"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(-0.925)</w:t>
            </w:r>
          </w:p>
        </w:tc>
        <w:tc>
          <w:tcPr>
            <w:tcW w:w="1417" w:type="dxa"/>
            <w:tcBorders>
              <w:top w:val="nil"/>
              <w:left w:val="nil"/>
              <w:bottom w:val="nil"/>
              <w:right w:val="nil"/>
            </w:tcBorders>
          </w:tcPr>
          <w:p w14:paraId="270060A8"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(-0.825)</w:t>
            </w:r>
          </w:p>
        </w:tc>
      </w:tr>
      <w:tr w:rsidR="005D6588" w:rsidRPr="00E3562B" w14:paraId="74EF668D" w14:textId="77777777" w:rsidTr="00294522">
        <w:trPr>
          <w:trHeight w:val="249"/>
        </w:trPr>
        <w:tc>
          <w:tcPr>
            <w:tcW w:w="2268" w:type="dxa"/>
          </w:tcPr>
          <w:p w14:paraId="1E2E42D0"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BINDE</w:t>
            </w:r>
          </w:p>
        </w:tc>
        <w:tc>
          <w:tcPr>
            <w:tcW w:w="1276" w:type="dxa"/>
            <w:tcBorders>
              <w:top w:val="nil"/>
              <w:left w:val="nil"/>
              <w:bottom w:val="nil"/>
              <w:right w:val="nil"/>
            </w:tcBorders>
          </w:tcPr>
          <w:p w14:paraId="6FC5F06A"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-0.057</w:t>
            </w:r>
          </w:p>
        </w:tc>
        <w:tc>
          <w:tcPr>
            <w:tcW w:w="1418" w:type="dxa"/>
            <w:tcBorders>
              <w:top w:val="nil"/>
              <w:left w:val="nil"/>
              <w:bottom w:val="nil"/>
              <w:right w:val="nil"/>
            </w:tcBorders>
          </w:tcPr>
          <w:p w14:paraId="17A4FDF5"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-0.061</w:t>
            </w:r>
          </w:p>
        </w:tc>
        <w:tc>
          <w:tcPr>
            <w:tcW w:w="1417" w:type="dxa"/>
            <w:tcBorders>
              <w:top w:val="nil"/>
              <w:left w:val="nil"/>
              <w:bottom w:val="nil"/>
              <w:right w:val="nil"/>
            </w:tcBorders>
          </w:tcPr>
          <w:p w14:paraId="2FAF65C3"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-0.085</w:t>
            </w:r>
          </w:p>
        </w:tc>
        <w:tc>
          <w:tcPr>
            <w:tcW w:w="1418" w:type="dxa"/>
            <w:tcBorders>
              <w:top w:val="nil"/>
              <w:left w:val="nil"/>
              <w:bottom w:val="nil"/>
              <w:right w:val="nil"/>
            </w:tcBorders>
          </w:tcPr>
          <w:p w14:paraId="76DFC7C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-0.053</w:t>
            </w:r>
          </w:p>
        </w:tc>
        <w:tc>
          <w:tcPr>
            <w:tcW w:w="1417" w:type="dxa"/>
            <w:tcBorders>
              <w:top w:val="nil"/>
              <w:left w:val="nil"/>
              <w:bottom w:val="nil"/>
              <w:right w:val="nil"/>
            </w:tcBorders>
          </w:tcPr>
          <w:p w14:paraId="0200D4C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-0.070</w:t>
            </w:r>
          </w:p>
        </w:tc>
      </w:tr>
      <w:tr w:rsidR="005D6588" w:rsidRPr="00E3562B" w14:paraId="1A948714" w14:textId="77777777" w:rsidTr="00294522">
        <w:trPr>
          <w:trHeight w:val="249"/>
        </w:trPr>
        <w:tc>
          <w:tcPr>
            <w:tcW w:w="2268" w:type="dxa"/>
          </w:tcPr>
          <w:p w14:paraId="1F3E1907" w14:textId="77777777" w:rsidR="00A60DA1" w:rsidRPr="00E3562B" w:rsidRDefault="00A60DA1" w:rsidP="00294522">
            <w:pPr>
              <w:spacing w:line="240" w:lineRule="auto"/>
              <w:jc w:val="left"/>
              <w:rPr>
                <w:rFonts w:asciiTheme="majorBidi" w:hAnsiTheme="majorBidi" w:cstheme="majorBidi"/>
                <w:szCs w:val="22"/>
              </w:rPr>
            </w:pPr>
          </w:p>
        </w:tc>
        <w:tc>
          <w:tcPr>
            <w:tcW w:w="1276" w:type="dxa"/>
            <w:tcBorders>
              <w:top w:val="nil"/>
              <w:left w:val="nil"/>
              <w:bottom w:val="nil"/>
              <w:right w:val="nil"/>
            </w:tcBorders>
          </w:tcPr>
          <w:p w14:paraId="2C52D804"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(-0.789)</w:t>
            </w:r>
          </w:p>
        </w:tc>
        <w:tc>
          <w:tcPr>
            <w:tcW w:w="1418" w:type="dxa"/>
            <w:tcBorders>
              <w:top w:val="nil"/>
              <w:left w:val="nil"/>
              <w:bottom w:val="nil"/>
              <w:right w:val="nil"/>
            </w:tcBorders>
          </w:tcPr>
          <w:p w14:paraId="0135ED52"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(-0.794)</w:t>
            </w:r>
          </w:p>
        </w:tc>
        <w:tc>
          <w:tcPr>
            <w:tcW w:w="1417" w:type="dxa"/>
            <w:tcBorders>
              <w:top w:val="nil"/>
              <w:left w:val="nil"/>
              <w:bottom w:val="nil"/>
              <w:right w:val="nil"/>
            </w:tcBorders>
          </w:tcPr>
          <w:p w14:paraId="0CDE0A6E"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(-1.094)</w:t>
            </w:r>
          </w:p>
        </w:tc>
        <w:tc>
          <w:tcPr>
            <w:tcW w:w="1418" w:type="dxa"/>
            <w:tcBorders>
              <w:top w:val="nil"/>
              <w:left w:val="nil"/>
              <w:bottom w:val="nil"/>
              <w:right w:val="nil"/>
            </w:tcBorders>
          </w:tcPr>
          <w:p w14:paraId="3D42D4CF"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(-0.572)</w:t>
            </w:r>
          </w:p>
        </w:tc>
        <w:tc>
          <w:tcPr>
            <w:tcW w:w="1417" w:type="dxa"/>
            <w:tcBorders>
              <w:top w:val="nil"/>
              <w:left w:val="nil"/>
              <w:bottom w:val="nil"/>
              <w:right w:val="nil"/>
            </w:tcBorders>
          </w:tcPr>
          <w:p w14:paraId="47EAED0A"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(-0.748)</w:t>
            </w:r>
          </w:p>
        </w:tc>
      </w:tr>
      <w:tr w:rsidR="005D6588" w:rsidRPr="00E3562B" w14:paraId="16C7AA30" w14:textId="77777777" w:rsidTr="00294522">
        <w:trPr>
          <w:trHeight w:val="249"/>
        </w:trPr>
        <w:tc>
          <w:tcPr>
            <w:tcW w:w="2268" w:type="dxa"/>
          </w:tcPr>
          <w:p w14:paraId="4F0EDA10"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MTBV</w:t>
            </w:r>
          </w:p>
        </w:tc>
        <w:tc>
          <w:tcPr>
            <w:tcW w:w="1276" w:type="dxa"/>
            <w:tcBorders>
              <w:top w:val="nil"/>
              <w:left w:val="nil"/>
              <w:bottom w:val="nil"/>
              <w:right w:val="nil"/>
            </w:tcBorders>
          </w:tcPr>
          <w:p w14:paraId="07D082D0"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-0.002</w:t>
            </w:r>
          </w:p>
        </w:tc>
        <w:tc>
          <w:tcPr>
            <w:tcW w:w="1418" w:type="dxa"/>
            <w:tcBorders>
              <w:top w:val="nil"/>
              <w:left w:val="nil"/>
              <w:bottom w:val="nil"/>
              <w:right w:val="nil"/>
            </w:tcBorders>
          </w:tcPr>
          <w:p w14:paraId="653727B9"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-0.002</w:t>
            </w:r>
          </w:p>
        </w:tc>
        <w:tc>
          <w:tcPr>
            <w:tcW w:w="1417" w:type="dxa"/>
            <w:tcBorders>
              <w:top w:val="nil"/>
              <w:left w:val="nil"/>
              <w:bottom w:val="nil"/>
              <w:right w:val="nil"/>
            </w:tcBorders>
          </w:tcPr>
          <w:p w14:paraId="0FFBCCF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-0.001</w:t>
            </w:r>
          </w:p>
        </w:tc>
        <w:tc>
          <w:tcPr>
            <w:tcW w:w="1418" w:type="dxa"/>
            <w:tcBorders>
              <w:top w:val="nil"/>
              <w:left w:val="nil"/>
              <w:bottom w:val="nil"/>
              <w:right w:val="nil"/>
            </w:tcBorders>
          </w:tcPr>
          <w:p w14:paraId="49F2AA4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0.003</w:t>
            </w:r>
          </w:p>
        </w:tc>
        <w:tc>
          <w:tcPr>
            <w:tcW w:w="1417" w:type="dxa"/>
            <w:tcBorders>
              <w:top w:val="nil"/>
              <w:left w:val="nil"/>
              <w:bottom w:val="nil"/>
              <w:right w:val="nil"/>
            </w:tcBorders>
          </w:tcPr>
          <w:p w14:paraId="7D7BF089"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0.002</w:t>
            </w:r>
          </w:p>
        </w:tc>
      </w:tr>
      <w:tr w:rsidR="005D6588" w:rsidRPr="00E3562B" w14:paraId="3F689223" w14:textId="77777777" w:rsidTr="00294522">
        <w:trPr>
          <w:trHeight w:val="249"/>
        </w:trPr>
        <w:tc>
          <w:tcPr>
            <w:tcW w:w="2268" w:type="dxa"/>
          </w:tcPr>
          <w:p w14:paraId="04D8B501" w14:textId="77777777" w:rsidR="00A60DA1" w:rsidRPr="00E3562B" w:rsidRDefault="00A60DA1" w:rsidP="00294522">
            <w:pPr>
              <w:spacing w:line="240" w:lineRule="auto"/>
              <w:jc w:val="left"/>
              <w:rPr>
                <w:rFonts w:asciiTheme="majorBidi" w:hAnsiTheme="majorBidi" w:cstheme="majorBidi"/>
                <w:szCs w:val="22"/>
              </w:rPr>
            </w:pPr>
          </w:p>
        </w:tc>
        <w:tc>
          <w:tcPr>
            <w:tcW w:w="1276" w:type="dxa"/>
            <w:tcBorders>
              <w:top w:val="nil"/>
              <w:left w:val="nil"/>
              <w:bottom w:val="nil"/>
              <w:right w:val="nil"/>
            </w:tcBorders>
          </w:tcPr>
          <w:p w14:paraId="08A4985F"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(-0.266)</w:t>
            </w:r>
          </w:p>
        </w:tc>
        <w:tc>
          <w:tcPr>
            <w:tcW w:w="1418" w:type="dxa"/>
            <w:tcBorders>
              <w:top w:val="nil"/>
              <w:left w:val="nil"/>
              <w:bottom w:val="nil"/>
              <w:right w:val="nil"/>
            </w:tcBorders>
          </w:tcPr>
          <w:p w14:paraId="2D76200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(-0.246)</w:t>
            </w:r>
          </w:p>
        </w:tc>
        <w:tc>
          <w:tcPr>
            <w:tcW w:w="1417" w:type="dxa"/>
            <w:tcBorders>
              <w:top w:val="nil"/>
              <w:left w:val="nil"/>
              <w:bottom w:val="nil"/>
              <w:right w:val="nil"/>
            </w:tcBorders>
          </w:tcPr>
          <w:p w14:paraId="27B8344B"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(-0.221)</w:t>
            </w:r>
          </w:p>
        </w:tc>
        <w:tc>
          <w:tcPr>
            <w:tcW w:w="1418" w:type="dxa"/>
            <w:tcBorders>
              <w:top w:val="nil"/>
              <w:left w:val="nil"/>
              <w:bottom w:val="nil"/>
              <w:right w:val="nil"/>
            </w:tcBorders>
          </w:tcPr>
          <w:p w14:paraId="60BAE31B"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(0.317)</w:t>
            </w:r>
          </w:p>
        </w:tc>
        <w:tc>
          <w:tcPr>
            <w:tcW w:w="1417" w:type="dxa"/>
            <w:tcBorders>
              <w:top w:val="nil"/>
              <w:left w:val="nil"/>
              <w:bottom w:val="nil"/>
              <w:right w:val="nil"/>
            </w:tcBorders>
          </w:tcPr>
          <w:p w14:paraId="7CA7760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(0.330)</w:t>
            </w:r>
          </w:p>
        </w:tc>
      </w:tr>
      <w:tr w:rsidR="005D6588" w:rsidRPr="00E3562B" w14:paraId="17472672" w14:textId="77777777" w:rsidTr="00294522">
        <w:trPr>
          <w:trHeight w:val="249"/>
        </w:trPr>
        <w:tc>
          <w:tcPr>
            <w:tcW w:w="2268" w:type="dxa"/>
          </w:tcPr>
          <w:p w14:paraId="29BB1239"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CSRCOM</w:t>
            </w:r>
          </w:p>
        </w:tc>
        <w:tc>
          <w:tcPr>
            <w:tcW w:w="1276" w:type="dxa"/>
            <w:tcBorders>
              <w:top w:val="nil"/>
              <w:left w:val="nil"/>
              <w:bottom w:val="nil"/>
              <w:right w:val="nil"/>
            </w:tcBorders>
          </w:tcPr>
          <w:p w14:paraId="08B6CF74"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0.0957</w:t>
            </w:r>
          </w:p>
        </w:tc>
        <w:tc>
          <w:tcPr>
            <w:tcW w:w="1418" w:type="dxa"/>
            <w:tcBorders>
              <w:top w:val="nil"/>
              <w:left w:val="nil"/>
              <w:bottom w:val="nil"/>
              <w:right w:val="nil"/>
            </w:tcBorders>
          </w:tcPr>
          <w:p w14:paraId="68415833"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0.485</w:t>
            </w:r>
          </w:p>
        </w:tc>
        <w:tc>
          <w:tcPr>
            <w:tcW w:w="1417" w:type="dxa"/>
            <w:tcBorders>
              <w:top w:val="nil"/>
              <w:left w:val="nil"/>
              <w:bottom w:val="nil"/>
              <w:right w:val="nil"/>
            </w:tcBorders>
          </w:tcPr>
          <w:p w14:paraId="2DE18C2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0.290</w:t>
            </w:r>
          </w:p>
        </w:tc>
        <w:tc>
          <w:tcPr>
            <w:tcW w:w="1418" w:type="dxa"/>
            <w:tcBorders>
              <w:top w:val="nil"/>
              <w:left w:val="nil"/>
              <w:bottom w:val="nil"/>
              <w:right w:val="nil"/>
            </w:tcBorders>
          </w:tcPr>
          <w:p w14:paraId="40CB4030"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3.026</w:t>
            </w:r>
          </w:p>
        </w:tc>
        <w:tc>
          <w:tcPr>
            <w:tcW w:w="1417" w:type="dxa"/>
            <w:tcBorders>
              <w:top w:val="nil"/>
              <w:left w:val="nil"/>
              <w:bottom w:val="nil"/>
              <w:right w:val="nil"/>
            </w:tcBorders>
          </w:tcPr>
          <w:p w14:paraId="506A40D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2.933</w:t>
            </w:r>
          </w:p>
        </w:tc>
      </w:tr>
      <w:tr w:rsidR="005D6588" w:rsidRPr="00E3562B" w14:paraId="3AA63E2E" w14:textId="77777777" w:rsidTr="00294522">
        <w:trPr>
          <w:trHeight w:val="249"/>
        </w:trPr>
        <w:tc>
          <w:tcPr>
            <w:tcW w:w="2268" w:type="dxa"/>
          </w:tcPr>
          <w:p w14:paraId="1F9A93D2" w14:textId="77777777" w:rsidR="00A60DA1" w:rsidRPr="00E3562B" w:rsidRDefault="00A60DA1" w:rsidP="00294522">
            <w:pPr>
              <w:spacing w:line="240" w:lineRule="auto"/>
              <w:jc w:val="left"/>
              <w:rPr>
                <w:rFonts w:asciiTheme="majorBidi" w:hAnsiTheme="majorBidi" w:cstheme="majorBidi"/>
                <w:szCs w:val="22"/>
              </w:rPr>
            </w:pPr>
          </w:p>
        </w:tc>
        <w:tc>
          <w:tcPr>
            <w:tcW w:w="1276" w:type="dxa"/>
            <w:tcBorders>
              <w:top w:val="nil"/>
              <w:left w:val="nil"/>
              <w:bottom w:val="nil"/>
              <w:right w:val="nil"/>
            </w:tcBorders>
          </w:tcPr>
          <w:p w14:paraId="08259FCE"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(0.050)</w:t>
            </w:r>
          </w:p>
        </w:tc>
        <w:tc>
          <w:tcPr>
            <w:tcW w:w="1418" w:type="dxa"/>
            <w:tcBorders>
              <w:top w:val="nil"/>
              <w:left w:val="nil"/>
              <w:bottom w:val="nil"/>
              <w:right w:val="nil"/>
            </w:tcBorders>
          </w:tcPr>
          <w:p w14:paraId="26706460"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(0.252)</w:t>
            </w:r>
          </w:p>
        </w:tc>
        <w:tc>
          <w:tcPr>
            <w:tcW w:w="1417" w:type="dxa"/>
            <w:tcBorders>
              <w:top w:val="nil"/>
              <w:left w:val="nil"/>
              <w:bottom w:val="nil"/>
              <w:right w:val="nil"/>
            </w:tcBorders>
          </w:tcPr>
          <w:p w14:paraId="40C775BD"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(0.152)</w:t>
            </w:r>
          </w:p>
        </w:tc>
        <w:tc>
          <w:tcPr>
            <w:tcW w:w="1418" w:type="dxa"/>
            <w:tcBorders>
              <w:top w:val="nil"/>
              <w:left w:val="nil"/>
              <w:bottom w:val="nil"/>
              <w:right w:val="nil"/>
            </w:tcBorders>
          </w:tcPr>
          <w:p w14:paraId="3EFCBCB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(1.592)</w:t>
            </w:r>
          </w:p>
        </w:tc>
        <w:tc>
          <w:tcPr>
            <w:tcW w:w="1417" w:type="dxa"/>
            <w:tcBorders>
              <w:top w:val="nil"/>
              <w:left w:val="nil"/>
              <w:bottom w:val="nil"/>
              <w:right w:val="nil"/>
            </w:tcBorders>
          </w:tcPr>
          <w:p w14:paraId="00E05EE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(1.544)</w:t>
            </w:r>
          </w:p>
        </w:tc>
      </w:tr>
      <w:tr w:rsidR="005D6588" w:rsidRPr="00E3562B" w14:paraId="3F6C2D5F" w14:textId="77777777" w:rsidTr="00294522">
        <w:trPr>
          <w:trHeight w:val="249"/>
        </w:trPr>
        <w:tc>
          <w:tcPr>
            <w:tcW w:w="2268" w:type="dxa"/>
          </w:tcPr>
          <w:p w14:paraId="16AC3844" w14:textId="77777777" w:rsidR="00A60DA1" w:rsidRPr="00E3562B" w:rsidRDefault="00A60DA1" w:rsidP="00294522">
            <w:pPr>
              <w:spacing w:line="240" w:lineRule="auto"/>
              <w:jc w:val="left"/>
              <w:rPr>
                <w:rFonts w:asciiTheme="majorBidi" w:hAnsiTheme="majorBidi" w:cstheme="majorBidi"/>
                <w:iCs/>
                <w:szCs w:val="22"/>
              </w:rPr>
            </w:pPr>
            <w:r w:rsidRPr="00E3562B">
              <w:rPr>
                <w:rFonts w:asciiTheme="majorBidi" w:hAnsiTheme="majorBidi" w:cstheme="majorBidi"/>
                <w:iCs/>
                <w:szCs w:val="22"/>
              </w:rPr>
              <w:t>INDUSTRY</w:t>
            </w:r>
          </w:p>
        </w:tc>
        <w:tc>
          <w:tcPr>
            <w:tcW w:w="1276" w:type="dxa"/>
          </w:tcPr>
          <w:p w14:paraId="67F74791"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Yes   </w:t>
            </w:r>
          </w:p>
        </w:tc>
        <w:tc>
          <w:tcPr>
            <w:tcW w:w="1418" w:type="dxa"/>
          </w:tcPr>
          <w:p w14:paraId="14816EBA"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Yes   </w:t>
            </w:r>
          </w:p>
        </w:tc>
        <w:tc>
          <w:tcPr>
            <w:tcW w:w="1417" w:type="dxa"/>
          </w:tcPr>
          <w:p w14:paraId="4481A25F"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Yes   </w:t>
            </w:r>
          </w:p>
        </w:tc>
        <w:tc>
          <w:tcPr>
            <w:tcW w:w="1418" w:type="dxa"/>
          </w:tcPr>
          <w:p w14:paraId="3C3EF752"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Yes   </w:t>
            </w:r>
          </w:p>
        </w:tc>
        <w:tc>
          <w:tcPr>
            <w:tcW w:w="1417" w:type="dxa"/>
          </w:tcPr>
          <w:p w14:paraId="56A2D257"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Yes   </w:t>
            </w:r>
          </w:p>
        </w:tc>
      </w:tr>
      <w:tr w:rsidR="005D6588" w:rsidRPr="00E3562B" w14:paraId="1FC948B5" w14:textId="77777777" w:rsidTr="00294522">
        <w:trPr>
          <w:trHeight w:val="249"/>
        </w:trPr>
        <w:tc>
          <w:tcPr>
            <w:tcW w:w="2268" w:type="dxa"/>
          </w:tcPr>
          <w:p w14:paraId="34156037" w14:textId="77777777" w:rsidR="00A60DA1" w:rsidRPr="00E3562B" w:rsidRDefault="00A60DA1" w:rsidP="00294522">
            <w:pPr>
              <w:spacing w:line="240" w:lineRule="auto"/>
              <w:jc w:val="left"/>
              <w:rPr>
                <w:rFonts w:asciiTheme="majorBidi" w:hAnsiTheme="majorBidi" w:cstheme="majorBidi"/>
                <w:iCs/>
                <w:szCs w:val="22"/>
              </w:rPr>
            </w:pPr>
            <w:r w:rsidRPr="00E3562B">
              <w:rPr>
                <w:rFonts w:asciiTheme="majorBidi" w:hAnsiTheme="majorBidi" w:cstheme="majorBidi"/>
                <w:iCs/>
                <w:szCs w:val="22"/>
              </w:rPr>
              <w:t>YEAR</w:t>
            </w:r>
          </w:p>
        </w:tc>
        <w:tc>
          <w:tcPr>
            <w:tcW w:w="1276" w:type="dxa"/>
          </w:tcPr>
          <w:p w14:paraId="3318FB7E"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Yes   </w:t>
            </w:r>
          </w:p>
        </w:tc>
        <w:tc>
          <w:tcPr>
            <w:tcW w:w="1418" w:type="dxa"/>
          </w:tcPr>
          <w:p w14:paraId="6074DE9F"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Yes   </w:t>
            </w:r>
          </w:p>
        </w:tc>
        <w:tc>
          <w:tcPr>
            <w:tcW w:w="1417" w:type="dxa"/>
          </w:tcPr>
          <w:p w14:paraId="7E8D6F65"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Yes   </w:t>
            </w:r>
          </w:p>
        </w:tc>
        <w:tc>
          <w:tcPr>
            <w:tcW w:w="1418" w:type="dxa"/>
          </w:tcPr>
          <w:p w14:paraId="12F77CA4"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Yes   </w:t>
            </w:r>
          </w:p>
        </w:tc>
        <w:tc>
          <w:tcPr>
            <w:tcW w:w="1417" w:type="dxa"/>
          </w:tcPr>
          <w:p w14:paraId="3B75584D"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 xml:space="preserve">Yes   </w:t>
            </w:r>
          </w:p>
        </w:tc>
      </w:tr>
      <w:tr w:rsidR="005D6588" w:rsidRPr="00E3562B" w14:paraId="0C2CA615" w14:textId="77777777" w:rsidTr="00294522">
        <w:trPr>
          <w:trHeight w:val="249"/>
        </w:trPr>
        <w:tc>
          <w:tcPr>
            <w:tcW w:w="2268" w:type="dxa"/>
          </w:tcPr>
          <w:p w14:paraId="07F70D37"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 xml:space="preserve">Constant </w:t>
            </w:r>
          </w:p>
        </w:tc>
        <w:tc>
          <w:tcPr>
            <w:tcW w:w="1276" w:type="dxa"/>
            <w:tcBorders>
              <w:top w:val="nil"/>
              <w:left w:val="nil"/>
              <w:bottom w:val="nil"/>
              <w:right w:val="nil"/>
            </w:tcBorders>
          </w:tcPr>
          <w:p w14:paraId="2BC2B912"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7.158</w:t>
            </w:r>
          </w:p>
        </w:tc>
        <w:tc>
          <w:tcPr>
            <w:tcW w:w="1418" w:type="dxa"/>
            <w:tcBorders>
              <w:top w:val="nil"/>
              <w:left w:val="nil"/>
              <w:bottom w:val="nil"/>
              <w:right w:val="nil"/>
            </w:tcBorders>
          </w:tcPr>
          <w:p w14:paraId="6842A2F4"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0.439</w:t>
            </w:r>
          </w:p>
        </w:tc>
        <w:tc>
          <w:tcPr>
            <w:tcW w:w="1417" w:type="dxa"/>
            <w:tcBorders>
              <w:top w:val="nil"/>
              <w:left w:val="nil"/>
              <w:bottom w:val="nil"/>
              <w:right w:val="nil"/>
            </w:tcBorders>
          </w:tcPr>
          <w:p w14:paraId="5F726C6A"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8.447</w:t>
            </w:r>
          </w:p>
        </w:tc>
        <w:tc>
          <w:tcPr>
            <w:tcW w:w="1418" w:type="dxa"/>
            <w:tcBorders>
              <w:top w:val="nil"/>
              <w:left w:val="nil"/>
              <w:bottom w:val="nil"/>
              <w:right w:val="nil"/>
            </w:tcBorders>
          </w:tcPr>
          <w:p w14:paraId="43B60F6D"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9.460</w:t>
            </w:r>
          </w:p>
        </w:tc>
        <w:tc>
          <w:tcPr>
            <w:tcW w:w="1417" w:type="dxa"/>
            <w:tcBorders>
              <w:top w:val="nil"/>
              <w:left w:val="nil"/>
              <w:bottom w:val="nil"/>
              <w:right w:val="nil"/>
            </w:tcBorders>
          </w:tcPr>
          <w:p w14:paraId="3A7A982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13.95</w:t>
            </w:r>
          </w:p>
        </w:tc>
      </w:tr>
      <w:tr w:rsidR="005D6588" w:rsidRPr="00E3562B" w14:paraId="2D727290" w14:textId="77777777" w:rsidTr="00294522">
        <w:trPr>
          <w:trHeight w:val="249"/>
        </w:trPr>
        <w:tc>
          <w:tcPr>
            <w:tcW w:w="2268" w:type="dxa"/>
          </w:tcPr>
          <w:p w14:paraId="27EC1BCB"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 xml:space="preserve"> </w:t>
            </w:r>
          </w:p>
        </w:tc>
        <w:tc>
          <w:tcPr>
            <w:tcW w:w="1276" w:type="dxa"/>
            <w:tcBorders>
              <w:top w:val="nil"/>
              <w:left w:val="nil"/>
              <w:bottom w:val="nil"/>
              <w:right w:val="nil"/>
            </w:tcBorders>
          </w:tcPr>
          <w:p w14:paraId="27F2FC03"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(0.681)</w:t>
            </w:r>
          </w:p>
        </w:tc>
        <w:tc>
          <w:tcPr>
            <w:tcW w:w="1418" w:type="dxa"/>
            <w:tcBorders>
              <w:top w:val="nil"/>
              <w:left w:val="nil"/>
              <w:bottom w:val="nil"/>
              <w:right w:val="nil"/>
            </w:tcBorders>
          </w:tcPr>
          <w:p w14:paraId="2FBABA9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(0.0457)</w:t>
            </w:r>
          </w:p>
        </w:tc>
        <w:tc>
          <w:tcPr>
            <w:tcW w:w="1417" w:type="dxa"/>
            <w:tcBorders>
              <w:top w:val="nil"/>
              <w:left w:val="nil"/>
              <w:bottom w:val="nil"/>
              <w:right w:val="nil"/>
            </w:tcBorders>
          </w:tcPr>
          <w:p w14:paraId="2994C883"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(0.841)</w:t>
            </w:r>
          </w:p>
        </w:tc>
        <w:tc>
          <w:tcPr>
            <w:tcW w:w="1418" w:type="dxa"/>
            <w:tcBorders>
              <w:top w:val="nil"/>
              <w:left w:val="nil"/>
              <w:bottom w:val="nil"/>
              <w:right w:val="nil"/>
            </w:tcBorders>
          </w:tcPr>
          <w:p w14:paraId="4BDD1006"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(1.020)</w:t>
            </w:r>
          </w:p>
        </w:tc>
        <w:tc>
          <w:tcPr>
            <w:tcW w:w="1417" w:type="dxa"/>
            <w:tcBorders>
              <w:top w:val="nil"/>
              <w:left w:val="nil"/>
              <w:bottom w:val="nil"/>
              <w:right w:val="nil"/>
            </w:tcBorders>
          </w:tcPr>
          <w:p w14:paraId="7ABC8620"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(1.427)</w:t>
            </w:r>
          </w:p>
        </w:tc>
      </w:tr>
      <w:tr w:rsidR="005D6588" w:rsidRPr="00E3562B" w14:paraId="4B259290" w14:textId="77777777" w:rsidTr="00294522">
        <w:trPr>
          <w:trHeight w:val="249"/>
        </w:trPr>
        <w:tc>
          <w:tcPr>
            <w:tcW w:w="2268" w:type="dxa"/>
          </w:tcPr>
          <w:p w14:paraId="1AA1B862"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No. of observations</w:t>
            </w:r>
          </w:p>
        </w:tc>
        <w:tc>
          <w:tcPr>
            <w:tcW w:w="1276" w:type="dxa"/>
          </w:tcPr>
          <w:p w14:paraId="492B58A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394</w:t>
            </w:r>
          </w:p>
        </w:tc>
        <w:tc>
          <w:tcPr>
            <w:tcW w:w="1418" w:type="dxa"/>
          </w:tcPr>
          <w:p w14:paraId="1EF5ACDB"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417</w:t>
            </w:r>
          </w:p>
        </w:tc>
        <w:tc>
          <w:tcPr>
            <w:tcW w:w="1417" w:type="dxa"/>
          </w:tcPr>
          <w:p w14:paraId="51F51663"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417</w:t>
            </w:r>
          </w:p>
        </w:tc>
        <w:tc>
          <w:tcPr>
            <w:tcW w:w="1418" w:type="dxa"/>
          </w:tcPr>
          <w:p w14:paraId="4268C315"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350</w:t>
            </w:r>
          </w:p>
        </w:tc>
        <w:tc>
          <w:tcPr>
            <w:tcW w:w="1417" w:type="dxa"/>
          </w:tcPr>
          <w:p w14:paraId="4810E4C7"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350</w:t>
            </w:r>
          </w:p>
        </w:tc>
      </w:tr>
      <w:tr w:rsidR="005D6588" w:rsidRPr="00E3562B" w14:paraId="1DCC046E" w14:textId="77777777" w:rsidTr="00294522">
        <w:trPr>
          <w:trHeight w:val="249"/>
        </w:trPr>
        <w:tc>
          <w:tcPr>
            <w:tcW w:w="2268" w:type="dxa"/>
            <w:tcBorders>
              <w:bottom w:val="single" w:sz="4" w:space="0" w:color="auto"/>
            </w:tcBorders>
          </w:tcPr>
          <w:p w14:paraId="7B748A35" w14:textId="77777777" w:rsidR="00A60DA1" w:rsidRPr="00E3562B" w:rsidRDefault="00A60DA1" w:rsidP="00294522">
            <w:pPr>
              <w:spacing w:line="240" w:lineRule="auto"/>
              <w:jc w:val="left"/>
              <w:rPr>
                <w:rFonts w:asciiTheme="majorBidi" w:hAnsiTheme="majorBidi" w:cstheme="majorBidi"/>
                <w:szCs w:val="22"/>
              </w:rPr>
            </w:pPr>
            <w:r w:rsidRPr="00E3562B">
              <w:rPr>
                <w:rFonts w:asciiTheme="majorBidi" w:hAnsiTheme="majorBidi" w:cstheme="majorBidi"/>
                <w:szCs w:val="22"/>
              </w:rPr>
              <w:t>Adj. R</w:t>
            </w:r>
            <w:r w:rsidRPr="00E3562B">
              <w:rPr>
                <w:rFonts w:asciiTheme="majorBidi" w:hAnsiTheme="majorBidi" w:cstheme="majorBidi"/>
                <w:szCs w:val="22"/>
                <w:vertAlign w:val="superscript"/>
              </w:rPr>
              <w:t>2</w:t>
            </w:r>
          </w:p>
        </w:tc>
        <w:tc>
          <w:tcPr>
            <w:tcW w:w="1276" w:type="dxa"/>
            <w:tcBorders>
              <w:bottom w:val="single" w:sz="4" w:space="0" w:color="auto"/>
            </w:tcBorders>
          </w:tcPr>
          <w:p w14:paraId="40E702AC"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0.424</w:t>
            </w:r>
          </w:p>
        </w:tc>
        <w:tc>
          <w:tcPr>
            <w:tcW w:w="1418" w:type="dxa"/>
            <w:tcBorders>
              <w:bottom w:val="single" w:sz="4" w:space="0" w:color="auto"/>
            </w:tcBorders>
          </w:tcPr>
          <w:p w14:paraId="795E5E37"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0.463</w:t>
            </w:r>
          </w:p>
        </w:tc>
        <w:tc>
          <w:tcPr>
            <w:tcW w:w="1417" w:type="dxa"/>
            <w:tcBorders>
              <w:bottom w:val="single" w:sz="4" w:space="0" w:color="auto"/>
            </w:tcBorders>
          </w:tcPr>
          <w:p w14:paraId="34516D1A" w14:textId="77777777" w:rsidR="00A60DA1" w:rsidRPr="00E3562B" w:rsidRDefault="00A60DA1" w:rsidP="00294522">
            <w:pPr>
              <w:spacing w:line="240" w:lineRule="auto"/>
              <w:jc w:val="right"/>
              <w:rPr>
                <w:rFonts w:asciiTheme="majorBidi" w:hAnsiTheme="majorBidi" w:cstheme="majorBidi"/>
                <w:szCs w:val="22"/>
              </w:rPr>
            </w:pPr>
            <w:r w:rsidRPr="00E3562B">
              <w:rPr>
                <w:rFonts w:asciiTheme="majorBidi" w:hAnsiTheme="majorBidi" w:cstheme="majorBidi"/>
                <w:szCs w:val="22"/>
              </w:rPr>
              <w:t>0.447</w:t>
            </w:r>
          </w:p>
        </w:tc>
        <w:tc>
          <w:tcPr>
            <w:tcW w:w="1418" w:type="dxa"/>
            <w:tcBorders>
              <w:bottom w:val="single" w:sz="4" w:space="0" w:color="auto"/>
            </w:tcBorders>
          </w:tcPr>
          <w:p w14:paraId="32D34182" w14:textId="77777777" w:rsidR="00A60DA1" w:rsidRPr="00E3562B" w:rsidRDefault="00A60DA1" w:rsidP="00294522">
            <w:pPr>
              <w:spacing w:line="240" w:lineRule="auto"/>
              <w:jc w:val="right"/>
              <w:rPr>
                <w:rFonts w:asciiTheme="majorBidi" w:hAnsiTheme="majorBidi" w:cstheme="majorBidi"/>
                <w:szCs w:val="22"/>
              </w:rPr>
            </w:pPr>
          </w:p>
        </w:tc>
        <w:tc>
          <w:tcPr>
            <w:tcW w:w="1417" w:type="dxa"/>
            <w:tcBorders>
              <w:bottom w:val="single" w:sz="4" w:space="0" w:color="auto"/>
            </w:tcBorders>
          </w:tcPr>
          <w:p w14:paraId="6D84E181" w14:textId="77777777" w:rsidR="00A60DA1" w:rsidRPr="00E3562B" w:rsidRDefault="00A60DA1" w:rsidP="00294522">
            <w:pPr>
              <w:spacing w:line="240" w:lineRule="auto"/>
              <w:jc w:val="right"/>
              <w:rPr>
                <w:rFonts w:asciiTheme="majorBidi" w:hAnsiTheme="majorBidi" w:cstheme="majorBidi"/>
                <w:szCs w:val="22"/>
              </w:rPr>
            </w:pPr>
          </w:p>
        </w:tc>
      </w:tr>
    </w:tbl>
    <w:p w14:paraId="36D2BF76" w14:textId="77777777" w:rsidR="00A60DA1" w:rsidRPr="00E3562B" w:rsidRDefault="00A60DA1" w:rsidP="00A60DA1">
      <w:pPr>
        <w:spacing w:line="240" w:lineRule="auto"/>
        <w:jc w:val="left"/>
        <w:rPr>
          <w:i/>
          <w:iCs/>
          <w:sz w:val="20"/>
          <w:lang w:val="en-GB"/>
        </w:rPr>
      </w:pPr>
      <w:r w:rsidRPr="00E3562B">
        <w:rPr>
          <w:i/>
          <w:iCs/>
          <w:sz w:val="20"/>
          <w:lang w:val="en-GB"/>
        </w:rPr>
        <w:t>Note: Detailed definitions of all variables are available in Table 2. t-statistics are provided in parentheses. *p &lt; 0.10.**p &lt; 0.05.***p &lt; 0.01.</w:t>
      </w:r>
    </w:p>
    <w:p w14:paraId="4E07E0FE" w14:textId="77777777" w:rsidR="00A60DA1" w:rsidRPr="00E3562B" w:rsidRDefault="00A60DA1" w:rsidP="00A60DA1">
      <w:pPr>
        <w:spacing w:line="240" w:lineRule="auto"/>
        <w:jc w:val="left"/>
        <w:rPr>
          <w:i/>
          <w:iCs/>
          <w:sz w:val="20"/>
          <w:lang w:val="en-GB"/>
        </w:rPr>
      </w:pPr>
    </w:p>
    <w:p w14:paraId="1F4F42EC" w14:textId="77777777" w:rsidR="00A60DA1" w:rsidRPr="00E3562B" w:rsidRDefault="00A60DA1" w:rsidP="00A60DA1">
      <w:pPr>
        <w:spacing w:line="240" w:lineRule="auto"/>
        <w:jc w:val="left"/>
        <w:rPr>
          <w:i/>
          <w:iCs/>
          <w:sz w:val="20"/>
          <w:lang w:val="en-GB"/>
        </w:rPr>
      </w:pPr>
    </w:p>
    <w:p w14:paraId="35E8C5F3" w14:textId="0746A803" w:rsidR="00DE4C72" w:rsidRPr="00E3562B" w:rsidRDefault="00DE4C72">
      <w:pPr>
        <w:spacing w:line="240" w:lineRule="auto"/>
        <w:jc w:val="left"/>
        <w:rPr>
          <w:lang w:val="en-GB"/>
        </w:rPr>
      </w:pPr>
    </w:p>
    <w:sectPr w:rsidR="00DE4C72" w:rsidRPr="00E3562B" w:rsidSect="00625A08">
      <w:footerReference w:type="default" r:id="rId23"/>
      <w:pgSz w:w="11901" w:h="16817"/>
      <w:pgMar w:top="1440" w:right="1418" w:bottom="144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C4B81" w14:textId="77777777" w:rsidR="00C966B5" w:rsidRDefault="00C966B5" w:rsidP="0039581D">
      <w:pPr>
        <w:spacing w:line="240" w:lineRule="auto"/>
      </w:pPr>
      <w:r>
        <w:separator/>
      </w:r>
    </w:p>
  </w:endnote>
  <w:endnote w:type="continuationSeparator" w:id="0">
    <w:p w14:paraId="5280BD57" w14:textId="77777777" w:rsidR="00C966B5" w:rsidRDefault="00C966B5" w:rsidP="0039581D">
      <w:pPr>
        <w:spacing w:line="240" w:lineRule="auto"/>
      </w:pPr>
      <w:r>
        <w:continuationSeparator/>
      </w:r>
    </w:p>
  </w:endnote>
  <w:endnote w:type="continuationNotice" w:id="1">
    <w:p w14:paraId="208166D7" w14:textId="77777777" w:rsidR="00C966B5" w:rsidRDefault="00C966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189F" w14:textId="77777777" w:rsidR="00A60DA1" w:rsidRDefault="00A60D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7087123" w14:textId="77777777" w:rsidR="00A60DA1" w:rsidRDefault="00A60DA1" w:rsidP="002310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5042640"/>
      <w:docPartObj>
        <w:docPartGallery w:val="Page Numbers (Bottom of Page)"/>
        <w:docPartUnique/>
      </w:docPartObj>
    </w:sdtPr>
    <w:sdtContent>
      <w:p w14:paraId="24B0B7F4" w14:textId="77777777" w:rsidR="00A60DA1" w:rsidRDefault="00A60D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8DC6D6" w14:textId="77777777" w:rsidR="00A60DA1" w:rsidRDefault="00A60DA1" w:rsidP="002310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CBFA" w14:textId="77777777" w:rsidR="00A60DA1" w:rsidRDefault="00A60D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947961"/>
      <w:docPartObj>
        <w:docPartGallery w:val="Page Numbers (Bottom of Page)"/>
        <w:docPartUnique/>
      </w:docPartObj>
    </w:sdtPr>
    <w:sdtEndPr>
      <w:rPr>
        <w:noProof/>
      </w:rPr>
    </w:sdtEndPr>
    <w:sdtContent>
      <w:p w14:paraId="31E09E57" w14:textId="77777777" w:rsidR="00A60DA1" w:rsidRDefault="00A60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273A5A" w14:textId="77777777" w:rsidR="00A60DA1" w:rsidRDefault="00A60D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9DEA" w14:textId="77777777" w:rsidR="00A60DA1" w:rsidRDefault="00A60D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280413"/>
      <w:docPartObj>
        <w:docPartGallery w:val="Page Numbers (Bottom of Page)"/>
        <w:docPartUnique/>
      </w:docPartObj>
    </w:sdtPr>
    <w:sdtEndPr>
      <w:rPr>
        <w:noProof/>
      </w:rPr>
    </w:sdtEndPr>
    <w:sdtContent>
      <w:p w14:paraId="63B92551" w14:textId="77777777" w:rsidR="00A60DA1" w:rsidRDefault="00A60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990E2" w14:textId="77777777" w:rsidR="00A60DA1" w:rsidRDefault="00A60D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023553"/>
      <w:docPartObj>
        <w:docPartGallery w:val="Page Numbers (Bottom of Page)"/>
        <w:docPartUnique/>
      </w:docPartObj>
    </w:sdtPr>
    <w:sdtEndPr>
      <w:rPr>
        <w:noProof/>
      </w:rPr>
    </w:sdtEndPr>
    <w:sdtContent>
      <w:p w14:paraId="07AD1E4D" w14:textId="468527FF" w:rsidR="00AF152B" w:rsidRDefault="00AF15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7B0CE" w14:textId="77777777" w:rsidR="00AF152B" w:rsidRDefault="00AF1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B3922" w14:textId="77777777" w:rsidR="00C966B5" w:rsidRDefault="00C966B5" w:rsidP="0039581D">
      <w:pPr>
        <w:spacing w:line="240" w:lineRule="auto"/>
      </w:pPr>
      <w:r>
        <w:separator/>
      </w:r>
    </w:p>
  </w:footnote>
  <w:footnote w:type="continuationSeparator" w:id="0">
    <w:p w14:paraId="2F0435D7" w14:textId="77777777" w:rsidR="00C966B5" w:rsidRDefault="00C966B5" w:rsidP="0039581D">
      <w:pPr>
        <w:spacing w:line="240" w:lineRule="auto"/>
      </w:pPr>
      <w:r>
        <w:continuationSeparator/>
      </w:r>
    </w:p>
  </w:footnote>
  <w:footnote w:type="continuationNotice" w:id="1">
    <w:p w14:paraId="39CFF33E" w14:textId="77777777" w:rsidR="00C966B5" w:rsidRDefault="00C966B5">
      <w:pPr>
        <w:spacing w:line="240" w:lineRule="auto"/>
      </w:pPr>
    </w:p>
  </w:footnote>
  <w:footnote w:id="2">
    <w:p w14:paraId="2AA25AF3" w14:textId="77777777" w:rsidR="00C46059" w:rsidRPr="006B519F" w:rsidRDefault="00C46059" w:rsidP="00C46059">
      <w:pPr>
        <w:pStyle w:val="FootnoteText"/>
      </w:pPr>
      <w:r w:rsidRPr="006B519F">
        <w:rPr>
          <w:rStyle w:val="FootnoteReference"/>
          <w:i/>
        </w:rPr>
        <w:footnoteRef/>
      </w:r>
      <w:r w:rsidRPr="006B519F">
        <w:rPr>
          <w:i/>
        </w:rPr>
        <w:t xml:space="preserve"> Corresponding author.</w:t>
      </w:r>
    </w:p>
  </w:footnote>
  <w:footnote w:id="3">
    <w:p w14:paraId="6D19B8CD" w14:textId="7912E775" w:rsidR="00B03248" w:rsidRDefault="00B03248">
      <w:pPr>
        <w:pStyle w:val="FootnoteText"/>
      </w:pPr>
      <w:r w:rsidRPr="0066553C">
        <w:rPr>
          <w:rStyle w:val="FootnoteReference"/>
        </w:rPr>
        <w:footnoteRef/>
      </w:r>
      <w:r>
        <w:t xml:space="preserve"> Although the study was published in 2019, it is based on data that precedes the introduction of the Australian Modern Slavery Act of 2018.</w:t>
      </w:r>
    </w:p>
  </w:footnote>
  <w:footnote w:id="4">
    <w:p w14:paraId="489DA004" w14:textId="77777777" w:rsidR="00DD1F8F" w:rsidRDefault="00DD1F8F" w:rsidP="00DD1F8F">
      <w:pPr>
        <w:pStyle w:val="FootnoteText"/>
      </w:pPr>
      <w:r w:rsidRPr="00FE3F54">
        <w:rPr>
          <w:rStyle w:val="FootnoteReference"/>
        </w:rPr>
        <w:footnoteRef/>
      </w:r>
      <w:r w:rsidRPr="00FE3F54">
        <w:t xml:space="preserve"> Industries such as construction, retail, mining, fishing, </w:t>
      </w:r>
      <w:proofErr w:type="gramStart"/>
      <w:r w:rsidRPr="00FE3F54">
        <w:t>brick-making</w:t>
      </w:r>
      <w:proofErr w:type="gramEnd"/>
      <w:r w:rsidRPr="00FE3F54">
        <w:t>, automotive, steel, and agriculture are considered high-risk sectors for modern slavery, whereas finance, insurance, and publishing are regarded as low-risk industries (Cousins et al., 2020).</w:t>
      </w:r>
    </w:p>
    <w:p w14:paraId="6210A7F8" w14:textId="77777777" w:rsidR="00DD1F8F" w:rsidRDefault="00DD1F8F" w:rsidP="00DD1F8F">
      <w:pPr>
        <w:pStyle w:val="FootnoteText"/>
      </w:pPr>
    </w:p>
    <w:p w14:paraId="3408D23A" w14:textId="77777777" w:rsidR="00DD1F8F" w:rsidRDefault="00DD1F8F" w:rsidP="00DD1F8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F5C2A" w14:textId="77777777" w:rsidR="00A60DA1" w:rsidRDefault="00A60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90F45" w14:textId="77777777" w:rsidR="00A60DA1" w:rsidRDefault="00A60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086B" w14:textId="77777777" w:rsidR="00A60DA1" w:rsidRDefault="00A6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F853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BBB71"/>
    <w:multiLevelType w:val="multilevel"/>
    <w:tmpl w:val="DA1887D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833BC"/>
    <w:multiLevelType w:val="multilevel"/>
    <w:tmpl w:val="53B6DE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A9A3DE5"/>
    <w:multiLevelType w:val="multilevel"/>
    <w:tmpl w:val="C430FE5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7B21D"/>
    <w:multiLevelType w:val="multilevel"/>
    <w:tmpl w:val="F8509A7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53F614"/>
    <w:multiLevelType w:val="multilevel"/>
    <w:tmpl w:val="48B82DC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76B71"/>
    <w:multiLevelType w:val="hybridMultilevel"/>
    <w:tmpl w:val="4C3C20D6"/>
    <w:numStyleLink w:val="ImportedStyle6"/>
  </w:abstractNum>
  <w:abstractNum w:abstractNumId="7" w15:restartNumberingAfterBreak="0">
    <w:nsid w:val="1BDD16B9"/>
    <w:multiLevelType w:val="hybridMultilevel"/>
    <w:tmpl w:val="05BA24F4"/>
    <w:lvl w:ilvl="0" w:tplc="2F30CD46">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FFD88"/>
    <w:multiLevelType w:val="multilevel"/>
    <w:tmpl w:val="AD1A3D0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0A2FCA"/>
    <w:multiLevelType w:val="hybridMultilevel"/>
    <w:tmpl w:val="0B66C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B0EA1"/>
    <w:multiLevelType w:val="hybridMultilevel"/>
    <w:tmpl w:val="D966A0FC"/>
    <w:lvl w:ilvl="0" w:tplc="04090001">
      <w:start w:val="1"/>
      <w:numFmt w:val="decimal"/>
      <w:lvlText w:val="%1."/>
      <w:lvlJc w:val="left"/>
      <w:pPr>
        <w:tabs>
          <w:tab w:val="num" w:pos="720"/>
        </w:tabs>
        <w:ind w:left="720" w:hanging="360"/>
      </w:pPr>
    </w:lvl>
    <w:lvl w:ilvl="1" w:tplc="08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4058981"/>
    <w:multiLevelType w:val="multilevel"/>
    <w:tmpl w:val="CE7CF42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DB4100"/>
    <w:multiLevelType w:val="multilevel"/>
    <w:tmpl w:val="FEC0A54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F253A7"/>
    <w:multiLevelType w:val="multilevel"/>
    <w:tmpl w:val="9070B23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4FDC42"/>
    <w:multiLevelType w:val="multilevel"/>
    <w:tmpl w:val="19AAE89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530BCE"/>
    <w:multiLevelType w:val="hybridMultilevel"/>
    <w:tmpl w:val="28DCE7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D17A53"/>
    <w:multiLevelType w:val="multilevel"/>
    <w:tmpl w:val="3E188E2C"/>
    <w:lvl w:ilvl="0">
      <w:start w:val="1"/>
      <w:numFmt w:val="decimal"/>
      <w:lvlText w:val="%1"/>
      <w:lvlJc w:val="left"/>
      <w:pPr>
        <w:ind w:left="432" w:hanging="432"/>
      </w:pPr>
    </w:lvl>
    <w:lvl w:ilvl="1">
      <w:start w:val="1"/>
      <w:numFmt w:val="decimal"/>
      <w:lvlText w:val="%1.%2."/>
      <w:lvlJc w:val="left"/>
      <w:pPr>
        <w:ind w:left="567" w:hanging="567"/>
      </w:pPr>
      <w:rPr>
        <w:b/>
        <w:color w:val="0070C0"/>
      </w:rPr>
    </w:lvl>
    <w:lvl w:ilvl="2">
      <w:start w:val="1"/>
      <w:numFmt w:val="decimal"/>
      <w:lvlText w:val="%1.%2.%3."/>
      <w:lvlJc w:val="left"/>
      <w:pPr>
        <w:ind w:left="1134" w:hanging="1134"/>
      </w:pPr>
    </w:lvl>
    <w:lvl w:ilvl="3">
      <w:start w:val="1"/>
      <w:numFmt w:val="decimal"/>
      <w:lvlText w:val="%1.%2.%3.%4."/>
      <w:lvlJc w:val="left"/>
      <w:pPr>
        <w:ind w:left="851" w:hanging="851"/>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4E73A1F"/>
    <w:multiLevelType w:val="hybridMultilevel"/>
    <w:tmpl w:val="F748437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F61AB"/>
    <w:multiLevelType w:val="hybridMultilevel"/>
    <w:tmpl w:val="EAC65260"/>
    <w:lvl w:ilvl="0" w:tplc="45704A26">
      <w:start w:val="1"/>
      <w:numFmt w:val="bullet"/>
      <w:lvlText w:val="-"/>
      <w:lvlJc w:val="left"/>
      <w:pPr>
        <w:ind w:left="360" w:hanging="360"/>
      </w:pPr>
      <w:rPr>
        <w:rFonts w:ascii="Times New Roman" w:eastAsia="Times New Roman" w:hAnsi="Times New Roman" w:cs="Times New Roman" w:hint="default"/>
        <w:sz w:val="2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635D13"/>
    <w:multiLevelType w:val="multilevel"/>
    <w:tmpl w:val="DCDA4A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0765D5"/>
    <w:multiLevelType w:val="multilevel"/>
    <w:tmpl w:val="DDF6EAE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6057E7"/>
    <w:multiLevelType w:val="multilevel"/>
    <w:tmpl w:val="0138F83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927BDF"/>
    <w:multiLevelType w:val="hybridMultilevel"/>
    <w:tmpl w:val="E176F090"/>
    <w:lvl w:ilvl="0" w:tplc="BC188B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E0A10"/>
    <w:multiLevelType w:val="multilevel"/>
    <w:tmpl w:val="744892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C0B57"/>
    <w:multiLevelType w:val="hybridMultilevel"/>
    <w:tmpl w:val="4330E668"/>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2D55C2"/>
    <w:multiLevelType w:val="multilevel"/>
    <w:tmpl w:val="0D586BB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0"/>
        </w:tabs>
        <w:ind w:left="567" w:hanging="567"/>
      </w:pPr>
      <w:rPr>
        <w:b/>
        <w:bCs/>
      </w:rPr>
    </w:lvl>
    <w:lvl w:ilvl="2">
      <w:start w:val="1"/>
      <w:numFmt w:val="decimal"/>
      <w:pStyle w:val="Heading3"/>
      <w:lvlText w:val="%1.%2.%3."/>
      <w:lvlJc w:val="left"/>
      <w:pPr>
        <w:tabs>
          <w:tab w:val="num" w:pos="0"/>
        </w:tabs>
        <w:ind w:left="1134" w:hanging="1134"/>
      </w:pPr>
      <w:rPr>
        <w:rFonts w:hint="default"/>
      </w:rPr>
    </w:lvl>
    <w:lvl w:ilvl="3">
      <w:start w:val="1"/>
      <w:numFmt w:val="decimal"/>
      <w:pStyle w:val="Heading4"/>
      <w:lvlText w:val="%1.%2.%3.%4."/>
      <w:lvlJc w:val="left"/>
      <w:pPr>
        <w:tabs>
          <w:tab w:val="num" w:pos="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1FCEB4"/>
    <w:multiLevelType w:val="multilevel"/>
    <w:tmpl w:val="6E86AD0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2EF618"/>
    <w:multiLevelType w:val="multilevel"/>
    <w:tmpl w:val="BFA83C3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8F3951"/>
    <w:multiLevelType w:val="multilevel"/>
    <w:tmpl w:val="DB48E0E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AD7209"/>
    <w:multiLevelType w:val="hybridMultilevel"/>
    <w:tmpl w:val="4C3C20D6"/>
    <w:styleLink w:val="ImportedStyle6"/>
    <w:lvl w:ilvl="0" w:tplc="0E16B9E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88CF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89A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EC3A2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3AEE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94A2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E47E2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1416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C889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56E3D0B"/>
    <w:multiLevelType w:val="hybridMultilevel"/>
    <w:tmpl w:val="E65C1BA0"/>
    <w:lvl w:ilvl="0" w:tplc="F0208D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16228">
    <w:abstractNumId w:val="23"/>
  </w:num>
  <w:num w:numId="2" w16cid:durableId="2138986953">
    <w:abstractNumId w:val="1"/>
  </w:num>
  <w:num w:numId="3" w16cid:durableId="1554199001">
    <w:abstractNumId w:val="14"/>
  </w:num>
  <w:num w:numId="4" w16cid:durableId="748818375">
    <w:abstractNumId w:val="3"/>
  </w:num>
  <w:num w:numId="5" w16cid:durableId="1053239776">
    <w:abstractNumId w:val="20"/>
  </w:num>
  <w:num w:numId="6" w16cid:durableId="1366370360">
    <w:abstractNumId w:val="21"/>
  </w:num>
  <w:num w:numId="7" w16cid:durableId="651519629">
    <w:abstractNumId w:val="27"/>
  </w:num>
  <w:num w:numId="8" w16cid:durableId="1604537644">
    <w:abstractNumId w:val="5"/>
  </w:num>
  <w:num w:numId="9" w16cid:durableId="536235035">
    <w:abstractNumId w:val="28"/>
  </w:num>
  <w:num w:numId="10" w16cid:durableId="776952473">
    <w:abstractNumId w:val="8"/>
  </w:num>
  <w:num w:numId="11" w16cid:durableId="1350642027">
    <w:abstractNumId w:val="4"/>
  </w:num>
  <w:num w:numId="12" w16cid:durableId="1921206725">
    <w:abstractNumId w:val="26"/>
  </w:num>
  <w:num w:numId="13" w16cid:durableId="1592354069">
    <w:abstractNumId w:val="12"/>
  </w:num>
  <w:num w:numId="14" w16cid:durableId="560095402">
    <w:abstractNumId w:val="13"/>
  </w:num>
  <w:num w:numId="15" w16cid:durableId="1921669406">
    <w:abstractNumId w:val="11"/>
  </w:num>
  <w:num w:numId="16" w16cid:durableId="218440525">
    <w:abstractNumId w:val="0"/>
  </w:num>
  <w:num w:numId="17" w16cid:durableId="2011063395">
    <w:abstractNumId w:val="15"/>
  </w:num>
  <w:num w:numId="18" w16cid:durableId="1551381610">
    <w:abstractNumId w:val="10"/>
  </w:num>
  <w:num w:numId="19" w16cid:durableId="1480461632">
    <w:abstractNumId w:val="25"/>
  </w:num>
  <w:num w:numId="20" w16cid:durableId="1894656308">
    <w:abstractNumId w:val="24"/>
  </w:num>
  <w:num w:numId="21" w16cid:durableId="2038038628">
    <w:abstractNumId w:val="17"/>
  </w:num>
  <w:num w:numId="22" w16cid:durableId="1071973094">
    <w:abstractNumId w:val="19"/>
  </w:num>
  <w:num w:numId="23" w16cid:durableId="151063915">
    <w:abstractNumId w:val="2"/>
  </w:num>
  <w:num w:numId="24" w16cid:durableId="664746721">
    <w:abstractNumId w:val="30"/>
  </w:num>
  <w:num w:numId="25" w16cid:durableId="1059355403">
    <w:abstractNumId w:val="22"/>
  </w:num>
  <w:num w:numId="26" w16cid:durableId="1009674230">
    <w:abstractNumId w:val="16"/>
  </w:num>
  <w:num w:numId="27" w16cid:durableId="1138958048">
    <w:abstractNumId w:val="29"/>
  </w:num>
  <w:num w:numId="28" w16cid:durableId="978925188">
    <w:abstractNumId w:val="6"/>
  </w:num>
  <w:num w:numId="29" w16cid:durableId="1554389444">
    <w:abstractNumId w:val="9"/>
  </w:num>
  <w:num w:numId="30" w16cid:durableId="175660645">
    <w:abstractNumId w:val="18"/>
  </w:num>
  <w:num w:numId="31" w16cid:durableId="1037658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M0Mja3MDKxNDY3MDdR0lEKTi0uzszPAykwNK0FACMY5ygtAAAA"/>
  </w:docVars>
  <w:rsids>
    <w:rsidRoot w:val="0039581D"/>
    <w:rsid w:val="000004E4"/>
    <w:rsid w:val="00000A25"/>
    <w:rsid w:val="00000CF9"/>
    <w:rsid w:val="00002B73"/>
    <w:rsid w:val="0000329E"/>
    <w:rsid w:val="000038D4"/>
    <w:rsid w:val="000043B2"/>
    <w:rsid w:val="0000477E"/>
    <w:rsid w:val="0000479D"/>
    <w:rsid w:val="0000590E"/>
    <w:rsid w:val="00006DA2"/>
    <w:rsid w:val="000070F5"/>
    <w:rsid w:val="00007F1B"/>
    <w:rsid w:val="00010B96"/>
    <w:rsid w:val="00010D24"/>
    <w:rsid w:val="00011E96"/>
    <w:rsid w:val="000126E5"/>
    <w:rsid w:val="000137D8"/>
    <w:rsid w:val="00013A31"/>
    <w:rsid w:val="00013D1C"/>
    <w:rsid w:val="00013F3A"/>
    <w:rsid w:val="0001418D"/>
    <w:rsid w:val="000151F3"/>
    <w:rsid w:val="00016612"/>
    <w:rsid w:val="0001723D"/>
    <w:rsid w:val="00017258"/>
    <w:rsid w:val="000173BF"/>
    <w:rsid w:val="000210CA"/>
    <w:rsid w:val="00021B62"/>
    <w:rsid w:val="00021C2B"/>
    <w:rsid w:val="00021CC4"/>
    <w:rsid w:val="000220A4"/>
    <w:rsid w:val="00024641"/>
    <w:rsid w:val="00024782"/>
    <w:rsid w:val="00024BC4"/>
    <w:rsid w:val="00024BDB"/>
    <w:rsid w:val="00024D80"/>
    <w:rsid w:val="00024F01"/>
    <w:rsid w:val="000255B7"/>
    <w:rsid w:val="00025C52"/>
    <w:rsid w:val="00025CDB"/>
    <w:rsid w:val="00025F46"/>
    <w:rsid w:val="00026140"/>
    <w:rsid w:val="000275A4"/>
    <w:rsid w:val="00027645"/>
    <w:rsid w:val="00027E28"/>
    <w:rsid w:val="00027FD2"/>
    <w:rsid w:val="000304EE"/>
    <w:rsid w:val="000317B9"/>
    <w:rsid w:val="00031C17"/>
    <w:rsid w:val="00031DEC"/>
    <w:rsid w:val="0003280B"/>
    <w:rsid w:val="00032980"/>
    <w:rsid w:val="00032BC2"/>
    <w:rsid w:val="00035E8D"/>
    <w:rsid w:val="00036F19"/>
    <w:rsid w:val="000375E3"/>
    <w:rsid w:val="000401DA"/>
    <w:rsid w:val="0004108C"/>
    <w:rsid w:val="000412AF"/>
    <w:rsid w:val="00041F20"/>
    <w:rsid w:val="0004245D"/>
    <w:rsid w:val="00042DBF"/>
    <w:rsid w:val="00043549"/>
    <w:rsid w:val="00044913"/>
    <w:rsid w:val="00045F99"/>
    <w:rsid w:val="0004638C"/>
    <w:rsid w:val="00046872"/>
    <w:rsid w:val="0004777B"/>
    <w:rsid w:val="00047B52"/>
    <w:rsid w:val="00051069"/>
    <w:rsid w:val="0005111C"/>
    <w:rsid w:val="0005116E"/>
    <w:rsid w:val="00051EAB"/>
    <w:rsid w:val="000528C0"/>
    <w:rsid w:val="00052F74"/>
    <w:rsid w:val="000533A6"/>
    <w:rsid w:val="00053450"/>
    <w:rsid w:val="00053A58"/>
    <w:rsid w:val="000549C9"/>
    <w:rsid w:val="00054B54"/>
    <w:rsid w:val="00055EDB"/>
    <w:rsid w:val="0005637B"/>
    <w:rsid w:val="000565DC"/>
    <w:rsid w:val="00057AAB"/>
    <w:rsid w:val="00057CC3"/>
    <w:rsid w:val="000615FE"/>
    <w:rsid w:val="00061653"/>
    <w:rsid w:val="00061853"/>
    <w:rsid w:val="00061DCC"/>
    <w:rsid w:val="00061E9F"/>
    <w:rsid w:val="00062B71"/>
    <w:rsid w:val="00062F02"/>
    <w:rsid w:val="000639C7"/>
    <w:rsid w:val="00063BB3"/>
    <w:rsid w:val="00065201"/>
    <w:rsid w:val="00067398"/>
    <w:rsid w:val="0006745D"/>
    <w:rsid w:val="000679BF"/>
    <w:rsid w:val="00070090"/>
    <w:rsid w:val="00070804"/>
    <w:rsid w:val="00070FD9"/>
    <w:rsid w:val="00071189"/>
    <w:rsid w:val="00071AE0"/>
    <w:rsid w:val="00071D37"/>
    <w:rsid w:val="00073180"/>
    <w:rsid w:val="00076187"/>
    <w:rsid w:val="000775AF"/>
    <w:rsid w:val="000779A5"/>
    <w:rsid w:val="00077A0C"/>
    <w:rsid w:val="00080876"/>
    <w:rsid w:val="0008142F"/>
    <w:rsid w:val="00082583"/>
    <w:rsid w:val="00082828"/>
    <w:rsid w:val="00083D0E"/>
    <w:rsid w:val="000840D6"/>
    <w:rsid w:val="000842E6"/>
    <w:rsid w:val="00084636"/>
    <w:rsid w:val="00085184"/>
    <w:rsid w:val="000858B6"/>
    <w:rsid w:val="0008635F"/>
    <w:rsid w:val="0008739B"/>
    <w:rsid w:val="00090623"/>
    <w:rsid w:val="00091B60"/>
    <w:rsid w:val="00092BFC"/>
    <w:rsid w:val="0009312B"/>
    <w:rsid w:val="000933A9"/>
    <w:rsid w:val="00093B2E"/>
    <w:rsid w:val="000954C3"/>
    <w:rsid w:val="00095C14"/>
    <w:rsid w:val="00095CBD"/>
    <w:rsid w:val="000960CF"/>
    <w:rsid w:val="00096E21"/>
    <w:rsid w:val="000979B5"/>
    <w:rsid w:val="000A192D"/>
    <w:rsid w:val="000A2139"/>
    <w:rsid w:val="000A2B85"/>
    <w:rsid w:val="000A3A29"/>
    <w:rsid w:val="000A3AFF"/>
    <w:rsid w:val="000A4BEC"/>
    <w:rsid w:val="000A4E21"/>
    <w:rsid w:val="000A5257"/>
    <w:rsid w:val="000A5A39"/>
    <w:rsid w:val="000A63D9"/>
    <w:rsid w:val="000A6435"/>
    <w:rsid w:val="000A68B5"/>
    <w:rsid w:val="000A70D2"/>
    <w:rsid w:val="000A7993"/>
    <w:rsid w:val="000A7D64"/>
    <w:rsid w:val="000B055F"/>
    <w:rsid w:val="000B0C21"/>
    <w:rsid w:val="000B174C"/>
    <w:rsid w:val="000B1F4A"/>
    <w:rsid w:val="000B3287"/>
    <w:rsid w:val="000B32EE"/>
    <w:rsid w:val="000B4EB2"/>
    <w:rsid w:val="000B4F9B"/>
    <w:rsid w:val="000B5C2C"/>
    <w:rsid w:val="000B6656"/>
    <w:rsid w:val="000B67F5"/>
    <w:rsid w:val="000B69F5"/>
    <w:rsid w:val="000B6B44"/>
    <w:rsid w:val="000C049F"/>
    <w:rsid w:val="000C0B77"/>
    <w:rsid w:val="000C0C69"/>
    <w:rsid w:val="000C1717"/>
    <w:rsid w:val="000C1F29"/>
    <w:rsid w:val="000C256E"/>
    <w:rsid w:val="000C2F7A"/>
    <w:rsid w:val="000C46A5"/>
    <w:rsid w:val="000C5141"/>
    <w:rsid w:val="000C5A94"/>
    <w:rsid w:val="000C6D18"/>
    <w:rsid w:val="000C738B"/>
    <w:rsid w:val="000D01B7"/>
    <w:rsid w:val="000D0583"/>
    <w:rsid w:val="000D4140"/>
    <w:rsid w:val="000D4D26"/>
    <w:rsid w:val="000D52D2"/>
    <w:rsid w:val="000D5408"/>
    <w:rsid w:val="000D56A7"/>
    <w:rsid w:val="000D5E50"/>
    <w:rsid w:val="000D63E0"/>
    <w:rsid w:val="000D7BFE"/>
    <w:rsid w:val="000D7CFF"/>
    <w:rsid w:val="000E0764"/>
    <w:rsid w:val="000E0A21"/>
    <w:rsid w:val="000E0F35"/>
    <w:rsid w:val="000E1A16"/>
    <w:rsid w:val="000E2C77"/>
    <w:rsid w:val="000E2E79"/>
    <w:rsid w:val="000E301C"/>
    <w:rsid w:val="000E3A91"/>
    <w:rsid w:val="000E4220"/>
    <w:rsid w:val="000E4520"/>
    <w:rsid w:val="000E48C1"/>
    <w:rsid w:val="000E5E0E"/>
    <w:rsid w:val="000E60A8"/>
    <w:rsid w:val="000E62F7"/>
    <w:rsid w:val="000E71A6"/>
    <w:rsid w:val="000E77F1"/>
    <w:rsid w:val="000E78BC"/>
    <w:rsid w:val="000F008A"/>
    <w:rsid w:val="000F0320"/>
    <w:rsid w:val="000F155F"/>
    <w:rsid w:val="000F1615"/>
    <w:rsid w:val="000F1CDF"/>
    <w:rsid w:val="000F2EC1"/>
    <w:rsid w:val="000F3149"/>
    <w:rsid w:val="000F3541"/>
    <w:rsid w:val="000F3854"/>
    <w:rsid w:val="000F5B84"/>
    <w:rsid w:val="000F5F10"/>
    <w:rsid w:val="000F632C"/>
    <w:rsid w:val="001007AC"/>
    <w:rsid w:val="001010FB"/>
    <w:rsid w:val="0010140A"/>
    <w:rsid w:val="0010188C"/>
    <w:rsid w:val="00104077"/>
    <w:rsid w:val="001052FF"/>
    <w:rsid w:val="00105D30"/>
    <w:rsid w:val="00106F19"/>
    <w:rsid w:val="001073E9"/>
    <w:rsid w:val="00107F9B"/>
    <w:rsid w:val="001103E2"/>
    <w:rsid w:val="00110AD8"/>
    <w:rsid w:val="00110AFE"/>
    <w:rsid w:val="00111A9F"/>
    <w:rsid w:val="00111F2D"/>
    <w:rsid w:val="00112468"/>
    <w:rsid w:val="00112866"/>
    <w:rsid w:val="00112D27"/>
    <w:rsid w:val="00112F17"/>
    <w:rsid w:val="00112FFC"/>
    <w:rsid w:val="001148B5"/>
    <w:rsid w:val="0011560A"/>
    <w:rsid w:val="00116759"/>
    <w:rsid w:val="001169AF"/>
    <w:rsid w:val="001169B1"/>
    <w:rsid w:val="001174AD"/>
    <w:rsid w:val="001179E7"/>
    <w:rsid w:val="00117DF6"/>
    <w:rsid w:val="00117EA2"/>
    <w:rsid w:val="00120299"/>
    <w:rsid w:val="00121BD1"/>
    <w:rsid w:val="00121FD1"/>
    <w:rsid w:val="00122219"/>
    <w:rsid w:val="00122309"/>
    <w:rsid w:val="00122764"/>
    <w:rsid w:val="001244E8"/>
    <w:rsid w:val="001249D6"/>
    <w:rsid w:val="0012510E"/>
    <w:rsid w:val="001258B7"/>
    <w:rsid w:val="00125915"/>
    <w:rsid w:val="00125DC1"/>
    <w:rsid w:val="001263B3"/>
    <w:rsid w:val="0012718F"/>
    <w:rsid w:val="00127287"/>
    <w:rsid w:val="00127300"/>
    <w:rsid w:val="00127338"/>
    <w:rsid w:val="00127676"/>
    <w:rsid w:val="00127C26"/>
    <w:rsid w:val="0013174D"/>
    <w:rsid w:val="00131DCC"/>
    <w:rsid w:val="0013237B"/>
    <w:rsid w:val="001326F0"/>
    <w:rsid w:val="00132A4F"/>
    <w:rsid w:val="00132F75"/>
    <w:rsid w:val="001331EB"/>
    <w:rsid w:val="0013336E"/>
    <w:rsid w:val="00133A49"/>
    <w:rsid w:val="001341B1"/>
    <w:rsid w:val="0013431B"/>
    <w:rsid w:val="00134C7B"/>
    <w:rsid w:val="00135BA4"/>
    <w:rsid w:val="00135C51"/>
    <w:rsid w:val="00136A01"/>
    <w:rsid w:val="00136A51"/>
    <w:rsid w:val="001371AB"/>
    <w:rsid w:val="0013774B"/>
    <w:rsid w:val="00140EAE"/>
    <w:rsid w:val="00142215"/>
    <w:rsid w:val="00142E5B"/>
    <w:rsid w:val="00143F78"/>
    <w:rsid w:val="00144A5B"/>
    <w:rsid w:val="0014519B"/>
    <w:rsid w:val="00145694"/>
    <w:rsid w:val="001457D3"/>
    <w:rsid w:val="0014588E"/>
    <w:rsid w:val="00145EF0"/>
    <w:rsid w:val="00146419"/>
    <w:rsid w:val="00146F05"/>
    <w:rsid w:val="0014757C"/>
    <w:rsid w:val="00147F6D"/>
    <w:rsid w:val="00150072"/>
    <w:rsid w:val="00150227"/>
    <w:rsid w:val="00150456"/>
    <w:rsid w:val="00151960"/>
    <w:rsid w:val="00152359"/>
    <w:rsid w:val="0015250A"/>
    <w:rsid w:val="001526B9"/>
    <w:rsid w:val="00152964"/>
    <w:rsid w:val="001533E3"/>
    <w:rsid w:val="00154085"/>
    <w:rsid w:val="0015620D"/>
    <w:rsid w:val="00156796"/>
    <w:rsid w:val="001569AF"/>
    <w:rsid w:val="00156D5D"/>
    <w:rsid w:val="001600C9"/>
    <w:rsid w:val="00163D74"/>
    <w:rsid w:val="001641AA"/>
    <w:rsid w:val="001647B3"/>
    <w:rsid w:val="00164E7F"/>
    <w:rsid w:val="001664ED"/>
    <w:rsid w:val="001667CC"/>
    <w:rsid w:val="00167B1D"/>
    <w:rsid w:val="00170AB0"/>
    <w:rsid w:val="00171193"/>
    <w:rsid w:val="00171F43"/>
    <w:rsid w:val="00173C3A"/>
    <w:rsid w:val="00173CCB"/>
    <w:rsid w:val="001742E3"/>
    <w:rsid w:val="00175CF3"/>
    <w:rsid w:val="001762D3"/>
    <w:rsid w:val="00176577"/>
    <w:rsid w:val="00176889"/>
    <w:rsid w:val="001770AC"/>
    <w:rsid w:val="00177D8A"/>
    <w:rsid w:val="00180D76"/>
    <w:rsid w:val="001811BB"/>
    <w:rsid w:val="0018126D"/>
    <w:rsid w:val="00181279"/>
    <w:rsid w:val="00181724"/>
    <w:rsid w:val="00181A51"/>
    <w:rsid w:val="00182188"/>
    <w:rsid w:val="001828BA"/>
    <w:rsid w:val="001841F0"/>
    <w:rsid w:val="00186356"/>
    <w:rsid w:val="001873DD"/>
    <w:rsid w:val="00187EC4"/>
    <w:rsid w:val="00192C56"/>
    <w:rsid w:val="00194607"/>
    <w:rsid w:val="0019490D"/>
    <w:rsid w:val="00195395"/>
    <w:rsid w:val="001972BA"/>
    <w:rsid w:val="00197D74"/>
    <w:rsid w:val="001A00E1"/>
    <w:rsid w:val="001A01D9"/>
    <w:rsid w:val="001A19EA"/>
    <w:rsid w:val="001A34A1"/>
    <w:rsid w:val="001A463E"/>
    <w:rsid w:val="001A4888"/>
    <w:rsid w:val="001A571B"/>
    <w:rsid w:val="001A58A7"/>
    <w:rsid w:val="001A717F"/>
    <w:rsid w:val="001B0AE4"/>
    <w:rsid w:val="001B0C39"/>
    <w:rsid w:val="001B0D9B"/>
    <w:rsid w:val="001B1337"/>
    <w:rsid w:val="001B1630"/>
    <w:rsid w:val="001B19E7"/>
    <w:rsid w:val="001B2002"/>
    <w:rsid w:val="001B2111"/>
    <w:rsid w:val="001B22A1"/>
    <w:rsid w:val="001B2D00"/>
    <w:rsid w:val="001B3EF6"/>
    <w:rsid w:val="001B4646"/>
    <w:rsid w:val="001B4FCA"/>
    <w:rsid w:val="001B516A"/>
    <w:rsid w:val="001B5BDC"/>
    <w:rsid w:val="001B5D88"/>
    <w:rsid w:val="001B5DB8"/>
    <w:rsid w:val="001B61C4"/>
    <w:rsid w:val="001B6A9C"/>
    <w:rsid w:val="001B7363"/>
    <w:rsid w:val="001C0268"/>
    <w:rsid w:val="001C3855"/>
    <w:rsid w:val="001C3AB3"/>
    <w:rsid w:val="001C3DE7"/>
    <w:rsid w:val="001C4C70"/>
    <w:rsid w:val="001C5474"/>
    <w:rsid w:val="001C58B2"/>
    <w:rsid w:val="001C5EA1"/>
    <w:rsid w:val="001C675D"/>
    <w:rsid w:val="001C6AA4"/>
    <w:rsid w:val="001C708F"/>
    <w:rsid w:val="001C7C7A"/>
    <w:rsid w:val="001D007C"/>
    <w:rsid w:val="001D0A80"/>
    <w:rsid w:val="001D0C00"/>
    <w:rsid w:val="001D2A44"/>
    <w:rsid w:val="001D31E8"/>
    <w:rsid w:val="001D3791"/>
    <w:rsid w:val="001D4A70"/>
    <w:rsid w:val="001D53C6"/>
    <w:rsid w:val="001D60FC"/>
    <w:rsid w:val="001D6666"/>
    <w:rsid w:val="001D6E86"/>
    <w:rsid w:val="001E08C5"/>
    <w:rsid w:val="001E0A43"/>
    <w:rsid w:val="001E0C96"/>
    <w:rsid w:val="001E0CA2"/>
    <w:rsid w:val="001E1873"/>
    <w:rsid w:val="001E2761"/>
    <w:rsid w:val="001E2DB7"/>
    <w:rsid w:val="001E3B4A"/>
    <w:rsid w:val="001E3D95"/>
    <w:rsid w:val="001E3F64"/>
    <w:rsid w:val="001E517D"/>
    <w:rsid w:val="001E647A"/>
    <w:rsid w:val="001E7628"/>
    <w:rsid w:val="001F056B"/>
    <w:rsid w:val="001F0CEF"/>
    <w:rsid w:val="001F0EBD"/>
    <w:rsid w:val="001F1790"/>
    <w:rsid w:val="001F1D33"/>
    <w:rsid w:val="001F20A7"/>
    <w:rsid w:val="001F2DEE"/>
    <w:rsid w:val="001F3562"/>
    <w:rsid w:val="001F364E"/>
    <w:rsid w:val="001F424A"/>
    <w:rsid w:val="001F4C68"/>
    <w:rsid w:val="001F5558"/>
    <w:rsid w:val="001F5D85"/>
    <w:rsid w:val="001F5EF0"/>
    <w:rsid w:val="001F609A"/>
    <w:rsid w:val="001F7958"/>
    <w:rsid w:val="00201647"/>
    <w:rsid w:val="0020165F"/>
    <w:rsid w:val="002018D3"/>
    <w:rsid w:val="002028D8"/>
    <w:rsid w:val="00203848"/>
    <w:rsid w:val="00205205"/>
    <w:rsid w:val="00205ABD"/>
    <w:rsid w:val="00206CE2"/>
    <w:rsid w:val="002070AD"/>
    <w:rsid w:val="002076C4"/>
    <w:rsid w:val="00207EE4"/>
    <w:rsid w:val="00207FDE"/>
    <w:rsid w:val="002107F9"/>
    <w:rsid w:val="00211824"/>
    <w:rsid w:val="00211A29"/>
    <w:rsid w:val="00211B7D"/>
    <w:rsid w:val="002136BB"/>
    <w:rsid w:val="0021376C"/>
    <w:rsid w:val="002141A2"/>
    <w:rsid w:val="002147A2"/>
    <w:rsid w:val="00214931"/>
    <w:rsid w:val="00215AD3"/>
    <w:rsid w:val="00215F5D"/>
    <w:rsid w:val="0021639F"/>
    <w:rsid w:val="00217794"/>
    <w:rsid w:val="002179C8"/>
    <w:rsid w:val="00220C36"/>
    <w:rsid w:val="00221159"/>
    <w:rsid w:val="00222217"/>
    <w:rsid w:val="00222B78"/>
    <w:rsid w:val="00222E92"/>
    <w:rsid w:val="00223B5D"/>
    <w:rsid w:val="002242FC"/>
    <w:rsid w:val="00224B35"/>
    <w:rsid w:val="00225A41"/>
    <w:rsid w:val="00225D82"/>
    <w:rsid w:val="002271AC"/>
    <w:rsid w:val="002279FA"/>
    <w:rsid w:val="00230213"/>
    <w:rsid w:val="00230D36"/>
    <w:rsid w:val="0023105A"/>
    <w:rsid w:val="0023283F"/>
    <w:rsid w:val="00232CE7"/>
    <w:rsid w:val="00232DAC"/>
    <w:rsid w:val="00232ECE"/>
    <w:rsid w:val="0023366A"/>
    <w:rsid w:val="002339C5"/>
    <w:rsid w:val="00234DA1"/>
    <w:rsid w:val="00234EBA"/>
    <w:rsid w:val="00235981"/>
    <w:rsid w:val="00236420"/>
    <w:rsid w:val="00237BD8"/>
    <w:rsid w:val="00242310"/>
    <w:rsid w:val="002434A3"/>
    <w:rsid w:val="00243D24"/>
    <w:rsid w:val="00244EF3"/>
    <w:rsid w:val="002456B0"/>
    <w:rsid w:val="0024588C"/>
    <w:rsid w:val="00245B95"/>
    <w:rsid w:val="00246021"/>
    <w:rsid w:val="00246458"/>
    <w:rsid w:val="00247B7C"/>
    <w:rsid w:val="00247D76"/>
    <w:rsid w:val="00250F84"/>
    <w:rsid w:val="00251080"/>
    <w:rsid w:val="002516DB"/>
    <w:rsid w:val="00251CDC"/>
    <w:rsid w:val="0025375F"/>
    <w:rsid w:val="002548B0"/>
    <w:rsid w:val="00254D3E"/>
    <w:rsid w:val="0025512F"/>
    <w:rsid w:val="002557F9"/>
    <w:rsid w:val="002563B7"/>
    <w:rsid w:val="002563DE"/>
    <w:rsid w:val="002567B3"/>
    <w:rsid w:val="002569B9"/>
    <w:rsid w:val="0025729B"/>
    <w:rsid w:val="0026002D"/>
    <w:rsid w:val="002609C5"/>
    <w:rsid w:val="00260B03"/>
    <w:rsid w:val="00260C55"/>
    <w:rsid w:val="00261FF2"/>
    <w:rsid w:val="00262064"/>
    <w:rsid w:val="002630A7"/>
    <w:rsid w:val="0026317A"/>
    <w:rsid w:val="0026424A"/>
    <w:rsid w:val="00264D8F"/>
    <w:rsid w:val="0026634E"/>
    <w:rsid w:val="00267B2F"/>
    <w:rsid w:val="002705F0"/>
    <w:rsid w:val="00270A80"/>
    <w:rsid w:val="002721AF"/>
    <w:rsid w:val="002724CD"/>
    <w:rsid w:val="00272830"/>
    <w:rsid w:val="0027331C"/>
    <w:rsid w:val="00273C70"/>
    <w:rsid w:val="00274008"/>
    <w:rsid w:val="002746DE"/>
    <w:rsid w:val="00275019"/>
    <w:rsid w:val="00275488"/>
    <w:rsid w:val="00275F2E"/>
    <w:rsid w:val="00276641"/>
    <w:rsid w:val="002777F5"/>
    <w:rsid w:val="00277DC7"/>
    <w:rsid w:val="00280282"/>
    <w:rsid w:val="0028058D"/>
    <w:rsid w:val="0028183F"/>
    <w:rsid w:val="00281FD3"/>
    <w:rsid w:val="00282F2C"/>
    <w:rsid w:val="002855BD"/>
    <w:rsid w:val="00285929"/>
    <w:rsid w:val="00286540"/>
    <w:rsid w:val="0028706A"/>
    <w:rsid w:val="00287132"/>
    <w:rsid w:val="00287E3E"/>
    <w:rsid w:val="00290B93"/>
    <w:rsid w:val="00290EC2"/>
    <w:rsid w:val="00292612"/>
    <w:rsid w:val="0029330D"/>
    <w:rsid w:val="002941B3"/>
    <w:rsid w:val="0029539D"/>
    <w:rsid w:val="002955BA"/>
    <w:rsid w:val="0029595D"/>
    <w:rsid w:val="00295A46"/>
    <w:rsid w:val="002A11B7"/>
    <w:rsid w:val="002A2319"/>
    <w:rsid w:val="002A2EB2"/>
    <w:rsid w:val="002A568D"/>
    <w:rsid w:val="002A587E"/>
    <w:rsid w:val="002A67F0"/>
    <w:rsid w:val="002A6EC2"/>
    <w:rsid w:val="002B093C"/>
    <w:rsid w:val="002B0D59"/>
    <w:rsid w:val="002B3ABE"/>
    <w:rsid w:val="002B456A"/>
    <w:rsid w:val="002B55FE"/>
    <w:rsid w:val="002B685C"/>
    <w:rsid w:val="002B7703"/>
    <w:rsid w:val="002B78BA"/>
    <w:rsid w:val="002B7937"/>
    <w:rsid w:val="002B7DEA"/>
    <w:rsid w:val="002B7FE2"/>
    <w:rsid w:val="002C0055"/>
    <w:rsid w:val="002C11FB"/>
    <w:rsid w:val="002C123E"/>
    <w:rsid w:val="002C1766"/>
    <w:rsid w:val="002C20B1"/>
    <w:rsid w:val="002C20B2"/>
    <w:rsid w:val="002C21EA"/>
    <w:rsid w:val="002C2F53"/>
    <w:rsid w:val="002C33D2"/>
    <w:rsid w:val="002C36BA"/>
    <w:rsid w:val="002C396B"/>
    <w:rsid w:val="002D035B"/>
    <w:rsid w:val="002D1201"/>
    <w:rsid w:val="002D14C8"/>
    <w:rsid w:val="002D1A14"/>
    <w:rsid w:val="002D3157"/>
    <w:rsid w:val="002D3721"/>
    <w:rsid w:val="002D3D02"/>
    <w:rsid w:val="002D450E"/>
    <w:rsid w:val="002D59BC"/>
    <w:rsid w:val="002D5C80"/>
    <w:rsid w:val="002E0201"/>
    <w:rsid w:val="002E03F1"/>
    <w:rsid w:val="002E0558"/>
    <w:rsid w:val="002E0D6D"/>
    <w:rsid w:val="002E1600"/>
    <w:rsid w:val="002E1620"/>
    <w:rsid w:val="002E1EF1"/>
    <w:rsid w:val="002E3F00"/>
    <w:rsid w:val="002E40DC"/>
    <w:rsid w:val="002E4107"/>
    <w:rsid w:val="002E4955"/>
    <w:rsid w:val="002E4AF5"/>
    <w:rsid w:val="002E5198"/>
    <w:rsid w:val="002E5274"/>
    <w:rsid w:val="002E5D87"/>
    <w:rsid w:val="002E60AA"/>
    <w:rsid w:val="002E6D83"/>
    <w:rsid w:val="002F0677"/>
    <w:rsid w:val="002F07C1"/>
    <w:rsid w:val="002F0F33"/>
    <w:rsid w:val="002F0FE9"/>
    <w:rsid w:val="002F110A"/>
    <w:rsid w:val="002F1FB7"/>
    <w:rsid w:val="002F253D"/>
    <w:rsid w:val="002F2970"/>
    <w:rsid w:val="002F3376"/>
    <w:rsid w:val="002F3626"/>
    <w:rsid w:val="002F4CF4"/>
    <w:rsid w:val="002F57EE"/>
    <w:rsid w:val="002F59DF"/>
    <w:rsid w:val="002F5B3D"/>
    <w:rsid w:val="002F6458"/>
    <w:rsid w:val="002F6771"/>
    <w:rsid w:val="002F785B"/>
    <w:rsid w:val="00300428"/>
    <w:rsid w:val="0030191F"/>
    <w:rsid w:val="00301964"/>
    <w:rsid w:val="0030245F"/>
    <w:rsid w:val="0030272C"/>
    <w:rsid w:val="00302C58"/>
    <w:rsid w:val="00303CA7"/>
    <w:rsid w:val="00303D35"/>
    <w:rsid w:val="00305175"/>
    <w:rsid w:val="00305BE9"/>
    <w:rsid w:val="00306F65"/>
    <w:rsid w:val="00307629"/>
    <w:rsid w:val="00310739"/>
    <w:rsid w:val="00312887"/>
    <w:rsid w:val="003132A7"/>
    <w:rsid w:val="003132FD"/>
    <w:rsid w:val="0031380B"/>
    <w:rsid w:val="0031393B"/>
    <w:rsid w:val="00314F54"/>
    <w:rsid w:val="0031527F"/>
    <w:rsid w:val="003157BC"/>
    <w:rsid w:val="00315B98"/>
    <w:rsid w:val="00315DCB"/>
    <w:rsid w:val="00316270"/>
    <w:rsid w:val="00316616"/>
    <w:rsid w:val="00317A99"/>
    <w:rsid w:val="00320189"/>
    <w:rsid w:val="003214C5"/>
    <w:rsid w:val="00321B51"/>
    <w:rsid w:val="00322B6B"/>
    <w:rsid w:val="003235A6"/>
    <w:rsid w:val="00324B94"/>
    <w:rsid w:val="00324C87"/>
    <w:rsid w:val="00325288"/>
    <w:rsid w:val="0032646E"/>
    <w:rsid w:val="00326655"/>
    <w:rsid w:val="00326846"/>
    <w:rsid w:val="00326AEB"/>
    <w:rsid w:val="003271BF"/>
    <w:rsid w:val="00331672"/>
    <w:rsid w:val="00334169"/>
    <w:rsid w:val="00335BCD"/>
    <w:rsid w:val="003361E3"/>
    <w:rsid w:val="00336BB0"/>
    <w:rsid w:val="00337938"/>
    <w:rsid w:val="003403A8"/>
    <w:rsid w:val="003403CB"/>
    <w:rsid w:val="0034146F"/>
    <w:rsid w:val="0034250E"/>
    <w:rsid w:val="00342821"/>
    <w:rsid w:val="003445C9"/>
    <w:rsid w:val="00344BD9"/>
    <w:rsid w:val="00345222"/>
    <w:rsid w:val="00345F9A"/>
    <w:rsid w:val="00346D0B"/>
    <w:rsid w:val="003507ED"/>
    <w:rsid w:val="00350CFE"/>
    <w:rsid w:val="003517CA"/>
    <w:rsid w:val="00352007"/>
    <w:rsid w:val="00352D3C"/>
    <w:rsid w:val="003530CF"/>
    <w:rsid w:val="00353260"/>
    <w:rsid w:val="003534C9"/>
    <w:rsid w:val="00353563"/>
    <w:rsid w:val="003539DA"/>
    <w:rsid w:val="00355C26"/>
    <w:rsid w:val="00356A77"/>
    <w:rsid w:val="00356C2F"/>
    <w:rsid w:val="00357120"/>
    <w:rsid w:val="003571A4"/>
    <w:rsid w:val="003574ED"/>
    <w:rsid w:val="00361152"/>
    <w:rsid w:val="0036119F"/>
    <w:rsid w:val="003616C8"/>
    <w:rsid w:val="00361F0B"/>
    <w:rsid w:val="003621E9"/>
    <w:rsid w:val="00363068"/>
    <w:rsid w:val="00363420"/>
    <w:rsid w:val="00363C38"/>
    <w:rsid w:val="00363D64"/>
    <w:rsid w:val="00365049"/>
    <w:rsid w:val="00365DBC"/>
    <w:rsid w:val="00371B42"/>
    <w:rsid w:val="003723AF"/>
    <w:rsid w:val="00372B4E"/>
    <w:rsid w:val="00372BD9"/>
    <w:rsid w:val="00373CCA"/>
    <w:rsid w:val="003751F1"/>
    <w:rsid w:val="00376771"/>
    <w:rsid w:val="00376915"/>
    <w:rsid w:val="00377165"/>
    <w:rsid w:val="00377D9A"/>
    <w:rsid w:val="00380508"/>
    <w:rsid w:val="00380770"/>
    <w:rsid w:val="003810AB"/>
    <w:rsid w:val="00382817"/>
    <w:rsid w:val="003833CE"/>
    <w:rsid w:val="003850D8"/>
    <w:rsid w:val="00385BAA"/>
    <w:rsid w:val="00385E8E"/>
    <w:rsid w:val="00385F87"/>
    <w:rsid w:val="00386B58"/>
    <w:rsid w:val="003879C1"/>
    <w:rsid w:val="00387D83"/>
    <w:rsid w:val="00390312"/>
    <w:rsid w:val="00390CA6"/>
    <w:rsid w:val="0039250C"/>
    <w:rsid w:val="00392776"/>
    <w:rsid w:val="00392ECA"/>
    <w:rsid w:val="0039373C"/>
    <w:rsid w:val="00393A78"/>
    <w:rsid w:val="00393BD0"/>
    <w:rsid w:val="00395721"/>
    <w:rsid w:val="0039581D"/>
    <w:rsid w:val="00395B94"/>
    <w:rsid w:val="00396A3A"/>
    <w:rsid w:val="00397D1B"/>
    <w:rsid w:val="00397E71"/>
    <w:rsid w:val="003A0061"/>
    <w:rsid w:val="003A1116"/>
    <w:rsid w:val="003A1F1F"/>
    <w:rsid w:val="003A20F7"/>
    <w:rsid w:val="003A25E5"/>
    <w:rsid w:val="003A3000"/>
    <w:rsid w:val="003A383A"/>
    <w:rsid w:val="003A3D6E"/>
    <w:rsid w:val="003A51BE"/>
    <w:rsid w:val="003A52DC"/>
    <w:rsid w:val="003A6013"/>
    <w:rsid w:val="003A6A4C"/>
    <w:rsid w:val="003A6B93"/>
    <w:rsid w:val="003A7603"/>
    <w:rsid w:val="003B0053"/>
    <w:rsid w:val="003B10E2"/>
    <w:rsid w:val="003B2A19"/>
    <w:rsid w:val="003B3377"/>
    <w:rsid w:val="003B5A41"/>
    <w:rsid w:val="003C0538"/>
    <w:rsid w:val="003C0ABB"/>
    <w:rsid w:val="003C0E7B"/>
    <w:rsid w:val="003C22B9"/>
    <w:rsid w:val="003C26DA"/>
    <w:rsid w:val="003C2F7F"/>
    <w:rsid w:val="003C38F8"/>
    <w:rsid w:val="003C398F"/>
    <w:rsid w:val="003C4079"/>
    <w:rsid w:val="003C576D"/>
    <w:rsid w:val="003C58A4"/>
    <w:rsid w:val="003C6A2A"/>
    <w:rsid w:val="003C6E3E"/>
    <w:rsid w:val="003C72DC"/>
    <w:rsid w:val="003C78C2"/>
    <w:rsid w:val="003C7D0F"/>
    <w:rsid w:val="003D0501"/>
    <w:rsid w:val="003D0D83"/>
    <w:rsid w:val="003D186F"/>
    <w:rsid w:val="003D2241"/>
    <w:rsid w:val="003D27A7"/>
    <w:rsid w:val="003D27EE"/>
    <w:rsid w:val="003D2DF2"/>
    <w:rsid w:val="003D2F53"/>
    <w:rsid w:val="003D2F97"/>
    <w:rsid w:val="003D34CD"/>
    <w:rsid w:val="003D414D"/>
    <w:rsid w:val="003D427D"/>
    <w:rsid w:val="003D43E8"/>
    <w:rsid w:val="003D5552"/>
    <w:rsid w:val="003D7218"/>
    <w:rsid w:val="003E07E3"/>
    <w:rsid w:val="003E0A7C"/>
    <w:rsid w:val="003E0D1E"/>
    <w:rsid w:val="003E0EE7"/>
    <w:rsid w:val="003E1770"/>
    <w:rsid w:val="003E1FF4"/>
    <w:rsid w:val="003E2AE2"/>
    <w:rsid w:val="003E30D8"/>
    <w:rsid w:val="003E31F6"/>
    <w:rsid w:val="003E3308"/>
    <w:rsid w:val="003E33B3"/>
    <w:rsid w:val="003E3F63"/>
    <w:rsid w:val="003E4425"/>
    <w:rsid w:val="003E5F6E"/>
    <w:rsid w:val="003E6766"/>
    <w:rsid w:val="003E68EF"/>
    <w:rsid w:val="003E6C0C"/>
    <w:rsid w:val="003F0125"/>
    <w:rsid w:val="003F0742"/>
    <w:rsid w:val="003F09DF"/>
    <w:rsid w:val="003F1281"/>
    <w:rsid w:val="003F171C"/>
    <w:rsid w:val="003F1891"/>
    <w:rsid w:val="003F1970"/>
    <w:rsid w:val="003F197B"/>
    <w:rsid w:val="003F3261"/>
    <w:rsid w:val="003F3308"/>
    <w:rsid w:val="003F34F3"/>
    <w:rsid w:val="003F36B7"/>
    <w:rsid w:val="003F395F"/>
    <w:rsid w:val="003F3EC2"/>
    <w:rsid w:val="003F3FBC"/>
    <w:rsid w:val="003F4361"/>
    <w:rsid w:val="003F43C2"/>
    <w:rsid w:val="003F44EA"/>
    <w:rsid w:val="003F4BBA"/>
    <w:rsid w:val="003F6110"/>
    <w:rsid w:val="003F6C64"/>
    <w:rsid w:val="003F7EF3"/>
    <w:rsid w:val="003F7F8F"/>
    <w:rsid w:val="004004E6"/>
    <w:rsid w:val="00400BA1"/>
    <w:rsid w:val="00402289"/>
    <w:rsid w:val="004022C2"/>
    <w:rsid w:val="00403510"/>
    <w:rsid w:val="00403995"/>
    <w:rsid w:val="00404048"/>
    <w:rsid w:val="00405F7E"/>
    <w:rsid w:val="0040610D"/>
    <w:rsid w:val="00406EC1"/>
    <w:rsid w:val="00410E32"/>
    <w:rsid w:val="0041212F"/>
    <w:rsid w:val="00413075"/>
    <w:rsid w:val="004139B8"/>
    <w:rsid w:val="0041437B"/>
    <w:rsid w:val="00414495"/>
    <w:rsid w:val="004145E6"/>
    <w:rsid w:val="00414701"/>
    <w:rsid w:val="004154FF"/>
    <w:rsid w:val="00420DA2"/>
    <w:rsid w:val="00421AA3"/>
    <w:rsid w:val="0042214C"/>
    <w:rsid w:val="004225CC"/>
    <w:rsid w:val="00422605"/>
    <w:rsid w:val="00422EA5"/>
    <w:rsid w:val="004236BD"/>
    <w:rsid w:val="00423B93"/>
    <w:rsid w:val="004249D3"/>
    <w:rsid w:val="00425F38"/>
    <w:rsid w:val="00426863"/>
    <w:rsid w:val="00427376"/>
    <w:rsid w:val="00427499"/>
    <w:rsid w:val="00431F7F"/>
    <w:rsid w:val="0043239A"/>
    <w:rsid w:val="00432D79"/>
    <w:rsid w:val="00432EF8"/>
    <w:rsid w:val="00434402"/>
    <w:rsid w:val="00435220"/>
    <w:rsid w:val="0043680A"/>
    <w:rsid w:val="0043705A"/>
    <w:rsid w:val="00437C94"/>
    <w:rsid w:val="004433D8"/>
    <w:rsid w:val="00443815"/>
    <w:rsid w:val="00443E51"/>
    <w:rsid w:val="0044575A"/>
    <w:rsid w:val="00445FCB"/>
    <w:rsid w:val="0044620E"/>
    <w:rsid w:val="004465C3"/>
    <w:rsid w:val="00446CB1"/>
    <w:rsid w:val="0044762C"/>
    <w:rsid w:val="004508F3"/>
    <w:rsid w:val="00451819"/>
    <w:rsid w:val="00451F85"/>
    <w:rsid w:val="00452A26"/>
    <w:rsid w:val="00452F15"/>
    <w:rsid w:val="00453F0C"/>
    <w:rsid w:val="004555BB"/>
    <w:rsid w:val="00455DCA"/>
    <w:rsid w:val="0045719A"/>
    <w:rsid w:val="00457776"/>
    <w:rsid w:val="00457A7C"/>
    <w:rsid w:val="00457BF5"/>
    <w:rsid w:val="0046052E"/>
    <w:rsid w:val="0046073A"/>
    <w:rsid w:val="004616ED"/>
    <w:rsid w:val="00461B7D"/>
    <w:rsid w:val="00461BE8"/>
    <w:rsid w:val="004626CE"/>
    <w:rsid w:val="0046382E"/>
    <w:rsid w:val="00465CCB"/>
    <w:rsid w:val="00466925"/>
    <w:rsid w:val="00466AAD"/>
    <w:rsid w:val="00467D01"/>
    <w:rsid w:val="00470440"/>
    <w:rsid w:val="00470614"/>
    <w:rsid w:val="00471512"/>
    <w:rsid w:val="004715E1"/>
    <w:rsid w:val="00471723"/>
    <w:rsid w:val="00471925"/>
    <w:rsid w:val="00471933"/>
    <w:rsid w:val="00472B24"/>
    <w:rsid w:val="00472C30"/>
    <w:rsid w:val="00472F21"/>
    <w:rsid w:val="00473C82"/>
    <w:rsid w:val="00473FC8"/>
    <w:rsid w:val="0047493C"/>
    <w:rsid w:val="00475FDD"/>
    <w:rsid w:val="004775A8"/>
    <w:rsid w:val="00480EE2"/>
    <w:rsid w:val="00481134"/>
    <w:rsid w:val="004817CF"/>
    <w:rsid w:val="004818DB"/>
    <w:rsid w:val="004820FE"/>
    <w:rsid w:val="00482AA9"/>
    <w:rsid w:val="00482D31"/>
    <w:rsid w:val="00484622"/>
    <w:rsid w:val="00484E4C"/>
    <w:rsid w:val="00485235"/>
    <w:rsid w:val="00485580"/>
    <w:rsid w:val="00485ABD"/>
    <w:rsid w:val="004866F8"/>
    <w:rsid w:val="0048741B"/>
    <w:rsid w:val="0048775E"/>
    <w:rsid w:val="00487C6E"/>
    <w:rsid w:val="00490143"/>
    <w:rsid w:val="004901EA"/>
    <w:rsid w:val="004903E7"/>
    <w:rsid w:val="00491060"/>
    <w:rsid w:val="004919D8"/>
    <w:rsid w:val="00494CDA"/>
    <w:rsid w:val="0049686C"/>
    <w:rsid w:val="0049740B"/>
    <w:rsid w:val="004975FE"/>
    <w:rsid w:val="004A073D"/>
    <w:rsid w:val="004A0DB8"/>
    <w:rsid w:val="004A0F8F"/>
    <w:rsid w:val="004A21E1"/>
    <w:rsid w:val="004A2C0B"/>
    <w:rsid w:val="004A39E2"/>
    <w:rsid w:val="004A3A84"/>
    <w:rsid w:val="004A3DE7"/>
    <w:rsid w:val="004A5068"/>
    <w:rsid w:val="004A52D5"/>
    <w:rsid w:val="004A5AD5"/>
    <w:rsid w:val="004A6443"/>
    <w:rsid w:val="004A7083"/>
    <w:rsid w:val="004A72DA"/>
    <w:rsid w:val="004A76C8"/>
    <w:rsid w:val="004A7EF1"/>
    <w:rsid w:val="004B0753"/>
    <w:rsid w:val="004B09DD"/>
    <w:rsid w:val="004B17BF"/>
    <w:rsid w:val="004B2D01"/>
    <w:rsid w:val="004B2FEB"/>
    <w:rsid w:val="004B30D5"/>
    <w:rsid w:val="004B3A1A"/>
    <w:rsid w:val="004B556C"/>
    <w:rsid w:val="004B5917"/>
    <w:rsid w:val="004C02F6"/>
    <w:rsid w:val="004C0F2D"/>
    <w:rsid w:val="004C182F"/>
    <w:rsid w:val="004C27FC"/>
    <w:rsid w:val="004C2935"/>
    <w:rsid w:val="004C29F8"/>
    <w:rsid w:val="004C3B28"/>
    <w:rsid w:val="004C6456"/>
    <w:rsid w:val="004C72B6"/>
    <w:rsid w:val="004D16F9"/>
    <w:rsid w:val="004D18EC"/>
    <w:rsid w:val="004D3260"/>
    <w:rsid w:val="004D3673"/>
    <w:rsid w:val="004D561B"/>
    <w:rsid w:val="004D5D0F"/>
    <w:rsid w:val="004D6FEA"/>
    <w:rsid w:val="004D760F"/>
    <w:rsid w:val="004D7E1F"/>
    <w:rsid w:val="004E0C41"/>
    <w:rsid w:val="004E1942"/>
    <w:rsid w:val="004E1A5D"/>
    <w:rsid w:val="004E3AC7"/>
    <w:rsid w:val="004E515F"/>
    <w:rsid w:val="004E5798"/>
    <w:rsid w:val="004E58D8"/>
    <w:rsid w:val="004E5FF5"/>
    <w:rsid w:val="004F0720"/>
    <w:rsid w:val="004F0A00"/>
    <w:rsid w:val="004F3880"/>
    <w:rsid w:val="004F60D4"/>
    <w:rsid w:val="004F7271"/>
    <w:rsid w:val="004F73D6"/>
    <w:rsid w:val="00500055"/>
    <w:rsid w:val="00500114"/>
    <w:rsid w:val="00500E28"/>
    <w:rsid w:val="0050115C"/>
    <w:rsid w:val="00503064"/>
    <w:rsid w:val="00503FB3"/>
    <w:rsid w:val="00504003"/>
    <w:rsid w:val="00506542"/>
    <w:rsid w:val="005066F8"/>
    <w:rsid w:val="005067BA"/>
    <w:rsid w:val="00510332"/>
    <w:rsid w:val="00513615"/>
    <w:rsid w:val="005145A4"/>
    <w:rsid w:val="0051499C"/>
    <w:rsid w:val="00514ABD"/>
    <w:rsid w:val="00514D77"/>
    <w:rsid w:val="00514DA1"/>
    <w:rsid w:val="005168DD"/>
    <w:rsid w:val="00516BC5"/>
    <w:rsid w:val="00517832"/>
    <w:rsid w:val="005201A9"/>
    <w:rsid w:val="00520227"/>
    <w:rsid w:val="005206A0"/>
    <w:rsid w:val="005219D3"/>
    <w:rsid w:val="00522983"/>
    <w:rsid w:val="00522FC6"/>
    <w:rsid w:val="00523D2B"/>
    <w:rsid w:val="00523D2F"/>
    <w:rsid w:val="005244B8"/>
    <w:rsid w:val="00524A83"/>
    <w:rsid w:val="00525629"/>
    <w:rsid w:val="005259F5"/>
    <w:rsid w:val="00526CAC"/>
    <w:rsid w:val="005278CC"/>
    <w:rsid w:val="00527B83"/>
    <w:rsid w:val="00527EDC"/>
    <w:rsid w:val="005304A7"/>
    <w:rsid w:val="00530863"/>
    <w:rsid w:val="0053115F"/>
    <w:rsid w:val="005313C3"/>
    <w:rsid w:val="00531B0B"/>
    <w:rsid w:val="00531D18"/>
    <w:rsid w:val="00531E54"/>
    <w:rsid w:val="005324D2"/>
    <w:rsid w:val="0053287B"/>
    <w:rsid w:val="00532AF2"/>
    <w:rsid w:val="0053324C"/>
    <w:rsid w:val="0053461F"/>
    <w:rsid w:val="00535038"/>
    <w:rsid w:val="00536847"/>
    <w:rsid w:val="005368B5"/>
    <w:rsid w:val="00536DB8"/>
    <w:rsid w:val="00537448"/>
    <w:rsid w:val="0053750B"/>
    <w:rsid w:val="00537BAB"/>
    <w:rsid w:val="00540C3D"/>
    <w:rsid w:val="00541E03"/>
    <w:rsid w:val="00542465"/>
    <w:rsid w:val="00542990"/>
    <w:rsid w:val="0054521A"/>
    <w:rsid w:val="005452EE"/>
    <w:rsid w:val="0054594F"/>
    <w:rsid w:val="00546D2C"/>
    <w:rsid w:val="00546D4C"/>
    <w:rsid w:val="0054792E"/>
    <w:rsid w:val="005500A1"/>
    <w:rsid w:val="00550B63"/>
    <w:rsid w:val="005510F7"/>
    <w:rsid w:val="005516DA"/>
    <w:rsid w:val="00551D3F"/>
    <w:rsid w:val="005526BC"/>
    <w:rsid w:val="005536C6"/>
    <w:rsid w:val="00553969"/>
    <w:rsid w:val="00553EBE"/>
    <w:rsid w:val="00555054"/>
    <w:rsid w:val="00555BB0"/>
    <w:rsid w:val="00556391"/>
    <w:rsid w:val="005566B8"/>
    <w:rsid w:val="005568C3"/>
    <w:rsid w:val="00556B0F"/>
    <w:rsid w:val="00556C17"/>
    <w:rsid w:val="00557773"/>
    <w:rsid w:val="00557CDA"/>
    <w:rsid w:val="0056075A"/>
    <w:rsid w:val="00560861"/>
    <w:rsid w:val="00561833"/>
    <w:rsid w:val="0056201D"/>
    <w:rsid w:val="00562085"/>
    <w:rsid w:val="00562242"/>
    <w:rsid w:val="00563AE2"/>
    <w:rsid w:val="0056466A"/>
    <w:rsid w:val="00564FA7"/>
    <w:rsid w:val="00565147"/>
    <w:rsid w:val="0056517D"/>
    <w:rsid w:val="00565F47"/>
    <w:rsid w:val="005669F9"/>
    <w:rsid w:val="0056736F"/>
    <w:rsid w:val="005676A3"/>
    <w:rsid w:val="00567D7E"/>
    <w:rsid w:val="00567F3B"/>
    <w:rsid w:val="0057001C"/>
    <w:rsid w:val="005700CD"/>
    <w:rsid w:val="0057231A"/>
    <w:rsid w:val="00572794"/>
    <w:rsid w:val="00573041"/>
    <w:rsid w:val="005746E3"/>
    <w:rsid w:val="00575209"/>
    <w:rsid w:val="0057553E"/>
    <w:rsid w:val="00575CF1"/>
    <w:rsid w:val="005761FF"/>
    <w:rsid w:val="005762EA"/>
    <w:rsid w:val="00576342"/>
    <w:rsid w:val="00576A9C"/>
    <w:rsid w:val="00577C71"/>
    <w:rsid w:val="00580136"/>
    <w:rsid w:val="005802A5"/>
    <w:rsid w:val="00580C4F"/>
    <w:rsid w:val="005812D7"/>
    <w:rsid w:val="00581477"/>
    <w:rsid w:val="005816E9"/>
    <w:rsid w:val="00581E80"/>
    <w:rsid w:val="00582DC1"/>
    <w:rsid w:val="005849B1"/>
    <w:rsid w:val="00585C71"/>
    <w:rsid w:val="00586ABF"/>
    <w:rsid w:val="0058762A"/>
    <w:rsid w:val="00591EE5"/>
    <w:rsid w:val="005926E9"/>
    <w:rsid w:val="005927F0"/>
    <w:rsid w:val="0059285F"/>
    <w:rsid w:val="005931BB"/>
    <w:rsid w:val="00593A22"/>
    <w:rsid w:val="005944CD"/>
    <w:rsid w:val="00595126"/>
    <w:rsid w:val="00595607"/>
    <w:rsid w:val="00595F13"/>
    <w:rsid w:val="00596E85"/>
    <w:rsid w:val="00596FCA"/>
    <w:rsid w:val="0059745F"/>
    <w:rsid w:val="00597592"/>
    <w:rsid w:val="005A00B2"/>
    <w:rsid w:val="005A01C3"/>
    <w:rsid w:val="005A08DA"/>
    <w:rsid w:val="005A17B1"/>
    <w:rsid w:val="005A3383"/>
    <w:rsid w:val="005A4492"/>
    <w:rsid w:val="005A45C2"/>
    <w:rsid w:val="005A46BC"/>
    <w:rsid w:val="005A546D"/>
    <w:rsid w:val="005A6606"/>
    <w:rsid w:val="005A6BE0"/>
    <w:rsid w:val="005A7AAB"/>
    <w:rsid w:val="005A7B41"/>
    <w:rsid w:val="005B07B9"/>
    <w:rsid w:val="005B0899"/>
    <w:rsid w:val="005B08E1"/>
    <w:rsid w:val="005B0C85"/>
    <w:rsid w:val="005B0F3A"/>
    <w:rsid w:val="005B1F9D"/>
    <w:rsid w:val="005B30A9"/>
    <w:rsid w:val="005B3AD9"/>
    <w:rsid w:val="005B3AFB"/>
    <w:rsid w:val="005B3F25"/>
    <w:rsid w:val="005C0E62"/>
    <w:rsid w:val="005C1A9A"/>
    <w:rsid w:val="005C1ABC"/>
    <w:rsid w:val="005C27BA"/>
    <w:rsid w:val="005C3283"/>
    <w:rsid w:val="005C354D"/>
    <w:rsid w:val="005C3B0D"/>
    <w:rsid w:val="005C3EF3"/>
    <w:rsid w:val="005C41ED"/>
    <w:rsid w:val="005C525A"/>
    <w:rsid w:val="005C710C"/>
    <w:rsid w:val="005C7F99"/>
    <w:rsid w:val="005D0371"/>
    <w:rsid w:val="005D0683"/>
    <w:rsid w:val="005D0F77"/>
    <w:rsid w:val="005D15EE"/>
    <w:rsid w:val="005D1985"/>
    <w:rsid w:val="005D1F04"/>
    <w:rsid w:val="005D1FBD"/>
    <w:rsid w:val="005D1FFA"/>
    <w:rsid w:val="005D2413"/>
    <w:rsid w:val="005D3188"/>
    <w:rsid w:val="005D32A0"/>
    <w:rsid w:val="005D40C1"/>
    <w:rsid w:val="005D5D5C"/>
    <w:rsid w:val="005D6588"/>
    <w:rsid w:val="005D6812"/>
    <w:rsid w:val="005D682F"/>
    <w:rsid w:val="005E0014"/>
    <w:rsid w:val="005E04BB"/>
    <w:rsid w:val="005E060F"/>
    <w:rsid w:val="005E0B23"/>
    <w:rsid w:val="005E0B28"/>
    <w:rsid w:val="005E10FF"/>
    <w:rsid w:val="005E206B"/>
    <w:rsid w:val="005E2168"/>
    <w:rsid w:val="005E2528"/>
    <w:rsid w:val="005E2C3A"/>
    <w:rsid w:val="005E34F3"/>
    <w:rsid w:val="005E4087"/>
    <w:rsid w:val="005E5809"/>
    <w:rsid w:val="005E68E7"/>
    <w:rsid w:val="005E7C4C"/>
    <w:rsid w:val="005E7DD7"/>
    <w:rsid w:val="005F0452"/>
    <w:rsid w:val="005F0A90"/>
    <w:rsid w:val="005F0B77"/>
    <w:rsid w:val="005F0D7C"/>
    <w:rsid w:val="005F1A46"/>
    <w:rsid w:val="005F425F"/>
    <w:rsid w:val="005F5511"/>
    <w:rsid w:val="005F55EB"/>
    <w:rsid w:val="005F56DE"/>
    <w:rsid w:val="005F5962"/>
    <w:rsid w:val="005F5DC8"/>
    <w:rsid w:val="005F7CE1"/>
    <w:rsid w:val="005F7D99"/>
    <w:rsid w:val="0060038B"/>
    <w:rsid w:val="006005F6"/>
    <w:rsid w:val="006009E1"/>
    <w:rsid w:val="00601698"/>
    <w:rsid w:val="00605233"/>
    <w:rsid w:val="0061001E"/>
    <w:rsid w:val="00610371"/>
    <w:rsid w:val="00611691"/>
    <w:rsid w:val="00613378"/>
    <w:rsid w:val="00614F21"/>
    <w:rsid w:val="0061556C"/>
    <w:rsid w:val="006163D8"/>
    <w:rsid w:val="00616765"/>
    <w:rsid w:val="0061705A"/>
    <w:rsid w:val="006176D0"/>
    <w:rsid w:val="0061772D"/>
    <w:rsid w:val="0061798E"/>
    <w:rsid w:val="006206C7"/>
    <w:rsid w:val="006209DA"/>
    <w:rsid w:val="00620D19"/>
    <w:rsid w:val="00621517"/>
    <w:rsid w:val="00621A8C"/>
    <w:rsid w:val="00621F30"/>
    <w:rsid w:val="00623B44"/>
    <w:rsid w:val="006244B1"/>
    <w:rsid w:val="0062517D"/>
    <w:rsid w:val="00625A08"/>
    <w:rsid w:val="0062711E"/>
    <w:rsid w:val="00627D4F"/>
    <w:rsid w:val="00627E40"/>
    <w:rsid w:val="00630B8E"/>
    <w:rsid w:val="00630BA6"/>
    <w:rsid w:val="00630E90"/>
    <w:rsid w:val="00631A89"/>
    <w:rsid w:val="00631E04"/>
    <w:rsid w:val="00632627"/>
    <w:rsid w:val="00632958"/>
    <w:rsid w:val="00632D04"/>
    <w:rsid w:val="00634B3A"/>
    <w:rsid w:val="0063587C"/>
    <w:rsid w:val="00641278"/>
    <w:rsid w:val="00641581"/>
    <w:rsid w:val="00641C0A"/>
    <w:rsid w:val="006427D0"/>
    <w:rsid w:val="00642F0C"/>
    <w:rsid w:val="00643265"/>
    <w:rsid w:val="006442C8"/>
    <w:rsid w:val="006444DB"/>
    <w:rsid w:val="006450D6"/>
    <w:rsid w:val="0064517F"/>
    <w:rsid w:val="0064541E"/>
    <w:rsid w:val="0064566F"/>
    <w:rsid w:val="00646FA1"/>
    <w:rsid w:val="006470FC"/>
    <w:rsid w:val="006471DF"/>
    <w:rsid w:val="006473E2"/>
    <w:rsid w:val="006519CD"/>
    <w:rsid w:val="00651A83"/>
    <w:rsid w:val="00653FA8"/>
    <w:rsid w:val="00654489"/>
    <w:rsid w:val="00654C57"/>
    <w:rsid w:val="006558AE"/>
    <w:rsid w:val="006572BC"/>
    <w:rsid w:val="00657C11"/>
    <w:rsid w:val="00660383"/>
    <w:rsid w:val="006603CB"/>
    <w:rsid w:val="00660772"/>
    <w:rsid w:val="00660A38"/>
    <w:rsid w:val="00660BD3"/>
    <w:rsid w:val="006617C3"/>
    <w:rsid w:val="006622D7"/>
    <w:rsid w:val="00662B9B"/>
    <w:rsid w:val="00662E98"/>
    <w:rsid w:val="0066521A"/>
    <w:rsid w:val="0066553C"/>
    <w:rsid w:val="00665ACE"/>
    <w:rsid w:val="00666B25"/>
    <w:rsid w:val="00667293"/>
    <w:rsid w:val="006678E2"/>
    <w:rsid w:val="00671B57"/>
    <w:rsid w:val="00672717"/>
    <w:rsid w:val="00672A48"/>
    <w:rsid w:val="00672B08"/>
    <w:rsid w:val="006731E3"/>
    <w:rsid w:val="00673B35"/>
    <w:rsid w:val="006759B4"/>
    <w:rsid w:val="00676A65"/>
    <w:rsid w:val="00677517"/>
    <w:rsid w:val="00680719"/>
    <w:rsid w:val="00681CEE"/>
    <w:rsid w:val="00682F85"/>
    <w:rsid w:val="006833C9"/>
    <w:rsid w:val="006845E4"/>
    <w:rsid w:val="00684616"/>
    <w:rsid w:val="00684EC2"/>
    <w:rsid w:val="006859F0"/>
    <w:rsid w:val="00685B43"/>
    <w:rsid w:val="00686E09"/>
    <w:rsid w:val="00691119"/>
    <w:rsid w:val="006912AC"/>
    <w:rsid w:val="00691391"/>
    <w:rsid w:val="006930E6"/>
    <w:rsid w:val="0069550B"/>
    <w:rsid w:val="00695F77"/>
    <w:rsid w:val="006967F9"/>
    <w:rsid w:val="0069703D"/>
    <w:rsid w:val="0069732D"/>
    <w:rsid w:val="006A1E37"/>
    <w:rsid w:val="006A46D6"/>
    <w:rsid w:val="006A4D2E"/>
    <w:rsid w:val="006A4D51"/>
    <w:rsid w:val="006A4EB2"/>
    <w:rsid w:val="006A54E2"/>
    <w:rsid w:val="006A5BB9"/>
    <w:rsid w:val="006A7593"/>
    <w:rsid w:val="006A7A48"/>
    <w:rsid w:val="006A7B54"/>
    <w:rsid w:val="006A7CBB"/>
    <w:rsid w:val="006B01CF"/>
    <w:rsid w:val="006B0C78"/>
    <w:rsid w:val="006B0E1F"/>
    <w:rsid w:val="006B32A4"/>
    <w:rsid w:val="006B3A3E"/>
    <w:rsid w:val="006B41A2"/>
    <w:rsid w:val="006B4A43"/>
    <w:rsid w:val="006B4E2B"/>
    <w:rsid w:val="006B55A0"/>
    <w:rsid w:val="006B6534"/>
    <w:rsid w:val="006B67D2"/>
    <w:rsid w:val="006B6DE7"/>
    <w:rsid w:val="006B6E81"/>
    <w:rsid w:val="006B7460"/>
    <w:rsid w:val="006C0F8C"/>
    <w:rsid w:val="006C1301"/>
    <w:rsid w:val="006C1B09"/>
    <w:rsid w:val="006C1D17"/>
    <w:rsid w:val="006C3CD2"/>
    <w:rsid w:val="006C49B6"/>
    <w:rsid w:val="006C6192"/>
    <w:rsid w:val="006C62E6"/>
    <w:rsid w:val="006C6E1E"/>
    <w:rsid w:val="006C7528"/>
    <w:rsid w:val="006C7F33"/>
    <w:rsid w:val="006D0E87"/>
    <w:rsid w:val="006D1723"/>
    <w:rsid w:val="006D1F04"/>
    <w:rsid w:val="006D1FC1"/>
    <w:rsid w:val="006D3A05"/>
    <w:rsid w:val="006D41B1"/>
    <w:rsid w:val="006D420C"/>
    <w:rsid w:val="006D4284"/>
    <w:rsid w:val="006D441D"/>
    <w:rsid w:val="006D497E"/>
    <w:rsid w:val="006D4A8E"/>
    <w:rsid w:val="006D67C6"/>
    <w:rsid w:val="006D77BE"/>
    <w:rsid w:val="006E046A"/>
    <w:rsid w:val="006E13C9"/>
    <w:rsid w:val="006E1596"/>
    <w:rsid w:val="006E1CCB"/>
    <w:rsid w:val="006E2961"/>
    <w:rsid w:val="006E4A1A"/>
    <w:rsid w:val="006E5001"/>
    <w:rsid w:val="006E6564"/>
    <w:rsid w:val="006E7607"/>
    <w:rsid w:val="006E7B3A"/>
    <w:rsid w:val="006F220E"/>
    <w:rsid w:val="006F2F19"/>
    <w:rsid w:val="006F41CD"/>
    <w:rsid w:val="006F5562"/>
    <w:rsid w:val="006F582B"/>
    <w:rsid w:val="006F6494"/>
    <w:rsid w:val="006F6B2C"/>
    <w:rsid w:val="006F6B9E"/>
    <w:rsid w:val="006F6E8B"/>
    <w:rsid w:val="006F6F61"/>
    <w:rsid w:val="006F7A9F"/>
    <w:rsid w:val="00700474"/>
    <w:rsid w:val="00700FD5"/>
    <w:rsid w:val="007022B5"/>
    <w:rsid w:val="00702599"/>
    <w:rsid w:val="00702FE7"/>
    <w:rsid w:val="00703205"/>
    <w:rsid w:val="0070471C"/>
    <w:rsid w:val="00705477"/>
    <w:rsid w:val="007058FF"/>
    <w:rsid w:val="00705CF2"/>
    <w:rsid w:val="00706AF3"/>
    <w:rsid w:val="0070707B"/>
    <w:rsid w:val="00707ACA"/>
    <w:rsid w:val="00710250"/>
    <w:rsid w:val="00710874"/>
    <w:rsid w:val="007110A4"/>
    <w:rsid w:val="007110C7"/>
    <w:rsid w:val="00711E89"/>
    <w:rsid w:val="007130A0"/>
    <w:rsid w:val="00713231"/>
    <w:rsid w:val="007134F8"/>
    <w:rsid w:val="007137A3"/>
    <w:rsid w:val="00713858"/>
    <w:rsid w:val="007138FC"/>
    <w:rsid w:val="007139E1"/>
    <w:rsid w:val="0071446E"/>
    <w:rsid w:val="007145E8"/>
    <w:rsid w:val="0071579E"/>
    <w:rsid w:val="007170E2"/>
    <w:rsid w:val="00717A45"/>
    <w:rsid w:val="007201BA"/>
    <w:rsid w:val="007208C1"/>
    <w:rsid w:val="00720A35"/>
    <w:rsid w:val="00720ADF"/>
    <w:rsid w:val="00722F03"/>
    <w:rsid w:val="00723AC8"/>
    <w:rsid w:val="00724554"/>
    <w:rsid w:val="007245D4"/>
    <w:rsid w:val="00724714"/>
    <w:rsid w:val="007255A7"/>
    <w:rsid w:val="007256CC"/>
    <w:rsid w:val="00725874"/>
    <w:rsid w:val="007262AD"/>
    <w:rsid w:val="00726311"/>
    <w:rsid w:val="00726C3F"/>
    <w:rsid w:val="00726F72"/>
    <w:rsid w:val="00727293"/>
    <w:rsid w:val="0072730F"/>
    <w:rsid w:val="007275F4"/>
    <w:rsid w:val="00730507"/>
    <w:rsid w:val="00730C97"/>
    <w:rsid w:val="00732650"/>
    <w:rsid w:val="00732A5D"/>
    <w:rsid w:val="00732DC3"/>
    <w:rsid w:val="007338E6"/>
    <w:rsid w:val="00733C6B"/>
    <w:rsid w:val="0073415C"/>
    <w:rsid w:val="00734CCF"/>
    <w:rsid w:val="0073555A"/>
    <w:rsid w:val="00735AE1"/>
    <w:rsid w:val="00736856"/>
    <w:rsid w:val="00736D3B"/>
    <w:rsid w:val="00737162"/>
    <w:rsid w:val="00737BFA"/>
    <w:rsid w:val="0074069A"/>
    <w:rsid w:val="007414DD"/>
    <w:rsid w:val="007428EA"/>
    <w:rsid w:val="00742B9E"/>
    <w:rsid w:val="00742BE1"/>
    <w:rsid w:val="00742F9B"/>
    <w:rsid w:val="00743AEA"/>
    <w:rsid w:val="00744C8A"/>
    <w:rsid w:val="007451A4"/>
    <w:rsid w:val="007456EA"/>
    <w:rsid w:val="00745DBF"/>
    <w:rsid w:val="00745E67"/>
    <w:rsid w:val="007465C8"/>
    <w:rsid w:val="00747AF0"/>
    <w:rsid w:val="00751531"/>
    <w:rsid w:val="00751767"/>
    <w:rsid w:val="00753F6F"/>
    <w:rsid w:val="007542FC"/>
    <w:rsid w:val="0075493A"/>
    <w:rsid w:val="007549DD"/>
    <w:rsid w:val="00755419"/>
    <w:rsid w:val="00755721"/>
    <w:rsid w:val="00756507"/>
    <w:rsid w:val="00757C1C"/>
    <w:rsid w:val="00760DDF"/>
    <w:rsid w:val="007610A7"/>
    <w:rsid w:val="00761300"/>
    <w:rsid w:val="00761E80"/>
    <w:rsid w:val="007620EF"/>
    <w:rsid w:val="007622F1"/>
    <w:rsid w:val="00762370"/>
    <w:rsid w:val="00763481"/>
    <w:rsid w:val="00763723"/>
    <w:rsid w:val="00763F04"/>
    <w:rsid w:val="0076411E"/>
    <w:rsid w:val="0076437C"/>
    <w:rsid w:val="00764B01"/>
    <w:rsid w:val="007652D3"/>
    <w:rsid w:val="00765AEA"/>
    <w:rsid w:val="00765E61"/>
    <w:rsid w:val="00766804"/>
    <w:rsid w:val="0076796E"/>
    <w:rsid w:val="0077000C"/>
    <w:rsid w:val="00770641"/>
    <w:rsid w:val="007708EC"/>
    <w:rsid w:val="007712B5"/>
    <w:rsid w:val="00771F17"/>
    <w:rsid w:val="00771F2F"/>
    <w:rsid w:val="0077236B"/>
    <w:rsid w:val="00772769"/>
    <w:rsid w:val="007728B3"/>
    <w:rsid w:val="00774A59"/>
    <w:rsid w:val="00774DBF"/>
    <w:rsid w:val="00774E6E"/>
    <w:rsid w:val="0077508E"/>
    <w:rsid w:val="007760F7"/>
    <w:rsid w:val="0077692C"/>
    <w:rsid w:val="0077747A"/>
    <w:rsid w:val="00777C57"/>
    <w:rsid w:val="00777E55"/>
    <w:rsid w:val="00780B4A"/>
    <w:rsid w:val="00780ECB"/>
    <w:rsid w:val="00781CC6"/>
    <w:rsid w:val="007828F4"/>
    <w:rsid w:val="00784BDC"/>
    <w:rsid w:val="00784F9D"/>
    <w:rsid w:val="0078539A"/>
    <w:rsid w:val="00786F0A"/>
    <w:rsid w:val="00790A93"/>
    <w:rsid w:val="007910FC"/>
    <w:rsid w:val="00791693"/>
    <w:rsid w:val="00791719"/>
    <w:rsid w:val="00791E7A"/>
    <w:rsid w:val="007923F0"/>
    <w:rsid w:val="00792499"/>
    <w:rsid w:val="00792533"/>
    <w:rsid w:val="007931F1"/>
    <w:rsid w:val="00793244"/>
    <w:rsid w:val="00793B8F"/>
    <w:rsid w:val="00793E7F"/>
    <w:rsid w:val="00794205"/>
    <w:rsid w:val="00794EFC"/>
    <w:rsid w:val="007970AF"/>
    <w:rsid w:val="007972A7"/>
    <w:rsid w:val="00797864"/>
    <w:rsid w:val="007A2327"/>
    <w:rsid w:val="007A2B6F"/>
    <w:rsid w:val="007A3D35"/>
    <w:rsid w:val="007A425A"/>
    <w:rsid w:val="007A480F"/>
    <w:rsid w:val="007A5868"/>
    <w:rsid w:val="007A7944"/>
    <w:rsid w:val="007B0AB5"/>
    <w:rsid w:val="007B1459"/>
    <w:rsid w:val="007B31DF"/>
    <w:rsid w:val="007B4000"/>
    <w:rsid w:val="007B4CEC"/>
    <w:rsid w:val="007B5525"/>
    <w:rsid w:val="007B5653"/>
    <w:rsid w:val="007B5A6E"/>
    <w:rsid w:val="007B6EA4"/>
    <w:rsid w:val="007B700A"/>
    <w:rsid w:val="007B778E"/>
    <w:rsid w:val="007C0524"/>
    <w:rsid w:val="007C1180"/>
    <w:rsid w:val="007C15B0"/>
    <w:rsid w:val="007C1B9B"/>
    <w:rsid w:val="007C5572"/>
    <w:rsid w:val="007C5AE4"/>
    <w:rsid w:val="007C6A8E"/>
    <w:rsid w:val="007C7A28"/>
    <w:rsid w:val="007D055A"/>
    <w:rsid w:val="007D2EFF"/>
    <w:rsid w:val="007D3549"/>
    <w:rsid w:val="007D3750"/>
    <w:rsid w:val="007D3C2A"/>
    <w:rsid w:val="007D3C38"/>
    <w:rsid w:val="007D404B"/>
    <w:rsid w:val="007D51DC"/>
    <w:rsid w:val="007D55CF"/>
    <w:rsid w:val="007D64F9"/>
    <w:rsid w:val="007D67E7"/>
    <w:rsid w:val="007E04E9"/>
    <w:rsid w:val="007E0FC7"/>
    <w:rsid w:val="007E31C4"/>
    <w:rsid w:val="007E45A0"/>
    <w:rsid w:val="007E50E0"/>
    <w:rsid w:val="007E537E"/>
    <w:rsid w:val="007E53F0"/>
    <w:rsid w:val="007E6229"/>
    <w:rsid w:val="007E637A"/>
    <w:rsid w:val="007E6C63"/>
    <w:rsid w:val="007E73D3"/>
    <w:rsid w:val="007E75F0"/>
    <w:rsid w:val="007F05E5"/>
    <w:rsid w:val="007F08BA"/>
    <w:rsid w:val="007F2A2A"/>
    <w:rsid w:val="007F38BE"/>
    <w:rsid w:val="007F3F16"/>
    <w:rsid w:val="007F4AEF"/>
    <w:rsid w:val="007F4CA8"/>
    <w:rsid w:val="007F57DF"/>
    <w:rsid w:val="007F727D"/>
    <w:rsid w:val="008015BA"/>
    <w:rsid w:val="0080160A"/>
    <w:rsid w:val="00801E1D"/>
    <w:rsid w:val="00802316"/>
    <w:rsid w:val="0080299E"/>
    <w:rsid w:val="00802EB3"/>
    <w:rsid w:val="008036C0"/>
    <w:rsid w:val="008046FD"/>
    <w:rsid w:val="00805EBD"/>
    <w:rsid w:val="00806362"/>
    <w:rsid w:val="0080641A"/>
    <w:rsid w:val="00806689"/>
    <w:rsid w:val="00806FF2"/>
    <w:rsid w:val="008071AA"/>
    <w:rsid w:val="00807272"/>
    <w:rsid w:val="00810460"/>
    <w:rsid w:val="00810758"/>
    <w:rsid w:val="00811A49"/>
    <w:rsid w:val="00811C1E"/>
    <w:rsid w:val="00813349"/>
    <w:rsid w:val="00813394"/>
    <w:rsid w:val="00813C04"/>
    <w:rsid w:val="008142B9"/>
    <w:rsid w:val="00814A5C"/>
    <w:rsid w:val="00814C38"/>
    <w:rsid w:val="00816419"/>
    <w:rsid w:val="00816555"/>
    <w:rsid w:val="00816975"/>
    <w:rsid w:val="008169C0"/>
    <w:rsid w:val="00816D66"/>
    <w:rsid w:val="00817BC2"/>
    <w:rsid w:val="00820F66"/>
    <w:rsid w:val="0082114C"/>
    <w:rsid w:val="00821757"/>
    <w:rsid w:val="0082200D"/>
    <w:rsid w:val="00822DE3"/>
    <w:rsid w:val="00822E66"/>
    <w:rsid w:val="00823DCF"/>
    <w:rsid w:val="008270B4"/>
    <w:rsid w:val="00827E07"/>
    <w:rsid w:val="008309BB"/>
    <w:rsid w:val="00830DCE"/>
    <w:rsid w:val="00831239"/>
    <w:rsid w:val="00831727"/>
    <w:rsid w:val="008317D9"/>
    <w:rsid w:val="00831DB9"/>
    <w:rsid w:val="00832357"/>
    <w:rsid w:val="008329BE"/>
    <w:rsid w:val="008332C5"/>
    <w:rsid w:val="00834DCD"/>
    <w:rsid w:val="00836937"/>
    <w:rsid w:val="0084083B"/>
    <w:rsid w:val="00841623"/>
    <w:rsid w:val="00842F81"/>
    <w:rsid w:val="00843C7B"/>
    <w:rsid w:val="0084411E"/>
    <w:rsid w:val="008445BF"/>
    <w:rsid w:val="00844E74"/>
    <w:rsid w:val="00845D39"/>
    <w:rsid w:val="00845DBE"/>
    <w:rsid w:val="0084626E"/>
    <w:rsid w:val="00846B93"/>
    <w:rsid w:val="00846FD1"/>
    <w:rsid w:val="00847840"/>
    <w:rsid w:val="0085012B"/>
    <w:rsid w:val="00850305"/>
    <w:rsid w:val="008503E1"/>
    <w:rsid w:val="008504DD"/>
    <w:rsid w:val="008519D8"/>
    <w:rsid w:val="00851DE4"/>
    <w:rsid w:val="00852835"/>
    <w:rsid w:val="00852923"/>
    <w:rsid w:val="00852991"/>
    <w:rsid w:val="0085319E"/>
    <w:rsid w:val="008536FF"/>
    <w:rsid w:val="0085465B"/>
    <w:rsid w:val="008546FA"/>
    <w:rsid w:val="00854AD2"/>
    <w:rsid w:val="00854FDF"/>
    <w:rsid w:val="0085569E"/>
    <w:rsid w:val="00855AEE"/>
    <w:rsid w:val="00855E77"/>
    <w:rsid w:val="0085678F"/>
    <w:rsid w:val="00856BF6"/>
    <w:rsid w:val="008572A5"/>
    <w:rsid w:val="00857D75"/>
    <w:rsid w:val="0086017C"/>
    <w:rsid w:val="00860792"/>
    <w:rsid w:val="00860DBF"/>
    <w:rsid w:val="00860E30"/>
    <w:rsid w:val="00861A51"/>
    <w:rsid w:val="00861B84"/>
    <w:rsid w:val="0086272D"/>
    <w:rsid w:val="00862BA3"/>
    <w:rsid w:val="00865281"/>
    <w:rsid w:val="00866063"/>
    <w:rsid w:val="00866192"/>
    <w:rsid w:val="00866A34"/>
    <w:rsid w:val="00866D78"/>
    <w:rsid w:val="0086779B"/>
    <w:rsid w:val="00867D46"/>
    <w:rsid w:val="00870284"/>
    <w:rsid w:val="008702DB"/>
    <w:rsid w:val="0087089C"/>
    <w:rsid w:val="00870967"/>
    <w:rsid w:val="008709D4"/>
    <w:rsid w:val="00870DF9"/>
    <w:rsid w:val="00871AB0"/>
    <w:rsid w:val="00872876"/>
    <w:rsid w:val="0087316D"/>
    <w:rsid w:val="00874D59"/>
    <w:rsid w:val="00874E2E"/>
    <w:rsid w:val="00874EFB"/>
    <w:rsid w:val="00876ACB"/>
    <w:rsid w:val="008773AE"/>
    <w:rsid w:val="00881291"/>
    <w:rsid w:val="00881A87"/>
    <w:rsid w:val="00882060"/>
    <w:rsid w:val="0088225F"/>
    <w:rsid w:val="00882747"/>
    <w:rsid w:val="0088274C"/>
    <w:rsid w:val="00882851"/>
    <w:rsid w:val="00882929"/>
    <w:rsid w:val="00882B2C"/>
    <w:rsid w:val="00882BB0"/>
    <w:rsid w:val="00882BBF"/>
    <w:rsid w:val="00883F2E"/>
    <w:rsid w:val="00884707"/>
    <w:rsid w:val="00884C39"/>
    <w:rsid w:val="0088516F"/>
    <w:rsid w:val="008851DB"/>
    <w:rsid w:val="00885318"/>
    <w:rsid w:val="00885BF9"/>
    <w:rsid w:val="00885FFC"/>
    <w:rsid w:val="00886EAB"/>
    <w:rsid w:val="008874C6"/>
    <w:rsid w:val="00887E18"/>
    <w:rsid w:val="00887E84"/>
    <w:rsid w:val="00887FF2"/>
    <w:rsid w:val="00891B04"/>
    <w:rsid w:val="008942C9"/>
    <w:rsid w:val="008942F7"/>
    <w:rsid w:val="00894CB6"/>
    <w:rsid w:val="00894CB7"/>
    <w:rsid w:val="00895186"/>
    <w:rsid w:val="00895269"/>
    <w:rsid w:val="00895722"/>
    <w:rsid w:val="00897FE8"/>
    <w:rsid w:val="008A0201"/>
    <w:rsid w:val="008A071E"/>
    <w:rsid w:val="008A1F6B"/>
    <w:rsid w:val="008A22E1"/>
    <w:rsid w:val="008A2CDF"/>
    <w:rsid w:val="008A32B9"/>
    <w:rsid w:val="008A4A7A"/>
    <w:rsid w:val="008A4DDC"/>
    <w:rsid w:val="008A5319"/>
    <w:rsid w:val="008A5429"/>
    <w:rsid w:val="008A549B"/>
    <w:rsid w:val="008A55C0"/>
    <w:rsid w:val="008A59E5"/>
    <w:rsid w:val="008A6193"/>
    <w:rsid w:val="008A6ADC"/>
    <w:rsid w:val="008A6DA8"/>
    <w:rsid w:val="008A70EC"/>
    <w:rsid w:val="008A76D9"/>
    <w:rsid w:val="008A77D8"/>
    <w:rsid w:val="008A7B09"/>
    <w:rsid w:val="008B00AC"/>
    <w:rsid w:val="008B0C4F"/>
    <w:rsid w:val="008B16AA"/>
    <w:rsid w:val="008B3C21"/>
    <w:rsid w:val="008B5F32"/>
    <w:rsid w:val="008B5FAE"/>
    <w:rsid w:val="008B61C9"/>
    <w:rsid w:val="008C1742"/>
    <w:rsid w:val="008C24EF"/>
    <w:rsid w:val="008C2BBE"/>
    <w:rsid w:val="008C3754"/>
    <w:rsid w:val="008C57A8"/>
    <w:rsid w:val="008C5E45"/>
    <w:rsid w:val="008C6C45"/>
    <w:rsid w:val="008C7FE3"/>
    <w:rsid w:val="008D057D"/>
    <w:rsid w:val="008D15D1"/>
    <w:rsid w:val="008D170F"/>
    <w:rsid w:val="008D2996"/>
    <w:rsid w:val="008D2D00"/>
    <w:rsid w:val="008D5BF4"/>
    <w:rsid w:val="008D6D74"/>
    <w:rsid w:val="008D73A1"/>
    <w:rsid w:val="008E1706"/>
    <w:rsid w:val="008E2335"/>
    <w:rsid w:val="008E271E"/>
    <w:rsid w:val="008E29E7"/>
    <w:rsid w:val="008E3310"/>
    <w:rsid w:val="008E35A2"/>
    <w:rsid w:val="008E3BEE"/>
    <w:rsid w:val="008E42D0"/>
    <w:rsid w:val="008E46D5"/>
    <w:rsid w:val="008E4BAA"/>
    <w:rsid w:val="008E541D"/>
    <w:rsid w:val="008E6D3B"/>
    <w:rsid w:val="008E738B"/>
    <w:rsid w:val="008E7E57"/>
    <w:rsid w:val="008F0B40"/>
    <w:rsid w:val="008F116A"/>
    <w:rsid w:val="008F1B27"/>
    <w:rsid w:val="008F286F"/>
    <w:rsid w:val="008F30EA"/>
    <w:rsid w:val="008F3E79"/>
    <w:rsid w:val="008F47C3"/>
    <w:rsid w:val="008F657B"/>
    <w:rsid w:val="008F6AAB"/>
    <w:rsid w:val="008F7405"/>
    <w:rsid w:val="008F7542"/>
    <w:rsid w:val="008F77CE"/>
    <w:rsid w:val="009015D2"/>
    <w:rsid w:val="00901A83"/>
    <w:rsid w:val="009030C3"/>
    <w:rsid w:val="00903338"/>
    <w:rsid w:val="009048F4"/>
    <w:rsid w:val="00904917"/>
    <w:rsid w:val="009057A6"/>
    <w:rsid w:val="00906862"/>
    <w:rsid w:val="00906E4F"/>
    <w:rsid w:val="00911130"/>
    <w:rsid w:val="009118DB"/>
    <w:rsid w:val="00911E9A"/>
    <w:rsid w:val="0091232A"/>
    <w:rsid w:val="009132D6"/>
    <w:rsid w:val="00913895"/>
    <w:rsid w:val="00913CFF"/>
    <w:rsid w:val="0091445F"/>
    <w:rsid w:val="0091536E"/>
    <w:rsid w:val="009163A2"/>
    <w:rsid w:val="0091666D"/>
    <w:rsid w:val="0091702A"/>
    <w:rsid w:val="00917040"/>
    <w:rsid w:val="009174E4"/>
    <w:rsid w:val="00917D29"/>
    <w:rsid w:val="00920897"/>
    <w:rsid w:val="00920BA0"/>
    <w:rsid w:val="00920D6D"/>
    <w:rsid w:val="00921716"/>
    <w:rsid w:val="009217A6"/>
    <w:rsid w:val="00921B61"/>
    <w:rsid w:val="00924A5D"/>
    <w:rsid w:val="0092503D"/>
    <w:rsid w:val="00926358"/>
    <w:rsid w:val="00926A4A"/>
    <w:rsid w:val="009272AC"/>
    <w:rsid w:val="0092792A"/>
    <w:rsid w:val="0093091D"/>
    <w:rsid w:val="009309D2"/>
    <w:rsid w:val="00931629"/>
    <w:rsid w:val="00931821"/>
    <w:rsid w:val="0093198D"/>
    <w:rsid w:val="009319AB"/>
    <w:rsid w:val="00931A14"/>
    <w:rsid w:val="00931BA6"/>
    <w:rsid w:val="00932ED1"/>
    <w:rsid w:val="00933F86"/>
    <w:rsid w:val="00934318"/>
    <w:rsid w:val="00934CE5"/>
    <w:rsid w:val="00935508"/>
    <w:rsid w:val="009356A0"/>
    <w:rsid w:val="00936F43"/>
    <w:rsid w:val="0093728E"/>
    <w:rsid w:val="0093799C"/>
    <w:rsid w:val="00937B7E"/>
    <w:rsid w:val="009410A8"/>
    <w:rsid w:val="009411FC"/>
    <w:rsid w:val="00941C77"/>
    <w:rsid w:val="00942E44"/>
    <w:rsid w:val="00942FFA"/>
    <w:rsid w:val="009442D8"/>
    <w:rsid w:val="00944575"/>
    <w:rsid w:val="00944915"/>
    <w:rsid w:val="009451AA"/>
    <w:rsid w:val="009460B3"/>
    <w:rsid w:val="00946B88"/>
    <w:rsid w:val="00947AEC"/>
    <w:rsid w:val="009511ED"/>
    <w:rsid w:val="009516E6"/>
    <w:rsid w:val="00951C16"/>
    <w:rsid w:val="00952860"/>
    <w:rsid w:val="00952E3E"/>
    <w:rsid w:val="00952EF8"/>
    <w:rsid w:val="009530E5"/>
    <w:rsid w:val="00953984"/>
    <w:rsid w:val="0095507F"/>
    <w:rsid w:val="00955E06"/>
    <w:rsid w:val="00955E22"/>
    <w:rsid w:val="00956100"/>
    <w:rsid w:val="0095631F"/>
    <w:rsid w:val="00957043"/>
    <w:rsid w:val="00957C80"/>
    <w:rsid w:val="009607AC"/>
    <w:rsid w:val="0096092A"/>
    <w:rsid w:val="009629C8"/>
    <w:rsid w:val="009634AE"/>
    <w:rsid w:val="009635CE"/>
    <w:rsid w:val="0096455E"/>
    <w:rsid w:val="00965FAC"/>
    <w:rsid w:val="00966A52"/>
    <w:rsid w:val="00967476"/>
    <w:rsid w:val="009677C3"/>
    <w:rsid w:val="00967C64"/>
    <w:rsid w:val="00967FEF"/>
    <w:rsid w:val="00973540"/>
    <w:rsid w:val="00973605"/>
    <w:rsid w:val="00973A11"/>
    <w:rsid w:val="0097406F"/>
    <w:rsid w:val="00974220"/>
    <w:rsid w:val="00974AEA"/>
    <w:rsid w:val="00975A0A"/>
    <w:rsid w:val="00976329"/>
    <w:rsid w:val="00976499"/>
    <w:rsid w:val="00980669"/>
    <w:rsid w:val="009826D1"/>
    <w:rsid w:val="009826E6"/>
    <w:rsid w:val="0098274E"/>
    <w:rsid w:val="009830F5"/>
    <w:rsid w:val="00983F5D"/>
    <w:rsid w:val="00984D3C"/>
    <w:rsid w:val="009852B6"/>
    <w:rsid w:val="00986747"/>
    <w:rsid w:val="00986753"/>
    <w:rsid w:val="00987A58"/>
    <w:rsid w:val="00987C2A"/>
    <w:rsid w:val="00990148"/>
    <w:rsid w:val="0099024C"/>
    <w:rsid w:val="00990894"/>
    <w:rsid w:val="00990D7F"/>
    <w:rsid w:val="009912BC"/>
    <w:rsid w:val="0099253C"/>
    <w:rsid w:val="009928E6"/>
    <w:rsid w:val="00994060"/>
    <w:rsid w:val="009940D0"/>
    <w:rsid w:val="009946FF"/>
    <w:rsid w:val="0099493B"/>
    <w:rsid w:val="00994AFD"/>
    <w:rsid w:val="009958F7"/>
    <w:rsid w:val="00995E81"/>
    <w:rsid w:val="00995E99"/>
    <w:rsid w:val="00996A46"/>
    <w:rsid w:val="00996E20"/>
    <w:rsid w:val="00997612"/>
    <w:rsid w:val="00997C9E"/>
    <w:rsid w:val="009A01E3"/>
    <w:rsid w:val="009A06F0"/>
    <w:rsid w:val="009A0B47"/>
    <w:rsid w:val="009A0D0B"/>
    <w:rsid w:val="009A132C"/>
    <w:rsid w:val="009A1386"/>
    <w:rsid w:val="009A21B6"/>
    <w:rsid w:val="009A25AF"/>
    <w:rsid w:val="009A413D"/>
    <w:rsid w:val="009A52AB"/>
    <w:rsid w:val="009A57E0"/>
    <w:rsid w:val="009A5D75"/>
    <w:rsid w:val="009A73AE"/>
    <w:rsid w:val="009B01C1"/>
    <w:rsid w:val="009B12C6"/>
    <w:rsid w:val="009B2178"/>
    <w:rsid w:val="009B3E4B"/>
    <w:rsid w:val="009B549B"/>
    <w:rsid w:val="009B5D8F"/>
    <w:rsid w:val="009B7361"/>
    <w:rsid w:val="009B7409"/>
    <w:rsid w:val="009B77FA"/>
    <w:rsid w:val="009B7AF9"/>
    <w:rsid w:val="009C086E"/>
    <w:rsid w:val="009C0CDE"/>
    <w:rsid w:val="009C0D13"/>
    <w:rsid w:val="009C1717"/>
    <w:rsid w:val="009C22BC"/>
    <w:rsid w:val="009C2E75"/>
    <w:rsid w:val="009C2F58"/>
    <w:rsid w:val="009C3700"/>
    <w:rsid w:val="009C371A"/>
    <w:rsid w:val="009C4100"/>
    <w:rsid w:val="009C6E5D"/>
    <w:rsid w:val="009C7239"/>
    <w:rsid w:val="009C7C17"/>
    <w:rsid w:val="009D1A35"/>
    <w:rsid w:val="009D2381"/>
    <w:rsid w:val="009D2F3B"/>
    <w:rsid w:val="009D3DB8"/>
    <w:rsid w:val="009D47F6"/>
    <w:rsid w:val="009D493A"/>
    <w:rsid w:val="009D4CFB"/>
    <w:rsid w:val="009D4F6B"/>
    <w:rsid w:val="009D52EB"/>
    <w:rsid w:val="009D54E8"/>
    <w:rsid w:val="009D645C"/>
    <w:rsid w:val="009D64F9"/>
    <w:rsid w:val="009D6548"/>
    <w:rsid w:val="009E17DF"/>
    <w:rsid w:val="009E382C"/>
    <w:rsid w:val="009E3A07"/>
    <w:rsid w:val="009E40B2"/>
    <w:rsid w:val="009E48F9"/>
    <w:rsid w:val="009E4EF0"/>
    <w:rsid w:val="009E5A76"/>
    <w:rsid w:val="009E613C"/>
    <w:rsid w:val="009E6BAE"/>
    <w:rsid w:val="009E722B"/>
    <w:rsid w:val="009E7357"/>
    <w:rsid w:val="009F081D"/>
    <w:rsid w:val="009F1347"/>
    <w:rsid w:val="009F153A"/>
    <w:rsid w:val="009F15F0"/>
    <w:rsid w:val="009F17D7"/>
    <w:rsid w:val="009F36B5"/>
    <w:rsid w:val="009F490C"/>
    <w:rsid w:val="009F56DE"/>
    <w:rsid w:val="009F6CE8"/>
    <w:rsid w:val="009F6F1C"/>
    <w:rsid w:val="00A00201"/>
    <w:rsid w:val="00A005B9"/>
    <w:rsid w:val="00A013D1"/>
    <w:rsid w:val="00A0253E"/>
    <w:rsid w:val="00A037C3"/>
    <w:rsid w:val="00A03D8B"/>
    <w:rsid w:val="00A043AE"/>
    <w:rsid w:val="00A04440"/>
    <w:rsid w:val="00A0501D"/>
    <w:rsid w:val="00A052B3"/>
    <w:rsid w:val="00A05A21"/>
    <w:rsid w:val="00A10531"/>
    <w:rsid w:val="00A108B5"/>
    <w:rsid w:val="00A11283"/>
    <w:rsid w:val="00A1138D"/>
    <w:rsid w:val="00A113E4"/>
    <w:rsid w:val="00A11734"/>
    <w:rsid w:val="00A11975"/>
    <w:rsid w:val="00A11A6E"/>
    <w:rsid w:val="00A11B4F"/>
    <w:rsid w:val="00A11EDD"/>
    <w:rsid w:val="00A1214D"/>
    <w:rsid w:val="00A1279C"/>
    <w:rsid w:val="00A12875"/>
    <w:rsid w:val="00A12C4F"/>
    <w:rsid w:val="00A13506"/>
    <w:rsid w:val="00A140EE"/>
    <w:rsid w:val="00A14148"/>
    <w:rsid w:val="00A148F4"/>
    <w:rsid w:val="00A15F63"/>
    <w:rsid w:val="00A17543"/>
    <w:rsid w:val="00A204D5"/>
    <w:rsid w:val="00A206C5"/>
    <w:rsid w:val="00A2104D"/>
    <w:rsid w:val="00A21A9B"/>
    <w:rsid w:val="00A22842"/>
    <w:rsid w:val="00A23076"/>
    <w:rsid w:val="00A233EA"/>
    <w:rsid w:val="00A236E8"/>
    <w:rsid w:val="00A25921"/>
    <w:rsid w:val="00A27510"/>
    <w:rsid w:val="00A31883"/>
    <w:rsid w:val="00A31C3D"/>
    <w:rsid w:val="00A32087"/>
    <w:rsid w:val="00A32177"/>
    <w:rsid w:val="00A3221B"/>
    <w:rsid w:val="00A33851"/>
    <w:rsid w:val="00A363BF"/>
    <w:rsid w:val="00A36659"/>
    <w:rsid w:val="00A36D02"/>
    <w:rsid w:val="00A37129"/>
    <w:rsid w:val="00A40E47"/>
    <w:rsid w:val="00A415AB"/>
    <w:rsid w:val="00A423DA"/>
    <w:rsid w:val="00A42968"/>
    <w:rsid w:val="00A4359D"/>
    <w:rsid w:val="00A45555"/>
    <w:rsid w:val="00A455F7"/>
    <w:rsid w:val="00A456C1"/>
    <w:rsid w:val="00A476B1"/>
    <w:rsid w:val="00A47F3C"/>
    <w:rsid w:val="00A5083B"/>
    <w:rsid w:val="00A509C5"/>
    <w:rsid w:val="00A50C3C"/>
    <w:rsid w:val="00A533EC"/>
    <w:rsid w:val="00A53EA6"/>
    <w:rsid w:val="00A53F56"/>
    <w:rsid w:val="00A542D2"/>
    <w:rsid w:val="00A55E7B"/>
    <w:rsid w:val="00A60960"/>
    <w:rsid w:val="00A60DA1"/>
    <w:rsid w:val="00A610E2"/>
    <w:rsid w:val="00A61178"/>
    <w:rsid w:val="00A617FE"/>
    <w:rsid w:val="00A62FAF"/>
    <w:rsid w:val="00A63B6F"/>
    <w:rsid w:val="00A63FBE"/>
    <w:rsid w:val="00A64290"/>
    <w:rsid w:val="00A64A02"/>
    <w:rsid w:val="00A65141"/>
    <w:rsid w:val="00A6551A"/>
    <w:rsid w:val="00A67C0A"/>
    <w:rsid w:val="00A67C85"/>
    <w:rsid w:val="00A70B96"/>
    <w:rsid w:val="00A70FD5"/>
    <w:rsid w:val="00A7297F"/>
    <w:rsid w:val="00A72B0F"/>
    <w:rsid w:val="00A73180"/>
    <w:rsid w:val="00A74C95"/>
    <w:rsid w:val="00A7522D"/>
    <w:rsid w:val="00A75947"/>
    <w:rsid w:val="00A75967"/>
    <w:rsid w:val="00A76180"/>
    <w:rsid w:val="00A768B2"/>
    <w:rsid w:val="00A76CF8"/>
    <w:rsid w:val="00A76FAC"/>
    <w:rsid w:val="00A77992"/>
    <w:rsid w:val="00A80605"/>
    <w:rsid w:val="00A806F3"/>
    <w:rsid w:val="00A8127E"/>
    <w:rsid w:val="00A8189E"/>
    <w:rsid w:val="00A83B22"/>
    <w:rsid w:val="00A84932"/>
    <w:rsid w:val="00A852CC"/>
    <w:rsid w:val="00A85627"/>
    <w:rsid w:val="00A85DC6"/>
    <w:rsid w:val="00A87884"/>
    <w:rsid w:val="00A90263"/>
    <w:rsid w:val="00A9172F"/>
    <w:rsid w:val="00A92311"/>
    <w:rsid w:val="00A92B51"/>
    <w:rsid w:val="00A92FA5"/>
    <w:rsid w:val="00A93F2B"/>
    <w:rsid w:val="00A95034"/>
    <w:rsid w:val="00A9580C"/>
    <w:rsid w:val="00A95886"/>
    <w:rsid w:val="00A95B12"/>
    <w:rsid w:val="00A95DFE"/>
    <w:rsid w:val="00A96F63"/>
    <w:rsid w:val="00A97A6D"/>
    <w:rsid w:val="00AA08BA"/>
    <w:rsid w:val="00AA0A44"/>
    <w:rsid w:val="00AA1121"/>
    <w:rsid w:val="00AA28E1"/>
    <w:rsid w:val="00AA3519"/>
    <w:rsid w:val="00AA3790"/>
    <w:rsid w:val="00AA3F52"/>
    <w:rsid w:val="00AA4E44"/>
    <w:rsid w:val="00AA62A4"/>
    <w:rsid w:val="00AA65FE"/>
    <w:rsid w:val="00AA71DE"/>
    <w:rsid w:val="00AB064D"/>
    <w:rsid w:val="00AB0B7A"/>
    <w:rsid w:val="00AB0E1A"/>
    <w:rsid w:val="00AB0E7C"/>
    <w:rsid w:val="00AB0F88"/>
    <w:rsid w:val="00AB1257"/>
    <w:rsid w:val="00AB26D0"/>
    <w:rsid w:val="00AB274F"/>
    <w:rsid w:val="00AB27CB"/>
    <w:rsid w:val="00AB2D42"/>
    <w:rsid w:val="00AB3261"/>
    <w:rsid w:val="00AB33CB"/>
    <w:rsid w:val="00AB33D3"/>
    <w:rsid w:val="00AB4059"/>
    <w:rsid w:val="00AB5727"/>
    <w:rsid w:val="00AB5810"/>
    <w:rsid w:val="00AB59BC"/>
    <w:rsid w:val="00AB603C"/>
    <w:rsid w:val="00AB63A2"/>
    <w:rsid w:val="00AB735D"/>
    <w:rsid w:val="00AB7BE5"/>
    <w:rsid w:val="00AC14B5"/>
    <w:rsid w:val="00AC2D9E"/>
    <w:rsid w:val="00AC2FD1"/>
    <w:rsid w:val="00AC393C"/>
    <w:rsid w:val="00AC3C17"/>
    <w:rsid w:val="00AC3DB4"/>
    <w:rsid w:val="00AC4268"/>
    <w:rsid w:val="00AC494E"/>
    <w:rsid w:val="00AC53DE"/>
    <w:rsid w:val="00AC548B"/>
    <w:rsid w:val="00AC58E5"/>
    <w:rsid w:val="00AC6882"/>
    <w:rsid w:val="00AC6A6D"/>
    <w:rsid w:val="00AC6C7C"/>
    <w:rsid w:val="00AC6DB2"/>
    <w:rsid w:val="00AC76EC"/>
    <w:rsid w:val="00AC785A"/>
    <w:rsid w:val="00AC7FD6"/>
    <w:rsid w:val="00AD16C0"/>
    <w:rsid w:val="00AD17D3"/>
    <w:rsid w:val="00AD2811"/>
    <w:rsid w:val="00AD2D8C"/>
    <w:rsid w:val="00AD38C4"/>
    <w:rsid w:val="00AD3B33"/>
    <w:rsid w:val="00AD3F8F"/>
    <w:rsid w:val="00AD4419"/>
    <w:rsid w:val="00AD470E"/>
    <w:rsid w:val="00AD4AAA"/>
    <w:rsid w:val="00AD4D96"/>
    <w:rsid w:val="00AD4EAD"/>
    <w:rsid w:val="00AD50B9"/>
    <w:rsid w:val="00AD5651"/>
    <w:rsid w:val="00AD5E7A"/>
    <w:rsid w:val="00AD7F5F"/>
    <w:rsid w:val="00AE12CF"/>
    <w:rsid w:val="00AE1784"/>
    <w:rsid w:val="00AE2CFA"/>
    <w:rsid w:val="00AE3587"/>
    <w:rsid w:val="00AE35BE"/>
    <w:rsid w:val="00AE3FED"/>
    <w:rsid w:val="00AE5165"/>
    <w:rsid w:val="00AE75E2"/>
    <w:rsid w:val="00AE7BDB"/>
    <w:rsid w:val="00AE7C12"/>
    <w:rsid w:val="00AE7C42"/>
    <w:rsid w:val="00AF0560"/>
    <w:rsid w:val="00AF06FB"/>
    <w:rsid w:val="00AF152B"/>
    <w:rsid w:val="00AF1D2A"/>
    <w:rsid w:val="00AF1DCE"/>
    <w:rsid w:val="00AF23FF"/>
    <w:rsid w:val="00AF47A9"/>
    <w:rsid w:val="00AF5429"/>
    <w:rsid w:val="00AF5E9F"/>
    <w:rsid w:val="00AF66F2"/>
    <w:rsid w:val="00B0060A"/>
    <w:rsid w:val="00B01601"/>
    <w:rsid w:val="00B01A0F"/>
    <w:rsid w:val="00B02796"/>
    <w:rsid w:val="00B03248"/>
    <w:rsid w:val="00B05FB2"/>
    <w:rsid w:val="00B065C1"/>
    <w:rsid w:val="00B06844"/>
    <w:rsid w:val="00B078C6"/>
    <w:rsid w:val="00B100FC"/>
    <w:rsid w:val="00B11B38"/>
    <w:rsid w:val="00B11DAA"/>
    <w:rsid w:val="00B13550"/>
    <w:rsid w:val="00B13A49"/>
    <w:rsid w:val="00B13C84"/>
    <w:rsid w:val="00B140AB"/>
    <w:rsid w:val="00B16730"/>
    <w:rsid w:val="00B16D95"/>
    <w:rsid w:val="00B1731F"/>
    <w:rsid w:val="00B20FD6"/>
    <w:rsid w:val="00B211F7"/>
    <w:rsid w:val="00B22030"/>
    <w:rsid w:val="00B230B0"/>
    <w:rsid w:val="00B24009"/>
    <w:rsid w:val="00B24DBF"/>
    <w:rsid w:val="00B24E94"/>
    <w:rsid w:val="00B25968"/>
    <w:rsid w:val="00B25E58"/>
    <w:rsid w:val="00B2792D"/>
    <w:rsid w:val="00B3008A"/>
    <w:rsid w:val="00B300B2"/>
    <w:rsid w:val="00B305F7"/>
    <w:rsid w:val="00B30F21"/>
    <w:rsid w:val="00B3105C"/>
    <w:rsid w:val="00B31E23"/>
    <w:rsid w:val="00B330C0"/>
    <w:rsid w:val="00B33689"/>
    <w:rsid w:val="00B33D72"/>
    <w:rsid w:val="00B354D7"/>
    <w:rsid w:val="00B355BB"/>
    <w:rsid w:val="00B365D0"/>
    <w:rsid w:val="00B36885"/>
    <w:rsid w:val="00B36AB3"/>
    <w:rsid w:val="00B36E92"/>
    <w:rsid w:val="00B37166"/>
    <w:rsid w:val="00B4038D"/>
    <w:rsid w:val="00B41E61"/>
    <w:rsid w:val="00B42864"/>
    <w:rsid w:val="00B4364F"/>
    <w:rsid w:val="00B43D08"/>
    <w:rsid w:val="00B4518E"/>
    <w:rsid w:val="00B45864"/>
    <w:rsid w:val="00B45A72"/>
    <w:rsid w:val="00B4627D"/>
    <w:rsid w:val="00B46AD3"/>
    <w:rsid w:val="00B473CF"/>
    <w:rsid w:val="00B475B8"/>
    <w:rsid w:val="00B5040B"/>
    <w:rsid w:val="00B5094D"/>
    <w:rsid w:val="00B5126C"/>
    <w:rsid w:val="00B512D4"/>
    <w:rsid w:val="00B51428"/>
    <w:rsid w:val="00B51583"/>
    <w:rsid w:val="00B51D95"/>
    <w:rsid w:val="00B52C65"/>
    <w:rsid w:val="00B545DF"/>
    <w:rsid w:val="00B54E06"/>
    <w:rsid w:val="00B54E2B"/>
    <w:rsid w:val="00B55712"/>
    <w:rsid w:val="00B558DC"/>
    <w:rsid w:val="00B563E2"/>
    <w:rsid w:val="00B56987"/>
    <w:rsid w:val="00B5732D"/>
    <w:rsid w:val="00B579A7"/>
    <w:rsid w:val="00B60E12"/>
    <w:rsid w:val="00B61989"/>
    <w:rsid w:val="00B62143"/>
    <w:rsid w:val="00B6237B"/>
    <w:rsid w:val="00B63B40"/>
    <w:rsid w:val="00B64E48"/>
    <w:rsid w:val="00B65FF0"/>
    <w:rsid w:val="00B66589"/>
    <w:rsid w:val="00B668E6"/>
    <w:rsid w:val="00B66ACB"/>
    <w:rsid w:val="00B66CB3"/>
    <w:rsid w:val="00B66DEA"/>
    <w:rsid w:val="00B673FD"/>
    <w:rsid w:val="00B6790F"/>
    <w:rsid w:val="00B706EB"/>
    <w:rsid w:val="00B70A85"/>
    <w:rsid w:val="00B71527"/>
    <w:rsid w:val="00B7166E"/>
    <w:rsid w:val="00B722AB"/>
    <w:rsid w:val="00B7289A"/>
    <w:rsid w:val="00B72C4E"/>
    <w:rsid w:val="00B76A93"/>
    <w:rsid w:val="00B77036"/>
    <w:rsid w:val="00B77448"/>
    <w:rsid w:val="00B7796E"/>
    <w:rsid w:val="00B80974"/>
    <w:rsid w:val="00B809F6"/>
    <w:rsid w:val="00B81738"/>
    <w:rsid w:val="00B82093"/>
    <w:rsid w:val="00B83495"/>
    <w:rsid w:val="00B84DFF"/>
    <w:rsid w:val="00B85304"/>
    <w:rsid w:val="00B85458"/>
    <w:rsid w:val="00B85674"/>
    <w:rsid w:val="00B8714E"/>
    <w:rsid w:val="00B87C5C"/>
    <w:rsid w:val="00B87E41"/>
    <w:rsid w:val="00B910B3"/>
    <w:rsid w:val="00B91221"/>
    <w:rsid w:val="00B91738"/>
    <w:rsid w:val="00B9232B"/>
    <w:rsid w:val="00B9238C"/>
    <w:rsid w:val="00B9264E"/>
    <w:rsid w:val="00B938B7"/>
    <w:rsid w:val="00B93B2E"/>
    <w:rsid w:val="00B93CC3"/>
    <w:rsid w:val="00B951A9"/>
    <w:rsid w:val="00B955D0"/>
    <w:rsid w:val="00B9603D"/>
    <w:rsid w:val="00B9691D"/>
    <w:rsid w:val="00B96DB1"/>
    <w:rsid w:val="00B97079"/>
    <w:rsid w:val="00BA05F4"/>
    <w:rsid w:val="00BA190E"/>
    <w:rsid w:val="00BA4334"/>
    <w:rsid w:val="00BA45B8"/>
    <w:rsid w:val="00BA4E67"/>
    <w:rsid w:val="00BA54C7"/>
    <w:rsid w:val="00BA59DF"/>
    <w:rsid w:val="00BA60B3"/>
    <w:rsid w:val="00BA6167"/>
    <w:rsid w:val="00BA7DEB"/>
    <w:rsid w:val="00BA7FA1"/>
    <w:rsid w:val="00BB071A"/>
    <w:rsid w:val="00BB1EA4"/>
    <w:rsid w:val="00BB26B5"/>
    <w:rsid w:val="00BB26FC"/>
    <w:rsid w:val="00BB3A12"/>
    <w:rsid w:val="00BB3A29"/>
    <w:rsid w:val="00BB3ACD"/>
    <w:rsid w:val="00BB4635"/>
    <w:rsid w:val="00BB6521"/>
    <w:rsid w:val="00BB6A69"/>
    <w:rsid w:val="00BB72A2"/>
    <w:rsid w:val="00BB73C4"/>
    <w:rsid w:val="00BB7E0A"/>
    <w:rsid w:val="00BC0965"/>
    <w:rsid w:val="00BC0A59"/>
    <w:rsid w:val="00BC0B4F"/>
    <w:rsid w:val="00BC0F86"/>
    <w:rsid w:val="00BC23DF"/>
    <w:rsid w:val="00BC2A82"/>
    <w:rsid w:val="00BC2AEB"/>
    <w:rsid w:val="00BC2FEA"/>
    <w:rsid w:val="00BC3D5E"/>
    <w:rsid w:val="00BC3E56"/>
    <w:rsid w:val="00BC4CC7"/>
    <w:rsid w:val="00BC71E6"/>
    <w:rsid w:val="00BC7508"/>
    <w:rsid w:val="00BC769B"/>
    <w:rsid w:val="00BC775A"/>
    <w:rsid w:val="00BD1AFD"/>
    <w:rsid w:val="00BD2015"/>
    <w:rsid w:val="00BD26DB"/>
    <w:rsid w:val="00BD2E3B"/>
    <w:rsid w:val="00BD3577"/>
    <w:rsid w:val="00BD518F"/>
    <w:rsid w:val="00BD617E"/>
    <w:rsid w:val="00BD6208"/>
    <w:rsid w:val="00BD62B8"/>
    <w:rsid w:val="00BD72CA"/>
    <w:rsid w:val="00BD7457"/>
    <w:rsid w:val="00BD795F"/>
    <w:rsid w:val="00BD7C99"/>
    <w:rsid w:val="00BE084D"/>
    <w:rsid w:val="00BE0D93"/>
    <w:rsid w:val="00BE1AE0"/>
    <w:rsid w:val="00BE26B5"/>
    <w:rsid w:val="00BE2A66"/>
    <w:rsid w:val="00BE360C"/>
    <w:rsid w:val="00BE3754"/>
    <w:rsid w:val="00BE416D"/>
    <w:rsid w:val="00BE432D"/>
    <w:rsid w:val="00BE48B5"/>
    <w:rsid w:val="00BE52CB"/>
    <w:rsid w:val="00BE56FD"/>
    <w:rsid w:val="00BE651A"/>
    <w:rsid w:val="00BE7F35"/>
    <w:rsid w:val="00BF2545"/>
    <w:rsid w:val="00BF3672"/>
    <w:rsid w:val="00BF4C0C"/>
    <w:rsid w:val="00BF7D16"/>
    <w:rsid w:val="00BF7D97"/>
    <w:rsid w:val="00BF7F23"/>
    <w:rsid w:val="00C009E1"/>
    <w:rsid w:val="00C0299B"/>
    <w:rsid w:val="00C02C26"/>
    <w:rsid w:val="00C034C0"/>
    <w:rsid w:val="00C0370F"/>
    <w:rsid w:val="00C03AFE"/>
    <w:rsid w:val="00C03C66"/>
    <w:rsid w:val="00C04232"/>
    <w:rsid w:val="00C04AA3"/>
    <w:rsid w:val="00C04D57"/>
    <w:rsid w:val="00C0552F"/>
    <w:rsid w:val="00C059D5"/>
    <w:rsid w:val="00C05AAA"/>
    <w:rsid w:val="00C061EE"/>
    <w:rsid w:val="00C07353"/>
    <w:rsid w:val="00C07E7B"/>
    <w:rsid w:val="00C104D3"/>
    <w:rsid w:val="00C110B7"/>
    <w:rsid w:val="00C11833"/>
    <w:rsid w:val="00C119C5"/>
    <w:rsid w:val="00C11A11"/>
    <w:rsid w:val="00C11CC4"/>
    <w:rsid w:val="00C13C33"/>
    <w:rsid w:val="00C145FE"/>
    <w:rsid w:val="00C147B0"/>
    <w:rsid w:val="00C14859"/>
    <w:rsid w:val="00C164A0"/>
    <w:rsid w:val="00C172A4"/>
    <w:rsid w:val="00C17461"/>
    <w:rsid w:val="00C176D7"/>
    <w:rsid w:val="00C1795C"/>
    <w:rsid w:val="00C17CD0"/>
    <w:rsid w:val="00C20FE6"/>
    <w:rsid w:val="00C2118F"/>
    <w:rsid w:val="00C217C3"/>
    <w:rsid w:val="00C227D5"/>
    <w:rsid w:val="00C2335A"/>
    <w:rsid w:val="00C23AC9"/>
    <w:rsid w:val="00C23C7D"/>
    <w:rsid w:val="00C24171"/>
    <w:rsid w:val="00C24348"/>
    <w:rsid w:val="00C24405"/>
    <w:rsid w:val="00C246CC"/>
    <w:rsid w:val="00C24A06"/>
    <w:rsid w:val="00C24E25"/>
    <w:rsid w:val="00C25228"/>
    <w:rsid w:val="00C257C5"/>
    <w:rsid w:val="00C2610F"/>
    <w:rsid w:val="00C3023F"/>
    <w:rsid w:val="00C31CA0"/>
    <w:rsid w:val="00C323A1"/>
    <w:rsid w:val="00C3286A"/>
    <w:rsid w:val="00C33391"/>
    <w:rsid w:val="00C34343"/>
    <w:rsid w:val="00C35549"/>
    <w:rsid w:val="00C3663A"/>
    <w:rsid w:val="00C366C2"/>
    <w:rsid w:val="00C36977"/>
    <w:rsid w:val="00C37776"/>
    <w:rsid w:val="00C37BA1"/>
    <w:rsid w:val="00C407C0"/>
    <w:rsid w:val="00C40FB1"/>
    <w:rsid w:val="00C41192"/>
    <w:rsid w:val="00C41B4C"/>
    <w:rsid w:val="00C43A0D"/>
    <w:rsid w:val="00C45128"/>
    <w:rsid w:val="00C45B45"/>
    <w:rsid w:val="00C45D09"/>
    <w:rsid w:val="00C46059"/>
    <w:rsid w:val="00C46803"/>
    <w:rsid w:val="00C46C8C"/>
    <w:rsid w:val="00C470E6"/>
    <w:rsid w:val="00C47347"/>
    <w:rsid w:val="00C47D98"/>
    <w:rsid w:val="00C5140F"/>
    <w:rsid w:val="00C51F6C"/>
    <w:rsid w:val="00C51FFC"/>
    <w:rsid w:val="00C52F7F"/>
    <w:rsid w:val="00C53212"/>
    <w:rsid w:val="00C53A93"/>
    <w:rsid w:val="00C53F0B"/>
    <w:rsid w:val="00C546C8"/>
    <w:rsid w:val="00C5507E"/>
    <w:rsid w:val="00C5536A"/>
    <w:rsid w:val="00C55BF8"/>
    <w:rsid w:val="00C56877"/>
    <w:rsid w:val="00C61289"/>
    <w:rsid w:val="00C62426"/>
    <w:rsid w:val="00C62A8E"/>
    <w:rsid w:val="00C62ACA"/>
    <w:rsid w:val="00C62B7D"/>
    <w:rsid w:val="00C63258"/>
    <w:rsid w:val="00C6473F"/>
    <w:rsid w:val="00C6622F"/>
    <w:rsid w:val="00C673BD"/>
    <w:rsid w:val="00C6743E"/>
    <w:rsid w:val="00C6764D"/>
    <w:rsid w:val="00C67778"/>
    <w:rsid w:val="00C67CED"/>
    <w:rsid w:val="00C71BD0"/>
    <w:rsid w:val="00C71D61"/>
    <w:rsid w:val="00C72B27"/>
    <w:rsid w:val="00C745A1"/>
    <w:rsid w:val="00C7516A"/>
    <w:rsid w:val="00C76A2E"/>
    <w:rsid w:val="00C77E74"/>
    <w:rsid w:val="00C77EE4"/>
    <w:rsid w:val="00C802BC"/>
    <w:rsid w:val="00C80D1E"/>
    <w:rsid w:val="00C81C9C"/>
    <w:rsid w:val="00C8298E"/>
    <w:rsid w:val="00C82D4D"/>
    <w:rsid w:val="00C839D7"/>
    <w:rsid w:val="00C8485D"/>
    <w:rsid w:val="00C84E04"/>
    <w:rsid w:val="00C85518"/>
    <w:rsid w:val="00C856B0"/>
    <w:rsid w:val="00C865B1"/>
    <w:rsid w:val="00C86956"/>
    <w:rsid w:val="00C870E9"/>
    <w:rsid w:val="00C87744"/>
    <w:rsid w:val="00C9028A"/>
    <w:rsid w:val="00C91062"/>
    <w:rsid w:val="00C91726"/>
    <w:rsid w:val="00C920DA"/>
    <w:rsid w:val="00C92779"/>
    <w:rsid w:val="00C92823"/>
    <w:rsid w:val="00C9304B"/>
    <w:rsid w:val="00C93633"/>
    <w:rsid w:val="00C95060"/>
    <w:rsid w:val="00C95145"/>
    <w:rsid w:val="00C95A17"/>
    <w:rsid w:val="00C95D45"/>
    <w:rsid w:val="00C966B5"/>
    <w:rsid w:val="00C96A7B"/>
    <w:rsid w:val="00C9710D"/>
    <w:rsid w:val="00C97518"/>
    <w:rsid w:val="00C97D86"/>
    <w:rsid w:val="00CA0929"/>
    <w:rsid w:val="00CA1DF5"/>
    <w:rsid w:val="00CA2EED"/>
    <w:rsid w:val="00CA314C"/>
    <w:rsid w:val="00CA3584"/>
    <w:rsid w:val="00CA3B49"/>
    <w:rsid w:val="00CA4A6C"/>
    <w:rsid w:val="00CA4C97"/>
    <w:rsid w:val="00CA4EB3"/>
    <w:rsid w:val="00CA6410"/>
    <w:rsid w:val="00CA6F9B"/>
    <w:rsid w:val="00CB0275"/>
    <w:rsid w:val="00CB0C0A"/>
    <w:rsid w:val="00CB25C9"/>
    <w:rsid w:val="00CB3A8D"/>
    <w:rsid w:val="00CB4472"/>
    <w:rsid w:val="00CB4EC8"/>
    <w:rsid w:val="00CB4F72"/>
    <w:rsid w:val="00CB5DE8"/>
    <w:rsid w:val="00CB65A8"/>
    <w:rsid w:val="00CB66E9"/>
    <w:rsid w:val="00CB6F7D"/>
    <w:rsid w:val="00CB7F68"/>
    <w:rsid w:val="00CC0523"/>
    <w:rsid w:val="00CC0538"/>
    <w:rsid w:val="00CC087C"/>
    <w:rsid w:val="00CC114E"/>
    <w:rsid w:val="00CC338F"/>
    <w:rsid w:val="00CC5845"/>
    <w:rsid w:val="00CC5ACC"/>
    <w:rsid w:val="00CC6179"/>
    <w:rsid w:val="00CC6DF3"/>
    <w:rsid w:val="00CC715F"/>
    <w:rsid w:val="00CC7202"/>
    <w:rsid w:val="00CC7561"/>
    <w:rsid w:val="00CC7595"/>
    <w:rsid w:val="00CC7635"/>
    <w:rsid w:val="00CC77B2"/>
    <w:rsid w:val="00CC7F07"/>
    <w:rsid w:val="00CD01C5"/>
    <w:rsid w:val="00CD17EA"/>
    <w:rsid w:val="00CD272D"/>
    <w:rsid w:val="00CD283E"/>
    <w:rsid w:val="00CD2941"/>
    <w:rsid w:val="00CD2C4C"/>
    <w:rsid w:val="00CD336B"/>
    <w:rsid w:val="00CD4AEF"/>
    <w:rsid w:val="00CD514D"/>
    <w:rsid w:val="00CD53C1"/>
    <w:rsid w:val="00CD54DD"/>
    <w:rsid w:val="00CD62DE"/>
    <w:rsid w:val="00CD79D1"/>
    <w:rsid w:val="00CE0F51"/>
    <w:rsid w:val="00CE1382"/>
    <w:rsid w:val="00CE18E6"/>
    <w:rsid w:val="00CE18E8"/>
    <w:rsid w:val="00CE1915"/>
    <w:rsid w:val="00CE19BC"/>
    <w:rsid w:val="00CE2F39"/>
    <w:rsid w:val="00CE3433"/>
    <w:rsid w:val="00CE3505"/>
    <w:rsid w:val="00CE4D72"/>
    <w:rsid w:val="00CE50DA"/>
    <w:rsid w:val="00CE53D1"/>
    <w:rsid w:val="00CE570F"/>
    <w:rsid w:val="00CE5A88"/>
    <w:rsid w:val="00CE64BB"/>
    <w:rsid w:val="00CE6844"/>
    <w:rsid w:val="00CE6D85"/>
    <w:rsid w:val="00CE7982"/>
    <w:rsid w:val="00CF07EC"/>
    <w:rsid w:val="00CF2AD7"/>
    <w:rsid w:val="00CF2F0C"/>
    <w:rsid w:val="00CF33BE"/>
    <w:rsid w:val="00CF43EE"/>
    <w:rsid w:val="00CF49B1"/>
    <w:rsid w:val="00CF563B"/>
    <w:rsid w:val="00CF574B"/>
    <w:rsid w:val="00CF7088"/>
    <w:rsid w:val="00D0014A"/>
    <w:rsid w:val="00D017DD"/>
    <w:rsid w:val="00D01F4E"/>
    <w:rsid w:val="00D021FA"/>
    <w:rsid w:val="00D02983"/>
    <w:rsid w:val="00D02EE1"/>
    <w:rsid w:val="00D039EA"/>
    <w:rsid w:val="00D039F7"/>
    <w:rsid w:val="00D04511"/>
    <w:rsid w:val="00D05395"/>
    <w:rsid w:val="00D07C15"/>
    <w:rsid w:val="00D1013A"/>
    <w:rsid w:val="00D12045"/>
    <w:rsid w:val="00D1206B"/>
    <w:rsid w:val="00D126B3"/>
    <w:rsid w:val="00D129AF"/>
    <w:rsid w:val="00D140A5"/>
    <w:rsid w:val="00D14402"/>
    <w:rsid w:val="00D15B69"/>
    <w:rsid w:val="00D16A17"/>
    <w:rsid w:val="00D17453"/>
    <w:rsid w:val="00D17659"/>
    <w:rsid w:val="00D2038A"/>
    <w:rsid w:val="00D225A7"/>
    <w:rsid w:val="00D2341A"/>
    <w:rsid w:val="00D236CB"/>
    <w:rsid w:val="00D26044"/>
    <w:rsid w:val="00D262ED"/>
    <w:rsid w:val="00D26FD2"/>
    <w:rsid w:val="00D270C0"/>
    <w:rsid w:val="00D2712C"/>
    <w:rsid w:val="00D27149"/>
    <w:rsid w:val="00D2779E"/>
    <w:rsid w:val="00D2782E"/>
    <w:rsid w:val="00D27D90"/>
    <w:rsid w:val="00D300CE"/>
    <w:rsid w:val="00D30C67"/>
    <w:rsid w:val="00D310DC"/>
    <w:rsid w:val="00D31142"/>
    <w:rsid w:val="00D33602"/>
    <w:rsid w:val="00D34141"/>
    <w:rsid w:val="00D346EC"/>
    <w:rsid w:val="00D35574"/>
    <w:rsid w:val="00D36543"/>
    <w:rsid w:val="00D400FA"/>
    <w:rsid w:val="00D40865"/>
    <w:rsid w:val="00D4093F"/>
    <w:rsid w:val="00D41828"/>
    <w:rsid w:val="00D422B6"/>
    <w:rsid w:val="00D43922"/>
    <w:rsid w:val="00D43AA3"/>
    <w:rsid w:val="00D43CEB"/>
    <w:rsid w:val="00D4407E"/>
    <w:rsid w:val="00D442C8"/>
    <w:rsid w:val="00D46733"/>
    <w:rsid w:val="00D502DA"/>
    <w:rsid w:val="00D50D64"/>
    <w:rsid w:val="00D51E3F"/>
    <w:rsid w:val="00D53067"/>
    <w:rsid w:val="00D53A0E"/>
    <w:rsid w:val="00D53C4B"/>
    <w:rsid w:val="00D53CA2"/>
    <w:rsid w:val="00D54152"/>
    <w:rsid w:val="00D54283"/>
    <w:rsid w:val="00D54A33"/>
    <w:rsid w:val="00D54B79"/>
    <w:rsid w:val="00D54EC1"/>
    <w:rsid w:val="00D54F27"/>
    <w:rsid w:val="00D55DC9"/>
    <w:rsid w:val="00D569D6"/>
    <w:rsid w:val="00D5780C"/>
    <w:rsid w:val="00D57C2F"/>
    <w:rsid w:val="00D57F3E"/>
    <w:rsid w:val="00D57F86"/>
    <w:rsid w:val="00D60C59"/>
    <w:rsid w:val="00D61186"/>
    <w:rsid w:val="00D61D7A"/>
    <w:rsid w:val="00D62A01"/>
    <w:rsid w:val="00D639A8"/>
    <w:rsid w:val="00D639D6"/>
    <w:rsid w:val="00D64B79"/>
    <w:rsid w:val="00D667C8"/>
    <w:rsid w:val="00D66FC6"/>
    <w:rsid w:val="00D67305"/>
    <w:rsid w:val="00D676AB"/>
    <w:rsid w:val="00D70552"/>
    <w:rsid w:val="00D705F6"/>
    <w:rsid w:val="00D70A54"/>
    <w:rsid w:val="00D70C3E"/>
    <w:rsid w:val="00D713F5"/>
    <w:rsid w:val="00D71DC1"/>
    <w:rsid w:val="00D7205B"/>
    <w:rsid w:val="00D72EAF"/>
    <w:rsid w:val="00D73BE6"/>
    <w:rsid w:val="00D74E42"/>
    <w:rsid w:val="00D75047"/>
    <w:rsid w:val="00D75196"/>
    <w:rsid w:val="00D752B9"/>
    <w:rsid w:val="00D755ED"/>
    <w:rsid w:val="00D767D9"/>
    <w:rsid w:val="00D76D64"/>
    <w:rsid w:val="00D80895"/>
    <w:rsid w:val="00D815FA"/>
    <w:rsid w:val="00D817A0"/>
    <w:rsid w:val="00D81C44"/>
    <w:rsid w:val="00D821FD"/>
    <w:rsid w:val="00D82E44"/>
    <w:rsid w:val="00D82E98"/>
    <w:rsid w:val="00D82F75"/>
    <w:rsid w:val="00D835E1"/>
    <w:rsid w:val="00D836AD"/>
    <w:rsid w:val="00D8438C"/>
    <w:rsid w:val="00D85CEB"/>
    <w:rsid w:val="00D85FD9"/>
    <w:rsid w:val="00D8618F"/>
    <w:rsid w:val="00D8642D"/>
    <w:rsid w:val="00D86622"/>
    <w:rsid w:val="00D90101"/>
    <w:rsid w:val="00D910CC"/>
    <w:rsid w:val="00D912B1"/>
    <w:rsid w:val="00D927BD"/>
    <w:rsid w:val="00D936DF"/>
    <w:rsid w:val="00D9373A"/>
    <w:rsid w:val="00D93917"/>
    <w:rsid w:val="00D94D76"/>
    <w:rsid w:val="00D95885"/>
    <w:rsid w:val="00D96AB5"/>
    <w:rsid w:val="00D9790A"/>
    <w:rsid w:val="00DA021F"/>
    <w:rsid w:val="00DA1D09"/>
    <w:rsid w:val="00DA2D67"/>
    <w:rsid w:val="00DA31C0"/>
    <w:rsid w:val="00DA340E"/>
    <w:rsid w:val="00DA4A3A"/>
    <w:rsid w:val="00DA4E81"/>
    <w:rsid w:val="00DA5112"/>
    <w:rsid w:val="00DA516F"/>
    <w:rsid w:val="00DA5538"/>
    <w:rsid w:val="00DA5672"/>
    <w:rsid w:val="00DA5DF3"/>
    <w:rsid w:val="00DA6450"/>
    <w:rsid w:val="00DA6E06"/>
    <w:rsid w:val="00DA70FA"/>
    <w:rsid w:val="00DA73B3"/>
    <w:rsid w:val="00DB018E"/>
    <w:rsid w:val="00DB15BB"/>
    <w:rsid w:val="00DB1681"/>
    <w:rsid w:val="00DB2B59"/>
    <w:rsid w:val="00DB2BD0"/>
    <w:rsid w:val="00DB2E2A"/>
    <w:rsid w:val="00DB2E98"/>
    <w:rsid w:val="00DB3711"/>
    <w:rsid w:val="00DB3B2E"/>
    <w:rsid w:val="00DB3EFA"/>
    <w:rsid w:val="00DB4DC1"/>
    <w:rsid w:val="00DB5B86"/>
    <w:rsid w:val="00DB6AD8"/>
    <w:rsid w:val="00DB6C75"/>
    <w:rsid w:val="00DC0FE5"/>
    <w:rsid w:val="00DC0FF0"/>
    <w:rsid w:val="00DC1E2C"/>
    <w:rsid w:val="00DC338C"/>
    <w:rsid w:val="00DC34BB"/>
    <w:rsid w:val="00DC35EB"/>
    <w:rsid w:val="00DC3740"/>
    <w:rsid w:val="00DC3DFC"/>
    <w:rsid w:val="00DC4256"/>
    <w:rsid w:val="00DC46DA"/>
    <w:rsid w:val="00DC4E43"/>
    <w:rsid w:val="00DC52E8"/>
    <w:rsid w:val="00DC58AF"/>
    <w:rsid w:val="00DC6117"/>
    <w:rsid w:val="00DC630A"/>
    <w:rsid w:val="00DC6D49"/>
    <w:rsid w:val="00DC6F55"/>
    <w:rsid w:val="00DD0A6E"/>
    <w:rsid w:val="00DD1482"/>
    <w:rsid w:val="00DD18B2"/>
    <w:rsid w:val="00DD1F8F"/>
    <w:rsid w:val="00DD218A"/>
    <w:rsid w:val="00DD2ACE"/>
    <w:rsid w:val="00DD2D9D"/>
    <w:rsid w:val="00DD3187"/>
    <w:rsid w:val="00DD3377"/>
    <w:rsid w:val="00DD4394"/>
    <w:rsid w:val="00DD5308"/>
    <w:rsid w:val="00DD5F81"/>
    <w:rsid w:val="00DD6019"/>
    <w:rsid w:val="00DD6721"/>
    <w:rsid w:val="00DD716B"/>
    <w:rsid w:val="00DD7989"/>
    <w:rsid w:val="00DD7D29"/>
    <w:rsid w:val="00DE034D"/>
    <w:rsid w:val="00DE044A"/>
    <w:rsid w:val="00DE107A"/>
    <w:rsid w:val="00DE176A"/>
    <w:rsid w:val="00DE18D1"/>
    <w:rsid w:val="00DE2E3C"/>
    <w:rsid w:val="00DE2FBF"/>
    <w:rsid w:val="00DE380F"/>
    <w:rsid w:val="00DE42E0"/>
    <w:rsid w:val="00DE4C72"/>
    <w:rsid w:val="00DE596B"/>
    <w:rsid w:val="00DE6AA9"/>
    <w:rsid w:val="00DE6F52"/>
    <w:rsid w:val="00DE7C15"/>
    <w:rsid w:val="00DF0394"/>
    <w:rsid w:val="00DF0DEC"/>
    <w:rsid w:val="00DF11EE"/>
    <w:rsid w:val="00DF2ABB"/>
    <w:rsid w:val="00DF3464"/>
    <w:rsid w:val="00DF3692"/>
    <w:rsid w:val="00DF428B"/>
    <w:rsid w:val="00DF51CF"/>
    <w:rsid w:val="00DF72F3"/>
    <w:rsid w:val="00DF7943"/>
    <w:rsid w:val="00DF7C81"/>
    <w:rsid w:val="00E00F02"/>
    <w:rsid w:val="00E0114E"/>
    <w:rsid w:val="00E014E2"/>
    <w:rsid w:val="00E016BE"/>
    <w:rsid w:val="00E01B88"/>
    <w:rsid w:val="00E02425"/>
    <w:rsid w:val="00E028AA"/>
    <w:rsid w:val="00E02D6C"/>
    <w:rsid w:val="00E02F85"/>
    <w:rsid w:val="00E04765"/>
    <w:rsid w:val="00E048E9"/>
    <w:rsid w:val="00E05181"/>
    <w:rsid w:val="00E05F7D"/>
    <w:rsid w:val="00E06212"/>
    <w:rsid w:val="00E0700C"/>
    <w:rsid w:val="00E074F8"/>
    <w:rsid w:val="00E076CA"/>
    <w:rsid w:val="00E07F3A"/>
    <w:rsid w:val="00E108C4"/>
    <w:rsid w:val="00E1134D"/>
    <w:rsid w:val="00E11528"/>
    <w:rsid w:val="00E13436"/>
    <w:rsid w:val="00E1371C"/>
    <w:rsid w:val="00E138B4"/>
    <w:rsid w:val="00E13DBF"/>
    <w:rsid w:val="00E13F34"/>
    <w:rsid w:val="00E1437A"/>
    <w:rsid w:val="00E1476E"/>
    <w:rsid w:val="00E1542A"/>
    <w:rsid w:val="00E155F9"/>
    <w:rsid w:val="00E15693"/>
    <w:rsid w:val="00E15E5D"/>
    <w:rsid w:val="00E16DFC"/>
    <w:rsid w:val="00E179E6"/>
    <w:rsid w:val="00E2290D"/>
    <w:rsid w:val="00E2292F"/>
    <w:rsid w:val="00E23833"/>
    <w:rsid w:val="00E23EFE"/>
    <w:rsid w:val="00E24544"/>
    <w:rsid w:val="00E25256"/>
    <w:rsid w:val="00E25306"/>
    <w:rsid w:val="00E26510"/>
    <w:rsid w:val="00E266E7"/>
    <w:rsid w:val="00E27279"/>
    <w:rsid w:val="00E30163"/>
    <w:rsid w:val="00E301B5"/>
    <w:rsid w:val="00E3060A"/>
    <w:rsid w:val="00E30C4E"/>
    <w:rsid w:val="00E324F9"/>
    <w:rsid w:val="00E32F52"/>
    <w:rsid w:val="00E33217"/>
    <w:rsid w:val="00E333C3"/>
    <w:rsid w:val="00E33818"/>
    <w:rsid w:val="00E33B56"/>
    <w:rsid w:val="00E3408C"/>
    <w:rsid w:val="00E3562B"/>
    <w:rsid w:val="00E35D64"/>
    <w:rsid w:val="00E36D0A"/>
    <w:rsid w:val="00E36FF4"/>
    <w:rsid w:val="00E40BF4"/>
    <w:rsid w:val="00E41B10"/>
    <w:rsid w:val="00E425F5"/>
    <w:rsid w:val="00E4261D"/>
    <w:rsid w:val="00E428B6"/>
    <w:rsid w:val="00E42C76"/>
    <w:rsid w:val="00E42F8A"/>
    <w:rsid w:val="00E43B52"/>
    <w:rsid w:val="00E44200"/>
    <w:rsid w:val="00E44D45"/>
    <w:rsid w:val="00E44DAD"/>
    <w:rsid w:val="00E45024"/>
    <w:rsid w:val="00E45ECE"/>
    <w:rsid w:val="00E46D1D"/>
    <w:rsid w:val="00E47544"/>
    <w:rsid w:val="00E47580"/>
    <w:rsid w:val="00E47A74"/>
    <w:rsid w:val="00E50CCA"/>
    <w:rsid w:val="00E50DE4"/>
    <w:rsid w:val="00E5236E"/>
    <w:rsid w:val="00E52DD4"/>
    <w:rsid w:val="00E53014"/>
    <w:rsid w:val="00E549E6"/>
    <w:rsid w:val="00E54FB8"/>
    <w:rsid w:val="00E55EB9"/>
    <w:rsid w:val="00E56AB9"/>
    <w:rsid w:val="00E57E29"/>
    <w:rsid w:val="00E632C1"/>
    <w:rsid w:val="00E63761"/>
    <w:rsid w:val="00E639E9"/>
    <w:rsid w:val="00E65AF8"/>
    <w:rsid w:val="00E70F09"/>
    <w:rsid w:val="00E71563"/>
    <w:rsid w:val="00E71E36"/>
    <w:rsid w:val="00E71F63"/>
    <w:rsid w:val="00E737D6"/>
    <w:rsid w:val="00E741A8"/>
    <w:rsid w:val="00E744DB"/>
    <w:rsid w:val="00E74C8F"/>
    <w:rsid w:val="00E763ED"/>
    <w:rsid w:val="00E770BB"/>
    <w:rsid w:val="00E77845"/>
    <w:rsid w:val="00E802DC"/>
    <w:rsid w:val="00E80B1E"/>
    <w:rsid w:val="00E80CC4"/>
    <w:rsid w:val="00E81D52"/>
    <w:rsid w:val="00E81EF3"/>
    <w:rsid w:val="00E82D55"/>
    <w:rsid w:val="00E835EB"/>
    <w:rsid w:val="00E83691"/>
    <w:rsid w:val="00E83EF9"/>
    <w:rsid w:val="00E84372"/>
    <w:rsid w:val="00E85D6C"/>
    <w:rsid w:val="00E860CE"/>
    <w:rsid w:val="00E86E63"/>
    <w:rsid w:val="00E86F7C"/>
    <w:rsid w:val="00E872AF"/>
    <w:rsid w:val="00E87958"/>
    <w:rsid w:val="00E87C27"/>
    <w:rsid w:val="00E91AB3"/>
    <w:rsid w:val="00E9214D"/>
    <w:rsid w:val="00E9259E"/>
    <w:rsid w:val="00E9467B"/>
    <w:rsid w:val="00E954AF"/>
    <w:rsid w:val="00E95D01"/>
    <w:rsid w:val="00E964F6"/>
    <w:rsid w:val="00E9679D"/>
    <w:rsid w:val="00E97043"/>
    <w:rsid w:val="00EA0131"/>
    <w:rsid w:val="00EA05AE"/>
    <w:rsid w:val="00EA1888"/>
    <w:rsid w:val="00EA2BAA"/>
    <w:rsid w:val="00EA48EA"/>
    <w:rsid w:val="00EA554D"/>
    <w:rsid w:val="00EA56FE"/>
    <w:rsid w:val="00EB0806"/>
    <w:rsid w:val="00EB0C30"/>
    <w:rsid w:val="00EB17E6"/>
    <w:rsid w:val="00EB1B55"/>
    <w:rsid w:val="00EB3751"/>
    <w:rsid w:val="00EB55DF"/>
    <w:rsid w:val="00EB62C1"/>
    <w:rsid w:val="00EB751F"/>
    <w:rsid w:val="00EB7DFD"/>
    <w:rsid w:val="00EC066D"/>
    <w:rsid w:val="00EC1A5B"/>
    <w:rsid w:val="00EC28E5"/>
    <w:rsid w:val="00EC2C9C"/>
    <w:rsid w:val="00EC2D02"/>
    <w:rsid w:val="00EC342E"/>
    <w:rsid w:val="00EC49B6"/>
    <w:rsid w:val="00EC4B50"/>
    <w:rsid w:val="00EC4EE5"/>
    <w:rsid w:val="00EC593D"/>
    <w:rsid w:val="00EC5969"/>
    <w:rsid w:val="00EC5B5C"/>
    <w:rsid w:val="00EC669C"/>
    <w:rsid w:val="00EC67E1"/>
    <w:rsid w:val="00EC7EBA"/>
    <w:rsid w:val="00ED0095"/>
    <w:rsid w:val="00ED0B49"/>
    <w:rsid w:val="00ED10A1"/>
    <w:rsid w:val="00ED139A"/>
    <w:rsid w:val="00ED3D2E"/>
    <w:rsid w:val="00ED3D32"/>
    <w:rsid w:val="00ED4726"/>
    <w:rsid w:val="00ED6C05"/>
    <w:rsid w:val="00ED6FCF"/>
    <w:rsid w:val="00ED73AE"/>
    <w:rsid w:val="00ED73C4"/>
    <w:rsid w:val="00ED774F"/>
    <w:rsid w:val="00EE020F"/>
    <w:rsid w:val="00EE0272"/>
    <w:rsid w:val="00EE0499"/>
    <w:rsid w:val="00EE2658"/>
    <w:rsid w:val="00EE38C9"/>
    <w:rsid w:val="00EE4C28"/>
    <w:rsid w:val="00EE517B"/>
    <w:rsid w:val="00EE51CC"/>
    <w:rsid w:val="00EE589F"/>
    <w:rsid w:val="00EE5A2A"/>
    <w:rsid w:val="00EE60BB"/>
    <w:rsid w:val="00EE6366"/>
    <w:rsid w:val="00EE659F"/>
    <w:rsid w:val="00EE6719"/>
    <w:rsid w:val="00EF06C7"/>
    <w:rsid w:val="00EF0E7F"/>
    <w:rsid w:val="00EF119D"/>
    <w:rsid w:val="00EF2322"/>
    <w:rsid w:val="00EF267B"/>
    <w:rsid w:val="00EF289B"/>
    <w:rsid w:val="00EF2E17"/>
    <w:rsid w:val="00EF5715"/>
    <w:rsid w:val="00EF5B73"/>
    <w:rsid w:val="00EF6464"/>
    <w:rsid w:val="00EF6D00"/>
    <w:rsid w:val="00EF70D0"/>
    <w:rsid w:val="00EF7EBD"/>
    <w:rsid w:val="00F00216"/>
    <w:rsid w:val="00F01241"/>
    <w:rsid w:val="00F0145A"/>
    <w:rsid w:val="00F01A2F"/>
    <w:rsid w:val="00F035FF"/>
    <w:rsid w:val="00F03629"/>
    <w:rsid w:val="00F037A7"/>
    <w:rsid w:val="00F0446D"/>
    <w:rsid w:val="00F04983"/>
    <w:rsid w:val="00F04EC7"/>
    <w:rsid w:val="00F06444"/>
    <w:rsid w:val="00F065DE"/>
    <w:rsid w:val="00F06830"/>
    <w:rsid w:val="00F06908"/>
    <w:rsid w:val="00F06BE2"/>
    <w:rsid w:val="00F07151"/>
    <w:rsid w:val="00F1104C"/>
    <w:rsid w:val="00F11710"/>
    <w:rsid w:val="00F122B7"/>
    <w:rsid w:val="00F12528"/>
    <w:rsid w:val="00F138AB"/>
    <w:rsid w:val="00F13B9D"/>
    <w:rsid w:val="00F150CF"/>
    <w:rsid w:val="00F15B6E"/>
    <w:rsid w:val="00F16AFA"/>
    <w:rsid w:val="00F17003"/>
    <w:rsid w:val="00F2034C"/>
    <w:rsid w:val="00F227C5"/>
    <w:rsid w:val="00F245E2"/>
    <w:rsid w:val="00F24A35"/>
    <w:rsid w:val="00F2509D"/>
    <w:rsid w:val="00F2587A"/>
    <w:rsid w:val="00F259B0"/>
    <w:rsid w:val="00F25A9B"/>
    <w:rsid w:val="00F271BF"/>
    <w:rsid w:val="00F2736C"/>
    <w:rsid w:val="00F27E7E"/>
    <w:rsid w:val="00F30A77"/>
    <w:rsid w:val="00F31C6B"/>
    <w:rsid w:val="00F3296F"/>
    <w:rsid w:val="00F33FFC"/>
    <w:rsid w:val="00F34C73"/>
    <w:rsid w:val="00F3594B"/>
    <w:rsid w:val="00F3622F"/>
    <w:rsid w:val="00F365B6"/>
    <w:rsid w:val="00F36D86"/>
    <w:rsid w:val="00F375BF"/>
    <w:rsid w:val="00F379DA"/>
    <w:rsid w:val="00F415E3"/>
    <w:rsid w:val="00F42DC8"/>
    <w:rsid w:val="00F42F6A"/>
    <w:rsid w:val="00F4320F"/>
    <w:rsid w:val="00F44DFE"/>
    <w:rsid w:val="00F4715A"/>
    <w:rsid w:val="00F50B53"/>
    <w:rsid w:val="00F51590"/>
    <w:rsid w:val="00F51FC7"/>
    <w:rsid w:val="00F528E1"/>
    <w:rsid w:val="00F529C1"/>
    <w:rsid w:val="00F532E0"/>
    <w:rsid w:val="00F5378C"/>
    <w:rsid w:val="00F54858"/>
    <w:rsid w:val="00F56100"/>
    <w:rsid w:val="00F57456"/>
    <w:rsid w:val="00F60C98"/>
    <w:rsid w:val="00F60CC3"/>
    <w:rsid w:val="00F620E6"/>
    <w:rsid w:val="00F62158"/>
    <w:rsid w:val="00F64365"/>
    <w:rsid w:val="00F65353"/>
    <w:rsid w:val="00F65403"/>
    <w:rsid w:val="00F65EAE"/>
    <w:rsid w:val="00F66EF3"/>
    <w:rsid w:val="00F6750E"/>
    <w:rsid w:val="00F67DA1"/>
    <w:rsid w:val="00F67F80"/>
    <w:rsid w:val="00F705FA"/>
    <w:rsid w:val="00F71276"/>
    <w:rsid w:val="00F71C7A"/>
    <w:rsid w:val="00F72F82"/>
    <w:rsid w:val="00F7426C"/>
    <w:rsid w:val="00F74A35"/>
    <w:rsid w:val="00F75049"/>
    <w:rsid w:val="00F7522F"/>
    <w:rsid w:val="00F76481"/>
    <w:rsid w:val="00F77538"/>
    <w:rsid w:val="00F778BA"/>
    <w:rsid w:val="00F800BF"/>
    <w:rsid w:val="00F8036C"/>
    <w:rsid w:val="00F813E9"/>
    <w:rsid w:val="00F820E0"/>
    <w:rsid w:val="00F82D6E"/>
    <w:rsid w:val="00F846F6"/>
    <w:rsid w:val="00F84A5D"/>
    <w:rsid w:val="00F84AE8"/>
    <w:rsid w:val="00F85402"/>
    <w:rsid w:val="00F86BA2"/>
    <w:rsid w:val="00F86ED3"/>
    <w:rsid w:val="00F879E6"/>
    <w:rsid w:val="00F90266"/>
    <w:rsid w:val="00F9086C"/>
    <w:rsid w:val="00F91FEE"/>
    <w:rsid w:val="00F93742"/>
    <w:rsid w:val="00F95AE9"/>
    <w:rsid w:val="00F96A95"/>
    <w:rsid w:val="00F9747F"/>
    <w:rsid w:val="00F977FD"/>
    <w:rsid w:val="00F97AB6"/>
    <w:rsid w:val="00FA059A"/>
    <w:rsid w:val="00FA0620"/>
    <w:rsid w:val="00FA116C"/>
    <w:rsid w:val="00FA1FE4"/>
    <w:rsid w:val="00FA2148"/>
    <w:rsid w:val="00FA281D"/>
    <w:rsid w:val="00FA2F5C"/>
    <w:rsid w:val="00FA3151"/>
    <w:rsid w:val="00FA3378"/>
    <w:rsid w:val="00FA5040"/>
    <w:rsid w:val="00FA5505"/>
    <w:rsid w:val="00FA56E5"/>
    <w:rsid w:val="00FA610A"/>
    <w:rsid w:val="00FA6DAE"/>
    <w:rsid w:val="00FB0DBA"/>
    <w:rsid w:val="00FB1C95"/>
    <w:rsid w:val="00FB2DFD"/>
    <w:rsid w:val="00FB416C"/>
    <w:rsid w:val="00FB4401"/>
    <w:rsid w:val="00FB48F6"/>
    <w:rsid w:val="00FB4BB4"/>
    <w:rsid w:val="00FB5C39"/>
    <w:rsid w:val="00FB72FF"/>
    <w:rsid w:val="00FB7794"/>
    <w:rsid w:val="00FC172F"/>
    <w:rsid w:val="00FC17B7"/>
    <w:rsid w:val="00FC22D5"/>
    <w:rsid w:val="00FC2436"/>
    <w:rsid w:val="00FC255D"/>
    <w:rsid w:val="00FC349B"/>
    <w:rsid w:val="00FC3EED"/>
    <w:rsid w:val="00FC4779"/>
    <w:rsid w:val="00FC544D"/>
    <w:rsid w:val="00FC5958"/>
    <w:rsid w:val="00FC613D"/>
    <w:rsid w:val="00FC6AB7"/>
    <w:rsid w:val="00FC7946"/>
    <w:rsid w:val="00FD055E"/>
    <w:rsid w:val="00FD18C0"/>
    <w:rsid w:val="00FD1A91"/>
    <w:rsid w:val="00FD26FF"/>
    <w:rsid w:val="00FD3010"/>
    <w:rsid w:val="00FD3093"/>
    <w:rsid w:val="00FD3291"/>
    <w:rsid w:val="00FD383E"/>
    <w:rsid w:val="00FE1282"/>
    <w:rsid w:val="00FE276B"/>
    <w:rsid w:val="00FE2F70"/>
    <w:rsid w:val="00FE3181"/>
    <w:rsid w:val="00FE34E0"/>
    <w:rsid w:val="00FE38F4"/>
    <w:rsid w:val="00FE3C93"/>
    <w:rsid w:val="00FE3F54"/>
    <w:rsid w:val="00FE4116"/>
    <w:rsid w:val="00FE4E25"/>
    <w:rsid w:val="00FE5837"/>
    <w:rsid w:val="00FE60F2"/>
    <w:rsid w:val="00FE6D24"/>
    <w:rsid w:val="00FE7154"/>
    <w:rsid w:val="00FE799D"/>
    <w:rsid w:val="00FF083D"/>
    <w:rsid w:val="00FF0AAF"/>
    <w:rsid w:val="00FF127E"/>
    <w:rsid w:val="00FF265F"/>
    <w:rsid w:val="00FF2734"/>
    <w:rsid w:val="00FF29BB"/>
    <w:rsid w:val="00FF2C50"/>
    <w:rsid w:val="00FF3EDE"/>
    <w:rsid w:val="00FF421D"/>
    <w:rsid w:val="00FF4B76"/>
    <w:rsid w:val="00FF5CE2"/>
    <w:rsid w:val="00FF6302"/>
    <w:rsid w:val="00FF679E"/>
    <w:rsid w:val="00FF6919"/>
    <w:rsid w:val="011D50DA"/>
    <w:rsid w:val="015CC643"/>
    <w:rsid w:val="01FC0D36"/>
    <w:rsid w:val="0243F0DF"/>
    <w:rsid w:val="02CEAA16"/>
    <w:rsid w:val="02E4EE89"/>
    <w:rsid w:val="03C4F15A"/>
    <w:rsid w:val="0401311B"/>
    <w:rsid w:val="052B2A38"/>
    <w:rsid w:val="0544759D"/>
    <w:rsid w:val="07245F04"/>
    <w:rsid w:val="0A229408"/>
    <w:rsid w:val="0ABD7BF2"/>
    <w:rsid w:val="0B790709"/>
    <w:rsid w:val="0B86D01E"/>
    <w:rsid w:val="0C83B173"/>
    <w:rsid w:val="0D62C17F"/>
    <w:rsid w:val="0DD1BCC3"/>
    <w:rsid w:val="0DDABDB6"/>
    <w:rsid w:val="0E7BD1D7"/>
    <w:rsid w:val="10892A6C"/>
    <w:rsid w:val="10AC1538"/>
    <w:rsid w:val="10D21A68"/>
    <w:rsid w:val="10EBECBB"/>
    <w:rsid w:val="1147E896"/>
    <w:rsid w:val="1159B24C"/>
    <w:rsid w:val="11CAB54C"/>
    <w:rsid w:val="123A98A2"/>
    <w:rsid w:val="128A76C2"/>
    <w:rsid w:val="1507A84B"/>
    <w:rsid w:val="1534D888"/>
    <w:rsid w:val="158A4743"/>
    <w:rsid w:val="16572C94"/>
    <w:rsid w:val="17316F0C"/>
    <w:rsid w:val="17E49745"/>
    <w:rsid w:val="1888A48F"/>
    <w:rsid w:val="18C2C8EC"/>
    <w:rsid w:val="18FAFE00"/>
    <w:rsid w:val="19011E79"/>
    <w:rsid w:val="191EA6FE"/>
    <w:rsid w:val="19EBC781"/>
    <w:rsid w:val="1B2E1A55"/>
    <w:rsid w:val="1B3F0A54"/>
    <w:rsid w:val="1BA711C8"/>
    <w:rsid w:val="1C20BF0A"/>
    <w:rsid w:val="1C97A208"/>
    <w:rsid w:val="1D0754FE"/>
    <w:rsid w:val="1D393716"/>
    <w:rsid w:val="1D7C8F2F"/>
    <w:rsid w:val="1DB41828"/>
    <w:rsid w:val="1EACDB01"/>
    <w:rsid w:val="1EEBCFA3"/>
    <w:rsid w:val="1F1D0C4C"/>
    <w:rsid w:val="1F882CE5"/>
    <w:rsid w:val="203894FF"/>
    <w:rsid w:val="20DE5CEA"/>
    <w:rsid w:val="20F63676"/>
    <w:rsid w:val="219C44CC"/>
    <w:rsid w:val="21B5FBF5"/>
    <w:rsid w:val="223A9796"/>
    <w:rsid w:val="227575F0"/>
    <w:rsid w:val="2338152D"/>
    <w:rsid w:val="234EF132"/>
    <w:rsid w:val="237D2FB9"/>
    <w:rsid w:val="23956032"/>
    <w:rsid w:val="242C2021"/>
    <w:rsid w:val="256E8894"/>
    <w:rsid w:val="25C7F082"/>
    <w:rsid w:val="264ED03E"/>
    <w:rsid w:val="269C54A9"/>
    <w:rsid w:val="2720FA05"/>
    <w:rsid w:val="2768368E"/>
    <w:rsid w:val="2768F7B6"/>
    <w:rsid w:val="28717416"/>
    <w:rsid w:val="28B9B230"/>
    <w:rsid w:val="28D8A9FC"/>
    <w:rsid w:val="29891AEC"/>
    <w:rsid w:val="298F42D2"/>
    <w:rsid w:val="2A2C3BCF"/>
    <w:rsid w:val="2A945B8B"/>
    <w:rsid w:val="2A9BD4F3"/>
    <w:rsid w:val="2AF1E4CE"/>
    <w:rsid w:val="2B43B5DE"/>
    <w:rsid w:val="2BF152F2"/>
    <w:rsid w:val="2C0A7B4F"/>
    <w:rsid w:val="2C15F55D"/>
    <w:rsid w:val="2CBA7643"/>
    <w:rsid w:val="2D535542"/>
    <w:rsid w:val="2D8D2353"/>
    <w:rsid w:val="2DCEC614"/>
    <w:rsid w:val="2FAD9FFB"/>
    <w:rsid w:val="2FAFED35"/>
    <w:rsid w:val="326FA397"/>
    <w:rsid w:val="32DDDEF7"/>
    <w:rsid w:val="33DC4D09"/>
    <w:rsid w:val="33F37C2D"/>
    <w:rsid w:val="34C1FCED"/>
    <w:rsid w:val="35B8D7C3"/>
    <w:rsid w:val="35CC90D0"/>
    <w:rsid w:val="370A0807"/>
    <w:rsid w:val="377584FB"/>
    <w:rsid w:val="379BB09A"/>
    <w:rsid w:val="37B1501A"/>
    <w:rsid w:val="37D85275"/>
    <w:rsid w:val="37E2F0F5"/>
    <w:rsid w:val="393EC295"/>
    <w:rsid w:val="3976E844"/>
    <w:rsid w:val="3A5B6E93"/>
    <w:rsid w:val="3AE210BA"/>
    <w:rsid w:val="3AF3C68D"/>
    <w:rsid w:val="3B556DD4"/>
    <w:rsid w:val="3C514AAD"/>
    <w:rsid w:val="3CFD978F"/>
    <w:rsid w:val="3D05CDBC"/>
    <w:rsid w:val="3D749666"/>
    <w:rsid w:val="3E25BEB8"/>
    <w:rsid w:val="3EC1C889"/>
    <w:rsid w:val="3F12B992"/>
    <w:rsid w:val="3FDD069D"/>
    <w:rsid w:val="3FF04AEE"/>
    <w:rsid w:val="406B98FB"/>
    <w:rsid w:val="40A4A43A"/>
    <w:rsid w:val="40ABB215"/>
    <w:rsid w:val="40C9AD08"/>
    <w:rsid w:val="40F6E809"/>
    <w:rsid w:val="41210C6C"/>
    <w:rsid w:val="4162382F"/>
    <w:rsid w:val="429D792F"/>
    <w:rsid w:val="42A18BAE"/>
    <w:rsid w:val="42AB5C7D"/>
    <w:rsid w:val="42B7E111"/>
    <w:rsid w:val="4326A9BB"/>
    <w:rsid w:val="44014DCA"/>
    <w:rsid w:val="44133FA8"/>
    <w:rsid w:val="441A7627"/>
    <w:rsid w:val="44D52AC5"/>
    <w:rsid w:val="44DA26E6"/>
    <w:rsid w:val="45E675D0"/>
    <w:rsid w:val="472A8686"/>
    <w:rsid w:val="4737D3DB"/>
    <w:rsid w:val="47F65F0F"/>
    <w:rsid w:val="484B29FB"/>
    <w:rsid w:val="4945C1ED"/>
    <w:rsid w:val="4956CE29"/>
    <w:rsid w:val="4B45A922"/>
    <w:rsid w:val="4B468E71"/>
    <w:rsid w:val="4BD97878"/>
    <w:rsid w:val="4BF32881"/>
    <w:rsid w:val="4C2AD266"/>
    <w:rsid w:val="4D2528AE"/>
    <w:rsid w:val="4DBD8229"/>
    <w:rsid w:val="4FB9F0F1"/>
    <w:rsid w:val="4FDDB4E7"/>
    <w:rsid w:val="50B5DD6E"/>
    <w:rsid w:val="50E7BE58"/>
    <w:rsid w:val="52838EB9"/>
    <w:rsid w:val="5311B38B"/>
    <w:rsid w:val="531F0F5F"/>
    <w:rsid w:val="540636BD"/>
    <w:rsid w:val="542F2C74"/>
    <w:rsid w:val="5477F958"/>
    <w:rsid w:val="55245CE4"/>
    <w:rsid w:val="564BE90D"/>
    <w:rsid w:val="56ECE3FC"/>
    <w:rsid w:val="577BA4B1"/>
    <w:rsid w:val="590B4F3C"/>
    <w:rsid w:val="594E5EC2"/>
    <w:rsid w:val="596665EE"/>
    <w:rsid w:val="5A0B5C61"/>
    <w:rsid w:val="5AFBA779"/>
    <w:rsid w:val="5C1B603C"/>
    <w:rsid w:val="5C73F431"/>
    <w:rsid w:val="5CF946CC"/>
    <w:rsid w:val="5D5FFAD2"/>
    <w:rsid w:val="5D966E77"/>
    <w:rsid w:val="5EBD1CBF"/>
    <w:rsid w:val="6041D671"/>
    <w:rsid w:val="610A4F73"/>
    <w:rsid w:val="612881C4"/>
    <w:rsid w:val="6226CA9D"/>
    <w:rsid w:val="628F0371"/>
    <w:rsid w:val="638587F0"/>
    <w:rsid w:val="63B23EA7"/>
    <w:rsid w:val="63CD2E66"/>
    <w:rsid w:val="64516088"/>
    <w:rsid w:val="64662212"/>
    <w:rsid w:val="6581904A"/>
    <w:rsid w:val="65CE2FC1"/>
    <w:rsid w:val="664D69E8"/>
    <w:rsid w:val="666845EC"/>
    <w:rsid w:val="680D2043"/>
    <w:rsid w:val="684E6959"/>
    <w:rsid w:val="6A2D5246"/>
    <w:rsid w:val="6A938991"/>
    <w:rsid w:val="6AF8FF67"/>
    <w:rsid w:val="6B73825A"/>
    <w:rsid w:val="6BD0D5FF"/>
    <w:rsid w:val="6C372237"/>
    <w:rsid w:val="6C406C90"/>
    <w:rsid w:val="6D1B2F5F"/>
    <w:rsid w:val="6D27E242"/>
    <w:rsid w:val="6DCB2A53"/>
    <w:rsid w:val="6DEF48DE"/>
    <w:rsid w:val="6E577FAE"/>
    <w:rsid w:val="6E66AAF9"/>
    <w:rsid w:val="6F5BEF49"/>
    <w:rsid w:val="6F9F790E"/>
    <w:rsid w:val="71485AF3"/>
    <w:rsid w:val="719E4BBB"/>
    <w:rsid w:val="71ABCCBC"/>
    <w:rsid w:val="71F12852"/>
    <w:rsid w:val="7264DE5B"/>
    <w:rsid w:val="72B1747C"/>
    <w:rsid w:val="738A70E3"/>
    <w:rsid w:val="73978883"/>
    <w:rsid w:val="73FEED24"/>
    <w:rsid w:val="740CC92C"/>
    <w:rsid w:val="74F859B2"/>
    <w:rsid w:val="75264144"/>
    <w:rsid w:val="755E8FE8"/>
    <w:rsid w:val="756C2058"/>
    <w:rsid w:val="762C778A"/>
    <w:rsid w:val="7680E3F4"/>
    <w:rsid w:val="7705D9A4"/>
    <w:rsid w:val="77F68A45"/>
    <w:rsid w:val="78A2AF7E"/>
    <w:rsid w:val="78AEC1A5"/>
    <w:rsid w:val="79462B9E"/>
    <w:rsid w:val="79EDF3BD"/>
    <w:rsid w:val="7A1C984F"/>
    <w:rsid w:val="7A1F4407"/>
    <w:rsid w:val="7AE587D4"/>
    <w:rsid w:val="7C2497AA"/>
    <w:rsid w:val="7CDE9E15"/>
    <w:rsid w:val="7D06BE1F"/>
    <w:rsid w:val="7D3DC07A"/>
    <w:rsid w:val="7DB5D9D6"/>
    <w:rsid w:val="7E870657"/>
    <w:rsid w:val="7EB0BED5"/>
    <w:rsid w:val="7ED990DB"/>
    <w:rsid w:val="7FD2513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F0C567"/>
  <w15:docId w15:val="{3840E937-93C3-46AD-A3A5-605F49C4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6C"/>
    <w:pPr>
      <w:spacing w:line="48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39581D"/>
    <w:pPr>
      <w:keepNext/>
      <w:numPr>
        <w:numId w:val="19"/>
      </w:numPr>
      <w:spacing w:line="360" w:lineRule="auto"/>
      <w:jc w:val="left"/>
      <w:outlineLvl w:val="0"/>
    </w:pPr>
    <w:rPr>
      <w:b/>
      <w:bCs/>
      <w:sz w:val="28"/>
      <w:szCs w:val="24"/>
    </w:rPr>
  </w:style>
  <w:style w:type="paragraph" w:styleId="Heading2">
    <w:name w:val="heading 2"/>
    <w:basedOn w:val="Normal"/>
    <w:next w:val="Normal"/>
    <w:link w:val="Heading2Char"/>
    <w:qFormat/>
    <w:rsid w:val="00610371"/>
    <w:pPr>
      <w:keepNext/>
      <w:numPr>
        <w:ilvl w:val="1"/>
        <w:numId w:val="19"/>
      </w:numPr>
      <w:outlineLvl w:val="1"/>
    </w:pPr>
    <w:rPr>
      <w:b/>
      <w:sz w:val="26"/>
    </w:rPr>
  </w:style>
  <w:style w:type="paragraph" w:styleId="Heading3">
    <w:name w:val="heading 3"/>
    <w:basedOn w:val="Normal"/>
    <w:next w:val="Normal"/>
    <w:link w:val="Heading3Char"/>
    <w:qFormat/>
    <w:rsid w:val="00E13F34"/>
    <w:pPr>
      <w:keepNext/>
      <w:numPr>
        <w:ilvl w:val="2"/>
        <w:numId w:val="19"/>
      </w:numPr>
      <w:spacing w:before="120"/>
      <w:outlineLvl w:val="2"/>
    </w:pPr>
    <w:rPr>
      <w:rFonts w:cs="Arial"/>
      <w:b/>
      <w:bCs/>
      <w:szCs w:val="26"/>
    </w:rPr>
  </w:style>
  <w:style w:type="paragraph" w:styleId="Heading4">
    <w:name w:val="heading 4"/>
    <w:basedOn w:val="Normal"/>
    <w:next w:val="Normal"/>
    <w:link w:val="Heading4Char"/>
    <w:qFormat/>
    <w:rsid w:val="0039581D"/>
    <w:pPr>
      <w:keepNext/>
      <w:numPr>
        <w:ilvl w:val="3"/>
        <w:numId w:val="19"/>
      </w:numPr>
      <w:spacing w:before="240" w:after="60"/>
      <w:jc w:val="left"/>
      <w:outlineLvl w:val="3"/>
    </w:pPr>
    <w:rPr>
      <w:b/>
      <w:bCs/>
      <w:szCs w:val="28"/>
    </w:rPr>
  </w:style>
  <w:style w:type="paragraph" w:styleId="Heading5">
    <w:name w:val="heading 5"/>
    <w:basedOn w:val="Normal"/>
    <w:next w:val="Normal"/>
    <w:link w:val="Heading5Char"/>
    <w:qFormat/>
    <w:rsid w:val="0039581D"/>
    <w:pPr>
      <w:keepNext/>
      <w:numPr>
        <w:ilvl w:val="4"/>
        <w:numId w:val="19"/>
      </w:numPr>
      <w:spacing w:before="240" w:after="60"/>
      <w:outlineLvl w:val="4"/>
    </w:pPr>
    <w:rPr>
      <w:b/>
      <w:bCs/>
      <w:iCs/>
      <w:szCs w:val="26"/>
    </w:rPr>
  </w:style>
  <w:style w:type="paragraph" w:styleId="Heading6">
    <w:name w:val="heading 6"/>
    <w:basedOn w:val="Normal"/>
    <w:next w:val="Normal"/>
    <w:link w:val="Heading6Char"/>
    <w:qFormat/>
    <w:rsid w:val="0039581D"/>
    <w:pPr>
      <w:numPr>
        <w:ilvl w:val="5"/>
        <w:numId w:val="19"/>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1D"/>
    <w:rPr>
      <w:rFonts w:ascii="Times New Roman" w:eastAsia="Times New Roman" w:hAnsi="Times New Roman" w:cs="Times New Roman"/>
      <w:b/>
      <w:bCs/>
      <w:sz w:val="28"/>
      <w:lang w:val="en-GB"/>
    </w:rPr>
  </w:style>
  <w:style w:type="character" w:customStyle="1" w:styleId="Heading2Char">
    <w:name w:val="Heading 2 Char"/>
    <w:basedOn w:val="DefaultParagraphFont"/>
    <w:link w:val="Heading2"/>
    <w:rsid w:val="00610371"/>
    <w:rPr>
      <w:rFonts w:ascii="Times New Roman" w:eastAsia="Times New Roman" w:hAnsi="Times New Roman" w:cs="Times New Roman"/>
      <w:b/>
      <w:sz w:val="26"/>
      <w:szCs w:val="20"/>
      <w:lang w:val="en-GB"/>
    </w:rPr>
  </w:style>
  <w:style w:type="character" w:customStyle="1" w:styleId="Heading3Char">
    <w:name w:val="Heading 3 Char"/>
    <w:basedOn w:val="DefaultParagraphFont"/>
    <w:link w:val="Heading3"/>
    <w:rsid w:val="00E13F34"/>
    <w:rPr>
      <w:rFonts w:ascii="Times New Roman" w:eastAsia="Times New Roman" w:hAnsi="Times New Roman" w:cs="Arial"/>
      <w:b/>
      <w:bCs/>
      <w:szCs w:val="26"/>
      <w:lang w:val="en-GB"/>
    </w:rPr>
  </w:style>
  <w:style w:type="character" w:customStyle="1" w:styleId="Heading4Char">
    <w:name w:val="Heading 4 Char"/>
    <w:basedOn w:val="DefaultParagraphFont"/>
    <w:link w:val="Heading4"/>
    <w:rsid w:val="0039581D"/>
    <w:rPr>
      <w:rFonts w:ascii="Times New Roman" w:eastAsia="Times New Roman" w:hAnsi="Times New Roman" w:cs="Times New Roman"/>
      <w:b/>
      <w:bCs/>
      <w:szCs w:val="28"/>
      <w:lang w:val="en-GB"/>
    </w:rPr>
  </w:style>
  <w:style w:type="character" w:customStyle="1" w:styleId="Heading5Char">
    <w:name w:val="Heading 5 Char"/>
    <w:basedOn w:val="DefaultParagraphFont"/>
    <w:link w:val="Heading5"/>
    <w:rsid w:val="0039581D"/>
    <w:rPr>
      <w:rFonts w:ascii="Times New Roman" w:eastAsia="Times New Roman" w:hAnsi="Times New Roman" w:cs="Times New Roman"/>
      <w:b/>
      <w:bCs/>
      <w:iCs/>
      <w:szCs w:val="26"/>
      <w:lang w:val="en-GB"/>
    </w:rPr>
  </w:style>
  <w:style w:type="character" w:customStyle="1" w:styleId="Heading6Char">
    <w:name w:val="Heading 6 Char"/>
    <w:basedOn w:val="DefaultParagraphFont"/>
    <w:link w:val="Heading6"/>
    <w:rsid w:val="0039581D"/>
    <w:rPr>
      <w:rFonts w:ascii="Times New Roman" w:eastAsia="Times New Roman" w:hAnsi="Times New Roman" w:cs="Times New Roman"/>
      <w:b/>
      <w:bCs/>
      <w:sz w:val="22"/>
      <w:szCs w:val="22"/>
      <w:lang w:val="en-GB"/>
    </w:rPr>
  </w:style>
  <w:style w:type="paragraph" w:styleId="BodyText">
    <w:name w:val="Body Text"/>
    <w:basedOn w:val="Normal"/>
    <w:link w:val="BodyTextChar"/>
    <w:rsid w:val="0039581D"/>
    <w:pPr>
      <w:spacing w:after="120"/>
    </w:pPr>
  </w:style>
  <w:style w:type="character" w:customStyle="1" w:styleId="BodyTextChar">
    <w:name w:val="Body Text Char"/>
    <w:basedOn w:val="DefaultParagraphFont"/>
    <w:link w:val="BodyText"/>
    <w:rsid w:val="0039581D"/>
    <w:rPr>
      <w:rFonts w:ascii="Times New Roman" w:eastAsia="Times New Roman" w:hAnsi="Times New Roman" w:cs="Times New Roman"/>
      <w:szCs w:val="20"/>
      <w:lang w:val="en-GB"/>
    </w:rPr>
  </w:style>
  <w:style w:type="paragraph" w:styleId="ListBullet">
    <w:name w:val="List Bullet"/>
    <w:basedOn w:val="Normal"/>
    <w:rsid w:val="0039581D"/>
    <w:pPr>
      <w:numPr>
        <w:numId w:val="16"/>
      </w:numPr>
      <w:spacing w:line="360" w:lineRule="auto"/>
    </w:pPr>
  </w:style>
  <w:style w:type="paragraph" w:styleId="FootnoteText">
    <w:name w:val="footnote text"/>
    <w:basedOn w:val="Normal"/>
    <w:link w:val="FootnoteTextChar"/>
    <w:semiHidden/>
    <w:rsid w:val="0039581D"/>
    <w:pPr>
      <w:spacing w:line="240" w:lineRule="auto"/>
    </w:pPr>
    <w:rPr>
      <w:sz w:val="20"/>
    </w:rPr>
  </w:style>
  <w:style w:type="character" w:customStyle="1" w:styleId="FootnoteTextChar">
    <w:name w:val="Footnote Text Char"/>
    <w:basedOn w:val="DefaultParagraphFont"/>
    <w:link w:val="FootnoteText"/>
    <w:semiHidden/>
    <w:rsid w:val="0039581D"/>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39581D"/>
    <w:rPr>
      <w:vertAlign w:val="superscript"/>
    </w:rPr>
  </w:style>
  <w:style w:type="paragraph" w:customStyle="1" w:styleId="Quote1">
    <w:name w:val="Quote1"/>
    <w:basedOn w:val="Normal"/>
    <w:next w:val="Normal"/>
    <w:rsid w:val="0039581D"/>
    <w:pPr>
      <w:spacing w:line="240" w:lineRule="auto"/>
      <w:ind w:left="567" w:right="567"/>
    </w:pPr>
    <w:rPr>
      <w:sz w:val="20"/>
    </w:rPr>
  </w:style>
  <w:style w:type="paragraph" w:styleId="DocumentMap">
    <w:name w:val="Document Map"/>
    <w:basedOn w:val="Normal"/>
    <w:link w:val="DocumentMapChar"/>
    <w:uiPriority w:val="99"/>
    <w:semiHidden/>
    <w:unhideWhenUsed/>
    <w:rsid w:val="0039581D"/>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9581D"/>
    <w:rPr>
      <w:rFonts w:ascii="Lucida Grande" w:eastAsia="Times New Roman" w:hAnsi="Lucida Grande" w:cs="Lucida Grande"/>
      <w:lang w:val="en-GB"/>
    </w:rPr>
  </w:style>
  <w:style w:type="paragraph" w:styleId="Quote">
    <w:name w:val="Quote"/>
    <w:basedOn w:val="Normal"/>
    <w:next w:val="Normal"/>
    <w:link w:val="QuoteChar"/>
    <w:qFormat/>
    <w:rsid w:val="007E73D3"/>
    <w:pPr>
      <w:spacing w:line="240" w:lineRule="auto"/>
      <w:ind w:left="567" w:right="567"/>
    </w:pPr>
    <w:rPr>
      <w:sz w:val="20"/>
    </w:rPr>
  </w:style>
  <w:style w:type="character" w:customStyle="1" w:styleId="QuoteChar">
    <w:name w:val="Quote Char"/>
    <w:basedOn w:val="DefaultParagraphFont"/>
    <w:link w:val="Quote"/>
    <w:rsid w:val="007E73D3"/>
    <w:rPr>
      <w:rFonts w:ascii="Times New Roman" w:eastAsia="Times New Roman" w:hAnsi="Times New Roman" w:cs="Times New Roman"/>
      <w:sz w:val="20"/>
      <w:szCs w:val="20"/>
      <w:lang w:val="en-GB"/>
    </w:rPr>
  </w:style>
  <w:style w:type="character" w:styleId="Hyperlink">
    <w:name w:val="Hyperlink"/>
    <w:uiPriority w:val="99"/>
    <w:rsid w:val="00057CC3"/>
    <w:rPr>
      <w:color w:val="0000FF"/>
      <w:u w:val="single"/>
    </w:rPr>
  </w:style>
  <w:style w:type="paragraph" w:styleId="Title">
    <w:name w:val="Title"/>
    <w:basedOn w:val="Normal"/>
    <w:next w:val="Normal"/>
    <w:link w:val="TitleChar"/>
    <w:uiPriority w:val="10"/>
    <w:qFormat/>
    <w:rsid w:val="004249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49D3"/>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C37BA1"/>
    <w:pPr>
      <w:spacing w:before="100" w:beforeAutospacing="1" w:after="100" w:afterAutospacing="1" w:line="240" w:lineRule="auto"/>
      <w:jc w:val="left"/>
    </w:pPr>
    <w:rPr>
      <w:szCs w:val="24"/>
      <w:lang w:eastAsia="en-GB"/>
    </w:rPr>
  </w:style>
  <w:style w:type="character" w:styleId="UnresolvedMention">
    <w:name w:val="Unresolved Mention"/>
    <w:basedOn w:val="DefaultParagraphFont"/>
    <w:uiPriority w:val="99"/>
    <w:semiHidden/>
    <w:unhideWhenUsed/>
    <w:rsid w:val="00C37BA1"/>
    <w:rPr>
      <w:color w:val="605E5C"/>
      <w:shd w:val="clear" w:color="auto" w:fill="E1DFDD"/>
    </w:rPr>
  </w:style>
  <w:style w:type="paragraph" w:styleId="Header">
    <w:name w:val="header"/>
    <w:basedOn w:val="Normal"/>
    <w:link w:val="HeaderChar"/>
    <w:uiPriority w:val="99"/>
    <w:unhideWhenUsed/>
    <w:rsid w:val="003F3308"/>
    <w:pPr>
      <w:tabs>
        <w:tab w:val="center" w:pos="4513"/>
        <w:tab w:val="right" w:pos="9026"/>
      </w:tabs>
      <w:spacing w:after="160" w:line="259" w:lineRule="auto"/>
      <w:jc w:val="left"/>
    </w:pPr>
    <w:rPr>
      <w:rFonts w:asciiTheme="minorHAnsi" w:eastAsiaTheme="minorEastAsia" w:hAnsiTheme="minorHAnsi" w:cstheme="minorBidi"/>
      <w:sz w:val="22"/>
      <w:szCs w:val="22"/>
      <w:lang w:eastAsia="en-GB"/>
    </w:rPr>
  </w:style>
  <w:style w:type="character" w:customStyle="1" w:styleId="HeaderChar">
    <w:name w:val="Header Char"/>
    <w:basedOn w:val="DefaultParagraphFont"/>
    <w:link w:val="Header"/>
    <w:uiPriority w:val="99"/>
    <w:rsid w:val="003F3308"/>
    <w:rPr>
      <w:sz w:val="22"/>
      <w:szCs w:val="22"/>
      <w:lang w:val="en-GB" w:eastAsia="en-GB"/>
    </w:rPr>
  </w:style>
  <w:style w:type="paragraph" w:styleId="Footer">
    <w:name w:val="footer"/>
    <w:basedOn w:val="Normal"/>
    <w:link w:val="FooterChar"/>
    <w:uiPriority w:val="99"/>
    <w:unhideWhenUsed/>
    <w:rsid w:val="003F3308"/>
    <w:pPr>
      <w:tabs>
        <w:tab w:val="center" w:pos="4513"/>
        <w:tab w:val="right" w:pos="9026"/>
      </w:tabs>
      <w:spacing w:after="160" w:line="259" w:lineRule="auto"/>
      <w:jc w:val="left"/>
    </w:pPr>
    <w:rPr>
      <w:rFonts w:asciiTheme="minorHAnsi" w:eastAsiaTheme="minorEastAsia" w:hAnsiTheme="minorHAnsi" w:cstheme="minorBidi"/>
      <w:sz w:val="22"/>
      <w:szCs w:val="22"/>
      <w:lang w:eastAsia="en-GB"/>
    </w:rPr>
  </w:style>
  <w:style w:type="character" w:customStyle="1" w:styleId="FooterChar">
    <w:name w:val="Footer Char"/>
    <w:basedOn w:val="DefaultParagraphFont"/>
    <w:link w:val="Footer"/>
    <w:uiPriority w:val="99"/>
    <w:rsid w:val="003F3308"/>
    <w:rPr>
      <w:sz w:val="22"/>
      <w:szCs w:val="22"/>
      <w:lang w:val="en-GB"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3A7603"/>
    <w:pPr>
      <w:ind w:left="720" w:hanging="720"/>
    </w:pPr>
  </w:style>
  <w:style w:type="paragraph" w:customStyle="1" w:styleId="paragraph">
    <w:name w:val="paragraph"/>
    <w:basedOn w:val="Normal"/>
    <w:rsid w:val="00611691"/>
    <w:pPr>
      <w:spacing w:before="100" w:beforeAutospacing="1" w:after="100" w:afterAutospacing="1" w:line="240" w:lineRule="auto"/>
      <w:jc w:val="left"/>
    </w:pPr>
    <w:rPr>
      <w:szCs w:val="24"/>
      <w:lang w:eastAsia="en-GB"/>
    </w:rPr>
  </w:style>
  <w:style w:type="character" w:customStyle="1" w:styleId="eop">
    <w:name w:val="eop"/>
    <w:basedOn w:val="DefaultParagraphFont"/>
    <w:rsid w:val="00611691"/>
  </w:style>
  <w:style w:type="paragraph" w:styleId="BalloonText">
    <w:name w:val="Balloon Text"/>
    <w:basedOn w:val="Normal"/>
    <w:link w:val="BalloonTextChar"/>
    <w:uiPriority w:val="99"/>
    <w:semiHidden/>
    <w:unhideWhenUsed/>
    <w:rsid w:val="002028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8D8"/>
    <w:rPr>
      <w:rFonts w:ascii="Segoe UI" w:eastAsia="Times New Roman" w:hAnsi="Segoe UI" w:cs="Segoe UI"/>
      <w:sz w:val="18"/>
      <w:szCs w:val="18"/>
      <w:lang w:val="en-GB"/>
    </w:rPr>
  </w:style>
  <w:style w:type="character" w:styleId="EndnoteReference">
    <w:name w:val="endnote reference"/>
    <w:basedOn w:val="DefaultParagraphFont"/>
    <w:uiPriority w:val="99"/>
    <w:semiHidden/>
    <w:unhideWhenUsed/>
    <w:rsid w:val="0015250A"/>
    <w:rPr>
      <w:vertAlign w:val="superscript"/>
    </w:rPr>
  </w:style>
  <w:style w:type="character" w:styleId="CommentReference">
    <w:name w:val="annotation reference"/>
    <w:basedOn w:val="DefaultParagraphFont"/>
    <w:uiPriority w:val="99"/>
    <w:semiHidden/>
    <w:unhideWhenUsed/>
    <w:rsid w:val="00A11975"/>
    <w:rPr>
      <w:sz w:val="16"/>
      <w:szCs w:val="16"/>
    </w:rPr>
  </w:style>
  <w:style w:type="paragraph" w:styleId="CommentText">
    <w:name w:val="annotation text"/>
    <w:basedOn w:val="Normal"/>
    <w:link w:val="CommentTextChar"/>
    <w:uiPriority w:val="99"/>
    <w:unhideWhenUsed/>
    <w:rsid w:val="00A11975"/>
    <w:pPr>
      <w:spacing w:line="240" w:lineRule="auto"/>
    </w:pPr>
    <w:rPr>
      <w:sz w:val="20"/>
    </w:rPr>
  </w:style>
  <w:style w:type="character" w:customStyle="1" w:styleId="CommentTextChar">
    <w:name w:val="Comment Text Char"/>
    <w:basedOn w:val="DefaultParagraphFont"/>
    <w:link w:val="CommentText"/>
    <w:uiPriority w:val="99"/>
    <w:rsid w:val="00A1197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11975"/>
    <w:rPr>
      <w:b/>
      <w:bCs/>
    </w:rPr>
  </w:style>
  <w:style w:type="character" w:customStyle="1" w:styleId="CommentSubjectChar">
    <w:name w:val="Comment Subject Char"/>
    <w:basedOn w:val="CommentTextChar"/>
    <w:link w:val="CommentSubject"/>
    <w:uiPriority w:val="99"/>
    <w:semiHidden/>
    <w:rsid w:val="00A11975"/>
    <w:rPr>
      <w:rFonts w:ascii="Times New Roman" w:eastAsia="Times New Roman" w:hAnsi="Times New Roman" w:cs="Times New Roman"/>
      <w:b/>
      <w:bCs/>
      <w:sz w:val="20"/>
      <w:szCs w:val="20"/>
      <w:lang w:val="en-GB"/>
    </w:rPr>
  </w:style>
  <w:style w:type="table" w:customStyle="1" w:styleId="TableGrid1">
    <w:name w:val="Table Grid1"/>
    <w:basedOn w:val="TableNormal"/>
    <w:next w:val="TableGrid"/>
    <w:uiPriority w:val="39"/>
    <w:rsid w:val="002B7937"/>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7937"/>
    <w:rPr>
      <w:rFonts w:ascii="Times New Roman" w:eastAsia="Times New Roman" w:hAnsi="Times New Roman" w:cs="Times New Roman"/>
      <w:szCs w:val="20"/>
      <w:lang w:val="en-GB"/>
    </w:rPr>
  </w:style>
  <w:style w:type="character" w:styleId="PageNumber">
    <w:name w:val="page number"/>
    <w:basedOn w:val="DefaultParagraphFont"/>
    <w:uiPriority w:val="99"/>
    <w:semiHidden/>
    <w:unhideWhenUsed/>
    <w:rsid w:val="00933F86"/>
  </w:style>
  <w:style w:type="table" w:customStyle="1" w:styleId="TableGrid21221">
    <w:name w:val="Table Grid21221"/>
    <w:basedOn w:val="TableNormal"/>
    <w:uiPriority w:val="59"/>
    <w:rsid w:val="007A425A"/>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25A"/>
    <w:pPr>
      <w:ind w:left="720"/>
      <w:contextualSpacing/>
    </w:pPr>
  </w:style>
  <w:style w:type="character" w:styleId="FollowedHyperlink">
    <w:name w:val="FollowedHyperlink"/>
    <w:basedOn w:val="DefaultParagraphFont"/>
    <w:uiPriority w:val="99"/>
    <w:semiHidden/>
    <w:unhideWhenUsed/>
    <w:rsid w:val="009C4100"/>
    <w:rPr>
      <w:color w:val="800080" w:themeColor="followedHyperlink"/>
      <w:u w:val="single"/>
    </w:rPr>
  </w:style>
  <w:style w:type="table" w:customStyle="1" w:styleId="TableGrid2">
    <w:name w:val="Table Grid2"/>
    <w:basedOn w:val="TableNormal"/>
    <w:next w:val="TableGrid"/>
    <w:uiPriority w:val="59"/>
    <w:rsid w:val="005E206B"/>
    <w:rPr>
      <w:rFonts w:ascii="Cambria" w:eastAsia="MS Mincho" w:hAnsi="Cambria" w:cs="Aria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uiPriority w:val="39"/>
    <w:rsid w:val="005E206B"/>
    <w:rPr>
      <w:rFonts w:ascii="Cambria" w:eastAsia="Calibri" w:hAnsi="Cambria"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1">
    <w:name w:val="Table Grid212211"/>
    <w:basedOn w:val="TableNormal"/>
    <w:uiPriority w:val="59"/>
    <w:rsid w:val="005E206B"/>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6FD1"/>
    <w:rPr>
      <w:i/>
      <w:iCs/>
    </w:rPr>
  </w:style>
  <w:style w:type="character" w:styleId="PlaceholderText">
    <w:name w:val="Placeholder Text"/>
    <w:basedOn w:val="DefaultParagraphFont"/>
    <w:uiPriority w:val="99"/>
    <w:semiHidden/>
    <w:rsid w:val="00BC4CC7"/>
    <w:rPr>
      <w:color w:val="808080"/>
    </w:rPr>
  </w:style>
  <w:style w:type="character" w:customStyle="1" w:styleId="ui-provider">
    <w:name w:val="ui-provider"/>
    <w:basedOn w:val="DefaultParagraphFont"/>
    <w:rsid w:val="00586ABF"/>
  </w:style>
  <w:style w:type="paragraph" w:customStyle="1" w:styleId="Body">
    <w:name w:val="Body"/>
    <w:rsid w:val="00536DB8"/>
    <w:pPr>
      <w:pBdr>
        <w:top w:val="nil"/>
        <w:left w:val="nil"/>
        <w:bottom w:val="nil"/>
        <w:right w:val="nil"/>
        <w:between w:val="nil"/>
        <w:bar w:val="nil"/>
      </w:pBdr>
    </w:pPr>
    <w:rPr>
      <w:rFonts w:ascii="Times New Roman" w:eastAsia="Arial Unicode MS" w:hAnsi="Times New Roman" w:cs="Arial Unicode MS"/>
      <w:color w:val="000000"/>
      <w:u w:color="000000"/>
      <w:bdr w:val="nil"/>
      <w:lang w:val="pt-PT" w:eastAsia="en-GB"/>
      <w14:textOutline w14:w="0" w14:cap="flat" w14:cmpd="sng" w14:algn="ctr">
        <w14:noFill/>
        <w14:prstDash w14:val="solid"/>
        <w14:bevel/>
      </w14:textOutline>
    </w:rPr>
  </w:style>
  <w:style w:type="numbering" w:customStyle="1" w:styleId="ImportedStyle6">
    <w:name w:val="Imported Style 6"/>
    <w:rsid w:val="00536DB8"/>
    <w:pPr>
      <w:numPr>
        <w:numId w:val="27"/>
      </w:numPr>
    </w:pPr>
  </w:style>
  <w:style w:type="character" w:styleId="BookTitle">
    <w:name w:val="Book Title"/>
    <w:basedOn w:val="DefaultParagraphFont"/>
    <w:uiPriority w:val="33"/>
    <w:qFormat/>
    <w:rsid w:val="00793E7F"/>
    <w:rPr>
      <w:b/>
      <w:bCs/>
      <w:i/>
      <w:iCs/>
      <w:spacing w:val="5"/>
    </w:rPr>
  </w:style>
  <w:style w:type="table" w:customStyle="1" w:styleId="TableGrid3">
    <w:name w:val="Table Grid3"/>
    <w:basedOn w:val="TableNormal"/>
    <w:next w:val="TableGrid"/>
    <w:uiPriority w:val="59"/>
    <w:rsid w:val="00A60D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11">
    <w:name w:val="Table Grid2122111"/>
    <w:basedOn w:val="TableNormal"/>
    <w:uiPriority w:val="59"/>
    <w:rsid w:val="00A60DA1"/>
    <w:rPr>
      <w:rFonts w:ascii="Times New Roman" w:eastAsia="Calibri" w:hAnsi="Times New Roman" w:cs="Arial"/>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616ED"/>
  </w:style>
  <w:style w:type="character" w:styleId="Strong">
    <w:name w:val="Strong"/>
    <w:basedOn w:val="DefaultParagraphFont"/>
    <w:uiPriority w:val="22"/>
    <w:qFormat/>
    <w:rsid w:val="00461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1904">
      <w:bodyDiv w:val="1"/>
      <w:marLeft w:val="0"/>
      <w:marRight w:val="0"/>
      <w:marTop w:val="0"/>
      <w:marBottom w:val="0"/>
      <w:divBdr>
        <w:top w:val="none" w:sz="0" w:space="0" w:color="auto"/>
        <w:left w:val="none" w:sz="0" w:space="0" w:color="auto"/>
        <w:bottom w:val="none" w:sz="0" w:space="0" w:color="auto"/>
        <w:right w:val="none" w:sz="0" w:space="0" w:color="auto"/>
      </w:divBdr>
      <w:divsChild>
        <w:div w:id="1652909620">
          <w:marLeft w:val="0"/>
          <w:marRight w:val="0"/>
          <w:marTop w:val="0"/>
          <w:marBottom w:val="0"/>
          <w:divBdr>
            <w:top w:val="none" w:sz="0" w:space="0" w:color="auto"/>
            <w:left w:val="none" w:sz="0" w:space="0" w:color="auto"/>
            <w:bottom w:val="none" w:sz="0" w:space="0" w:color="auto"/>
            <w:right w:val="none" w:sz="0" w:space="0" w:color="auto"/>
          </w:divBdr>
          <w:divsChild>
            <w:div w:id="1023701740">
              <w:marLeft w:val="0"/>
              <w:marRight w:val="0"/>
              <w:marTop w:val="0"/>
              <w:marBottom w:val="0"/>
              <w:divBdr>
                <w:top w:val="none" w:sz="0" w:space="0" w:color="auto"/>
                <w:left w:val="none" w:sz="0" w:space="0" w:color="auto"/>
                <w:bottom w:val="none" w:sz="0" w:space="0" w:color="auto"/>
                <w:right w:val="none" w:sz="0" w:space="0" w:color="auto"/>
              </w:divBdr>
              <w:divsChild>
                <w:div w:id="412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2674">
      <w:bodyDiv w:val="1"/>
      <w:marLeft w:val="0"/>
      <w:marRight w:val="0"/>
      <w:marTop w:val="0"/>
      <w:marBottom w:val="0"/>
      <w:divBdr>
        <w:top w:val="none" w:sz="0" w:space="0" w:color="auto"/>
        <w:left w:val="none" w:sz="0" w:space="0" w:color="auto"/>
        <w:bottom w:val="none" w:sz="0" w:space="0" w:color="auto"/>
        <w:right w:val="none" w:sz="0" w:space="0" w:color="auto"/>
      </w:divBdr>
      <w:divsChild>
        <w:div w:id="217519372">
          <w:marLeft w:val="480"/>
          <w:marRight w:val="0"/>
          <w:marTop w:val="0"/>
          <w:marBottom w:val="0"/>
          <w:divBdr>
            <w:top w:val="none" w:sz="0" w:space="0" w:color="auto"/>
            <w:left w:val="none" w:sz="0" w:space="0" w:color="auto"/>
            <w:bottom w:val="none" w:sz="0" w:space="0" w:color="auto"/>
            <w:right w:val="none" w:sz="0" w:space="0" w:color="auto"/>
          </w:divBdr>
          <w:divsChild>
            <w:div w:id="264919754">
              <w:marLeft w:val="0"/>
              <w:marRight w:val="0"/>
              <w:marTop w:val="0"/>
              <w:marBottom w:val="0"/>
              <w:divBdr>
                <w:top w:val="none" w:sz="0" w:space="0" w:color="auto"/>
                <w:left w:val="none" w:sz="0" w:space="0" w:color="auto"/>
                <w:bottom w:val="none" w:sz="0" w:space="0" w:color="auto"/>
                <w:right w:val="none" w:sz="0" w:space="0" w:color="auto"/>
              </w:divBdr>
            </w:div>
            <w:div w:id="5922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8439">
      <w:bodyDiv w:val="1"/>
      <w:marLeft w:val="0"/>
      <w:marRight w:val="0"/>
      <w:marTop w:val="0"/>
      <w:marBottom w:val="0"/>
      <w:divBdr>
        <w:top w:val="none" w:sz="0" w:space="0" w:color="auto"/>
        <w:left w:val="none" w:sz="0" w:space="0" w:color="auto"/>
        <w:bottom w:val="none" w:sz="0" w:space="0" w:color="auto"/>
        <w:right w:val="none" w:sz="0" w:space="0" w:color="auto"/>
      </w:divBdr>
    </w:div>
    <w:div w:id="45884693">
      <w:bodyDiv w:val="1"/>
      <w:marLeft w:val="0"/>
      <w:marRight w:val="0"/>
      <w:marTop w:val="0"/>
      <w:marBottom w:val="0"/>
      <w:divBdr>
        <w:top w:val="none" w:sz="0" w:space="0" w:color="auto"/>
        <w:left w:val="none" w:sz="0" w:space="0" w:color="auto"/>
        <w:bottom w:val="none" w:sz="0" w:space="0" w:color="auto"/>
        <w:right w:val="none" w:sz="0" w:space="0" w:color="auto"/>
      </w:divBdr>
    </w:div>
    <w:div w:id="52312979">
      <w:bodyDiv w:val="1"/>
      <w:marLeft w:val="0"/>
      <w:marRight w:val="0"/>
      <w:marTop w:val="0"/>
      <w:marBottom w:val="0"/>
      <w:divBdr>
        <w:top w:val="none" w:sz="0" w:space="0" w:color="auto"/>
        <w:left w:val="none" w:sz="0" w:space="0" w:color="auto"/>
        <w:bottom w:val="none" w:sz="0" w:space="0" w:color="auto"/>
        <w:right w:val="none" w:sz="0" w:space="0" w:color="auto"/>
      </w:divBdr>
      <w:divsChild>
        <w:div w:id="539512177">
          <w:marLeft w:val="0"/>
          <w:marRight w:val="0"/>
          <w:marTop w:val="0"/>
          <w:marBottom w:val="0"/>
          <w:divBdr>
            <w:top w:val="none" w:sz="0" w:space="0" w:color="auto"/>
            <w:left w:val="none" w:sz="0" w:space="0" w:color="auto"/>
            <w:bottom w:val="none" w:sz="0" w:space="0" w:color="auto"/>
            <w:right w:val="none" w:sz="0" w:space="0" w:color="auto"/>
          </w:divBdr>
        </w:div>
      </w:divsChild>
    </w:div>
    <w:div w:id="53696696">
      <w:bodyDiv w:val="1"/>
      <w:marLeft w:val="0"/>
      <w:marRight w:val="0"/>
      <w:marTop w:val="0"/>
      <w:marBottom w:val="0"/>
      <w:divBdr>
        <w:top w:val="none" w:sz="0" w:space="0" w:color="auto"/>
        <w:left w:val="none" w:sz="0" w:space="0" w:color="auto"/>
        <w:bottom w:val="none" w:sz="0" w:space="0" w:color="auto"/>
        <w:right w:val="none" w:sz="0" w:space="0" w:color="auto"/>
      </w:divBdr>
    </w:div>
    <w:div w:id="74671350">
      <w:bodyDiv w:val="1"/>
      <w:marLeft w:val="0"/>
      <w:marRight w:val="0"/>
      <w:marTop w:val="0"/>
      <w:marBottom w:val="0"/>
      <w:divBdr>
        <w:top w:val="none" w:sz="0" w:space="0" w:color="auto"/>
        <w:left w:val="none" w:sz="0" w:space="0" w:color="auto"/>
        <w:bottom w:val="none" w:sz="0" w:space="0" w:color="auto"/>
        <w:right w:val="none" w:sz="0" w:space="0" w:color="auto"/>
      </w:divBdr>
    </w:div>
    <w:div w:id="156699207">
      <w:bodyDiv w:val="1"/>
      <w:marLeft w:val="0"/>
      <w:marRight w:val="0"/>
      <w:marTop w:val="0"/>
      <w:marBottom w:val="0"/>
      <w:divBdr>
        <w:top w:val="none" w:sz="0" w:space="0" w:color="auto"/>
        <w:left w:val="none" w:sz="0" w:space="0" w:color="auto"/>
        <w:bottom w:val="none" w:sz="0" w:space="0" w:color="auto"/>
        <w:right w:val="none" w:sz="0" w:space="0" w:color="auto"/>
      </w:divBdr>
      <w:divsChild>
        <w:div w:id="686096928">
          <w:marLeft w:val="0"/>
          <w:marRight w:val="0"/>
          <w:marTop w:val="0"/>
          <w:marBottom w:val="0"/>
          <w:divBdr>
            <w:top w:val="none" w:sz="0" w:space="0" w:color="auto"/>
            <w:left w:val="none" w:sz="0" w:space="0" w:color="auto"/>
            <w:bottom w:val="none" w:sz="0" w:space="0" w:color="auto"/>
            <w:right w:val="none" w:sz="0" w:space="0" w:color="auto"/>
          </w:divBdr>
          <w:divsChild>
            <w:div w:id="22632966">
              <w:marLeft w:val="0"/>
              <w:marRight w:val="0"/>
              <w:marTop w:val="0"/>
              <w:marBottom w:val="0"/>
              <w:divBdr>
                <w:top w:val="none" w:sz="0" w:space="0" w:color="auto"/>
                <w:left w:val="none" w:sz="0" w:space="0" w:color="auto"/>
                <w:bottom w:val="none" w:sz="0" w:space="0" w:color="auto"/>
                <w:right w:val="none" w:sz="0" w:space="0" w:color="auto"/>
              </w:divBdr>
              <w:divsChild>
                <w:div w:id="10648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7856">
      <w:bodyDiv w:val="1"/>
      <w:marLeft w:val="0"/>
      <w:marRight w:val="0"/>
      <w:marTop w:val="0"/>
      <w:marBottom w:val="0"/>
      <w:divBdr>
        <w:top w:val="none" w:sz="0" w:space="0" w:color="auto"/>
        <w:left w:val="none" w:sz="0" w:space="0" w:color="auto"/>
        <w:bottom w:val="none" w:sz="0" w:space="0" w:color="auto"/>
        <w:right w:val="none" w:sz="0" w:space="0" w:color="auto"/>
      </w:divBdr>
      <w:divsChild>
        <w:div w:id="1714575743">
          <w:marLeft w:val="0"/>
          <w:marRight w:val="0"/>
          <w:marTop w:val="0"/>
          <w:marBottom w:val="0"/>
          <w:divBdr>
            <w:top w:val="none" w:sz="0" w:space="0" w:color="auto"/>
            <w:left w:val="none" w:sz="0" w:space="0" w:color="auto"/>
            <w:bottom w:val="none" w:sz="0" w:space="0" w:color="auto"/>
            <w:right w:val="none" w:sz="0" w:space="0" w:color="auto"/>
          </w:divBdr>
          <w:divsChild>
            <w:div w:id="1007364585">
              <w:marLeft w:val="0"/>
              <w:marRight w:val="0"/>
              <w:marTop w:val="0"/>
              <w:marBottom w:val="0"/>
              <w:divBdr>
                <w:top w:val="none" w:sz="0" w:space="0" w:color="auto"/>
                <w:left w:val="none" w:sz="0" w:space="0" w:color="auto"/>
                <w:bottom w:val="none" w:sz="0" w:space="0" w:color="auto"/>
                <w:right w:val="none" w:sz="0" w:space="0" w:color="auto"/>
              </w:divBdr>
              <w:divsChild>
                <w:div w:id="9057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864">
      <w:bodyDiv w:val="1"/>
      <w:marLeft w:val="0"/>
      <w:marRight w:val="0"/>
      <w:marTop w:val="0"/>
      <w:marBottom w:val="0"/>
      <w:divBdr>
        <w:top w:val="none" w:sz="0" w:space="0" w:color="auto"/>
        <w:left w:val="none" w:sz="0" w:space="0" w:color="auto"/>
        <w:bottom w:val="none" w:sz="0" w:space="0" w:color="auto"/>
        <w:right w:val="none" w:sz="0" w:space="0" w:color="auto"/>
      </w:divBdr>
    </w:div>
    <w:div w:id="372315677">
      <w:bodyDiv w:val="1"/>
      <w:marLeft w:val="0"/>
      <w:marRight w:val="0"/>
      <w:marTop w:val="0"/>
      <w:marBottom w:val="0"/>
      <w:divBdr>
        <w:top w:val="none" w:sz="0" w:space="0" w:color="auto"/>
        <w:left w:val="none" w:sz="0" w:space="0" w:color="auto"/>
        <w:bottom w:val="none" w:sz="0" w:space="0" w:color="auto"/>
        <w:right w:val="none" w:sz="0" w:space="0" w:color="auto"/>
      </w:divBdr>
      <w:divsChild>
        <w:div w:id="1642075788">
          <w:marLeft w:val="0"/>
          <w:marRight w:val="0"/>
          <w:marTop w:val="0"/>
          <w:marBottom w:val="0"/>
          <w:divBdr>
            <w:top w:val="none" w:sz="0" w:space="0" w:color="auto"/>
            <w:left w:val="none" w:sz="0" w:space="0" w:color="auto"/>
            <w:bottom w:val="none" w:sz="0" w:space="0" w:color="auto"/>
            <w:right w:val="none" w:sz="0" w:space="0" w:color="auto"/>
          </w:divBdr>
        </w:div>
      </w:divsChild>
    </w:div>
    <w:div w:id="377320111">
      <w:bodyDiv w:val="1"/>
      <w:marLeft w:val="0"/>
      <w:marRight w:val="0"/>
      <w:marTop w:val="0"/>
      <w:marBottom w:val="0"/>
      <w:divBdr>
        <w:top w:val="none" w:sz="0" w:space="0" w:color="auto"/>
        <w:left w:val="none" w:sz="0" w:space="0" w:color="auto"/>
        <w:bottom w:val="none" w:sz="0" w:space="0" w:color="auto"/>
        <w:right w:val="none" w:sz="0" w:space="0" w:color="auto"/>
      </w:divBdr>
      <w:divsChild>
        <w:div w:id="2115514205">
          <w:marLeft w:val="0"/>
          <w:marRight w:val="0"/>
          <w:marTop w:val="0"/>
          <w:marBottom w:val="0"/>
          <w:divBdr>
            <w:top w:val="none" w:sz="0" w:space="0" w:color="auto"/>
            <w:left w:val="none" w:sz="0" w:space="0" w:color="auto"/>
            <w:bottom w:val="none" w:sz="0" w:space="0" w:color="auto"/>
            <w:right w:val="none" w:sz="0" w:space="0" w:color="auto"/>
          </w:divBdr>
          <w:divsChild>
            <w:div w:id="676812049">
              <w:marLeft w:val="0"/>
              <w:marRight w:val="0"/>
              <w:marTop w:val="0"/>
              <w:marBottom w:val="0"/>
              <w:divBdr>
                <w:top w:val="none" w:sz="0" w:space="0" w:color="auto"/>
                <w:left w:val="none" w:sz="0" w:space="0" w:color="auto"/>
                <w:bottom w:val="none" w:sz="0" w:space="0" w:color="auto"/>
                <w:right w:val="none" w:sz="0" w:space="0" w:color="auto"/>
              </w:divBdr>
              <w:divsChild>
                <w:div w:id="18458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98836">
      <w:bodyDiv w:val="1"/>
      <w:marLeft w:val="0"/>
      <w:marRight w:val="0"/>
      <w:marTop w:val="0"/>
      <w:marBottom w:val="0"/>
      <w:divBdr>
        <w:top w:val="none" w:sz="0" w:space="0" w:color="auto"/>
        <w:left w:val="none" w:sz="0" w:space="0" w:color="auto"/>
        <w:bottom w:val="none" w:sz="0" w:space="0" w:color="auto"/>
        <w:right w:val="none" w:sz="0" w:space="0" w:color="auto"/>
      </w:divBdr>
    </w:div>
    <w:div w:id="427623227">
      <w:bodyDiv w:val="1"/>
      <w:marLeft w:val="0"/>
      <w:marRight w:val="0"/>
      <w:marTop w:val="0"/>
      <w:marBottom w:val="0"/>
      <w:divBdr>
        <w:top w:val="none" w:sz="0" w:space="0" w:color="auto"/>
        <w:left w:val="none" w:sz="0" w:space="0" w:color="auto"/>
        <w:bottom w:val="none" w:sz="0" w:space="0" w:color="auto"/>
        <w:right w:val="none" w:sz="0" w:space="0" w:color="auto"/>
      </w:divBdr>
      <w:divsChild>
        <w:div w:id="813063822">
          <w:marLeft w:val="0"/>
          <w:marRight w:val="0"/>
          <w:marTop w:val="0"/>
          <w:marBottom w:val="0"/>
          <w:divBdr>
            <w:top w:val="none" w:sz="0" w:space="0" w:color="auto"/>
            <w:left w:val="none" w:sz="0" w:space="0" w:color="auto"/>
            <w:bottom w:val="none" w:sz="0" w:space="0" w:color="auto"/>
            <w:right w:val="none" w:sz="0" w:space="0" w:color="auto"/>
          </w:divBdr>
          <w:divsChild>
            <w:div w:id="437914125">
              <w:marLeft w:val="0"/>
              <w:marRight w:val="0"/>
              <w:marTop w:val="0"/>
              <w:marBottom w:val="0"/>
              <w:divBdr>
                <w:top w:val="none" w:sz="0" w:space="0" w:color="auto"/>
                <w:left w:val="none" w:sz="0" w:space="0" w:color="auto"/>
                <w:bottom w:val="none" w:sz="0" w:space="0" w:color="auto"/>
                <w:right w:val="none" w:sz="0" w:space="0" w:color="auto"/>
              </w:divBdr>
              <w:divsChild>
                <w:div w:id="18137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9659">
      <w:bodyDiv w:val="1"/>
      <w:marLeft w:val="0"/>
      <w:marRight w:val="0"/>
      <w:marTop w:val="0"/>
      <w:marBottom w:val="0"/>
      <w:divBdr>
        <w:top w:val="none" w:sz="0" w:space="0" w:color="auto"/>
        <w:left w:val="none" w:sz="0" w:space="0" w:color="auto"/>
        <w:bottom w:val="none" w:sz="0" w:space="0" w:color="auto"/>
        <w:right w:val="none" w:sz="0" w:space="0" w:color="auto"/>
      </w:divBdr>
    </w:div>
    <w:div w:id="484126251">
      <w:bodyDiv w:val="1"/>
      <w:marLeft w:val="0"/>
      <w:marRight w:val="0"/>
      <w:marTop w:val="0"/>
      <w:marBottom w:val="0"/>
      <w:divBdr>
        <w:top w:val="none" w:sz="0" w:space="0" w:color="auto"/>
        <w:left w:val="none" w:sz="0" w:space="0" w:color="auto"/>
        <w:bottom w:val="none" w:sz="0" w:space="0" w:color="auto"/>
        <w:right w:val="none" w:sz="0" w:space="0" w:color="auto"/>
      </w:divBdr>
    </w:div>
    <w:div w:id="498233578">
      <w:bodyDiv w:val="1"/>
      <w:marLeft w:val="0"/>
      <w:marRight w:val="0"/>
      <w:marTop w:val="0"/>
      <w:marBottom w:val="0"/>
      <w:divBdr>
        <w:top w:val="none" w:sz="0" w:space="0" w:color="auto"/>
        <w:left w:val="none" w:sz="0" w:space="0" w:color="auto"/>
        <w:bottom w:val="none" w:sz="0" w:space="0" w:color="auto"/>
        <w:right w:val="none" w:sz="0" w:space="0" w:color="auto"/>
      </w:divBdr>
      <w:divsChild>
        <w:div w:id="1306397617">
          <w:marLeft w:val="0"/>
          <w:marRight w:val="0"/>
          <w:marTop w:val="0"/>
          <w:marBottom w:val="0"/>
          <w:divBdr>
            <w:top w:val="none" w:sz="0" w:space="0" w:color="auto"/>
            <w:left w:val="none" w:sz="0" w:space="0" w:color="auto"/>
            <w:bottom w:val="none" w:sz="0" w:space="0" w:color="auto"/>
            <w:right w:val="none" w:sz="0" w:space="0" w:color="auto"/>
          </w:divBdr>
          <w:divsChild>
            <w:div w:id="777145385">
              <w:marLeft w:val="0"/>
              <w:marRight w:val="0"/>
              <w:marTop w:val="0"/>
              <w:marBottom w:val="0"/>
              <w:divBdr>
                <w:top w:val="none" w:sz="0" w:space="0" w:color="auto"/>
                <w:left w:val="none" w:sz="0" w:space="0" w:color="auto"/>
                <w:bottom w:val="none" w:sz="0" w:space="0" w:color="auto"/>
                <w:right w:val="none" w:sz="0" w:space="0" w:color="auto"/>
              </w:divBdr>
              <w:divsChild>
                <w:div w:id="934244094">
                  <w:marLeft w:val="0"/>
                  <w:marRight w:val="0"/>
                  <w:marTop w:val="0"/>
                  <w:marBottom w:val="0"/>
                  <w:divBdr>
                    <w:top w:val="none" w:sz="0" w:space="0" w:color="auto"/>
                    <w:left w:val="none" w:sz="0" w:space="0" w:color="auto"/>
                    <w:bottom w:val="none" w:sz="0" w:space="0" w:color="auto"/>
                    <w:right w:val="none" w:sz="0" w:space="0" w:color="auto"/>
                  </w:divBdr>
                  <w:divsChild>
                    <w:div w:id="17041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18904">
      <w:bodyDiv w:val="1"/>
      <w:marLeft w:val="0"/>
      <w:marRight w:val="0"/>
      <w:marTop w:val="0"/>
      <w:marBottom w:val="0"/>
      <w:divBdr>
        <w:top w:val="none" w:sz="0" w:space="0" w:color="auto"/>
        <w:left w:val="none" w:sz="0" w:space="0" w:color="auto"/>
        <w:bottom w:val="none" w:sz="0" w:space="0" w:color="auto"/>
        <w:right w:val="none" w:sz="0" w:space="0" w:color="auto"/>
      </w:divBdr>
    </w:div>
    <w:div w:id="530188091">
      <w:bodyDiv w:val="1"/>
      <w:marLeft w:val="0"/>
      <w:marRight w:val="0"/>
      <w:marTop w:val="0"/>
      <w:marBottom w:val="0"/>
      <w:divBdr>
        <w:top w:val="none" w:sz="0" w:space="0" w:color="auto"/>
        <w:left w:val="none" w:sz="0" w:space="0" w:color="auto"/>
        <w:bottom w:val="none" w:sz="0" w:space="0" w:color="auto"/>
        <w:right w:val="none" w:sz="0" w:space="0" w:color="auto"/>
      </w:divBdr>
      <w:divsChild>
        <w:div w:id="600722471">
          <w:marLeft w:val="0"/>
          <w:marRight w:val="0"/>
          <w:marTop w:val="0"/>
          <w:marBottom w:val="0"/>
          <w:divBdr>
            <w:top w:val="none" w:sz="0" w:space="0" w:color="auto"/>
            <w:left w:val="none" w:sz="0" w:space="0" w:color="auto"/>
            <w:bottom w:val="none" w:sz="0" w:space="0" w:color="auto"/>
            <w:right w:val="none" w:sz="0" w:space="0" w:color="auto"/>
          </w:divBdr>
          <w:divsChild>
            <w:div w:id="859590375">
              <w:marLeft w:val="0"/>
              <w:marRight w:val="0"/>
              <w:marTop w:val="0"/>
              <w:marBottom w:val="0"/>
              <w:divBdr>
                <w:top w:val="none" w:sz="0" w:space="0" w:color="auto"/>
                <w:left w:val="none" w:sz="0" w:space="0" w:color="auto"/>
                <w:bottom w:val="none" w:sz="0" w:space="0" w:color="auto"/>
                <w:right w:val="none" w:sz="0" w:space="0" w:color="auto"/>
              </w:divBdr>
              <w:divsChild>
                <w:div w:id="13750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7402">
      <w:bodyDiv w:val="1"/>
      <w:marLeft w:val="0"/>
      <w:marRight w:val="0"/>
      <w:marTop w:val="0"/>
      <w:marBottom w:val="0"/>
      <w:divBdr>
        <w:top w:val="none" w:sz="0" w:space="0" w:color="auto"/>
        <w:left w:val="none" w:sz="0" w:space="0" w:color="auto"/>
        <w:bottom w:val="none" w:sz="0" w:space="0" w:color="auto"/>
        <w:right w:val="none" w:sz="0" w:space="0" w:color="auto"/>
      </w:divBdr>
      <w:divsChild>
        <w:div w:id="1349216788">
          <w:marLeft w:val="0"/>
          <w:marRight w:val="0"/>
          <w:marTop w:val="0"/>
          <w:marBottom w:val="0"/>
          <w:divBdr>
            <w:top w:val="none" w:sz="0" w:space="0" w:color="auto"/>
            <w:left w:val="none" w:sz="0" w:space="0" w:color="auto"/>
            <w:bottom w:val="none" w:sz="0" w:space="0" w:color="auto"/>
            <w:right w:val="none" w:sz="0" w:space="0" w:color="auto"/>
          </w:divBdr>
          <w:divsChild>
            <w:div w:id="1913853585">
              <w:marLeft w:val="0"/>
              <w:marRight w:val="0"/>
              <w:marTop w:val="0"/>
              <w:marBottom w:val="0"/>
              <w:divBdr>
                <w:top w:val="none" w:sz="0" w:space="0" w:color="auto"/>
                <w:left w:val="none" w:sz="0" w:space="0" w:color="auto"/>
                <w:bottom w:val="none" w:sz="0" w:space="0" w:color="auto"/>
                <w:right w:val="none" w:sz="0" w:space="0" w:color="auto"/>
              </w:divBdr>
              <w:divsChild>
                <w:div w:id="37843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8067">
      <w:bodyDiv w:val="1"/>
      <w:marLeft w:val="0"/>
      <w:marRight w:val="0"/>
      <w:marTop w:val="0"/>
      <w:marBottom w:val="0"/>
      <w:divBdr>
        <w:top w:val="none" w:sz="0" w:space="0" w:color="auto"/>
        <w:left w:val="none" w:sz="0" w:space="0" w:color="auto"/>
        <w:bottom w:val="none" w:sz="0" w:space="0" w:color="auto"/>
        <w:right w:val="none" w:sz="0" w:space="0" w:color="auto"/>
      </w:divBdr>
      <w:divsChild>
        <w:div w:id="2089762447">
          <w:marLeft w:val="480"/>
          <w:marRight w:val="0"/>
          <w:marTop w:val="0"/>
          <w:marBottom w:val="0"/>
          <w:divBdr>
            <w:top w:val="none" w:sz="0" w:space="0" w:color="auto"/>
            <w:left w:val="none" w:sz="0" w:space="0" w:color="auto"/>
            <w:bottom w:val="none" w:sz="0" w:space="0" w:color="auto"/>
            <w:right w:val="none" w:sz="0" w:space="0" w:color="auto"/>
          </w:divBdr>
          <w:divsChild>
            <w:div w:id="424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9076">
      <w:bodyDiv w:val="1"/>
      <w:marLeft w:val="0"/>
      <w:marRight w:val="0"/>
      <w:marTop w:val="0"/>
      <w:marBottom w:val="0"/>
      <w:divBdr>
        <w:top w:val="none" w:sz="0" w:space="0" w:color="auto"/>
        <w:left w:val="none" w:sz="0" w:space="0" w:color="auto"/>
        <w:bottom w:val="none" w:sz="0" w:space="0" w:color="auto"/>
        <w:right w:val="none" w:sz="0" w:space="0" w:color="auto"/>
      </w:divBdr>
      <w:divsChild>
        <w:div w:id="705910654">
          <w:marLeft w:val="0"/>
          <w:marRight w:val="0"/>
          <w:marTop w:val="0"/>
          <w:marBottom w:val="0"/>
          <w:divBdr>
            <w:top w:val="none" w:sz="0" w:space="0" w:color="auto"/>
            <w:left w:val="none" w:sz="0" w:space="0" w:color="auto"/>
            <w:bottom w:val="none" w:sz="0" w:space="0" w:color="auto"/>
            <w:right w:val="none" w:sz="0" w:space="0" w:color="auto"/>
          </w:divBdr>
          <w:divsChild>
            <w:div w:id="599798678">
              <w:marLeft w:val="0"/>
              <w:marRight w:val="0"/>
              <w:marTop w:val="0"/>
              <w:marBottom w:val="0"/>
              <w:divBdr>
                <w:top w:val="none" w:sz="0" w:space="0" w:color="auto"/>
                <w:left w:val="none" w:sz="0" w:space="0" w:color="auto"/>
                <w:bottom w:val="none" w:sz="0" w:space="0" w:color="auto"/>
                <w:right w:val="none" w:sz="0" w:space="0" w:color="auto"/>
              </w:divBdr>
              <w:divsChild>
                <w:div w:id="3824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2611">
      <w:bodyDiv w:val="1"/>
      <w:marLeft w:val="0"/>
      <w:marRight w:val="0"/>
      <w:marTop w:val="0"/>
      <w:marBottom w:val="0"/>
      <w:divBdr>
        <w:top w:val="none" w:sz="0" w:space="0" w:color="auto"/>
        <w:left w:val="none" w:sz="0" w:space="0" w:color="auto"/>
        <w:bottom w:val="none" w:sz="0" w:space="0" w:color="auto"/>
        <w:right w:val="none" w:sz="0" w:space="0" w:color="auto"/>
      </w:divBdr>
    </w:div>
    <w:div w:id="574360567">
      <w:bodyDiv w:val="1"/>
      <w:marLeft w:val="0"/>
      <w:marRight w:val="0"/>
      <w:marTop w:val="0"/>
      <w:marBottom w:val="0"/>
      <w:divBdr>
        <w:top w:val="none" w:sz="0" w:space="0" w:color="auto"/>
        <w:left w:val="none" w:sz="0" w:space="0" w:color="auto"/>
        <w:bottom w:val="none" w:sz="0" w:space="0" w:color="auto"/>
        <w:right w:val="none" w:sz="0" w:space="0" w:color="auto"/>
      </w:divBdr>
    </w:div>
    <w:div w:id="576791120">
      <w:bodyDiv w:val="1"/>
      <w:marLeft w:val="0"/>
      <w:marRight w:val="0"/>
      <w:marTop w:val="0"/>
      <w:marBottom w:val="0"/>
      <w:divBdr>
        <w:top w:val="none" w:sz="0" w:space="0" w:color="auto"/>
        <w:left w:val="none" w:sz="0" w:space="0" w:color="auto"/>
        <w:bottom w:val="none" w:sz="0" w:space="0" w:color="auto"/>
        <w:right w:val="none" w:sz="0" w:space="0" w:color="auto"/>
      </w:divBdr>
    </w:div>
    <w:div w:id="585185093">
      <w:bodyDiv w:val="1"/>
      <w:marLeft w:val="0"/>
      <w:marRight w:val="0"/>
      <w:marTop w:val="0"/>
      <w:marBottom w:val="0"/>
      <w:divBdr>
        <w:top w:val="none" w:sz="0" w:space="0" w:color="auto"/>
        <w:left w:val="none" w:sz="0" w:space="0" w:color="auto"/>
        <w:bottom w:val="none" w:sz="0" w:space="0" w:color="auto"/>
        <w:right w:val="none" w:sz="0" w:space="0" w:color="auto"/>
      </w:divBdr>
    </w:div>
    <w:div w:id="605306844">
      <w:bodyDiv w:val="1"/>
      <w:marLeft w:val="0"/>
      <w:marRight w:val="0"/>
      <w:marTop w:val="0"/>
      <w:marBottom w:val="0"/>
      <w:divBdr>
        <w:top w:val="none" w:sz="0" w:space="0" w:color="auto"/>
        <w:left w:val="none" w:sz="0" w:space="0" w:color="auto"/>
        <w:bottom w:val="none" w:sz="0" w:space="0" w:color="auto"/>
        <w:right w:val="none" w:sz="0" w:space="0" w:color="auto"/>
      </w:divBdr>
      <w:divsChild>
        <w:div w:id="1452434033">
          <w:marLeft w:val="0"/>
          <w:marRight w:val="0"/>
          <w:marTop w:val="0"/>
          <w:marBottom w:val="0"/>
          <w:divBdr>
            <w:top w:val="none" w:sz="0" w:space="0" w:color="auto"/>
            <w:left w:val="none" w:sz="0" w:space="0" w:color="auto"/>
            <w:bottom w:val="none" w:sz="0" w:space="0" w:color="auto"/>
            <w:right w:val="none" w:sz="0" w:space="0" w:color="auto"/>
          </w:divBdr>
          <w:divsChild>
            <w:div w:id="870344543">
              <w:marLeft w:val="0"/>
              <w:marRight w:val="0"/>
              <w:marTop w:val="0"/>
              <w:marBottom w:val="0"/>
              <w:divBdr>
                <w:top w:val="none" w:sz="0" w:space="0" w:color="auto"/>
                <w:left w:val="none" w:sz="0" w:space="0" w:color="auto"/>
                <w:bottom w:val="none" w:sz="0" w:space="0" w:color="auto"/>
                <w:right w:val="none" w:sz="0" w:space="0" w:color="auto"/>
              </w:divBdr>
              <w:divsChild>
                <w:div w:id="5697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0982">
      <w:bodyDiv w:val="1"/>
      <w:marLeft w:val="0"/>
      <w:marRight w:val="0"/>
      <w:marTop w:val="0"/>
      <w:marBottom w:val="0"/>
      <w:divBdr>
        <w:top w:val="none" w:sz="0" w:space="0" w:color="auto"/>
        <w:left w:val="none" w:sz="0" w:space="0" w:color="auto"/>
        <w:bottom w:val="none" w:sz="0" w:space="0" w:color="auto"/>
        <w:right w:val="none" w:sz="0" w:space="0" w:color="auto"/>
      </w:divBdr>
      <w:divsChild>
        <w:div w:id="938636180">
          <w:marLeft w:val="0"/>
          <w:marRight w:val="0"/>
          <w:marTop w:val="0"/>
          <w:marBottom w:val="0"/>
          <w:divBdr>
            <w:top w:val="none" w:sz="0" w:space="0" w:color="auto"/>
            <w:left w:val="none" w:sz="0" w:space="0" w:color="auto"/>
            <w:bottom w:val="none" w:sz="0" w:space="0" w:color="auto"/>
            <w:right w:val="none" w:sz="0" w:space="0" w:color="auto"/>
          </w:divBdr>
          <w:divsChild>
            <w:div w:id="1499923211">
              <w:marLeft w:val="0"/>
              <w:marRight w:val="0"/>
              <w:marTop w:val="0"/>
              <w:marBottom w:val="0"/>
              <w:divBdr>
                <w:top w:val="none" w:sz="0" w:space="0" w:color="auto"/>
                <w:left w:val="none" w:sz="0" w:space="0" w:color="auto"/>
                <w:bottom w:val="none" w:sz="0" w:space="0" w:color="auto"/>
                <w:right w:val="none" w:sz="0" w:space="0" w:color="auto"/>
              </w:divBdr>
              <w:divsChild>
                <w:div w:id="58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4065">
      <w:bodyDiv w:val="1"/>
      <w:marLeft w:val="0"/>
      <w:marRight w:val="0"/>
      <w:marTop w:val="0"/>
      <w:marBottom w:val="0"/>
      <w:divBdr>
        <w:top w:val="none" w:sz="0" w:space="0" w:color="auto"/>
        <w:left w:val="none" w:sz="0" w:space="0" w:color="auto"/>
        <w:bottom w:val="none" w:sz="0" w:space="0" w:color="auto"/>
        <w:right w:val="none" w:sz="0" w:space="0" w:color="auto"/>
      </w:divBdr>
    </w:div>
    <w:div w:id="706835824">
      <w:bodyDiv w:val="1"/>
      <w:marLeft w:val="0"/>
      <w:marRight w:val="0"/>
      <w:marTop w:val="0"/>
      <w:marBottom w:val="0"/>
      <w:divBdr>
        <w:top w:val="none" w:sz="0" w:space="0" w:color="auto"/>
        <w:left w:val="none" w:sz="0" w:space="0" w:color="auto"/>
        <w:bottom w:val="none" w:sz="0" w:space="0" w:color="auto"/>
        <w:right w:val="none" w:sz="0" w:space="0" w:color="auto"/>
      </w:divBdr>
      <w:divsChild>
        <w:div w:id="686953988">
          <w:marLeft w:val="0"/>
          <w:marRight w:val="0"/>
          <w:marTop w:val="0"/>
          <w:marBottom w:val="0"/>
          <w:divBdr>
            <w:top w:val="none" w:sz="0" w:space="0" w:color="auto"/>
            <w:left w:val="none" w:sz="0" w:space="0" w:color="auto"/>
            <w:bottom w:val="none" w:sz="0" w:space="0" w:color="auto"/>
            <w:right w:val="none" w:sz="0" w:space="0" w:color="auto"/>
          </w:divBdr>
          <w:divsChild>
            <w:div w:id="1756903829">
              <w:marLeft w:val="0"/>
              <w:marRight w:val="0"/>
              <w:marTop w:val="0"/>
              <w:marBottom w:val="0"/>
              <w:divBdr>
                <w:top w:val="none" w:sz="0" w:space="0" w:color="auto"/>
                <w:left w:val="none" w:sz="0" w:space="0" w:color="auto"/>
                <w:bottom w:val="none" w:sz="0" w:space="0" w:color="auto"/>
                <w:right w:val="none" w:sz="0" w:space="0" w:color="auto"/>
              </w:divBdr>
              <w:divsChild>
                <w:div w:id="17520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35">
      <w:bodyDiv w:val="1"/>
      <w:marLeft w:val="0"/>
      <w:marRight w:val="0"/>
      <w:marTop w:val="0"/>
      <w:marBottom w:val="0"/>
      <w:divBdr>
        <w:top w:val="none" w:sz="0" w:space="0" w:color="auto"/>
        <w:left w:val="none" w:sz="0" w:space="0" w:color="auto"/>
        <w:bottom w:val="none" w:sz="0" w:space="0" w:color="auto"/>
        <w:right w:val="none" w:sz="0" w:space="0" w:color="auto"/>
      </w:divBdr>
      <w:divsChild>
        <w:div w:id="689455813">
          <w:marLeft w:val="0"/>
          <w:marRight w:val="0"/>
          <w:marTop w:val="0"/>
          <w:marBottom w:val="0"/>
          <w:divBdr>
            <w:top w:val="none" w:sz="0" w:space="0" w:color="auto"/>
            <w:left w:val="none" w:sz="0" w:space="0" w:color="auto"/>
            <w:bottom w:val="none" w:sz="0" w:space="0" w:color="auto"/>
            <w:right w:val="none" w:sz="0" w:space="0" w:color="auto"/>
          </w:divBdr>
          <w:divsChild>
            <w:div w:id="1718158487">
              <w:marLeft w:val="0"/>
              <w:marRight w:val="0"/>
              <w:marTop w:val="0"/>
              <w:marBottom w:val="0"/>
              <w:divBdr>
                <w:top w:val="none" w:sz="0" w:space="0" w:color="auto"/>
                <w:left w:val="none" w:sz="0" w:space="0" w:color="auto"/>
                <w:bottom w:val="none" w:sz="0" w:space="0" w:color="auto"/>
                <w:right w:val="none" w:sz="0" w:space="0" w:color="auto"/>
              </w:divBdr>
              <w:divsChild>
                <w:div w:id="15082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6797">
      <w:bodyDiv w:val="1"/>
      <w:marLeft w:val="0"/>
      <w:marRight w:val="0"/>
      <w:marTop w:val="0"/>
      <w:marBottom w:val="0"/>
      <w:divBdr>
        <w:top w:val="none" w:sz="0" w:space="0" w:color="auto"/>
        <w:left w:val="none" w:sz="0" w:space="0" w:color="auto"/>
        <w:bottom w:val="none" w:sz="0" w:space="0" w:color="auto"/>
        <w:right w:val="none" w:sz="0" w:space="0" w:color="auto"/>
      </w:divBdr>
      <w:divsChild>
        <w:div w:id="596989225">
          <w:marLeft w:val="0"/>
          <w:marRight w:val="0"/>
          <w:marTop w:val="0"/>
          <w:marBottom w:val="0"/>
          <w:divBdr>
            <w:top w:val="none" w:sz="0" w:space="0" w:color="auto"/>
            <w:left w:val="none" w:sz="0" w:space="0" w:color="auto"/>
            <w:bottom w:val="none" w:sz="0" w:space="0" w:color="auto"/>
            <w:right w:val="none" w:sz="0" w:space="0" w:color="auto"/>
          </w:divBdr>
          <w:divsChild>
            <w:div w:id="662004807">
              <w:marLeft w:val="0"/>
              <w:marRight w:val="0"/>
              <w:marTop w:val="0"/>
              <w:marBottom w:val="0"/>
              <w:divBdr>
                <w:top w:val="none" w:sz="0" w:space="0" w:color="auto"/>
                <w:left w:val="none" w:sz="0" w:space="0" w:color="auto"/>
                <w:bottom w:val="none" w:sz="0" w:space="0" w:color="auto"/>
                <w:right w:val="none" w:sz="0" w:space="0" w:color="auto"/>
              </w:divBdr>
              <w:divsChild>
                <w:div w:id="18376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39610">
      <w:bodyDiv w:val="1"/>
      <w:marLeft w:val="0"/>
      <w:marRight w:val="0"/>
      <w:marTop w:val="0"/>
      <w:marBottom w:val="0"/>
      <w:divBdr>
        <w:top w:val="none" w:sz="0" w:space="0" w:color="auto"/>
        <w:left w:val="none" w:sz="0" w:space="0" w:color="auto"/>
        <w:bottom w:val="none" w:sz="0" w:space="0" w:color="auto"/>
        <w:right w:val="none" w:sz="0" w:space="0" w:color="auto"/>
      </w:divBdr>
      <w:divsChild>
        <w:div w:id="815537605">
          <w:marLeft w:val="480"/>
          <w:marRight w:val="0"/>
          <w:marTop w:val="0"/>
          <w:marBottom w:val="0"/>
          <w:divBdr>
            <w:top w:val="none" w:sz="0" w:space="0" w:color="auto"/>
            <w:left w:val="none" w:sz="0" w:space="0" w:color="auto"/>
            <w:bottom w:val="none" w:sz="0" w:space="0" w:color="auto"/>
            <w:right w:val="none" w:sz="0" w:space="0" w:color="auto"/>
          </w:divBdr>
          <w:divsChild>
            <w:div w:id="3363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6578">
      <w:bodyDiv w:val="1"/>
      <w:marLeft w:val="0"/>
      <w:marRight w:val="0"/>
      <w:marTop w:val="0"/>
      <w:marBottom w:val="0"/>
      <w:divBdr>
        <w:top w:val="none" w:sz="0" w:space="0" w:color="auto"/>
        <w:left w:val="none" w:sz="0" w:space="0" w:color="auto"/>
        <w:bottom w:val="none" w:sz="0" w:space="0" w:color="auto"/>
        <w:right w:val="none" w:sz="0" w:space="0" w:color="auto"/>
      </w:divBdr>
      <w:divsChild>
        <w:div w:id="1088690786">
          <w:marLeft w:val="0"/>
          <w:marRight w:val="0"/>
          <w:marTop w:val="0"/>
          <w:marBottom w:val="0"/>
          <w:divBdr>
            <w:top w:val="none" w:sz="0" w:space="0" w:color="auto"/>
            <w:left w:val="none" w:sz="0" w:space="0" w:color="auto"/>
            <w:bottom w:val="none" w:sz="0" w:space="0" w:color="auto"/>
            <w:right w:val="none" w:sz="0" w:space="0" w:color="auto"/>
          </w:divBdr>
          <w:divsChild>
            <w:div w:id="1715041857">
              <w:marLeft w:val="0"/>
              <w:marRight w:val="0"/>
              <w:marTop w:val="0"/>
              <w:marBottom w:val="0"/>
              <w:divBdr>
                <w:top w:val="none" w:sz="0" w:space="0" w:color="auto"/>
                <w:left w:val="none" w:sz="0" w:space="0" w:color="auto"/>
                <w:bottom w:val="none" w:sz="0" w:space="0" w:color="auto"/>
                <w:right w:val="none" w:sz="0" w:space="0" w:color="auto"/>
              </w:divBdr>
              <w:divsChild>
                <w:div w:id="4155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30053">
      <w:bodyDiv w:val="1"/>
      <w:marLeft w:val="0"/>
      <w:marRight w:val="0"/>
      <w:marTop w:val="0"/>
      <w:marBottom w:val="0"/>
      <w:divBdr>
        <w:top w:val="none" w:sz="0" w:space="0" w:color="auto"/>
        <w:left w:val="none" w:sz="0" w:space="0" w:color="auto"/>
        <w:bottom w:val="none" w:sz="0" w:space="0" w:color="auto"/>
        <w:right w:val="none" w:sz="0" w:space="0" w:color="auto"/>
      </w:divBdr>
    </w:div>
    <w:div w:id="817769327">
      <w:bodyDiv w:val="1"/>
      <w:marLeft w:val="0"/>
      <w:marRight w:val="0"/>
      <w:marTop w:val="0"/>
      <w:marBottom w:val="0"/>
      <w:divBdr>
        <w:top w:val="none" w:sz="0" w:space="0" w:color="auto"/>
        <w:left w:val="none" w:sz="0" w:space="0" w:color="auto"/>
        <w:bottom w:val="none" w:sz="0" w:space="0" w:color="auto"/>
        <w:right w:val="none" w:sz="0" w:space="0" w:color="auto"/>
      </w:divBdr>
      <w:divsChild>
        <w:div w:id="317417754">
          <w:marLeft w:val="0"/>
          <w:marRight w:val="0"/>
          <w:marTop w:val="0"/>
          <w:marBottom w:val="0"/>
          <w:divBdr>
            <w:top w:val="none" w:sz="0" w:space="0" w:color="auto"/>
            <w:left w:val="none" w:sz="0" w:space="0" w:color="auto"/>
            <w:bottom w:val="none" w:sz="0" w:space="0" w:color="auto"/>
            <w:right w:val="none" w:sz="0" w:space="0" w:color="auto"/>
          </w:divBdr>
          <w:divsChild>
            <w:div w:id="436563949">
              <w:marLeft w:val="0"/>
              <w:marRight w:val="0"/>
              <w:marTop w:val="0"/>
              <w:marBottom w:val="0"/>
              <w:divBdr>
                <w:top w:val="none" w:sz="0" w:space="0" w:color="auto"/>
                <w:left w:val="none" w:sz="0" w:space="0" w:color="auto"/>
                <w:bottom w:val="none" w:sz="0" w:space="0" w:color="auto"/>
                <w:right w:val="none" w:sz="0" w:space="0" w:color="auto"/>
              </w:divBdr>
              <w:divsChild>
                <w:div w:id="16118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323">
      <w:bodyDiv w:val="1"/>
      <w:marLeft w:val="0"/>
      <w:marRight w:val="0"/>
      <w:marTop w:val="0"/>
      <w:marBottom w:val="0"/>
      <w:divBdr>
        <w:top w:val="none" w:sz="0" w:space="0" w:color="auto"/>
        <w:left w:val="none" w:sz="0" w:space="0" w:color="auto"/>
        <w:bottom w:val="none" w:sz="0" w:space="0" w:color="auto"/>
        <w:right w:val="none" w:sz="0" w:space="0" w:color="auto"/>
      </w:divBdr>
      <w:divsChild>
        <w:div w:id="772558097">
          <w:marLeft w:val="0"/>
          <w:marRight w:val="0"/>
          <w:marTop w:val="0"/>
          <w:marBottom w:val="0"/>
          <w:divBdr>
            <w:top w:val="none" w:sz="0" w:space="0" w:color="auto"/>
            <w:left w:val="none" w:sz="0" w:space="0" w:color="auto"/>
            <w:bottom w:val="none" w:sz="0" w:space="0" w:color="auto"/>
            <w:right w:val="none" w:sz="0" w:space="0" w:color="auto"/>
          </w:divBdr>
          <w:divsChild>
            <w:div w:id="475494823">
              <w:marLeft w:val="0"/>
              <w:marRight w:val="0"/>
              <w:marTop w:val="0"/>
              <w:marBottom w:val="0"/>
              <w:divBdr>
                <w:top w:val="none" w:sz="0" w:space="0" w:color="auto"/>
                <w:left w:val="none" w:sz="0" w:space="0" w:color="auto"/>
                <w:bottom w:val="none" w:sz="0" w:space="0" w:color="auto"/>
                <w:right w:val="none" w:sz="0" w:space="0" w:color="auto"/>
              </w:divBdr>
              <w:divsChild>
                <w:div w:id="14118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44721">
      <w:bodyDiv w:val="1"/>
      <w:marLeft w:val="0"/>
      <w:marRight w:val="0"/>
      <w:marTop w:val="0"/>
      <w:marBottom w:val="0"/>
      <w:divBdr>
        <w:top w:val="none" w:sz="0" w:space="0" w:color="auto"/>
        <w:left w:val="none" w:sz="0" w:space="0" w:color="auto"/>
        <w:bottom w:val="none" w:sz="0" w:space="0" w:color="auto"/>
        <w:right w:val="none" w:sz="0" w:space="0" w:color="auto"/>
      </w:divBdr>
    </w:div>
    <w:div w:id="870260382">
      <w:bodyDiv w:val="1"/>
      <w:marLeft w:val="0"/>
      <w:marRight w:val="0"/>
      <w:marTop w:val="0"/>
      <w:marBottom w:val="0"/>
      <w:divBdr>
        <w:top w:val="none" w:sz="0" w:space="0" w:color="auto"/>
        <w:left w:val="none" w:sz="0" w:space="0" w:color="auto"/>
        <w:bottom w:val="none" w:sz="0" w:space="0" w:color="auto"/>
        <w:right w:val="none" w:sz="0" w:space="0" w:color="auto"/>
      </w:divBdr>
      <w:divsChild>
        <w:div w:id="1031344104">
          <w:marLeft w:val="0"/>
          <w:marRight w:val="0"/>
          <w:marTop w:val="0"/>
          <w:marBottom w:val="0"/>
          <w:divBdr>
            <w:top w:val="none" w:sz="0" w:space="0" w:color="auto"/>
            <w:left w:val="none" w:sz="0" w:space="0" w:color="auto"/>
            <w:bottom w:val="none" w:sz="0" w:space="0" w:color="auto"/>
            <w:right w:val="none" w:sz="0" w:space="0" w:color="auto"/>
          </w:divBdr>
          <w:divsChild>
            <w:div w:id="1625648441">
              <w:marLeft w:val="0"/>
              <w:marRight w:val="0"/>
              <w:marTop w:val="0"/>
              <w:marBottom w:val="0"/>
              <w:divBdr>
                <w:top w:val="none" w:sz="0" w:space="0" w:color="auto"/>
                <w:left w:val="none" w:sz="0" w:space="0" w:color="auto"/>
                <w:bottom w:val="none" w:sz="0" w:space="0" w:color="auto"/>
                <w:right w:val="none" w:sz="0" w:space="0" w:color="auto"/>
              </w:divBdr>
              <w:divsChild>
                <w:div w:id="10787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787">
      <w:bodyDiv w:val="1"/>
      <w:marLeft w:val="0"/>
      <w:marRight w:val="0"/>
      <w:marTop w:val="0"/>
      <w:marBottom w:val="0"/>
      <w:divBdr>
        <w:top w:val="none" w:sz="0" w:space="0" w:color="auto"/>
        <w:left w:val="none" w:sz="0" w:space="0" w:color="auto"/>
        <w:bottom w:val="none" w:sz="0" w:space="0" w:color="auto"/>
        <w:right w:val="none" w:sz="0" w:space="0" w:color="auto"/>
      </w:divBdr>
      <w:divsChild>
        <w:div w:id="968516539">
          <w:marLeft w:val="0"/>
          <w:marRight w:val="0"/>
          <w:marTop w:val="0"/>
          <w:marBottom w:val="0"/>
          <w:divBdr>
            <w:top w:val="none" w:sz="0" w:space="0" w:color="auto"/>
            <w:left w:val="none" w:sz="0" w:space="0" w:color="auto"/>
            <w:bottom w:val="none" w:sz="0" w:space="0" w:color="auto"/>
            <w:right w:val="none" w:sz="0" w:space="0" w:color="auto"/>
          </w:divBdr>
          <w:divsChild>
            <w:div w:id="618797880">
              <w:marLeft w:val="0"/>
              <w:marRight w:val="0"/>
              <w:marTop w:val="0"/>
              <w:marBottom w:val="0"/>
              <w:divBdr>
                <w:top w:val="none" w:sz="0" w:space="0" w:color="auto"/>
                <w:left w:val="none" w:sz="0" w:space="0" w:color="auto"/>
                <w:bottom w:val="none" w:sz="0" w:space="0" w:color="auto"/>
                <w:right w:val="none" w:sz="0" w:space="0" w:color="auto"/>
              </w:divBdr>
              <w:divsChild>
                <w:div w:id="17094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9778">
      <w:bodyDiv w:val="1"/>
      <w:marLeft w:val="0"/>
      <w:marRight w:val="0"/>
      <w:marTop w:val="0"/>
      <w:marBottom w:val="0"/>
      <w:divBdr>
        <w:top w:val="none" w:sz="0" w:space="0" w:color="auto"/>
        <w:left w:val="none" w:sz="0" w:space="0" w:color="auto"/>
        <w:bottom w:val="none" w:sz="0" w:space="0" w:color="auto"/>
        <w:right w:val="none" w:sz="0" w:space="0" w:color="auto"/>
      </w:divBdr>
    </w:div>
    <w:div w:id="923028456">
      <w:bodyDiv w:val="1"/>
      <w:marLeft w:val="0"/>
      <w:marRight w:val="0"/>
      <w:marTop w:val="0"/>
      <w:marBottom w:val="0"/>
      <w:divBdr>
        <w:top w:val="none" w:sz="0" w:space="0" w:color="auto"/>
        <w:left w:val="none" w:sz="0" w:space="0" w:color="auto"/>
        <w:bottom w:val="none" w:sz="0" w:space="0" w:color="auto"/>
        <w:right w:val="none" w:sz="0" w:space="0" w:color="auto"/>
      </w:divBdr>
    </w:div>
    <w:div w:id="940265327">
      <w:bodyDiv w:val="1"/>
      <w:marLeft w:val="0"/>
      <w:marRight w:val="0"/>
      <w:marTop w:val="0"/>
      <w:marBottom w:val="0"/>
      <w:divBdr>
        <w:top w:val="none" w:sz="0" w:space="0" w:color="auto"/>
        <w:left w:val="none" w:sz="0" w:space="0" w:color="auto"/>
        <w:bottom w:val="none" w:sz="0" w:space="0" w:color="auto"/>
        <w:right w:val="none" w:sz="0" w:space="0" w:color="auto"/>
      </w:divBdr>
    </w:div>
    <w:div w:id="959263116">
      <w:bodyDiv w:val="1"/>
      <w:marLeft w:val="0"/>
      <w:marRight w:val="0"/>
      <w:marTop w:val="0"/>
      <w:marBottom w:val="0"/>
      <w:divBdr>
        <w:top w:val="none" w:sz="0" w:space="0" w:color="auto"/>
        <w:left w:val="none" w:sz="0" w:space="0" w:color="auto"/>
        <w:bottom w:val="none" w:sz="0" w:space="0" w:color="auto"/>
        <w:right w:val="none" w:sz="0" w:space="0" w:color="auto"/>
      </w:divBdr>
    </w:div>
    <w:div w:id="1006522222">
      <w:bodyDiv w:val="1"/>
      <w:marLeft w:val="0"/>
      <w:marRight w:val="0"/>
      <w:marTop w:val="0"/>
      <w:marBottom w:val="0"/>
      <w:divBdr>
        <w:top w:val="none" w:sz="0" w:space="0" w:color="auto"/>
        <w:left w:val="none" w:sz="0" w:space="0" w:color="auto"/>
        <w:bottom w:val="none" w:sz="0" w:space="0" w:color="auto"/>
        <w:right w:val="none" w:sz="0" w:space="0" w:color="auto"/>
      </w:divBdr>
    </w:div>
    <w:div w:id="1038892624">
      <w:bodyDiv w:val="1"/>
      <w:marLeft w:val="0"/>
      <w:marRight w:val="0"/>
      <w:marTop w:val="0"/>
      <w:marBottom w:val="0"/>
      <w:divBdr>
        <w:top w:val="none" w:sz="0" w:space="0" w:color="auto"/>
        <w:left w:val="none" w:sz="0" w:space="0" w:color="auto"/>
        <w:bottom w:val="none" w:sz="0" w:space="0" w:color="auto"/>
        <w:right w:val="none" w:sz="0" w:space="0" w:color="auto"/>
      </w:divBdr>
    </w:div>
    <w:div w:id="1048913952">
      <w:bodyDiv w:val="1"/>
      <w:marLeft w:val="0"/>
      <w:marRight w:val="0"/>
      <w:marTop w:val="0"/>
      <w:marBottom w:val="0"/>
      <w:divBdr>
        <w:top w:val="none" w:sz="0" w:space="0" w:color="auto"/>
        <w:left w:val="none" w:sz="0" w:space="0" w:color="auto"/>
        <w:bottom w:val="none" w:sz="0" w:space="0" w:color="auto"/>
        <w:right w:val="none" w:sz="0" w:space="0" w:color="auto"/>
      </w:divBdr>
    </w:div>
    <w:div w:id="1058355067">
      <w:bodyDiv w:val="1"/>
      <w:marLeft w:val="0"/>
      <w:marRight w:val="0"/>
      <w:marTop w:val="0"/>
      <w:marBottom w:val="0"/>
      <w:divBdr>
        <w:top w:val="none" w:sz="0" w:space="0" w:color="auto"/>
        <w:left w:val="none" w:sz="0" w:space="0" w:color="auto"/>
        <w:bottom w:val="none" w:sz="0" w:space="0" w:color="auto"/>
        <w:right w:val="none" w:sz="0" w:space="0" w:color="auto"/>
      </w:divBdr>
      <w:divsChild>
        <w:div w:id="1384448759">
          <w:marLeft w:val="480"/>
          <w:marRight w:val="0"/>
          <w:marTop w:val="0"/>
          <w:marBottom w:val="0"/>
          <w:divBdr>
            <w:top w:val="none" w:sz="0" w:space="0" w:color="auto"/>
            <w:left w:val="none" w:sz="0" w:space="0" w:color="auto"/>
            <w:bottom w:val="none" w:sz="0" w:space="0" w:color="auto"/>
            <w:right w:val="none" w:sz="0" w:space="0" w:color="auto"/>
          </w:divBdr>
          <w:divsChild>
            <w:div w:id="2098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5441">
      <w:bodyDiv w:val="1"/>
      <w:marLeft w:val="0"/>
      <w:marRight w:val="0"/>
      <w:marTop w:val="0"/>
      <w:marBottom w:val="0"/>
      <w:divBdr>
        <w:top w:val="none" w:sz="0" w:space="0" w:color="auto"/>
        <w:left w:val="none" w:sz="0" w:space="0" w:color="auto"/>
        <w:bottom w:val="none" w:sz="0" w:space="0" w:color="auto"/>
        <w:right w:val="none" w:sz="0" w:space="0" w:color="auto"/>
      </w:divBdr>
      <w:divsChild>
        <w:div w:id="1145467533">
          <w:marLeft w:val="0"/>
          <w:marRight w:val="0"/>
          <w:marTop w:val="0"/>
          <w:marBottom w:val="0"/>
          <w:divBdr>
            <w:top w:val="none" w:sz="0" w:space="0" w:color="auto"/>
            <w:left w:val="none" w:sz="0" w:space="0" w:color="auto"/>
            <w:bottom w:val="none" w:sz="0" w:space="0" w:color="auto"/>
            <w:right w:val="none" w:sz="0" w:space="0" w:color="auto"/>
          </w:divBdr>
          <w:divsChild>
            <w:div w:id="1564439465">
              <w:marLeft w:val="0"/>
              <w:marRight w:val="0"/>
              <w:marTop w:val="0"/>
              <w:marBottom w:val="0"/>
              <w:divBdr>
                <w:top w:val="none" w:sz="0" w:space="0" w:color="auto"/>
                <w:left w:val="none" w:sz="0" w:space="0" w:color="auto"/>
                <w:bottom w:val="none" w:sz="0" w:space="0" w:color="auto"/>
                <w:right w:val="none" w:sz="0" w:space="0" w:color="auto"/>
              </w:divBdr>
              <w:divsChild>
                <w:div w:id="2136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80151">
      <w:bodyDiv w:val="1"/>
      <w:marLeft w:val="0"/>
      <w:marRight w:val="0"/>
      <w:marTop w:val="0"/>
      <w:marBottom w:val="0"/>
      <w:divBdr>
        <w:top w:val="none" w:sz="0" w:space="0" w:color="auto"/>
        <w:left w:val="none" w:sz="0" w:space="0" w:color="auto"/>
        <w:bottom w:val="none" w:sz="0" w:space="0" w:color="auto"/>
        <w:right w:val="none" w:sz="0" w:space="0" w:color="auto"/>
      </w:divBdr>
    </w:div>
    <w:div w:id="1087652369">
      <w:bodyDiv w:val="1"/>
      <w:marLeft w:val="0"/>
      <w:marRight w:val="0"/>
      <w:marTop w:val="0"/>
      <w:marBottom w:val="0"/>
      <w:divBdr>
        <w:top w:val="none" w:sz="0" w:space="0" w:color="auto"/>
        <w:left w:val="none" w:sz="0" w:space="0" w:color="auto"/>
        <w:bottom w:val="none" w:sz="0" w:space="0" w:color="auto"/>
        <w:right w:val="none" w:sz="0" w:space="0" w:color="auto"/>
      </w:divBdr>
    </w:div>
    <w:div w:id="1122378013">
      <w:bodyDiv w:val="1"/>
      <w:marLeft w:val="0"/>
      <w:marRight w:val="0"/>
      <w:marTop w:val="0"/>
      <w:marBottom w:val="0"/>
      <w:divBdr>
        <w:top w:val="none" w:sz="0" w:space="0" w:color="auto"/>
        <w:left w:val="none" w:sz="0" w:space="0" w:color="auto"/>
        <w:bottom w:val="none" w:sz="0" w:space="0" w:color="auto"/>
        <w:right w:val="none" w:sz="0" w:space="0" w:color="auto"/>
      </w:divBdr>
      <w:divsChild>
        <w:div w:id="1652516576">
          <w:marLeft w:val="0"/>
          <w:marRight w:val="0"/>
          <w:marTop w:val="0"/>
          <w:marBottom w:val="0"/>
          <w:divBdr>
            <w:top w:val="none" w:sz="0" w:space="0" w:color="auto"/>
            <w:left w:val="none" w:sz="0" w:space="0" w:color="auto"/>
            <w:bottom w:val="none" w:sz="0" w:space="0" w:color="auto"/>
            <w:right w:val="none" w:sz="0" w:space="0" w:color="auto"/>
          </w:divBdr>
          <w:divsChild>
            <w:div w:id="1857185495">
              <w:marLeft w:val="0"/>
              <w:marRight w:val="0"/>
              <w:marTop w:val="0"/>
              <w:marBottom w:val="0"/>
              <w:divBdr>
                <w:top w:val="none" w:sz="0" w:space="0" w:color="auto"/>
                <w:left w:val="none" w:sz="0" w:space="0" w:color="auto"/>
                <w:bottom w:val="none" w:sz="0" w:space="0" w:color="auto"/>
                <w:right w:val="none" w:sz="0" w:space="0" w:color="auto"/>
              </w:divBdr>
              <w:divsChild>
                <w:div w:id="5206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19638">
      <w:bodyDiv w:val="1"/>
      <w:marLeft w:val="0"/>
      <w:marRight w:val="0"/>
      <w:marTop w:val="0"/>
      <w:marBottom w:val="0"/>
      <w:divBdr>
        <w:top w:val="none" w:sz="0" w:space="0" w:color="auto"/>
        <w:left w:val="none" w:sz="0" w:space="0" w:color="auto"/>
        <w:bottom w:val="none" w:sz="0" w:space="0" w:color="auto"/>
        <w:right w:val="none" w:sz="0" w:space="0" w:color="auto"/>
      </w:divBdr>
      <w:divsChild>
        <w:div w:id="1228610073">
          <w:marLeft w:val="0"/>
          <w:marRight w:val="0"/>
          <w:marTop w:val="0"/>
          <w:marBottom w:val="0"/>
          <w:divBdr>
            <w:top w:val="none" w:sz="0" w:space="0" w:color="auto"/>
            <w:left w:val="none" w:sz="0" w:space="0" w:color="auto"/>
            <w:bottom w:val="none" w:sz="0" w:space="0" w:color="auto"/>
            <w:right w:val="none" w:sz="0" w:space="0" w:color="auto"/>
          </w:divBdr>
          <w:divsChild>
            <w:div w:id="673841381">
              <w:marLeft w:val="0"/>
              <w:marRight w:val="0"/>
              <w:marTop w:val="0"/>
              <w:marBottom w:val="0"/>
              <w:divBdr>
                <w:top w:val="none" w:sz="0" w:space="0" w:color="auto"/>
                <w:left w:val="none" w:sz="0" w:space="0" w:color="auto"/>
                <w:bottom w:val="none" w:sz="0" w:space="0" w:color="auto"/>
                <w:right w:val="none" w:sz="0" w:space="0" w:color="auto"/>
              </w:divBdr>
              <w:divsChild>
                <w:div w:id="12847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4324">
      <w:bodyDiv w:val="1"/>
      <w:marLeft w:val="0"/>
      <w:marRight w:val="0"/>
      <w:marTop w:val="0"/>
      <w:marBottom w:val="0"/>
      <w:divBdr>
        <w:top w:val="none" w:sz="0" w:space="0" w:color="auto"/>
        <w:left w:val="none" w:sz="0" w:space="0" w:color="auto"/>
        <w:bottom w:val="none" w:sz="0" w:space="0" w:color="auto"/>
        <w:right w:val="none" w:sz="0" w:space="0" w:color="auto"/>
      </w:divBdr>
      <w:divsChild>
        <w:div w:id="1660574902">
          <w:marLeft w:val="0"/>
          <w:marRight w:val="0"/>
          <w:marTop w:val="0"/>
          <w:marBottom w:val="0"/>
          <w:divBdr>
            <w:top w:val="none" w:sz="0" w:space="0" w:color="auto"/>
            <w:left w:val="none" w:sz="0" w:space="0" w:color="auto"/>
            <w:bottom w:val="none" w:sz="0" w:space="0" w:color="auto"/>
            <w:right w:val="none" w:sz="0" w:space="0" w:color="auto"/>
          </w:divBdr>
          <w:divsChild>
            <w:div w:id="555750117">
              <w:marLeft w:val="0"/>
              <w:marRight w:val="0"/>
              <w:marTop w:val="0"/>
              <w:marBottom w:val="0"/>
              <w:divBdr>
                <w:top w:val="none" w:sz="0" w:space="0" w:color="auto"/>
                <w:left w:val="none" w:sz="0" w:space="0" w:color="auto"/>
                <w:bottom w:val="none" w:sz="0" w:space="0" w:color="auto"/>
                <w:right w:val="none" w:sz="0" w:space="0" w:color="auto"/>
              </w:divBdr>
              <w:divsChild>
                <w:div w:id="2814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370">
      <w:bodyDiv w:val="1"/>
      <w:marLeft w:val="0"/>
      <w:marRight w:val="0"/>
      <w:marTop w:val="0"/>
      <w:marBottom w:val="0"/>
      <w:divBdr>
        <w:top w:val="none" w:sz="0" w:space="0" w:color="auto"/>
        <w:left w:val="none" w:sz="0" w:space="0" w:color="auto"/>
        <w:bottom w:val="none" w:sz="0" w:space="0" w:color="auto"/>
        <w:right w:val="none" w:sz="0" w:space="0" w:color="auto"/>
      </w:divBdr>
    </w:div>
    <w:div w:id="1298536000">
      <w:bodyDiv w:val="1"/>
      <w:marLeft w:val="0"/>
      <w:marRight w:val="0"/>
      <w:marTop w:val="0"/>
      <w:marBottom w:val="0"/>
      <w:divBdr>
        <w:top w:val="none" w:sz="0" w:space="0" w:color="auto"/>
        <w:left w:val="none" w:sz="0" w:space="0" w:color="auto"/>
        <w:bottom w:val="none" w:sz="0" w:space="0" w:color="auto"/>
        <w:right w:val="none" w:sz="0" w:space="0" w:color="auto"/>
      </w:divBdr>
      <w:divsChild>
        <w:div w:id="1672682934">
          <w:marLeft w:val="0"/>
          <w:marRight w:val="0"/>
          <w:marTop w:val="0"/>
          <w:marBottom w:val="0"/>
          <w:divBdr>
            <w:top w:val="none" w:sz="0" w:space="0" w:color="auto"/>
            <w:left w:val="none" w:sz="0" w:space="0" w:color="auto"/>
            <w:bottom w:val="none" w:sz="0" w:space="0" w:color="auto"/>
            <w:right w:val="none" w:sz="0" w:space="0" w:color="auto"/>
          </w:divBdr>
          <w:divsChild>
            <w:div w:id="828253516">
              <w:marLeft w:val="0"/>
              <w:marRight w:val="0"/>
              <w:marTop w:val="0"/>
              <w:marBottom w:val="0"/>
              <w:divBdr>
                <w:top w:val="none" w:sz="0" w:space="0" w:color="auto"/>
                <w:left w:val="none" w:sz="0" w:space="0" w:color="auto"/>
                <w:bottom w:val="none" w:sz="0" w:space="0" w:color="auto"/>
                <w:right w:val="none" w:sz="0" w:space="0" w:color="auto"/>
              </w:divBdr>
              <w:divsChild>
                <w:div w:id="71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4584">
      <w:bodyDiv w:val="1"/>
      <w:marLeft w:val="0"/>
      <w:marRight w:val="0"/>
      <w:marTop w:val="0"/>
      <w:marBottom w:val="0"/>
      <w:divBdr>
        <w:top w:val="none" w:sz="0" w:space="0" w:color="auto"/>
        <w:left w:val="none" w:sz="0" w:space="0" w:color="auto"/>
        <w:bottom w:val="none" w:sz="0" w:space="0" w:color="auto"/>
        <w:right w:val="none" w:sz="0" w:space="0" w:color="auto"/>
      </w:divBdr>
    </w:div>
    <w:div w:id="1330866253">
      <w:bodyDiv w:val="1"/>
      <w:marLeft w:val="0"/>
      <w:marRight w:val="0"/>
      <w:marTop w:val="0"/>
      <w:marBottom w:val="0"/>
      <w:divBdr>
        <w:top w:val="none" w:sz="0" w:space="0" w:color="auto"/>
        <w:left w:val="none" w:sz="0" w:space="0" w:color="auto"/>
        <w:bottom w:val="none" w:sz="0" w:space="0" w:color="auto"/>
        <w:right w:val="none" w:sz="0" w:space="0" w:color="auto"/>
      </w:divBdr>
    </w:div>
    <w:div w:id="1378820052">
      <w:bodyDiv w:val="1"/>
      <w:marLeft w:val="0"/>
      <w:marRight w:val="0"/>
      <w:marTop w:val="0"/>
      <w:marBottom w:val="0"/>
      <w:divBdr>
        <w:top w:val="none" w:sz="0" w:space="0" w:color="auto"/>
        <w:left w:val="none" w:sz="0" w:space="0" w:color="auto"/>
        <w:bottom w:val="none" w:sz="0" w:space="0" w:color="auto"/>
        <w:right w:val="none" w:sz="0" w:space="0" w:color="auto"/>
      </w:divBdr>
    </w:div>
    <w:div w:id="1404716079">
      <w:bodyDiv w:val="1"/>
      <w:marLeft w:val="0"/>
      <w:marRight w:val="0"/>
      <w:marTop w:val="0"/>
      <w:marBottom w:val="0"/>
      <w:divBdr>
        <w:top w:val="none" w:sz="0" w:space="0" w:color="auto"/>
        <w:left w:val="none" w:sz="0" w:space="0" w:color="auto"/>
        <w:bottom w:val="none" w:sz="0" w:space="0" w:color="auto"/>
        <w:right w:val="none" w:sz="0" w:space="0" w:color="auto"/>
      </w:divBdr>
    </w:div>
    <w:div w:id="1409691771">
      <w:bodyDiv w:val="1"/>
      <w:marLeft w:val="0"/>
      <w:marRight w:val="0"/>
      <w:marTop w:val="0"/>
      <w:marBottom w:val="0"/>
      <w:divBdr>
        <w:top w:val="none" w:sz="0" w:space="0" w:color="auto"/>
        <w:left w:val="none" w:sz="0" w:space="0" w:color="auto"/>
        <w:bottom w:val="none" w:sz="0" w:space="0" w:color="auto"/>
        <w:right w:val="none" w:sz="0" w:space="0" w:color="auto"/>
      </w:divBdr>
      <w:divsChild>
        <w:div w:id="720517426">
          <w:marLeft w:val="0"/>
          <w:marRight w:val="0"/>
          <w:marTop w:val="0"/>
          <w:marBottom w:val="0"/>
          <w:divBdr>
            <w:top w:val="none" w:sz="0" w:space="0" w:color="auto"/>
            <w:left w:val="none" w:sz="0" w:space="0" w:color="auto"/>
            <w:bottom w:val="none" w:sz="0" w:space="0" w:color="auto"/>
            <w:right w:val="none" w:sz="0" w:space="0" w:color="auto"/>
          </w:divBdr>
          <w:divsChild>
            <w:div w:id="1965844465">
              <w:marLeft w:val="0"/>
              <w:marRight w:val="0"/>
              <w:marTop w:val="0"/>
              <w:marBottom w:val="0"/>
              <w:divBdr>
                <w:top w:val="none" w:sz="0" w:space="0" w:color="auto"/>
                <w:left w:val="none" w:sz="0" w:space="0" w:color="auto"/>
                <w:bottom w:val="none" w:sz="0" w:space="0" w:color="auto"/>
                <w:right w:val="none" w:sz="0" w:space="0" w:color="auto"/>
              </w:divBdr>
              <w:divsChild>
                <w:div w:id="5678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3325">
      <w:bodyDiv w:val="1"/>
      <w:marLeft w:val="0"/>
      <w:marRight w:val="0"/>
      <w:marTop w:val="0"/>
      <w:marBottom w:val="0"/>
      <w:divBdr>
        <w:top w:val="none" w:sz="0" w:space="0" w:color="auto"/>
        <w:left w:val="none" w:sz="0" w:space="0" w:color="auto"/>
        <w:bottom w:val="none" w:sz="0" w:space="0" w:color="auto"/>
        <w:right w:val="none" w:sz="0" w:space="0" w:color="auto"/>
      </w:divBdr>
      <w:divsChild>
        <w:div w:id="2075085241">
          <w:marLeft w:val="0"/>
          <w:marRight w:val="0"/>
          <w:marTop w:val="0"/>
          <w:marBottom w:val="0"/>
          <w:divBdr>
            <w:top w:val="none" w:sz="0" w:space="0" w:color="auto"/>
            <w:left w:val="none" w:sz="0" w:space="0" w:color="auto"/>
            <w:bottom w:val="none" w:sz="0" w:space="0" w:color="auto"/>
            <w:right w:val="none" w:sz="0" w:space="0" w:color="auto"/>
          </w:divBdr>
          <w:divsChild>
            <w:div w:id="914508935">
              <w:marLeft w:val="0"/>
              <w:marRight w:val="0"/>
              <w:marTop w:val="0"/>
              <w:marBottom w:val="0"/>
              <w:divBdr>
                <w:top w:val="none" w:sz="0" w:space="0" w:color="auto"/>
                <w:left w:val="none" w:sz="0" w:space="0" w:color="auto"/>
                <w:bottom w:val="none" w:sz="0" w:space="0" w:color="auto"/>
                <w:right w:val="none" w:sz="0" w:space="0" w:color="auto"/>
              </w:divBdr>
              <w:divsChild>
                <w:div w:id="11152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77704">
      <w:bodyDiv w:val="1"/>
      <w:marLeft w:val="0"/>
      <w:marRight w:val="0"/>
      <w:marTop w:val="0"/>
      <w:marBottom w:val="0"/>
      <w:divBdr>
        <w:top w:val="none" w:sz="0" w:space="0" w:color="auto"/>
        <w:left w:val="none" w:sz="0" w:space="0" w:color="auto"/>
        <w:bottom w:val="none" w:sz="0" w:space="0" w:color="auto"/>
        <w:right w:val="none" w:sz="0" w:space="0" w:color="auto"/>
      </w:divBdr>
      <w:divsChild>
        <w:div w:id="2099862810">
          <w:marLeft w:val="0"/>
          <w:marRight w:val="0"/>
          <w:marTop w:val="0"/>
          <w:marBottom w:val="0"/>
          <w:divBdr>
            <w:top w:val="none" w:sz="0" w:space="0" w:color="auto"/>
            <w:left w:val="none" w:sz="0" w:space="0" w:color="auto"/>
            <w:bottom w:val="none" w:sz="0" w:space="0" w:color="auto"/>
            <w:right w:val="none" w:sz="0" w:space="0" w:color="auto"/>
          </w:divBdr>
          <w:divsChild>
            <w:div w:id="909659752">
              <w:marLeft w:val="0"/>
              <w:marRight w:val="0"/>
              <w:marTop w:val="0"/>
              <w:marBottom w:val="0"/>
              <w:divBdr>
                <w:top w:val="none" w:sz="0" w:space="0" w:color="auto"/>
                <w:left w:val="none" w:sz="0" w:space="0" w:color="auto"/>
                <w:bottom w:val="none" w:sz="0" w:space="0" w:color="auto"/>
                <w:right w:val="none" w:sz="0" w:space="0" w:color="auto"/>
              </w:divBdr>
              <w:divsChild>
                <w:div w:id="15158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3742">
      <w:bodyDiv w:val="1"/>
      <w:marLeft w:val="0"/>
      <w:marRight w:val="0"/>
      <w:marTop w:val="0"/>
      <w:marBottom w:val="0"/>
      <w:divBdr>
        <w:top w:val="none" w:sz="0" w:space="0" w:color="auto"/>
        <w:left w:val="none" w:sz="0" w:space="0" w:color="auto"/>
        <w:bottom w:val="none" w:sz="0" w:space="0" w:color="auto"/>
        <w:right w:val="none" w:sz="0" w:space="0" w:color="auto"/>
      </w:divBdr>
      <w:divsChild>
        <w:div w:id="1967419809">
          <w:marLeft w:val="0"/>
          <w:marRight w:val="0"/>
          <w:marTop w:val="0"/>
          <w:marBottom w:val="0"/>
          <w:divBdr>
            <w:top w:val="none" w:sz="0" w:space="0" w:color="auto"/>
            <w:left w:val="none" w:sz="0" w:space="0" w:color="auto"/>
            <w:bottom w:val="none" w:sz="0" w:space="0" w:color="auto"/>
            <w:right w:val="none" w:sz="0" w:space="0" w:color="auto"/>
          </w:divBdr>
          <w:divsChild>
            <w:div w:id="611399473">
              <w:marLeft w:val="0"/>
              <w:marRight w:val="0"/>
              <w:marTop w:val="0"/>
              <w:marBottom w:val="0"/>
              <w:divBdr>
                <w:top w:val="none" w:sz="0" w:space="0" w:color="auto"/>
                <w:left w:val="none" w:sz="0" w:space="0" w:color="auto"/>
                <w:bottom w:val="none" w:sz="0" w:space="0" w:color="auto"/>
                <w:right w:val="none" w:sz="0" w:space="0" w:color="auto"/>
              </w:divBdr>
              <w:divsChild>
                <w:div w:id="472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9319">
      <w:bodyDiv w:val="1"/>
      <w:marLeft w:val="0"/>
      <w:marRight w:val="0"/>
      <w:marTop w:val="0"/>
      <w:marBottom w:val="0"/>
      <w:divBdr>
        <w:top w:val="none" w:sz="0" w:space="0" w:color="auto"/>
        <w:left w:val="none" w:sz="0" w:space="0" w:color="auto"/>
        <w:bottom w:val="none" w:sz="0" w:space="0" w:color="auto"/>
        <w:right w:val="none" w:sz="0" w:space="0" w:color="auto"/>
      </w:divBdr>
    </w:div>
    <w:div w:id="1526091388">
      <w:bodyDiv w:val="1"/>
      <w:marLeft w:val="0"/>
      <w:marRight w:val="0"/>
      <w:marTop w:val="0"/>
      <w:marBottom w:val="0"/>
      <w:divBdr>
        <w:top w:val="none" w:sz="0" w:space="0" w:color="auto"/>
        <w:left w:val="none" w:sz="0" w:space="0" w:color="auto"/>
        <w:bottom w:val="none" w:sz="0" w:space="0" w:color="auto"/>
        <w:right w:val="none" w:sz="0" w:space="0" w:color="auto"/>
      </w:divBdr>
    </w:div>
    <w:div w:id="1557156420">
      <w:bodyDiv w:val="1"/>
      <w:marLeft w:val="0"/>
      <w:marRight w:val="0"/>
      <w:marTop w:val="0"/>
      <w:marBottom w:val="0"/>
      <w:divBdr>
        <w:top w:val="none" w:sz="0" w:space="0" w:color="auto"/>
        <w:left w:val="none" w:sz="0" w:space="0" w:color="auto"/>
        <w:bottom w:val="none" w:sz="0" w:space="0" w:color="auto"/>
        <w:right w:val="none" w:sz="0" w:space="0" w:color="auto"/>
      </w:divBdr>
      <w:divsChild>
        <w:div w:id="1779372469">
          <w:marLeft w:val="0"/>
          <w:marRight w:val="0"/>
          <w:marTop w:val="0"/>
          <w:marBottom w:val="0"/>
          <w:divBdr>
            <w:top w:val="none" w:sz="0" w:space="0" w:color="auto"/>
            <w:left w:val="none" w:sz="0" w:space="0" w:color="auto"/>
            <w:bottom w:val="none" w:sz="0" w:space="0" w:color="auto"/>
            <w:right w:val="none" w:sz="0" w:space="0" w:color="auto"/>
          </w:divBdr>
          <w:divsChild>
            <w:div w:id="2012642255">
              <w:marLeft w:val="0"/>
              <w:marRight w:val="0"/>
              <w:marTop w:val="0"/>
              <w:marBottom w:val="0"/>
              <w:divBdr>
                <w:top w:val="none" w:sz="0" w:space="0" w:color="auto"/>
                <w:left w:val="none" w:sz="0" w:space="0" w:color="auto"/>
                <w:bottom w:val="none" w:sz="0" w:space="0" w:color="auto"/>
                <w:right w:val="none" w:sz="0" w:space="0" w:color="auto"/>
              </w:divBdr>
              <w:divsChild>
                <w:div w:id="1353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5025">
      <w:bodyDiv w:val="1"/>
      <w:marLeft w:val="0"/>
      <w:marRight w:val="0"/>
      <w:marTop w:val="0"/>
      <w:marBottom w:val="0"/>
      <w:divBdr>
        <w:top w:val="none" w:sz="0" w:space="0" w:color="auto"/>
        <w:left w:val="none" w:sz="0" w:space="0" w:color="auto"/>
        <w:bottom w:val="none" w:sz="0" w:space="0" w:color="auto"/>
        <w:right w:val="none" w:sz="0" w:space="0" w:color="auto"/>
      </w:divBdr>
    </w:div>
    <w:div w:id="1578901730">
      <w:bodyDiv w:val="1"/>
      <w:marLeft w:val="0"/>
      <w:marRight w:val="0"/>
      <w:marTop w:val="0"/>
      <w:marBottom w:val="0"/>
      <w:divBdr>
        <w:top w:val="none" w:sz="0" w:space="0" w:color="auto"/>
        <w:left w:val="none" w:sz="0" w:space="0" w:color="auto"/>
        <w:bottom w:val="none" w:sz="0" w:space="0" w:color="auto"/>
        <w:right w:val="none" w:sz="0" w:space="0" w:color="auto"/>
      </w:divBdr>
      <w:divsChild>
        <w:div w:id="1552381669">
          <w:marLeft w:val="0"/>
          <w:marRight w:val="0"/>
          <w:marTop w:val="0"/>
          <w:marBottom w:val="0"/>
          <w:divBdr>
            <w:top w:val="none" w:sz="0" w:space="0" w:color="auto"/>
            <w:left w:val="none" w:sz="0" w:space="0" w:color="auto"/>
            <w:bottom w:val="none" w:sz="0" w:space="0" w:color="auto"/>
            <w:right w:val="none" w:sz="0" w:space="0" w:color="auto"/>
          </w:divBdr>
          <w:divsChild>
            <w:div w:id="1272125964">
              <w:marLeft w:val="0"/>
              <w:marRight w:val="0"/>
              <w:marTop w:val="0"/>
              <w:marBottom w:val="0"/>
              <w:divBdr>
                <w:top w:val="none" w:sz="0" w:space="0" w:color="auto"/>
                <w:left w:val="none" w:sz="0" w:space="0" w:color="auto"/>
                <w:bottom w:val="none" w:sz="0" w:space="0" w:color="auto"/>
                <w:right w:val="none" w:sz="0" w:space="0" w:color="auto"/>
              </w:divBdr>
              <w:divsChild>
                <w:div w:id="9170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6039">
      <w:bodyDiv w:val="1"/>
      <w:marLeft w:val="0"/>
      <w:marRight w:val="0"/>
      <w:marTop w:val="0"/>
      <w:marBottom w:val="0"/>
      <w:divBdr>
        <w:top w:val="none" w:sz="0" w:space="0" w:color="auto"/>
        <w:left w:val="none" w:sz="0" w:space="0" w:color="auto"/>
        <w:bottom w:val="none" w:sz="0" w:space="0" w:color="auto"/>
        <w:right w:val="none" w:sz="0" w:space="0" w:color="auto"/>
      </w:divBdr>
    </w:div>
    <w:div w:id="1606616311">
      <w:bodyDiv w:val="1"/>
      <w:marLeft w:val="0"/>
      <w:marRight w:val="0"/>
      <w:marTop w:val="0"/>
      <w:marBottom w:val="0"/>
      <w:divBdr>
        <w:top w:val="none" w:sz="0" w:space="0" w:color="auto"/>
        <w:left w:val="none" w:sz="0" w:space="0" w:color="auto"/>
        <w:bottom w:val="none" w:sz="0" w:space="0" w:color="auto"/>
        <w:right w:val="none" w:sz="0" w:space="0" w:color="auto"/>
      </w:divBdr>
    </w:div>
    <w:div w:id="1607737832">
      <w:bodyDiv w:val="1"/>
      <w:marLeft w:val="0"/>
      <w:marRight w:val="0"/>
      <w:marTop w:val="0"/>
      <w:marBottom w:val="0"/>
      <w:divBdr>
        <w:top w:val="none" w:sz="0" w:space="0" w:color="auto"/>
        <w:left w:val="none" w:sz="0" w:space="0" w:color="auto"/>
        <w:bottom w:val="none" w:sz="0" w:space="0" w:color="auto"/>
        <w:right w:val="none" w:sz="0" w:space="0" w:color="auto"/>
      </w:divBdr>
    </w:div>
    <w:div w:id="1615095265">
      <w:bodyDiv w:val="1"/>
      <w:marLeft w:val="0"/>
      <w:marRight w:val="0"/>
      <w:marTop w:val="0"/>
      <w:marBottom w:val="0"/>
      <w:divBdr>
        <w:top w:val="none" w:sz="0" w:space="0" w:color="auto"/>
        <w:left w:val="none" w:sz="0" w:space="0" w:color="auto"/>
        <w:bottom w:val="none" w:sz="0" w:space="0" w:color="auto"/>
        <w:right w:val="none" w:sz="0" w:space="0" w:color="auto"/>
      </w:divBdr>
    </w:div>
    <w:div w:id="1653212671">
      <w:bodyDiv w:val="1"/>
      <w:marLeft w:val="0"/>
      <w:marRight w:val="0"/>
      <w:marTop w:val="0"/>
      <w:marBottom w:val="0"/>
      <w:divBdr>
        <w:top w:val="none" w:sz="0" w:space="0" w:color="auto"/>
        <w:left w:val="none" w:sz="0" w:space="0" w:color="auto"/>
        <w:bottom w:val="none" w:sz="0" w:space="0" w:color="auto"/>
        <w:right w:val="none" w:sz="0" w:space="0" w:color="auto"/>
      </w:divBdr>
      <w:divsChild>
        <w:div w:id="137960492">
          <w:marLeft w:val="0"/>
          <w:marRight w:val="0"/>
          <w:marTop w:val="0"/>
          <w:marBottom w:val="0"/>
          <w:divBdr>
            <w:top w:val="none" w:sz="0" w:space="0" w:color="auto"/>
            <w:left w:val="none" w:sz="0" w:space="0" w:color="auto"/>
            <w:bottom w:val="none" w:sz="0" w:space="0" w:color="auto"/>
            <w:right w:val="none" w:sz="0" w:space="0" w:color="auto"/>
          </w:divBdr>
        </w:div>
      </w:divsChild>
    </w:div>
    <w:div w:id="1704092672">
      <w:bodyDiv w:val="1"/>
      <w:marLeft w:val="0"/>
      <w:marRight w:val="0"/>
      <w:marTop w:val="0"/>
      <w:marBottom w:val="0"/>
      <w:divBdr>
        <w:top w:val="none" w:sz="0" w:space="0" w:color="auto"/>
        <w:left w:val="none" w:sz="0" w:space="0" w:color="auto"/>
        <w:bottom w:val="none" w:sz="0" w:space="0" w:color="auto"/>
        <w:right w:val="none" w:sz="0" w:space="0" w:color="auto"/>
      </w:divBdr>
      <w:divsChild>
        <w:div w:id="669404131">
          <w:marLeft w:val="0"/>
          <w:marRight w:val="0"/>
          <w:marTop w:val="0"/>
          <w:marBottom w:val="0"/>
          <w:divBdr>
            <w:top w:val="none" w:sz="0" w:space="0" w:color="auto"/>
            <w:left w:val="none" w:sz="0" w:space="0" w:color="auto"/>
            <w:bottom w:val="none" w:sz="0" w:space="0" w:color="auto"/>
            <w:right w:val="none" w:sz="0" w:space="0" w:color="auto"/>
          </w:divBdr>
          <w:divsChild>
            <w:div w:id="101001487">
              <w:marLeft w:val="0"/>
              <w:marRight w:val="0"/>
              <w:marTop w:val="0"/>
              <w:marBottom w:val="0"/>
              <w:divBdr>
                <w:top w:val="none" w:sz="0" w:space="0" w:color="auto"/>
                <w:left w:val="none" w:sz="0" w:space="0" w:color="auto"/>
                <w:bottom w:val="none" w:sz="0" w:space="0" w:color="auto"/>
                <w:right w:val="none" w:sz="0" w:space="0" w:color="auto"/>
              </w:divBdr>
              <w:divsChild>
                <w:div w:id="15986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3072">
      <w:bodyDiv w:val="1"/>
      <w:marLeft w:val="0"/>
      <w:marRight w:val="0"/>
      <w:marTop w:val="0"/>
      <w:marBottom w:val="0"/>
      <w:divBdr>
        <w:top w:val="none" w:sz="0" w:space="0" w:color="auto"/>
        <w:left w:val="none" w:sz="0" w:space="0" w:color="auto"/>
        <w:bottom w:val="none" w:sz="0" w:space="0" w:color="auto"/>
        <w:right w:val="none" w:sz="0" w:space="0" w:color="auto"/>
      </w:divBdr>
    </w:div>
    <w:div w:id="1747874832">
      <w:bodyDiv w:val="1"/>
      <w:marLeft w:val="0"/>
      <w:marRight w:val="0"/>
      <w:marTop w:val="0"/>
      <w:marBottom w:val="0"/>
      <w:divBdr>
        <w:top w:val="none" w:sz="0" w:space="0" w:color="auto"/>
        <w:left w:val="none" w:sz="0" w:space="0" w:color="auto"/>
        <w:bottom w:val="none" w:sz="0" w:space="0" w:color="auto"/>
        <w:right w:val="none" w:sz="0" w:space="0" w:color="auto"/>
      </w:divBdr>
      <w:divsChild>
        <w:div w:id="1050418144">
          <w:marLeft w:val="0"/>
          <w:marRight w:val="0"/>
          <w:marTop w:val="0"/>
          <w:marBottom w:val="0"/>
          <w:divBdr>
            <w:top w:val="none" w:sz="0" w:space="0" w:color="auto"/>
            <w:left w:val="none" w:sz="0" w:space="0" w:color="auto"/>
            <w:bottom w:val="none" w:sz="0" w:space="0" w:color="auto"/>
            <w:right w:val="none" w:sz="0" w:space="0" w:color="auto"/>
          </w:divBdr>
          <w:divsChild>
            <w:div w:id="1806238548">
              <w:marLeft w:val="0"/>
              <w:marRight w:val="0"/>
              <w:marTop w:val="0"/>
              <w:marBottom w:val="0"/>
              <w:divBdr>
                <w:top w:val="none" w:sz="0" w:space="0" w:color="auto"/>
                <w:left w:val="none" w:sz="0" w:space="0" w:color="auto"/>
                <w:bottom w:val="none" w:sz="0" w:space="0" w:color="auto"/>
                <w:right w:val="none" w:sz="0" w:space="0" w:color="auto"/>
              </w:divBdr>
              <w:divsChild>
                <w:div w:id="441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15497">
      <w:bodyDiv w:val="1"/>
      <w:marLeft w:val="0"/>
      <w:marRight w:val="0"/>
      <w:marTop w:val="0"/>
      <w:marBottom w:val="0"/>
      <w:divBdr>
        <w:top w:val="none" w:sz="0" w:space="0" w:color="auto"/>
        <w:left w:val="none" w:sz="0" w:space="0" w:color="auto"/>
        <w:bottom w:val="none" w:sz="0" w:space="0" w:color="auto"/>
        <w:right w:val="none" w:sz="0" w:space="0" w:color="auto"/>
      </w:divBdr>
    </w:div>
    <w:div w:id="1802503517">
      <w:bodyDiv w:val="1"/>
      <w:marLeft w:val="0"/>
      <w:marRight w:val="0"/>
      <w:marTop w:val="0"/>
      <w:marBottom w:val="0"/>
      <w:divBdr>
        <w:top w:val="none" w:sz="0" w:space="0" w:color="auto"/>
        <w:left w:val="none" w:sz="0" w:space="0" w:color="auto"/>
        <w:bottom w:val="none" w:sz="0" w:space="0" w:color="auto"/>
        <w:right w:val="none" w:sz="0" w:space="0" w:color="auto"/>
      </w:divBdr>
    </w:div>
    <w:div w:id="1807311025">
      <w:bodyDiv w:val="1"/>
      <w:marLeft w:val="0"/>
      <w:marRight w:val="0"/>
      <w:marTop w:val="0"/>
      <w:marBottom w:val="0"/>
      <w:divBdr>
        <w:top w:val="none" w:sz="0" w:space="0" w:color="auto"/>
        <w:left w:val="none" w:sz="0" w:space="0" w:color="auto"/>
        <w:bottom w:val="none" w:sz="0" w:space="0" w:color="auto"/>
        <w:right w:val="none" w:sz="0" w:space="0" w:color="auto"/>
      </w:divBdr>
    </w:div>
    <w:div w:id="1811823928">
      <w:bodyDiv w:val="1"/>
      <w:marLeft w:val="0"/>
      <w:marRight w:val="0"/>
      <w:marTop w:val="0"/>
      <w:marBottom w:val="0"/>
      <w:divBdr>
        <w:top w:val="none" w:sz="0" w:space="0" w:color="auto"/>
        <w:left w:val="none" w:sz="0" w:space="0" w:color="auto"/>
        <w:bottom w:val="none" w:sz="0" w:space="0" w:color="auto"/>
        <w:right w:val="none" w:sz="0" w:space="0" w:color="auto"/>
      </w:divBdr>
    </w:div>
    <w:div w:id="1883979720">
      <w:bodyDiv w:val="1"/>
      <w:marLeft w:val="0"/>
      <w:marRight w:val="0"/>
      <w:marTop w:val="0"/>
      <w:marBottom w:val="0"/>
      <w:divBdr>
        <w:top w:val="none" w:sz="0" w:space="0" w:color="auto"/>
        <w:left w:val="none" w:sz="0" w:space="0" w:color="auto"/>
        <w:bottom w:val="none" w:sz="0" w:space="0" w:color="auto"/>
        <w:right w:val="none" w:sz="0" w:space="0" w:color="auto"/>
      </w:divBdr>
      <w:divsChild>
        <w:div w:id="1709648682">
          <w:marLeft w:val="0"/>
          <w:marRight w:val="0"/>
          <w:marTop w:val="0"/>
          <w:marBottom w:val="0"/>
          <w:divBdr>
            <w:top w:val="none" w:sz="0" w:space="0" w:color="auto"/>
            <w:left w:val="none" w:sz="0" w:space="0" w:color="auto"/>
            <w:bottom w:val="none" w:sz="0" w:space="0" w:color="auto"/>
            <w:right w:val="none" w:sz="0" w:space="0" w:color="auto"/>
          </w:divBdr>
          <w:divsChild>
            <w:div w:id="194201307">
              <w:marLeft w:val="0"/>
              <w:marRight w:val="0"/>
              <w:marTop w:val="0"/>
              <w:marBottom w:val="0"/>
              <w:divBdr>
                <w:top w:val="none" w:sz="0" w:space="0" w:color="auto"/>
                <w:left w:val="none" w:sz="0" w:space="0" w:color="auto"/>
                <w:bottom w:val="none" w:sz="0" w:space="0" w:color="auto"/>
                <w:right w:val="none" w:sz="0" w:space="0" w:color="auto"/>
              </w:divBdr>
              <w:divsChild>
                <w:div w:id="193730782">
                  <w:marLeft w:val="0"/>
                  <w:marRight w:val="0"/>
                  <w:marTop w:val="0"/>
                  <w:marBottom w:val="0"/>
                  <w:divBdr>
                    <w:top w:val="none" w:sz="0" w:space="0" w:color="auto"/>
                    <w:left w:val="none" w:sz="0" w:space="0" w:color="auto"/>
                    <w:bottom w:val="none" w:sz="0" w:space="0" w:color="auto"/>
                    <w:right w:val="none" w:sz="0" w:space="0" w:color="auto"/>
                  </w:divBdr>
                  <w:divsChild>
                    <w:div w:id="1077291878">
                      <w:marLeft w:val="0"/>
                      <w:marRight w:val="0"/>
                      <w:marTop w:val="0"/>
                      <w:marBottom w:val="0"/>
                      <w:divBdr>
                        <w:top w:val="none" w:sz="0" w:space="0" w:color="auto"/>
                        <w:left w:val="none" w:sz="0" w:space="0" w:color="auto"/>
                        <w:bottom w:val="none" w:sz="0" w:space="0" w:color="auto"/>
                        <w:right w:val="none" w:sz="0" w:space="0" w:color="auto"/>
                      </w:divBdr>
                      <w:divsChild>
                        <w:div w:id="63530953">
                          <w:marLeft w:val="0"/>
                          <w:marRight w:val="0"/>
                          <w:marTop w:val="0"/>
                          <w:marBottom w:val="0"/>
                          <w:divBdr>
                            <w:top w:val="none" w:sz="0" w:space="0" w:color="auto"/>
                            <w:left w:val="none" w:sz="0" w:space="0" w:color="auto"/>
                            <w:bottom w:val="none" w:sz="0" w:space="0" w:color="auto"/>
                            <w:right w:val="none" w:sz="0" w:space="0" w:color="auto"/>
                          </w:divBdr>
                          <w:divsChild>
                            <w:div w:id="4360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47888">
      <w:bodyDiv w:val="1"/>
      <w:marLeft w:val="0"/>
      <w:marRight w:val="0"/>
      <w:marTop w:val="0"/>
      <w:marBottom w:val="0"/>
      <w:divBdr>
        <w:top w:val="none" w:sz="0" w:space="0" w:color="auto"/>
        <w:left w:val="none" w:sz="0" w:space="0" w:color="auto"/>
        <w:bottom w:val="none" w:sz="0" w:space="0" w:color="auto"/>
        <w:right w:val="none" w:sz="0" w:space="0" w:color="auto"/>
      </w:divBdr>
    </w:div>
    <w:div w:id="1894925073">
      <w:bodyDiv w:val="1"/>
      <w:marLeft w:val="0"/>
      <w:marRight w:val="0"/>
      <w:marTop w:val="0"/>
      <w:marBottom w:val="0"/>
      <w:divBdr>
        <w:top w:val="none" w:sz="0" w:space="0" w:color="auto"/>
        <w:left w:val="none" w:sz="0" w:space="0" w:color="auto"/>
        <w:bottom w:val="none" w:sz="0" w:space="0" w:color="auto"/>
        <w:right w:val="none" w:sz="0" w:space="0" w:color="auto"/>
      </w:divBdr>
    </w:div>
    <w:div w:id="1944603359">
      <w:bodyDiv w:val="1"/>
      <w:marLeft w:val="0"/>
      <w:marRight w:val="0"/>
      <w:marTop w:val="0"/>
      <w:marBottom w:val="0"/>
      <w:divBdr>
        <w:top w:val="none" w:sz="0" w:space="0" w:color="auto"/>
        <w:left w:val="none" w:sz="0" w:space="0" w:color="auto"/>
        <w:bottom w:val="none" w:sz="0" w:space="0" w:color="auto"/>
        <w:right w:val="none" w:sz="0" w:space="0" w:color="auto"/>
      </w:divBdr>
    </w:div>
    <w:div w:id="1949922735">
      <w:bodyDiv w:val="1"/>
      <w:marLeft w:val="0"/>
      <w:marRight w:val="0"/>
      <w:marTop w:val="0"/>
      <w:marBottom w:val="0"/>
      <w:divBdr>
        <w:top w:val="none" w:sz="0" w:space="0" w:color="auto"/>
        <w:left w:val="none" w:sz="0" w:space="0" w:color="auto"/>
        <w:bottom w:val="none" w:sz="0" w:space="0" w:color="auto"/>
        <w:right w:val="none" w:sz="0" w:space="0" w:color="auto"/>
      </w:divBdr>
      <w:divsChild>
        <w:div w:id="1292519992">
          <w:marLeft w:val="0"/>
          <w:marRight w:val="0"/>
          <w:marTop w:val="0"/>
          <w:marBottom w:val="0"/>
          <w:divBdr>
            <w:top w:val="none" w:sz="0" w:space="0" w:color="auto"/>
            <w:left w:val="none" w:sz="0" w:space="0" w:color="auto"/>
            <w:bottom w:val="none" w:sz="0" w:space="0" w:color="auto"/>
            <w:right w:val="none" w:sz="0" w:space="0" w:color="auto"/>
          </w:divBdr>
          <w:divsChild>
            <w:div w:id="1160006269">
              <w:marLeft w:val="0"/>
              <w:marRight w:val="0"/>
              <w:marTop w:val="0"/>
              <w:marBottom w:val="0"/>
              <w:divBdr>
                <w:top w:val="none" w:sz="0" w:space="0" w:color="auto"/>
                <w:left w:val="none" w:sz="0" w:space="0" w:color="auto"/>
                <w:bottom w:val="none" w:sz="0" w:space="0" w:color="auto"/>
                <w:right w:val="none" w:sz="0" w:space="0" w:color="auto"/>
              </w:divBdr>
              <w:divsChild>
                <w:div w:id="7306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9468">
      <w:bodyDiv w:val="1"/>
      <w:marLeft w:val="0"/>
      <w:marRight w:val="0"/>
      <w:marTop w:val="0"/>
      <w:marBottom w:val="0"/>
      <w:divBdr>
        <w:top w:val="none" w:sz="0" w:space="0" w:color="auto"/>
        <w:left w:val="none" w:sz="0" w:space="0" w:color="auto"/>
        <w:bottom w:val="none" w:sz="0" w:space="0" w:color="auto"/>
        <w:right w:val="none" w:sz="0" w:space="0" w:color="auto"/>
      </w:divBdr>
      <w:divsChild>
        <w:div w:id="1345472076">
          <w:marLeft w:val="0"/>
          <w:marRight w:val="0"/>
          <w:marTop w:val="0"/>
          <w:marBottom w:val="0"/>
          <w:divBdr>
            <w:top w:val="none" w:sz="0" w:space="0" w:color="auto"/>
            <w:left w:val="none" w:sz="0" w:space="0" w:color="auto"/>
            <w:bottom w:val="none" w:sz="0" w:space="0" w:color="auto"/>
            <w:right w:val="none" w:sz="0" w:space="0" w:color="auto"/>
          </w:divBdr>
          <w:divsChild>
            <w:div w:id="242688738">
              <w:marLeft w:val="0"/>
              <w:marRight w:val="0"/>
              <w:marTop w:val="0"/>
              <w:marBottom w:val="0"/>
              <w:divBdr>
                <w:top w:val="none" w:sz="0" w:space="0" w:color="auto"/>
                <w:left w:val="none" w:sz="0" w:space="0" w:color="auto"/>
                <w:bottom w:val="none" w:sz="0" w:space="0" w:color="auto"/>
                <w:right w:val="none" w:sz="0" w:space="0" w:color="auto"/>
              </w:divBdr>
              <w:divsChild>
                <w:div w:id="2287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60502">
      <w:bodyDiv w:val="1"/>
      <w:marLeft w:val="0"/>
      <w:marRight w:val="0"/>
      <w:marTop w:val="0"/>
      <w:marBottom w:val="0"/>
      <w:divBdr>
        <w:top w:val="none" w:sz="0" w:space="0" w:color="auto"/>
        <w:left w:val="none" w:sz="0" w:space="0" w:color="auto"/>
        <w:bottom w:val="none" w:sz="0" w:space="0" w:color="auto"/>
        <w:right w:val="none" w:sz="0" w:space="0" w:color="auto"/>
      </w:divBdr>
      <w:divsChild>
        <w:div w:id="289670257">
          <w:marLeft w:val="0"/>
          <w:marRight w:val="0"/>
          <w:marTop w:val="0"/>
          <w:marBottom w:val="0"/>
          <w:divBdr>
            <w:top w:val="none" w:sz="0" w:space="0" w:color="auto"/>
            <w:left w:val="none" w:sz="0" w:space="0" w:color="auto"/>
            <w:bottom w:val="none" w:sz="0" w:space="0" w:color="auto"/>
            <w:right w:val="none" w:sz="0" w:space="0" w:color="auto"/>
          </w:divBdr>
          <w:divsChild>
            <w:div w:id="1531525518">
              <w:marLeft w:val="0"/>
              <w:marRight w:val="0"/>
              <w:marTop w:val="0"/>
              <w:marBottom w:val="0"/>
              <w:divBdr>
                <w:top w:val="none" w:sz="0" w:space="0" w:color="auto"/>
                <w:left w:val="none" w:sz="0" w:space="0" w:color="auto"/>
                <w:bottom w:val="none" w:sz="0" w:space="0" w:color="auto"/>
                <w:right w:val="none" w:sz="0" w:space="0" w:color="auto"/>
              </w:divBdr>
              <w:divsChild>
                <w:div w:id="8713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5751">
      <w:bodyDiv w:val="1"/>
      <w:marLeft w:val="0"/>
      <w:marRight w:val="0"/>
      <w:marTop w:val="0"/>
      <w:marBottom w:val="0"/>
      <w:divBdr>
        <w:top w:val="none" w:sz="0" w:space="0" w:color="auto"/>
        <w:left w:val="none" w:sz="0" w:space="0" w:color="auto"/>
        <w:bottom w:val="none" w:sz="0" w:space="0" w:color="auto"/>
        <w:right w:val="none" w:sz="0" w:space="0" w:color="auto"/>
      </w:divBdr>
      <w:divsChild>
        <w:div w:id="817921733">
          <w:marLeft w:val="0"/>
          <w:marRight w:val="0"/>
          <w:marTop w:val="0"/>
          <w:marBottom w:val="0"/>
          <w:divBdr>
            <w:top w:val="none" w:sz="0" w:space="0" w:color="auto"/>
            <w:left w:val="none" w:sz="0" w:space="0" w:color="auto"/>
            <w:bottom w:val="none" w:sz="0" w:space="0" w:color="auto"/>
            <w:right w:val="none" w:sz="0" w:space="0" w:color="auto"/>
          </w:divBdr>
          <w:divsChild>
            <w:div w:id="1738941310">
              <w:marLeft w:val="0"/>
              <w:marRight w:val="0"/>
              <w:marTop w:val="0"/>
              <w:marBottom w:val="0"/>
              <w:divBdr>
                <w:top w:val="none" w:sz="0" w:space="0" w:color="auto"/>
                <w:left w:val="none" w:sz="0" w:space="0" w:color="auto"/>
                <w:bottom w:val="none" w:sz="0" w:space="0" w:color="auto"/>
                <w:right w:val="none" w:sz="0" w:space="0" w:color="auto"/>
              </w:divBdr>
              <w:divsChild>
                <w:div w:id="1513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llam@aston.ac.uk" TargetMode="External"/><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orcid.org/0000-0001-9867-6057"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5349-276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hyperlink" Target="mailto:t.moussa@westminster.ac.u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orcid.org/0000-0001-5082-7936" TargetMode="External"/><Relationship Id="rId14" Type="http://schemas.openxmlformats.org/officeDocument/2006/relationships/footer" Target="footer1.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solidFill>
                  <a:sysClr val="windowText" lastClr="000000"/>
                </a:solidFill>
                <a:latin typeface="Times New Roman" panose="02020603050405020304" pitchFamily="18" charset="0"/>
                <a:cs typeface="Times New Roman" panose="02020603050405020304" pitchFamily="18" charset="0"/>
              </a:rPr>
              <a:t>Figure</a:t>
            </a:r>
            <a:r>
              <a:rPr lang="en-GB" sz="1200" baseline="0">
                <a:solidFill>
                  <a:sysClr val="windowText" lastClr="000000"/>
                </a:solidFill>
                <a:latin typeface="Times New Roman" panose="02020603050405020304" pitchFamily="18" charset="0"/>
                <a:cs typeface="Times New Roman" panose="02020603050405020304" pitchFamily="18" charset="0"/>
              </a:rPr>
              <a:t> </a:t>
            </a:r>
            <a:r>
              <a:rPr lang="en-GB" sz="1200">
                <a:solidFill>
                  <a:sysClr val="windowText" lastClr="000000"/>
                </a:solidFill>
                <a:latin typeface="Times New Roman" panose="02020603050405020304" pitchFamily="18" charset="0"/>
                <a:cs typeface="Times New Roman" panose="02020603050405020304" pitchFamily="18" charset="0"/>
              </a:rPr>
              <a:t>1. Extent of MSD</a:t>
            </a:r>
            <a:r>
              <a:rPr lang="en-GB" sz="1200" baseline="0">
                <a:solidFill>
                  <a:sysClr val="windowText" lastClr="000000"/>
                </a:solidFill>
                <a:latin typeface="Times New Roman" panose="02020603050405020304" pitchFamily="18" charset="0"/>
                <a:cs typeface="Times New Roman" panose="02020603050405020304" pitchFamily="18" charset="0"/>
              </a:rPr>
              <a:t> under</a:t>
            </a:r>
            <a:r>
              <a:rPr lang="en-GB" sz="1200">
                <a:solidFill>
                  <a:srgbClr val="FF0000"/>
                </a:solidFill>
                <a:latin typeface="Times New Roman" panose="02020603050405020304" pitchFamily="18" charset="0"/>
                <a:cs typeface="Times New Roman" panose="02020603050405020304" pitchFamily="18" charset="0"/>
              </a:rPr>
              <a:t> </a:t>
            </a:r>
            <a:r>
              <a:rPr lang="en-GB" sz="1200">
                <a:solidFill>
                  <a:sysClr val="windowText" lastClr="000000"/>
                </a:solidFill>
                <a:latin typeface="Times New Roman" panose="02020603050405020304" pitchFamily="18" charset="0"/>
                <a:cs typeface="Times New Roman" panose="02020603050405020304" pitchFamily="18" charset="0"/>
              </a:rPr>
              <a:t>the 2015 UK Modern</a:t>
            </a:r>
            <a:r>
              <a:rPr lang="en-GB" sz="1200" baseline="0">
                <a:solidFill>
                  <a:sysClr val="windowText" lastClr="000000"/>
                </a:solidFill>
                <a:latin typeface="Times New Roman" panose="02020603050405020304" pitchFamily="18" charset="0"/>
                <a:cs typeface="Times New Roman" panose="02020603050405020304" pitchFamily="18" charset="0"/>
              </a:rPr>
              <a:t> Slavery </a:t>
            </a:r>
            <a:r>
              <a:rPr lang="en-GB" sz="1200">
                <a:solidFill>
                  <a:sysClr val="windowText" lastClr="000000"/>
                </a:solidFill>
                <a:latin typeface="Times New Roman" panose="02020603050405020304" pitchFamily="18" charset="0"/>
                <a:cs typeface="Times New Roman" panose="02020603050405020304" pitchFamily="18" charset="0"/>
              </a:rPr>
              <a:t>Act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Sheet6!$C$3</c:f>
              <c:strCache>
                <c:ptCount val="1"/>
                <c:pt idx="0">
                  <c:v>Fully Compliance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Sheet6!$D$2:$H$2</c:f>
              <c:numCache>
                <c:formatCode>General</c:formatCode>
                <c:ptCount val="5"/>
                <c:pt idx="0">
                  <c:v>2016</c:v>
                </c:pt>
                <c:pt idx="1">
                  <c:v>2017</c:v>
                </c:pt>
                <c:pt idx="2">
                  <c:v>2018</c:v>
                </c:pt>
                <c:pt idx="3">
                  <c:v>2019</c:v>
                </c:pt>
                <c:pt idx="4">
                  <c:v>2020</c:v>
                </c:pt>
              </c:numCache>
            </c:numRef>
          </c:cat>
          <c:val>
            <c:numRef>
              <c:f>Sheet6!$D$3:$H$3</c:f>
              <c:numCache>
                <c:formatCode>General</c:formatCode>
                <c:ptCount val="5"/>
                <c:pt idx="0">
                  <c:v>16</c:v>
                </c:pt>
                <c:pt idx="1">
                  <c:v>34</c:v>
                </c:pt>
                <c:pt idx="2">
                  <c:v>36</c:v>
                </c:pt>
                <c:pt idx="3">
                  <c:v>42</c:v>
                </c:pt>
                <c:pt idx="4">
                  <c:v>50</c:v>
                </c:pt>
              </c:numCache>
            </c:numRef>
          </c:val>
          <c:smooth val="0"/>
          <c:extLst>
            <c:ext xmlns:c16="http://schemas.microsoft.com/office/drawing/2014/chart" uri="{C3380CC4-5D6E-409C-BE32-E72D297353CC}">
              <c16:uniqueId val="{00000000-DEF1-469C-B746-BF181EB79442}"/>
            </c:ext>
          </c:extLst>
        </c:ser>
        <c:ser>
          <c:idx val="1"/>
          <c:order val="1"/>
          <c:tx>
            <c:strRef>
              <c:f>Sheet6!$C$4</c:f>
              <c:strCache>
                <c:ptCount val="1"/>
                <c:pt idx="0">
                  <c:v>Partial Compliance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Sheet6!$D$2:$H$2</c:f>
              <c:numCache>
                <c:formatCode>General</c:formatCode>
                <c:ptCount val="5"/>
                <c:pt idx="0">
                  <c:v>2016</c:v>
                </c:pt>
                <c:pt idx="1">
                  <c:v>2017</c:v>
                </c:pt>
                <c:pt idx="2">
                  <c:v>2018</c:v>
                </c:pt>
                <c:pt idx="3">
                  <c:v>2019</c:v>
                </c:pt>
                <c:pt idx="4">
                  <c:v>2020</c:v>
                </c:pt>
              </c:numCache>
            </c:numRef>
          </c:cat>
          <c:val>
            <c:numRef>
              <c:f>Sheet6!$D$4:$H$4</c:f>
              <c:numCache>
                <c:formatCode>General</c:formatCode>
                <c:ptCount val="5"/>
                <c:pt idx="0">
                  <c:v>65</c:v>
                </c:pt>
                <c:pt idx="1">
                  <c:v>51</c:v>
                </c:pt>
                <c:pt idx="2">
                  <c:v>54</c:v>
                </c:pt>
                <c:pt idx="3">
                  <c:v>50</c:v>
                </c:pt>
                <c:pt idx="4">
                  <c:v>44</c:v>
                </c:pt>
              </c:numCache>
            </c:numRef>
          </c:val>
          <c:smooth val="0"/>
          <c:extLst>
            <c:ext xmlns:c16="http://schemas.microsoft.com/office/drawing/2014/chart" uri="{C3380CC4-5D6E-409C-BE32-E72D297353CC}">
              <c16:uniqueId val="{00000001-DEF1-469C-B746-BF181EB79442}"/>
            </c:ext>
          </c:extLst>
        </c:ser>
        <c:ser>
          <c:idx val="2"/>
          <c:order val="2"/>
          <c:tx>
            <c:strRef>
              <c:f>Sheet6!$C$5</c:f>
              <c:strCache>
                <c:ptCount val="1"/>
                <c:pt idx="0">
                  <c:v>No statement </c:v>
                </c:pt>
              </c:strCache>
            </c:strRef>
          </c:tx>
          <c:spPr>
            <a:ln w="28575" cap="rnd">
              <a:solidFill>
                <a:schemeClr val="accent3"/>
              </a:solidFill>
              <a:round/>
            </a:ln>
            <a:effectLst/>
          </c:spPr>
          <c:marker>
            <c:symbol val="none"/>
          </c:marker>
          <c:dLbls>
            <c:dLbl>
              <c:idx val="0"/>
              <c:layout>
                <c:manualLayout>
                  <c:x val="-1.985659128516271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F1-469C-B746-BF181EB794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Sheet6!$D$2:$H$2</c:f>
              <c:numCache>
                <c:formatCode>General</c:formatCode>
                <c:ptCount val="5"/>
                <c:pt idx="0">
                  <c:v>2016</c:v>
                </c:pt>
                <c:pt idx="1">
                  <c:v>2017</c:v>
                </c:pt>
                <c:pt idx="2">
                  <c:v>2018</c:v>
                </c:pt>
                <c:pt idx="3">
                  <c:v>2019</c:v>
                </c:pt>
                <c:pt idx="4">
                  <c:v>2020</c:v>
                </c:pt>
              </c:numCache>
            </c:numRef>
          </c:cat>
          <c:val>
            <c:numRef>
              <c:f>Sheet6!$D$5:$H$5</c:f>
              <c:numCache>
                <c:formatCode>General</c:formatCode>
                <c:ptCount val="5"/>
                <c:pt idx="0">
                  <c:v>19</c:v>
                </c:pt>
                <c:pt idx="1">
                  <c:v>15</c:v>
                </c:pt>
                <c:pt idx="2">
                  <c:v>10</c:v>
                </c:pt>
                <c:pt idx="3">
                  <c:v>8</c:v>
                </c:pt>
                <c:pt idx="4">
                  <c:v>6</c:v>
                </c:pt>
              </c:numCache>
            </c:numRef>
          </c:val>
          <c:smooth val="0"/>
          <c:extLst>
            <c:ext xmlns:c16="http://schemas.microsoft.com/office/drawing/2014/chart" uri="{C3380CC4-5D6E-409C-BE32-E72D297353CC}">
              <c16:uniqueId val="{00000003-DEF1-469C-B746-BF181EB79442}"/>
            </c:ext>
          </c:extLst>
        </c:ser>
        <c:dLbls>
          <c:showLegendKey val="0"/>
          <c:showVal val="1"/>
          <c:showCatName val="0"/>
          <c:showSerName val="0"/>
          <c:showPercent val="0"/>
          <c:showBubbleSize val="0"/>
        </c:dLbls>
        <c:smooth val="0"/>
        <c:axId val="1425316271"/>
        <c:axId val="1425307119"/>
      </c:lineChart>
      <c:catAx>
        <c:axId val="14253162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5307119"/>
        <c:crosses val="autoZero"/>
        <c:auto val="1"/>
        <c:lblAlgn val="ctr"/>
        <c:lblOffset val="100"/>
        <c:noMultiLvlLbl val="0"/>
      </c:catAx>
      <c:valAx>
        <c:axId val="14253071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531627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010E-345B-684D-AABD-D3C827D3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14043</Words>
  <Characters>80050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Tantawy Moussa</cp:lastModifiedBy>
  <cp:revision>2</cp:revision>
  <dcterms:created xsi:type="dcterms:W3CDTF">2024-07-30T11:45:00Z</dcterms:created>
  <dcterms:modified xsi:type="dcterms:W3CDTF">2024-08-06T23:10:00Z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id="JTkWIyL0"/&gt;&lt;style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ies>
</file>