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FBE4A7" w14:textId="55BCC303" w:rsidR="00C11430" w:rsidRPr="00201CE5" w:rsidRDefault="00C11430" w:rsidP="00C11430">
      <w:pPr>
        <w:rPr>
          <w:rFonts w:asciiTheme="majorHAnsi" w:eastAsia="Arial" w:hAnsiTheme="majorHAnsi" w:cstheme="majorHAnsi"/>
          <w:b/>
          <w:bCs/>
          <w:sz w:val="24"/>
          <w:szCs w:val="24"/>
        </w:rPr>
      </w:pPr>
      <w:r w:rsidRPr="00201CE5">
        <w:rPr>
          <w:rFonts w:asciiTheme="majorHAnsi" w:eastAsia="Arial" w:hAnsiTheme="majorHAnsi" w:cstheme="majorHAnsi"/>
          <w:b/>
          <w:bCs/>
          <w:sz w:val="24"/>
          <w:szCs w:val="24"/>
        </w:rPr>
        <w:t>FemIDEAS Conference 2026</w:t>
      </w:r>
    </w:p>
    <w:p w14:paraId="650372D5" w14:textId="71A2F066" w:rsidR="00C11430" w:rsidRPr="00201CE5" w:rsidRDefault="00C11430" w:rsidP="00C11430">
      <w:pPr>
        <w:rPr>
          <w:rFonts w:asciiTheme="majorHAnsi" w:eastAsia="Arial" w:hAnsiTheme="majorHAnsi" w:cstheme="majorHAnsi"/>
          <w:b/>
          <w:bCs/>
          <w:sz w:val="24"/>
          <w:szCs w:val="24"/>
        </w:rPr>
      </w:pPr>
      <w:r w:rsidRPr="00201CE5">
        <w:rPr>
          <w:rFonts w:asciiTheme="majorHAnsi" w:eastAsia="Arial" w:hAnsiTheme="majorHAnsi" w:cstheme="majorHAnsi"/>
          <w:b/>
          <w:bCs/>
          <w:sz w:val="24"/>
          <w:szCs w:val="24"/>
        </w:rPr>
        <w:t>Panel 1: Solidarity &amp; Activism</w:t>
      </w:r>
    </w:p>
    <w:p w14:paraId="740D080F" w14:textId="77777777" w:rsidR="00BB0F30" w:rsidRPr="00531738" w:rsidRDefault="00BB0F30" w:rsidP="00C11430">
      <w:pPr>
        <w:rPr>
          <w:rFonts w:asciiTheme="majorHAnsi" w:eastAsia="Arial" w:hAnsiTheme="majorHAnsi" w:cstheme="majorHAnsi"/>
          <w:sz w:val="24"/>
          <w:szCs w:val="24"/>
        </w:rPr>
      </w:pPr>
    </w:p>
    <w:p w14:paraId="497EE9E8" w14:textId="7B30C6A3" w:rsidR="00C11430" w:rsidRPr="00531738" w:rsidRDefault="00C11430" w:rsidP="00C11430">
      <w:pPr>
        <w:rPr>
          <w:rFonts w:asciiTheme="majorHAnsi" w:eastAsia="Arial" w:hAnsiTheme="majorHAnsi" w:cstheme="majorHAnsi"/>
          <w:sz w:val="24"/>
          <w:szCs w:val="24"/>
          <w:lang w:val="en"/>
        </w:rPr>
      </w:pPr>
      <w:r w:rsidRPr="00201CE5">
        <w:rPr>
          <w:rFonts w:asciiTheme="majorHAnsi" w:eastAsia="Arial" w:hAnsiTheme="majorHAnsi" w:cstheme="majorHAnsi"/>
          <w:b/>
          <w:bCs/>
          <w:sz w:val="24"/>
          <w:szCs w:val="24"/>
        </w:rPr>
        <w:t>To cite this podcast:</w:t>
      </w:r>
      <w:r w:rsidR="00531738" w:rsidRPr="00531738">
        <w:rPr>
          <w:rFonts w:asciiTheme="majorHAnsi" w:eastAsia="Arial" w:hAnsiTheme="majorHAnsi" w:cstheme="majorHAnsi"/>
          <w:sz w:val="24"/>
          <w:szCs w:val="24"/>
        </w:rPr>
        <w:t xml:space="preserve"> Ober, M., Page, T., Schwarz, C.G. and Sengupta, A. 2026. </w:t>
      </w:r>
      <w:r w:rsidR="00531738" w:rsidRPr="00531738">
        <w:rPr>
          <w:rFonts w:asciiTheme="majorHAnsi" w:eastAsia="Arial" w:hAnsiTheme="majorHAnsi" w:cstheme="majorHAnsi"/>
          <w:i/>
          <w:iCs/>
          <w:sz w:val="24"/>
          <w:szCs w:val="24"/>
        </w:rPr>
        <w:t>FemIDEAS Conference 2026: Panel 1 - Solidarity and Activism.</w:t>
      </w:r>
      <w:r w:rsidR="00531738" w:rsidRPr="00531738">
        <w:rPr>
          <w:rFonts w:asciiTheme="majorHAnsi" w:eastAsia="Arial" w:hAnsiTheme="majorHAnsi" w:cstheme="majorHAnsi"/>
          <w:sz w:val="24"/>
          <w:szCs w:val="24"/>
        </w:rPr>
        <w:t xml:space="preserve"> In </w:t>
      </w:r>
      <w:r w:rsidR="00531738" w:rsidRPr="00EC6165">
        <w:rPr>
          <w:rFonts w:asciiTheme="majorHAnsi" w:eastAsia="Arial" w:hAnsiTheme="majorHAnsi" w:cstheme="majorHAnsi"/>
          <w:i/>
          <w:iCs/>
          <w:sz w:val="24"/>
          <w:szCs w:val="24"/>
        </w:rPr>
        <w:t>Pedagogies for Social Justice</w:t>
      </w:r>
      <w:r w:rsidR="00531738" w:rsidRPr="00531738">
        <w:rPr>
          <w:rFonts w:asciiTheme="majorHAnsi" w:eastAsia="Arial" w:hAnsiTheme="majorHAnsi" w:cstheme="majorHAnsi"/>
          <w:sz w:val="24"/>
          <w:szCs w:val="24"/>
        </w:rPr>
        <w:t xml:space="preserve">. University of Westminster. Available at: </w:t>
      </w:r>
      <w:hyperlink r:id="rId7">
        <w:r w:rsidR="00531738" w:rsidRPr="00531738">
          <w:rPr>
            <w:rStyle w:val="Hyperlink"/>
            <w:rFonts w:asciiTheme="majorHAnsi" w:eastAsia="Arial" w:hAnsiTheme="majorHAnsi" w:cstheme="majorHAnsi"/>
            <w:sz w:val="24"/>
            <w:szCs w:val="24"/>
            <w:lang w:val="en"/>
          </w:rPr>
          <w:t>https://pca.st/7ddwvg2o</w:t>
        </w:r>
      </w:hyperlink>
      <w:r w:rsidR="00531738" w:rsidRPr="00531738">
        <w:rPr>
          <w:rFonts w:asciiTheme="majorHAnsi" w:eastAsia="Arial" w:hAnsiTheme="majorHAnsi" w:cstheme="majorHAnsi"/>
          <w:sz w:val="24"/>
          <w:szCs w:val="24"/>
          <w:lang w:val="en"/>
        </w:rPr>
        <w:t xml:space="preserve"> </w:t>
      </w:r>
      <w:r w:rsidR="00531738" w:rsidRPr="00531738">
        <w:rPr>
          <w:rFonts w:asciiTheme="majorHAnsi" w:eastAsia="Arial" w:hAnsiTheme="majorHAnsi" w:cstheme="majorHAnsi"/>
          <w:sz w:val="24"/>
          <w:szCs w:val="24"/>
        </w:rPr>
        <w:t xml:space="preserve">DOI: </w:t>
      </w:r>
      <w:hyperlink r:id="rId8" w:history="1">
        <w:r w:rsidR="00531738" w:rsidRPr="00531738">
          <w:rPr>
            <w:rStyle w:val="Hyperlink"/>
            <w:rFonts w:asciiTheme="majorHAnsi" w:eastAsia="Arial" w:hAnsiTheme="majorHAnsi" w:cstheme="majorHAnsi"/>
            <w:sz w:val="24"/>
            <w:szCs w:val="24"/>
          </w:rPr>
          <w:t>https://doi.org/10.34737/x7092</w:t>
        </w:r>
      </w:hyperlink>
      <w:r w:rsidR="00531738">
        <w:rPr>
          <w:rFonts w:asciiTheme="majorHAnsi" w:eastAsia="Arial" w:hAnsiTheme="majorHAnsi" w:cstheme="majorHAnsi"/>
          <w:sz w:val="24"/>
          <w:szCs w:val="24"/>
        </w:rPr>
        <w:t xml:space="preserve"> </w:t>
      </w:r>
    </w:p>
    <w:p w14:paraId="6B548377" w14:textId="77777777" w:rsidR="00C11430" w:rsidRPr="00C11430" w:rsidRDefault="00C11430" w:rsidP="00C11430">
      <w:pPr>
        <w:rPr>
          <w:rFonts w:asciiTheme="majorHAnsi" w:eastAsia="Arial" w:hAnsiTheme="majorHAnsi" w:cstheme="majorHAnsi"/>
          <w:b/>
          <w:bCs/>
          <w:sz w:val="24"/>
          <w:szCs w:val="24"/>
        </w:rPr>
      </w:pPr>
    </w:p>
    <w:p w14:paraId="00000001" w14:textId="23468FB2"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b/>
          <w:bCs/>
          <w:sz w:val="24"/>
          <w:szCs w:val="24"/>
        </w:rPr>
        <w:t>Introduction:</w:t>
      </w:r>
      <w:r w:rsidRPr="00C11430">
        <w:rPr>
          <w:rFonts w:asciiTheme="majorHAnsi" w:eastAsia="Arial" w:hAnsiTheme="majorHAnsi" w:cstheme="majorHAnsi"/>
          <w:sz w:val="24"/>
          <w:szCs w:val="24"/>
        </w:rPr>
        <w:br/>
        <w:t xml:space="preserve">Welcome back to the Pedagogies for Social Justice podcast. In this takeover series, we're sharing selected panel recordings from the international conference </w:t>
      </w:r>
      <w:r w:rsidRPr="00C11430">
        <w:rPr>
          <w:rFonts w:asciiTheme="majorHAnsi" w:eastAsia="Arial" w:hAnsiTheme="majorHAnsi" w:cstheme="majorHAnsi"/>
          <w:i/>
          <w:iCs/>
          <w:sz w:val="24"/>
          <w:szCs w:val="24"/>
        </w:rPr>
        <w:t>Transforming Theory, Policy and Practice to Decolonising Sexual and Gender-Based Violence in Higher Education</w:t>
      </w:r>
      <w:r w:rsidRPr="00C11430">
        <w:rPr>
          <w:rFonts w:asciiTheme="majorHAnsi" w:eastAsia="Arial" w:hAnsiTheme="majorHAnsi" w:cstheme="majorHAnsi"/>
          <w:sz w:val="24"/>
          <w:szCs w:val="24"/>
        </w:rPr>
        <w:t>. Organised by the FEMME Ideas Research Project and the FEMME Dialogue Network, the conference brought together speakers and participants from across the UK, US, South Africa, Nigeria, Brazil, Australia, Argentina, and more. Across the event, presenters shared research, lived experience, and practical strategies for addressing and preventing SGBV in universities. Each episode in this series features a panel from the conference offering different perspectives on activism, research, policy, and practice. Whether you're a researcher, practitioner, student educator, or simply someone who wants to start engaging in these conversations, we hope these episodes offer insight, solidarity, and a sense of possibility.</w:t>
      </w:r>
    </w:p>
    <w:p w14:paraId="00000002" w14:textId="77777777" w:rsidR="00B35DB6" w:rsidRPr="00C11430" w:rsidRDefault="00000000">
      <w:pPr>
        <w:spacing w:before="240" w:after="240"/>
        <w:rPr>
          <w:rFonts w:asciiTheme="majorHAnsi" w:eastAsia="Arial" w:hAnsiTheme="majorHAnsi" w:cstheme="majorHAnsi"/>
          <w:sz w:val="24"/>
          <w:szCs w:val="24"/>
        </w:rPr>
      </w:pPr>
      <w:r w:rsidRPr="00C11430">
        <w:rPr>
          <w:rFonts w:asciiTheme="majorHAnsi" w:eastAsia="Arial" w:hAnsiTheme="majorHAnsi" w:cstheme="majorHAnsi"/>
          <w:sz w:val="24"/>
          <w:szCs w:val="24"/>
        </w:rPr>
        <w:t>The content of this episode may be distressing for some listeners. Some of the talks were translated into English, so meaning and tone may vary slightly in translation. Please take care while listening.</w:t>
      </w:r>
    </w:p>
    <w:p w14:paraId="00000003"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b/>
          <w:bCs/>
          <w:sz w:val="24"/>
          <w:szCs w:val="24"/>
        </w:rPr>
        <w:t>Tiffany Page:</w:t>
      </w:r>
      <w:r w:rsidRPr="00C11430">
        <w:rPr>
          <w:rFonts w:asciiTheme="majorHAnsi" w:eastAsia="Arial" w:hAnsiTheme="majorHAnsi" w:cstheme="majorHAnsi"/>
          <w:sz w:val="24"/>
          <w:szCs w:val="24"/>
        </w:rPr>
        <w:br/>
        <w:t xml:space="preserve">So we will get started, and it's my pleasure to introduce the speakers in the order that they appear in the programme. The first speaker we have is a trainee Sengupta from SOAS University of London, and their paper is entitled </w:t>
      </w:r>
      <w:r w:rsidRPr="00C11430">
        <w:rPr>
          <w:rFonts w:asciiTheme="majorHAnsi" w:eastAsia="Arial" w:hAnsiTheme="majorHAnsi" w:cstheme="majorHAnsi"/>
          <w:i/>
          <w:iCs/>
          <w:sz w:val="24"/>
          <w:szCs w:val="24"/>
        </w:rPr>
        <w:t>Navigating Legal and Extralegal Recourses against Sexual Harassment and Feminist Movements in India</w:t>
      </w:r>
      <w:r w:rsidRPr="00C11430">
        <w:rPr>
          <w:rFonts w:asciiTheme="majorHAnsi" w:eastAsia="Arial" w:hAnsiTheme="majorHAnsi" w:cstheme="majorHAnsi"/>
          <w:sz w:val="24"/>
          <w:szCs w:val="24"/>
        </w:rPr>
        <w:t>.</w:t>
      </w:r>
    </w:p>
    <w:p w14:paraId="00000004"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b/>
          <w:bCs/>
          <w:sz w:val="24"/>
          <w:szCs w:val="24"/>
        </w:rPr>
        <w:t>Atreyee Sengupta:</w:t>
      </w:r>
      <w:r w:rsidRPr="00C11430">
        <w:rPr>
          <w:rFonts w:asciiTheme="majorHAnsi" w:eastAsia="Arial" w:hAnsiTheme="majorHAnsi" w:cstheme="majorHAnsi"/>
          <w:sz w:val="24"/>
          <w:szCs w:val="24"/>
        </w:rPr>
        <w:br/>
        <w:t>Today, I'll be speaking about navigating extralegal and legal spaces in universities in India. So, I did my fieldwork in India as part of my PhD, and during the course of that fieldwork, I came across a particular movement that was taking place in one of the universities in India against a particular complaint of sexual harassment.</w:t>
      </w:r>
    </w:p>
    <w:p w14:paraId="00000005"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 xml:space="preserve">But to provide a social context of what the discourse around sexual harassment in universities in India is, we have to go back to the 1990s, where in 1994, for the first time, there were some guidelines, some discussion on how one processes sexual harassment in universities in India. And this happened in one of the universities in Delhi, National Capital Region of India. But the nationwide or countrywide guidelines only came in 1997 as a result of a particular case known as </w:t>
      </w:r>
      <w:r w:rsidRPr="00C11430">
        <w:rPr>
          <w:rFonts w:asciiTheme="majorHAnsi" w:eastAsia="Arial" w:hAnsiTheme="majorHAnsi" w:cstheme="majorHAnsi"/>
          <w:i/>
          <w:iCs/>
          <w:sz w:val="24"/>
          <w:szCs w:val="24"/>
        </w:rPr>
        <w:t>Abhisheka vs State of Rajasthan</w:t>
      </w:r>
      <w:r w:rsidRPr="00C11430">
        <w:rPr>
          <w:rFonts w:asciiTheme="majorHAnsi" w:eastAsia="Arial" w:hAnsiTheme="majorHAnsi" w:cstheme="majorHAnsi"/>
          <w:sz w:val="24"/>
          <w:szCs w:val="24"/>
        </w:rPr>
        <w:t>, where for the first time there were some guidelines on how to protect and prevent sexual harassment at the workplace for women. And throughout this time, in the 1990s and 2000s, based on these Vishaka guidelines, different universities in India were trying to formulate their own policies on sexual harassment.</w:t>
      </w:r>
    </w:p>
    <w:p w14:paraId="00000006"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lastRenderedPageBreak/>
        <w:t>And within those policies, they not only just relied on the definition of sexual harassment that the Vishaka guidelines came up with, but they also tried to contextualise their own policies. So, for instance, in one of the universities, the University of Delhi, students over there routinely faced street harassment and stalking, and as a result of that, the policy particularly made sure to include these as forms of sexual harassment, and not just rely on the legal categorisation of unwanted sexual advances or quid pro quo or a hostile work environment. Similarly, in another university in Delhi, Jawaharlal Nehru University, they made sure to specifically tell us that what determines whether something qualifies as sexual harassment or not would ultimately be dependent on the testimony of the complainant.</w:t>
      </w:r>
    </w:p>
    <w:p w14:paraId="00000007"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 xml:space="preserve">And even though it would seem that this would be an obvious thing, we know how laws tend to function, where there are these technicalities that are brought in to often negate the experiences faced by complainants and survivors. Even though in the 1990s and 2000s there were these guidelines and policies being drawn upon, the law only came about in 2013, which is the </w:t>
      </w:r>
      <w:r w:rsidRPr="00C11430">
        <w:rPr>
          <w:rFonts w:asciiTheme="majorHAnsi" w:eastAsia="Arial" w:hAnsiTheme="majorHAnsi" w:cstheme="majorHAnsi"/>
          <w:i/>
          <w:iCs/>
          <w:sz w:val="24"/>
          <w:szCs w:val="24"/>
        </w:rPr>
        <w:t>Sexual Harassment of Women at Workplace (Prevention, Prohibition and Protection) Act</w:t>
      </w:r>
      <w:r w:rsidRPr="00C11430">
        <w:rPr>
          <w:rFonts w:asciiTheme="majorHAnsi" w:eastAsia="Arial" w:hAnsiTheme="majorHAnsi" w:cstheme="majorHAnsi"/>
          <w:sz w:val="24"/>
          <w:szCs w:val="24"/>
        </w:rPr>
        <w:t>, which is the POSH Act 2013.</w:t>
      </w:r>
    </w:p>
    <w:p w14:paraId="00000008"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And once this law came into being, the previous university policies were replaced, and instead, internal complaints committees were put in place. But slowly, what happened was that there were disgruntlements that students had with these new committees. So once these new committees came into being in 2013, there were several instances where these committees, by mistake, completely leaked the names and complaints of complainants.</w:t>
      </w:r>
    </w:p>
    <w:p w14:paraId="00000009"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They were not sensitive to the problems that the university students were facing. And finally, the blow came to this when, in 2017, a list of sexual harassers in academia was released on Facebook by a student, and that listed around 75 Indian male academics from all across the world. And this was supposed to be a whisper campaign to warn other students against them.</w:t>
      </w:r>
    </w:p>
    <w:p w14:paraId="0000000A"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But this particular list generated a huge debate, not just between feminists and non-feminists, but also between feminists in India on one side, where feminists were talking about the need to stick to ideas of institutional due process, rather than completely giving in to something like naming and shaming and public call-outs.</w:t>
      </w:r>
    </w:p>
    <w:p w14:paraId="0000000B"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On the other hand, there were other feminists who said that it is because the due process had failed that we needed to resort to such extreme measures as publicly calling out someone through naming and shaming. And given that there are these different binaries that are then being created—whether you go towards due process or you go towards extralegal movements or resistances such as naming and shaming—I ask the question: what do contemporary anti-sexual harassment protests actually want? What do the stakeholders today in universities want? So, in this paper, I argue that this binary between due process and going beyond due process into an extralegal or extra-institutional domain is something of a misnomer. That is, this binary is untenable.</w:t>
      </w:r>
    </w:p>
    <w:p w14:paraId="0000000C"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 xml:space="preserve">Firstly, by assuming this marked distinction between legal and extralegal recourses against sexual harassment, we overlook how both these domains are, at best, semi-autonomous in nature—that is, rules and regulations—and what happens is that the demands generated in one do get reflected in another. We constantly see, as I will demonstrate with the </w:t>
      </w:r>
      <w:r w:rsidRPr="00C11430">
        <w:rPr>
          <w:rFonts w:asciiTheme="majorHAnsi" w:eastAsia="Arial" w:hAnsiTheme="majorHAnsi" w:cstheme="majorHAnsi"/>
          <w:sz w:val="24"/>
          <w:szCs w:val="24"/>
        </w:rPr>
        <w:lastRenderedPageBreak/>
        <w:t>experience of my fieldwork, that often extralegal resistances are also oriented towards making legal demands. And secondly, when we try to look at these extralegal resistances as completely separate from anything that's going on in the legal realm, we also overlook how inequalities can seep into both these domains and disadvantage feminists, particularly people from marginalised communities. So, if you look at your screen, this is a photo from the protest that I was a participant observer in for 15 days. The protest lasted for 15 days.</w:t>
      </w:r>
    </w:p>
    <w:p w14:paraId="0000000D"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And in this particular movement, you can see that on the gate of the university there are these different posters which call out, in person, the names of the alleged perpetrators. So basically, they use the space to name and shame. And there are also other posters that talk about gender justice, about demanding gender justice. So, to take you back a little bit, what happened and what led to this particular protest—in 2024, on the 30th of March—two students in this particular university were walking within the campus. And while they were walking, four students came on bikes and started hurling sexualised abuses at them. And once that had happened, the students were, of course, scared. They were very young students, and they went to the security personnel to ask for help. And this person did not really help much.</w:t>
      </w:r>
    </w:p>
    <w:p w14:paraId="0000000E"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They did not also know what to do in such cases. As the night passed and the morning came, the students kept thinking about it. Afterwards, they gathered some of their friends and went to the administrative office, because they did not know exactly where to go to lodge this complaint. So they went to the administrative office and spoke to someone who was there, who was an officer, and the officer then told them that because there was no physical contact involved, this was not a case of sexual harassment, but a case of harassment. When these students went, the officer basically told them that this is not a case of sexual harassment, this is a case of harassment. This is particularly because there was no physical contact involved.</w:t>
      </w:r>
    </w:p>
    <w:p w14:paraId="0000000F"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And this was blatantly a misreading of the law itself, because the law does take into consideration the fact that even if something does not involve physical touch, it can still qualify as sexual harassment. But once these students were forced to lodge a complaint of harassment, they were still not satisfied with it. And as a result, what they did was that, because they were constantly feeling that they were being wronged, and that this idea of transferring a complaint of sexual harassment to harassment is not what they wanted, they gathered more of the university community, and many members of the pre-POSH Act, pre-ICC committee, feminist activists who were involved in this kind of work in the university.</w:t>
      </w:r>
    </w:p>
    <w:p w14:paraId="00000010"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They came onto the scene, and they affirmed the complainants’ belief that what they felt was indeed sexual harassment, and that they had the right to lodge a complaint of sexual harassment and not just harassment. And then they lodged a formal complaint in the ICC. Now, the students, of course, knew that it would take time for the due process to pan out. But what they wanted was, in the interim, for the administration to declare two students—two alleged perpetrators who were basically residents of the university as well—to be declared out of bounds of the residential space, and two students who were no longer students but had still barged in and had committed sexual harassment to be declared out of bounds of the university.</w:t>
      </w:r>
    </w:p>
    <w:p w14:paraId="00000011"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lastRenderedPageBreak/>
        <w:t>And once these ideas, these needs, were not taken into consideration, when the university did not show its due diligence, at that time the students decided to block the gate of the university and ask the university to immediately react to their interim demands and start the due process. After a while, after a week of protesting, the university finally took some interim measures. And once these interim measures were taken, one can see how the university community reacts to that. So, on one hand, this is a protest that constantly critiques the due process and the university process for not working, but it does not want to abandon this process. Instead, they want to make these processes work better.</w:t>
      </w:r>
    </w:p>
    <w:p w14:paraId="00000012"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So even though they use techniques such as naming and shaming, such as publicly calling out perpetrators, despite that, their idea is not to reject due process, but instead to make the due process better, making the due process much more reformed. But another very crucial thing happens during the course of this movement: after some time, after this interim measure is passed, some students who were part of this movement from the very beginning choose to leave the movemental space. Now, why do they do this? They put out a pamphlet listing all of the issues that they faced within this particular feminist resistance space.</w:t>
      </w:r>
    </w:p>
    <w:p w14:paraId="00000013"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First, they say that the complainant had assumed singular leadership of the movement in the space and basically took charge of the movement, whereas other people were part of the movement from the very beginning. So it was a collective movement from the beginning, but the complainant became the core of it. Secondly, the space of the movement was accused of being discriminatory on the basis of caste, because students from marginalised communities who were part of the movement were asked to do tasks such as washing used utensils or filling up water bottles, which other students from privileged communities were not doing.</w:t>
      </w:r>
    </w:p>
    <w:p w14:paraId="00000014"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Within the community, within the movemental space, the complainant is often made into a complaint, a troublemaker, by the university. And this also happened in this case, because the university brought out certain notices penalising students for protesting, and this list of students also included the complainant's name. So the complainant is being punished for complaining, but at the same time, the complainant is also made into a complaint by the allies who are part of this movement.</w:t>
      </w:r>
    </w:p>
    <w:p w14:paraId="00000015"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When they say that a movement that starts because of a complaint, the complainant is not allowed to be at the centre of the complaint activism, the collective identity becomes much more important for the allies. And this then begs the question, not just in the sense that it kind of questions the idea that once a survivor comes up, the complainant is the face of the movement, but it also basically encourages other students to come up and speak. And this is what I observed during my time at the movement as well: that once the survivor was the centre of this movement, a lot of other people came up and spoke about experiences that they would not have otherwise done.</w:t>
      </w:r>
    </w:p>
    <w:p w14:paraId="00000016"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 xml:space="preserve">But in making the complainant into a complaint, one is kind of overlooking this kind of impact that it can have in a movemental space of bringing out more complaints. At the same time, the question that I kind of pondered upon during this time was: what happens when—if—the complainant, who comes from a privileged background, was not actually from a privileged background? What would have happened if she was somebody who was from a marginalised caste? Would she be able to become the centre of the movement at all? </w:t>
      </w:r>
      <w:r w:rsidRPr="00C11430">
        <w:rPr>
          <w:rFonts w:asciiTheme="majorHAnsi" w:eastAsia="Arial" w:hAnsiTheme="majorHAnsi" w:cstheme="majorHAnsi"/>
          <w:sz w:val="24"/>
          <w:szCs w:val="24"/>
        </w:rPr>
        <w:lastRenderedPageBreak/>
        <w:t>Would she be able to have this authorial voice which she now has in this movement? Would that be possible instead of making the complainant into a complaint? I thought that this was the question that we must be dwelling on during the course of such collective movements around complaints.</w:t>
      </w:r>
    </w:p>
    <w:p w14:paraId="00000017"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And the other part of the pamphlet that the students brought out when they left the movement was that there was a division of labour within the space of resistance. And that brings us to this important question of what kind of labour is required in spaces of resistance as well, and who decides what kind of labour one performs in the space of feminist resistance. So, who gets to do the intellectual labour and who gets to do the physical labour—the kind of division that is already created as part of the systemic bias of the university space comes up during this time a lot.</w:t>
      </w:r>
    </w:p>
    <w:p w14:paraId="00000018"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And this highlights a very important aspect of protest spaces in India. As such, caste is so deeply ingrained in the university space that even when there is no explicit discrimination, there is a sense of obliviousness. When upper-caste bodies occupy certain spaces, it is almost like we do not see discrimination, therefore it does not exist. This movement too tells us that whether or not decided by a particular person or individual within the group, there is still discrimination; the kinds of biases still continue to operate.</w:t>
      </w:r>
    </w:p>
    <w:p w14:paraId="00000019"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Therefore, we understand that the legal institutional recourses and extralegal recourses on sexual harassment cannot operate as a binary. We need to look at the spaces in between them. That is, if we look at them as completely separate realms, then we do not see how extralegal forms of protest are often mobilised to seek legal institutional reforms, and that inequalities—because of which many feminists argue against legal institutional reforms—can also pervade the space of extralegal resistances against sexual harassment.</w:t>
      </w:r>
    </w:p>
    <w:p w14:paraId="0000001A"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Therefore, we must acknowledge the semi-autonomy of these fields and be critically aware that demands generated in one, as well as inequalities generated in one, can easily overlap and seep into the other. Thank you.</w:t>
      </w:r>
    </w:p>
    <w:p w14:paraId="0000001B"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b/>
          <w:bCs/>
          <w:sz w:val="24"/>
          <w:szCs w:val="24"/>
        </w:rPr>
        <w:t>Tiffany Page:</w:t>
      </w:r>
      <w:r w:rsidRPr="00C11430">
        <w:rPr>
          <w:rFonts w:asciiTheme="majorHAnsi" w:eastAsia="Arial" w:hAnsiTheme="majorHAnsi" w:cstheme="majorHAnsi"/>
          <w:sz w:val="24"/>
          <w:szCs w:val="24"/>
        </w:rPr>
        <w:br/>
        <w:t xml:space="preserve">Great. Now let's move on to our next speaker. This is Maya Ober from the Institute of Social Anthropology and Cultural Studies at the University of Bern, and their paper is entitled </w:t>
      </w:r>
      <w:r w:rsidRPr="00C11430">
        <w:rPr>
          <w:rFonts w:asciiTheme="majorHAnsi" w:eastAsia="Arial" w:hAnsiTheme="majorHAnsi" w:cstheme="majorHAnsi"/>
          <w:i/>
          <w:iCs/>
          <w:sz w:val="24"/>
          <w:szCs w:val="24"/>
        </w:rPr>
        <w:t>Estamos Artificiales: We Are Fed Up. Complaint as Feminist World-Making in the University</w:t>
      </w:r>
      <w:r w:rsidRPr="00C11430">
        <w:rPr>
          <w:rFonts w:asciiTheme="majorHAnsi" w:eastAsia="Arial" w:hAnsiTheme="majorHAnsi" w:cstheme="majorHAnsi"/>
          <w:sz w:val="24"/>
          <w:szCs w:val="24"/>
        </w:rPr>
        <w:t>. Thanks, Maya.</w:t>
      </w:r>
    </w:p>
    <w:p w14:paraId="0000001C"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shd w:val="clear" w:color="auto" w:fill="FFF2CC"/>
        </w:rPr>
        <w:br/>
      </w:r>
      <w:r w:rsidRPr="00C11430">
        <w:rPr>
          <w:rFonts w:asciiTheme="majorHAnsi" w:eastAsia="Arial" w:hAnsiTheme="majorHAnsi" w:cstheme="majorHAnsi"/>
          <w:b/>
          <w:bCs/>
          <w:sz w:val="24"/>
          <w:szCs w:val="24"/>
        </w:rPr>
        <w:t>Maya Ober:</w:t>
      </w:r>
      <w:r w:rsidRPr="00C11430">
        <w:rPr>
          <w:rFonts w:asciiTheme="majorHAnsi" w:eastAsia="Arial" w:hAnsiTheme="majorHAnsi" w:cstheme="majorHAnsi"/>
          <w:sz w:val="24"/>
          <w:szCs w:val="24"/>
        </w:rPr>
        <w:br/>
        <w:t>Hi, Tiffany. Hello everyone. Thank you so much for the opportunity, and thank you to the organisers for creating this space. This is so wonderful.</w:t>
      </w:r>
    </w:p>
    <w:p w14:paraId="0000001D"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 xml:space="preserve">So I want to talk today about </w:t>
      </w:r>
      <w:r w:rsidRPr="00C11430">
        <w:rPr>
          <w:rFonts w:asciiTheme="majorHAnsi" w:eastAsia="Arial" w:hAnsiTheme="majorHAnsi" w:cstheme="majorHAnsi"/>
          <w:i/>
          <w:iCs/>
          <w:sz w:val="24"/>
          <w:szCs w:val="24"/>
        </w:rPr>
        <w:t>hartazgo</w:t>
      </w:r>
      <w:r w:rsidRPr="00C11430">
        <w:rPr>
          <w:rFonts w:asciiTheme="majorHAnsi" w:eastAsia="Arial" w:hAnsiTheme="majorHAnsi" w:cstheme="majorHAnsi"/>
          <w:sz w:val="24"/>
          <w:szCs w:val="24"/>
        </w:rPr>
        <w:t xml:space="preserve">. So this feeling of being fed up, angry, frustrated, exhausted—not as burnout or resignation, but as a collective feminist affect that fuels complaining as a political practice inside the university. So this paper draws on 50 months of ethnographic fieldwork I conducted between 2022 and 2023 at the Faculty of Architecture, Design and Urbanism, shortly FADU, at the University of Buenos Aires in Argentina, which is part of a public, massive, and co-governed university, co-governed by faculty, alumni, and students, democratically elected. And I think it's important to mention the structure, and my </w:t>
      </w:r>
      <w:r w:rsidRPr="00C11430">
        <w:rPr>
          <w:rFonts w:asciiTheme="majorHAnsi" w:eastAsia="Arial" w:hAnsiTheme="majorHAnsi" w:cstheme="majorHAnsi"/>
          <w:sz w:val="24"/>
          <w:szCs w:val="24"/>
        </w:rPr>
        <w:lastRenderedPageBreak/>
        <w:t>research is situated within the broader wave of feminist mobilisations that swept Argentine public universities between 2015 and 2020.</w:t>
      </w:r>
    </w:p>
    <w:p w14:paraId="0000001E"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 xml:space="preserve">In the late austral spring, outside the concrete building of FADU, the semester was winding down. I was standing near the entrance when Mane, a feminist activist, a teacher, and a member of the faculty’s Directive Council, approached me, visibly upset. She apologised for not replying to my messages and immediately said they had just reappointed a lecturer who had multiple complaints against him four years ago. She had just left the council session where this decision was discussed. There would be a mobilisation, she told me. </w:t>
      </w:r>
      <w:r w:rsidRPr="00C11430">
        <w:rPr>
          <w:rFonts w:asciiTheme="majorHAnsi" w:eastAsia="Arial" w:hAnsiTheme="majorHAnsi" w:cstheme="majorHAnsi"/>
          <w:i/>
          <w:iCs/>
          <w:sz w:val="24"/>
          <w:szCs w:val="24"/>
        </w:rPr>
        <w:t>Estoy harta</w:t>
      </w:r>
      <w:r w:rsidRPr="00C11430">
        <w:rPr>
          <w:rFonts w:asciiTheme="majorHAnsi" w:eastAsia="Arial" w:hAnsiTheme="majorHAnsi" w:cstheme="majorHAnsi"/>
          <w:sz w:val="24"/>
          <w:szCs w:val="24"/>
        </w:rPr>
        <w:t>, she said, I'm fed up.</w:t>
      </w:r>
    </w:p>
    <w:p w14:paraId="0000001F"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Four years earlier, when the complaints against this lecturer had first surfaced, feminist teachers like Mane had been publicly exposed, and they complained. And now, four years later, it was happening again. Students walked into class and found him there as if nothing had ever happened. Supposedly he had been sanctioned, but what did it even mean? Es agotador, she said. It’s exhausting. At FADU, as in many Argentine public universities, formal complaints about gender-based violence are addressed through a protocol against gender-based violence and discrimination. The creation of this protocol and the gender offices around university campuses was widely celebrated as a feminist victory. And yet, during my fieldwork, one phrase came up again and again in students’ and activists’ testimonies: No pasó nada. Nothing happened. The protocol existed, but it rarely produced a feeling of justice, reparation, or protection.</w:t>
      </w:r>
    </w:p>
    <w:p w14:paraId="00000020"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 xml:space="preserve">It is precisely in this gap between the promise of institutional mechanisms and the lived experiences of institutional inaction that </w:t>
      </w:r>
      <w:r w:rsidRPr="00C11430">
        <w:rPr>
          <w:rFonts w:asciiTheme="majorHAnsi" w:eastAsia="Arial" w:hAnsiTheme="majorHAnsi" w:cstheme="majorHAnsi"/>
          <w:i/>
          <w:iCs/>
          <w:sz w:val="24"/>
          <w:szCs w:val="24"/>
        </w:rPr>
        <w:t>hartazgo</w:t>
      </w:r>
      <w:r w:rsidRPr="00C11430">
        <w:rPr>
          <w:rFonts w:asciiTheme="majorHAnsi" w:eastAsia="Arial" w:hAnsiTheme="majorHAnsi" w:cstheme="majorHAnsi"/>
          <w:sz w:val="24"/>
          <w:szCs w:val="24"/>
        </w:rPr>
        <w:t xml:space="preserve"> emerges. Scholars describe </w:t>
      </w:r>
      <w:r w:rsidRPr="00C11430">
        <w:rPr>
          <w:rFonts w:asciiTheme="majorHAnsi" w:eastAsia="Arial" w:hAnsiTheme="majorHAnsi" w:cstheme="majorHAnsi"/>
          <w:i/>
          <w:iCs/>
          <w:sz w:val="24"/>
          <w:szCs w:val="24"/>
        </w:rPr>
        <w:t>hartazgo</w:t>
      </w:r>
      <w:r w:rsidRPr="00C11430">
        <w:rPr>
          <w:rFonts w:asciiTheme="majorHAnsi" w:eastAsia="Arial" w:hAnsiTheme="majorHAnsi" w:cstheme="majorHAnsi"/>
          <w:sz w:val="24"/>
          <w:szCs w:val="24"/>
        </w:rPr>
        <w:t xml:space="preserve"> as a collective affect composed of exhaustion, anger, and frustration produced by the everydayness of violence and the inadequacy of institutional responses. Importantly, </w:t>
      </w:r>
      <w:r w:rsidRPr="00C11430">
        <w:rPr>
          <w:rFonts w:asciiTheme="majorHAnsi" w:eastAsia="Arial" w:hAnsiTheme="majorHAnsi" w:cstheme="majorHAnsi"/>
          <w:i/>
          <w:iCs/>
          <w:sz w:val="24"/>
          <w:szCs w:val="24"/>
        </w:rPr>
        <w:t>hartazgo</w:t>
      </w:r>
      <w:r w:rsidRPr="00C11430">
        <w:rPr>
          <w:rFonts w:asciiTheme="majorHAnsi" w:eastAsia="Arial" w:hAnsiTheme="majorHAnsi" w:cstheme="majorHAnsi"/>
          <w:sz w:val="24"/>
          <w:szCs w:val="24"/>
        </w:rPr>
        <w:t xml:space="preserve"> is not a private emotion. It is shared, narrated, and recognised. It brings people together into what we might call an emotional community or affective infrastructure, one that listens, rethinks, and acts. At FADU, </w:t>
      </w:r>
      <w:r w:rsidRPr="00C11430">
        <w:rPr>
          <w:rFonts w:asciiTheme="majorHAnsi" w:eastAsia="Arial" w:hAnsiTheme="majorHAnsi" w:cstheme="majorHAnsi"/>
          <w:i/>
          <w:iCs/>
          <w:sz w:val="24"/>
          <w:szCs w:val="24"/>
        </w:rPr>
        <w:t>hartazgo</w:t>
      </w:r>
      <w:r w:rsidRPr="00C11430">
        <w:rPr>
          <w:rFonts w:asciiTheme="majorHAnsi" w:eastAsia="Arial" w:hAnsiTheme="majorHAnsi" w:cstheme="majorHAnsi"/>
          <w:sz w:val="24"/>
          <w:szCs w:val="24"/>
        </w:rPr>
        <w:t xml:space="preserve"> did not lead to resignation. It led to organising, to echoing Sara Ahmed’s work on complaint activism. One of the key spaces where </w:t>
      </w:r>
      <w:r w:rsidRPr="00C11430">
        <w:rPr>
          <w:rFonts w:asciiTheme="majorHAnsi" w:eastAsia="Arial" w:hAnsiTheme="majorHAnsi" w:cstheme="majorHAnsi"/>
          <w:i/>
          <w:iCs/>
          <w:sz w:val="24"/>
          <w:szCs w:val="24"/>
        </w:rPr>
        <w:t>hartazgo</w:t>
      </w:r>
      <w:r w:rsidRPr="00C11430">
        <w:rPr>
          <w:rFonts w:asciiTheme="majorHAnsi" w:eastAsia="Arial" w:hAnsiTheme="majorHAnsi" w:cstheme="majorHAnsi"/>
          <w:sz w:val="24"/>
          <w:szCs w:val="24"/>
        </w:rPr>
        <w:t xml:space="preserve"> became a collective practice was the Commission of Women, Lesbians, Travesti, Trans, and Non-Binary identities, known as </w:t>
      </w:r>
      <w:r w:rsidRPr="00C11430">
        <w:rPr>
          <w:rFonts w:asciiTheme="majorHAnsi" w:eastAsia="Arial" w:hAnsiTheme="majorHAnsi" w:cstheme="majorHAnsi"/>
          <w:i/>
          <w:iCs/>
          <w:sz w:val="24"/>
          <w:szCs w:val="24"/>
        </w:rPr>
        <w:t>Comi</w:t>
      </w:r>
      <w:r w:rsidRPr="00C11430">
        <w:rPr>
          <w:rFonts w:asciiTheme="majorHAnsi" w:eastAsia="Arial" w:hAnsiTheme="majorHAnsi" w:cstheme="majorHAnsi"/>
          <w:sz w:val="24"/>
          <w:szCs w:val="24"/>
        </w:rPr>
        <w:t>, created within the student centre. I met Sol, a student activist and council representative, in early 2022.</w:t>
      </w:r>
    </w:p>
    <w:p w14:paraId="00000021" w14:textId="77777777" w:rsidR="00B35DB6" w:rsidRPr="00C11430" w:rsidRDefault="00000000">
      <w:pPr>
        <w:spacing w:after="200"/>
        <w:rPr>
          <w:rFonts w:asciiTheme="majorHAnsi" w:eastAsia="Arial" w:hAnsiTheme="majorHAnsi" w:cstheme="majorHAnsi"/>
          <w:sz w:val="24"/>
          <w:szCs w:val="24"/>
          <w:shd w:val="clear" w:color="auto" w:fill="FFF2CC"/>
        </w:rPr>
      </w:pPr>
      <w:r w:rsidRPr="00C11430">
        <w:rPr>
          <w:rFonts w:asciiTheme="majorHAnsi" w:eastAsia="Arial" w:hAnsiTheme="majorHAnsi" w:cstheme="majorHAnsi"/>
          <w:sz w:val="24"/>
          <w:szCs w:val="24"/>
        </w:rPr>
        <w:t xml:space="preserve">When I told her about my research, she immediately began talking about gender-based violence. “There was a complaint against the graphic design lecturer,” she said. “We started collecting more testimonies to file a collective complaint.” Then she paused and raised her voice: “But nothing happened. </w:t>
      </w:r>
      <w:r w:rsidRPr="00C11430">
        <w:rPr>
          <w:rFonts w:asciiTheme="majorHAnsi" w:eastAsia="Arial" w:hAnsiTheme="majorHAnsi" w:cstheme="majorHAnsi"/>
          <w:i/>
          <w:iCs/>
          <w:sz w:val="24"/>
          <w:szCs w:val="24"/>
        </w:rPr>
        <w:t>No pasó nada</w:t>
      </w:r>
      <w:r w:rsidRPr="00C11430">
        <w:rPr>
          <w:rFonts w:asciiTheme="majorHAnsi" w:eastAsia="Arial" w:hAnsiTheme="majorHAnsi" w:cstheme="majorHAnsi"/>
          <w:sz w:val="24"/>
          <w:szCs w:val="24"/>
        </w:rPr>
        <w:t xml:space="preserve">.” Sol explained that </w:t>
      </w:r>
      <w:r w:rsidRPr="00C11430">
        <w:rPr>
          <w:rFonts w:asciiTheme="majorHAnsi" w:eastAsia="Arial" w:hAnsiTheme="majorHAnsi" w:cstheme="majorHAnsi"/>
          <w:i/>
          <w:iCs/>
          <w:sz w:val="24"/>
          <w:szCs w:val="24"/>
        </w:rPr>
        <w:t>Comi</w:t>
      </w:r>
      <w:r w:rsidRPr="00C11430">
        <w:rPr>
          <w:rFonts w:asciiTheme="majorHAnsi" w:eastAsia="Arial" w:hAnsiTheme="majorHAnsi" w:cstheme="majorHAnsi"/>
          <w:sz w:val="24"/>
          <w:szCs w:val="24"/>
        </w:rPr>
        <w:t xml:space="preserve"> had been created precisely because individual complaints were being archived or stopped. The protocol, she said, doesn’t protect us. </w:t>
      </w:r>
      <w:r w:rsidRPr="00C11430">
        <w:rPr>
          <w:rFonts w:asciiTheme="majorHAnsi" w:eastAsia="Arial" w:hAnsiTheme="majorHAnsi" w:cstheme="majorHAnsi"/>
          <w:i/>
          <w:iCs/>
          <w:sz w:val="24"/>
          <w:szCs w:val="24"/>
        </w:rPr>
        <w:t>Hartazgo</w:t>
      </w:r>
      <w:r w:rsidRPr="00C11430">
        <w:rPr>
          <w:rFonts w:asciiTheme="majorHAnsi" w:eastAsia="Arial" w:hAnsiTheme="majorHAnsi" w:cstheme="majorHAnsi"/>
          <w:sz w:val="24"/>
          <w:szCs w:val="24"/>
        </w:rPr>
        <w:t xml:space="preserve"> was not only the reason </w:t>
      </w:r>
      <w:r w:rsidRPr="00C11430">
        <w:rPr>
          <w:rFonts w:asciiTheme="majorHAnsi" w:eastAsia="Arial" w:hAnsiTheme="majorHAnsi" w:cstheme="majorHAnsi"/>
          <w:i/>
          <w:iCs/>
          <w:sz w:val="24"/>
          <w:szCs w:val="24"/>
        </w:rPr>
        <w:t>Comi</w:t>
      </w:r>
      <w:r w:rsidRPr="00C11430">
        <w:rPr>
          <w:rFonts w:asciiTheme="majorHAnsi" w:eastAsia="Arial" w:hAnsiTheme="majorHAnsi" w:cstheme="majorHAnsi"/>
          <w:sz w:val="24"/>
          <w:szCs w:val="24"/>
        </w:rPr>
        <w:t xml:space="preserve"> existed, it was the glue that held it together. So we can think about </w:t>
      </w:r>
      <w:r w:rsidRPr="00C11430">
        <w:rPr>
          <w:rFonts w:asciiTheme="majorHAnsi" w:eastAsia="Arial" w:hAnsiTheme="majorHAnsi" w:cstheme="majorHAnsi"/>
          <w:i/>
          <w:iCs/>
          <w:sz w:val="24"/>
          <w:szCs w:val="24"/>
        </w:rPr>
        <w:t>hartazgo</w:t>
      </w:r>
      <w:r w:rsidRPr="00C11430">
        <w:rPr>
          <w:rFonts w:asciiTheme="majorHAnsi" w:eastAsia="Arial" w:hAnsiTheme="majorHAnsi" w:cstheme="majorHAnsi"/>
          <w:sz w:val="24"/>
          <w:szCs w:val="24"/>
        </w:rPr>
        <w:t>—about this feeling—as generative, as it creates spaces. So the case that best illustrates this involves a graphic design lecturer; I’ll call him Perez. A student had been harassed by Perez and sought support from female teachers in the programme. A formal complaint was filed. Once again, nothing happened.</w:t>
      </w:r>
      <w:r w:rsidRPr="00C11430">
        <w:rPr>
          <w:rFonts w:asciiTheme="majorHAnsi" w:eastAsia="Arial" w:hAnsiTheme="majorHAnsi" w:cstheme="majorHAnsi"/>
          <w:sz w:val="24"/>
          <w:szCs w:val="24"/>
          <w:shd w:val="clear" w:color="auto" w:fill="FFF2CC"/>
        </w:rPr>
        <w:t xml:space="preserve"> </w:t>
      </w:r>
    </w:p>
    <w:p w14:paraId="00000022"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 xml:space="preserve">The complaint was archived. An internal agreement within the chair, within the cátedra, was later reached. Perez would not teach or have contact with students for a year, during a virtual teaching arrangement. During the pandemic, however, he reappeared, giving </w:t>
      </w:r>
      <w:r w:rsidRPr="00C11430">
        <w:rPr>
          <w:rFonts w:asciiTheme="majorHAnsi" w:eastAsia="Arial" w:hAnsiTheme="majorHAnsi" w:cstheme="majorHAnsi"/>
          <w:sz w:val="24"/>
          <w:szCs w:val="24"/>
        </w:rPr>
        <w:lastRenderedPageBreak/>
        <w:t xml:space="preserve">feedback, attending sessions, and messaging female students individually. News of his return spread through what students called </w:t>
      </w:r>
      <w:r w:rsidRPr="00C11430">
        <w:rPr>
          <w:rFonts w:asciiTheme="majorHAnsi" w:eastAsia="Arial" w:hAnsiTheme="majorHAnsi" w:cstheme="majorHAnsi"/>
          <w:i/>
          <w:iCs/>
          <w:sz w:val="24"/>
          <w:szCs w:val="24"/>
        </w:rPr>
        <w:t>Radio Pacífico</w:t>
      </w:r>
      <w:r w:rsidRPr="00C11430">
        <w:rPr>
          <w:rFonts w:asciiTheme="majorHAnsi" w:eastAsia="Arial" w:hAnsiTheme="majorHAnsi" w:cstheme="majorHAnsi"/>
          <w:sz w:val="24"/>
          <w:szCs w:val="24"/>
        </w:rPr>
        <w:t>, corridor radio—an informal network that circulates warnings and information when official channels fail. At this point, students decided to act collectively. Through Comi’s social media channels, they issued a public call for anonymous testimonies in order to file a collective complaint. Within two days, they received 64 testimonies. Members of Comi met on Zoom to read them together. As they listened, patterns emerged. One testimony described how Perez had pressed his leg against the student’s thigh during a workshop session. The student wrote that she did not know if anyone had noticed. Then another testimony appeared from a different corner of the same workshop space, describing the exact scene—witnessing the abuse and not knowing how to intervene. Suddenly, the narratives met. The student who thought she was alone was no longer alone. And fear shaped what came next. Rather than publishing the testimonies, Comi chose a different strategy. They feared that if they exposed the testimonies, the perpetrators could defame them and could sue them for libel. So they decided, as it happened in different cases, and as they learned from other collectives at different universities, to expose the structure of violence rather than individual stories. Together with feminist teachers, they drafted a letter demanding that Perez be suspended from teaching and from contact with students until the complaint was resolved.</w:t>
      </w:r>
    </w:p>
    <w:p w14:paraId="00000023"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shd w:val="clear" w:color="auto" w:fill="FFF2CC"/>
        </w:rPr>
        <w:br/>
      </w:r>
      <w:r w:rsidRPr="00C11430">
        <w:rPr>
          <w:rFonts w:asciiTheme="majorHAnsi" w:eastAsia="Arial" w:hAnsiTheme="majorHAnsi" w:cstheme="majorHAnsi"/>
          <w:sz w:val="24"/>
          <w:szCs w:val="24"/>
        </w:rPr>
        <w:t>Since teachers at that time had no formal representation, this group of feminist teachers and a student councillor read the letter aloud during a faculty directive council session. The letter was acknowledged briefly, and then the discussion moved on. Meanwhile, because it was still happening during the COVID pandemic, it was online. So the YouTube chat accompanying the live stream started to explode. Students wrote, “The faculty is re-victimising us. We can’t be patient while we are still being harassed.” This public, noisy intervention mattered. Under mounting pressure from students and teachers who said they would quit, the head of the chair of the cátedra forced Perez to stop teaching before the gender office even acted.</w:t>
      </w:r>
    </w:p>
    <w:p w14:paraId="00000024"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 xml:space="preserve">A year later, however, Perez returned; a partial agreement was reached. He would no longer teach certain courses, but he remained a professor. “One step forward,” Sol told me, “and then the institution pushes us three steps back.” Her voice carried years of exhaustion, and yet she kept organising. The Perez case shows, as I argue, that complaining, fuelled by </w:t>
      </w:r>
      <w:r w:rsidRPr="00C11430">
        <w:rPr>
          <w:rFonts w:asciiTheme="majorHAnsi" w:eastAsia="Arial" w:hAnsiTheme="majorHAnsi" w:cstheme="majorHAnsi"/>
          <w:i/>
          <w:iCs/>
          <w:sz w:val="24"/>
          <w:szCs w:val="24"/>
        </w:rPr>
        <w:t>hartazgo</w:t>
      </w:r>
      <w:r w:rsidRPr="00C11430">
        <w:rPr>
          <w:rFonts w:asciiTheme="majorHAnsi" w:eastAsia="Arial" w:hAnsiTheme="majorHAnsi" w:cstheme="majorHAnsi"/>
          <w:sz w:val="24"/>
          <w:szCs w:val="24"/>
        </w:rPr>
        <w:t>, functions as an affective infrastructure that sustains collective engagement and builds alliances across students, teachers, council members, and other actors within the university. Complaints leave traces. They leave affective traces of shared anger, care, and solidarity that transform individual fed-upness and frustration into collective attachment, responsibility, and activism in action. It also leaves sonic traces—</w:t>
      </w:r>
      <w:r w:rsidRPr="00C11430">
        <w:rPr>
          <w:rFonts w:asciiTheme="majorHAnsi" w:eastAsia="Arial" w:hAnsiTheme="majorHAnsi" w:cstheme="majorHAnsi"/>
          <w:i/>
          <w:iCs/>
          <w:sz w:val="24"/>
          <w:szCs w:val="24"/>
        </w:rPr>
        <w:t>Radio Pacífico</w:t>
      </w:r>
      <w:r w:rsidRPr="00C11430">
        <w:rPr>
          <w:rFonts w:asciiTheme="majorHAnsi" w:eastAsia="Arial" w:hAnsiTheme="majorHAnsi" w:cstheme="majorHAnsi"/>
          <w:sz w:val="24"/>
          <w:szCs w:val="24"/>
        </w:rPr>
        <w:t>, council speeches, and YouTube chat interventions—forms of feminist noise that make systemic violence visible and disrupt spaces organised around silence and discretion.</w:t>
      </w:r>
    </w:p>
    <w:p w14:paraId="00000025"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shd w:val="clear" w:color="auto" w:fill="FFF2CC"/>
        </w:rPr>
        <w:br/>
      </w:r>
      <w:r w:rsidRPr="00C11430">
        <w:rPr>
          <w:rFonts w:asciiTheme="majorHAnsi" w:eastAsia="Arial" w:hAnsiTheme="majorHAnsi" w:cstheme="majorHAnsi"/>
          <w:sz w:val="24"/>
          <w:szCs w:val="24"/>
        </w:rPr>
        <w:t xml:space="preserve">So complaining here is not just refusal; it’s a relational and generative practice, a way to create new spaces of solidarity, make violence audible, and sustain collective presence, even when institutional action is slow or insufficient. Despite the repeated refrain that </w:t>
      </w:r>
      <w:r w:rsidRPr="00C11430">
        <w:rPr>
          <w:rFonts w:asciiTheme="majorHAnsi" w:eastAsia="Arial" w:hAnsiTheme="majorHAnsi" w:cstheme="majorHAnsi"/>
          <w:i/>
          <w:iCs/>
          <w:sz w:val="24"/>
          <w:szCs w:val="24"/>
        </w:rPr>
        <w:t>no pasó nada</w:t>
      </w:r>
      <w:r w:rsidRPr="00C11430">
        <w:rPr>
          <w:rFonts w:asciiTheme="majorHAnsi" w:eastAsia="Arial" w:hAnsiTheme="majorHAnsi" w:cstheme="majorHAnsi"/>
          <w:sz w:val="24"/>
          <w:szCs w:val="24"/>
        </w:rPr>
        <w:t xml:space="preserve">—nothing happened—these practices show that actually a lot happened and continues to have effects. I want to return briefly, to conclude, to Mane, to this feminist </w:t>
      </w:r>
      <w:r w:rsidRPr="00C11430">
        <w:rPr>
          <w:rFonts w:asciiTheme="majorHAnsi" w:eastAsia="Arial" w:hAnsiTheme="majorHAnsi" w:cstheme="majorHAnsi"/>
          <w:sz w:val="24"/>
          <w:szCs w:val="24"/>
        </w:rPr>
        <w:lastRenderedPageBreak/>
        <w:t xml:space="preserve">teacher standing outside FADU saying, </w:t>
      </w:r>
      <w:r w:rsidRPr="00C11430">
        <w:rPr>
          <w:rFonts w:asciiTheme="majorHAnsi" w:eastAsia="Arial" w:hAnsiTheme="majorHAnsi" w:cstheme="majorHAnsi"/>
          <w:i/>
          <w:iCs/>
          <w:sz w:val="24"/>
          <w:szCs w:val="24"/>
        </w:rPr>
        <w:t>estoy harta</w:t>
      </w:r>
      <w:r w:rsidRPr="00C11430">
        <w:rPr>
          <w:rFonts w:asciiTheme="majorHAnsi" w:eastAsia="Arial" w:hAnsiTheme="majorHAnsi" w:cstheme="majorHAnsi"/>
          <w:sz w:val="24"/>
          <w:szCs w:val="24"/>
        </w:rPr>
        <w:t xml:space="preserve">. I’m fed up. So I think </w:t>
      </w:r>
      <w:r w:rsidRPr="00C11430">
        <w:rPr>
          <w:rFonts w:asciiTheme="majorHAnsi" w:eastAsia="Arial" w:hAnsiTheme="majorHAnsi" w:cstheme="majorHAnsi"/>
          <w:i/>
          <w:iCs/>
          <w:sz w:val="24"/>
          <w:szCs w:val="24"/>
        </w:rPr>
        <w:t>hartazgo</w:t>
      </w:r>
      <w:r w:rsidRPr="00C11430">
        <w:rPr>
          <w:rFonts w:asciiTheme="majorHAnsi" w:eastAsia="Arial" w:hAnsiTheme="majorHAnsi" w:cstheme="majorHAnsi"/>
          <w:sz w:val="24"/>
          <w:szCs w:val="24"/>
        </w:rPr>
        <w:t xml:space="preserve"> names here this shared condition of living with perceived institutional inaction and the repeated frustrations of gender-based violence being minimised, delayed, or archived. But this ethnography also shows that </w:t>
      </w:r>
      <w:r w:rsidRPr="00C11430">
        <w:rPr>
          <w:rFonts w:asciiTheme="majorHAnsi" w:eastAsia="Arial" w:hAnsiTheme="majorHAnsi" w:cstheme="majorHAnsi"/>
          <w:i/>
          <w:iCs/>
          <w:sz w:val="24"/>
          <w:szCs w:val="24"/>
        </w:rPr>
        <w:t>hartazgo</w:t>
      </w:r>
      <w:r w:rsidRPr="00C11430">
        <w:rPr>
          <w:rFonts w:asciiTheme="majorHAnsi" w:eastAsia="Arial" w:hAnsiTheme="majorHAnsi" w:cstheme="majorHAnsi"/>
          <w:sz w:val="24"/>
          <w:szCs w:val="24"/>
        </w:rPr>
        <w:t xml:space="preserve"> is very generative. It allows people to keep complaining together again and again, despite this exhaustion, and then, in the process, to build alliances across students, teachers, council members.</w:t>
      </w:r>
    </w:p>
    <w:p w14:paraId="00000026"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 xml:space="preserve">So complaining here is not only about confronting the institution; it is a practice that creates new spaces within the university—spaces of solidarity, care, and collective political action. And university authorities often treat complaints as these individual problems. We know, I think everyone in this group on this Zoom call knows it—these individual problems to be managed, neutralised, archived, or silenced. However, the work of Comi, of this collective and its allies, shows that complaints can function as collective feminist infrastructures. They weave these networks, they make systemic violence visible, and sustain presence and accountability in spaces where the institution appears inert. And finally, despite this repeated refrain from my interlocutors that </w:t>
      </w:r>
      <w:r w:rsidRPr="00C11430">
        <w:rPr>
          <w:rFonts w:asciiTheme="majorHAnsi" w:eastAsia="Arial" w:hAnsiTheme="majorHAnsi" w:cstheme="majorHAnsi"/>
          <w:i/>
          <w:iCs/>
          <w:sz w:val="24"/>
          <w:szCs w:val="24"/>
        </w:rPr>
        <w:t>no pasó nada</w:t>
      </w:r>
      <w:r w:rsidRPr="00C11430">
        <w:rPr>
          <w:rFonts w:asciiTheme="majorHAnsi" w:eastAsia="Arial" w:hAnsiTheme="majorHAnsi" w:cstheme="majorHAnsi"/>
          <w:sz w:val="24"/>
          <w:szCs w:val="24"/>
        </w:rPr>
        <w:t xml:space="preserve">, I think this ethnographic material shows that so much happens through </w:t>
      </w:r>
      <w:r w:rsidRPr="00C11430">
        <w:rPr>
          <w:rFonts w:asciiTheme="majorHAnsi" w:eastAsia="Arial" w:hAnsiTheme="majorHAnsi" w:cstheme="majorHAnsi"/>
          <w:i/>
          <w:iCs/>
          <w:sz w:val="24"/>
          <w:szCs w:val="24"/>
        </w:rPr>
        <w:t>hartazgo</w:t>
      </w:r>
      <w:r w:rsidRPr="00C11430">
        <w:rPr>
          <w:rFonts w:asciiTheme="majorHAnsi" w:eastAsia="Arial" w:hAnsiTheme="majorHAnsi" w:cstheme="majorHAnsi"/>
          <w:sz w:val="24"/>
          <w:szCs w:val="24"/>
        </w:rPr>
        <w:t>, through complaining, and through the alliances and spaces it produces. This feminist practice reshapes the terrain of the university, leaving traces that endure long after any single complaint is expressed, articulated, or filed. Thank you.</w:t>
      </w:r>
    </w:p>
    <w:p w14:paraId="00000027"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b/>
          <w:bCs/>
          <w:sz w:val="24"/>
          <w:szCs w:val="24"/>
        </w:rPr>
        <w:t>Tiffany Page:</w:t>
      </w:r>
      <w:r w:rsidRPr="00C11430">
        <w:rPr>
          <w:rFonts w:asciiTheme="majorHAnsi" w:eastAsia="Arial" w:hAnsiTheme="majorHAnsi" w:cstheme="majorHAnsi"/>
          <w:sz w:val="24"/>
          <w:szCs w:val="24"/>
        </w:rPr>
        <w:br/>
        <w:t xml:space="preserve">Great. Thanks so much, Maya. We’ll move on to our next speaker. This is Claudia Schwartz from the Karl Landsteiner University, and Claudia’s paper is entitled </w:t>
      </w:r>
      <w:r w:rsidRPr="00C11430">
        <w:rPr>
          <w:rFonts w:asciiTheme="majorHAnsi" w:eastAsia="Arial" w:hAnsiTheme="majorHAnsi" w:cstheme="majorHAnsi"/>
          <w:i/>
          <w:iCs/>
          <w:sz w:val="24"/>
          <w:szCs w:val="24"/>
        </w:rPr>
        <w:t>Transformative Learnings from MeTooSTS, WeDoSTS: Movement Against Gender-Based Academic Violence</w:t>
      </w:r>
      <w:r w:rsidRPr="00C11430">
        <w:rPr>
          <w:rFonts w:asciiTheme="majorHAnsi" w:eastAsia="Arial" w:hAnsiTheme="majorHAnsi" w:cstheme="majorHAnsi"/>
          <w:sz w:val="24"/>
          <w:szCs w:val="24"/>
        </w:rPr>
        <w:t>. Thanks, Claudia.</w:t>
      </w:r>
    </w:p>
    <w:p w14:paraId="00000028"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b/>
          <w:bCs/>
          <w:sz w:val="24"/>
          <w:szCs w:val="24"/>
        </w:rPr>
        <w:t>Claudia Gertraud Schwarz:</w:t>
      </w:r>
      <w:r w:rsidRPr="00C11430">
        <w:rPr>
          <w:rFonts w:asciiTheme="majorHAnsi" w:eastAsia="Arial" w:hAnsiTheme="majorHAnsi" w:cstheme="majorHAnsi"/>
          <w:sz w:val="24"/>
          <w:szCs w:val="24"/>
        </w:rPr>
        <w:br/>
        <w:t>I think you're seeing them now. Yeah, great. Yeah, thanks for the introduction and also the two really inspiring talks so far. I’ve learned a lot. Yeah, I’m talking about the movement I started about three years ago in my research field, Science and Technology Studies (STS), an interdisciplinary research field. And I’m also positioning myself as an activist, a scholar, and a survivor from my childhood onwards, where I already experienced sexual violence. And for me, this is really important because this part of my story has also been wielded against me by actors in my story. And yeah, from early onwards my world was kind of shattered, and I’m still piecing it together.</w:t>
      </w:r>
    </w:p>
    <w:p w14:paraId="00000029"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And yeah, my experience on this slide, I’m trying to reassemble the main points, pivotal moments in me coming into my feminist consciousness and also doing what Sara Ahmed wonderfully describes as feminist snapping activities. So here I just list a few points in my career. I started at my first international conference in Istanbul, where I was already targeted by the male keynote speaker, and then later similar boundary violations and experiences in STS. And yeah, all of this led up to 2016, where I had my first public feminist snap moments at a conference. And that was already, of course, during the emergence of the MeToo movement. But it still took a while for me to fully understand what was going on and what my role in this broader story could be.</w:t>
      </w:r>
    </w:p>
    <w:p w14:paraId="0000002A"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br/>
        <w:t xml:space="preserve">And so in 2018, I got a prestigious fellowship to go to Harvard University, one of the best </w:t>
      </w:r>
      <w:r w:rsidRPr="00C11430">
        <w:rPr>
          <w:rFonts w:asciiTheme="majorHAnsi" w:eastAsia="Arial" w:hAnsiTheme="majorHAnsi" w:cstheme="majorHAnsi"/>
          <w:sz w:val="24"/>
          <w:szCs w:val="24"/>
        </w:rPr>
        <w:lastRenderedPageBreak/>
        <w:t>programs in my field. And there I again suffered harassment by male fellows in a very toxic environment. That led to a breakdown and to another feminist snap—my main big feminist snap. And this led to me needing to exit that research group, the university, and being excluded from that whole program and their wider network. So this was really my moment of, yeah, very traumatising, of course, but also making me realise something needed to change and I also needed to be active, because this obviously made me very depressed. And so I got a lot of influences that kind of made me become more active. I also formed a network, a feminist repair team, we called ourselves, of other survivors. And I got influenced by other activists, like the MeToo STEM movement, and also at Harvard University where students in the General Anthropology Department were publicly opposing sexual harassment by a star professor. All of this influenced me a lot, along with other social movements in the United States at the time.</w:t>
      </w:r>
    </w:p>
    <w:p w14:paraId="0000002B"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And so, while becoming very depressed, I also realised that it can’t go on like that and I needed to become more active and speak out. And I really reached this moment when I was invited by the programme where I had experienced the harassment and exclusion to contribute a testimonial to their 20th anniversary celebrations. And then I really thought, not with me. I’m giving my own testimonial, and I’m going to do it during their celebrations. And so I wrote very fast, with the support of other colleagues and survivors, a public post about my story, published it on Medium, and then did a social media campaign mainly on Twitter/X in 2022. And that generated a huge public debate and outcry in that research field and beyond. And I got a lot of support also from leaders in the field, like the president of the European Society in the field and others. Students also joined the movement at different universities, and professional associations started to act and develop codes of conduct. So a lot was going on. But I have to say also, for me, starting a social media campaign as a very vulnerable person and survivor wasn’t good. I suffered, as many of you know, burnout. And yeah, that didn’t help.</w:t>
      </w:r>
    </w:p>
    <w:p w14:paraId="0000002C"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And also immediately, as you might also expect, the retaliation started, which I wasn’t really prepared for actually, although of course I had thought about it. So the first person who had harassed me in that programme used a lawyer to threaten me with a defamation lawsuit. And this is the notion of SLAPP—Strategic Lawsuits Against Public Participation—that are often used in cases like these. As I’ve learned, there is now also an EU rule that tries to protect against that, but that wasn’t yet the case when I received this in 2023. So I had to deal with that, had to find a lawyer, and had to negotiate with the other lawyer. He wanted me to take everything down and say that everything was a lie, of course. And so this went on for a while, and it ended with me changing the original post, also taking out the sexual harassment part because it wasn’t a physical impact or physical harassment. So I had to change the original post, but I still got the message across, and the post is still online.</w:t>
      </w:r>
    </w:p>
    <w:p w14:paraId="0000002D"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 xml:space="preserve">At the same time, another form of retaliation I faced was that the professor who excluded me, and another perpetrator at Harvard University, used the internal complaint apparatus against me, although I wasn’t at that university anymore for many years, because I was excluded. So they used that mechanism. And that was, again, of course, very hard to find out how to navigate that. But I realised also, based on the literature and my own experience and the experience of other survivors, that it would be best to resist these institutional complaint processes, and that this was actually the empowerment I needed to say no to the university and their structures that had already harmed me so much. And I did. So I wrote to </w:t>
      </w:r>
      <w:r w:rsidRPr="00C11430">
        <w:rPr>
          <w:rFonts w:asciiTheme="majorHAnsi" w:eastAsia="Arial" w:hAnsiTheme="majorHAnsi" w:cstheme="majorHAnsi"/>
          <w:sz w:val="24"/>
          <w:szCs w:val="24"/>
        </w:rPr>
        <w:lastRenderedPageBreak/>
        <w:t>that investigator that I was not joining in these complaint processes against me, and I never looked at anything from that investigator again until I went back to Harvard about one and a half years later, because I was co-organising a conference with another colleague in a completely different context there. So I looked into what I had received from the investigator, and it was over 100 emails and several reports. I now call it the Harvard files.</w:t>
      </w:r>
    </w:p>
    <w:p w14:paraId="0000002E"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And I was of course very afraid to open that. But then it turned out that it was really hilarious because of the entitlements that were just speaking throughout what they had written and tried to claim. And in the end also Harvard dismissed their complaints as unfounded, of course. And then I went back even to the, because I was there on site, to the Gender Equity Office and yeah, just to see. And they basically asked me, do you want to file a complaint? And I said, no, of course not. I'm doing my own kind of justice work. I don't need your processes. Yeah. And of course there were other acts happening against me, more behind the scenes, like threatening event organizers where I was speaking and yeah, just power moves behind the back because these are powerful actors in my field.</w:t>
      </w:r>
    </w:p>
    <w:p w14:paraId="0000002F"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But in the positive, already quite after I came out with my story, colleagues from my feminist group, we made our, like a kind of fancy-style game to imagine alternative academic futures, and went to the major conference in the field with that. And we got the making-and-doing award from the conference organizer for this work. And also this is so hilarious because the guy who then filed the complaint against me at Harvard, he also like said, oh, and I was so afraid to attend that conference. And she even got an award for her work there. You need to do something about this. Like how crazy can it get? Yeah. And also, yeah, there were several instances then at conferences where I tried to speak up more about what was going on. And that also led to further pushback behind the scenes.</w:t>
      </w:r>
    </w:p>
    <w:p w14:paraId="00000030" w14:textId="77777777" w:rsidR="00B35DB6" w:rsidRPr="00C11430" w:rsidRDefault="00B35DB6">
      <w:pPr>
        <w:spacing w:after="200"/>
        <w:rPr>
          <w:rFonts w:asciiTheme="majorHAnsi" w:eastAsia="Arial" w:hAnsiTheme="majorHAnsi" w:cstheme="majorHAnsi"/>
          <w:sz w:val="24"/>
          <w:szCs w:val="24"/>
        </w:rPr>
      </w:pPr>
    </w:p>
    <w:p w14:paraId="00000031"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And yeah, this is a long story, but in the end, although were regulated and managed by also a conference organizer’s team, we still could organize a session with the We Do STS label at the major conference one and a half years ago, which was a huge success to even get in there and to have survivors stand up there and tell their stories, even though in an anonymous way. Yeah. So what is this, what I'm doing with this Me Too STS, We Do STS movement I've started? So for me this is really part of my lifelong healing work, individually and collectively, of healing from gender-based violence. It is also an experimental STS-informed social movement. Because my field has a lot of knowledge on how to do participation and it's so interdisciplinary and all about changing who counts as an expert.</w:t>
      </w:r>
    </w:p>
    <w:p w14:paraId="00000032" w14:textId="77777777" w:rsidR="00B35DB6" w:rsidRPr="00C11430" w:rsidRDefault="00B35DB6">
      <w:pPr>
        <w:spacing w:after="200"/>
        <w:rPr>
          <w:rFonts w:asciiTheme="majorHAnsi" w:eastAsia="Arial" w:hAnsiTheme="majorHAnsi" w:cstheme="majorHAnsi"/>
          <w:sz w:val="24"/>
          <w:szCs w:val="24"/>
        </w:rPr>
      </w:pPr>
    </w:p>
    <w:p w14:paraId="00000033"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 xml:space="preserve">So what I'm doing is we are exploring existing power structures in our own field. We test their limits and we actively try to transform them through the production and application of transdisciplinary, queer, feminist knowledge. And in the broader scheme, this is of course part of the evolution of the MeToo movement because for me, like speaking out is an important first step, but we need sustainable change and also affirmative visions and arenas like this one where we can test out futures that then might also move to other fields. Especially that we STS, We Do STS. Part of the movement is also about a new ethic in the </w:t>
      </w:r>
      <w:r w:rsidRPr="00C11430">
        <w:rPr>
          <w:rFonts w:asciiTheme="majorHAnsi" w:eastAsia="Arial" w:hAnsiTheme="majorHAnsi" w:cstheme="majorHAnsi"/>
          <w:sz w:val="24"/>
          <w:szCs w:val="24"/>
        </w:rPr>
        <w:lastRenderedPageBreak/>
        <w:t>field that turns our field-specific epistemic commitments reflexively back onto the members of the field so that we become more an embodiment of integrity in the field.</w:t>
      </w:r>
    </w:p>
    <w:p w14:paraId="00000034" w14:textId="77777777" w:rsidR="00B35DB6" w:rsidRPr="00C11430" w:rsidRDefault="00B35DB6">
      <w:pPr>
        <w:spacing w:after="200"/>
        <w:rPr>
          <w:rFonts w:asciiTheme="majorHAnsi" w:eastAsia="Arial" w:hAnsiTheme="majorHAnsi" w:cstheme="majorHAnsi"/>
          <w:sz w:val="24"/>
          <w:szCs w:val="24"/>
        </w:rPr>
      </w:pPr>
    </w:p>
    <w:p w14:paraId="00000035"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And it's also situated as a transformative justice process and project that's about changing the systemic conditions that produce gender-based violence in the first place. Some of my transformative learning from this very energy-intensive and difficult three years now, I always saw this as a kind of experiment in my field. And yeah, with any experiment you don't really know or cannot really predict what comes out. And yeah, it shows that trying to pursue radical change really entails a lot of setbacks, of course, obstacles, you get new scars, but you also learn a lot. And that's part of what research is about, right? And the feedback you get is very energising.</w:t>
      </w:r>
    </w:p>
    <w:p w14:paraId="00000036" w14:textId="77777777" w:rsidR="00B35DB6" w:rsidRPr="00C11430" w:rsidRDefault="00B35DB6">
      <w:pPr>
        <w:spacing w:after="200"/>
        <w:rPr>
          <w:rFonts w:asciiTheme="majorHAnsi" w:eastAsia="Arial" w:hAnsiTheme="majorHAnsi" w:cstheme="majorHAnsi"/>
          <w:sz w:val="24"/>
          <w:szCs w:val="24"/>
        </w:rPr>
      </w:pPr>
    </w:p>
    <w:p w14:paraId="00000037"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t>Like when I came out, there was a lot of energy forming, and I think it has already transformed a lot in the field, but there's still a lot of work to do. And okay, great. And for me it was like when I knew I had to do this, it was like a window of opportunity suddenly opened, and I knew there was no alternative for me then to do this work. And then also there came knowledge, resources, support system, solidarity. So that's always me saying, yeah, we can take this step. But it also raises the question of which enabling factors must align for our empowerment. And for me, a big role here is having good activist role models, supportive social network.</w:t>
      </w:r>
    </w:p>
    <w:p w14:paraId="00000038" w14:textId="77777777" w:rsidR="00B35DB6" w:rsidRPr="00C11430" w:rsidRDefault="00B35DB6">
      <w:pPr>
        <w:spacing w:after="200"/>
        <w:rPr>
          <w:rFonts w:asciiTheme="majorHAnsi" w:eastAsia="Arial" w:hAnsiTheme="majorHAnsi" w:cstheme="majorHAnsi"/>
          <w:sz w:val="24"/>
          <w:szCs w:val="24"/>
        </w:rPr>
      </w:pPr>
    </w:p>
    <w:p w14:paraId="00000039" w14:textId="77777777" w:rsidR="00B35DB6" w:rsidRPr="00C11430" w:rsidRDefault="00000000">
      <w:pPr>
        <w:spacing w:after="200"/>
        <w:rPr>
          <w:rFonts w:asciiTheme="majorHAnsi" w:eastAsia="Arial" w:hAnsiTheme="majorHAnsi" w:cstheme="majorHAnsi"/>
          <w:sz w:val="24"/>
          <w:szCs w:val="24"/>
          <w:shd w:val="clear" w:color="auto" w:fill="FFF2CC"/>
        </w:rPr>
      </w:pPr>
      <w:r w:rsidRPr="00C11430">
        <w:rPr>
          <w:rFonts w:asciiTheme="majorHAnsi" w:eastAsia="Arial" w:hAnsiTheme="majorHAnsi" w:cstheme="majorHAnsi"/>
          <w:sz w:val="24"/>
          <w:szCs w:val="24"/>
        </w:rPr>
        <w:t>And yeah, as also the previous speaker said, this kind of more movement-making and the more legal or institutional complaints, as we saw, they are not separate, they kind of go together. You have to deal with both at the same time. And I'm calling also for people not to yet follow my example blindly because it was so costly, still is. But that we can also find safer forms of going public for other survivors. And that's what I'm working on to bring in more survivors in my field. I've known more now and yeah, I think this must be done. And yeah, that we have to deal with retaliation and need to find and build structures that can help survivors, yeah, survive through retaliation. And for me, as I started out, I'm a scholar, I'm an activist, I'm a survivor. But my experience is also that holding all of these identities simultaneously is difficult and often not possible. So what I learned is to shift between them during different phases.</w:t>
      </w:r>
    </w:p>
    <w:p w14:paraId="0000003A" w14:textId="77777777" w:rsidR="00B35DB6" w:rsidRPr="00C11430" w:rsidRDefault="00000000">
      <w:pPr>
        <w:spacing w:after="200"/>
        <w:rPr>
          <w:rFonts w:asciiTheme="majorHAnsi" w:eastAsia="Arial" w:hAnsiTheme="majorHAnsi" w:cstheme="majorHAnsi"/>
          <w:sz w:val="24"/>
          <w:szCs w:val="24"/>
        </w:rPr>
      </w:pPr>
      <w:r w:rsidRPr="00C11430">
        <w:rPr>
          <w:rFonts w:asciiTheme="majorHAnsi" w:eastAsia="Arial" w:hAnsiTheme="majorHAnsi" w:cstheme="majorHAnsi"/>
          <w:sz w:val="24"/>
          <w:szCs w:val="24"/>
        </w:rPr>
        <w:br/>
      </w:r>
      <w:r w:rsidRPr="00C11430">
        <w:rPr>
          <w:rFonts w:asciiTheme="majorHAnsi" w:eastAsia="Arial" w:hAnsiTheme="majorHAnsi" w:cstheme="majorHAnsi"/>
          <w:b/>
          <w:bCs/>
          <w:sz w:val="24"/>
          <w:szCs w:val="24"/>
        </w:rPr>
        <w:t>Tiffany Page:</w:t>
      </w:r>
      <w:r w:rsidRPr="00C11430">
        <w:rPr>
          <w:rFonts w:asciiTheme="majorHAnsi" w:eastAsia="Arial" w:hAnsiTheme="majorHAnsi" w:cstheme="majorHAnsi"/>
          <w:sz w:val="24"/>
          <w:szCs w:val="24"/>
        </w:rPr>
        <w:br/>
        <w:t xml:space="preserve">Great. Thanks so much, Claudia. </w:t>
      </w:r>
    </w:p>
    <w:p w14:paraId="0000003B" w14:textId="77777777" w:rsidR="00B35DB6" w:rsidRDefault="00000000">
      <w:pPr>
        <w:spacing w:after="200"/>
        <w:rPr>
          <w:rFonts w:ascii="Arial" w:eastAsia="Arial" w:hAnsi="Arial" w:cs="Arial"/>
          <w:sz w:val="18"/>
          <w:szCs w:val="18"/>
        </w:rPr>
      </w:pPr>
      <w:r w:rsidRPr="00C11430">
        <w:rPr>
          <w:rFonts w:asciiTheme="majorHAnsi" w:eastAsia="Arial" w:hAnsiTheme="majorHAnsi" w:cstheme="majorHAnsi"/>
          <w:sz w:val="24"/>
          <w:szCs w:val="24"/>
          <w:shd w:val="clear" w:color="auto" w:fill="FFF2CC"/>
        </w:rPr>
        <w:br/>
      </w:r>
      <w:r w:rsidRPr="00C11430">
        <w:rPr>
          <w:rFonts w:asciiTheme="majorHAnsi" w:eastAsia="Arial" w:hAnsiTheme="majorHAnsi" w:cstheme="majorHAnsi"/>
          <w:b/>
          <w:bCs/>
          <w:sz w:val="24"/>
          <w:szCs w:val="24"/>
        </w:rPr>
        <w:t>Outro</w:t>
      </w:r>
      <w:r w:rsidRPr="00C11430">
        <w:rPr>
          <w:rFonts w:asciiTheme="majorHAnsi" w:eastAsia="Arial" w:hAnsiTheme="majorHAnsi" w:cstheme="majorHAnsi"/>
          <w:sz w:val="24"/>
          <w:szCs w:val="24"/>
        </w:rPr>
        <w:br/>
        <w:t xml:space="preserve">Thank you for listening. If you're interested in the FEM Ideas Project and some of its recent work, they have published a set of reports on addressing and preventing sexual and gender-based violence in higher education across Argentina, Brazil, South Africa, and Nigeria. The reports highlight key findings from the research and offer recommendations for developing </w:t>
      </w:r>
      <w:r w:rsidRPr="00C11430">
        <w:rPr>
          <w:rFonts w:asciiTheme="majorHAnsi" w:eastAsia="Arial" w:hAnsiTheme="majorHAnsi" w:cstheme="majorHAnsi"/>
          <w:sz w:val="24"/>
          <w:szCs w:val="24"/>
        </w:rPr>
        <w:lastRenderedPageBreak/>
        <w:t xml:space="preserve">survivor-centred and trauma-informed approaches in universities. You can find the reports and additional information on their website, </w:t>
      </w:r>
      <w:hyperlink r:id="rId9">
        <w:r w:rsidR="00B35DB6" w:rsidRPr="00C11430">
          <w:rPr>
            <w:rFonts w:asciiTheme="majorHAnsi" w:eastAsia="Arial" w:hAnsiTheme="majorHAnsi" w:cstheme="majorHAnsi"/>
            <w:color w:val="1155CC"/>
            <w:sz w:val="24"/>
            <w:szCs w:val="24"/>
            <w:u w:val="single"/>
          </w:rPr>
          <w:t>femideas.com</w:t>
        </w:r>
      </w:hyperlink>
      <w:r>
        <w:rPr>
          <w:rFonts w:ascii="Arial" w:eastAsia="Arial" w:hAnsi="Arial" w:cs="Arial"/>
          <w:sz w:val="18"/>
          <w:szCs w:val="18"/>
        </w:rPr>
        <w:t>.</w:t>
      </w:r>
    </w:p>
    <w:sectPr w:rsidR="00B35DB6" w:rsidSect="00C36251">
      <w:headerReference w:type="default" r:id="rId10"/>
      <w:footerReference w:type="default" r:id="rId11"/>
      <w:headerReference w:type="first" r:id="rId12"/>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CA0E1C" w14:textId="77777777" w:rsidR="00236B8E" w:rsidRDefault="00236B8E">
      <w:r>
        <w:separator/>
      </w:r>
    </w:p>
  </w:endnote>
  <w:endnote w:type="continuationSeparator" w:id="0">
    <w:p w14:paraId="75D5FE2B" w14:textId="77777777" w:rsidR="00236B8E" w:rsidRDefault="00236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9AA865F6-0C5A-E045-BEFD-18008CB03FA4}"/>
    <w:embedBold r:id="rId2" w:fontKey="{04A062D0-51A7-9248-89E3-E2E01C875518}"/>
    <w:embedItalic r:id="rId3" w:fontKey="{83D48548-DFA8-2144-A9A8-4D6DB5209E74}"/>
  </w:font>
  <w:font w:name="Georgia">
    <w:panose1 w:val="02040502050405020303"/>
    <w:charset w:val="00"/>
    <w:family w:val="roman"/>
    <w:pitch w:val="variable"/>
    <w:sig w:usb0="00000287" w:usb1="00000000" w:usb2="00000000" w:usb3="00000000" w:csb0="0000009F" w:csb1="00000000"/>
    <w:embedItalic r:id="rId4" w:fontKey="{8045D2F9-6361-C14F-872F-AA10A3D8AECF}"/>
  </w:font>
  <w:font w:name="Calibri">
    <w:panose1 w:val="020F0502020204030204"/>
    <w:charset w:val="00"/>
    <w:family w:val="swiss"/>
    <w:pitch w:val="variable"/>
    <w:sig w:usb0="E4002EFF" w:usb1="C000247B" w:usb2="00000009" w:usb3="00000000" w:csb0="000001FF" w:csb1="00000000"/>
    <w:embedRegular r:id="rId5" w:fontKey="{6669BBCD-29CA-CE48-9880-FC7DEFFB9760}"/>
    <w:embedBold r:id="rId6" w:fontKey="{BE109654-937E-7144-AB63-DF3DA8525DEE}"/>
    <w:embedItalic r:id="rId7" w:fontKey="{45977010-742D-FB4B-8B28-CA979DAB70BA}"/>
  </w:font>
  <w:font w:name="Arial">
    <w:panose1 w:val="020B0604020202020204"/>
    <w:charset w:val="00"/>
    <w:family w:val="swiss"/>
    <w:pitch w:val="variable"/>
    <w:sig w:usb0="E0002EFF" w:usb1="C000785B" w:usb2="00000009" w:usb3="00000000" w:csb0="000001FF" w:csb1="00000000"/>
    <w:embedRegular r:id="rId8" w:fontKey="{F138614C-1AD4-8247-AE73-C47CD838BE33}"/>
    <w:embedBold r:id="rId9" w:fontKey="{59DDA42E-F9AC-F242-BA0A-47EE72557407}"/>
    <w:embedItalic r:id="rId10" w:fontKey="{BFB9F0F1-B418-8347-BA05-0249786A0E79}"/>
  </w:font>
  <w:font w:name="Cambria">
    <w:panose1 w:val="02040503050406030204"/>
    <w:charset w:val="00"/>
    <w:family w:val="roman"/>
    <w:pitch w:val="variable"/>
    <w:sig w:usb0="E00002FF" w:usb1="400004FF" w:usb2="00000000" w:usb3="00000000" w:csb0="0000019F" w:csb1="00000000"/>
    <w:embedRegular r:id="rId11" w:fontKey="{00059E02-F3E7-2D4B-B6B4-C05CBCC1D6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7B5D8C" w14:textId="77777777" w:rsidR="00C36251" w:rsidRPr="00922FC4" w:rsidRDefault="00C36251" w:rsidP="00C36251">
    <w:pPr>
      <w:pStyle w:val="Footer"/>
      <w:jc w:val="right"/>
      <w:rPr>
        <w:rFonts w:asciiTheme="majorHAnsi" w:hAnsiTheme="majorHAnsi" w:cstheme="majorHAnsi"/>
      </w:rPr>
    </w:pPr>
    <w:r w:rsidRPr="00922FC4">
      <w:rPr>
        <w:rFonts w:asciiTheme="majorHAnsi" w:hAnsiTheme="majorHAnsi" w:cstheme="majorHAnsi"/>
      </w:rPr>
      <w:t xml:space="preserve">This work is licensed under </w:t>
    </w:r>
    <w:r w:rsidRPr="00922FC4">
      <w:rPr>
        <w:rFonts w:asciiTheme="majorHAnsi" w:hAnsiTheme="majorHAnsi" w:cstheme="majorHAnsi"/>
        <w:color w:val="E36C0A" w:themeColor="accent6" w:themeShade="BF"/>
      </w:rPr>
      <w:t xml:space="preserve">CC BY-NC-ND 4.0 </w:t>
    </w:r>
  </w:p>
  <w:p w14:paraId="445C9D3B" w14:textId="77777777" w:rsidR="00C36251" w:rsidRDefault="00C36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B230E6" w14:textId="77777777" w:rsidR="00236B8E" w:rsidRDefault="00236B8E">
      <w:r>
        <w:separator/>
      </w:r>
    </w:p>
  </w:footnote>
  <w:footnote w:type="continuationSeparator" w:id="0">
    <w:p w14:paraId="098B4C57" w14:textId="77777777" w:rsidR="00236B8E" w:rsidRDefault="00236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691B9" w14:textId="77777777" w:rsidR="00201CE5" w:rsidRDefault="00201CE5" w:rsidP="00201CE5">
    <w:r>
      <w:rPr>
        <w:noProof/>
      </w:rPr>
      <w:drawing>
        <wp:anchor distT="0" distB="0" distL="114300" distR="114300" simplePos="0" relativeHeight="251660288" behindDoc="1" locked="0" layoutInCell="1" allowOverlap="1" wp14:anchorId="36912466" wp14:editId="792E2DC0">
          <wp:simplePos x="0" y="0"/>
          <wp:positionH relativeFrom="column">
            <wp:posOffset>3412490</wp:posOffset>
          </wp:positionH>
          <wp:positionV relativeFrom="paragraph">
            <wp:posOffset>90170</wp:posOffset>
          </wp:positionV>
          <wp:extent cx="1497330" cy="203835"/>
          <wp:effectExtent l="0" t="0" r="1270" b="0"/>
          <wp:wrapTight wrapText="bothSides">
            <wp:wrapPolygon edited="0">
              <wp:start x="0" y="0"/>
              <wp:lineTo x="0" y="20187"/>
              <wp:lineTo x="21435" y="20187"/>
              <wp:lineTo x="21435" y="0"/>
              <wp:lineTo x="0" y="0"/>
            </wp:wrapPolygon>
          </wp:wrapTight>
          <wp:docPr id="1317766350" name="Picture 1" descr="A purple letter 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6350" name="Picture 1" descr="A purple letter 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7330" cy="203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B9E10A3" wp14:editId="79F14103">
          <wp:simplePos x="0" y="0"/>
          <wp:positionH relativeFrom="column">
            <wp:posOffset>5161280</wp:posOffset>
          </wp:positionH>
          <wp:positionV relativeFrom="paragraph">
            <wp:posOffset>-245745</wp:posOffset>
          </wp:positionV>
          <wp:extent cx="769620" cy="769620"/>
          <wp:effectExtent l="0" t="0" r="5080" b="5080"/>
          <wp:wrapTight wrapText="bothSides">
            <wp:wrapPolygon edited="0">
              <wp:start x="1426" y="0"/>
              <wp:lineTo x="1426" y="1426"/>
              <wp:lineTo x="3564" y="6059"/>
              <wp:lineTo x="1782" y="8198"/>
              <wp:lineTo x="0" y="10693"/>
              <wp:lineTo x="0" y="13188"/>
              <wp:lineTo x="1069" y="18535"/>
              <wp:lineTo x="4277" y="20673"/>
              <wp:lineTo x="5703" y="21386"/>
              <wp:lineTo x="11050" y="21386"/>
              <wp:lineTo x="16752" y="20673"/>
              <wp:lineTo x="19960" y="19604"/>
              <wp:lineTo x="19604" y="17465"/>
              <wp:lineTo x="21386" y="13901"/>
              <wp:lineTo x="21386" y="3921"/>
              <wp:lineTo x="17109" y="2139"/>
              <wp:lineTo x="6059" y="0"/>
              <wp:lineTo x="1426" y="0"/>
            </wp:wrapPolygon>
          </wp:wrapTight>
          <wp:docPr id="523191554" name="Picture 2" descr="A group of people reading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91554" name="Picture 2" descr="A group of people reading book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000003C" w14:textId="77777777" w:rsidR="00B35DB6" w:rsidRDefault="00B35DB6">
    <w:pPr>
      <w:widowControl w:val="0"/>
      <w:pBdr>
        <w:top w:val="nil"/>
        <w:left w:val="nil"/>
        <w:bottom w:val="nil"/>
        <w:right w:val="nil"/>
        <w:between w:val="nil"/>
      </w:pBdr>
      <w:spacing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D" w14:textId="77777777" w:rsidR="00B35DB6" w:rsidRDefault="00B35DB6"/>
  <w:p w14:paraId="0000003E" w14:textId="30DCFE83" w:rsidR="00B35DB6" w:rsidRDefault="00B35DB6" w:rsidP="00C11430">
    <w:pPr>
      <w:rPr>
        <w:b/>
        <w:bCs/>
        <w:sz w:val="18"/>
        <w:szCs w:val="18"/>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DB6"/>
    <w:rsid w:val="00201CE5"/>
    <w:rsid w:val="002141C4"/>
    <w:rsid w:val="00236B8E"/>
    <w:rsid w:val="00476B50"/>
    <w:rsid w:val="00531738"/>
    <w:rsid w:val="00632484"/>
    <w:rsid w:val="00B35DB6"/>
    <w:rsid w:val="00BB0F30"/>
    <w:rsid w:val="00C11430"/>
    <w:rsid w:val="00C36251"/>
    <w:rsid w:val="00D20989"/>
    <w:rsid w:val="00EC6165"/>
    <w:rsid w:val="00F449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58772EB"/>
  <w15:docId w15:val="{EB171DA0-2FE9-584B-9C6C-A807434E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C11430"/>
    <w:pPr>
      <w:tabs>
        <w:tab w:val="center" w:pos="4513"/>
        <w:tab w:val="right" w:pos="9026"/>
      </w:tabs>
    </w:pPr>
  </w:style>
  <w:style w:type="character" w:customStyle="1" w:styleId="HeaderChar">
    <w:name w:val="Header Char"/>
    <w:basedOn w:val="DefaultParagraphFont"/>
    <w:link w:val="Header"/>
    <w:uiPriority w:val="99"/>
    <w:rsid w:val="00C11430"/>
  </w:style>
  <w:style w:type="paragraph" w:styleId="Footer">
    <w:name w:val="footer"/>
    <w:basedOn w:val="Normal"/>
    <w:link w:val="FooterChar"/>
    <w:uiPriority w:val="99"/>
    <w:unhideWhenUsed/>
    <w:rsid w:val="00C11430"/>
    <w:pPr>
      <w:tabs>
        <w:tab w:val="center" w:pos="4513"/>
        <w:tab w:val="right" w:pos="9026"/>
      </w:tabs>
    </w:pPr>
  </w:style>
  <w:style w:type="character" w:customStyle="1" w:styleId="FooterChar">
    <w:name w:val="Footer Char"/>
    <w:basedOn w:val="DefaultParagraphFont"/>
    <w:link w:val="Footer"/>
    <w:uiPriority w:val="99"/>
    <w:rsid w:val="00C11430"/>
  </w:style>
  <w:style w:type="character" w:styleId="Hyperlink">
    <w:name w:val="Hyperlink"/>
    <w:basedOn w:val="DefaultParagraphFont"/>
    <w:uiPriority w:val="99"/>
    <w:unhideWhenUsed/>
    <w:rsid w:val="00BB0F30"/>
    <w:rPr>
      <w:color w:val="0000FF" w:themeColor="hyperlink"/>
      <w:u w:val="single"/>
    </w:rPr>
  </w:style>
  <w:style w:type="character" w:styleId="UnresolvedMention">
    <w:name w:val="Unresolved Mention"/>
    <w:basedOn w:val="DefaultParagraphFont"/>
    <w:uiPriority w:val="99"/>
    <w:semiHidden/>
    <w:unhideWhenUsed/>
    <w:rsid w:val="00BB0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34737/x709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ca.st/7ddwvg2o"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emideas.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IT8sjX7WX+dHriAeN8BT/ge1Q==">CgMxLjA4AHIhMVRGQkNxTGExM3Y1cnhHVVdlTW4tSE1nbENqZ09veXNX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5744</Words>
  <Characters>32746</Characters>
  <Application>Microsoft Office Word</Application>
  <DocSecurity>0</DocSecurity>
  <Lines>272</Lines>
  <Paragraphs>76</Paragraphs>
  <ScaleCrop>false</ScaleCrop>
  <Company/>
  <LinksUpToDate>false</LinksUpToDate>
  <CharactersWithSpaces>38414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Kyra Araneta</cp:lastModifiedBy>
  <cp:revision>8</cp:revision>
  <dcterms:created xsi:type="dcterms:W3CDTF">2026-05-14T08:33:00Z</dcterms:created>
  <dcterms:modified xsi:type="dcterms:W3CDTF">2026-05-16T11:40:00Z</dcterms:modified>
</cp:coreProperties>
</file>