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FC1" w:rsidRPr="0032528B" w:rsidRDefault="00A40FC1" w:rsidP="00870A6A">
      <w:pPr>
        <w:jc w:val="center"/>
        <w:rPr>
          <w:rFonts w:ascii="Times New Roman" w:hAnsi="Times New Roman" w:cs="Times New Roman"/>
          <w:b/>
          <w:sz w:val="24"/>
          <w:szCs w:val="24"/>
        </w:rPr>
      </w:pPr>
      <w:r w:rsidRPr="0032528B">
        <w:rPr>
          <w:rFonts w:ascii="Times New Roman" w:hAnsi="Times New Roman" w:cs="Times New Roman"/>
          <w:b/>
          <w:sz w:val="24"/>
          <w:szCs w:val="24"/>
        </w:rPr>
        <w:t>AUSTRALIAN WAR CRIMES IN AFGHANISTAN</w:t>
      </w:r>
      <w:r w:rsidR="00EE0247" w:rsidRPr="0032528B">
        <w:rPr>
          <w:rFonts w:ascii="Times New Roman" w:hAnsi="Times New Roman" w:cs="Times New Roman"/>
          <w:b/>
          <w:sz w:val="24"/>
          <w:szCs w:val="24"/>
        </w:rPr>
        <w:t>:</w:t>
      </w:r>
      <w:r w:rsidR="007C7CE3" w:rsidRPr="0032528B">
        <w:rPr>
          <w:rFonts w:ascii="Times New Roman" w:hAnsi="Times New Roman" w:cs="Times New Roman"/>
          <w:b/>
          <w:sz w:val="24"/>
          <w:szCs w:val="24"/>
        </w:rPr>
        <w:t xml:space="preserve"> </w:t>
      </w:r>
      <w:r w:rsidR="004452C5" w:rsidRPr="0032528B">
        <w:rPr>
          <w:rFonts w:ascii="Times New Roman" w:hAnsi="Times New Roman" w:cs="Times New Roman"/>
          <w:b/>
          <w:sz w:val="24"/>
          <w:szCs w:val="24"/>
        </w:rPr>
        <w:t xml:space="preserve">PROSECUTIONS FACE </w:t>
      </w:r>
      <w:r w:rsidR="00910CAA" w:rsidRPr="0032528B">
        <w:rPr>
          <w:rFonts w:ascii="Times New Roman" w:hAnsi="Times New Roman" w:cs="Times New Roman"/>
          <w:b/>
          <w:sz w:val="24"/>
          <w:szCs w:val="24"/>
        </w:rPr>
        <w:t>A</w:t>
      </w:r>
      <w:r w:rsidR="001E67EF">
        <w:rPr>
          <w:rFonts w:ascii="Times New Roman" w:hAnsi="Times New Roman" w:cs="Times New Roman"/>
          <w:b/>
          <w:sz w:val="24"/>
          <w:szCs w:val="24"/>
        </w:rPr>
        <w:t>N</w:t>
      </w:r>
      <w:r w:rsidR="00870A6A" w:rsidRPr="0032528B">
        <w:rPr>
          <w:rFonts w:ascii="Times New Roman" w:hAnsi="Times New Roman" w:cs="Times New Roman"/>
          <w:b/>
          <w:sz w:val="24"/>
          <w:szCs w:val="24"/>
        </w:rPr>
        <w:t xml:space="preserve"> </w:t>
      </w:r>
      <w:r w:rsidR="00910CAA" w:rsidRPr="0032528B">
        <w:rPr>
          <w:rFonts w:ascii="Times New Roman" w:hAnsi="Times New Roman" w:cs="Times New Roman"/>
          <w:b/>
          <w:sz w:val="24"/>
          <w:szCs w:val="24"/>
        </w:rPr>
        <w:t>UNCERTAIN ROAD</w:t>
      </w:r>
      <w:r w:rsidR="00855FD7" w:rsidRPr="0032528B">
        <w:rPr>
          <w:rFonts w:ascii="Times New Roman" w:hAnsi="Times New Roman" w:cs="Times New Roman"/>
          <w:b/>
          <w:sz w:val="24"/>
          <w:szCs w:val="24"/>
        </w:rPr>
        <w:t xml:space="preserve"> AHEAD</w:t>
      </w:r>
    </w:p>
    <w:p w:rsidR="00A40FC1" w:rsidRPr="0032528B" w:rsidRDefault="00A40FC1" w:rsidP="0043195D">
      <w:pPr>
        <w:jc w:val="both"/>
        <w:rPr>
          <w:rFonts w:ascii="Times New Roman" w:hAnsi="Times New Roman" w:cs="Times New Roman"/>
          <w:sz w:val="24"/>
          <w:szCs w:val="24"/>
        </w:rPr>
      </w:pPr>
    </w:p>
    <w:p w:rsidR="00366B92" w:rsidRPr="0032528B" w:rsidRDefault="00727D8F" w:rsidP="0043195D">
      <w:pPr>
        <w:jc w:val="both"/>
        <w:rPr>
          <w:rFonts w:ascii="Times New Roman" w:hAnsi="Times New Roman" w:cs="Times New Roman"/>
          <w:color w:val="121212"/>
          <w:sz w:val="24"/>
          <w:szCs w:val="24"/>
        </w:rPr>
      </w:pPr>
      <w:r w:rsidRPr="0032528B">
        <w:rPr>
          <w:rFonts w:ascii="Times New Roman" w:hAnsi="Times New Roman" w:cs="Times New Roman"/>
          <w:sz w:val="24"/>
          <w:szCs w:val="24"/>
        </w:rPr>
        <w:t>It</w:t>
      </w:r>
      <w:r w:rsidR="005554DC" w:rsidRPr="0032528B">
        <w:rPr>
          <w:rFonts w:ascii="Times New Roman" w:hAnsi="Times New Roman" w:cs="Times New Roman"/>
          <w:sz w:val="24"/>
          <w:szCs w:val="24"/>
        </w:rPr>
        <w:t xml:space="preserve"> has</w:t>
      </w:r>
      <w:r w:rsidRPr="0032528B">
        <w:rPr>
          <w:rFonts w:ascii="Times New Roman" w:hAnsi="Times New Roman" w:cs="Times New Roman"/>
          <w:sz w:val="24"/>
          <w:szCs w:val="24"/>
        </w:rPr>
        <w:t xml:space="preserve"> now </w:t>
      </w:r>
      <w:r w:rsidR="00E64703" w:rsidRPr="0032528B">
        <w:rPr>
          <w:rFonts w:ascii="Times New Roman" w:hAnsi="Times New Roman" w:cs="Times New Roman"/>
          <w:sz w:val="24"/>
          <w:szCs w:val="24"/>
        </w:rPr>
        <w:t xml:space="preserve">been </w:t>
      </w:r>
      <w:r w:rsidRPr="0032528B">
        <w:rPr>
          <w:rFonts w:ascii="Times New Roman" w:hAnsi="Times New Roman" w:cs="Times New Roman"/>
          <w:sz w:val="24"/>
          <w:szCs w:val="24"/>
        </w:rPr>
        <w:t xml:space="preserve">six months since </w:t>
      </w:r>
      <w:r w:rsidR="005554DC" w:rsidRPr="0032528B">
        <w:rPr>
          <w:rFonts w:ascii="Times New Roman" w:hAnsi="Times New Roman" w:cs="Times New Roman"/>
          <w:sz w:val="24"/>
          <w:szCs w:val="24"/>
        </w:rPr>
        <w:t xml:space="preserve">the </w:t>
      </w:r>
      <w:hyperlink r:id="rId7" w:history="1">
        <w:r w:rsidR="005554DC" w:rsidRPr="0032528B">
          <w:rPr>
            <w:rStyle w:val="Hyperlink"/>
            <w:rFonts w:ascii="Times New Roman" w:hAnsi="Times New Roman" w:cs="Times New Roman"/>
            <w:sz w:val="24"/>
            <w:szCs w:val="24"/>
          </w:rPr>
          <w:t>Brereton Report</w:t>
        </w:r>
      </w:hyperlink>
      <w:r w:rsidR="005554DC" w:rsidRPr="0032528B">
        <w:rPr>
          <w:rFonts w:ascii="Times New Roman" w:hAnsi="Times New Roman" w:cs="Times New Roman"/>
          <w:sz w:val="24"/>
          <w:szCs w:val="24"/>
        </w:rPr>
        <w:t xml:space="preserve"> detailed credible evidence of a series of </w:t>
      </w:r>
      <w:r w:rsidR="00831D71" w:rsidRPr="0032528B">
        <w:rPr>
          <w:rFonts w:ascii="Times New Roman" w:hAnsi="Times New Roman" w:cs="Times New Roman"/>
          <w:sz w:val="24"/>
          <w:szCs w:val="24"/>
        </w:rPr>
        <w:t xml:space="preserve">alleged </w:t>
      </w:r>
      <w:r w:rsidR="005554DC" w:rsidRPr="0032528B">
        <w:rPr>
          <w:rFonts w:ascii="Times New Roman" w:hAnsi="Times New Roman" w:cs="Times New Roman"/>
          <w:sz w:val="24"/>
          <w:szCs w:val="24"/>
        </w:rPr>
        <w:t>SASR war crimes in Afghanistan from 2005-2016</w:t>
      </w:r>
      <w:r w:rsidR="00D94044" w:rsidRPr="0032528B">
        <w:rPr>
          <w:rFonts w:ascii="Times New Roman" w:hAnsi="Times New Roman" w:cs="Times New Roman"/>
          <w:sz w:val="24"/>
          <w:szCs w:val="24"/>
        </w:rPr>
        <w:t>. A</w:t>
      </w:r>
      <w:r w:rsidR="00614268" w:rsidRPr="0032528B">
        <w:rPr>
          <w:rFonts w:ascii="Times New Roman" w:eastAsia="Times New Roman" w:hAnsi="Times New Roman" w:cs="Times New Roman"/>
          <w:color w:val="121212"/>
          <w:sz w:val="24"/>
          <w:szCs w:val="24"/>
          <w:lang w:eastAsia="en-GB"/>
        </w:rPr>
        <w:t>ccording to the Report, 39</w:t>
      </w:r>
      <w:r w:rsidR="00831D71" w:rsidRPr="0032528B">
        <w:rPr>
          <w:rFonts w:ascii="Times New Roman" w:eastAsia="Times New Roman" w:hAnsi="Times New Roman" w:cs="Times New Roman"/>
          <w:color w:val="121212"/>
          <w:sz w:val="24"/>
          <w:szCs w:val="24"/>
          <w:lang w:eastAsia="en-GB"/>
        </w:rPr>
        <w:t xml:space="preserve"> Afghans had been wilfully and unlawfully killed by 25 ADF members in 23 incidents, along with two instances of cruel treatment</w:t>
      </w:r>
      <w:r w:rsidR="00A3127B">
        <w:rPr>
          <w:rFonts w:ascii="Times New Roman" w:eastAsia="Times New Roman" w:hAnsi="Times New Roman" w:cs="Times New Roman"/>
          <w:color w:val="121212"/>
          <w:sz w:val="24"/>
          <w:szCs w:val="24"/>
          <w:lang w:eastAsia="en-GB"/>
        </w:rPr>
        <w:t>,</w:t>
      </w:r>
      <w:r w:rsidR="00F43DAC" w:rsidRPr="0032528B">
        <w:rPr>
          <w:rFonts w:ascii="Times New Roman" w:eastAsia="Times New Roman" w:hAnsi="Times New Roman" w:cs="Times New Roman"/>
          <w:color w:val="121212"/>
          <w:sz w:val="24"/>
          <w:szCs w:val="24"/>
          <w:lang w:eastAsia="en-GB"/>
        </w:rPr>
        <w:t xml:space="preserve"> </w:t>
      </w:r>
      <w:r w:rsidR="00702DB1" w:rsidRPr="0032528B">
        <w:rPr>
          <w:rFonts w:ascii="Times New Roman" w:eastAsia="Times New Roman" w:hAnsi="Times New Roman" w:cs="Times New Roman"/>
          <w:color w:val="121212"/>
          <w:sz w:val="24"/>
          <w:szCs w:val="24"/>
          <w:lang w:eastAsia="en-GB"/>
        </w:rPr>
        <w:t xml:space="preserve">in circumstances where it “was or should have been plain that the person killed was a non-combatant, or </w:t>
      </w:r>
      <w:r w:rsidR="00702DB1" w:rsidRPr="0032528B">
        <w:rPr>
          <w:rFonts w:ascii="Times New Roman" w:eastAsia="Times New Roman" w:hAnsi="Times New Roman" w:cs="Times New Roman"/>
          <w:i/>
          <w:color w:val="121212"/>
          <w:sz w:val="24"/>
          <w:szCs w:val="24"/>
          <w:lang w:eastAsia="en-GB"/>
        </w:rPr>
        <w:t>hors-de-combat</w:t>
      </w:r>
      <w:r w:rsidR="00702DB1" w:rsidRPr="0032528B">
        <w:rPr>
          <w:rFonts w:ascii="Times New Roman" w:eastAsia="Times New Roman" w:hAnsi="Times New Roman" w:cs="Times New Roman"/>
          <w:color w:val="121212"/>
          <w:sz w:val="24"/>
          <w:szCs w:val="24"/>
          <w:lang w:eastAsia="en-GB"/>
        </w:rPr>
        <w:t>”</w:t>
      </w:r>
      <w:r w:rsidR="00A3127B" w:rsidRPr="00A3127B">
        <w:rPr>
          <w:rFonts w:ascii="Times New Roman" w:eastAsia="Times New Roman" w:hAnsi="Times New Roman" w:cs="Times New Roman"/>
          <w:color w:val="121212"/>
          <w:sz w:val="24"/>
          <w:szCs w:val="24"/>
          <w:lang w:eastAsia="en-GB"/>
        </w:rPr>
        <w:t xml:space="preserve"> </w:t>
      </w:r>
      <w:r w:rsidR="00A3127B" w:rsidRPr="0032528B">
        <w:rPr>
          <w:rFonts w:ascii="Times New Roman" w:eastAsia="Times New Roman" w:hAnsi="Times New Roman" w:cs="Times New Roman"/>
          <w:color w:val="121212"/>
          <w:sz w:val="24"/>
          <w:szCs w:val="24"/>
          <w:lang w:eastAsia="en-GB"/>
        </w:rPr>
        <w:t>(</w:t>
      </w:r>
      <w:r w:rsidR="00A3127B" w:rsidRPr="0032528B">
        <w:rPr>
          <w:rFonts w:ascii="Times New Roman" w:hAnsi="Times New Roman" w:cs="Times New Roman"/>
          <w:sz w:val="24"/>
          <w:szCs w:val="24"/>
        </w:rPr>
        <w:t>paras 15-16 of Chapter 1.01)</w:t>
      </w:r>
      <w:r w:rsidR="00702DB1" w:rsidRPr="0032528B">
        <w:rPr>
          <w:rFonts w:ascii="Times New Roman" w:eastAsia="Times New Roman" w:hAnsi="Times New Roman" w:cs="Times New Roman"/>
          <w:color w:val="121212"/>
          <w:sz w:val="24"/>
          <w:szCs w:val="24"/>
          <w:lang w:eastAsia="en-GB"/>
        </w:rPr>
        <w:t>.</w:t>
      </w:r>
      <w:r w:rsidR="00831D71" w:rsidRPr="0032528B">
        <w:rPr>
          <w:rFonts w:ascii="Times New Roman" w:eastAsia="Times New Roman" w:hAnsi="Times New Roman" w:cs="Times New Roman"/>
          <w:color w:val="121212"/>
          <w:sz w:val="24"/>
          <w:szCs w:val="24"/>
          <w:lang w:eastAsia="en-GB"/>
        </w:rPr>
        <w:t xml:space="preserve"> </w:t>
      </w:r>
      <w:r w:rsidR="006340A7" w:rsidRPr="0032528B">
        <w:rPr>
          <w:rFonts w:ascii="Times New Roman" w:eastAsia="Times New Roman" w:hAnsi="Times New Roman" w:cs="Times New Roman"/>
          <w:color w:val="121212"/>
          <w:sz w:val="24"/>
          <w:szCs w:val="24"/>
          <w:lang w:eastAsia="en-GB"/>
        </w:rPr>
        <w:t>Th</w:t>
      </w:r>
      <w:r w:rsidR="004A64D3" w:rsidRPr="0032528B">
        <w:rPr>
          <w:rFonts w:ascii="Times New Roman" w:eastAsia="Times New Roman" w:hAnsi="Times New Roman" w:cs="Times New Roman"/>
          <w:color w:val="121212"/>
          <w:sz w:val="24"/>
          <w:szCs w:val="24"/>
          <w:lang w:eastAsia="en-GB"/>
        </w:rPr>
        <w:t>e killings and abuse were</w:t>
      </w:r>
      <w:r w:rsidR="006340A7" w:rsidRPr="0032528B">
        <w:rPr>
          <w:rFonts w:ascii="Times New Roman" w:eastAsia="Times New Roman" w:hAnsi="Times New Roman" w:cs="Times New Roman"/>
          <w:color w:val="121212"/>
          <w:sz w:val="24"/>
          <w:szCs w:val="24"/>
          <w:lang w:eastAsia="en-GB"/>
        </w:rPr>
        <w:t xml:space="preserve"> accompanied</w:t>
      </w:r>
      <w:r w:rsidR="00366B92" w:rsidRPr="0032528B">
        <w:rPr>
          <w:rFonts w:ascii="Times New Roman" w:eastAsia="Times New Roman" w:hAnsi="Times New Roman" w:cs="Times New Roman"/>
          <w:color w:val="121212"/>
          <w:sz w:val="24"/>
          <w:szCs w:val="24"/>
          <w:lang w:eastAsia="en-GB"/>
        </w:rPr>
        <w:t xml:space="preserve"> </w:t>
      </w:r>
      <w:r w:rsidR="004A64D3" w:rsidRPr="0032528B">
        <w:rPr>
          <w:rFonts w:ascii="Times New Roman" w:eastAsia="Times New Roman" w:hAnsi="Times New Roman" w:cs="Times New Roman"/>
          <w:color w:val="121212"/>
          <w:sz w:val="24"/>
          <w:szCs w:val="24"/>
          <w:lang w:eastAsia="en-GB"/>
        </w:rPr>
        <w:t xml:space="preserve">by </w:t>
      </w:r>
      <w:r w:rsidR="00366B92" w:rsidRPr="0032528B">
        <w:rPr>
          <w:rFonts w:ascii="Times New Roman" w:eastAsia="Times New Roman" w:hAnsi="Times New Roman" w:cs="Times New Roman"/>
          <w:color w:val="121212"/>
          <w:sz w:val="24"/>
          <w:szCs w:val="24"/>
          <w:lang w:eastAsia="en-GB"/>
        </w:rPr>
        <w:t xml:space="preserve">a damning catalogue of slips in military discipline, culture and oversight, involving </w:t>
      </w:r>
      <w:r w:rsidR="00366B92" w:rsidRPr="0032528B">
        <w:rPr>
          <w:rFonts w:ascii="Times New Roman" w:hAnsi="Times New Roman" w:cs="Times New Roman"/>
          <w:color w:val="121212"/>
          <w:sz w:val="24"/>
          <w:szCs w:val="24"/>
        </w:rPr>
        <w:t xml:space="preserve">the “blooding” or initiation of young soldiers, a practice of covering up deliberate killings by placing “throwdowns” on bodies to make them look like legitimate kills, sanitising operational reports to make it appear that the laws of engagement had been complied with, and a marked culture of impunity. </w:t>
      </w:r>
      <w:r w:rsidR="00D94044" w:rsidRPr="0032528B">
        <w:rPr>
          <w:rFonts w:ascii="Times New Roman" w:hAnsi="Times New Roman" w:cs="Times New Roman"/>
          <w:color w:val="121212"/>
          <w:sz w:val="24"/>
          <w:szCs w:val="24"/>
        </w:rPr>
        <w:t>There were o</w:t>
      </w:r>
      <w:r w:rsidR="00366B92" w:rsidRPr="0032528B">
        <w:rPr>
          <w:rFonts w:ascii="Times New Roman" w:hAnsi="Times New Roman" w:cs="Times New Roman"/>
          <w:color w:val="121212"/>
          <w:sz w:val="24"/>
          <w:szCs w:val="24"/>
        </w:rPr>
        <w:t>ther issues relat</w:t>
      </w:r>
      <w:r w:rsidR="00D94044" w:rsidRPr="0032528B">
        <w:rPr>
          <w:rFonts w:ascii="Times New Roman" w:hAnsi="Times New Roman" w:cs="Times New Roman"/>
          <w:color w:val="121212"/>
          <w:sz w:val="24"/>
          <w:szCs w:val="24"/>
        </w:rPr>
        <w:t>ing</w:t>
      </w:r>
      <w:r w:rsidR="00366B92" w:rsidRPr="0032528B">
        <w:rPr>
          <w:rFonts w:ascii="Times New Roman" w:hAnsi="Times New Roman" w:cs="Times New Roman"/>
          <w:color w:val="121212"/>
          <w:sz w:val="24"/>
          <w:szCs w:val="24"/>
        </w:rPr>
        <w:t xml:space="preserve"> to </w:t>
      </w:r>
      <w:r w:rsidR="00D94044" w:rsidRPr="0032528B">
        <w:rPr>
          <w:rFonts w:ascii="Times New Roman" w:hAnsi="Times New Roman" w:cs="Times New Roman"/>
          <w:color w:val="121212"/>
          <w:sz w:val="24"/>
          <w:szCs w:val="24"/>
        </w:rPr>
        <w:t>a</w:t>
      </w:r>
      <w:r w:rsidR="00366B92" w:rsidRPr="0032528B">
        <w:rPr>
          <w:rFonts w:ascii="Times New Roman" w:hAnsi="Times New Roman" w:cs="Times New Roman"/>
          <w:color w:val="121212"/>
          <w:sz w:val="24"/>
          <w:szCs w:val="24"/>
        </w:rPr>
        <w:t xml:space="preserve"> lack of command and control of Special Forces in theatre, and insufficient impartial and effective investigatory mechanisms</w:t>
      </w:r>
      <w:r w:rsidR="00F43DAC" w:rsidRPr="0032528B">
        <w:rPr>
          <w:rFonts w:ascii="Times New Roman" w:hAnsi="Times New Roman" w:cs="Times New Roman"/>
          <w:color w:val="121212"/>
          <w:sz w:val="24"/>
          <w:szCs w:val="24"/>
        </w:rPr>
        <w:t xml:space="preserve"> (</w:t>
      </w:r>
      <w:r w:rsidR="00F43DAC" w:rsidRPr="0032528B">
        <w:rPr>
          <w:rFonts w:ascii="Times New Roman" w:hAnsi="Times New Roman" w:cs="Times New Roman"/>
          <w:sz w:val="24"/>
          <w:szCs w:val="24"/>
        </w:rPr>
        <w:t>paras 322-349 of Chapter 1.01, and Chapter 3.03)</w:t>
      </w:r>
      <w:r w:rsidR="00366B92" w:rsidRPr="0032528B">
        <w:rPr>
          <w:rFonts w:ascii="Times New Roman" w:hAnsi="Times New Roman" w:cs="Times New Roman"/>
          <w:color w:val="121212"/>
          <w:sz w:val="24"/>
          <w:szCs w:val="24"/>
        </w:rPr>
        <w:t xml:space="preserve">. </w:t>
      </w:r>
      <w:r w:rsidR="004A64D3" w:rsidRPr="0032528B">
        <w:rPr>
          <w:rFonts w:ascii="Times New Roman" w:eastAsia="Times New Roman" w:hAnsi="Times New Roman" w:cs="Times New Roman"/>
          <w:color w:val="121212"/>
          <w:sz w:val="24"/>
          <w:szCs w:val="24"/>
          <w:lang w:eastAsia="en-GB"/>
        </w:rPr>
        <w:t xml:space="preserve">Brereton recommended the cases be referred to the AFP as there was a realistic prospect of a criminal investigation obtaining sufficient information to charge the perpetrators with </w:t>
      </w:r>
      <w:r w:rsidR="004A64D3" w:rsidRPr="0032528B">
        <w:rPr>
          <w:rFonts w:ascii="Times New Roman" w:hAnsi="Times New Roman" w:cs="Times New Roman"/>
          <w:sz w:val="24"/>
          <w:szCs w:val="24"/>
        </w:rPr>
        <w:t>the war crime of murder, and/or counselling, procuring or inciting the war crime of murder (</w:t>
      </w:r>
      <w:r w:rsidR="004A64D3" w:rsidRPr="009574CB">
        <w:rPr>
          <w:rFonts w:ascii="Times New Roman" w:hAnsi="Times New Roman" w:cs="Times New Roman"/>
          <w:i/>
          <w:sz w:val="24"/>
          <w:szCs w:val="24"/>
        </w:rPr>
        <w:t>Criminal Code</w:t>
      </w:r>
      <w:r w:rsidR="004A64D3" w:rsidRPr="0032528B">
        <w:rPr>
          <w:rFonts w:ascii="Times New Roman" w:hAnsi="Times New Roman" w:cs="Times New Roman"/>
          <w:sz w:val="24"/>
          <w:szCs w:val="24"/>
        </w:rPr>
        <w:t xml:space="preserve"> (</w:t>
      </w:r>
      <w:proofErr w:type="spellStart"/>
      <w:r w:rsidR="004A64D3" w:rsidRPr="0032528B">
        <w:rPr>
          <w:rFonts w:ascii="Times New Roman" w:hAnsi="Times New Roman" w:cs="Times New Roman"/>
          <w:sz w:val="24"/>
          <w:szCs w:val="24"/>
        </w:rPr>
        <w:t>Cth</w:t>
      </w:r>
      <w:proofErr w:type="spellEnd"/>
      <w:r w:rsidR="004A64D3" w:rsidRPr="0032528B">
        <w:rPr>
          <w:rFonts w:ascii="Times New Roman" w:hAnsi="Times New Roman" w:cs="Times New Roman"/>
          <w:sz w:val="24"/>
          <w:szCs w:val="24"/>
        </w:rPr>
        <w:t>) ss11.2, 11.4 and 268.70), in some cases on the basis of command responsibility (</w:t>
      </w:r>
      <w:r w:rsidR="004A64D3" w:rsidRPr="009574CB">
        <w:rPr>
          <w:rFonts w:ascii="Times New Roman" w:hAnsi="Times New Roman" w:cs="Times New Roman"/>
          <w:i/>
          <w:sz w:val="24"/>
          <w:szCs w:val="24"/>
        </w:rPr>
        <w:t>Criminal Code</w:t>
      </w:r>
      <w:r w:rsidR="004A64D3" w:rsidRPr="0032528B">
        <w:rPr>
          <w:rFonts w:ascii="Times New Roman" w:hAnsi="Times New Roman" w:cs="Times New Roman"/>
          <w:sz w:val="24"/>
          <w:szCs w:val="24"/>
        </w:rPr>
        <w:t> </w:t>
      </w:r>
      <w:r w:rsidR="009574CB">
        <w:rPr>
          <w:rFonts w:ascii="Times New Roman" w:hAnsi="Times New Roman" w:cs="Times New Roman"/>
          <w:sz w:val="24"/>
          <w:szCs w:val="24"/>
        </w:rPr>
        <w:t>(</w:t>
      </w:r>
      <w:proofErr w:type="spellStart"/>
      <w:r w:rsidR="009574CB">
        <w:rPr>
          <w:rFonts w:ascii="Times New Roman" w:hAnsi="Times New Roman" w:cs="Times New Roman"/>
          <w:sz w:val="24"/>
          <w:szCs w:val="24"/>
        </w:rPr>
        <w:t>Cth</w:t>
      </w:r>
      <w:proofErr w:type="spellEnd"/>
      <w:r w:rsidR="009574CB">
        <w:rPr>
          <w:rFonts w:ascii="Times New Roman" w:hAnsi="Times New Roman" w:cs="Times New Roman"/>
          <w:sz w:val="24"/>
          <w:szCs w:val="24"/>
        </w:rPr>
        <w:t xml:space="preserve">) </w:t>
      </w:r>
      <w:r w:rsidR="004A64D3" w:rsidRPr="0032528B">
        <w:rPr>
          <w:rFonts w:ascii="Times New Roman" w:hAnsi="Times New Roman" w:cs="Times New Roman"/>
          <w:sz w:val="24"/>
          <w:szCs w:val="24"/>
        </w:rPr>
        <w:t xml:space="preserve">s268.115). For the two instances of cruel treatment, there was </w:t>
      </w:r>
      <w:proofErr w:type="gramStart"/>
      <w:r w:rsidR="004A64D3" w:rsidRPr="0032528B">
        <w:rPr>
          <w:rFonts w:ascii="Times New Roman" w:hAnsi="Times New Roman" w:cs="Times New Roman"/>
          <w:sz w:val="24"/>
          <w:szCs w:val="24"/>
        </w:rPr>
        <w:t>sufficient</w:t>
      </w:r>
      <w:proofErr w:type="gramEnd"/>
      <w:r w:rsidR="004A64D3" w:rsidRPr="0032528B">
        <w:rPr>
          <w:rFonts w:ascii="Times New Roman" w:hAnsi="Times New Roman" w:cs="Times New Roman"/>
          <w:sz w:val="24"/>
          <w:szCs w:val="24"/>
        </w:rPr>
        <w:t xml:space="preserve"> evidence for charges under </w:t>
      </w:r>
      <w:r w:rsidR="004A64D3" w:rsidRPr="009574CB">
        <w:rPr>
          <w:rFonts w:ascii="Times New Roman" w:hAnsi="Times New Roman" w:cs="Times New Roman"/>
          <w:i/>
          <w:sz w:val="24"/>
          <w:szCs w:val="24"/>
        </w:rPr>
        <w:t>Criminal Code</w:t>
      </w:r>
      <w:r w:rsidR="004A64D3" w:rsidRPr="0032528B">
        <w:rPr>
          <w:rFonts w:ascii="Times New Roman" w:hAnsi="Times New Roman" w:cs="Times New Roman"/>
          <w:sz w:val="24"/>
          <w:szCs w:val="24"/>
        </w:rPr>
        <w:t> (</w:t>
      </w:r>
      <w:proofErr w:type="spellStart"/>
      <w:r w:rsidR="004A64D3" w:rsidRPr="0032528B">
        <w:rPr>
          <w:rFonts w:ascii="Times New Roman" w:hAnsi="Times New Roman" w:cs="Times New Roman"/>
          <w:sz w:val="24"/>
          <w:szCs w:val="24"/>
        </w:rPr>
        <w:t>Cth</w:t>
      </w:r>
      <w:proofErr w:type="spellEnd"/>
      <w:r w:rsidR="004A64D3" w:rsidRPr="0032528B">
        <w:rPr>
          <w:rFonts w:ascii="Times New Roman" w:hAnsi="Times New Roman" w:cs="Times New Roman"/>
          <w:sz w:val="24"/>
          <w:szCs w:val="24"/>
        </w:rPr>
        <w:t>) </w:t>
      </w:r>
      <w:r w:rsidR="00A3127B">
        <w:rPr>
          <w:rFonts w:ascii="Times New Roman" w:hAnsi="Times New Roman" w:cs="Times New Roman"/>
          <w:sz w:val="24"/>
          <w:szCs w:val="24"/>
        </w:rPr>
        <w:t>s</w:t>
      </w:r>
      <w:r w:rsidR="004A64D3" w:rsidRPr="0032528B">
        <w:rPr>
          <w:rFonts w:ascii="Times New Roman" w:hAnsi="Times New Roman" w:cs="Times New Roman"/>
          <w:sz w:val="24"/>
          <w:szCs w:val="24"/>
        </w:rPr>
        <w:t>268.72.</w:t>
      </w:r>
      <w:r w:rsidR="002209C2" w:rsidRPr="0032528B">
        <w:rPr>
          <w:rFonts w:ascii="Times New Roman" w:hAnsi="Times New Roman" w:cs="Times New Roman"/>
          <w:sz w:val="24"/>
          <w:szCs w:val="24"/>
        </w:rPr>
        <w:t xml:space="preserve"> Overall, 36 matters arising out of 23 incidents by 19 individuals</w:t>
      </w:r>
      <w:r w:rsidR="00D94044" w:rsidRPr="0032528B">
        <w:rPr>
          <w:rFonts w:ascii="Times New Roman" w:hAnsi="Times New Roman" w:cs="Times New Roman"/>
          <w:sz w:val="24"/>
          <w:szCs w:val="24"/>
        </w:rPr>
        <w:t xml:space="preserve"> were recommended for potential prosecution</w:t>
      </w:r>
      <w:r w:rsidR="00F43DAC" w:rsidRPr="0032528B">
        <w:rPr>
          <w:rFonts w:ascii="Times New Roman" w:hAnsi="Times New Roman" w:cs="Times New Roman"/>
          <w:sz w:val="24"/>
          <w:szCs w:val="24"/>
        </w:rPr>
        <w:t xml:space="preserve"> (para 21 of Chapter 1.01)</w:t>
      </w:r>
      <w:r w:rsidR="002209C2" w:rsidRPr="0032528B">
        <w:rPr>
          <w:rFonts w:ascii="Times New Roman" w:hAnsi="Times New Roman" w:cs="Times New Roman"/>
          <w:sz w:val="24"/>
          <w:szCs w:val="24"/>
        </w:rPr>
        <w:t>.</w:t>
      </w:r>
    </w:p>
    <w:p w:rsidR="00A3127B" w:rsidRDefault="00490F5E" w:rsidP="0043195D">
      <w:pPr>
        <w:jc w:val="both"/>
        <w:rPr>
          <w:rFonts w:ascii="Times New Roman" w:hAnsi="Times New Roman" w:cs="Times New Roman"/>
          <w:sz w:val="24"/>
          <w:szCs w:val="24"/>
        </w:rPr>
      </w:pPr>
      <w:r w:rsidRPr="0032528B">
        <w:rPr>
          <w:rFonts w:ascii="Times New Roman" w:eastAsia="Times New Roman" w:hAnsi="Times New Roman" w:cs="Times New Roman"/>
          <w:color w:val="121212"/>
          <w:sz w:val="24"/>
          <w:szCs w:val="24"/>
          <w:lang w:eastAsia="en-GB"/>
        </w:rPr>
        <w:t>Since</w:t>
      </w:r>
      <w:r w:rsidR="00D94044" w:rsidRPr="0032528B">
        <w:rPr>
          <w:rFonts w:ascii="Times New Roman" w:eastAsia="Times New Roman" w:hAnsi="Times New Roman" w:cs="Times New Roman"/>
          <w:color w:val="121212"/>
          <w:sz w:val="24"/>
          <w:szCs w:val="24"/>
          <w:lang w:eastAsia="en-GB"/>
        </w:rPr>
        <w:t xml:space="preserve"> the Inquiry, </w:t>
      </w:r>
      <w:r w:rsidR="00366B92" w:rsidRPr="0032528B">
        <w:rPr>
          <w:rFonts w:ascii="Times New Roman" w:eastAsia="Times New Roman" w:hAnsi="Times New Roman" w:cs="Times New Roman"/>
          <w:color w:val="121212"/>
          <w:sz w:val="24"/>
          <w:szCs w:val="24"/>
          <w:lang w:eastAsia="en-GB"/>
        </w:rPr>
        <w:t xml:space="preserve">the </w:t>
      </w:r>
      <w:r w:rsidR="00D94044" w:rsidRPr="0032528B">
        <w:rPr>
          <w:rFonts w:ascii="Times New Roman" w:eastAsia="Times New Roman" w:hAnsi="Times New Roman" w:cs="Times New Roman"/>
          <w:color w:val="121212"/>
          <w:sz w:val="24"/>
          <w:szCs w:val="24"/>
          <w:lang w:eastAsia="en-GB"/>
        </w:rPr>
        <w:t xml:space="preserve">(related) </w:t>
      </w:r>
      <w:r w:rsidR="00366B92" w:rsidRPr="0032528B">
        <w:rPr>
          <w:rFonts w:ascii="Times New Roman" w:eastAsia="Times New Roman" w:hAnsi="Times New Roman" w:cs="Times New Roman"/>
          <w:color w:val="121212"/>
          <w:sz w:val="24"/>
          <w:szCs w:val="24"/>
          <w:lang w:eastAsia="en-GB"/>
        </w:rPr>
        <w:t>Ben Roberts-Smith case has dominated</w:t>
      </w:r>
      <w:r w:rsidRPr="0032528B">
        <w:rPr>
          <w:rFonts w:ascii="Times New Roman" w:eastAsia="Times New Roman" w:hAnsi="Times New Roman" w:cs="Times New Roman"/>
          <w:color w:val="121212"/>
          <w:sz w:val="24"/>
          <w:szCs w:val="24"/>
          <w:lang w:eastAsia="en-GB"/>
        </w:rPr>
        <w:t xml:space="preserve"> media coverage</w:t>
      </w:r>
      <w:r w:rsidR="00366B92" w:rsidRPr="0032528B">
        <w:rPr>
          <w:rFonts w:ascii="Times New Roman" w:eastAsia="Times New Roman" w:hAnsi="Times New Roman" w:cs="Times New Roman"/>
          <w:color w:val="121212"/>
          <w:sz w:val="24"/>
          <w:szCs w:val="24"/>
          <w:lang w:eastAsia="en-GB"/>
        </w:rPr>
        <w:t xml:space="preserve">. </w:t>
      </w:r>
      <w:r w:rsidRPr="0032528B">
        <w:rPr>
          <w:rFonts w:ascii="Times New Roman" w:eastAsia="Times New Roman" w:hAnsi="Times New Roman" w:cs="Times New Roman"/>
          <w:color w:val="121212"/>
          <w:sz w:val="24"/>
          <w:szCs w:val="24"/>
          <w:lang w:eastAsia="en-GB"/>
        </w:rPr>
        <w:t>A</w:t>
      </w:r>
      <w:r w:rsidR="00614268" w:rsidRPr="0032528B">
        <w:rPr>
          <w:rFonts w:ascii="Times New Roman" w:hAnsi="Times New Roman" w:cs="Times New Roman"/>
          <w:color w:val="121212"/>
          <w:sz w:val="24"/>
          <w:szCs w:val="24"/>
        </w:rPr>
        <w:t xml:space="preserve"> series of suppression orders </w:t>
      </w:r>
      <w:r w:rsidRPr="0032528B">
        <w:rPr>
          <w:rFonts w:ascii="Times New Roman" w:hAnsi="Times New Roman" w:cs="Times New Roman"/>
          <w:color w:val="121212"/>
          <w:sz w:val="24"/>
          <w:szCs w:val="24"/>
        </w:rPr>
        <w:t xml:space="preserve">have to date </w:t>
      </w:r>
      <w:r w:rsidR="00614268" w:rsidRPr="0032528B">
        <w:rPr>
          <w:rFonts w:ascii="Times New Roman" w:hAnsi="Times New Roman" w:cs="Times New Roman"/>
          <w:color w:val="121212"/>
          <w:sz w:val="24"/>
          <w:szCs w:val="24"/>
        </w:rPr>
        <w:t>prohibit</w:t>
      </w:r>
      <w:r w:rsidRPr="0032528B">
        <w:rPr>
          <w:rFonts w:ascii="Times New Roman" w:hAnsi="Times New Roman" w:cs="Times New Roman"/>
          <w:color w:val="121212"/>
          <w:sz w:val="24"/>
          <w:szCs w:val="24"/>
        </w:rPr>
        <w:t>ed</w:t>
      </w:r>
      <w:r w:rsidR="00614268" w:rsidRPr="0032528B">
        <w:rPr>
          <w:rFonts w:ascii="Times New Roman" w:hAnsi="Times New Roman" w:cs="Times New Roman"/>
          <w:color w:val="121212"/>
          <w:sz w:val="24"/>
          <w:szCs w:val="24"/>
        </w:rPr>
        <w:t xml:space="preserve"> public release of </w:t>
      </w:r>
      <w:r w:rsidRPr="0032528B">
        <w:rPr>
          <w:rFonts w:ascii="Times New Roman" w:hAnsi="Times New Roman" w:cs="Times New Roman"/>
          <w:color w:val="121212"/>
          <w:sz w:val="24"/>
          <w:szCs w:val="24"/>
        </w:rPr>
        <w:t xml:space="preserve">a range of </w:t>
      </w:r>
      <w:r w:rsidR="00614268" w:rsidRPr="0032528B">
        <w:rPr>
          <w:rFonts w:ascii="Times New Roman" w:hAnsi="Times New Roman" w:cs="Times New Roman"/>
          <w:color w:val="121212"/>
          <w:sz w:val="24"/>
          <w:szCs w:val="24"/>
        </w:rPr>
        <w:t xml:space="preserve">material in </w:t>
      </w:r>
      <w:r w:rsidRPr="0032528B">
        <w:rPr>
          <w:rFonts w:ascii="Times New Roman" w:hAnsi="Times New Roman" w:cs="Times New Roman"/>
          <w:color w:val="121212"/>
          <w:sz w:val="24"/>
          <w:szCs w:val="24"/>
        </w:rPr>
        <w:t>Roberts-Smith’s</w:t>
      </w:r>
      <w:r w:rsidR="00614268" w:rsidRPr="0032528B">
        <w:rPr>
          <w:rFonts w:ascii="Times New Roman" w:hAnsi="Times New Roman" w:cs="Times New Roman"/>
          <w:color w:val="121212"/>
          <w:sz w:val="24"/>
          <w:szCs w:val="24"/>
        </w:rPr>
        <w:t xml:space="preserve"> </w:t>
      </w:r>
      <w:r w:rsidR="00447C01" w:rsidRPr="0032528B">
        <w:rPr>
          <w:rFonts w:ascii="Times New Roman" w:hAnsi="Times New Roman" w:cs="Times New Roman"/>
          <w:sz w:val="24"/>
          <w:szCs w:val="24"/>
        </w:rPr>
        <w:t>defamation case</w:t>
      </w:r>
      <w:r w:rsidR="004A64D3" w:rsidRPr="0032528B">
        <w:rPr>
          <w:rFonts w:ascii="Times New Roman" w:hAnsi="Times New Roman" w:cs="Times New Roman"/>
          <w:sz w:val="24"/>
          <w:szCs w:val="24"/>
        </w:rPr>
        <w:t xml:space="preserve"> against </w:t>
      </w:r>
      <w:r w:rsidR="004A64D3" w:rsidRPr="0032528B">
        <w:rPr>
          <w:rFonts w:ascii="Times New Roman" w:hAnsi="Times New Roman" w:cs="Times New Roman"/>
          <w:i/>
          <w:sz w:val="24"/>
          <w:szCs w:val="24"/>
        </w:rPr>
        <w:t>Nine</w:t>
      </w:r>
      <w:r w:rsidR="004A64D3" w:rsidRPr="0032528B">
        <w:rPr>
          <w:rFonts w:ascii="Times New Roman" w:hAnsi="Times New Roman" w:cs="Times New Roman"/>
          <w:sz w:val="24"/>
          <w:szCs w:val="24"/>
        </w:rPr>
        <w:t xml:space="preserve"> media outlets</w:t>
      </w:r>
      <w:r w:rsidRPr="0032528B">
        <w:rPr>
          <w:rFonts w:ascii="Times New Roman" w:hAnsi="Times New Roman" w:cs="Times New Roman"/>
          <w:sz w:val="24"/>
          <w:szCs w:val="24"/>
        </w:rPr>
        <w:t>. However</w:t>
      </w:r>
      <w:r w:rsidR="00614268" w:rsidRPr="0032528B">
        <w:rPr>
          <w:rFonts w:ascii="Times New Roman" w:hAnsi="Times New Roman" w:cs="Times New Roman"/>
          <w:sz w:val="24"/>
          <w:szCs w:val="24"/>
        </w:rPr>
        <w:t xml:space="preserve">, </w:t>
      </w:r>
      <w:r w:rsidR="00831D71" w:rsidRPr="0032528B">
        <w:rPr>
          <w:rFonts w:ascii="Times New Roman" w:hAnsi="Times New Roman" w:cs="Times New Roman"/>
          <w:sz w:val="24"/>
          <w:szCs w:val="24"/>
        </w:rPr>
        <w:t xml:space="preserve">sensational </w:t>
      </w:r>
      <w:r w:rsidR="00447C01" w:rsidRPr="0032528B">
        <w:rPr>
          <w:rFonts w:ascii="Times New Roman" w:hAnsi="Times New Roman" w:cs="Times New Roman"/>
          <w:sz w:val="24"/>
          <w:szCs w:val="24"/>
        </w:rPr>
        <w:t xml:space="preserve">reports of </w:t>
      </w:r>
      <w:r w:rsidRPr="0032528B">
        <w:rPr>
          <w:rFonts w:ascii="Times New Roman" w:hAnsi="Times New Roman" w:cs="Times New Roman"/>
          <w:sz w:val="24"/>
          <w:szCs w:val="24"/>
        </w:rPr>
        <w:t>his</w:t>
      </w:r>
      <w:r w:rsidR="004A64D3" w:rsidRPr="0032528B">
        <w:rPr>
          <w:rFonts w:ascii="Times New Roman" w:hAnsi="Times New Roman" w:cs="Times New Roman"/>
          <w:sz w:val="24"/>
          <w:szCs w:val="24"/>
        </w:rPr>
        <w:t xml:space="preserve"> </w:t>
      </w:r>
      <w:hyperlink r:id="rId8" w:history="1">
        <w:r w:rsidR="003A56AF" w:rsidRPr="0032528B">
          <w:rPr>
            <w:rStyle w:val="Hyperlink"/>
            <w:rFonts w:ascii="Times New Roman" w:hAnsi="Times New Roman" w:cs="Times New Roman"/>
            <w:sz w:val="24"/>
            <w:szCs w:val="24"/>
          </w:rPr>
          <w:t>alleged</w:t>
        </w:r>
        <w:r w:rsidR="00447C01" w:rsidRPr="0032528B">
          <w:rPr>
            <w:rStyle w:val="Hyperlink"/>
            <w:rFonts w:ascii="Times New Roman" w:hAnsi="Times New Roman" w:cs="Times New Roman"/>
            <w:sz w:val="24"/>
            <w:szCs w:val="24"/>
          </w:rPr>
          <w:t xml:space="preserve"> attempts to conceal evidence</w:t>
        </w:r>
      </w:hyperlink>
      <w:r w:rsidR="00447C01" w:rsidRPr="0032528B">
        <w:rPr>
          <w:rFonts w:ascii="Times New Roman" w:hAnsi="Times New Roman" w:cs="Times New Roman"/>
          <w:sz w:val="24"/>
          <w:szCs w:val="24"/>
        </w:rPr>
        <w:t xml:space="preserve"> from the AFP</w:t>
      </w:r>
      <w:r w:rsidRPr="0032528B">
        <w:rPr>
          <w:rFonts w:ascii="Times New Roman" w:hAnsi="Times New Roman" w:cs="Times New Roman"/>
          <w:sz w:val="24"/>
          <w:szCs w:val="24"/>
        </w:rPr>
        <w:t xml:space="preserve"> and from the Brereton Inquiry</w:t>
      </w:r>
      <w:r w:rsidR="00447C01" w:rsidRPr="0032528B">
        <w:rPr>
          <w:rFonts w:ascii="Times New Roman" w:hAnsi="Times New Roman" w:cs="Times New Roman"/>
          <w:sz w:val="24"/>
          <w:szCs w:val="24"/>
        </w:rPr>
        <w:t xml:space="preserve"> in relation to </w:t>
      </w:r>
      <w:r w:rsidRPr="0032528B">
        <w:rPr>
          <w:rFonts w:ascii="Times New Roman" w:hAnsi="Times New Roman" w:cs="Times New Roman"/>
          <w:sz w:val="24"/>
          <w:szCs w:val="24"/>
        </w:rPr>
        <w:t>an</w:t>
      </w:r>
      <w:r w:rsidR="00447C01" w:rsidRPr="0032528B">
        <w:rPr>
          <w:rFonts w:ascii="Times New Roman" w:hAnsi="Times New Roman" w:cs="Times New Roman"/>
          <w:sz w:val="24"/>
          <w:szCs w:val="24"/>
        </w:rPr>
        <w:t xml:space="preserve"> </w:t>
      </w:r>
      <w:r w:rsidR="00A3127B">
        <w:rPr>
          <w:rFonts w:ascii="Times New Roman" w:hAnsi="Times New Roman" w:cs="Times New Roman"/>
          <w:sz w:val="24"/>
          <w:szCs w:val="24"/>
        </w:rPr>
        <w:t xml:space="preserve">already </w:t>
      </w:r>
      <w:r w:rsidR="00447C01" w:rsidRPr="0032528B">
        <w:rPr>
          <w:rFonts w:ascii="Times New Roman" w:hAnsi="Times New Roman" w:cs="Times New Roman"/>
          <w:sz w:val="24"/>
          <w:szCs w:val="24"/>
        </w:rPr>
        <w:t xml:space="preserve">ongoing war crimes investigation into his conduct, </w:t>
      </w:r>
      <w:r w:rsidRPr="0032528B">
        <w:rPr>
          <w:rFonts w:ascii="Times New Roman" w:hAnsi="Times New Roman" w:cs="Times New Roman"/>
          <w:sz w:val="24"/>
          <w:szCs w:val="24"/>
        </w:rPr>
        <w:t>including</w:t>
      </w:r>
      <w:r w:rsidR="005554DC" w:rsidRPr="0032528B">
        <w:rPr>
          <w:rFonts w:ascii="Times New Roman" w:hAnsi="Times New Roman" w:cs="Times New Roman"/>
          <w:sz w:val="24"/>
          <w:szCs w:val="24"/>
        </w:rPr>
        <w:t xml:space="preserve"> </w:t>
      </w:r>
      <w:hyperlink r:id="rId9" w:history="1">
        <w:r w:rsidRPr="0032528B">
          <w:rPr>
            <w:rStyle w:val="Hyperlink"/>
            <w:rFonts w:ascii="Times New Roman" w:hAnsi="Times New Roman" w:cs="Times New Roman"/>
            <w:sz w:val="24"/>
            <w:szCs w:val="24"/>
          </w:rPr>
          <w:t>alleged</w:t>
        </w:r>
        <w:r w:rsidR="005554DC" w:rsidRPr="0032528B">
          <w:rPr>
            <w:rStyle w:val="Hyperlink"/>
            <w:rFonts w:ascii="Times New Roman" w:hAnsi="Times New Roman" w:cs="Times New Roman"/>
            <w:sz w:val="24"/>
            <w:szCs w:val="24"/>
          </w:rPr>
          <w:t xml:space="preserve"> stor</w:t>
        </w:r>
        <w:r w:rsidRPr="0032528B">
          <w:rPr>
            <w:rStyle w:val="Hyperlink"/>
            <w:rFonts w:ascii="Times New Roman" w:hAnsi="Times New Roman" w:cs="Times New Roman"/>
            <w:sz w:val="24"/>
            <w:szCs w:val="24"/>
          </w:rPr>
          <w:t>age</w:t>
        </w:r>
        <w:r w:rsidR="005554DC" w:rsidRPr="0032528B">
          <w:rPr>
            <w:rStyle w:val="Hyperlink"/>
            <w:rFonts w:ascii="Times New Roman" w:hAnsi="Times New Roman" w:cs="Times New Roman"/>
            <w:sz w:val="24"/>
            <w:szCs w:val="24"/>
          </w:rPr>
          <w:t>, altering and transmi</w:t>
        </w:r>
        <w:r w:rsidRPr="0032528B">
          <w:rPr>
            <w:rStyle w:val="Hyperlink"/>
            <w:rFonts w:ascii="Times New Roman" w:hAnsi="Times New Roman" w:cs="Times New Roman"/>
            <w:sz w:val="24"/>
            <w:szCs w:val="24"/>
          </w:rPr>
          <w:t>ssion</w:t>
        </w:r>
      </w:hyperlink>
      <w:r w:rsidRPr="0032528B">
        <w:rPr>
          <w:rFonts w:ascii="Times New Roman" w:hAnsi="Times New Roman" w:cs="Times New Roman"/>
          <w:color w:val="121212"/>
          <w:sz w:val="24"/>
          <w:szCs w:val="24"/>
        </w:rPr>
        <w:t xml:space="preserve"> of</w:t>
      </w:r>
      <w:r w:rsidR="005554DC" w:rsidRPr="0032528B">
        <w:rPr>
          <w:rFonts w:ascii="Times New Roman" w:hAnsi="Times New Roman" w:cs="Times New Roman"/>
          <w:color w:val="121212"/>
          <w:sz w:val="24"/>
          <w:szCs w:val="24"/>
        </w:rPr>
        <w:t xml:space="preserve"> classified Defence Department footage and NATO information, </w:t>
      </w:r>
      <w:r w:rsidR="00447C01" w:rsidRPr="0032528B">
        <w:rPr>
          <w:rFonts w:ascii="Times New Roman" w:hAnsi="Times New Roman" w:cs="Times New Roman"/>
          <w:sz w:val="24"/>
          <w:szCs w:val="24"/>
        </w:rPr>
        <w:t xml:space="preserve">have </w:t>
      </w:r>
      <w:r w:rsidRPr="0032528B">
        <w:rPr>
          <w:rFonts w:ascii="Times New Roman" w:hAnsi="Times New Roman" w:cs="Times New Roman"/>
          <w:sz w:val="24"/>
          <w:szCs w:val="24"/>
        </w:rPr>
        <w:t xml:space="preserve">rightly </w:t>
      </w:r>
      <w:r w:rsidR="00614268" w:rsidRPr="0032528B">
        <w:rPr>
          <w:rFonts w:ascii="Times New Roman" w:hAnsi="Times New Roman" w:cs="Times New Roman"/>
          <w:sz w:val="24"/>
          <w:szCs w:val="24"/>
        </w:rPr>
        <w:t>drawn</w:t>
      </w:r>
      <w:r w:rsidR="00447C01" w:rsidRPr="0032528B">
        <w:rPr>
          <w:rFonts w:ascii="Times New Roman" w:hAnsi="Times New Roman" w:cs="Times New Roman"/>
          <w:sz w:val="24"/>
          <w:szCs w:val="24"/>
        </w:rPr>
        <w:t xml:space="preserve"> </w:t>
      </w:r>
      <w:r w:rsidRPr="0032528B">
        <w:rPr>
          <w:rFonts w:ascii="Times New Roman" w:hAnsi="Times New Roman" w:cs="Times New Roman"/>
          <w:sz w:val="24"/>
          <w:szCs w:val="24"/>
        </w:rPr>
        <w:t xml:space="preserve">much </w:t>
      </w:r>
      <w:r w:rsidR="00447C01" w:rsidRPr="0032528B">
        <w:rPr>
          <w:rFonts w:ascii="Times New Roman" w:hAnsi="Times New Roman" w:cs="Times New Roman"/>
          <w:sz w:val="24"/>
          <w:szCs w:val="24"/>
        </w:rPr>
        <w:t>attention</w:t>
      </w:r>
      <w:r w:rsidR="005554DC" w:rsidRPr="0032528B">
        <w:rPr>
          <w:rFonts w:ascii="Times New Roman" w:hAnsi="Times New Roman" w:cs="Times New Roman"/>
          <w:sz w:val="24"/>
          <w:szCs w:val="24"/>
        </w:rPr>
        <w:t xml:space="preserve">. </w:t>
      </w:r>
      <w:r w:rsidR="00A3127B">
        <w:rPr>
          <w:rFonts w:ascii="Times New Roman" w:hAnsi="Times New Roman" w:cs="Times New Roman"/>
          <w:sz w:val="24"/>
          <w:szCs w:val="24"/>
        </w:rPr>
        <w:t xml:space="preserve">Arguments for </w:t>
      </w:r>
      <w:r w:rsidR="00A3127B" w:rsidRPr="00A3127B">
        <w:rPr>
          <w:rFonts w:ascii="Times New Roman" w:hAnsi="Times New Roman" w:cs="Times New Roman"/>
          <w:i/>
          <w:sz w:val="24"/>
          <w:szCs w:val="24"/>
        </w:rPr>
        <w:t>Nine</w:t>
      </w:r>
      <w:r w:rsidR="00A3127B">
        <w:rPr>
          <w:rFonts w:ascii="Times New Roman" w:hAnsi="Times New Roman" w:cs="Times New Roman"/>
          <w:sz w:val="24"/>
          <w:szCs w:val="24"/>
        </w:rPr>
        <w:t xml:space="preserve"> will reportedly rely on the defence of truth, and link to allegations contained in the Brereton Report. </w:t>
      </w:r>
      <w:r w:rsidR="00A3127B" w:rsidRPr="0032528B">
        <w:rPr>
          <w:rFonts w:ascii="Times New Roman" w:hAnsi="Times New Roman" w:cs="Times New Roman"/>
          <w:sz w:val="24"/>
          <w:szCs w:val="24"/>
        </w:rPr>
        <w:t>The defamation case is scheduled to commence in the Federal Court on 7 June and will be closely followed.</w:t>
      </w:r>
      <w:r w:rsidR="00A3127B">
        <w:rPr>
          <w:rFonts w:ascii="Times New Roman" w:hAnsi="Times New Roman" w:cs="Times New Roman"/>
          <w:sz w:val="24"/>
          <w:szCs w:val="24"/>
        </w:rPr>
        <w:t xml:space="preserve"> </w:t>
      </w:r>
    </w:p>
    <w:p w:rsidR="00D41F11" w:rsidRPr="0032528B" w:rsidRDefault="00A3127B" w:rsidP="0043195D">
      <w:pPr>
        <w:jc w:val="both"/>
        <w:rPr>
          <w:rFonts w:ascii="Times New Roman" w:hAnsi="Times New Roman" w:cs="Times New Roman"/>
          <w:sz w:val="24"/>
          <w:szCs w:val="24"/>
        </w:rPr>
      </w:pPr>
      <w:r>
        <w:rPr>
          <w:rFonts w:ascii="Times New Roman" w:hAnsi="Times New Roman" w:cs="Times New Roman"/>
          <w:sz w:val="24"/>
          <w:szCs w:val="24"/>
        </w:rPr>
        <w:t>Although t</w:t>
      </w:r>
      <w:r w:rsidR="00D2267D" w:rsidRPr="0032528B">
        <w:rPr>
          <w:rFonts w:ascii="Times New Roman" w:hAnsi="Times New Roman" w:cs="Times New Roman"/>
          <w:sz w:val="24"/>
          <w:szCs w:val="24"/>
        </w:rPr>
        <w:t xml:space="preserve">he regular drip of reporting on </w:t>
      </w:r>
      <w:r>
        <w:rPr>
          <w:rFonts w:ascii="Times New Roman" w:hAnsi="Times New Roman" w:cs="Times New Roman"/>
          <w:sz w:val="24"/>
          <w:szCs w:val="24"/>
        </w:rPr>
        <w:t xml:space="preserve">Roberts-Smith </w:t>
      </w:r>
      <w:r w:rsidR="00D2267D" w:rsidRPr="0032528B">
        <w:rPr>
          <w:rFonts w:ascii="Times New Roman" w:hAnsi="Times New Roman" w:cs="Times New Roman"/>
          <w:sz w:val="24"/>
          <w:szCs w:val="24"/>
        </w:rPr>
        <w:t>ha</w:t>
      </w:r>
      <w:r w:rsidR="00CA10A5">
        <w:rPr>
          <w:rFonts w:ascii="Times New Roman" w:hAnsi="Times New Roman" w:cs="Times New Roman"/>
          <w:sz w:val="24"/>
          <w:szCs w:val="24"/>
        </w:rPr>
        <w:t>s</w:t>
      </w:r>
      <w:r w:rsidR="0011103F" w:rsidRPr="0032528B">
        <w:rPr>
          <w:rFonts w:ascii="Times New Roman" w:hAnsi="Times New Roman" w:cs="Times New Roman"/>
          <w:sz w:val="24"/>
          <w:szCs w:val="24"/>
        </w:rPr>
        <w:t xml:space="preserve"> </w:t>
      </w:r>
      <w:r w:rsidR="00490F5E" w:rsidRPr="0032528B">
        <w:rPr>
          <w:rFonts w:ascii="Times New Roman" w:hAnsi="Times New Roman" w:cs="Times New Roman"/>
          <w:sz w:val="24"/>
          <w:szCs w:val="24"/>
        </w:rPr>
        <w:t>give</w:t>
      </w:r>
      <w:r w:rsidR="00D2267D" w:rsidRPr="0032528B">
        <w:rPr>
          <w:rFonts w:ascii="Times New Roman" w:hAnsi="Times New Roman" w:cs="Times New Roman"/>
          <w:sz w:val="24"/>
          <w:szCs w:val="24"/>
        </w:rPr>
        <w:t>n</w:t>
      </w:r>
      <w:r w:rsidR="00490F5E" w:rsidRPr="0032528B">
        <w:rPr>
          <w:rFonts w:ascii="Times New Roman" w:hAnsi="Times New Roman" w:cs="Times New Roman"/>
          <w:sz w:val="24"/>
          <w:szCs w:val="24"/>
        </w:rPr>
        <w:t xml:space="preserve"> Australians a </w:t>
      </w:r>
      <w:r w:rsidR="00D2267D" w:rsidRPr="0032528B">
        <w:rPr>
          <w:rFonts w:ascii="Times New Roman" w:hAnsi="Times New Roman" w:cs="Times New Roman"/>
          <w:sz w:val="24"/>
          <w:szCs w:val="24"/>
        </w:rPr>
        <w:t>taste</w:t>
      </w:r>
      <w:r w:rsidR="00490F5E" w:rsidRPr="0032528B">
        <w:rPr>
          <w:rFonts w:ascii="Times New Roman" w:hAnsi="Times New Roman" w:cs="Times New Roman"/>
          <w:sz w:val="24"/>
          <w:szCs w:val="24"/>
        </w:rPr>
        <w:t xml:space="preserve"> </w:t>
      </w:r>
      <w:r w:rsidR="00D2267D" w:rsidRPr="0032528B">
        <w:rPr>
          <w:rFonts w:ascii="Times New Roman" w:hAnsi="Times New Roman" w:cs="Times New Roman"/>
          <w:sz w:val="24"/>
          <w:szCs w:val="24"/>
        </w:rPr>
        <w:t>of</w:t>
      </w:r>
      <w:r w:rsidR="00CA10A5">
        <w:rPr>
          <w:rFonts w:ascii="Times New Roman" w:hAnsi="Times New Roman" w:cs="Times New Roman"/>
          <w:sz w:val="24"/>
          <w:szCs w:val="24"/>
        </w:rPr>
        <w:t xml:space="preserve"> some of the issues </w:t>
      </w:r>
      <w:r w:rsidR="00A46ABB">
        <w:rPr>
          <w:rFonts w:ascii="Times New Roman" w:hAnsi="Times New Roman" w:cs="Times New Roman"/>
          <w:sz w:val="24"/>
          <w:szCs w:val="24"/>
        </w:rPr>
        <w:t>that may</w:t>
      </w:r>
      <w:r w:rsidR="00CA10A5">
        <w:rPr>
          <w:rFonts w:ascii="Times New Roman" w:hAnsi="Times New Roman" w:cs="Times New Roman"/>
          <w:sz w:val="24"/>
          <w:szCs w:val="24"/>
        </w:rPr>
        <w:t xml:space="preserve"> arise </w:t>
      </w:r>
      <w:r w:rsidR="00E605B3">
        <w:rPr>
          <w:rFonts w:ascii="Times New Roman" w:hAnsi="Times New Roman" w:cs="Times New Roman"/>
          <w:sz w:val="24"/>
          <w:szCs w:val="24"/>
        </w:rPr>
        <w:t>if</w:t>
      </w:r>
      <w:r w:rsidR="00CA10A5">
        <w:rPr>
          <w:rFonts w:ascii="Times New Roman" w:hAnsi="Times New Roman" w:cs="Times New Roman"/>
          <w:sz w:val="24"/>
          <w:szCs w:val="24"/>
        </w:rPr>
        <w:t xml:space="preserve"> cases head to court</w:t>
      </w:r>
      <w:r>
        <w:rPr>
          <w:rFonts w:ascii="Times New Roman" w:hAnsi="Times New Roman" w:cs="Times New Roman"/>
          <w:sz w:val="24"/>
          <w:szCs w:val="24"/>
        </w:rPr>
        <w:t>, in general</w:t>
      </w:r>
      <w:r w:rsidR="00614268" w:rsidRPr="0032528B">
        <w:rPr>
          <w:rFonts w:ascii="Times New Roman" w:hAnsi="Times New Roman" w:cs="Times New Roman"/>
          <w:sz w:val="24"/>
          <w:szCs w:val="24"/>
        </w:rPr>
        <w:t xml:space="preserve"> </w:t>
      </w:r>
      <w:r w:rsidR="00831D71" w:rsidRPr="0032528B">
        <w:rPr>
          <w:rFonts w:ascii="Times New Roman" w:hAnsi="Times New Roman" w:cs="Times New Roman"/>
          <w:sz w:val="24"/>
          <w:szCs w:val="24"/>
        </w:rPr>
        <w:t xml:space="preserve">the issue of prosecutions for </w:t>
      </w:r>
      <w:r w:rsidR="00D2267D" w:rsidRPr="0032528B">
        <w:rPr>
          <w:rFonts w:ascii="Times New Roman" w:hAnsi="Times New Roman" w:cs="Times New Roman"/>
          <w:sz w:val="24"/>
          <w:szCs w:val="24"/>
        </w:rPr>
        <w:t>other</w:t>
      </w:r>
      <w:r w:rsidR="00490F5E" w:rsidRPr="0032528B">
        <w:rPr>
          <w:rFonts w:ascii="Times New Roman" w:hAnsi="Times New Roman" w:cs="Times New Roman"/>
          <w:sz w:val="24"/>
          <w:szCs w:val="24"/>
        </w:rPr>
        <w:t xml:space="preserve"> </w:t>
      </w:r>
      <w:r w:rsidR="00702DB1" w:rsidRPr="0032528B">
        <w:rPr>
          <w:rFonts w:ascii="Times New Roman" w:hAnsi="Times New Roman" w:cs="Times New Roman"/>
          <w:sz w:val="24"/>
          <w:szCs w:val="24"/>
        </w:rPr>
        <w:t xml:space="preserve">alleged </w:t>
      </w:r>
      <w:r w:rsidR="00614268" w:rsidRPr="0032528B">
        <w:rPr>
          <w:rFonts w:ascii="Times New Roman" w:hAnsi="Times New Roman" w:cs="Times New Roman"/>
          <w:sz w:val="24"/>
          <w:szCs w:val="24"/>
        </w:rPr>
        <w:t xml:space="preserve">SASR </w:t>
      </w:r>
      <w:r w:rsidR="00831D71" w:rsidRPr="0032528B">
        <w:rPr>
          <w:rFonts w:ascii="Times New Roman" w:hAnsi="Times New Roman" w:cs="Times New Roman"/>
          <w:sz w:val="24"/>
          <w:szCs w:val="24"/>
        </w:rPr>
        <w:t xml:space="preserve">war crimes has </w:t>
      </w:r>
      <w:r w:rsidR="000C5274" w:rsidRPr="0032528B">
        <w:rPr>
          <w:rFonts w:ascii="Times New Roman" w:hAnsi="Times New Roman" w:cs="Times New Roman"/>
          <w:sz w:val="24"/>
          <w:szCs w:val="24"/>
        </w:rPr>
        <w:t xml:space="preserve">largely </w:t>
      </w:r>
      <w:r w:rsidR="00831D71" w:rsidRPr="0032528B">
        <w:rPr>
          <w:rFonts w:ascii="Times New Roman" w:hAnsi="Times New Roman" w:cs="Times New Roman"/>
          <w:sz w:val="24"/>
          <w:szCs w:val="24"/>
        </w:rPr>
        <w:t xml:space="preserve">fallen off the </w:t>
      </w:r>
      <w:r w:rsidR="00614268" w:rsidRPr="0032528B">
        <w:rPr>
          <w:rFonts w:ascii="Times New Roman" w:hAnsi="Times New Roman" w:cs="Times New Roman"/>
          <w:sz w:val="24"/>
          <w:szCs w:val="24"/>
        </w:rPr>
        <w:t xml:space="preserve">public </w:t>
      </w:r>
      <w:r w:rsidR="00831D71" w:rsidRPr="0032528B">
        <w:rPr>
          <w:rFonts w:ascii="Times New Roman" w:hAnsi="Times New Roman" w:cs="Times New Roman"/>
          <w:sz w:val="24"/>
          <w:szCs w:val="24"/>
        </w:rPr>
        <w:t>radar</w:t>
      </w:r>
      <w:r w:rsidR="00614268" w:rsidRPr="0032528B">
        <w:rPr>
          <w:rFonts w:ascii="Times New Roman" w:hAnsi="Times New Roman" w:cs="Times New Roman"/>
          <w:sz w:val="24"/>
          <w:szCs w:val="24"/>
        </w:rPr>
        <w:t xml:space="preserve">. </w:t>
      </w:r>
      <w:r w:rsidR="00D94044" w:rsidRPr="0032528B">
        <w:rPr>
          <w:rFonts w:ascii="Times New Roman" w:hAnsi="Times New Roman" w:cs="Times New Roman"/>
          <w:sz w:val="24"/>
          <w:szCs w:val="24"/>
        </w:rPr>
        <w:t xml:space="preserve">So, six months </w:t>
      </w:r>
      <w:r>
        <w:rPr>
          <w:rFonts w:ascii="Times New Roman" w:hAnsi="Times New Roman" w:cs="Times New Roman"/>
          <w:sz w:val="24"/>
          <w:szCs w:val="24"/>
        </w:rPr>
        <w:t>since the Brereton Report shocked Australia</w:t>
      </w:r>
      <w:r w:rsidR="00D94044" w:rsidRPr="0032528B">
        <w:rPr>
          <w:rFonts w:ascii="Times New Roman" w:hAnsi="Times New Roman" w:cs="Times New Roman"/>
          <w:sz w:val="24"/>
          <w:szCs w:val="24"/>
        </w:rPr>
        <w:t>, i</w:t>
      </w:r>
      <w:r w:rsidR="00614268" w:rsidRPr="0032528B">
        <w:rPr>
          <w:rFonts w:ascii="Times New Roman" w:hAnsi="Times New Roman" w:cs="Times New Roman"/>
          <w:sz w:val="24"/>
          <w:szCs w:val="24"/>
        </w:rPr>
        <w:t>t is worth</w:t>
      </w:r>
      <w:r w:rsidR="00702DB1" w:rsidRPr="0032528B">
        <w:rPr>
          <w:rFonts w:ascii="Times New Roman" w:hAnsi="Times New Roman" w:cs="Times New Roman"/>
          <w:sz w:val="24"/>
          <w:szCs w:val="24"/>
        </w:rPr>
        <w:t xml:space="preserve"> examining </w:t>
      </w:r>
      <w:r w:rsidR="00614268" w:rsidRPr="0032528B">
        <w:rPr>
          <w:rFonts w:ascii="Times New Roman" w:hAnsi="Times New Roman" w:cs="Times New Roman"/>
          <w:sz w:val="24"/>
          <w:szCs w:val="24"/>
        </w:rPr>
        <w:t xml:space="preserve">what the potential for </w:t>
      </w:r>
      <w:r w:rsidR="00A46ABB">
        <w:rPr>
          <w:rFonts w:ascii="Times New Roman" w:hAnsi="Times New Roman" w:cs="Times New Roman"/>
          <w:sz w:val="24"/>
          <w:szCs w:val="24"/>
        </w:rPr>
        <w:t xml:space="preserve">these </w:t>
      </w:r>
      <w:r w:rsidR="00614268" w:rsidRPr="0032528B">
        <w:rPr>
          <w:rFonts w:ascii="Times New Roman" w:hAnsi="Times New Roman" w:cs="Times New Roman"/>
          <w:sz w:val="24"/>
          <w:szCs w:val="24"/>
        </w:rPr>
        <w:t>prosecutions</w:t>
      </w:r>
      <w:r w:rsidR="00702DB1" w:rsidRPr="0032528B">
        <w:rPr>
          <w:rFonts w:ascii="Times New Roman" w:hAnsi="Times New Roman" w:cs="Times New Roman"/>
          <w:sz w:val="24"/>
          <w:szCs w:val="24"/>
        </w:rPr>
        <w:t xml:space="preserve"> really is.</w:t>
      </w:r>
      <w:r w:rsidR="00831D71" w:rsidRPr="0032528B">
        <w:rPr>
          <w:rFonts w:ascii="Times New Roman" w:hAnsi="Times New Roman" w:cs="Times New Roman"/>
          <w:sz w:val="24"/>
          <w:szCs w:val="24"/>
        </w:rPr>
        <w:t xml:space="preserve"> </w:t>
      </w:r>
    </w:p>
    <w:p w:rsidR="002209C2" w:rsidRPr="0032528B" w:rsidRDefault="007341A9" w:rsidP="002209C2">
      <w:pPr>
        <w:pStyle w:val="ListParagraph"/>
        <w:ind w:left="0"/>
        <w:rPr>
          <w:rFonts w:ascii="Times New Roman" w:hAnsi="Times New Roman" w:cs="Times New Roman"/>
          <w:b/>
          <w:sz w:val="24"/>
          <w:szCs w:val="24"/>
          <w:lang w:val="en-US"/>
        </w:rPr>
      </w:pPr>
      <w:r w:rsidRPr="0032528B">
        <w:rPr>
          <w:rFonts w:ascii="Times New Roman" w:hAnsi="Times New Roman" w:cs="Times New Roman"/>
          <w:b/>
          <w:sz w:val="24"/>
          <w:szCs w:val="24"/>
          <w:lang w:val="en-US"/>
        </w:rPr>
        <w:t>Limited Experience</w:t>
      </w:r>
    </w:p>
    <w:p w:rsidR="002209C2" w:rsidRPr="0032528B" w:rsidRDefault="002209C2" w:rsidP="002209C2">
      <w:pPr>
        <w:pStyle w:val="css-38z03z"/>
        <w:shd w:val="clear" w:color="auto" w:fill="FFFFFF"/>
        <w:spacing w:before="0" w:beforeAutospacing="0" w:after="240" w:afterAutospacing="0"/>
        <w:jc w:val="both"/>
        <w:textAlignment w:val="baseline"/>
        <w:rPr>
          <w:color w:val="333333"/>
          <w:shd w:val="clear" w:color="auto" w:fill="FFFFFF"/>
        </w:rPr>
      </w:pPr>
      <w:r w:rsidRPr="0032528B">
        <w:rPr>
          <w:lang w:val="en-US"/>
        </w:rPr>
        <w:t xml:space="preserve">In response to </w:t>
      </w:r>
      <w:r w:rsidR="00D2267D" w:rsidRPr="0032528B">
        <w:rPr>
          <w:lang w:val="en-US"/>
        </w:rPr>
        <w:t>the Report’s</w:t>
      </w:r>
      <w:r w:rsidRPr="0032528B">
        <w:rPr>
          <w:lang w:val="en-US"/>
        </w:rPr>
        <w:t xml:space="preserve"> findings, the </w:t>
      </w:r>
      <w:r w:rsidRPr="0032528B">
        <w:rPr>
          <w:color w:val="333333"/>
          <w:shd w:val="clear" w:color="auto" w:fill="FFFFFF"/>
        </w:rPr>
        <w:t xml:space="preserve">Prime Minister announced the establishment of a new investigative body – the </w:t>
      </w:r>
      <w:hyperlink r:id="rId10" w:history="1">
        <w:r w:rsidRPr="0032528B">
          <w:rPr>
            <w:rStyle w:val="Hyperlink"/>
            <w:shd w:val="clear" w:color="auto" w:fill="FFFFFF"/>
          </w:rPr>
          <w:t>Office of the Special Investigator (OSI)</w:t>
        </w:r>
      </w:hyperlink>
      <w:r w:rsidRPr="0032528B">
        <w:rPr>
          <w:color w:val="333333"/>
          <w:shd w:val="clear" w:color="auto" w:fill="FFFFFF"/>
        </w:rPr>
        <w:t xml:space="preserve"> - within the Department of Home Affairs. The OSI commenced work on 4 January 2021. Its brief is to work with the AFP to assess the matters raised by the Brereton Inquiry and, if appropriate, prepare briefs of evidence for referral to the </w:t>
      </w:r>
      <w:proofErr w:type="spellStart"/>
      <w:r w:rsidRPr="0032528B">
        <w:rPr>
          <w:color w:val="333333"/>
          <w:shd w:val="clear" w:color="auto" w:fill="FFFFFF"/>
        </w:rPr>
        <w:t>Cth</w:t>
      </w:r>
      <w:proofErr w:type="spellEnd"/>
      <w:r w:rsidRPr="0032528B">
        <w:rPr>
          <w:color w:val="333333"/>
          <w:shd w:val="clear" w:color="auto" w:fill="FFFFFF"/>
        </w:rPr>
        <w:t xml:space="preserve"> DPP.</w:t>
      </w:r>
      <w:r w:rsidRPr="0032528B">
        <w:rPr>
          <w:lang w:val="en-US"/>
        </w:rPr>
        <w:t xml:space="preserve"> </w:t>
      </w:r>
      <w:r w:rsidRPr="0032528B">
        <w:rPr>
          <w:color w:val="333333"/>
          <w:shd w:val="clear" w:color="auto" w:fill="FFFFFF"/>
        </w:rPr>
        <w:t xml:space="preserve">Three </w:t>
      </w:r>
      <w:hyperlink r:id="rId11" w:history="1">
        <w:r w:rsidR="002B51A8" w:rsidRPr="0032528B">
          <w:rPr>
            <w:rStyle w:val="Hyperlink"/>
            <w:shd w:val="clear" w:color="auto" w:fill="FFFFFF"/>
          </w:rPr>
          <w:t xml:space="preserve">senior </w:t>
        </w:r>
        <w:r w:rsidRPr="0032528B">
          <w:rPr>
            <w:rStyle w:val="Hyperlink"/>
            <w:shd w:val="clear" w:color="auto" w:fill="FFFFFF"/>
          </w:rPr>
          <w:t>appointments</w:t>
        </w:r>
      </w:hyperlink>
      <w:r w:rsidRPr="0032528B">
        <w:rPr>
          <w:color w:val="333333"/>
          <w:shd w:val="clear" w:color="auto" w:fill="FFFFFF"/>
        </w:rPr>
        <w:t xml:space="preserve"> have since been made; the </w:t>
      </w:r>
      <w:r w:rsidRPr="0032528B">
        <w:rPr>
          <w:lang w:val="en-US"/>
        </w:rPr>
        <w:t xml:space="preserve">Special Investigator who is the lead responsible for the investigations (Mark Weinberg, </w:t>
      </w:r>
      <w:r w:rsidRPr="0032528B">
        <w:rPr>
          <w:color w:val="333333"/>
          <w:shd w:val="clear" w:color="auto" w:fill="FFFFFF"/>
        </w:rPr>
        <w:t xml:space="preserve">a </w:t>
      </w:r>
      <w:r w:rsidRPr="0032528B">
        <w:rPr>
          <w:color w:val="333333"/>
          <w:shd w:val="clear" w:color="auto" w:fill="FFFFFF"/>
        </w:rPr>
        <w:lastRenderedPageBreak/>
        <w:t>former Commonwealth Director of Public Prosecutions); the Director of Investigations who is responsible for the conduct of investigations (</w:t>
      </w:r>
      <w:r w:rsidR="002B51A8" w:rsidRPr="0032528B">
        <w:rPr>
          <w:color w:val="333333"/>
          <w:shd w:val="clear" w:color="auto" w:fill="FFFFFF"/>
        </w:rPr>
        <w:t xml:space="preserve">Ross Barnett, </w:t>
      </w:r>
      <w:r w:rsidRPr="0032528B">
        <w:rPr>
          <w:color w:val="333333"/>
          <w:shd w:val="clear" w:color="auto" w:fill="FFFFFF"/>
        </w:rPr>
        <w:t xml:space="preserve">a former Queensland Deputy Police Chief with major crime experience); and the Director General, who is responsible for the running of the office (Chris </w:t>
      </w:r>
      <w:proofErr w:type="spellStart"/>
      <w:r w:rsidRPr="0032528B">
        <w:rPr>
          <w:color w:val="333333"/>
          <w:shd w:val="clear" w:color="auto" w:fill="FFFFFF"/>
        </w:rPr>
        <w:t>Moraitis</w:t>
      </w:r>
      <w:proofErr w:type="spellEnd"/>
      <w:r w:rsidRPr="0032528B">
        <w:rPr>
          <w:color w:val="333333"/>
          <w:shd w:val="clear" w:color="auto" w:fill="FFFFFF"/>
        </w:rPr>
        <w:t xml:space="preserve">, a former Secretary of the Attorney-General’s Department with extensive diplomatic experience). </w:t>
      </w:r>
      <w:r w:rsidR="002B51A8" w:rsidRPr="0032528B">
        <w:rPr>
          <w:color w:val="333333"/>
          <w:shd w:val="clear" w:color="auto" w:fill="FFFFFF"/>
        </w:rPr>
        <w:t>No information on other OSI officials has been made public</w:t>
      </w:r>
      <w:r w:rsidRPr="0032528B">
        <w:rPr>
          <w:color w:val="333333"/>
          <w:shd w:val="clear" w:color="auto" w:fill="FFFFFF"/>
        </w:rPr>
        <w:t xml:space="preserve">, </w:t>
      </w:r>
      <w:r w:rsidR="002B51A8" w:rsidRPr="0032528B">
        <w:rPr>
          <w:color w:val="333333"/>
          <w:shd w:val="clear" w:color="auto" w:fill="FFFFFF"/>
        </w:rPr>
        <w:t xml:space="preserve">but </w:t>
      </w:r>
      <w:r w:rsidRPr="0032528B">
        <w:rPr>
          <w:color w:val="333333"/>
          <w:shd w:val="clear" w:color="auto" w:fill="FFFFFF"/>
        </w:rPr>
        <w:t xml:space="preserve">it is to be noted that no international criminal law practitioners have been appointed to </w:t>
      </w:r>
      <w:r w:rsidR="002B51A8" w:rsidRPr="0032528B">
        <w:rPr>
          <w:color w:val="333333"/>
          <w:shd w:val="clear" w:color="auto" w:fill="FFFFFF"/>
        </w:rPr>
        <w:t xml:space="preserve">the most </w:t>
      </w:r>
      <w:r w:rsidRPr="0032528B">
        <w:rPr>
          <w:color w:val="333333"/>
          <w:shd w:val="clear" w:color="auto" w:fill="FFFFFF"/>
        </w:rPr>
        <w:t xml:space="preserve">senior roles. Perhaps </w:t>
      </w:r>
      <w:r w:rsidR="002B51A8" w:rsidRPr="0032528B">
        <w:rPr>
          <w:color w:val="333333"/>
          <w:shd w:val="clear" w:color="auto" w:fill="FFFFFF"/>
        </w:rPr>
        <w:t xml:space="preserve">this </w:t>
      </w:r>
      <w:proofErr w:type="gramStart"/>
      <w:r w:rsidR="002B51A8" w:rsidRPr="0032528B">
        <w:rPr>
          <w:color w:val="333333"/>
          <w:shd w:val="clear" w:color="auto" w:fill="FFFFFF"/>
        </w:rPr>
        <w:t xml:space="preserve">is </w:t>
      </w:r>
      <w:r w:rsidRPr="0032528B">
        <w:rPr>
          <w:color w:val="333333"/>
          <w:shd w:val="clear" w:color="auto" w:fill="FFFFFF"/>
        </w:rPr>
        <w:t>a reflection of</w:t>
      </w:r>
      <w:proofErr w:type="gramEnd"/>
      <w:r w:rsidRPr="0032528B">
        <w:rPr>
          <w:color w:val="333333"/>
          <w:shd w:val="clear" w:color="auto" w:fill="FFFFFF"/>
        </w:rPr>
        <w:t xml:space="preserve"> the fact that </w:t>
      </w:r>
      <w:r w:rsidR="002B51A8" w:rsidRPr="0032528B">
        <w:rPr>
          <w:color w:val="333333"/>
          <w:shd w:val="clear" w:color="auto" w:fill="FFFFFF"/>
        </w:rPr>
        <w:t>all</w:t>
      </w:r>
      <w:r w:rsidRPr="0032528B">
        <w:rPr>
          <w:color w:val="333333"/>
          <w:shd w:val="clear" w:color="auto" w:fill="FFFFFF"/>
        </w:rPr>
        <w:t xml:space="preserve"> prosecutions will be for offences against Australian law</w:t>
      </w:r>
      <w:r w:rsidR="002B51A8" w:rsidRPr="0032528B">
        <w:rPr>
          <w:color w:val="333333"/>
          <w:shd w:val="clear" w:color="auto" w:fill="FFFFFF"/>
        </w:rPr>
        <w:t xml:space="preserve"> (Division 268 of the </w:t>
      </w:r>
      <w:r w:rsidR="002B51A8" w:rsidRPr="00030C71">
        <w:rPr>
          <w:i/>
          <w:color w:val="333333"/>
          <w:shd w:val="clear" w:color="auto" w:fill="FFFFFF"/>
        </w:rPr>
        <w:t>Criminal Code</w:t>
      </w:r>
      <w:r w:rsidR="002B51A8" w:rsidRPr="0032528B">
        <w:rPr>
          <w:color w:val="333333"/>
          <w:shd w:val="clear" w:color="auto" w:fill="FFFFFF"/>
        </w:rPr>
        <w:t xml:space="preserve"> (</w:t>
      </w:r>
      <w:proofErr w:type="spellStart"/>
      <w:r w:rsidR="002B51A8" w:rsidRPr="0032528B">
        <w:rPr>
          <w:color w:val="333333"/>
          <w:shd w:val="clear" w:color="auto" w:fill="FFFFFF"/>
        </w:rPr>
        <w:t>Cth</w:t>
      </w:r>
      <w:proofErr w:type="spellEnd"/>
      <w:r w:rsidR="002B51A8" w:rsidRPr="0032528B">
        <w:rPr>
          <w:color w:val="333333"/>
          <w:shd w:val="clear" w:color="auto" w:fill="FFFFFF"/>
        </w:rPr>
        <w:t>) in particular);</w:t>
      </w:r>
      <w:r w:rsidRPr="0032528B">
        <w:rPr>
          <w:color w:val="333333"/>
          <w:shd w:val="clear" w:color="auto" w:fill="FFFFFF"/>
        </w:rPr>
        <w:t xml:space="preserve"> nevertheless</w:t>
      </w:r>
      <w:r w:rsidR="002404EA" w:rsidRPr="0032528B">
        <w:rPr>
          <w:color w:val="333333"/>
          <w:shd w:val="clear" w:color="auto" w:fill="FFFFFF"/>
        </w:rPr>
        <w:t>,</w:t>
      </w:r>
      <w:r w:rsidRPr="0032528B">
        <w:rPr>
          <w:color w:val="333333"/>
          <w:shd w:val="clear" w:color="auto" w:fill="FFFFFF"/>
        </w:rPr>
        <w:t xml:space="preserve"> reference to </w:t>
      </w:r>
      <w:r w:rsidR="002B51A8" w:rsidRPr="0032528B">
        <w:rPr>
          <w:color w:val="333333"/>
          <w:shd w:val="clear" w:color="auto" w:fill="FFFFFF"/>
        </w:rPr>
        <w:t xml:space="preserve">ICC and </w:t>
      </w:r>
      <w:r w:rsidRPr="0032528B">
        <w:rPr>
          <w:color w:val="333333"/>
          <w:shd w:val="clear" w:color="auto" w:fill="FFFFFF"/>
        </w:rPr>
        <w:t xml:space="preserve">ICTY </w:t>
      </w:r>
      <w:r w:rsidR="002B51A8" w:rsidRPr="0032528B">
        <w:rPr>
          <w:color w:val="333333"/>
          <w:shd w:val="clear" w:color="auto" w:fill="FFFFFF"/>
        </w:rPr>
        <w:t>material</w:t>
      </w:r>
      <w:r w:rsidRPr="0032528B">
        <w:rPr>
          <w:color w:val="333333"/>
          <w:shd w:val="clear" w:color="auto" w:fill="FFFFFF"/>
        </w:rPr>
        <w:t xml:space="preserve"> will be </w:t>
      </w:r>
      <w:r w:rsidR="00E605B3">
        <w:rPr>
          <w:color w:val="333333"/>
          <w:shd w:val="clear" w:color="auto" w:fill="FFFFFF"/>
        </w:rPr>
        <w:t>in</w:t>
      </w:r>
      <w:r w:rsidRPr="0032528B">
        <w:rPr>
          <w:color w:val="333333"/>
          <w:shd w:val="clear" w:color="auto" w:fill="FFFFFF"/>
        </w:rPr>
        <w:t xml:space="preserve">valuable, and it is hoped that </w:t>
      </w:r>
      <w:r w:rsidR="002B51A8" w:rsidRPr="0032528B">
        <w:rPr>
          <w:color w:val="333333"/>
          <w:shd w:val="clear" w:color="auto" w:fill="FFFFFF"/>
        </w:rPr>
        <w:t xml:space="preserve">there will be sufficient depth </w:t>
      </w:r>
      <w:r w:rsidR="002404EA" w:rsidRPr="0032528B">
        <w:rPr>
          <w:color w:val="333333"/>
          <w:shd w:val="clear" w:color="auto" w:fill="FFFFFF"/>
        </w:rPr>
        <w:t>with</w:t>
      </w:r>
      <w:r w:rsidR="002B51A8" w:rsidRPr="0032528B">
        <w:rPr>
          <w:color w:val="333333"/>
          <w:shd w:val="clear" w:color="auto" w:fill="FFFFFF"/>
        </w:rPr>
        <w:t>in the</w:t>
      </w:r>
      <w:r w:rsidRPr="0032528B">
        <w:rPr>
          <w:color w:val="333333"/>
          <w:shd w:val="clear" w:color="auto" w:fill="FFFFFF"/>
        </w:rPr>
        <w:t xml:space="preserve"> OSI </w:t>
      </w:r>
      <w:r w:rsidR="002B51A8" w:rsidRPr="0032528B">
        <w:rPr>
          <w:color w:val="333333"/>
          <w:shd w:val="clear" w:color="auto" w:fill="FFFFFF"/>
        </w:rPr>
        <w:t>as a whole</w:t>
      </w:r>
      <w:r w:rsidRPr="0032528B">
        <w:rPr>
          <w:color w:val="333333"/>
          <w:shd w:val="clear" w:color="auto" w:fill="FFFFFF"/>
        </w:rPr>
        <w:t xml:space="preserve">. </w:t>
      </w:r>
    </w:p>
    <w:p w:rsidR="002209C2" w:rsidRPr="0032528B" w:rsidRDefault="002209C2" w:rsidP="002209C2">
      <w:pPr>
        <w:pStyle w:val="ListParagraph"/>
        <w:spacing w:before="240"/>
        <w:ind w:left="0"/>
        <w:contextualSpacing w:val="0"/>
        <w:rPr>
          <w:rFonts w:ascii="Times New Roman" w:hAnsi="Times New Roman" w:cs="Times New Roman"/>
          <w:color w:val="333333"/>
          <w:sz w:val="24"/>
          <w:szCs w:val="24"/>
          <w:shd w:val="clear" w:color="auto" w:fill="FFFFFF"/>
        </w:rPr>
      </w:pPr>
      <w:r w:rsidRPr="0032528B">
        <w:rPr>
          <w:rFonts w:ascii="Times New Roman" w:hAnsi="Times New Roman" w:cs="Times New Roman"/>
          <w:color w:val="1A1A1A"/>
          <w:sz w:val="24"/>
          <w:szCs w:val="24"/>
          <w:shd w:val="clear" w:color="auto" w:fill="FFFFFF"/>
        </w:rPr>
        <w:t xml:space="preserve">One of the </w:t>
      </w:r>
      <w:r w:rsidR="006B735E">
        <w:rPr>
          <w:rFonts w:ascii="Times New Roman" w:hAnsi="Times New Roman" w:cs="Times New Roman"/>
          <w:color w:val="1A1A1A"/>
          <w:sz w:val="24"/>
          <w:szCs w:val="24"/>
          <w:shd w:val="clear" w:color="auto" w:fill="FFFFFF"/>
        </w:rPr>
        <w:t>largest</w:t>
      </w:r>
      <w:r w:rsidRPr="0032528B">
        <w:rPr>
          <w:rFonts w:ascii="Times New Roman" w:hAnsi="Times New Roman" w:cs="Times New Roman"/>
          <w:color w:val="1A1A1A"/>
          <w:sz w:val="24"/>
          <w:szCs w:val="24"/>
          <w:shd w:val="clear" w:color="auto" w:fill="FFFFFF"/>
        </w:rPr>
        <w:t xml:space="preserve"> hurdles to be faced is the significant experiential gap Australia has with war crimes prosecutions. Had the Government not felt the political imperative to create the OSI, the Department of Defence would have had responsibility for working with the DPP on the incidents involved. However, the Department of Defence has for many years </w:t>
      </w:r>
      <w:hyperlink r:id="rId12" w:history="1">
        <w:r w:rsidRPr="0032528B">
          <w:rPr>
            <w:rStyle w:val="Hyperlink"/>
            <w:rFonts w:ascii="Times New Roman" w:hAnsi="Times New Roman" w:cs="Times New Roman"/>
            <w:sz w:val="24"/>
            <w:szCs w:val="24"/>
            <w:shd w:val="clear" w:color="auto" w:fill="FFFFFF"/>
          </w:rPr>
          <w:t>done very little to investigate and move forward the prosecutions</w:t>
        </w:r>
      </w:hyperlink>
      <w:r w:rsidRPr="0032528B">
        <w:rPr>
          <w:rFonts w:ascii="Times New Roman" w:hAnsi="Times New Roman" w:cs="Times New Roman"/>
          <w:color w:val="1A1A1A"/>
          <w:sz w:val="24"/>
          <w:szCs w:val="24"/>
          <w:shd w:val="clear" w:color="auto" w:fill="FFFFFF"/>
        </w:rPr>
        <w:t xml:space="preserve"> of ADF members involved in alleged crimes, even after repeated and credible complaints. Additionally, there has been very limited success in the few prosecutions which have proceeded. Part of the problem has been a focus on charging soldiers for conduct during </w:t>
      </w:r>
      <w:r w:rsidRPr="0032528B">
        <w:rPr>
          <w:rFonts w:ascii="Times New Roman" w:hAnsi="Times New Roman" w:cs="Times New Roman"/>
          <w:i/>
          <w:color w:val="1A1A1A"/>
          <w:sz w:val="24"/>
          <w:szCs w:val="24"/>
          <w:shd w:val="clear" w:color="auto" w:fill="FFFFFF"/>
        </w:rPr>
        <w:t>kinetic encounters</w:t>
      </w:r>
      <w:r w:rsidRPr="0032528B">
        <w:rPr>
          <w:rFonts w:ascii="Times New Roman" w:hAnsi="Times New Roman" w:cs="Times New Roman"/>
          <w:color w:val="1A1A1A"/>
          <w:sz w:val="24"/>
          <w:szCs w:val="24"/>
          <w:shd w:val="clear" w:color="auto" w:fill="FFFFFF"/>
        </w:rPr>
        <w:t xml:space="preserve">, such as for ‘lesser’ crimes like manslaughter, where the DPP has faced problems in proving the requisite ‘intent’ for the offence. A typical recent example was the failure of charges against two Special Forces soldiers for the negligent </w:t>
      </w:r>
      <w:hyperlink r:id="rId13" w:history="1">
        <w:r w:rsidRPr="0032528B">
          <w:rPr>
            <w:rStyle w:val="Hyperlink"/>
            <w:rFonts w:ascii="Times New Roman" w:hAnsi="Times New Roman" w:cs="Times New Roman"/>
            <w:sz w:val="24"/>
            <w:szCs w:val="24"/>
            <w:shd w:val="clear" w:color="auto" w:fill="FFFFFF"/>
          </w:rPr>
          <w:t>deaths of five Afghan children during a raid on a compound in 2009</w:t>
        </w:r>
      </w:hyperlink>
      <w:r w:rsidRPr="0032528B">
        <w:rPr>
          <w:rFonts w:ascii="Times New Roman" w:hAnsi="Times New Roman" w:cs="Times New Roman"/>
          <w:color w:val="1A1A1A"/>
          <w:sz w:val="24"/>
          <w:szCs w:val="24"/>
          <w:shd w:val="clear" w:color="auto" w:fill="FFFFFF"/>
        </w:rPr>
        <w:t xml:space="preserve">. The allegedly deliberate nature of much if not </w:t>
      </w:r>
      <w:proofErr w:type="gramStart"/>
      <w:r w:rsidRPr="0032528B">
        <w:rPr>
          <w:rFonts w:ascii="Times New Roman" w:hAnsi="Times New Roman" w:cs="Times New Roman"/>
          <w:color w:val="1A1A1A"/>
          <w:sz w:val="24"/>
          <w:szCs w:val="24"/>
          <w:shd w:val="clear" w:color="auto" w:fill="FFFFFF"/>
        </w:rPr>
        <w:t>all of</w:t>
      </w:r>
      <w:proofErr w:type="gramEnd"/>
      <w:r w:rsidRPr="0032528B">
        <w:rPr>
          <w:rFonts w:ascii="Times New Roman" w:hAnsi="Times New Roman" w:cs="Times New Roman"/>
          <w:color w:val="1A1A1A"/>
          <w:sz w:val="24"/>
          <w:szCs w:val="24"/>
          <w:shd w:val="clear" w:color="auto" w:fill="FFFFFF"/>
        </w:rPr>
        <w:t xml:space="preserve"> the conduct in the Brereton Report would seemingly not face this difficulty, but the DPP’s recent experience demonstrates that this is a path largely untrodden. </w:t>
      </w:r>
      <w:r w:rsidRPr="0032528B">
        <w:rPr>
          <w:rFonts w:ascii="Times New Roman" w:hAnsi="Times New Roman" w:cs="Times New Roman"/>
          <w:color w:val="333333"/>
          <w:sz w:val="24"/>
          <w:szCs w:val="24"/>
          <w:shd w:val="clear" w:color="auto" w:fill="FFFFFF"/>
        </w:rPr>
        <w:t xml:space="preserve">It is also to be hoped </w:t>
      </w:r>
      <w:r w:rsidR="00E605B3">
        <w:rPr>
          <w:rFonts w:ascii="Times New Roman" w:hAnsi="Times New Roman" w:cs="Times New Roman"/>
          <w:color w:val="333333"/>
          <w:sz w:val="24"/>
          <w:szCs w:val="24"/>
          <w:shd w:val="clear" w:color="auto" w:fill="FFFFFF"/>
        </w:rPr>
        <w:t>that the new agency -</w:t>
      </w:r>
      <w:r w:rsidRPr="0032528B">
        <w:rPr>
          <w:rFonts w:ascii="Times New Roman" w:hAnsi="Times New Roman" w:cs="Times New Roman"/>
          <w:color w:val="333333"/>
          <w:sz w:val="24"/>
          <w:szCs w:val="24"/>
          <w:shd w:val="clear" w:color="auto" w:fill="FFFFFF"/>
        </w:rPr>
        <w:t xml:space="preserve"> OSI </w:t>
      </w:r>
      <w:r w:rsidR="00E605B3">
        <w:rPr>
          <w:rFonts w:ascii="Times New Roman" w:hAnsi="Times New Roman" w:cs="Times New Roman"/>
          <w:color w:val="333333"/>
          <w:sz w:val="24"/>
          <w:szCs w:val="24"/>
          <w:shd w:val="clear" w:color="auto" w:fill="FFFFFF"/>
        </w:rPr>
        <w:t xml:space="preserve">- </w:t>
      </w:r>
      <w:r w:rsidRPr="0032528B">
        <w:rPr>
          <w:rFonts w:ascii="Times New Roman" w:hAnsi="Times New Roman" w:cs="Times New Roman"/>
          <w:color w:val="333333"/>
          <w:sz w:val="24"/>
          <w:szCs w:val="24"/>
          <w:shd w:val="clear" w:color="auto" w:fill="FFFFFF"/>
        </w:rPr>
        <w:t>will be able to step effectively into a role that would otherwise have been carried out by various elements of the ADF</w:t>
      </w:r>
      <w:r w:rsidR="00BB293B" w:rsidRPr="0032528B">
        <w:rPr>
          <w:rFonts w:ascii="Times New Roman" w:hAnsi="Times New Roman" w:cs="Times New Roman"/>
          <w:color w:val="333333"/>
          <w:sz w:val="24"/>
          <w:szCs w:val="24"/>
          <w:shd w:val="clear" w:color="auto" w:fill="FFFFFF"/>
        </w:rPr>
        <w:t xml:space="preserve"> (</w:t>
      </w:r>
      <w:r w:rsidR="00BB293B" w:rsidRPr="0032528B">
        <w:rPr>
          <w:rFonts w:ascii="Times New Roman" w:hAnsi="Times New Roman" w:cs="Times New Roman"/>
          <w:sz w:val="24"/>
          <w:szCs w:val="24"/>
        </w:rPr>
        <w:t>probably the Royal Australian Corps of Military Police, the Australian Legal Corps and/or the Australian Defence Force Investigatory Service (now part of the Joint Military Service Police))</w:t>
      </w:r>
      <w:r w:rsidR="00E605B3">
        <w:rPr>
          <w:rFonts w:ascii="Times New Roman" w:hAnsi="Times New Roman" w:cs="Times New Roman"/>
          <w:sz w:val="24"/>
          <w:szCs w:val="24"/>
        </w:rPr>
        <w:t>. D</w:t>
      </w:r>
      <w:r w:rsidRPr="0032528B">
        <w:rPr>
          <w:rFonts w:ascii="Times New Roman" w:hAnsi="Times New Roman" w:cs="Times New Roman"/>
          <w:sz w:val="24"/>
          <w:szCs w:val="24"/>
          <w:shd w:val="clear" w:color="auto" w:fill="FFFFFF"/>
        </w:rPr>
        <w:t>espite the understandable disadvantages of having Defence involved in the prosecution process</w:t>
      </w:r>
      <w:r w:rsidR="00BB293B" w:rsidRPr="0032528B">
        <w:rPr>
          <w:rFonts w:ascii="Times New Roman" w:hAnsi="Times New Roman" w:cs="Times New Roman"/>
          <w:sz w:val="24"/>
          <w:szCs w:val="24"/>
          <w:shd w:val="clear" w:color="auto" w:fill="FFFFFF"/>
        </w:rPr>
        <w:t xml:space="preserve"> (</w:t>
      </w:r>
      <w:r w:rsidR="00AE0EF6" w:rsidRPr="0032528B">
        <w:rPr>
          <w:rFonts w:ascii="Times New Roman" w:hAnsi="Times New Roman" w:cs="Times New Roman"/>
          <w:sz w:val="24"/>
          <w:szCs w:val="24"/>
          <w:shd w:val="clear" w:color="auto" w:fill="FFFFFF"/>
        </w:rPr>
        <w:t>indeed,</w:t>
      </w:r>
      <w:r w:rsidR="00BB293B" w:rsidRPr="0032528B">
        <w:rPr>
          <w:rFonts w:ascii="Times New Roman" w:hAnsi="Times New Roman" w:cs="Times New Roman"/>
          <w:sz w:val="24"/>
          <w:szCs w:val="24"/>
          <w:shd w:val="clear" w:color="auto" w:fill="FFFFFF"/>
        </w:rPr>
        <w:t xml:space="preserve"> Brereton’s Report found ADFIS’s work </w:t>
      </w:r>
      <w:r w:rsidR="00AE0EF6" w:rsidRPr="0032528B">
        <w:rPr>
          <w:rFonts w:ascii="Times New Roman" w:hAnsi="Times New Roman" w:cs="Times New Roman"/>
          <w:sz w:val="24"/>
          <w:szCs w:val="24"/>
          <w:shd w:val="clear" w:color="auto" w:fill="FFFFFF"/>
        </w:rPr>
        <w:t xml:space="preserve">in Afghanistan </w:t>
      </w:r>
      <w:r w:rsidR="00E605B3">
        <w:rPr>
          <w:rFonts w:ascii="Times New Roman" w:hAnsi="Times New Roman" w:cs="Times New Roman"/>
          <w:sz w:val="24"/>
          <w:szCs w:val="24"/>
          <w:shd w:val="clear" w:color="auto" w:fill="FFFFFF"/>
        </w:rPr>
        <w:t>most</w:t>
      </w:r>
      <w:r w:rsidR="00AE0EF6" w:rsidRPr="0032528B">
        <w:rPr>
          <w:rFonts w:ascii="Times New Roman" w:hAnsi="Times New Roman" w:cs="Times New Roman"/>
          <w:sz w:val="24"/>
          <w:szCs w:val="24"/>
          <w:shd w:val="clear" w:color="auto" w:fill="FFFFFF"/>
        </w:rPr>
        <w:t xml:space="preserve"> deficient</w:t>
      </w:r>
      <w:r w:rsidR="002404EA" w:rsidRPr="0032528B">
        <w:rPr>
          <w:rFonts w:ascii="Times New Roman" w:hAnsi="Times New Roman" w:cs="Times New Roman"/>
          <w:sz w:val="24"/>
          <w:szCs w:val="24"/>
          <w:shd w:val="clear" w:color="auto" w:fill="FFFFFF"/>
        </w:rPr>
        <w:t>; Chapter 3.03</w:t>
      </w:r>
      <w:r w:rsidR="00BB293B" w:rsidRPr="0032528B">
        <w:rPr>
          <w:rFonts w:ascii="Times New Roman" w:hAnsi="Times New Roman" w:cs="Times New Roman"/>
          <w:sz w:val="24"/>
          <w:szCs w:val="24"/>
          <w:shd w:val="clear" w:color="auto" w:fill="FFFFFF"/>
        </w:rPr>
        <w:t>)</w:t>
      </w:r>
      <w:r w:rsidRPr="0032528B">
        <w:rPr>
          <w:rFonts w:ascii="Times New Roman" w:hAnsi="Times New Roman" w:cs="Times New Roman"/>
          <w:sz w:val="24"/>
          <w:szCs w:val="24"/>
          <w:shd w:val="clear" w:color="auto" w:fill="FFFFFF"/>
        </w:rPr>
        <w:t xml:space="preserve">, </w:t>
      </w:r>
      <w:r w:rsidR="00E605B3">
        <w:rPr>
          <w:rFonts w:ascii="Times New Roman" w:hAnsi="Times New Roman" w:cs="Times New Roman"/>
          <w:sz w:val="24"/>
          <w:szCs w:val="24"/>
          <w:shd w:val="clear" w:color="auto" w:fill="FFFFFF"/>
        </w:rPr>
        <w:t xml:space="preserve">at least </w:t>
      </w:r>
      <w:r w:rsidRPr="0032528B">
        <w:rPr>
          <w:rFonts w:ascii="Times New Roman" w:hAnsi="Times New Roman" w:cs="Times New Roman"/>
          <w:sz w:val="24"/>
          <w:szCs w:val="24"/>
          <w:shd w:val="clear" w:color="auto" w:fill="FFFFFF"/>
        </w:rPr>
        <w:t xml:space="preserve">there might </w:t>
      </w:r>
      <w:r w:rsidR="00E605B3">
        <w:rPr>
          <w:rFonts w:ascii="Times New Roman" w:hAnsi="Times New Roman" w:cs="Times New Roman"/>
          <w:sz w:val="24"/>
          <w:szCs w:val="24"/>
          <w:shd w:val="clear" w:color="auto" w:fill="FFFFFF"/>
        </w:rPr>
        <w:t xml:space="preserve">have </w:t>
      </w:r>
      <w:r w:rsidRPr="0032528B">
        <w:rPr>
          <w:rFonts w:ascii="Times New Roman" w:hAnsi="Times New Roman" w:cs="Times New Roman"/>
          <w:sz w:val="24"/>
          <w:szCs w:val="24"/>
          <w:shd w:val="clear" w:color="auto" w:fill="FFFFFF"/>
        </w:rPr>
        <w:t>be</w:t>
      </w:r>
      <w:r w:rsidR="00E605B3">
        <w:rPr>
          <w:rFonts w:ascii="Times New Roman" w:hAnsi="Times New Roman" w:cs="Times New Roman"/>
          <w:sz w:val="24"/>
          <w:szCs w:val="24"/>
          <w:shd w:val="clear" w:color="auto" w:fill="FFFFFF"/>
        </w:rPr>
        <w:t>en</w:t>
      </w:r>
      <w:r w:rsidRPr="0032528B">
        <w:rPr>
          <w:rFonts w:ascii="Times New Roman" w:hAnsi="Times New Roman" w:cs="Times New Roman"/>
          <w:sz w:val="24"/>
          <w:szCs w:val="24"/>
          <w:shd w:val="clear" w:color="auto" w:fill="FFFFFF"/>
        </w:rPr>
        <w:t xml:space="preserve"> fewer problems with access to and cooperation from ADF personnel.</w:t>
      </w:r>
    </w:p>
    <w:p w:rsidR="007341A9" w:rsidRPr="009574CB" w:rsidRDefault="00FE08AB" w:rsidP="002209C2">
      <w:pPr>
        <w:pStyle w:val="ListParagraph"/>
        <w:spacing w:before="240"/>
        <w:ind w:left="0"/>
        <w:rPr>
          <w:rFonts w:ascii="Times New Roman" w:hAnsi="Times New Roman" w:cs="Times New Roman"/>
          <w:b/>
          <w:color w:val="1A1A1A"/>
          <w:sz w:val="24"/>
          <w:szCs w:val="24"/>
          <w:shd w:val="clear" w:color="auto" w:fill="FFFFFF"/>
        </w:rPr>
      </w:pPr>
      <w:r w:rsidRPr="0032528B">
        <w:rPr>
          <w:rFonts w:ascii="Times New Roman" w:hAnsi="Times New Roman" w:cs="Times New Roman"/>
          <w:b/>
          <w:color w:val="1A1A1A"/>
          <w:sz w:val="24"/>
          <w:szCs w:val="24"/>
          <w:shd w:val="clear" w:color="auto" w:fill="FFFFFF"/>
        </w:rPr>
        <w:t>The Difficult Decision to Prosecute</w:t>
      </w:r>
    </w:p>
    <w:p w:rsidR="006B735E" w:rsidRDefault="006B735E" w:rsidP="002209C2">
      <w:pPr>
        <w:pStyle w:val="ListParagraph"/>
        <w:spacing w:before="240"/>
        <w:ind w:left="0"/>
        <w:rPr>
          <w:rFonts w:ascii="Times New Roman" w:hAnsi="Times New Roman" w:cs="Times New Roman"/>
          <w:color w:val="1A1A1A"/>
          <w:sz w:val="24"/>
          <w:szCs w:val="24"/>
          <w:shd w:val="clear" w:color="auto" w:fill="FFFFFF"/>
        </w:rPr>
      </w:pPr>
    </w:p>
    <w:p w:rsidR="002209C2" w:rsidRPr="0032528B" w:rsidRDefault="006B735E" w:rsidP="002209C2">
      <w:pPr>
        <w:pStyle w:val="ListParagraph"/>
        <w:spacing w:before="240"/>
        <w:ind w:left="0"/>
        <w:rPr>
          <w:rFonts w:ascii="Times New Roman" w:hAnsi="Times New Roman" w:cs="Times New Roman"/>
          <w:color w:val="333333"/>
          <w:sz w:val="24"/>
          <w:szCs w:val="24"/>
          <w:shd w:val="clear" w:color="auto" w:fill="FFFFFF"/>
        </w:rPr>
      </w:pPr>
      <w:r>
        <w:rPr>
          <w:rFonts w:ascii="Times New Roman" w:hAnsi="Times New Roman" w:cs="Times New Roman"/>
          <w:color w:val="1A1A1A"/>
          <w:sz w:val="24"/>
          <w:szCs w:val="24"/>
          <w:shd w:val="clear" w:color="auto" w:fill="FFFFFF"/>
        </w:rPr>
        <w:t xml:space="preserve">Clearly there will be a </w:t>
      </w:r>
      <w:r w:rsidR="002209C2" w:rsidRPr="0032528B">
        <w:rPr>
          <w:rFonts w:ascii="Times New Roman" w:hAnsi="Times New Roman" w:cs="Times New Roman"/>
          <w:color w:val="1A1A1A"/>
          <w:sz w:val="24"/>
          <w:szCs w:val="24"/>
          <w:shd w:val="clear" w:color="auto" w:fill="FFFFFF"/>
        </w:rPr>
        <w:t xml:space="preserve">challenge </w:t>
      </w:r>
      <w:r>
        <w:rPr>
          <w:rFonts w:ascii="Times New Roman" w:hAnsi="Times New Roman" w:cs="Times New Roman"/>
          <w:color w:val="1A1A1A"/>
          <w:sz w:val="24"/>
          <w:szCs w:val="24"/>
          <w:shd w:val="clear" w:color="auto" w:fill="FFFFFF"/>
        </w:rPr>
        <w:t>to garner</w:t>
      </w:r>
      <w:r w:rsidR="002209C2" w:rsidRPr="0032528B">
        <w:rPr>
          <w:rFonts w:ascii="Times New Roman" w:hAnsi="Times New Roman" w:cs="Times New Roman"/>
          <w:color w:val="1A1A1A"/>
          <w:sz w:val="24"/>
          <w:szCs w:val="24"/>
          <w:shd w:val="clear" w:color="auto" w:fill="FFFFFF"/>
        </w:rPr>
        <w:t xml:space="preserve"> evidence </w:t>
      </w:r>
      <w:proofErr w:type="gramStart"/>
      <w:r w:rsidR="002209C2" w:rsidRPr="0032528B">
        <w:rPr>
          <w:rFonts w:ascii="Times New Roman" w:hAnsi="Times New Roman" w:cs="Times New Roman"/>
          <w:color w:val="1A1A1A"/>
          <w:sz w:val="24"/>
          <w:szCs w:val="24"/>
          <w:shd w:val="clear" w:color="auto" w:fill="FFFFFF"/>
        </w:rPr>
        <w:t>sufficient</w:t>
      </w:r>
      <w:proofErr w:type="gramEnd"/>
      <w:r w:rsidR="002209C2" w:rsidRPr="0032528B">
        <w:rPr>
          <w:rFonts w:ascii="Times New Roman" w:hAnsi="Times New Roman" w:cs="Times New Roman"/>
          <w:color w:val="1A1A1A"/>
          <w:sz w:val="24"/>
          <w:szCs w:val="24"/>
          <w:shd w:val="clear" w:color="auto" w:fill="FFFFFF"/>
        </w:rPr>
        <w:t xml:space="preserve"> to meet the criminal standard. While the Brereton Report concluded that there is “credible information” sufficient to lay charges of war crimes, and its findings were corroborated, and relied on eyewitness accounts or “</w:t>
      </w:r>
      <w:r w:rsidR="002209C2" w:rsidRPr="0032528B">
        <w:rPr>
          <w:rFonts w:ascii="Times New Roman" w:hAnsi="Times New Roman" w:cs="Times New Roman"/>
          <w:sz w:val="24"/>
          <w:szCs w:val="24"/>
        </w:rPr>
        <w:t>persuasive circumstantial evidence and/or strong similar fact evidence”</w:t>
      </w:r>
      <w:r w:rsidR="00BB276E" w:rsidRPr="0032528B">
        <w:rPr>
          <w:rFonts w:ascii="Times New Roman" w:hAnsi="Times New Roman" w:cs="Times New Roman"/>
          <w:sz w:val="24"/>
          <w:szCs w:val="24"/>
        </w:rPr>
        <w:t xml:space="preserve"> (para 24 of Chapter 1.01)</w:t>
      </w:r>
      <w:r w:rsidR="002209C2" w:rsidRPr="0032528B">
        <w:rPr>
          <w:rFonts w:ascii="Times New Roman" w:hAnsi="Times New Roman" w:cs="Times New Roman"/>
          <w:sz w:val="24"/>
          <w:szCs w:val="24"/>
        </w:rPr>
        <w:t xml:space="preserve">, </w:t>
      </w:r>
      <w:r w:rsidR="002209C2" w:rsidRPr="0032528B">
        <w:rPr>
          <w:rFonts w:ascii="Times New Roman" w:hAnsi="Times New Roman" w:cs="Times New Roman"/>
          <w:color w:val="1A1A1A"/>
          <w:sz w:val="24"/>
          <w:szCs w:val="24"/>
          <w:shd w:val="clear" w:color="auto" w:fill="FFFFFF"/>
        </w:rPr>
        <w:t>it</w:t>
      </w:r>
      <w:r w:rsidR="002209C2" w:rsidRPr="0032528B">
        <w:rPr>
          <w:rFonts w:ascii="Times New Roman" w:eastAsia="Times New Roman" w:hAnsi="Times New Roman" w:cs="Times New Roman"/>
          <w:color w:val="121212"/>
          <w:sz w:val="24"/>
          <w:szCs w:val="24"/>
          <w:lang w:eastAsia="en-GB"/>
        </w:rPr>
        <w:t xml:space="preserve"> did not set out to build a brief of evidence to the standard required for criminal prosecution, and it was explicit as to this limitation</w:t>
      </w:r>
      <w:r w:rsidR="00BB276E" w:rsidRPr="0032528B">
        <w:rPr>
          <w:rFonts w:ascii="Times New Roman" w:eastAsia="Times New Roman" w:hAnsi="Times New Roman" w:cs="Times New Roman"/>
          <w:color w:val="121212"/>
          <w:sz w:val="24"/>
          <w:szCs w:val="24"/>
          <w:lang w:eastAsia="en-GB"/>
        </w:rPr>
        <w:t xml:space="preserve"> (</w:t>
      </w:r>
      <w:r w:rsidR="00BB276E" w:rsidRPr="0032528B">
        <w:rPr>
          <w:rFonts w:ascii="Times New Roman" w:hAnsi="Times New Roman" w:cs="Times New Roman"/>
          <w:sz w:val="24"/>
          <w:szCs w:val="24"/>
        </w:rPr>
        <w:t>paras 22-23 of Chapter 1.01)</w:t>
      </w:r>
      <w:r w:rsidR="002209C2" w:rsidRPr="0032528B">
        <w:rPr>
          <w:rFonts w:ascii="Times New Roman" w:eastAsia="Times New Roman" w:hAnsi="Times New Roman" w:cs="Times New Roman"/>
          <w:color w:val="121212"/>
          <w:sz w:val="24"/>
          <w:szCs w:val="24"/>
          <w:lang w:eastAsia="en-GB"/>
        </w:rPr>
        <w:t>. In fact</w:t>
      </w:r>
      <w:r>
        <w:rPr>
          <w:rFonts w:ascii="Times New Roman" w:eastAsia="Times New Roman" w:hAnsi="Times New Roman" w:cs="Times New Roman"/>
          <w:color w:val="121212"/>
          <w:sz w:val="24"/>
          <w:szCs w:val="24"/>
          <w:lang w:eastAsia="en-GB"/>
        </w:rPr>
        <w:t>,</w:t>
      </w:r>
      <w:r w:rsidR="002209C2" w:rsidRPr="0032528B">
        <w:rPr>
          <w:rFonts w:ascii="Times New Roman" w:eastAsia="Times New Roman" w:hAnsi="Times New Roman" w:cs="Times New Roman"/>
          <w:color w:val="121212"/>
          <w:sz w:val="24"/>
          <w:szCs w:val="24"/>
          <w:lang w:eastAsia="en-GB"/>
        </w:rPr>
        <w:t xml:space="preserve"> the standard of proof used in the Brereton Inquiry in many ways resembled that of a civil case</w:t>
      </w:r>
      <w:r w:rsidR="00580BCD" w:rsidRPr="0032528B">
        <w:rPr>
          <w:rFonts w:ascii="Times New Roman" w:eastAsia="Times New Roman" w:hAnsi="Times New Roman" w:cs="Times New Roman"/>
          <w:color w:val="121212"/>
          <w:sz w:val="24"/>
          <w:szCs w:val="24"/>
          <w:lang w:eastAsia="en-GB"/>
        </w:rPr>
        <w:t xml:space="preserve">, </w:t>
      </w:r>
      <w:r w:rsidR="002209C2" w:rsidRPr="0032528B">
        <w:rPr>
          <w:rFonts w:ascii="Times New Roman" w:eastAsia="Times New Roman" w:hAnsi="Times New Roman" w:cs="Times New Roman"/>
          <w:color w:val="121212"/>
          <w:sz w:val="24"/>
          <w:szCs w:val="24"/>
          <w:lang w:eastAsia="en-GB"/>
        </w:rPr>
        <w:t xml:space="preserve">meaning the </w:t>
      </w:r>
      <w:r w:rsidR="00580BCD" w:rsidRPr="0032528B">
        <w:rPr>
          <w:rFonts w:ascii="Times New Roman" w:eastAsia="Times New Roman" w:hAnsi="Times New Roman" w:cs="Times New Roman"/>
          <w:color w:val="121212"/>
          <w:sz w:val="24"/>
          <w:szCs w:val="24"/>
          <w:lang w:eastAsia="en-GB"/>
        </w:rPr>
        <w:t xml:space="preserve">task of </w:t>
      </w:r>
      <w:r w:rsidR="00E65600" w:rsidRPr="0032528B">
        <w:rPr>
          <w:rFonts w:ascii="Times New Roman" w:eastAsia="Times New Roman" w:hAnsi="Times New Roman" w:cs="Times New Roman"/>
          <w:color w:val="121212"/>
          <w:sz w:val="24"/>
          <w:szCs w:val="24"/>
          <w:lang w:eastAsia="en-GB"/>
        </w:rPr>
        <w:t>compiling evidence to</w:t>
      </w:r>
      <w:r w:rsidR="00580BCD" w:rsidRPr="0032528B">
        <w:rPr>
          <w:rFonts w:ascii="Times New Roman" w:eastAsia="Times New Roman" w:hAnsi="Times New Roman" w:cs="Times New Roman"/>
          <w:color w:val="121212"/>
          <w:sz w:val="24"/>
          <w:szCs w:val="24"/>
          <w:lang w:eastAsia="en-GB"/>
        </w:rPr>
        <w:t xml:space="preserve"> the criminal standard now falls to the </w:t>
      </w:r>
      <w:r w:rsidR="002209C2" w:rsidRPr="0032528B">
        <w:rPr>
          <w:rFonts w:ascii="Times New Roman" w:eastAsia="Times New Roman" w:hAnsi="Times New Roman" w:cs="Times New Roman"/>
          <w:color w:val="121212"/>
          <w:sz w:val="24"/>
          <w:szCs w:val="24"/>
          <w:lang w:eastAsia="en-GB"/>
        </w:rPr>
        <w:t>OSI/AFP.</w:t>
      </w:r>
    </w:p>
    <w:p w:rsidR="002209C2" w:rsidRPr="0032528B" w:rsidRDefault="006B735E" w:rsidP="002209C2">
      <w:pPr>
        <w:jc w:val="both"/>
        <w:rPr>
          <w:rFonts w:ascii="Times New Roman" w:hAnsi="Times New Roman" w:cs="Times New Roman"/>
          <w:color w:val="1A1A1A"/>
          <w:sz w:val="24"/>
          <w:szCs w:val="24"/>
          <w:shd w:val="clear" w:color="auto" w:fill="FFFFFF"/>
        </w:rPr>
      </w:pPr>
      <w:r>
        <w:rPr>
          <w:rFonts w:ascii="Times New Roman" w:hAnsi="Times New Roman" w:cs="Times New Roman"/>
          <w:color w:val="1A1A1A"/>
          <w:sz w:val="24"/>
          <w:szCs w:val="24"/>
          <w:shd w:val="clear" w:color="auto" w:fill="FFFFFF"/>
        </w:rPr>
        <w:t>M</w:t>
      </w:r>
      <w:r w:rsidR="002209C2" w:rsidRPr="0032528B">
        <w:rPr>
          <w:rFonts w:ascii="Times New Roman" w:hAnsi="Times New Roman" w:cs="Times New Roman"/>
          <w:color w:val="1A1A1A"/>
          <w:sz w:val="24"/>
          <w:szCs w:val="24"/>
          <w:shd w:val="clear" w:color="auto" w:fill="FFFFFF"/>
        </w:rPr>
        <w:t xml:space="preserve">ajor obstacles are likely to be encountered in </w:t>
      </w:r>
      <w:r w:rsidR="00580BCD" w:rsidRPr="0032528B">
        <w:rPr>
          <w:rFonts w:ascii="Times New Roman" w:hAnsi="Times New Roman" w:cs="Times New Roman"/>
          <w:color w:val="1A1A1A"/>
          <w:sz w:val="24"/>
          <w:szCs w:val="24"/>
          <w:shd w:val="clear" w:color="auto" w:fill="FFFFFF"/>
        </w:rPr>
        <w:t>this</w:t>
      </w:r>
      <w:r w:rsidR="002209C2" w:rsidRPr="0032528B">
        <w:rPr>
          <w:rFonts w:ascii="Times New Roman" w:hAnsi="Times New Roman" w:cs="Times New Roman"/>
          <w:color w:val="1A1A1A"/>
          <w:sz w:val="24"/>
          <w:szCs w:val="24"/>
          <w:shd w:val="clear" w:color="auto" w:fill="FFFFFF"/>
        </w:rPr>
        <w:t xml:space="preserve"> process. </w:t>
      </w:r>
      <w:r w:rsidR="00AE0EF6" w:rsidRPr="0032528B">
        <w:rPr>
          <w:rFonts w:ascii="Times New Roman" w:hAnsi="Times New Roman" w:cs="Times New Roman"/>
          <w:color w:val="1A1A1A"/>
          <w:sz w:val="24"/>
          <w:szCs w:val="24"/>
          <w:shd w:val="clear" w:color="auto" w:fill="FFFFFF"/>
        </w:rPr>
        <w:t xml:space="preserve">According to the </w:t>
      </w:r>
      <w:hyperlink r:id="rId14" w:history="1">
        <w:r w:rsidR="00AE0EF6" w:rsidRPr="0032528B">
          <w:rPr>
            <w:rStyle w:val="Hyperlink"/>
            <w:rFonts w:ascii="Times New Roman" w:hAnsi="Times New Roman" w:cs="Times New Roman"/>
            <w:i/>
            <w:sz w:val="24"/>
            <w:szCs w:val="24"/>
          </w:rPr>
          <w:t>Prosecution Policy of the Commonwealth</w:t>
        </w:r>
      </w:hyperlink>
      <w:r w:rsidR="00AE0EF6" w:rsidRPr="0032528B">
        <w:rPr>
          <w:rFonts w:ascii="Times New Roman" w:hAnsi="Times New Roman" w:cs="Times New Roman"/>
          <w:color w:val="1A1A1A"/>
          <w:sz w:val="24"/>
          <w:szCs w:val="24"/>
          <w:shd w:val="clear" w:color="auto" w:fill="FFFFFF"/>
        </w:rPr>
        <w:t>, i</w:t>
      </w:r>
      <w:r w:rsidR="00587B4B" w:rsidRPr="0032528B">
        <w:rPr>
          <w:rFonts w:ascii="Times New Roman" w:hAnsi="Times New Roman" w:cs="Times New Roman"/>
          <w:color w:val="1A1A1A"/>
          <w:sz w:val="24"/>
          <w:szCs w:val="24"/>
          <w:shd w:val="clear" w:color="auto" w:fill="FFFFFF"/>
        </w:rPr>
        <w:t xml:space="preserve">n making the decision to prosecute </w:t>
      </w:r>
      <w:r w:rsidR="00CC1E8C" w:rsidRPr="0032528B">
        <w:rPr>
          <w:rFonts w:ascii="Times New Roman" w:hAnsi="Times New Roman" w:cs="Times New Roman"/>
          <w:color w:val="1A1A1A"/>
          <w:sz w:val="24"/>
          <w:szCs w:val="24"/>
          <w:shd w:val="clear" w:color="auto" w:fill="FFFFFF"/>
        </w:rPr>
        <w:t>t</w:t>
      </w:r>
      <w:r w:rsidR="000B15F1" w:rsidRPr="0032528B">
        <w:rPr>
          <w:rFonts w:ascii="Times New Roman" w:hAnsi="Times New Roman" w:cs="Times New Roman"/>
          <w:color w:val="1A1A1A"/>
          <w:sz w:val="24"/>
          <w:szCs w:val="24"/>
          <w:shd w:val="clear" w:color="auto" w:fill="FFFFFF"/>
        </w:rPr>
        <w:t xml:space="preserve">he </w:t>
      </w:r>
      <w:r w:rsidR="00CC1E8C" w:rsidRPr="0032528B">
        <w:rPr>
          <w:rFonts w:ascii="Times New Roman" w:hAnsi="Times New Roman" w:cs="Times New Roman"/>
          <w:color w:val="1A1A1A"/>
          <w:sz w:val="24"/>
          <w:szCs w:val="24"/>
          <w:shd w:val="clear" w:color="auto" w:fill="FFFFFF"/>
        </w:rPr>
        <w:t xml:space="preserve">DPP’s </w:t>
      </w:r>
      <w:r w:rsidR="000B15F1" w:rsidRPr="0032528B">
        <w:rPr>
          <w:rFonts w:ascii="Times New Roman" w:hAnsi="Times New Roman" w:cs="Times New Roman"/>
          <w:color w:val="1A1A1A"/>
          <w:sz w:val="24"/>
          <w:szCs w:val="24"/>
          <w:shd w:val="clear" w:color="auto" w:fill="FFFFFF"/>
        </w:rPr>
        <w:t xml:space="preserve">ability to build a </w:t>
      </w:r>
      <w:r w:rsidR="000B15F1" w:rsidRPr="0032528B">
        <w:rPr>
          <w:rFonts w:ascii="Times New Roman" w:hAnsi="Times New Roman" w:cs="Times New Roman"/>
          <w:i/>
          <w:color w:val="1A1A1A"/>
          <w:sz w:val="24"/>
          <w:szCs w:val="24"/>
          <w:shd w:val="clear" w:color="auto" w:fill="FFFFFF"/>
        </w:rPr>
        <w:t>prima facie</w:t>
      </w:r>
      <w:r w:rsidR="000B15F1" w:rsidRPr="0032528B">
        <w:rPr>
          <w:rFonts w:ascii="Times New Roman" w:hAnsi="Times New Roman" w:cs="Times New Roman"/>
          <w:color w:val="1A1A1A"/>
          <w:sz w:val="24"/>
          <w:szCs w:val="24"/>
          <w:shd w:val="clear" w:color="auto" w:fill="FFFFFF"/>
        </w:rPr>
        <w:t xml:space="preserve"> case against an accused </w:t>
      </w:r>
      <w:r w:rsidR="00AE0EF6" w:rsidRPr="0032528B">
        <w:rPr>
          <w:rFonts w:ascii="Times New Roman" w:hAnsi="Times New Roman" w:cs="Times New Roman"/>
          <w:color w:val="1A1A1A"/>
          <w:sz w:val="24"/>
          <w:szCs w:val="24"/>
          <w:shd w:val="clear" w:color="auto" w:fill="FFFFFF"/>
        </w:rPr>
        <w:t>is</w:t>
      </w:r>
      <w:r w:rsidR="000B15F1" w:rsidRPr="0032528B">
        <w:rPr>
          <w:rFonts w:ascii="Times New Roman" w:hAnsi="Times New Roman" w:cs="Times New Roman"/>
          <w:color w:val="1A1A1A"/>
          <w:sz w:val="24"/>
          <w:szCs w:val="24"/>
          <w:shd w:val="clear" w:color="auto" w:fill="FFFFFF"/>
        </w:rPr>
        <w:t xml:space="preserve"> not sufficient</w:t>
      </w:r>
      <w:r w:rsidR="00F222B1" w:rsidRPr="0032528B">
        <w:rPr>
          <w:rFonts w:ascii="Times New Roman" w:hAnsi="Times New Roman" w:cs="Times New Roman"/>
          <w:color w:val="1A1A1A"/>
          <w:sz w:val="24"/>
          <w:szCs w:val="24"/>
          <w:shd w:val="clear" w:color="auto" w:fill="FFFFFF"/>
        </w:rPr>
        <w:t xml:space="preserve"> by itself</w:t>
      </w:r>
      <w:r w:rsidR="000B15F1" w:rsidRPr="0032528B">
        <w:rPr>
          <w:rFonts w:ascii="Times New Roman" w:hAnsi="Times New Roman" w:cs="Times New Roman"/>
          <w:color w:val="1A1A1A"/>
          <w:sz w:val="24"/>
          <w:szCs w:val="24"/>
          <w:shd w:val="clear" w:color="auto" w:fill="FFFFFF"/>
        </w:rPr>
        <w:t xml:space="preserve">, and regard </w:t>
      </w:r>
      <w:r w:rsidR="00CC1E8C" w:rsidRPr="0032528B">
        <w:rPr>
          <w:rFonts w:ascii="Times New Roman" w:hAnsi="Times New Roman" w:cs="Times New Roman"/>
          <w:color w:val="1A1A1A"/>
          <w:sz w:val="24"/>
          <w:szCs w:val="24"/>
          <w:shd w:val="clear" w:color="auto" w:fill="FFFFFF"/>
        </w:rPr>
        <w:t>must be had to</w:t>
      </w:r>
      <w:r w:rsidR="000B15F1" w:rsidRPr="0032528B">
        <w:rPr>
          <w:rFonts w:ascii="Times New Roman" w:hAnsi="Times New Roman" w:cs="Times New Roman"/>
          <w:color w:val="1A1A1A"/>
          <w:sz w:val="24"/>
          <w:szCs w:val="24"/>
          <w:shd w:val="clear" w:color="auto" w:fill="FFFFFF"/>
        </w:rPr>
        <w:t xml:space="preserve"> the likelihood of securing a conviction, i.e. how strong the case will be when presented in court</w:t>
      </w:r>
      <w:r w:rsidR="00BB276E" w:rsidRPr="0032528B">
        <w:rPr>
          <w:rFonts w:ascii="Times New Roman" w:hAnsi="Times New Roman" w:cs="Times New Roman"/>
          <w:color w:val="1A1A1A"/>
          <w:sz w:val="24"/>
          <w:szCs w:val="24"/>
          <w:shd w:val="clear" w:color="auto" w:fill="FFFFFF"/>
        </w:rPr>
        <w:t xml:space="preserve"> (</w:t>
      </w:r>
      <w:r w:rsidR="00BB276E" w:rsidRPr="0032528B">
        <w:rPr>
          <w:rFonts w:ascii="Times New Roman" w:hAnsi="Times New Roman" w:cs="Times New Roman"/>
          <w:sz w:val="24"/>
          <w:szCs w:val="24"/>
        </w:rPr>
        <w:t>para 2.6)</w:t>
      </w:r>
      <w:r w:rsidR="000B15F1" w:rsidRPr="0032528B">
        <w:rPr>
          <w:rFonts w:ascii="Times New Roman" w:hAnsi="Times New Roman" w:cs="Times New Roman"/>
          <w:color w:val="1A1A1A"/>
          <w:sz w:val="24"/>
          <w:szCs w:val="24"/>
          <w:shd w:val="clear" w:color="auto" w:fill="FFFFFF"/>
        </w:rPr>
        <w:t xml:space="preserve">. </w:t>
      </w:r>
      <w:r w:rsidR="002209C2" w:rsidRPr="0032528B">
        <w:rPr>
          <w:rFonts w:ascii="Times New Roman" w:hAnsi="Times New Roman" w:cs="Times New Roman"/>
          <w:color w:val="1A1A1A"/>
          <w:sz w:val="24"/>
          <w:szCs w:val="24"/>
          <w:shd w:val="clear" w:color="auto" w:fill="FFFFFF"/>
        </w:rPr>
        <w:t xml:space="preserve">Evidential difficulties clearly include the lapse in time since the alleged offences, and the potential unavailability of key witnesses during pre-trial preparations and during the </w:t>
      </w:r>
      <w:r w:rsidR="002209C2" w:rsidRPr="0032528B">
        <w:rPr>
          <w:rFonts w:ascii="Times New Roman" w:hAnsi="Times New Roman" w:cs="Times New Roman"/>
          <w:color w:val="1A1A1A"/>
          <w:sz w:val="24"/>
          <w:szCs w:val="24"/>
          <w:shd w:val="clear" w:color="auto" w:fill="FFFFFF"/>
        </w:rPr>
        <w:lastRenderedPageBreak/>
        <w:t>hearings themselves, even if allowed over video</w:t>
      </w:r>
      <w:r w:rsidR="0056735A" w:rsidRPr="0032528B">
        <w:rPr>
          <w:rFonts w:ascii="Times New Roman" w:hAnsi="Times New Roman" w:cs="Times New Roman"/>
          <w:color w:val="1A1A1A"/>
          <w:sz w:val="24"/>
          <w:szCs w:val="24"/>
          <w:shd w:val="clear" w:color="auto" w:fill="FFFFFF"/>
        </w:rPr>
        <w:t>-</w:t>
      </w:r>
      <w:r w:rsidR="002209C2" w:rsidRPr="0032528B">
        <w:rPr>
          <w:rFonts w:ascii="Times New Roman" w:hAnsi="Times New Roman" w:cs="Times New Roman"/>
          <w:color w:val="1A1A1A"/>
          <w:sz w:val="24"/>
          <w:szCs w:val="24"/>
          <w:shd w:val="clear" w:color="auto" w:fill="FFFFFF"/>
        </w:rPr>
        <w:t xml:space="preserve">link. </w:t>
      </w:r>
      <w:r w:rsidR="001E5A71" w:rsidRPr="0032528B">
        <w:rPr>
          <w:rFonts w:ascii="Times New Roman" w:hAnsi="Times New Roman" w:cs="Times New Roman"/>
          <w:color w:val="1A1A1A"/>
          <w:sz w:val="24"/>
          <w:szCs w:val="24"/>
          <w:shd w:val="clear" w:color="auto" w:fill="FFFFFF"/>
        </w:rPr>
        <w:t>Few</w:t>
      </w:r>
      <w:r w:rsidR="002209C2" w:rsidRPr="0032528B">
        <w:rPr>
          <w:rFonts w:ascii="Times New Roman" w:hAnsi="Times New Roman" w:cs="Times New Roman"/>
          <w:color w:val="1A1A1A"/>
          <w:sz w:val="24"/>
          <w:szCs w:val="24"/>
          <w:shd w:val="clear" w:color="auto" w:fill="FFFFFF"/>
        </w:rPr>
        <w:t xml:space="preserve"> Afghans </w:t>
      </w:r>
      <w:r w:rsidR="000B15F1" w:rsidRPr="0032528B">
        <w:rPr>
          <w:rFonts w:ascii="Times New Roman" w:hAnsi="Times New Roman" w:cs="Times New Roman"/>
          <w:color w:val="1A1A1A"/>
          <w:sz w:val="24"/>
          <w:szCs w:val="24"/>
          <w:shd w:val="clear" w:color="auto" w:fill="FFFFFF"/>
        </w:rPr>
        <w:t>will</w:t>
      </w:r>
      <w:r w:rsidR="002209C2" w:rsidRPr="0032528B">
        <w:rPr>
          <w:rFonts w:ascii="Times New Roman" w:hAnsi="Times New Roman" w:cs="Times New Roman"/>
          <w:color w:val="1A1A1A"/>
          <w:sz w:val="24"/>
          <w:szCs w:val="24"/>
          <w:shd w:val="clear" w:color="auto" w:fill="FFFFFF"/>
        </w:rPr>
        <w:t xml:space="preserve"> want to be cross-examined in an Australian court</w:t>
      </w:r>
      <w:r w:rsidR="000B15F1" w:rsidRPr="0032528B">
        <w:rPr>
          <w:rFonts w:ascii="Times New Roman" w:hAnsi="Times New Roman" w:cs="Times New Roman"/>
          <w:color w:val="1A1A1A"/>
          <w:sz w:val="24"/>
          <w:szCs w:val="24"/>
          <w:shd w:val="clear" w:color="auto" w:fill="FFFFFF"/>
        </w:rPr>
        <w:t xml:space="preserve">, </w:t>
      </w:r>
      <w:r w:rsidR="001E5A71" w:rsidRPr="0032528B">
        <w:rPr>
          <w:rFonts w:ascii="Times New Roman" w:hAnsi="Times New Roman" w:cs="Times New Roman"/>
          <w:color w:val="1A1A1A"/>
          <w:sz w:val="24"/>
          <w:szCs w:val="24"/>
          <w:shd w:val="clear" w:color="auto" w:fill="FFFFFF"/>
        </w:rPr>
        <w:t>and</w:t>
      </w:r>
      <w:r w:rsidR="000B15F1" w:rsidRPr="0032528B">
        <w:rPr>
          <w:rFonts w:ascii="Times New Roman" w:hAnsi="Times New Roman" w:cs="Times New Roman"/>
          <w:color w:val="1A1A1A"/>
          <w:sz w:val="24"/>
          <w:szCs w:val="24"/>
          <w:shd w:val="clear" w:color="auto" w:fill="FFFFFF"/>
        </w:rPr>
        <w:t xml:space="preserve"> there may be doubts about how their evidence will hold up during the rigours of a trial</w:t>
      </w:r>
      <w:r w:rsidR="002209C2" w:rsidRPr="0032528B">
        <w:rPr>
          <w:rFonts w:ascii="Times New Roman" w:hAnsi="Times New Roman" w:cs="Times New Roman"/>
          <w:color w:val="1A1A1A"/>
          <w:sz w:val="24"/>
          <w:szCs w:val="24"/>
          <w:shd w:val="clear" w:color="auto" w:fill="FFFFFF"/>
        </w:rPr>
        <w:t xml:space="preserve">. Quite possibly too, some ADF personnel may be reluctant to testify against their former comrades in court; Brereton </w:t>
      </w:r>
      <w:r w:rsidR="00AE0EF6" w:rsidRPr="0032528B">
        <w:rPr>
          <w:rFonts w:ascii="Times New Roman" w:hAnsi="Times New Roman" w:cs="Times New Roman"/>
          <w:color w:val="1A1A1A"/>
          <w:sz w:val="24"/>
          <w:szCs w:val="24"/>
          <w:shd w:val="clear" w:color="auto" w:fill="FFFFFF"/>
        </w:rPr>
        <w:t>himself</w:t>
      </w:r>
      <w:r w:rsidR="002209C2" w:rsidRPr="0032528B">
        <w:rPr>
          <w:rFonts w:ascii="Times New Roman" w:hAnsi="Times New Roman" w:cs="Times New Roman"/>
          <w:color w:val="1A1A1A"/>
          <w:sz w:val="24"/>
          <w:szCs w:val="24"/>
          <w:shd w:val="clear" w:color="auto" w:fill="FFFFFF"/>
        </w:rPr>
        <w:t xml:space="preserve"> noted the great difficulty investigators had in breaking through the SASR code of silence and bonds of loyalty to patrol commanders, with this culture having been instrumental for concealing </w:t>
      </w:r>
      <w:r w:rsidR="00580BCD" w:rsidRPr="0032528B">
        <w:rPr>
          <w:rFonts w:ascii="Times New Roman" w:hAnsi="Times New Roman" w:cs="Times New Roman"/>
          <w:color w:val="1A1A1A"/>
          <w:sz w:val="24"/>
          <w:szCs w:val="24"/>
          <w:shd w:val="clear" w:color="auto" w:fill="FFFFFF"/>
        </w:rPr>
        <w:t xml:space="preserve">the alleged </w:t>
      </w:r>
      <w:r w:rsidR="002209C2" w:rsidRPr="0032528B">
        <w:rPr>
          <w:rFonts w:ascii="Times New Roman" w:hAnsi="Times New Roman" w:cs="Times New Roman"/>
          <w:color w:val="1A1A1A"/>
          <w:sz w:val="24"/>
          <w:szCs w:val="24"/>
          <w:shd w:val="clear" w:color="auto" w:fill="FFFFFF"/>
        </w:rPr>
        <w:t>criminal wrongdoing</w:t>
      </w:r>
      <w:r w:rsidR="00BB276E" w:rsidRPr="0032528B">
        <w:rPr>
          <w:rFonts w:ascii="Times New Roman" w:hAnsi="Times New Roman" w:cs="Times New Roman"/>
          <w:color w:val="1A1A1A"/>
          <w:sz w:val="24"/>
          <w:szCs w:val="24"/>
          <w:shd w:val="clear" w:color="auto" w:fill="FFFFFF"/>
        </w:rPr>
        <w:t xml:space="preserve"> (</w:t>
      </w:r>
      <w:r w:rsidR="00BB276E" w:rsidRPr="0032528B">
        <w:rPr>
          <w:rFonts w:ascii="Times New Roman" w:hAnsi="Times New Roman" w:cs="Times New Roman"/>
          <w:sz w:val="24"/>
          <w:szCs w:val="24"/>
        </w:rPr>
        <w:t>paras 56-57 of Chapter 1.01)</w:t>
      </w:r>
      <w:r w:rsidR="002209C2" w:rsidRPr="0032528B">
        <w:rPr>
          <w:rFonts w:ascii="Times New Roman" w:hAnsi="Times New Roman" w:cs="Times New Roman"/>
          <w:color w:val="1A1A1A"/>
          <w:sz w:val="24"/>
          <w:szCs w:val="24"/>
          <w:shd w:val="clear" w:color="auto" w:fill="FFFFFF"/>
        </w:rPr>
        <w:t xml:space="preserve">. </w:t>
      </w:r>
    </w:p>
    <w:p w:rsidR="00580BCD" w:rsidRPr="0032528B" w:rsidRDefault="00593915" w:rsidP="00DE63F7">
      <w:pPr>
        <w:jc w:val="both"/>
        <w:rPr>
          <w:rFonts w:ascii="Times New Roman" w:hAnsi="Times New Roman" w:cs="Times New Roman"/>
          <w:sz w:val="24"/>
          <w:szCs w:val="24"/>
        </w:rPr>
      </w:pPr>
      <w:r w:rsidRPr="0032528B">
        <w:rPr>
          <w:rFonts w:ascii="Times New Roman" w:hAnsi="Times New Roman" w:cs="Times New Roman"/>
          <w:sz w:val="24"/>
          <w:szCs w:val="24"/>
        </w:rPr>
        <w:t>Notably, t</w:t>
      </w:r>
      <w:r w:rsidR="002209C2" w:rsidRPr="0032528B">
        <w:rPr>
          <w:rFonts w:ascii="Times New Roman" w:hAnsi="Times New Roman" w:cs="Times New Roman"/>
          <w:sz w:val="24"/>
          <w:szCs w:val="24"/>
        </w:rPr>
        <w:t>he Report</w:t>
      </w:r>
      <w:r w:rsidR="00580BCD" w:rsidRPr="0032528B">
        <w:rPr>
          <w:rFonts w:ascii="Times New Roman" w:hAnsi="Times New Roman" w:cs="Times New Roman"/>
          <w:sz w:val="24"/>
          <w:szCs w:val="24"/>
        </w:rPr>
        <w:t xml:space="preserve"> included</w:t>
      </w:r>
      <w:r w:rsidR="002209C2" w:rsidRPr="0032528B">
        <w:rPr>
          <w:rFonts w:ascii="Times New Roman" w:hAnsi="Times New Roman" w:cs="Times New Roman"/>
          <w:sz w:val="24"/>
          <w:szCs w:val="24"/>
        </w:rPr>
        <w:t xml:space="preserve"> witness evidence </w:t>
      </w:r>
      <w:r w:rsidR="00C71A1A" w:rsidRPr="0032528B">
        <w:rPr>
          <w:rFonts w:ascii="Times New Roman" w:hAnsi="Times New Roman" w:cs="Times New Roman"/>
          <w:sz w:val="24"/>
          <w:szCs w:val="24"/>
        </w:rPr>
        <w:t xml:space="preserve">that </w:t>
      </w:r>
      <w:r w:rsidR="002209C2" w:rsidRPr="0032528B">
        <w:rPr>
          <w:rFonts w:ascii="Times New Roman" w:hAnsi="Times New Roman" w:cs="Times New Roman"/>
          <w:sz w:val="24"/>
          <w:szCs w:val="24"/>
        </w:rPr>
        <w:t xml:space="preserve">had been obtained in circumstances which </w:t>
      </w:r>
      <w:r w:rsidR="00C71A1A" w:rsidRPr="0032528B">
        <w:rPr>
          <w:rFonts w:ascii="Times New Roman" w:hAnsi="Times New Roman" w:cs="Times New Roman"/>
          <w:sz w:val="24"/>
          <w:szCs w:val="24"/>
        </w:rPr>
        <w:t xml:space="preserve">should normally </w:t>
      </w:r>
      <w:r w:rsidR="002209C2" w:rsidRPr="0032528B">
        <w:rPr>
          <w:rFonts w:ascii="Times New Roman" w:hAnsi="Times New Roman" w:cs="Times New Roman"/>
          <w:sz w:val="24"/>
          <w:szCs w:val="24"/>
        </w:rPr>
        <w:t>attract use or derivative use immunity</w:t>
      </w:r>
      <w:r w:rsidR="00C71A1A" w:rsidRPr="0032528B">
        <w:rPr>
          <w:rFonts w:ascii="Times New Roman" w:hAnsi="Times New Roman" w:cs="Times New Roman"/>
          <w:sz w:val="24"/>
          <w:szCs w:val="24"/>
        </w:rPr>
        <w:t xml:space="preserve">, </w:t>
      </w:r>
      <w:r w:rsidR="007341A9" w:rsidRPr="0032528B">
        <w:rPr>
          <w:rFonts w:ascii="Times New Roman" w:hAnsi="Times New Roman" w:cs="Times New Roman"/>
          <w:sz w:val="24"/>
          <w:szCs w:val="24"/>
        </w:rPr>
        <w:t>and</w:t>
      </w:r>
      <w:r w:rsidR="00C71A1A" w:rsidRPr="0032528B">
        <w:rPr>
          <w:rFonts w:ascii="Times New Roman" w:hAnsi="Times New Roman" w:cs="Times New Roman"/>
          <w:sz w:val="24"/>
          <w:szCs w:val="24"/>
        </w:rPr>
        <w:t xml:space="preserve"> </w:t>
      </w:r>
      <w:r w:rsidR="007341A9" w:rsidRPr="0032528B">
        <w:rPr>
          <w:rFonts w:ascii="Times New Roman" w:hAnsi="Times New Roman" w:cs="Times New Roman"/>
          <w:sz w:val="24"/>
          <w:szCs w:val="24"/>
        </w:rPr>
        <w:t>thus</w:t>
      </w:r>
      <w:r w:rsidR="00C71A1A" w:rsidRPr="0032528B">
        <w:rPr>
          <w:rFonts w:ascii="Times New Roman" w:hAnsi="Times New Roman" w:cs="Times New Roman"/>
          <w:sz w:val="24"/>
          <w:szCs w:val="24"/>
        </w:rPr>
        <w:t xml:space="preserve"> recommended that these</w:t>
      </w:r>
      <w:r w:rsidR="002209C2" w:rsidRPr="0032528B">
        <w:rPr>
          <w:rFonts w:ascii="Times New Roman" w:hAnsi="Times New Roman" w:cs="Times New Roman"/>
          <w:sz w:val="24"/>
          <w:szCs w:val="24"/>
        </w:rPr>
        <w:t xml:space="preserve"> witnesses be given </w:t>
      </w:r>
      <w:r w:rsidR="000B15F1" w:rsidRPr="0032528B">
        <w:rPr>
          <w:rFonts w:ascii="Times New Roman" w:hAnsi="Times New Roman" w:cs="Times New Roman"/>
          <w:sz w:val="24"/>
          <w:szCs w:val="24"/>
        </w:rPr>
        <w:t>undertakings</w:t>
      </w:r>
      <w:r w:rsidR="002209C2" w:rsidRPr="0032528B">
        <w:rPr>
          <w:rFonts w:ascii="Times New Roman" w:hAnsi="Times New Roman" w:cs="Times New Roman"/>
          <w:sz w:val="24"/>
          <w:szCs w:val="24"/>
        </w:rPr>
        <w:t xml:space="preserve"> in any future prosecution process if they assist the Crown’s prosecution(s) of others</w:t>
      </w:r>
      <w:r w:rsidR="00BB276E" w:rsidRPr="0032528B">
        <w:rPr>
          <w:rFonts w:ascii="Times New Roman" w:hAnsi="Times New Roman" w:cs="Times New Roman"/>
          <w:sz w:val="24"/>
          <w:szCs w:val="24"/>
        </w:rPr>
        <w:t xml:space="preserve"> (paras 17, 63-73 of Chapter 1.01)</w:t>
      </w:r>
      <w:r w:rsidR="002209C2" w:rsidRPr="0032528B">
        <w:rPr>
          <w:rFonts w:ascii="Times New Roman" w:hAnsi="Times New Roman" w:cs="Times New Roman"/>
          <w:sz w:val="24"/>
          <w:szCs w:val="24"/>
        </w:rPr>
        <w:t xml:space="preserve">. </w:t>
      </w:r>
      <w:r w:rsidR="000B15F1" w:rsidRPr="0032528B">
        <w:rPr>
          <w:rFonts w:ascii="Times New Roman" w:hAnsi="Times New Roman" w:cs="Times New Roman"/>
          <w:sz w:val="24"/>
          <w:szCs w:val="24"/>
        </w:rPr>
        <w:t xml:space="preserve">Their alleged crimes have not been included in the tally mentioned in the Report’s recommendations. </w:t>
      </w:r>
      <w:r w:rsidR="00C71A1A" w:rsidRPr="0032528B">
        <w:rPr>
          <w:rFonts w:ascii="Times New Roman" w:hAnsi="Times New Roman" w:cs="Times New Roman"/>
          <w:sz w:val="24"/>
          <w:szCs w:val="24"/>
        </w:rPr>
        <w:t xml:space="preserve">Decisions about whether to grant </w:t>
      </w:r>
      <w:r w:rsidR="00463C49" w:rsidRPr="0032528B">
        <w:rPr>
          <w:rFonts w:ascii="Times New Roman" w:hAnsi="Times New Roman" w:cs="Times New Roman"/>
          <w:sz w:val="24"/>
          <w:szCs w:val="24"/>
        </w:rPr>
        <w:t>undertakings to</w:t>
      </w:r>
      <w:r w:rsidR="00C71A1A" w:rsidRPr="0032528B">
        <w:rPr>
          <w:rFonts w:ascii="Times New Roman" w:hAnsi="Times New Roman" w:cs="Times New Roman"/>
          <w:sz w:val="24"/>
          <w:szCs w:val="24"/>
        </w:rPr>
        <w:t xml:space="preserve"> these individuals </w:t>
      </w:r>
      <w:r w:rsidR="00463C49" w:rsidRPr="0032528B">
        <w:rPr>
          <w:rFonts w:ascii="Times New Roman" w:hAnsi="Times New Roman" w:cs="Times New Roman"/>
          <w:sz w:val="24"/>
          <w:szCs w:val="24"/>
        </w:rPr>
        <w:t xml:space="preserve">to secure their testimony </w:t>
      </w:r>
      <w:r w:rsidR="00C71A1A" w:rsidRPr="0032528B">
        <w:rPr>
          <w:rFonts w:ascii="Times New Roman" w:hAnsi="Times New Roman" w:cs="Times New Roman"/>
          <w:sz w:val="24"/>
          <w:szCs w:val="24"/>
        </w:rPr>
        <w:t>will need to be revisited</w:t>
      </w:r>
      <w:r w:rsidRPr="0032528B">
        <w:rPr>
          <w:rFonts w:ascii="Times New Roman" w:hAnsi="Times New Roman" w:cs="Times New Roman"/>
          <w:sz w:val="24"/>
          <w:szCs w:val="24"/>
        </w:rPr>
        <w:t xml:space="preserve">, balancing their value in any </w:t>
      </w:r>
      <w:r w:rsidR="00463C49" w:rsidRPr="0032528B">
        <w:rPr>
          <w:rFonts w:ascii="Times New Roman" w:hAnsi="Times New Roman" w:cs="Times New Roman"/>
          <w:sz w:val="24"/>
          <w:szCs w:val="24"/>
        </w:rPr>
        <w:t xml:space="preserve">other </w:t>
      </w:r>
      <w:r w:rsidRPr="0032528B">
        <w:rPr>
          <w:rFonts w:ascii="Times New Roman" w:hAnsi="Times New Roman" w:cs="Times New Roman"/>
          <w:sz w:val="24"/>
          <w:szCs w:val="24"/>
        </w:rPr>
        <w:t>prosecution(s) against their own alleged criminal behaviour</w:t>
      </w:r>
      <w:r w:rsidR="00D112B2" w:rsidRPr="0032528B">
        <w:rPr>
          <w:rFonts w:ascii="Times New Roman" w:hAnsi="Times New Roman" w:cs="Times New Roman"/>
          <w:sz w:val="24"/>
          <w:szCs w:val="24"/>
        </w:rPr>
        <w:t xml:space="preserve"> (both nature and prospect of conviction)</w:t>
      </w:r>
      <w:r w:rsidR="00BB276E" w:rsidRPr="0032528B">
        <w:rPr>
          <w:rFonts w:ascii="Times New Roman" w:hAnsi="Times New Roman" w:cs="Times New Roman"/>
          <w:sz w:val="24"/>
          <w:szCs w:val="24"/>
        </w:rPr>
        <w:t xml:space="preserve"> </w:t>
      </w:r>
      <w:r w:rsidR="00AE0EF6" w:rsidRPr="0032528B">
        <w:rPr>
          <w:rFonts w:ascii="Times New Roman" w:hAnsi="Times New Roman" w:cs="Times New Roman"/>
          <w:sz w:val="24"/>
          <w:szCs w:val="24"/>
        </w:rPr>
        <w:t>as per</w:t>
      </w:r>
      <w:r w:rsidR="00BB276E" w:rsidRPr="0032528B">
        <w:rPr>
          <w:rFonts w:ascii="Times New Roman" w:hAnsi="Times New Roman" w:cs="Times New Roman"/>
          <w:sz w:val="24"/>
          <w:szCs w:val="24"/>
        </w:rPr>
        <w:t xml:space="preserve"> </w:t>
      </w:r>
      <w:r w:rsidR="00AE0EF6" w:rsidRPr="0032528B">
        <w:rPr>
          <w:rFonts w:ascii="Times New Roman" w:hAnsi="Times New Roman" w:cs="Times New Roman"/>
          <w:sz w:val="24"/>
          <w:szCs w:val="24"/>
        </w:rPr>
        <w:t xml:space="preserve">Part 6 of </w:t>
      </w:r>
      <w:r w:rsidR="00BB276E" w:rsidRPr="0032528B">
        <w:rPr>
          <w:rFonts w:ascii="Times New Roman" w:hAnsi="Times New Roman" w:cs="Times New Roman"/>
          <w:sz w:val="24"/>
          <w:szCs w:val="24"/>
        </w:rPr>
        <w:t xml:space="preserve">the </w:t>
      </w:r>
      <w:r w:rsidR="00BB276E" w:rsidRPr="0032528B">
        <w:rPr>
          <w:rFonts w:ascii="Times New Roman" w:hAnsi="Times New Roman" w:cs="Times New Roman"/>
          <w:i/>
          <w:sz w:val="24"/>
          <w:szCs w:val="24"/>
        </w:rPr>
        <w:t>Prosecution Policy of the Commonwealth</w:t>
      </w:r>
      <w:r w:rsidR="00C71A1A" w:rsidRPr="0032528B">
        <w:rPr>
          <w:rFonts w:ascii="Times New Roman" w:hAnsi="Times New Roman" w:cs="Times New Roman"/>
          <w:sz w:val="24"/>
          <w:szCs w:val="24"/>
        </w:rPr>
        <w:t xml:space="preserve">. </w:t>
      </w:r>
      <w:r w:rsidRPr="0032528B">
        <w:rPr>
          <w:rFonts w:ascii="Times New Roman" w:hAnsi="Times New Roman" w:cs="Times New Roman"/>
          <w:sz w:val="24"/>
          <w:szCs w:val="24"/>
        </w:rPr>
        <w:t>Th</w:t>
      </w:r>
      <w:r w:rsidR="000B15F1" w:rsidRPr="0032528B">
        <w:rPr>
          <w:rFonts w:ascii="Times New Roman" w:hAnsi="Times New Roman" w:cs="Times New Roman"/>
          <w:sz w:val="24"/>
          <w:szCs w:val="24"/>
        </w:rPr>
        <w:t>is</w:t>
      </w:r>
      <w:r w:rsidRPr="0032528B">
        <w:rPr>
          <w:rFonts w:ascii="Times New Roman" w:hAnsi="Times New Roman" w:cs="Times New Roman"/>
          <w:sz w:val="24"/>
          <w:szCs w:val="24"/>
        </w:rPr>
        <w:t xml:space="preserve"> may mean that some war crimes will </w:t>
      </w:r>
      <w:r w:rsidR="00D112B2" w:rsidRPr="0032528B">
        <w:rPr>
          <w:rFonts w:ascii="Times New Roman" w:hAnsi="Times New Roman" w:cs="Times New Roman"/>
          <w:sz w:val="24"/>
          <w:szCs w:val="24"/>
        </w:rPr>
        <w:t>never</w:t>
      </w:r>
      <w:r w:rsidRPr="0032528B">
        <w:rPr>
          <w:rFonts w:ascii="Times New Roman" w:hAnsi="Times New Roman" w:cs="Times New Roman"/>
          <w:sz w:val="24"/>
          <w:szCs w:val="24"/>
        </w:rPr>
        <w:t xml:space="preserve"> be prosecuted. </w:t>
      </w:r>
      <w:r w:rsidR="00AE0EF6" w:rsidRPr="0032528B">
        <w:rPr>
          <w:rFonts w:ascii="Times New Roman" w:hAnsi="Times New Roman" w:cs="Times New Roman"/>
          <w:sz w:val="24"/>
          <w:szCs w:val="24"/>
        </w:rPr>
        <w:t>D</w:t>
      </w:r>
      <w:r w:rsidR="007341A9" w:rsidRPr="0032528B">
        <w:rPr>
          <w:rFonts w:ascii="Times New Roman" w:hAnsi="Times New Roman" w:cs="Times New Roman"/>
          <w:sz w:val="24"/>
          <w:szCs w:val="24"/>
        </w:rPr>
        <w:t>ecisions</w:t>
      </w:r>
      <w:r w:rsidR="00D112B2" w:rsidRPr="0032528B">
        <w:rPr>
          <w:rFonts w:ascii="Times New Roman" w:hAnsi="Times New Roman" w:cs="Times New Roman"/>
          <w:sz w:val="24"/>
          <w:szCs w:val="24"/>
        </w:rPr>
        <w:t xml:space="preserve"> on </w:t>
      </w:r>
      <w:r w:rsidR="00463C49" w:rsidRPr="0032528B">
        <w:rPr>
          <w:rFonts w:ascii="Times New Roman" w:hAnsi="Times New Roman" w:cs="Times New Roman"/>
          <w:sz w:val="24"/>
          <w:szCs w:val="24"/>
        </w:rPr>
        <w:t>undertakings</w:t>
      </w:r>
      <w:r w:rsidR="00D112B2" w:rsidRPr="0032528B">
        <w:rPr>
          <w:rFonts w:ascii="Times New Roman" w:hAnsi="Times New Roman" w:cs="Times New Roman"/>
          <w:sz w:val="24"/>
          <w:szCs w:val="24"/>
        </w:rPr>
        <w:t xml:space="preserve"> </w:t>
      </w:r>
      <w:r w:rsidR="00463C49" w:rsidRPr="0032528B">
        <w:rPr>
          <w:rFonts w:ascii="Times New Roman" w:hAnsi="Times New Roman" w:cs="Times New Roman"/>
          <w:sz w:val="24"/>
          <w:szCs w:val="24"/>
        </w:rPr>
        <w:t>arise in many contexts</w:t>
      </w:r>
      <w:r w:rsidR="007341A9" w:rsidRPr="0032528B">
        <w:rPr>
          <w:rFonts w:ascii="Times New Roman" w:hAnsi="Times New Roman" w:cs="Times New Roman"/>
          <w:sz w:val="24"/>
          <w:szCs w:val="24"/>
        </w:rPr>
        <w:t xml:space="preserve"> and</w:t>
      </w:r>
      <w:r w:rsidR="007341A9" w:rsidRPr="0032528B">
        <w:rPr>
          <w:rFonts w:ascii="Times New Roman" w:hAnsi="Times New Roman" w:cs="Times New Roman"/>
          <w:color w:val="1A1A1A"/>
          <w:sz w:val="24"/>
          <w:szCs w:val="24"/>
          <w:shd w:val="clear" w:color="auto" w:fill="FFFFFF"/>
        </w:rPr>
        <w:t xml:space="preserve"> the DPP only go</w:t>
      </w:r>
      <w:r w:rsidR="00AE0EF6" w:rsidRPr="0032528B">
        <w:rPr>
          <w:rFonts w:ascii="Times New Roman" w:hAnsi="Times New Roman" w:cs="Times New Roman"/>
          <w:color w:val="1A1A1A"/>
          <w:sz w:val="24"/>
          <w:szCs w:val="24"/>
          <w:shd w:val="clear" w:color="auto" w:fill="FFFFFF"/>
        </w:rPr>
        <w:t>es</w:t>
      </w:r>
      <w:r w:rsidR="007341A9" w:rsidRPr="0032528B">
        <w:rPr>
          <w:rFonts w:ascii="Times New Roman" w:hAnsi="Times New Roman" w:cs="Times New Roman"/>
          <w:color w:val="1A1A1A"/>
          <w:sz w:val="24"/>
          <w:szCs w:val="24"/>
          <w:shd w:val="clear" w:color="auto" w:fill="FFFFFF"/>
        </w:rPr>
        <w:t xml:space="preserve"> ahead with a</w:t>
      </w:r>
      <w:r w:rsidR="00AE0EF6" w:rsidRPr="0032528B">
        <w:rPr>
          <w:rFonts w:ascii="Times New Roman" w:hAnsi="Times New Roman" w:cs="Times New Roman"/>
          <w:color w:val="1A1A1A"/>
          <w:sz w:val="24"/>
          <w:szCs w:val="24"/>
          <w:shd w:val="clear" w:color="auto" w:fill="FFFFFF"/>
        </w:rPr>
        <w:t>ny</w:t>
      </w:r>
      <w:r w:rsidR="007341A9" w:rsidRPr="0032528B">
        <w:rPr>
          <w:rFonts w:ascii="Times New Roman" w:hAnsi="Times New Roman" w:cs="Times New Roman"/>
          <w:color w:val="1A1A1A"/>
          <w:sz w:val="24"/>
          <w:szCs w:val="24"/>
          <w:shd w:val="clear" w:color="auto" w:fill="FFFFFF"/>
        </w:rPr>
        <w:t xml:space="preserve"> prosecution if it considers it to be “in the public interest”</w:t>
      </w:r>
      <w:r w:rsidR="00AE0EF6" w:rsidRPr="0032528B">
        <w:rPr>
          <w:rFonts w:ascii="Times New Roman" w:hAnsi="Times New Roman" w:cs="Times New Roman"/>
          <w:color w:val="1A1A1A"/>
          <w:sz w:val="24"/>
          <w:szCs w:val="24"/>
          <w:shd w:val="clear" w:color="auto" w:fill="FFFFFF"/>
        </w:rPr>
        <w:t xml:space="preserve"> (</w:t>
      </w:r>
      <w:r w:rsidR="00AE0EF6" w:rsidRPr="0032528B">
        <w:rPr>
          <w:rFonts w:ascii="Times New Roman" w:hAnsi="Times New Roman" w:cs="Times New Roman"/>
          <w:sz w:val="24"/>
          <w:szCs w:val="24"/>
        </w:rPr>
        <w:t>paras 2.9-2.10)</w:t>
      </w:r>
      <w:r w:rsidR="001A6E18" w:rsidRPr="0032528B">
        <w:rPr>
          <w:rFonts w:ascii="Times New Roman" w:hAnsi="Times New Roman" w:cs="Times New Roman"/>
          <w:sz w:val="24"/>
          <w:szCs w:val="24"/>
        </w:rPr>
        <w:t>. That said,</w:t>
      </w:r>
      <w:r w:rsidR="007341A9" w:rsidRPr="0032528B">
        <w:rPr>
          <w:rFonts w:ascii="Times New Roman" w:hAnsi="Times New Roman" w:cs="Times New Roman"/>
          <w:color w:val="1A1A1A"/>
          <w:sz w:val="24"/>
          <w:szCs w:val="24"/>
          <w:shd w:val="clear" w:color="auto" w:fill="FFFFFF"/>
        </w:rPr>
        <w:t xml:space="preserve"> there is </w:t>
      </w:r>
      <w:r w:rsidR="00D112B2" w:rsidRPr="0032528B">
        <w:rPr>
          <w:rFonts w:ascii="Times New Roman" w:hAnsi="Times New Roman" w:cs="Times New Roman"/>
          <w:color w:val="1A1A1A"/>
          <w:sz w:val="24"/>
          <w:szCs w:val="24"/>
          <w:shd w:val="clear" w:color="auto" w:fill="FFFFFF"/>
        </w:rPr>
        <w:t xml:space="preserve">arguably </w:t>
      </w:r>
      <w:r w:rsidR="007341A9" w:rsidRPr="0032528B">
        <w:rPr>
          <w:rFonts w:ascii="Times New Roman" w:hAnsi="Times New Roman" w:cs="Times New Roman"/>
          <w:color w:val="1A1A1A"/>
          <w:sz w:val="24"/>
          <w:szCs w:val="24"/>
          <w:shd w:val="clear" w:color="auto" w:fill="FFFFFF"/>
        </w:rPr>
        <w:t xml:space="preserve">a </w:t>
      </w:r>
      <w:r w:rsidR="00D112B2" w:rsidRPr="0032528B">
        <w:rPr>
          <w:rFonts w:ascii="Times New Roman" w:hAnsi="Times New Roman" w:cs="Times New Roman"/>
          <w:color w:val="1A1A1A"/>
          <w:sz w:val="24"/>
          <w:szCs w:val="24"/>
          <w:shd w:val="clear" w:color="auto" w:fill="FFFFFF"/>
        </w:rPr>
        <w:t xml:space="preserve">substantially </w:t>
      </w:r>
      <w:r w:rsidR="007341A9" w:rsidRPr="0032528B">
        <w:rPr>
          <w:rFonts w:ascii="Times New Roman" w:hAnsi="Times New Roman" w:cs="Times New Roman"/>
          <w:color w:val="1A1A1A"/>
          <w:sz w:val="24"/>
          <w:szCs w:val="24"/>
          <w:shd w:val="clear" w:color="auto" w:fill="FFFFFF"/>
        </w:rPr>
        <w:t>greater public interest in ensur</w:t>
      </w:r>
      <w:r w:rsidR="00D112B2" w:rsidRPr="0032528B">
        <w:rPr>
          <w:rFonts w:ascii="Times New Roman" w:hAnsi="Times New Roman" w:cs="Times New Roman"/>
          <w:color w:val="1A1A1A"/>
          <w:sz w:val="24"/>
          <w:szCs w:val="24"/>
          <w:shd w:val="clear" w:color="auto" w:fill="FFFFFF"/>
        </w:rPr>
        <w:t>ing</w:t>
      </w:r>
      <w:r w:rsidR="007341A9" w:rsidRPr="0032528B">
        <w:rPr>
          <w:rFonts w:ascii="Times New Roman" w:hAnsi="Times New Roman" w:cs="Times New Roman"/>
          <w:color w:val="1A1A1A"/>
          <w:sz w:val="24"/>
          <w:szCs w:val="24"/>
          <w:shd w:val="clear" w:color="auto" w:fill="FFFFFF"/>
        </w:rPr>
        <w:t xml:space="preserve"> compliance with </w:t>
      </w:r>
      <w:r w:rsidR="00D112B2" w:rsidRPr="0032528B">
        <w:rPr>
          <w:rFonts w:ascii="Times New Roman" w:hAnsi="Times New Roman" w:cs="Times New Roman"/>
          <w:color w:val="1A1A1A"/>
          <w:sz w:val="24"/>
          <w:szCs w:val="24"/>
          <w:shd w:val="clear" w:color="auto" w:fill="FFFFFF"/>
        </w:rPr>
        <w:t xml:space="preserve">the law </w:t>
      </w:r>
      <w:r w:rsidR="007341A9" w:rsidRPr="0032528B">
        <w:rPr>
          <w:rFonts w:ascii="Times New Roman" w:hAnsi="Times New Roman" w:cs="Times New Roman"/>
          <w:color w:val="1A1A1A"/>
          <w:sz w:val="24"/>
          <w:szCs w:val="24"/>
          <w:shd w:val="clear" w:color="auto" w:fill="FFFFFF"/>
        </w:rPr>
        <w:t>relating to war crimes</w:t>
      </w:r>
      <w:r w:rsidR="00826257" w:rsidRPr="0032528B">
        <w:rPr>
          <w:rFonts w:ascii="Times New Roman" w:hAnsi="Times New Roman" w:cs="Times New Roman"/>
          <w:color w:val="1A1A1A"/>
          <w:sz w:val="24"/>
          <w:szCs w:val="24"/>
          <w:shd w:val="clear" w:color="auto" w:fill="FFFFFF"/>
        </w:rPr>
        <w:t xml:space="preserve">, </w:t>
      </w:r>
      <w:r w:rsidR="007341A9" w:rsidRPr="0032528B">
        <w:rPr>
          <w:rFonts w:ascii="Times New Roman" w:hAnsi="Times New Roman" w:cs="Times New Roman"/>
          <w:color w:val="1A1A1A"/>
          <w:sz w:val="24"/>
          <w:szCs w:val="24"/>
          <w:shd w:val="clear" w:color="auto" w:fill="FFFFFF"/>
        </w:rPr>
        <w:t>not least due to</w:t>
      </w:r>
      <w:r w:rsidR="00826257" w:rsidRPr="0032528B">
        <w:rPr>
          <w:rFonts w:ascii="Times New Roman" w:hAnsi="Times New Roman" w:cs="Times New Roman"/>
          <w:color w:val="1A1A1A"/>
          <w:sz w:val="24"/>
          <w:szCs w:val="24"/>
          <w:shd w:val="clear" w:color="auto" w:fill="FFFFFF"/>
        </w:rPr>
        <w:t xml:space="preserve"> the substantial profile the Brereton Inquiry </w:t>
      </w:r>
      <w:r w:rsidR="00CC1E8C" w:rsidRPr="0032528B">
        <w:rPr>
          <w:rFonts w:ascii="Times New Roman" w:hAnsi="Times New Roman" w:cs="Times New Roman"/>
          <w:color w:val="1A1A1A"/>
          <w:sz w:val="24"/>
          <w:szCs w:val="24"/>
          <w:shd w:val="clear" w:color="auto" w:fill="FFFFFF"/>
        </w:rPr>
        <w:t>has</w:t>
      </w:r>
      <w:r w:rsidR="00826257" w:rsidRPr="0032528B">
        <w:rPr>
          <w:rFonts w:ascii="Times New Roman" w:hAnsi="Times New Roman" w:cs="Times New Roman"/>
          <w:color w:val="1A1A1A"/>
          <w:sz w:val="24"/>
          <w:szCs w:val="24"/>
          <w:shd w:val="clear" w:color="auto" w:fill="FFFFFF"/>
        </w:rPr>
        <w:t xml:space="preserve"> had in Australia and internationally, </w:t>
      </w:r>
      <w:r w:rsidR="00CC1E8C" w:rsidRPr="0032528B">
        <w:rPr>
          <w:rFonts w:ascii="Times New Roman" w:hAnsi="Times New Roman" w:cs="Times New Roman"/>
          <w:color w:val="1A1A1A"/>
          <w:sz w:val="24"/>
          <w:szCs w:val="24"/>
          <w:shd w:val="clear" w:color="auto" w:fill="FFFFFF"/>
        </w:rPr>
        <w:t>plus</w:t>
      </w:r>
      <w:r w:rsidR="00826257" w:rsidRPr="0032528B">
        <w:rPr>
          <w:rFonts w:ascii="Times New Roman" w:hAnsi="Times New Roman" w:cs="Times New Roman"/>
          <w:color w:val="1A1A1A"/>
          <w:sz w:val="24"/>
          <w:szCs w:val="24"/>
          <w:shd w:val="clear" w:color="auto" w:fill="FFFFFF"/>
        </w:rPr>
        <w:t xml:space="preserve"> the </w:t>
      </w:r>
      <w:r w:rsidR="00CC1E8C" w:rsidRPr="0032528B">
        <w:rPr>
          <w:rFonts w:ascii="Times New Roman" w:hAnsi="Times New Roman" w:cs="Times New Roman"/>
          <w:color w:val="1A1A1A"/>
          <w:sz w:val="24"/>
          <w:szCs w:val="24"/>
          <w:shd w:val="clear" w:color="auto" w:fill="FFFFFF"/>
        </w:rPr>
        <w:t xml:space="preserve">political and legal </w:t>
      </w:r>
      <w:r w:rsidR="00826257" w:rsidRPr="0032528B">
        <w:rPr>
          <w:rFonts w:ascii="Times New Roman" w:hAnsi="Times New Roman" w:cs="Times New Roman"/>
          <w:color w:val="1A1A1A"/>
          <w:sz w:val="24"/>
          <w:szCs w:val="24"/>
          <w:shd w:val="clear" w:color="auto" w:fill="FFFFFF"/>
        </w:rPr>
        <w:t>ramifications of not acting</w:t>
      </w:r>
      <w:r w:rsidR="00D112B2" w:rsidRPr="0032528B">
        <w:rPr>
          <w:rFonts w:ascii="Times New Roman" w:hAnsi="Times New Roman" w:cs="Times New Roman"/>
          <w:color w:val="1A1A1A"/>
          <w:sz w:val="24"/>
          <w:szCs w:val="24"/>
          <w:shd w:val="clear" w:color="auto" w:fill="FFFFFF"/>
        </w:rPr>
        <w:t xml:space="preserve">. </w:t>
      </w:r>
      <w:r w:rsidR="00DE63F7" w:rsidRPr="0032528B">
        <w:rPr>
          <w:rFonts w:ascii="Times New Roman" w:hAnsi="Times New Roman" w:cs="Times New Roman"/>
          <w:color w:val="1A1A1A"/>
          <w:sz w:val="24"/>
          <w:szCs w:val="24"/>
          <w:shd w:val="clear" w:color="auto" w:fill="FFFFFF"/>
        </w:rPr>
        <w:t xml:space="preserve">As such, immunity </w:t>
      </w:r>
      <w:r w:rsidR="00826257" w:rsidRPr="0032528B">
        <w:rPr>
          <w:rFonts w:ascii="Times New Roman" w:hAnsi="Times New Roman" w:cs="Times New Roman"/>
          <w:color w:val="1A1A1A"/>
          <w:sz w:val="24"/>
          <w:szCs w:val="24"/>
          <w:shd w:val="clear" w:color="auto" w:fill="FFFFFF"/>
        </w:rPr>
        <w:t>will be warranted</w:t>
      </w:r>
      <w:r w:rsidR="00DE63F7" w:rsidRPr="0032528B">
        <w:rPr>
          <w:rFonts w:ascii="Times New Roman" w:hAnsi="Times New Roman" w:cs="Times New Roman"/>
          <w:color w:val="1A1A1A"/>
          <w:sz w:val="24"/>
          <w:szCs w:val="24"/>
          <w:shd w:val="clear" w:color="auto" w:fill="FFFFFF"/>
        </w:rPr>
        <w:t xml:space="preserve"> very sparingly. </w:t>
      </w:r>
      <w:r w:rsidRPr="0032528B">
        <w:rPr>
          <w:rFonts w:ascii="Times New Roman" w:hAnsi="Times New Roman" w:cs="Times New Roman"/>
          <w:sz w:val="24"/>
          <w:szCs w:val="24"/>
        </w:rPr>
        <w:t xml:space="preserve">In relation to </w:t>
      </w:r>
      <w:r w:rsidR="00C71A1A" w:rsidRPr="0032528B">
        <w:rPr>
          <w:rFonts w:ascii="Times New Roman" w:hAnsi="Times New Roman" w:cs="Times New Roman"/>
          <w:color w:val="1A1A1A"/>
          <w:sz w:val="24"/>
          <w:szCs w:val="24"/>
          <w:shd w:val="clear" w:color="auto" w:fill="FFFFFF"/>
        </w:rPr>
        <w:t>the</w:t>
      </w:r>
      <w:r w:rsidR="007341A9" w:rsidRPr="0032528B">
        <w:rPr>
          <w:rFonts w:ascii="Times New Roman" w:hAnsi="Times New Roman" w:cs="Times New Roman"/>
          <w:color w:val="1A1A1A"/>
          <w:sz w:val="24"/>
          <w:szCs w:val="24"/>
          <w:shd w:val="clear" w:color="auto" w:fill="FFFFFF"/>
        </w:rPr>
        <w:t xml:space="preserve"> witnesses themselves, some</w:t>
      </w:r>
      <w:r w:rsidR="00580BCD" w:rsidRPr="0032528B">
        <w:rPr>
          <w:rFonts w:ascii="Times New Roman" w:hAnsi="Times New Roman" w:cs="Times New Roman"/>
          <w:color w:val="1A1A1A"/>
          <w:sz w:val="24"/>
          <w:szCs w:val="24"/>
          <w:shd w:val="clear" w:color="auto" w:fill="FFFFFF"/>
        </w:rPr>
        <w:t xml:space="preserve"> may remain motivated </w:t>
      </w:r>
      <w:r w:rsidR="00DE63F7" w:rsidRPr="0032528B">
        <w:rPr>
          <w:rFonts w:ascii="Times New Roman" w:hAnsi="Times New Roman" w:cs="Times New Roman"/>
          <w:color w:val="1A1A1A"/>
          <w:sz w:val="24"/>
          <w:szCs w:val="24"/>
          <w:shd w:val="clear" w:color="auto" w:fill="FFFFFF"/>
        </w:rPr>
        <w:t xml:space="preserve">to testify </w:t>
      </w:r>
      <w:r w:rsidR="00826257" w:rsidRPr="0032528B">
        <w:rPr>
          <w:rFonts w:ascii="Times New Roman" w:hAnsi="Times New Roman" w:cs="Times New Roman"/>
          <w:color w:val="1A1A1A"/>
          <w:sz w:val="24"/>
          <w:szCs w:val="24"/>
          <w:shd w:val="clear" w:color="auto" w:fill="FFFFFF"/>
        </w:rPr>
        <w:t>given</w:t>
      </w:r>
      <w:r w:rsidR="00580BCD" w:rsidRPr="0032528B">
        <w:rPr>
          <w:rFonts w:ascii="Times New Roman" w:hAnsi="Times New Roman" w:cs="Times New Roman"/>
          <w:color w:val="1A1A1A"/>
          <w:sz w:val="24"/>
          <w:szCs w:val="24"/>
          <w:shd w:val="clear" w:color="auto" w:fill="FFFFFF"/>
        </w:rPr>
        <w:t xml:space="preserve"> </w:t>
      </w:r>
      <w:r w:rsidR="00463C49" w:rsidRPr="0032528B">
        <w:rPr>
          <w:rFonts w:ascii="Times New Roman" w:hAnsi="Times New Roman" w:cs="Times New Roman"/>
          <w:color w:val="1A1A1A"/>
          <w:sz w:val="24"/>
          <w:szCs w:val="24"/>
          <w:shd w:val="clear" w:color="auto" w:fill="FFFFFF"/>
        </w:rPr>
        <w:t>appropriate undertakings</w:t>
      </w:r>
      <w:r w:rsidR="00580BCD" w:rsidRPr="0032528B">
        <w:rPr>
          <w:rFonts w:ascii="Times New Roman" w:hAnsi="Times New Roman" w:cs="Times New Roman"/>
          <w:color w:val="1A1A1A"/>
          <w:sz w:val="24"/>
          <w:szCs w:val="24"/>
          <w:shd w:val="clear" w:color="auto" w:fill="FFFFFF"/>
        </w:rPr>
        <w:t xml:space="preserve">, </w:t>
      </w:r>
      <w:r w:rsidRPr="0032528B">
        <w:rPr>
          <w:rFonts w:ascii="Times New Roman" w:hAnsi="Times New Roman" w:cs="Times New Roman"/>
          <w:color w:val="1A1A1A"/>
          <w:sz w:val="24"/>
          <w:szCs w:val="24"/>
          <w:shd w:val="clear" w:color="auto" w:fill="FFFFFF"/>
        </w:rPr>
        <w:t>but</w:t>
      </w:r>
      <w:r w:rsidR="007341A9" w:rsidRPr="0032528B">
        <w:rPr>
          <w:rFonts w:ascii="Times New Roman" w:hAnsi="Times New Roman" w:cs="Times New Roman"/>
          <w:color w:val="1A1A1A"/>
          <w:sz w:val="24"/>
          <w:szCs w:val="24"/>
          <w:shd w:val="clear" w:color="auto" w:fill="FFFFFF"/>
        </w:rPr>
        <w:t xml:space="preserve"> </w:t>
      </w:r>
      <w:r w:rsidR="00580BCD" w:rsidRPr="0032528B">
        <w:rPr>
          <w:rFonts w:ascii="Times New Roman" w:hAnsi="Times New Roman" w:cs="Times New Roman"/>
          <w:color w:val="1A1A1A"/>
          <w:sz w:val="24"/>
          <w:szCs w:val="24"/>
          <w:shd w:val="clear" w:color="auto" w:fill="FFFFFF"/>
        </w:rPr>
        <w:t xml:space="preserve">the AFP’s </w:t>
      </w:r>
      <w:r w:rsidR="00DE63F7" w:rsidRPr="0032528B">
        <w:rPr>
          <w:rFonts w:ascii="Times New Roman" w:hAnsi="Times New Roman" w:cs="Times New Roman"/>
          <w:color w:val="1A1A1A"/>
          <w:sz w:val="24"/>
          <w:szCs w:val="24"/>
          <w:shd w:val="clear" w:color="auto" w:fill="FFFFFF"/>
        </w:rPr>
        <w:t>ongoing</w:t>
      </w:r>
      <w:r w:rsidR="00580BCD" w:rsidRPr="0032528B">
        <w:rPr>
          <w:rFonts w:ascii="Times New Roman" w:hAnsi="Times New Roman" w:cs="Times New Roman"/>
          <w:color w:val="1A1A1A"/>
          <w:sz w:val="24"/>
          <w:szCs w:val="24"/>
          <w:shd w:val="clear" w:color="auto" w:fill="FFFFFF"/>
        </w:rPr>
        <w:t xml:space="preserve"> </w:t>
      </w:r>
      <w:hyperlink r:id="rId15" w:history="1">
        <w:r w:rsidR="007341A9" w:rsidRPr="0032528B">
          <w:rPr>
            <w:rStyle w:val="Hyperlink"/>
            <w:rFonts w:ascii="Times New Roman" w:hAnsi="Times New Roman" w:cs="Times New Roman"/>
            <w:sz w:val="24"/>
            <w:szCs w:val="24"/>
            <w:shd w:val="clear" w:color="auto" w:fill="FFFFFF"/>
          </w:rPr>
          <w:t>charg</w:t>
        </w:r>
        <w:r w:rsidR="00DE63F7" w:rsidRPr="0032528B">
          <w:rPr>
            <w:rStyle w:val="Hyperlink"/>
            <w:rFonts w:ascii="Times New Roman" w:hAnsi="Times New Roman" w:cs="Times New Roman"/>
            <w:sz w:val="24"/>
            <w:szCs w:val="24"/>
            <w:shd w:val="clear" w:color="auto" w:fill="FFFFFF"/>
          </w:rPr>
          <w:t>ing</w:t>
        </w:r>
        <w:r w:rsidR="007341A9" w:rsidRPr="0032528B">
          <w:rPr>
            <w:rStyle w:val="Hyperlink"/>
            <w:rFonts w:ascii="Times New Roman" w:hAnsi="Times New Roman" w:cs="Times New Roman"/>
            <w:sz w:val="24"/>
            <w:szCs w:val="24"/>
            <w:shd w:val="clear" w:color="auto" w:fill="FFFFFF"/>
          </w:rPr>
          <w:t xml:space="preserve"> and investigation </w:t>
        </w:r>
        <w:r w:rsidR="00DE63F7" w:rsidRPr="0032528B">
          <w:rPr>
            <w:rStyle w:val="Hyperlink"/>
            <w:rFonts w:ascii="Times New Roman" w:hAnsi="Times New Roman" w:cs="Times New Roman"/>
            <w:sz w:val="24"/>
            <w:szCs w:val="24"/>
            <w:shd w:val="clear" w:color="auto" w:fill="FFFFFF"/>
          </w:rPr>
          <w:t>of</w:t>
        </w:r>
        <w:r w:rsidR="00580BCD" w:rsidRPr="0032528B">
          <w:rPr>
            <w:rStyle w:val="Hyperlink"/>
            <w:rFonts w:ascii="Times New Roman" w:hAnsi="Times New Roman" w:cs="Times New Roman"/>
            <w:sz w:val="24"/>
            <w:szCs w:val="24"/>
            <w:shd w:val="clear" w:color="auto" w:fill="FFFFFF"/>
          </w:rPr>
          <w:t xml:space="preserve"> war crimes whistleblower David McBride</w:t>
        </w:r>
      </w:hyperlink>
      <w:r w:rsidR="001A6E18" w:rsidRPr="0032528B">
        <w:rPr>
          <w:rFonts w:ascii="Times New Roman" w:hAnsi="Times New Roman" w:cs="Times New Roman"/>
          <w:color w:val="1A1A1A"/>
          <w:sz w:val="24"/>
          <w:szCs w:val="24"/>
          <w:shd w:val="clear" w:color="auto" w:fill="FFFFFF"/>
        </w:rPr>
        <w:t xml:space="preserve"> (who was responsible for leaking the material published </w:t>
      </w:r>
      <w:r w:rsidR="000C5274" w:rsidRPr="0032528B">
        <w:rPr>
          <w:rFonts w:ascii="Times New Roman" w:hAnsi="Times New Roman" w:cs="Times New Roman"/>
          <w:color w:val="1A1A1A"/>
          <w:sz w:val="24"/>
          <w:szCs w:val="24"/>
          <w:shd w:val="clear" w:color="auto" w:fill="FFFFFF"/>
        </w:rPr>
        <w:t xml:space="preserve">in 2017 </w:t>
      </w:r>
      <w:r w:rsidR="001A6E18" w:rsidRPr="0032528B">
        <w:rPr>
          <w:rFonts w:ascii="Times New Roman" w:hAnsi="Times New Roman" w:cs="Times New Roman"/>
          <w:color w:val="1A1A1A"/>
          <w:sz w:val="24"/>
          <w:szCs w:val="24"/>
          <w:shd w:val="clear" w:color="auto" w:fill="FFFFFF"/>
        </w:rPr>
        <w:t xml:space="preserve">as the ‘Afghan Files’) </w:t>
      </w:r>
      <w:r w:rsidR="0056735A" w:rsidRPr="0032528B">
        <w:rPr>
          <w:rFonts w:ascii="Times New Roman" w:hAnsi="Times New Roman" w:cs="Times New Roman"/>
          <w:color w:val="1A1A1A"/>
          <w:sz w:val="24"/>
          <w:szCs w:val="24"/>
          <w:shd w:val="clear" w:color="auto" w:fill="FFFFFF"/>
        </w:rPr>
        <w:t xml:space="preserve">continues to </w:t>
      </w:r>
      <w:r w:rsidR="002335EA" w:rsidRPr="0032528B">
        <w:rPr>
          <w:rFonts w:ascii="Times New Roman" w:hAnsi="Times New Roman" w:cs="Times New Roman"/>
          <w:color w:val="1A1A1A"/>
          <w:sz w:val="24"/>
          <w:szCs w:val="24"/>
          <w:shd w:val="clear" w:color="auto" w:fill="FFFFFF"/>
        </w:rPr>
        <w:t>send the wrong signals</w:t>
      </w:r>
      <w:r w:rsidR="00580BCD" w:rsidRPr="0032528B">
        <w:rPr>
          <w:rFonts w:ascii="Times New Roman" w:hAnsi="Times New Roman" w:cs="Times New Roman"/>
          <w:color w:val="1A1A1A"/>
          <w:sz w:val="24"/>
          <w:szCs w:val="24"/>
          <w:shd w:val="clear" w:color="auto" w:fill="FFFFFF"/>
        </w:rPr>
        <w:t>.</w:t>
      </w:r>
    </w:p>
    <w:p w:rsidR="000614A8" w:rsidRPr="0032528B" w:rsidRDefault="003C0812" w:rsidP="003C0812">
      <w:pPr>
        <w:pStyle w:val="ListParagraph"/>
        <w:ind w:left="0"/>
        <w:rPr>
          <w:rFonts w:ascii="Times New Roman" w:hAnsi="Times New Roman" w:cs="Times New Roman"/>
          <w:sz w:val="24"/>
          <w:szCs w:val="24"/>
        </w:rPr>
      </w:pPr>
      <w:r w:rsidRPr="0032528B">
        <w:rPr>
          <w:rFonts w:ascii="Times New Roman" w:hAnsi="Times New Roman" w:cs="Times New Roman"/>
          <w:sz w:val="24"/>
          <w:szCs w:val="24"/>
          <w:shd w:val="clear" w:color="auto" w:fill="FFFFFF"/>
        </w:rPr>
        <w:t xml:space="preserve">In assessing whether a prosecution is “in the public interest”, the </w:t>
      </w:r>
      <w:r w:rsidR="000C5274" w:rsidRPr="0032528B">
        <w:rPr>
          <w:rFonts w:ascii="Times New Roman" w:hAnsi="Times New Roman" w:cs="Times New Roman"/>
          <w:i/>
          <w:sz w:val="24"/>
          <w:szCs w:val="24"/>
          <w:shd w:val="clear" w:color="auto" w:fill="FFFFFF"/>
        </w:rPr>
        <w:t>Prosecution Policy</w:t>
      </w:r>
      <w:r w:rsidR="000C5274" w:rsidRPr="0032528B">
        <w:rPr>
          <w:rFonts w:ascii="Times New Roman" w:hAnsi="Times New Roman" w:cs="Times New Roman"/>
          <w:sz w:val="24"/>
          <w:szCs w:val="24"/>
          <w:shd w:val="clear" w:color="auto" w:fill="FFFFFF"/>
        </w:rPr>
        <w:t xml:space="preserve"> requires the </w:t>
      </w:r>
      <w:r w:rsidRPr="0032528B">
        <w:rPr>
          <w:rFonts w:ascii="Times New Roman" w:hAnsi="Times New Roman" w:cs="Times New Roman"/>
          <w:sz w:val="24"/>
          <w:szCs w:val="24"/>
          <w:shd w:val="clear" w:color="auto" w:fill="FFFFFF"/>
        </w:rPr>
        <w:t xml:space="preserve">DPP </w:t>
      </w:r>
      <w:r w:rsidR="000C5274" w:rsidRPr="0032528B">
        <w:rPr>
          <w:rFonts w:ascii="Times New Roman" w:hAnsi="Times New Roman" w:cs="Times New Roman"/>
          <w:sz w:val="24"/>
          <w:szCs w:val="24"/>
          <w:shd w:val="clear" w:color="auto" w:fill="FFFFFF"/>
        </w:rPr>
        <w:t xml:space="preserve">to </w:t>
      </w:r>
      <w:r w:rsidR="001E5A71" w:rsidRPr="0032528B">
        <w:rPr>
          <w:rFonts w:ascii="Times New Roman" w:hAnsi="Times New Roman" w:cs="Times New Roman"/>
          <w:sz w:val="24"/>
          <w:szCs w:val="24"/>
          <w:shd w:val="clear" w:color="auto" w:fill="FFFFFF"/>
        </w:rPr>
        <w:t xml:space="preserve">also </w:t>
      </w:r>
      <w:r w:rsidRPr="0032528B">
        <w:rPr>
          <w:rFonts w:ascii="Times New Roman" w:hAnsi="Times New Roman" w:cs="Times New Roman"/>
          <w:sz w:val="24"/>
          <w:szCs w:val="24"/>
          <w:shd w:val="clear" w:color="auto" w:fill="FFFFFF"/>
        </w:rPr>
        <w:t>consider the “</w:t>
      </w:r>
      <w:r w:rsidRPr="0032528B">
        <w:rPr>
          <w:rFonts w:ascii="Times New Roman" w:hAnsi="Times New Roman" w:cs="Times New Roman"/>
          <w:sz w:val="24"/>
          <w:szCs w:val="24"/>
        </w:rPr>
        <w:t>intelligence, mental health or special vulnerability of the alleged offender”</w:t>
      </w:r>
      <w:r w:rsidR="000C5274" w:rsidRPr="0032528B">
        <w:rPr>
          <w:rFonts w:ascii="Times New Roman" w:hAnsi="Times New Roman" w:cs="Times New Roman"/>
          <w:sz w:val="24"/>
          <w:szCs w:val="24"/>
        </w:rPr>
        <w:t xml:space="preserve"> (para 7.1)</w:t>
      </w:r>
      <w:r w:rsidRPr="0032528B">
        <w:rPr>
          <w:rFonts w:ascii="Times New Roman" w:hAnsi="Times New Roman" w:cs="Times New Roman"/>
          <w:sz w:val="24"/>
          <w:szCs w:val="24"/>
        </w:rPr>
        <w:t xml:space="preserve">. </w:t>
      </w:r>
      <w:r w:rsidR="00F222B1" w:rsidRPr="0032528B">
        <w:rPr>
          <w:rFonts w:ascii="Times New Roman" w:hAnsi="Times New Roman" w:cs="Times New Roman"/>
          <w:sz w:val="24"/>
          <w:szCs w:val="24"/>
        </w:rPr>
        <w:t>Although t</w:t>
      </w:r>
      <w:r w:rsidRPr="0032528B">
        <w:rPr>
          <w:rFonts w:ascii="Times New Roman" w:hAnsi="Times New Roman" w:cs="Times New Roman"/>
          <w:sz w:val="24"/>
          <w:szCs w:val="24"/>
        </w:rPr>
        <w:t>hese factors must be weighed against the seriousness of the allegations, the need for deterrence and public concern about the case</w:t>
      </w:r>
      <w:r w:rsidR="00F222B1" w:rsidRPr="0032528B">
        <w:rPr>
          <w:rFonts w:ascii="Times New Roman" w:hAnsi="Times New Roman" w:cs="Times New Roman"/>
          <w:sz w:val="24"/>
          <w:szCs w:val="24"/>
        </w:rPr>
        <w:t>, t</w:t>
      </w:r>
      <w:r w:rsidR="000C5274" w:rsidRPr="0032528B">
        <w:rPr>
          <w:rFonts w:ascii="Times New Roman" w:hAnsi="Times New Roman" w:cs="Times New Roman"/>
          <w:sz w:val="24"/>
          <w:szCs w:val="24"/>
        </w:rPr>
        <w:t xml:space="preserve">here are credible </w:t>
      </w:r>
      <w:r w:rsidRPr="0032528B">
        <w:rPr>
          <w:rFonts w:ascii="Times New Roman" w:hAnsi="Times New Roman" w:cs="Times New Roman"/>
          <w:sz w:val="24"/>
          <w:szCs w:val="24"/>
        </w:rPr>
        <w:t>arguments</w:t>
      </w:r>
      <w:r w:rsidR="000C5274" w:rsidRPr="0032528B">
        <w:rPr>
          <w:rFonts w:ascii="Times New Roman" w:hAnsi="Times New Roman" w:cs="Times New Roman"/>
          <w:sz w:val="24"/>
          <w:szCs w:val="24"/>
        </w:rPr>
        <w:t xml:space="preserve"> possible</w:t>
      </w:r>
      <w:r w:rsidRPr="0032528B">
        <w:rPr>
          <w:rFonts w:ascii="Times New Roman" w:hAnsi="Times New Roman" w:cs="Times New Roman"/>
          <w:sz w:val="24"/>
          <w:szCs w:val="24"/>
        </w:rPr>
        <w:t xml:space="preserve"> about the alleged vulnerability of young SASR soldiers on secretive missions in a hostile environment </w:t>
      </w:r>
      <w:r w:rsidR="001E5A71" w:rsidRPr="0032528B">
        <w:rPr>
          <w:rFonts w:ascii="Times New Roman" w:hAnsi="Times New Roman" w:cs="Times New Roman"/>
          <w:sz w:val="24"/>
          <w:szCs w:val="24"/>
        </w:rPr>
        <w:t>while</w:t>
      </w:r>
      <w:r w:rsidRPr="0032528B">
        <w:rPr>
          <w:rFonts w:ascii="Times New Roman" w:hAnsi="Times New Roman" w:cs="Times New Roman"/>
          <w:sz w:val="24"/>
          <w:szCs w:val="24"/>
        </w:rPr>
        <w:t xml:space="preserve"> under the influence of an overbearing </w:t>
      </w:r>
      <w:r w:rsidR="000C5274" w:rsidRPr="0032528B">
        <w:rPr>
          <w:rFonts w:ascii="Times New Roman" w:hAnsi="Times New Roman" w:cs="Times New Roman"/>
          <w:sz w:val="24"/>
          <w:szCs w:val="24"/>
        </w:rPr>
        <w:t>patrol commander</w:t>
      </w:r>
      <w:r w:rsidRPr="0032528B">
        <w:rPr>
          <w:rFonts w:ascii="Times New Roman" w:hAnsi="Times New Roman" w:cs="Times New Roman"/>
          <w:sz w:val="24"/>
          <w:szCs w:val="24"/>
        </w:rPr>
        <w:t xml:space="preserve">, or alleged mental fatigue </w:t>
      </w:r>
      <w:r w:rsidR="000C5274" w:rsidRPr="0032528B">
        <w:rPr>
          <w:rFonts w:ascii="Times New Roman" w:hAnsi="Times New Roman" w:cs="Times New Roman"/>
          <w:sz w:val="24"/>
          <w:szCs w:val="24"/>
        </w:rPr>
        <w:t>from</w:t>
      </w:r>
      <w:r w:rsidRPr="0032528B">
        <w:rPr>
          <w:rFonts w:ascii="Times New Roman" w:hAnsi="Times New Roman" w:cs="Times New Roman"/>
          <w:sz w:val="24"/>
          <w:szCs w:val="24"/>
        </w:rPr>
        <w:t xml:space="preserve"> back-to-back high-tempo tours of duty, </w:t>
      </w:r>
      <w:r w:rsidR="000C5274" w:rsidRPr="0032528B">
        <w:rPr>
          <w:rFonts w:ascii="Times New Roman" w:hAnsi="Times New Roman" w:cs="Times New Roman"/>
          <w:sz w:val="24"/>
          <w:szCs w:val="24"/>
        </w:rPr>
        <w:t>which might</w:t>
      </w:r>
      <w:r w:rsidRPr="0032528B">
        <w:rPr>
          <w:rFonts w:ascii="Times New Roman" w:hAnsi="Times New Roman" w:cs="Times New Roman"/>
          <w:sz w:val="24"/>
          <w:szCs w:val="24"/>
        </w:rPr>
        <w:t xml:space="preserve"> derail decisions to launch </w:t>
      </w:r>
      <w:r w:rsidR="000C5274" w:rsidRPr="0032528B">
        <w:rPr>
          <w:rFonts w:ascii="Times New Roman" w:hAnsi="Times New Roman" w:cs="Times New Roman"/>
          <w:sz w:val="24"/>
          <w:szCs w:val="24"/>
        </w:rPr>
        <w:t xml:space="preserve">individual </w:t>
      </w:r>
      <w:r w:rsidRPr="0032528B">
        <w:rPr>
          <w:rFonts w:ascii="Times New Roman" w:hAnsi="Times New Roman" w:cs="Times New Roman"/>
          <w:sz w:val="24"/>
          <w:szCs w:val="24"/>
        </w:rPr>
        <w:t>prosecutions.</w:t>
      </w:r>
      <w:r w:rsidR="00665583" w:rsidRPr="0032528B">
        <w:rPr>
          <w:rFonts w:ascii="Times New Roman" w:hAnsi="Times New Roman" w:cs="Times New Roman"/>
          <w:sz w:val="24"/>
          <w:szCs w:val="24"/>
        </w:rPr>
        <w:t xml:space="preserve"> The Brereton Report has already noted the psychological consequences</w:t>
      </w:r>
      <w:r w:rsidR="007C00FE" w:rsidRPr="0032528B">
        <w:rPr>
          <w:rFonts w:ascii="Times New Roman" w:hAnsi="Times New Roman" w:cs="Times New Roman"/>
          <w:sz w:val="24"/>
          <w:szCs w:val="24"/>
        </w:rPr>
        <w:t xml:space="preserve"> </w:t>
      </w:r>
      <w:r w:rsidR="00665583" w:rsidRPr="0032528B">
        <w:rPr>
          <w:rFonts w:ascii="Times New Roman" w:hAnsi="Times New Roman" w:cs="Times New Roman"/>
          <w:sz w:val="24"/>
          <w:szCs w:val="24"/>
        </w:rPr>
        <w:t xml:space="preserve">of repeated deployments without </w:t>
      </w:r>
      <w:r w:rsidR="007C00FE" w:rsidRPr="0032528B">
        <w:rPr>
          <w:rFonts w:ascii="Times New Roman" w:hAnsi="Times New Roman" w:cs="Times New Roman"/>
          <w:sz w:val="24"/>
          <w:szCs w:val="24"/>
        </w:rPr>
        <w:t xml:space="preserve">intervening </w:t>
      </w:r>
      <w:r w:rsidR="00665583" w:rsidRPr="0032528B">
        <w:rPr>
          <w:rFonts w:ascii="Times New Roman" w:hAnsi="Times New Roman" w:cs="Times New Roman"/>
          <w:sz w:val="24"/>
          <w:szCs w:val="24"/>
        </w:rPr>
        <w:t>periods of rest</w:t>
      </w:r>
      <w:r w:rsidR="000C5274" w:rsidRPr="0032528B">
        <w:rPr>
          <w:rFonts w:ascii="Times New Roman" w:hAnsi="Times New Roman" w:cs="Times New Roman"/>
          <w:sz w:val="24"/>
          <w:szCs w:val="24"/>
        </w:rPr>
        <w:t xml:space="preserve"> (paras 36-37 of Chapter 3.01)</w:t>
      </w:r>
      <w:r w:rsidR="00665583" w:rsidRPr="0032528B">
        <w:rPr>
          <w:rFonts w:ascii="Times New Roman" w:hAnsi="Times New Roman" w:cs="Times New Roman"/>
          <w:sz w:val="24"/>
          <w:szCs w:val="24"/>
        </w:rPr>
        <w:t>.</w:t>
      </w:r>
      <w:r w:rsidR="007C00FE" w:rsidRPr="0032528B">
        <w:rPr>
          <w:rFonts w:ascii="Times New Roman" w:hAnsi="Times New Roman" w:cs="Times New Roman"/>
          <w:sz w:val="24"/>
          <w:szCs w:val="24"/>
        </w:rPr>
        <w:t xml:space="preserve"> </w:t>
      </w:r>
    </w:p>
    <w:p w:rsidR="003C0812" w:rsidRPr="0032528B" w:rsidRDefault="003C0812" w:rsidP="000614A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2528B">
        <w:rPr>
          <w:rFonts w:ascii="Times New Roman" w:hAnsi="Times New Roman" w:cs="Times New Roman"/>
          <w:sz w:val="24"/>
          <w:szCs w:val="24"/>
          <w:shd w:val="clear" w:color="auto" w:fill="FFFFFF"/>
        </w:rPr>
        <w:t xml:space="preserve">The UK’s newly-minted </w:t>
      </w:r>
      <w:r w:rsidRPr="0032528B">
        <w:rPr>
          <w:rFonts w:ascii="Times New Roman" w:hAnsi="Times New Roman" w:cs="Times New Roman"/>
          <w:i/>
          <w:sz w:val="24"/>
          <w:szCs w:val="24"/>
          <w:shd w:val="clear" w:color="auto" w:fill="FFFFFF"/>
        </w:rPr>
        <w:t>Overseas Operations (Service Personnel and Veterans) Act</w:t>
      </w:r>
      <w:r w:rsidRPr="0032528B">
        <w:rPr>
          <w:rFonts w:ascii="Times New Roman" w:hAnsi="Times New Roman" w:cs="Times New Roman"/>
          <w:sz w:val="24"/>
          <w:szCs w:val="24"/>
          <w:shd w:val="clear" w:color="auto" w:fill="FFFFFF"/>
        </w:rPr>
        <w:t xml:space="preserve"> 2021 s3 requires the decision to prosecute to give “particular weight” to the </w:t>
      </w:r>
      <w:r w:rsidRPr="0032528B">
        <w:rPr>
          <w:rFonts w:ascii="Times New Roman" w:hAnsi="Times New Roman" w:cs="Times New Roman"/>
          <w:color w:val="000000"/>
          <w:sz w:val="24"/>
          <w:szCs w:val="24"/>
          <w:shd w:val="clear" w:color="auto" w:fill="FFFFFF"/>
        </w:rPr>
        <w:t xml:space="preserve">adverse effect (or likely adverse effect) on an accused’s ability to exercise sound judgment or self-control or on their mental health, of the conditions they were exposed to during deployment. Further, </w:t>
      </w:r>
      <w:r w:rsidR="000C5274" w:rsidRPr="0032528B">
        <w:rPr>
          <w:rFonts w:ascii="Times New Roman" w:hAnsi="Times New Roman" w:cs="Times New Roman"/>
          <w:color w:val="000000"/>
          <w:sz w:val="24"/>
          <w:szCs w:val="24"/>
          <w:shd w:val="clear" w:color="auto" w:fill="FFFFFF"/>
        </w:rPr>
        <w:t xml:space="preserve">the section requires </w:t>
      </w:r>
      <w:r w:rsidRPr="0032528B">
        <w:rPr>
          <w:rFonts w:ascii="Times New Roman" w:hAnsi="Times New Roman" w:cs="Times New Roman"/>
          <w:color w:val="000000"/>
          <w:sz w:val="24"/>
          <w:szCs w:val="24"/>
          <w:shd w:val="clear" w:color="auto" w:fill="FFFFFF"/>
        </w:rPr>
        <w:t xml:space="preserve">regard </w:t>
      </w:r>
      <w:r w:rsidR="000C5274" w:rsidRPr="0032528B">
        <w:rPr>
          <w:rFonts w:ascii="Times New Roman" w:hAnsi="Times New Roman" w:cs="Times New Roman"/>
          <w:color w:val="000000"/>
          <w:sz w:val="24"/>
          <w:szCs w:val="24"/>
          <w:shd w:val="clear" w:color="auto" w:fill="FFFFFF"/>
        </w:rPr>
        <w:t xml:space="preserve">be had </w:t>
      </w:r>
      <w:r w:rsidRPr="0032528B">
        <w:rPr>
          <w:rFonts w:ascii="Times New Roman" w:hAnsi="Times New Roman" w:cs="Times New Roman"/>
          <w:color w:val="000000"/>
          <w:sz w:val="24"/>
          <w:szCs w:val="24"/>
          <w:shd w:val="clear" w:color="auto" w:fill="FFFFFF"/>
        </w:rPr>
        <w:t xml:space="preserve">to the “exceptional demands and stresses” of overseas deployment “regardless of an accused’s length of service, rank or personal resilience”. The danger such provisions pose to UK accountability is </w:t>
      </w:r>
      <w:r w:rsidR="001E5A71" w:rsidRPr="0032528B">
        <w:rPr>
          <w:rFonts w:ascii="Times New Roman" w:hAnsi="Times New Roman" w:cs="Times New Roman"/>
          <w:color w:val="000000"/>
          <w:sz w:val="24"/>
          <w:szCs w:val="24"/>
          <w:shd w:val="clear" w:color="auto" w:fill="FFFFFF"/>
        </w:rPr>
        <w:t>serious</w:t>
      </w:r>
      <w:r w:rsidRPr="0032528B">
        <w:rPr>
          <w:rFonts w:ascii="Times New Roman" w:hAnsi="Times New Roman" w:cs="Times New Roman"/>
          <w:color w:val="000000"/>
          <w:sz w:val="24"/>
          <w:szCs w:val="24"/>
          <w:shd w:val="clear" w:color="auto" w:fill="FFFFFF"/>
        </w:rPr>
        <w:t>. Although Australia does not have exculpatory legislation</w:t>
      </w:r>
      <w:r w:rsidR="001E5A71" w:rsidRPr="0032528B">
        <w:rPr>
          <w:rFonts w:ascii="Times New Roman" w:hAnsi="Times New Roman" w:cs="Times New Roman"/>
          <w:color w:val="000000"/>
          <w:sz w:val="24"/>
          <w:szCs w:val="24"/>
          <w:shd w:val="clear" w:color="auto" w:fill="FFFFFF"/>
        </w:rPr>
        <w:t xml:space="preserve"> of this nature</w:t>
      </w:r>
      <w:r w:rsidRPr="0032528B">
        <w:rPr>
          <w:rFonts w:ascii="Times New Roman" w:hAnsi="Times New Roman" w:cs="Times New Roman"/>
          <w:color w:val="000000"/>
          <w:sz w:val="24"/>
          <w:szCs w:val="24"/>
          <w:shd w:val="clear" w:color="auto" w:fill="FFFFFF"/>
        </w:rPr>
        <w:t xml:space="preserve">, the prosecutorial decision </w:t>
      </w:r>
      <w:r w:rsidR="001E5A71" w:rsidRPr="0032528B">
        <w:rPr>
          <w:rFonts w:ascii="Times New Roman" w:hAnsi="Times New Roman" w:cs="Times New Roman"/>
          <w:color w:val="000000"/>
          <w:sz w:val="24"/>
          <w:szCs w:val="24"/>
          <w:shd w:val="clear" w:color="auto" w:fill="FFFFFF"/>
        </w:rPr>
        <w:t xml:space="preserve">will </w:t>
      </w:r>
      <w:r w:rsidR="002404EA" w:rsidRPr="0032528B">
        <w:rPr>
          <w:rFonts w:ascii="Times New Roman" w:hAnsi="Times New Roman" w:cs="Times New Roman"/>
          <w:color w:val="000000"/>
          <w:sz w:val="24"/>
          <w:szCs w:val="24"/>
          <w:shd w:val="clear" w:color="auto" w:fill="FFFFFF"/>
        </w:rPr>
        <w:t xml:space="preserve">need to </w:t>
      </w:r>
      <w:proofErr w:type="gramStart"/>
      <w:r w:rsidR="002404EA" w:rsidRPr="0032528B">
        <w:rPr>
          <w:rFonts w:ascii="Times New Roman" w:hAnsi="Times New Roman" w:cs="Times New Roman"/>
          <w:color w:val="000000"/>
          <w:sz w:val="24"/>
          <w:szCs w:val="24"/>
          <w:shd w:val="clear" w:color="auto" w:fill="FFFFFF"/>
        </w:rPr>
        <w:t>take into account</w:t>
      </w:r>
      <w:proofErr w:type="gramEnd"/>
      <w:r w:rsidRPr="0032528B">
        <w:rPr>
          <w:rFonts w:ascii="Times New Roman" w:hAnsi="Times New Roman" w:cs="Times New Roman"/>
          <w:color w:val="000000"/>
          <w:sz w:val="24"/>
          <w:szCs w:val="24"/>
          <w:shd w:val="clear" w:color="auto" w:fill="FFFFFF"/>
        </w:rPr>
        <w:t xml:space="preserve"> the </w:t>
      </w:r>
      <w:r w:rsidR="001E5A71" w:rsidRPr="0032528B">
        <w:rPr>
          <w:rFonts w:ascii="Times New Roman" w:hAnsi="Times New Roman" w:cs="Times New Roman"/>
          <w:color w:val="000000"/>
          <w:sz w:val="24"/>
          <w:szCs w:val="24"/>
          <w:shd w:val="clear" w:color="auto" w:fill="FFFFFF"/>
        </w:rPr>
        <w:t>effect the demands</w:t>
      </w:r>
      <w:r w:rsidRPr="0032528B">
        <w:rPr>
          <w:rFonts w:ascii="Times New Roman" w:hAnsi="Times New Roman" w:cs="Times New Roman"/>
          <w:color w:val="000000"/>
          <w:sz w:val="24"/>
          <w:szCs w:val="24"/>
          <w:shd w:val="clear" w:color="auto" w:fill="FFFFFF"/>
        </w:rPr>
        <w:t xml:space="preserve"> of service </w:t>
      </w:r>
      <w:r w:rsidR="001E5A71" w:rsidRPr="0032528B">
        <w:rPr>
          <w:rFonts w:ascii="Times New Roman" w:hAnsi="Times New Roman" w:cs="Times New Roman"/>
          <w:color w:val="000000"/>
          <w:sz w:val="24"/>
          <w:szCs w:val="24"/>
          <w:shd w:val="clear" w:color="auto" w:fill="FFFFFF"/>
        </w:rPr>
        <w:t xml:space="preserve">had </w:t>
      </w:r>
      <w:r w:rsidRPr="0032528B">
        <w:rPr>
          <w:rFonts w:ascii="Times New Roman" w:hAnsi="Times New Roman" w:cs="Times New Roman"/>
          <w:color w:val="000000"/>
          <w:sz w:val="24"/>
          <w:szCs w:val="24"/>
          <w:shd w:val="clear" w:color="auto" w:fill="FFFFFF"/>
        </w:rPr>
        <w:t>on the accused’s mental state</w:t>
      </w:r>
      <w:r w:rsidR="000614A8" w:rsidRPr="0032528B">
        <w:rPr>
          <w:rFonts w:ascii="Times New Roman" w:hAnsi="Times New Roman" w:cs="Times New Roman"/>
          <w:color w:val="000000"/>
          <w:sz w:val="24"/>
          <w:szCs w:val="24"/>
          <w:shd w:val="clear" w:color="auto" w:fill="FFFFFF"/>
        </w:rPr>
        <w:t xml:space="preserve">. </w:t>
      </w:r>
      <w:r w:rsidR="00E560C3" w:rsidRPr="0032528B">
        <w:rPr>
          <w:rFonts w:ascii="Times New Roman" w:hAnsi="Times New Roman" w:cs="Times New Roman"/>
          <w:color w:val="231F20"/>
          <w:sz w:val="24"/>
          <w:szCs w:val="24"/>
        </w:rPr>
        <w:t>Brereton was of the view</w:t>
      </w:r>
      <w:r w:rsidR="000614A8" w:rsidRPr="0032528B">
        <w:rPr>
          <w:rFonts w:ascii="Times New Roman" w:hAnsi="Times New Roman" w:cs="Times New Roman"/>
          <w:color w:val="231F20"/>
          <w:sz w:val="24"/>
          <w:szCs w:val="24"/>
        </w:rPr>
        <w:t xml:space="preserve"> </w:t>
      </w:r>
      <w:r w:rsidR="00E560C3" w:rsidRPr="0032528B">
        <w:rPr>
          <w:rFonts w:ascii="Times New Roman" w:hAnsi="Times New Roman" w:cs="Times New Roman"/>
          <w:color w:val="231F20"/>
          <w:sz w:val="24"/>
          <w:szCs w:val="24"/>
        </w:rPr>
        <w:t xml:space="preserve">that it </w:t>
      </w:r>
      <w:r w:rsidR="000614A8" w:rsidRPr="0032528B">
        <w:rPr>
          <w:rFonts w:ascii="Times New Roman" w:hAnsi="Times New Roman" w:cs="Times New Roman"/>
          <w:color w:val="231F20"/>
          <w:sz w:val="24"/>
          <w:szCs w:val="24"/>
        </w:rPr>
        <w:t xml:space="preserve">is doubtful that the statutory defence of ‘diminished responsibility’ is available </w:t>
      </w:r>
      <w:r w:rsidR="00A87909" w:rsidRPr="0032528B">
        <w:rPr>
          <w:rFonts w:ascii="Times New Roman" w:hAnsi="Times New Roman" w:cs="Times New Roman"/>
          <w:color w:val="231F20"/>
          <w:sz w:val="24"/>
          <w:szCs w:val="24"/>
        </w:rPr>
        <w:t xml:space="preserve">in </w:t>
      </w:r>
      <w:r w:rsidR="000614A8" w:rsidRPr="0032528B">
        <w:rPr>
          <w:rFonts w:ascii="Times New Roman" w:hAnsi="Times New Roman" w:cs="Times New Roman"/>
          <w:color w:val="231F20"/>
          <w:sz w:val="24"/>
          <w:szCs w:val="24"/>
        </w:rPr>
        <w:t>connection with the war crime of murder</w:t>
      </w:r>
      <w:r w:rsidR="000C5274" w:rsidRPr="0032528B">
        <w:rPr>
          <w:rFonts w:ascii="Times New Roman" w:hAnsi="Times New Roman" w:cs="Times New Roman"/>
          <w:color w:val="231F20"/>
          <w:sz w:val="24"/>
          <w:szCs w:val="24"/>
        </w:rPr>
        <w:t xml:space="preserve"> (</w:t>
      </w:r>
      <w:r w:rsidR="000C5274" w:rsidRPr="0032528B">
        <w:rPr>
          <w:rFonts w:ascii="Times New Roman" w:hAnsi="Times New Roman" w:cs="Times New Roman"/>
          <w:sz w:val="24"/>
          <w:szCs w:val="24"/>
        </w:rPr>
        <w:t>para 53 of Chapter 1.12)</w:t>
      </w:r>
      <w:r w:rsidR="000614A8" w:rsidRPr="0032528B">
        <w:rPr>
          <w:rFonts w:ascii="Times New Roman" w:hAnsi="Times New Roman" w:cs="Times New Roman"/>
          <w:color w:val="231F20"/>
          <w:sz w:val="24"/>
          <w:szCs w:val="24"/>
        </w:rPr>
        <w:t xml:space="preserve">, </w:t>
      </w:r>
      <w:r w:rsidR="00964CE5" w:rsidRPr="0032528B">
        <w:rPr>
          <w:rFonts w:ascii="Times New Roman" w:hAnsi="Times New Roman" w:cs="Times New Roman"/>
          <w:color w:val="231F20"/>
          <w:sz w:val="24"/>
          <w:szCs w:val="24"/>
        </w:rPr>
        <w:t xml:space="preserve">however the </w:t>
      </w:r>
      <w:hyperlink r:id="rId16" w:history="1">
        <w:r w:rsidR="00964CE5" w:rsidRPr="0032528B">
          <w:rPr>
            <w:rStyle w:val="Hyperlink"/>
            <w:rFonts w:ascii="Times New Roman" w:hAnsi="Times New Roman" w:cs="Times New Roman"/>
            <w:i/>
            <w:sz w:val="24"/>
            <w:szCs w:val="24"/>
          </w:rPr>
          <w:t>Blackman cas</w:t>
        </w:r>
        <w:r w:rsidR="00F222B1" w:rsidRPr="0032528B">
          <w:rPr>
            <w:rStyle w:val="Hyperlink"/>
            <w:rFonts w:ascii="Times New Roman" w:hAnsi="Times New Roman" w:cs="Times New Roman"/>
            <w:i/>
            <w:sz w:val="24"/>
            <w:szCs w:val="24"/>
          </w:rPr>
          <w:t>e</w:t>
        </w:r>
      </w:hyperlink>
      <w:r w:rsidR="00964CE5" w:rsidRPr="0032528B">
        <w:rPr>
          <w:rFonts w:ascii="Times New Roman" w:hAnsi="Times New Roman" w:cs="Times New Roman"/>
          <w:i/>
          <w:color w:val="231F20"/>
          <w:sz w:val="24"/>
          <w:szCs w:val="24"/>
        </w:rPr>
        <w:t xml:space="preserve"> </w:t>
      </w:r>
      <w:r w:rsidR="001C3641" w:rsidRPr="0032528B">
        <w:rPr>
          <w:rFonts w:ascii="Times New Roman" w:hAnsi="Times New Roman" w:cs="Times New Roman"/>
          <w:i/>
          <w:color w:val="231F20"/>
          <w:sz w:val="24"/>
          <w:szCs w:val="24"/>
        </w:rPr>
        <w:t xml:space="preserve">- </w:t>
      </w:r>
      <w:r w:rsidR="00964CE5" w:rsidRPr="0032528B">
        <w:rPr>
          <w:rFonts w:ascii="Times New Roman" w:hAnsi="Times New Roman" w:cs="Times New Roman"/>
          <w:color w:val="231F20"/>
          <w:sz w:val="24"/>
          <w:szCs w:val="24"/>
        </w:rPr>
        <w:t xml:space="preserve">where a </w:t>
      </w:r>
      <w:r w:rsidR="001C3641" w:rsidRPr="0032528B">
        <w:rPr>
          <w:rFonts w:ascii="Times New Roman" w:hAnsi="Times New Roman" w:cs="Times New Roman"/>
          <w:color w:val="231F20"/>
          <w:sz w:val="24"/>
          <w:szCs w:val="24"/>
        </w:rPr>
        <w:t xml:space="preserve">UK </w:t>
      </w:r>
      <w:r w:rsidR="00423CA5" w:rsidRPr="0032528B">
        <w:rPr>
          <w:rFonts w:ascii="Times New Roman" w:hAnsi="Times New Roman" w:cs="Times New Roman"/>
          <w:color w:val="231F20"/>
          <w:sz w:val="24"/>
          <w:szCs w:val="24"/>
        </w:rPr>
        <w:lastRenderedPageBreak/>
        <w:t>m</w:t>
      </w:r>
      <w:r w:rsidR="00964CE5" w:rsidRPr="0032528B">
        <w:rPr>
          <w:rFonts w:ascii="Times New Roman" w:hAnsi="Times New Roman" w:cs="Times New Roman"/>
          <w:color w:val="231F20"/>
          <w:sz w:val="24"/>
          <w:szCs w:val="24"/>
        </w:rPr>
        <w:t xml:space="preserve">arine’s conviction for </w:t>
      </w:r>
      <w:r w:rsidR="00423CA5" w:rsidRPr="0032528B">
        <w:rPr>
          <w:rFonts w:ascii="Times New Roman" w:hAnsi="Times New Roman" w:cs="Times New Roman"/>
          <w:color w:val="231F20"/>
          <w:sz w:val="24"/>
          <w:szCs w:val="24"/>
        </w:rPr>
        <w:t xml:space="preserve">the </w:t>
      </w:r>
      <w:r w:rsidR="00964CE5" w:rsidRPr="0032528B">
        <w:rPr>
          <w:rFonts w:ascii="Times New Roman" w:hAnsi="Times New Roman" w:cs="Times New Roman"/>
          <w:color w:val="231F20"/>
          <w:sz w:val="24"/>
          <w:szCs w:val="24"/>
        </w:rPr>
        <w:t xml:space="preserve">murder of a wounded Taliban fighter was downgraded to manslaughter on the </w:t>
      </w:r>
      <w:r w:rsidR="00A87909" w:rsidRPr="0032528B">
        <w:rPr>
          <w:rFonts w:ascii="Times New Roman" w:hAnsi="Times New Roman" w:cs="Times New Roman"/>
          <w:color w:val="231F20"/>
          <w:sz w:val="24"/>
          <w:szCs w:val="24"/>
        </w:rPr>
        <w:t>basis</w:t>
      </w:r>
      <w:r w:rsidR="00964CE5" w:rsidRPr="0032528B">
        <w:rPr>
          <w:rFonts w:ascii="Times New Roman" w:hAnsi="Times New Roman" w:cs="Times New Roman"/>
          <w:color w:val="231F20"/>
          <w:sz w:val="24"/>
          <w:szCs w:val="24"/>
        </w:rPr>
        <w:t xml:space="preserve"> </w:t>
      </w:r>
      <w:r w:rsidR="00A87909" w:rsidRPr="0032528B">
        <w:rPr>
          <w:rFonts w:ascii="Times New Roman" w:hAnsi="Times New Roman" w:cs="Times New Roman"/>
          <w:color w:val="231F20"/>
          <w:sz w:val="24"/>
          <w:szCs w:val="24"/>
        </w:rPr>
        <w:t>that he suffered</w:t>
      </w:r>
      <w:r w:rsidR="00964CE5" w:rsidRPr="0032528B">
        <w:rPr>
          <w:rFonts w:ascii="Times New Roman" w:hAnsi="Times New Roman" w:cs="Times New Roman"/>
          <w:color w:val="231F20"/>
          <w:sz w:val="24"/>
          <w:szCs w:val="24"/>
        </w:rPr>
        <w:t xml:space="preserve"> an ‘adjustment disorder’</w:t>
      </w:r>
      <w:r w:rsidR="00F222B1" w:rsidRPr="0032528B">
        <w:rPr>
          <w:rFonts w:ascii="Times New Roman" w:hAnsi="Times New Roman" w:cs="Times New Roman"/>
          <w:color w:val="231F20"/>
          <w:sz w:val="24"/>
          <w:szCs w:val="24"/>
        </w:rPr>
        <w:t xml:space="preserve">- </w:t>
      </w:r>
      <w:r w:rsidR="00964CE5" w:rsidRPr="0032528B">
        <w:rPr>
          <w:rFonts w:ascii="Times New Roman" w:hAnsi="Times New Roman" w:cs="Times New Roman"/>
          <w:color w:val="231F20"/>
          <w:sz w:val="24"/>
          <w:szCs w:val="24"/>
        </w:rPr>
        <w:t>loom</w:t>
      </w:r>
      <w:r w:rsidR="00423CA5" w:rsidRPr="0032528B">
        <w:rPr>
          <w:rFonts w:ascii="Times New Roman" w:hAnsi="Times New Roman" w:cs="Times New Roman"/>
          <w:color w:val="231F20"/>
          <w:sz w:val="24"/>
          <w:szCs w:val="24"/>
        </w:rPr>
        <w:t>s</w:t>
      </w:r>
      <w:r w:rsidR="00964CE5" w:rsidRPr="0032528B">
        <w:rPr>
          <w:rFonts w:ascii="Times New Roman" w:hAnsi="Times New Roman" w:cs="Times New Roman"/>
          <w:color w:val="231F20"/>
          <w:sz w:val="24"/>
          <w:szCs w:val="24"/>
        </w:rPr>
        <w:t xml:space="preserve"> large. Even if </w:t>
      </w:r>
      <w:r w:rsidR="00423CA5" w:rsidRPr="0032528B">
        <w:rPr>
          <w:rFonts w:ascii="Times New Roman" w:hAnsi="Times New Roman" w:cs="Times New Roman"/>
          <w:color w:val="231F20"/>
          <w:sz w:val="24"/>
          <w:szCs w:val="24"/>
        </w:rPr>
        <w:t>such an argument</w:t>
      </w:r>
      <w:r w:rsidR="00964CE5" w:rsidRPr="0032528B">
        <w:rPr>
          <w:rFonts w:ascii="Times New Roman" w:hAnsi="Times New Roman" w:cs="Times New Roman"/>
          <w:color w:val="231F20"/>
          <w:sz w:val="24"/>
          <w:szCs w:val="24"/>
        </w:rPr>
        <w:t xml:space="preserve"> does not </w:t>
      </w:r>
      <w:r w:rsidR="00423CA5" w:rsidRPr="0032528B">
        <w:rPr>
          <w:rFonts w:ascii="Times New Roman" w:hAnsi="Times New Roman" w:cs="Times New Roman"/>
          <w:color w:val="231F20"/>
          <w:sz w:val="24"/>
          <w:szCs w:val="24"/>
        </w:rPr>
        <w:t>preclude</w:t>
      </w:r>
      <w:r w:rsidR="00964CE5" w:rsidRPr="0032528B">
        <w:rPr>
          <w:rFonts w:ascii="Times New Roman" w:hAnsi="Times New Roman" w:cs="Times New Roman"/>
          <w:color w:val="231F20"/>
          <w:sz w:val="24"/>
          <w:szCs w:val="24"/>
        </w:rPr>
        <w:t xml:space="preserve"> the decision to prosecute and is not accepted</w:t>
      </w:r>
      <w:r w:rsidR="00423CA5" w:rsidRPr="0032528B">
        <w:rPr>
          <w:rFonts w:ascii="Times New Roman" w:hAnsi="Times New Roman" w:cs="Times New Roman"/>
          <w:color w:val="231F20"/>
          <w:sz w:val="24"/>
          <w:szCs w:val="24"/>
        </w:rPr>
        <w:t xml:space="preserve"> in defence</w:t>
      </w:r>
      <w:r w:rsidR="00964CE5" w:rsidRPr="0032528B">
        <w:rPr>
          <w:rFonts w:ascii="Times New Roman" w:hAnsi="Times New Roman" w:cs="Times New Roman"/>
          <w:color w:val="231F20"/>
          <w:sz w:val="24"/>
          <w:szCs w:val="24"/>
        </w:rPr>
        <w:t xml:space="preserve">, it will </w:t>
      </w:r>
      <w:r w:rsidR="000614A8" w:rsidRPr="0032528B">
        <w:rPr>
          <w:rFonts w:ascii="Times New Roman" w:hAnsi="Times New Roman" w:cs="Times New Roman"/>
          <w:color w:val="231F20"/>
          <w:sz w:val="24"/>
          <w:szCs w:val="24"/>
        </w:rPr>
        <w:t>still be relevant to mitigation</w:t>
      </w:r>
      <w:r w:rsidR="00E605B3">
        <w:rPr>
          <w:rFonts w:ascii="Times New Roman" w:hAnsi="Times New Roman" w:cs="Times New Roman"/>
          <w:color w:val="231F20"/>
          <w:sz w:val="24"/>
          <w:szCs w:val="24"/>
        </w:rPr>
        <w:t xml:space="preserve"> and thus have a bearing on sentence</w:t>
      </w:r>
      <w:r w:rsidR="000614A8" w:rsidRPr="0032528B">
        <w:rPr>
          <w:rFonts w:ascii="Times New Roman" w:hAnsi="Times New Roman" w:cs="Times New Roman"/>
          <w:color w:val="231F20"/>
          <w:sz w:val="24"/>
          <w:szCs w:val="24"/>
        </w:rPr>
        <w:t>.</w:t>
      </w:r>
    </w:p>
    <w:p w:rsidR="003C0812" w:rsidRPr="0032528B" w:rsidRDefault="003C0812" w:rsidP="002209C2">
      <w:pPr>
        <w:pStyle w:val="ListParagraph"/>
        <w:ind w:left="0"/>
        <w:rPr>
          <w:rFonts w:ascii="Times New Roman" w:hAnsi="Times New Roman" w:cs="Times New Roman"/>
          <w:color w:val="1A1A1A"/>
          <w:sz w:val="24"/>
          <w:szCs w:val="24"/>
          <w:shd w:val="clear" w:color="auto" w:fill="FFFFFF"/>
        </w:rPr>
      </w:pPr>
    </w:p>
    <w:p w:rsidR="009574CB" w:rsidRPr="006B735E" w:rsidRDefault="003C0812" w:rsidP="00230A6C">
      <w:pPr>
        <w:pStyle w:val="ListParagraph"/>
        <w:ind w:left="0"/>
        <w:rPr>
          <w:rFonts w:ascii="Times New Roman" w:hAnsi="Times New Roman" w:cs="Times New Roman"/>
          <w:sz w:val="24"/>
          <w:szCs w:val="24"/>
          <w:shd w:val="clear" w:color="auto" w:fill="FFFFFF"/>
        </w:rPr>
      </w:pPr>
      <w:r w:rsidRPr="0032528B">
        <w:rPr>
          <w:rFonts w:ascii="Times New Roman" w:hAnsi="Times New Roman" w:cs="Times New Roman"/>
          <w:color w:val="1A1A1A"/>
          <w:sz w:val="24"/>
          <w:szCs w:val="24"/>
          <w:shd w:val="clear" w:color="auto" w:fill="FFFFFF"/>
        </w:rPr>
        <w:t xml:space="preserve">Regarding </w:t>
      </w:r>
      <w:r w:rsidR="00F222B1" w:rsidRPr="0032528B">
        <w:rPr>
          <w:rFonts w:ascii="Times New Roman" w:hAnsi="Times New Roman" w:cs="Times New Roman"/>
          <w:color w:val="1A1A1A"/>
          <w:sz w:val="24"/>
          <w:szCs w:val="24"/>
          <w:shd w:val="clear" w:color="auto" w:fill="FFFFFF"/>
        </w:rPr>
        <w:t xml:space="preserve">the method of </w:t>
      </w:r>
      <w:r w:rsidRPr="0032528B">
        <w:rPr>
          <w:rFonts w:ascii="Times New Roman" w:hAnsi="Times New Roman" w:cs="Times New Roman"/>
          <w:color w:val="1A1A1A"/>
          <w:sz w:val="24"/>
          <w:szCs w:val="24"/>
          <w:shd w:val="clear" w:color="auto" w:fill="FFFFFF"/>
        </w:rPr>
        <w:t xml:space="preserve">trial, it has been </w:t>
      </w:r>
      <w:r w:rsidR="00CC1E8C" w:rsidRPr="0032528B">
        <w:rPr>
          <w:rFonts w:ascii="Times New Roman" w:hAnsi="Times New Roman" w:cs="Times New Roman"/>
          <w:color w:val="1A1A1A"/>
          <w:sz w:val="24"/>
          <w:szCs w:val="24"/>
          <w:shd w:val="clear" w:color="auto" w:fill="FFFFFF"/>
        </w:rPr>
        <w:t>suggested</w:t>
      </w:r>
      <w:r w:rsidR="002209C2" w:rsidRPr="0032528B">
        <w:rPr>
          <w:rFonts w:ascii="Times New Roman" w:hAnsi="Times New Roman" w:cs="Times New Roman"/>
          <w:color w:val="1A1A1A"/>
          <w:sz w:val="24"/>
          <w:szCs w:val="24"/>
          <w:shd w:val="clear" w:color="auto" w:fill="FFFFFF"/>
        </w:rPr>
        <w:t xml:space="preserve"> </w:t>
      </w:r>
      <w:r w:rsidRPr="0032528B">
        <w:rPr>
          <w:rFonts w:ascii="Times New Roman" w:hAnsi="Times New Roman" w:cs="Times New Roman"/>
          <w:color w:val="1A1A1A"/>
          <w:sz w:val="24"/>
          <w:szCs w:val="24"/>
          <w:shd w:val="clear" w:color="auto" w:fill="FFFFFF"/>
        </w:rPr>
        <w:t xml:space="preserve">that </w:t>
      </w:r>
      <w:r w:rsidR="00F222B1" w:rsidRPr="0032528B">
        <w:rPr>
          <w:rFonts w:ascii="Times New Roman" w:hAnsi="Times New Roman" w:cs="Times New Roman"/>
          <w:color w:val="1A1A1A"/>
          <w:sz w:val="24"/>
          <w:szCs w:val="24"/>
          <w:shd w:val="clear" w:color="auto" w:fill="FFFFFF"/>
        </w:rPr>
        <w:t xml:space="preserve">there are </w:t>
      </w:r>
      <w:r w:rsidR="002209C2" w:rsidRPr="0032528B">
        <w:rPr>
          <w:rFonts w:ascii="Times New Roman" w:hAnsi="Times New Roman" w:cs="Times New Roman"/>
          <w:color w:val="1A1A1A"/>
          <w:sz w:val="24"/>
          <w:szCs w:val="24"/>
          <w:shd w:val="clear" w:color="auto" w:fill="FFFFFF"/>
        </w:rPr>
        <w:t xml:space="preserve">likely </w:t>
      </w:r>
      <w:r w:rsidR="00F222B1" w:rsidRPr="0032528B">
        <w:rPr>
          <w:rFonts w:ascii="Times New Roman" w:hAnsi="Times New Roman" w:cs="Times New Roman"/>
          <w:color w:val="1A1A1A"/>
          <w:sz w:val="24"/>
          <w:szCs w:val="24"/>
          <w:shd w:val="clear" w:color="auto" w:fill="FFFFFF"/>
        </w:rPr>
        <w:t xml:space="preserve">to be </w:t>
      </w:r>
      <w:r w:rsidR="002209C2" w:rsidRPr="0032528B">
        <w:rPr>
          <w:rFonts w:ascii="Times New Roman" w:hAnsi="Times New Roman" w:cs="Times New Roman"/>
          <w:color w:val="1A1A1A"/>
          <w:sz w:val="24"/>
          <w:szCs w:val="24"/>
          <w:shd w:val="clear" w:color="auto" w:fill="FFFFFF"/>
        </w:rPr>
        <w:t>difficulties in empanelling an impartial jury given the widespread reporting of Inquiry outcomes</w:t>
      </w:r>
      <w:r w:rsidR="00F222B1" w:rsidRPr="0032528B">
        <w:rPr>
          <w:rFonts w:ascii="Times New Roman" w:hAnsi="Times New Roman" w:cs="Times New Roman"/>
          <w:color w:val="1A1A1A"/>
          <w:sz w:val="24"/>
          <w:szCs w:val="24"/>
          <w:shd w:val="clear" w:color="auto" w:fill="FFFFFF"/>
        </w:rPr>
        <w:t xml:space="preserve">, which </w:t>
      </w:r>
      <w:r w:rsidR="002209C2" w:rsidRPr="0032528B">
        <w:rPr>
          <w:rFonts w:ascii="Times New Roman" w:hAnsi="Times New Roman" w:cs="Times New Roman"/>
          <w:color w:val="1A1A1A"/>
          <w:sz w:val="24"/>
          <w:szCs w:val="24"/>
          <w:shd w:val="clear" w:color="auto" w:fill="FFFFFF"/>
        </w:rPr>
        <w:t>may mean</w:t>
      </w:r>
      <w:r w:rsidR="00855FD7" w:rsidRPr="0032528B">
        <w:rPr>
          <w:rFonts w:ascii="Times New Roman" w:hAnsi="Times New Roman" w:cs="Times New Roman"/>
          <w:color w:val="1A1A1A"/>
          <w:sz w:val="24"/>
          <w:szCs w:val="24"/>
          <w:shd w:val="clear" w:color="auto" w:fill="FFFFFF"/>
        </w:rPr>
        <w:t xml:space="preserve"> cases will need to be </w:t>
      </w:r>
      <w:hyperlink r:id="rId17" w:history="1">
        <w:r w:rsidR="00855FD7" w:rsidRPr="0032528B">
          <w:rPr>
            <w:rStyle w:val="Hyperlink"/>
            <w:rFonts w:ascii="Times New Roman" w:hAnsi="Times New Roman" w:cs="Times New Roman"/>
            <w:sz w:val="24"/>
            <w:szCs w:val="24"/>
            <w:shd w:val="clear" w:color="auto" w:fill="FFFFFF"/>
          </w:rPr>
          <w:t>heard before a single judge</w:t>
        </w:r>
      </w:hyperlink>
      <w:r w:rsidR="00855FD7" w:rsidRPr="0032528B">
        <w:rPr>
          <w:rFonts w:ascii="Times New Roman" w:hAnsi="Times New Roman" w:cs="Times New Roman"/>
          <w:color w:val="1A1A1A"/>
          <w:sz w:val="24"/>
          <w:szCs w:val="24"/>
          <w:shd w:val="clear" w:color="auto" w:fill="FFFFFF"/>
        </w:rPr>
        <w:t>.</w:t>
      </w:r>
      <w:r w:rsidR="002209C2" w:rsidRPr="0032528B">
        <w:rPr>
          <w:rFonts w:ascii="Times New Roman" w:hAnsi="Times New Roman" w:cs="Times New Roman"/>
          <w:color w:val="1A1A1A"/>
          <w:sz w:val="24"/>
          <w:szCs w:val="24"/>
          <w:shd w:val="clear" w:color="auto" w:fill="FFFFFF"/>
        </w:rPr>
        <w:t xml:space="preserve"> This would be despite the Report’s recommendation that trials be before a jury in regular criminal courts</w:t>
      </w:r>
      <w:r w:rsidR="00B63F4F" w:rsidRPr="0032528B">
        <w:rPr>
          <w:rFonts w:ascii="Times New Roman" w:hAnsi="Times New Roman" w:cs="Times New Roman"/>
          <w:color w:val="1A1A1A"/>
          <w:sz w:val="24"/>
          <w:szCs w:val="24"/>
          <w:shd w:val="clear" w:color="auto" w:fill="FFFFFF"/>
        </w:rPr>
        <w:t xml:space="preserve"> (</w:t>
      </w:r>
      <w:r w:rsidR="00B63F4F" w:rsidRPr="0032528B">
        <w:rPr>
          <w:rFonts w:ascii="Times New Roman" w:hAnsi="Times New Roman" w:cs="Times New Roman"/>
          <w:sz w:val="24"/>
          <w:szCs w:val="24"/>
        </w:rPr>
        <w:t>para 74 of Chapter 1.01)</w:t>
      </w:r>
      <w:r w:rsidR="002209C2" w:rsidRPr="0032528B">
        <w:rPr>
          <w:rFonts w:ascii="Times New Roman" w:hAnsi="Times New Roman" w:cs="Times New Roman"/>
          <w:color w:val="1A1A1A"/>
          <w:sz w:val="24"/>
          <w:szCs w:val="24"/>
          <w:shd w:val="clear" w:color="auto" w:fill="FFFFFF"/>
        </w:rPr>
        <w:t xml:space="preserve">. </w:t>
      </w:r>
      <w:r w:rsidR="00855FD7" w:rsidRPr="0032528B">
        <w:rPr>
          <w:rFonts w:ascii="Times New Roman" w:hAnsi="Times New Roman" w:cs="Times New Roman"/>
          <w:color w:val="1A1A1A"/>
          <w:sz w:val="24"/>
          <w:szCs w:val="24"/>
          <w:shd w:val="clear" w:color="auto" w:fill="FFFFFF"/>
        </w:rPr>
        <w:t>T</w:t>
      </w:r>
      <w:r w:rsidR="002209C2" w:rsidRPr="0032528B">
        <w:rPr>
          <w:rFonts w:ascii="Times New Roman" w:hAnsi="Times New Roman" w:cs="Times New Roman"/>
          <w:color w:val="1A1A1A"/>
          <w:sz w:val="24"/>
          <w:szCs w:val="24"/>
          <w:shd w:val="clear" w:color="auto" w:fill="FFFFFF"/>
        </w:rPr>
        <w:t xml:space="preserve">he preparation of cases for trial is likely to take </w:t>
      </w:r>
      <w:r w:rsidR="00826257" w:rsidRPr="0032528B">
        <w:rPr>
          <w:rFonts w:ascii="Times New Roman" w:hAnsi="Times New Roman" w:cs="Times New Roman"/>
          <w:color w:val="1A1A1A"/>
          <w:sz w:val="24"/>
          <w:szCs w:val="24"/>
          <w:shd w:val="clear" w:color="auto" w:fill="FFFFFF"/>
        </w:rPr>
        <w:t xml:space="preserve">time </w:t>
      </w:r>
      <w:r w:rsidR="002209C2" w:rsidRPr="0032528B">
        <w:rPr>
          <w:rFonts w:ascii="Times New Roman" w:hAnsi="Times New Roman" w:cs="Times New Roman"/>
          <w:color w:val="1A1A1A"/>
          <w:sz w:val="24"/>
          <w:szCs w:val="24"/>
          <w:shd w:val="clear" w:color="auto" w:fill="FFFFFF"/>
        </w:rPr>
        <w:t>even in the most straightforward cases, which might lessen some of the potential risks from media saturation. Even so, t</w:t>
      </w:r>
      <w:r w:rsidR="002209C2" w:rsidRPr="0032528B">
        <w:rPr>
          <w:rFonts w:ascii="Times New Roman" w:hAnsi="Times New Roman" w:cs="Times New Roman"/>
          <w:sz w:val="24"/>
          <w:szCs w:val="24"/>
          <w:shd w:val="clear" w:color="auto" w:fill="FFFFFF"/>
        </w:rPr>
        <w:t>he highly classified nature of SASR operations means it is most unlikely that trials will be open – the</w:t>
      </w:r>
      <w:r w:rsidR="00855FD7" w:rsidRPr="0032528B">
        <w:rPr>
          <w:rFonts w:ascii="Times New Roman" w:hAnsi="Times New Roman" w:cs="Times New Roman"/>
          <w:sz w:val="24"/>
          <w:szCs w:val="24"/>
          <w:shd w:val="clear" w:color="auto" w:fill="FFFFFF"/>
        </w:rPr>
        <w:t xml:space="preserve"> </w:t>
      </w:r>
      <w:hyperlink r:id="rId18" w:history="1">
        <w:r w:rsidR="00855FD7" w:rsidRPr="0032528B">
          <w:rPr>
            <w:rStyle w:val="Hyperlink"/>
            <w:rFonts w:ascii="Times New Roman" w:hAnsi="Times New Roman" w:cs="Times New Roman"/>
            <w:sz w:val="24"/>
            <w:szCs w:val="24"/>
            <w:shd w:val="clear" w:color="auto" w:fill="FFFFFF"/>
          </w:rPr>
          <w:t>Attorney General invoked</w:t>
        </w:r>
      </w:hyperlink>
      <w:r w:rsidR="00855FD7" w:rsidRPr="0032528B">
        <w:rPr>
          <w:rFonts w:ascii="Times New Roman" w:hAnsi="Times New Roman" w:cs="Times New Roman"/>
          <w:sz w:val="24"/>
          <w:szCs w:val="24"/>
          <w:shd w:val="clear" w:color="auto" w:fill="FFFFFF"/>
        </w:rPr>
        <w:t xml:space="preserve"> the </w:t>
      </w:r>
      <w:r w:rsidR="00855FD7" w:rsidRPr="0032528B">
        <w:rPr>
          <w:rFonts w:ascii="Times New Roman" w:hAnsi="Times New Roman" w:cs="Times New Roman"/>
          <w:i/>
          <w:sz w:val="24"/>
          <w:szCs w:val="24"/>
          <w:shd w:val="clear" w:color="auto" w:fill="FFFFFF"/>
        </w:rPr>
        <w:t xml:space="preserve">National Security Information (Criminal and Civil Proceedings) Act </w:t>
      </w:r>
      <w:r w:rsidR="00855FD7" w:rsidRPr="0032528B">
        <w:rPr>
          <w:rFonts w:ascii="Times New Roman" w:hAnsi="Times New Roman" w:cs="Times New Roman"/>
          <w:sz w:val="24"/>
          <w:szCs w:val="24"/>
          <w:shd w:val="clear" w:color="auto" w:fill="FFFFFF"/>
        </w:rPr>
        <w:t>2004</w:t>
      </w:r>
      <w:r w:rsidR="002209C2" w:rsidRPr="0032528B">
        <w:rPr>
          <w:rFonts w:ascii="Times New Roman" w:hAnsi="Times New Roman" w:cs="Times New Roman"/>
          <w:sz w:val="24"/>
          <w:szCs w:val="24"/>
          <w:shd w:val="clear" w:color="auto" w:fill="FFFFFF"/>
        </w:rPr>
        <w:t xml:space="preserve"> to ensure that the Roberts-Smith defamation trial be held behind closed doors and that documents be publicly withheld. A controversial use of this legislation to quash the release of any information regarding the 2018 charging, trial, conviction and jailing of a military intelligence officer known only as ‘Witness J’ </w:t>
      </w:r>
      <w:r w:rsidR="00321E63" w:rsidRPr="0032528B">
        <w:rPr>
          <w:rFonts w:ascii="Times New Roman" w:hAnsi="Times New Roman" w:cs="Times New Roman"/>
          <w:sz w:val="24"/>
          <w:szCs w:val="24"/>
          <w:shd w:val="clear" w:color="auto" w:fill="FFFFFF"/>
        </w:rPr>
        <w:t>was</w:t>
      </w:r>
      <w:r w:rsidR="002209C2" w:rsidRPr="0032528B">
        <w:rPr>
          <w:rFonts w:ascii="Times New Roman" w:hAnsi="Times New Roman" w:cs="Times New Roman"/>
          <w:sz w:val="24"/>
          <w:szCs w:val="24"/>
          <w:shd w:val="clear" w:color="auto" w:fill="FFFFFF"/>
        </w:rPr>
        <w:t xml:space="preserve"> </w:t>
      </w:r>
      <w:hyperlink r:id="rId19" w:history="1">
        <w:r w:rsidR="002209C2" w:rsidRPr="0032528B">
          <w:rPr>
            <w:rStyle w:val="Hyperlink"/>
            <w:rFonts w:ascii="Times New Roman" w:hAnsi="Times New Roman" w:cs="Times New Roman"/>
            <w:sz w:val="24"/>
            <w:szCs w:val="24"/>
            <w:shd w:val="clear" w:color="auto" w:fill="FFFFFF"/>
          </w:rPr>
          <w:t>described by the Independent National Security Legislation Monitor</w:t>
        </w:r>
      </w:hyperlink>
      <w:r w:rsidR="002209C2" w:rsidRPr="0032528B">
        <w:rPr>
          <w:rFonts w:ascii="Times New Roman" w:hAnsi="Times New Roman" w:cs="Times New Roman"/>
          <w:sz w:val="24"/>
          <w:szCs w:val="24"/>
          <w:shd w:val="clear" w:color="auto" w:fill="FFFFFF"/>
        </w:rPr>
        <w:t xml:space="preserve"> (Dr James Renwick) as “unprecedented” and something he would “not like to see … repeated”.  Following these two precedents, it is </w:t>
      </w:r>
      <w:r w:rsidR="00321E63" w:rsidRPr="0032528B">
        <w:rPr>
          <w:rFonts w:ascii="Times New Roman" w:hAnsi="Times New Roman" w:cs="Times New Roman"/>
          <w:sz w:val="24"/>
          <w:szCs w:val="24"/>
          <w:shd w:val="clear" w:color="auto" w:fill="FFFFFF"/>
        </w:rPr>
        <w:t>possible</w:t>
      </w:r>
      <w:r w:rsidR="002209C2" w:rsidRPr="0032528B">
        <w:rPr>
          <w:rFonts w:ascii="Times New Roman" w:hAnsi="Times New Roman" w:cs="Times New Roman"/>
          <w:sz w:val="24"/>
          <w:szCs w:val="24"/>
          <w:shd w:val="clear" w:color="auto" w:fill="FFFFFF"/>
        </w:rPr>
        <w:t xml:space="preserve"> that war crimes prosecutions </w:t>
      </w:r>
      <w:r w:rsidR="00321E63" w:rsidRPr="0032528B">
        <w:rPr>
          <w:rFonts w:ascii="Times New Roman" w:hAnsi="Times New Roman" w:cs="Times New Roman"/>
          <w:sz w:val="24"/>
          <w:szCs w:val="24"/>
          <w:shd w:val="clear" w:color="auto" w:fill="FFFFFF"/>
        </w:rPr>
        <w:t>will</w:t>
      </w:r>
      <w:r w:rsidR="002209C2" w:rsidRPr="0032528B">
        <w:rPr>
          <w:rFonts w:ascii="Times New Roman" w:hAnsi="Times New Roman" w:cs="Times New Roman"/>
          <w:sz w:val="24"/>
          <w:szCs w:val="24"/>
          <w:shd w:val="clear" w:color="auto" w:fill="FFFFFF"/>
        </w:rPr>
        <w:t xml:space="preserve"> </w:t>
      </w:r>
      <w:r w:rsidR="00321E63" w:rsidRPr="0032528B">
        <w:rPr>
          <w:rFonts w:ascii="Times New Roman" w:hAnsi="Times New Roman" w:cs="Times New Roman"/>
          <w:sz w:val="24"/>
          <w:szCs w:val="24"/>
          <w:shd w:val="clear" w:color="auto" w:fill="FFFFFF"/>
        </w:rPr>
        <w:t>also be</w:t>
      </w:r>
      <w:r w:rsidR="002209C2" w:rsidRPr="0032528B">
        <w:rPr>
          <w:rFonts w:ascii="Times New Roman" w:hAnsi="Times New Roman" w:cs="Times New Roman"/>
          <w:sz w:val="24"/>
          <w:szCs w:val="24"/>
          <w:shd w:val="clear" w:color="auto" w:fill="FFFFFF"/>
        </w:rPr>
        <w:t xml:space="preserve"> gagged, although whether to the extent of the ‘Witness J’ case </w:t>
      </w:r>
      <w:r w:rsidR="00321E63" w:rsidRPr="0032528B">
        <w:rPr>
          <w:rFonts w:ascii="Times New Roman" w:hAnsi="Times New Roman" w:cs="Times New Roman"/>
          <w:sz w:val="24"/>
          <w:szCs w:val="24"/>
          <w:shd w:val="clear" w:color="auto" w:fill="FFFFFF"/>
        </w:rPr>
        <w:t>(</w:t>
      </w:r>
      <w:r w:rsidR="002209C2" w:rsidRPr="0032528B">
        <w:rPr>
          <w:rFonts w:ascii="Times New Roman" w:hAnsi="Times New Roman" w:cs="Times New Roman"/>
          <w:sz w:val="24"/>
          <w:szCs w:val="24"/>
          <w:shd w:val="clear" w:color="auto" w:fill="FFFFFF"/>
        </w:rPr>
        <w:t>where not even a name was revealed</w:t>
      </w:r>
      <w:r w:rsidR="00321E63" w:rsidRPr="0032528B">
        <w:rPr>
          <w:rFonts w:ascii="Times New Roman" w:hAnsi="Times New Roman" w:cs="Times New Roman"/>
          <w:sz w:val="24"/>
          <w:szCs w:val="24"/>
          <w:shd w:val="clear" w:color="auto" w:fill="FFFFFF"/>
        </w:rPr>
        <w:t>)</w:t>
      </w:r>
      <w:r w:rsidR="002209C2" w:rsidRPr="0032528B">
        <w:rPr>
          <w:rFonts w:ascii="Times New Roman" w:hAnsi="Times New Roman" w:cs="Times New Roman"/>
          <w:sz w:val="24"/>
          <w:szCs w:val="24"/>
          <w:shd w:val="clear" w:color="auto" w:fill="FFFFFF"/>
        </w:rPr>
        <w:t xml:space="preserve"> is uncertain. This </w:t>
      </w:r>
      <w:r w:rsidR="00112F44" w:rsidRPr="0032528B">
        <w:rPr>
          <w:rFonts w:ascii="Times New Roman" w:hAnsi="Times New Roman" w:cs="Times New Roman"/>
          <w:sz w:val="24"/>
          <w:szCs w:val="24"/>
          <w:shd w:val="clear" w:color="auto" w:fill="FFFFFF"/>
        </w:rPr>
        <w:t>would</w:t>
      </w:r>
      <w:r w:rsidR="002209C2" w:rsidRPr="0032528B">
        <w:rPr>
          <w:rFonts w:ascii="Times New Roman" w:hAnsi="Times New Roman" w:cs="Times New Roman"/>
          <w:sz w:val="24"/>
          <w:szCs w:val="24"/>
          <w:shd w:val="clear" w:color="auto" w:fill="FFFFFF"/>
        </w:rPr>
        <w:t xml:space="preserve"> be devastating in terms of public accountability and the principle of open justice. </w:t>
      </w:r>
    </w:p>
    <w:p w:rsidR="006B735E" w:rsidRPr="0032528B" w:rsidRDefault="006B735E" w:rsidP="006B735E">
      <w:pPr>
        <w:pStyle w:val="css-38z03z"/>
        <w:shd w:val="clear" w:color="auto" w:fill="FFFFFF"/>
        <w:spacing w:before="0" w:beforeAutospacing="0" w:after="240" w:afterAutospacing="0"/>
        <w:jc w:val="both"/>
        <w:textAlignment w:val="baseline"/>
        <w:rPr>
          <w:shd w:val="clear" w:color="auto" w:fill="FFFFFF"/>
        </w:rPr>
      </w:pPr>
      <w:r>
        <w:rPr>
          <w:shd w:val="clear" w:color="auto" w:fill="FFFFFF"/>
        </w:rPr>
        <w:t xml:space="preserve">Moreover, the decision to prosecute is not only a legal one. Section </w:t>
      </w:r>
      <w:r w:rsidRPr="0032528B">
        <w:rPr>
          <w:shd w:val="clear" w:color="auto" w:fill="FFFFFF"/>
        </w:rPr>
        <w:t xml:space="preserve">268.121(1) of the </w:t>
      </w:r>
      <w:r w:rsidRPr="00E605B3">
        <w:rPr>
          <w:i/>
          <w:shd w:val="clear" w:color="auto" w:fill="FFFFFF"/>
        </w:rPr>
        <w:t>Criminal Code Act</w:t>
      </w:r>
      <w:r w:rsidRPr="0032528B">
        <w:rPr>
          <w:shd w:val="clear" w:color="auto" w:fill="FFFFFF"/>
        </w:rPr>
        <w:t xml:space="preserve"> 1995 (</w:t>
      </w:r>
      <w:proofErr w:type="spellStart"/>
      <w:r w:rsidRPr="0032528B">
        <w:rPr>
          <w:shd w:val="clear" w:color="auto" w:fill="FFFFFF"/>
        </w:rPr>
        <w:t>Cth</w:t>
      </w:r>
      <w:proofErr w:type="spellEnd"/>
      <w:r w:rsidRPr="0032528B">
        <w:rPr>
          <w:shd w:val="clear" w:color="auto" w:fill="FFFFFF"/>
        </w:rPr>
        <w:t>) provides that prosecution</w:t>
      </w:r>
      <w:r>
        <w:rPr>
          <w:shd w:val="clear" w:color="auto" w:fill="FFFFFF"/>
        </w:rPr>
        <w:t>s</w:t>
      </w:r>
      <w:r w:rsidRPr="0032528B">
        <w:rPr>
          <w:shd w:val="clear" w:color="auto" w:fill="FFFFFF"/>
        </w:rPr>
        <w:t xml:space="preserve"> under </w:t>
      </w:r>
      <w:proofErr w:type="spellStart"/>
      <w:r w:rsidRPr="0032528B">
        <w:rPr>
          <w:shd w:val="clear" w:color="auto" w:fill="FFFFFF"/>
        </w:rPr>
        <w:t>Div</w:t>
      </w:r>
      <w:proofErr w:type="spellEnd"/>
      <w:r w:rsidRPr="0032528B">
        <w:rPr>
          <w:shd w:val="clear" w:color="auto" w:fill="FFFFFF"/>
        </w:rPr>
        <w:t xml:space="preserve"> 268 require the approval of the Attorney-General</w:t>
      </w:r>
      <w:r>
        <w:rPr>
          <w:shd w:val="clear" w:color="auto" w:fill="FFFFFF"/>
        </w:rPr>
        <w:t>. Additionally</w:t>
      </w:r>
      <w:r w:rsidRPr="0032528B">
        <w:rPr>
          <w:shd w:val="clear" w:color="auto" w:fill="FFFFFF"/>
        </w:rPr>
        <w:t xml:space="preserve">, s268.122 renders </w:t>
      </w:r>
      <w:r>
        <w:rPr>
          <w:shd w:val="clear" w:color="auto" w:fill="FFFFFF"/>
        </w:rPr>
        <w:t>the Minister’s</w:t>
      </w:r>
      <w:r w:rsidRPr="0032528B">
        <w:rPr>
          <w:shd w:val="clear" w:color="auto" w:fill="FFFFFF"/>
        </w:rPr>
        <w:t xml:space="preserve"> decision immune to challenge. Should the Attorney-General decline to give approval, there are no prospects for Afghan victims or other private individuals to bring prosecutions instead; in </w:t>
      </w:r>
      <w:r w:rsidRPr="0032528B">
        <w:rPr>
          <w:i/>
        </w:rPr>
        <w:t>Taylor v Attorney-General (</w:t>
      </w:r>
      <w:proofErr w:type="spellStart"/>
      <w:r w:rsidRPr="0032528B">
        <w:rPr>
          <w:i/>
        </w:rPr>
        <w:t>Cth</w:t>
      </w:r>
      <w:proofErr w:type="spellEnd"/>
      <w:r w:rsidRPr="0032528B">
        <w:rPr>
          <w:i/>
        </w:rPr>
        <w:t>)</w:t>
      </w:r>
      <w:r w:rsidRPr="0032528B">
        <w:t xml:space="preserve"> [2019] HCA 30, a narrow High Court majority rejected the possibility of s13(a) of the </w:t>
      </w:r>
      <w:r w:rsidRPr="0032528B">
        <w:rPr>
          <w:i/>
        </w:rPr>
        <w:t>Crimes Act</w:t>
      </w:r>
      <w:r w:rsidRPr="0032528B">
        <w:t xml:space="preserve"> 1914 (</w:t>
      </w:r>
      <w:proofErr w:type="spellStart"/>
      <w:r w:rsidRPr="0032528B">
        <w:t>Cth</w:t>
      </w:r>
      <w:proofErr w:type="spellEnd"/>
      <w:r w:rsidRPr="0032528B">
        <w:t xml:space="preserve">) being used by a private individual to launch a prosecution under </w:t>
      </w:r>
      <w:proofErr w:type="spellStart"/>
      <w:r w:rsidRPr="0032528B">
        <w:t>Div</w:t>
      </w:r>
      <w:proofErr w:type="spellEnd"/>
      <w:r w:rsidRPr="0032528B">
        <w:t xml:space="preserve"> 268. This was despite </w:t>
      </w:r>
      <w:r w:rsidRPr="0032528B">
        <w:rPr>
          <w:color w:val="1A1A1A"/>
          <w:shd w:val="clear" w:color="auto" w:fill="FFFFFF"/>
        </w:rPr>
        <w:t>Lord Wilberforce’s observation in </w:t>
      </w:r>
      <w:proofErr w:type="spellStart"/>
      <w:r w:rsidRPr="0032528B">
        <w:rPr>
          <w:rStyle w:val="Emphasis"/>
          <w:color w:val="1A1A1A"/>
          <w:shd w:val="clear" w:color="auto" w:fill="FFFFFF"/>
        </w:rPr>
        <w:t>Gouriet</w:t>
      </w:r>
      <w:proofErr w:type="spellEnd"/>
      <w:r w:rsidRPr="0032528B">
        <w:rPr>
          <w:rStyle w:val="Emphasis"/>
          <w:color w:val="1A1A1A"/>
          <w:shd w:val="clear" w:color="auto" w:fill="FFFFFF"/>
        </w:rPr>
        <w:t xml:space="preserve"> v Union of Post Office Workers </w:t>
      </w:r>
      <w:r w:rsidRPr="0032528B">
        <w:rPr>
          <w:color w:val="1A1A1A"/>
          <w:shd w:val="clear" w:color="auto" w:fill="FFFFFF"/>
        </w:rPr>
        <w:t>[1978] AC 435</w:t>
      </w:r>
      <w:r w:rsidRPr="0032528B">
        <w:rPr>
          <w:i/>
          <w:color w:val="1A1A1A"/>
          <w:shd w:val="clear" w:color="auto" w:fill="FFFFFF"/>
        </w:rPr>
        <w:t xml:space="preserve"> </w:t>
      </w:r>
      <w:r w:rsidRPr="0032528B">
        <w:rPr>
          <w:color w:val="1A1A1A"/>
          <w:shd w:val="clear" w:color="auto" w:fill="FFFFFF"/>
        </w:rPr>
        <w:t xml:space="preserve">that private prosecutions ‘remain a valuable constitutional safeguard against inertia or partiality’ (at 437). The decision in </w:t>
      </w:r>
      <w:r w:rsidRPr="0032528B">
        <w:rPr>
          <w:i/>
          <w:color w:val="1A1A1A"/>
          <w:shd w:val="clear" w:color="auto" w:fill="FFFFFF"/>
        </w:rPr>
        <w:t>Taylor</w:t>
      </w:r>
      <w:r w:rsidRPr="0032528B">
        <w:rPr>
          <w:color w:val="1A1A1A"/>
          <w:shd w:val="clear" w:color="auto" w:fill="FFFFFF"/>
        </w:rPr>
        <w:t xml:space="preserve"> has</w:t>
      </w:r>
      <w:r>
        <w:rPr>
          <w:color w:val="1A1A1A"/>
          <w:shd w:val="clear" w:color="auto" w:fill="FFFFFF"/>
        </w:rPr>
        <w:t xml:space="preserve"> </w:t>
      </w:r>
      <w:r w:rsidR="003559C1">
        <w:rPr>
          <w:color w:val="1A1A1A"/>
          <w:shd w:val="clear" w:color="auto" w:fill="FFFFFF"/>
        </w:rPr>
        <w:t>therefore</w:t>
      </w:r>
      <w:r w:rsidRPr="0032528B">
        <w:rPr>
          <w:color w:val="1A1A1A"/>
          <w:shd w:val="clear" w:color="auto" w:fill="FFFFFF"/>
        </w:rPr>
        <w:t xml:space="preserve"> </w:t>
      </w:r>
      <w:r>
        <w:rPr>
          <w:color w:val="1A1A1A"/>
          <w:shd w:val="clear" w:color="auto" w:fill="FFFFFF"/>
        </w:rPr>
        <w:t xml:space="preserve">just </w:t>
      </w:r>
      <w:r w:rsidRPr="0032528B">
        <w:rPr>
          <w:color w:val="1A1A1A"/>
          <w:shd w:val="clear" w:color="auto" w:fill="FFFFFF"/>
        </w:rPr>
        <w:t xml:space="preserve">closed off an important means for counteracting Australia’s long-standing </w:t>
      </w:r>
      <w:hyperlink r:id="rId20" w:history="1">
        <w:r w:rsidRPr="0032528B">
          <w:rPr>
            <w:rStyle w:val="Hyperlink"/>
            <w:shd w:val="clear" w:color="auto" w:fill="FFFFFF"/>
          </w:rPr>
          <w:t>passivity in investigating and prosecuting international crimes</w:t>
        </w:r>
      </w:hyperlink>
      <w:r w:rsidRPr="0032528B">
        <w:rPr>
          <w:color w:val="1A1A1A"/>
          <w:shd w:val="clear" w:color="auto" w:fill="FFFFFF"/>
        </w:rPr>
        <w:t xml:space="preserve">. </w:t>
      </w:r>
    </w:p>
    <w:p w:rsidR="00230A6C" w:rsidRPr="0032528B" w:rsidRDefault="00230A6C" w:rsidP="00230A6C">
      <w:pPr>
        <w:pStyle w:val="ListParagraph"/>
        <w:ind w:left="0"/>
        <w:rPr>
          <w:rFonts w:ascii="Times New Roman" w:hAnsi="Times New Roman" w:cs="Times New Roman"/>
          <w:b/>
          <w:sz w:val="24"/>
          <w:szCs w:val="24"/>
          <w:shd w:val="clear" w:color="auto" w:fill="FFFFFF"/>
        </w:rPr>
      </w:pPr>
      <w:r w:rsidRPr="0032528B">
        <w:rPr>
          <w:rFonts w:ascii="Times New Roman" w:hAnsi="Times New Roman" w:cs="Times New Roman"/>
          <w:b/>
          <w:sz w:val="24"/>
          <w:szCs w:val="24"/>
          <w:shd w:val="clear" w:color="auto" w:fill="FFFFFF"/>
        </w:rPr>
        <w:t>The ICC Dimension</w:t>
      </w:r>
    </w:p>
    <w:p w:rsidR="00230A6C" w:rsidRPr="0032528B" w:rsidRDefault="00230A6C" w:rsidP="00230A6C">
      <w:pPr>
        <w:pStyle w:val="ListParagraph"/>
        <w:ind w:left="0"/>
        <w:rPr>
          <w:rFonts w:ascii="Times New Roman" w:hAnsi="Times New Roman" w:cs="Times New Roman"/>
          <w:sz w:val="24"/>
          <w:szCs w:val="24"/>
          <w:shd w:val="clear" w:color="auto" w:fill="FFFFFF"/>
        </w:rPr>
      </w:pPr>
    </w:p>
    <w:p w:rsidR="00230A6C" w:rsidRPr="0032528B" w:rsidRDefault="00A46ABB" w:rsidP="00230A6C">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Despite the comments above, </w:t>
      </w:r>
      <w:r w:rsidR="007C3225">
        <w:rPr>
          <w:rFonts w:ascii="Times New Roman" w:hAnsi="Times New Roman" w:cs="Times New Roman"/>
          <w:sz w:val="24"/>
          <w:szCs w:val="24"/>
          <w:shd w:val="clear" w:color="auto" w:fill="FFFFFF"/>
        </w:rPr>
        <w:t xml:space="preserve">the </w:t>
      </w:r>
      <w:r w:rsidR="00230A6C" w:rsidRPr="0032528B">
        <w:rPr>
          <w:rFonts w:ascii="Times New Roman" w:hAnsi="Times New Roman" w:cs="Times New Roman"/>
          <w:sz w:val="24"/>
          <w:szCs w:val="24"/>
          <w:shd w:val="clear" w:color="auto" w:fill="FFFFFF"/>
        </w:rPr>
        <w:t>conduct</w:t>
      </w:r>
      <w:r w:rsidR="007C3225">
        <w:rPr>
          <w:rFonts w:ascii="Times New Roman" w:hAnsi="Times New Roman" w:cs="Times New Roman"/>
          <w:sz w:val="24"/>
          <w:szCs w:val="24"/>
          <w:shd w:val="clear" w:color="auto" w:fill="FFFFFF"/>
        </w:rPr>
        <w:t xml:space="preserve"> of</w:t>
      </w:r>
      <w:r w:rsidR="00230A6C" w:rsidRPr="0032528B">
        <w:rPr>
          <w:rFonts w:ascii="Times New Roman" w:hAnsi="Times New Roman" w:cs="Times New Roman"/>
          <w:sz w:val="24"/>
          <w:szCs w:val="24"/>
          <w:shd w:val="clear" w:color="auto" w:fill="FFFFFF"/>
        </w:rPr>
        <w:t xml:space="preserve"> trials in secret (for reason of national security) will not actually violate Australia’s obligations under the Rome Statute </w:t>
      </w:r>
      <w:proofErr w:type="gramStart"/>
      <w:r w:rsidR="00230A6C" w:rsidRPr="0032528B">
        <w:rPr>
          <w:rFonts w:ascii="Times New Roman" w:hAnsi="Times New Roman" w:cs="Times New Roman"/>
          <w:sz w:val="24"/>
          <w:szCs w:val="24"/>
          <w:shd w:val="clear" w:color="auto" w:fill="FFFFFF"/>
        </w:rPr>
        <w:t>as long as</w:t>
      </w:r>
      <w:proofErr w:type="gramEnd"/>
      <w:r w:rsidR="00230A6C" w:rsidRPr="0032528B">
        <w:rPr>
          <w:rFonts w:ascii="Times New Roman" w:hAnsi="Times New Roman" w:cs="Times New Roman"/>
          <w:sz w:val="24"/>
          <w:szCs w:val="24"/>
          <w:shd w:val="clear" w:color="auto" w:fill="FFFFFF"/>
        </w:rPr>
        <w:t xml:space="preserve"> </w:t>
      </w:r>
      <w:r w:rsidR="007C3225">
        <w:rPr>
          <w:rFonts w:ascii="Times New Roman" w:hAnsi="Times New Roman" w:cs="Times New Roman"/>
          <w:sz w:val="24"/>
          <w:szCs w:val="24"/>
          <w:shd w:val="clear" w:color="auto" w:fill="FFFFFF"/>
        </w:rPr>
        <w:t>they</w:t>
      </w:r>
      <w:r w:rsidR="00230A6C" w:rsidRPr="0032528B">
        <w:rPr>
          <w:rFonts w:ascii="Times New Roman" w:hAnsi="Times New Roman" w:cs="Times New Roman"/>
          <w:sz w:val="24"/>
          <w:szCs w:val="24"/>
          <w:shd w:val="clear" w:color="auto" w:fill="FFFFFF"/>
        </w:rPr>
        <w:t xml:space="preserve"> are credible. Failure to meet this requirement (such as conducting ‘sham’ trials </w:t>
      </w:r>
      <w:proofErr w:type="gramStart"/>
      <w:r w:rsidR="00230A6C" w:rsidRPr="0032528B">
        <w:rPr>
          <w:rFonts w:ascii="Times New Roman" w:hAnsi="Times New Roman" w:cs="Times New Roman"/>
          <w:sz w:val="24"/>
          <w:szCs w:val="24"/>
          <w:shd w:val="clear" w:color="auto" w:fill="FFFFFF"/>
        </w:rPr>
        <w:t>for the purpose of</w:t>
      </w:r>
      <w:proofErr w:type="gramEnd"/>
      <w:r w:rsidR="00230A6C" w:rsidRPr="0032528B">
        <w:rPr>
          <w:rFonts w:ascii="Times New Roman" w:hAnsi="Times New Roman" w:cs="Times New Roman"/>
          <w:sz w:val="24"/>
          <w:szCs w:val="24"/>
          <w:shd w:val="clear" w:color="auto" w:fill="FFFFFF"/>
        </w:rPr>
        <w:t xml:space="preserve"> shielding) may leave cases admissible in the ICC in accordance with Article 17(2). However, the conduct of investigations and trials in secret will mean it will be very difficult for the </w:t>
      </w:r>
      <w:hyperlink r:id="rId21" w:history="1">
        <w:r w:rsidR="00230A6C" w:rsidRPr="0032528B">
          <w:rPr>
            <w:rStyle w:val="Hyperlink"/>
            <w:rFonts w:ascii="Times New Roman" w:hAnsi="Times New Roman" w:cs="Times New Roman"/>
            <w:sz w:val="24"/>
            <w:szCs w:val="24"/>
            <w:shd w:val="clear" w:color="auto" w:fill="FFFFFF"/>
          </w:rPr>
          <w:t>Office of the Prosecutor</w:t>
        </w:r>
      </w:hyperlink>
      <w:r w:rsidR="00230A6C" w:rsidRPr="0032528B">
        <w:rPr>
          <w:rFonts w:ascii="Times New Roman" w:hAnsi="Times New Roman" w:cs="Times New Roman"/>
          <w:sz w:val="24"/>
          <w:szCs w:val="24"/>
          <w:shd w:val="clear" w:color="auto" w:fill="FFFFFF"/>
        </w:rPr>
        <w:t xml:space="preserve"> to establish whether Article 17(2) admissibility has been met in respect of any particular accused, or the group as a whole. In 2017 the UK government closed its secretive IHAT/SPLI investigation into UK Special Forces abuse in Iraq, and its Operation Northmoor investigation into UK Special Forces abuse in Afghanistan, with </w:t>
      </w:r>
      <w:hyperlink r:id="rId22" w:history="1">
        <w:r w:rsidR="00230A6C" w:rsidRPr="0032528B">
          <w:rPr>
            <w:rStyle w:val="Hyperlink"/>
            <w:rFonts w:ascii="Times New Roman" w:hAnsi="Times New Roman" w:cs="Times New Roman"/>
            <w:sz w:val="24"/>
            <w:szCs w:val="24"/>
            <w:shd w:val="clear" w:color="auto" w:fill="FFFFFF"/>
          </w:rPr>
          <w:t>neither process having resulted in a single prosecution</w:t>
        </w:r>
      </w:hyperlink>
      <w:r w:rsidR="00230A6C" w:rsidRPr="0032528B">
        <w:rPr>
          <w:rFonts w:ascii="Times New Roman" w:hAnsi="Times New Roman" w:cs="Times New Roman"/>
          <w:sz w:val="24"/>
          <w:szCs w:val="24"/>
          <w:shd w:val="clear" w:color="auto" w:fill="FFFFFF"/>
        </w:rPr>
        <w:t xml:space="preserve">. Even so, the ICC Prosecutor had to close her preliminary investigation into </w:t>
      </w:r>
      <w:r w:rsidR="00321E63" w:rsidRPr="0032528B">
        <w:rPr>
          <w:rFonts w:ascii="Times New Roman" w:hAnsi="Times New Roman" w:cs="Times New Roman"/>
          <w:sz w:val="24"/>
          <w:szCs w:val="24"/>
          <w:shd w:val="clear" w:color="auto" w:fill="FFFFFF"/>
        </w:rPr>
        <w:t>UK forces in Iraq</w:t>
      </w:r>
      <w:r w:rsidR="00230A6C" w:rsidRPr="0032528B">
        <w:rPr>
          <w:rFonts w:ascii="Times New Roman" w:hAnsi="Times New Roman" w:cs="Times New Roman"/>
          <w:sz w:val="24"/>
          <w:szCs w:val="24"/>
          <w:shd w:val="clear" w:color="auto" w:fill="FFFFFF"/>
        </w:rPr>
        <w:t xml:space="preserve">, despite finding there was a </w:t>
      </w:r>
      <w:hyperlink r:id="rId23" w:history="1">
        <w:r w:rsidR="00230A6C" w:rsidRPr="0032528B">
          <w:rPr>
            <w:rStyle w:val="Hyperlink"/>
            <w:rFonts w:ascii="Times New Roman" w:hAnsi="Times New Roman" w:cs="Times New Roman"/>
            <w:sz w:val="24"/>
            <w:szCs w:val="24"/>
            <w:shd w:val="clear" w:color="auto" w:fill="FFFFFF"/>
          </w:rPr>
          <w:t xml:space="preserve">‘reasonable basis’ for </w:t>
        </w:r>
        <w:r w:rsidR="00230A6C" w:rsidRPr="0032528B">
          <w:rPr>
            <w:rStyle w:val="Hyperlink"/>
            <w:rFonts w:ascii="Times New Roman" w:hAnsi="Times New Roman" w:cs="Times New Roman"/>
            <w:sz w:val="24"/>
            <w:szCs w:val="24"/>
            <w:shd w:val="clear" w:color="auto" w:fill="FFFFFF"/>
          </w:rPr>
          <w:lastRenderedPageBreak/>
          <w:t>concluding a number of war crimes</w:t>
        </w:r>
      </w:hyperlink>
      <w:r w:rsidR="00230A6C" w:rsidRPr="0032528B">
        <w:rPr>
          <w:rFonts w:ascii="Times New Roman" w:hAnsi="Times New Roman" w:cs="Times New Roman"/>
          <w:sz w:val="24"/>
          <w:szCs w:val="24"/>
          <w:shd w:val="clear" w:color="auto" w:fill="FFFFFF"/>
        </w:rPr>
        <w:t xml:space="preserve"> had been committed, as she </w:t>
      </w:r>
      <w:hyperlink r:id="rId24" w:history="1">
        <w:r w:rsidR="00230A6C" w:rsidRPr="0032528B">
          <w:rPr>
            <w:rStyle w:val="Hyperlink"/>
            <w:rFonts w:ascii="Times New Roman" w:hAnsi="Times New Roman" w:cs="Times New Roman"/>
            <w:sz w:val="24"/>
            <w:szCs w:val="24"/>
            <w:shd w:val="clear" w:color="auto" w:fill="FFFFFF"/>
          </w:rPr>
          <w:t>could not conclude on the limited information</w:t>
        </w:r>
      </w:hyperlink>
      <w:r w:rsidR="00230A6C" w:rsidRPr="0032528B">
        <w:rPr>
          <w:rFonts w:ascii="Times New Roman" w:hAnsi="Times New Roman" w:cs="Times New Roman"/>
          <w:sz w:val="24"/>
          <w:szCs w:val="24"/>
          <w:shd w:val="clear" w:color="auto" w:fill="FFFFFF"/>
        </w:rPr>
        <w:t xml:space="preserve"> her Office had before it that shielding had taken place. This was despite </w:t>
      </w:r>
      <w:r w:rsidR="00321E63" w:rsidRPr="0032528B">
        <w:rPr>
          <w:rFonts w:ascii="Times New Roman" w:hAnsi="Times New Roman" w:cs="Times New Roman"/>
          <w:sz w:val="24"/>
          <w:szCs w:val="24"/>
          <w:shd w:val="clear" w:color="auto" w:fill="FFFFFF"/>
        </w:rPr>
        <w:t xml:space="preserve">noting </w:t>
      </w:r>
      <w:r w:rsidR="00230A6C" w:rsidRPr="0032528B">
        <w:rPr>
          <w:rFonts w:ascii="Times New Roman" w:hAnsi="Times New Roman" w:cs="Times New Roman"/>
          <w:sz w:val="24"/>
          <w:szCs w:val="24"/>
          <w:shd w:val="clear" w:color="auto" w:fill="FFFFFF"/>
        </w:rPr>
        <w:t xml:space="preserve">numerous deficiencies in the conduct of the UK investigations, including reports of deliberate disregarding, falsification and destruction of evidence. The Prosecutor has shown no inclination to date </w:t>
      </w:r>
      <w:r w:rsidR="004835E3" w:rsidRPr="0032528B">
        <w:rPr>
          <w:rFonts w:ascii="Times New Roman" w:hAnsi="Times New Roman" w:cs="Times New Roman"/>
          <w:sz w:val="24"/>
          <w:szCs w:val="24"/>
          <w:shd w:val="clear" w:color="auto" w:fill="FFFFFF"/>
        </w:rPr>
        <w:t>to</w:t>
      </w:r>
      <w:r w:rsidR="00230A6C" w:rsidRPr="0032528B">
        <w:rPr>
          <w:rFonts w:ascii="Times New Roman" w:hAnsi="Times New Roman" w:cs="Times New Roman"/>
          <w:sz w:val="24"/>
          <w:szCs w:val="24"/>
          <w:shd w:val="clear" w:color="auto" w:fill="FFFFFF"/>
        </w:rPr>
        <w:t xml:space="preserve"> conduct any investigation into </w:t>
      </w:r>
      <w:r w:rsidR="00321E63" w:rsidRPr="0032528B">
        <w:rPr>
          <w:rFonts w:ascii="Times New Roman" w:hAnsi="Times New Roman" w:cs="Times New Roman"/>
          <w:sz w:val="24"/>
          <w:szCs w:val="24"/>
          <w:shd w:val="clear" w:color="auto" w:fill="FFFFFF"/>
        </w:rPr>
        <w:t>UK forces in Afghanistan, perhaps for similar reasons</w:t>
      </w:r>
      <w:r w:rsidR="00230A6C" w:rsidRPr="0032528B">
        <w:rPr>
          <w:rFonts w:ascii="Times New Roman" w:hAnsi="Times New Roman" w:cs="Times New Roman"/>
          <w:sz w:val="24"/>
          <w:szCs w:val="24"/>
          <w:shd w:val="clear" w:color="auto" w:fill="FFFFFF"/>
        </w:rPr>
        <w:t xml:space="preserve">. The ICC’s </w:t>
      </w:r>
      <w:r w:rsidR="00D678B3" w:rsidRPr="0032528B">
        <w:rPr>
          <w:rFonts w:ascii="Times New Roman" w:hAnsi="Times New Roman" w:cs="Times New Roman"/>
          <w:sz w:val="24"/>
          <w:szCs w:val="24"/>
          <w:shd w:val="clear" w:color="auto" w:fill="FFFFFF"/>
        </w:rPr>
        <w:t>practice</w:t>
      </w:r>
      <w:r w:rsidR="00230A6C" w:rsidRPr="0032528B">
        <w:rPr>
          <w:rFonts w:ascii="Times New Roman" w:hAnsi="Times New Roman" w:cs="Times New Roman"/>
          <w:sz w:val="24"/>
          <w:szCs w:val="24"/>
          <w:shd w:val="clear" w:color="auto" w:fill="FFFFFF"/>
        </w:rPr>
        <w:t xml:space="preserve"> of ‘positive complementarity’ also means considerable deference in practice to the processes of national governments.</w:t>
      </w:r>
      <w:r w:rsidR="003C0760">
        <w:rPr>
          <w:rFonts w:ascii="Times New Roman" w:hAnsi="Times New Roman" w:cs="Times New Roman"/>
          <w:sz w:val="24"/>
          <w:szCs w:val="24"/>
          <w:shd w:val="clear" w:color="auto" w:fill="FFFFFF"/>
        </w:rPr>
        <w:t xml:space="preserve"> This example demonstrates the significant hurdle for admissibility that </w:t>
      </w:r>
      <w:r w:rsidR="00030C71">
        <w:rPr>
          <w:rFonts w:ascii="Times New Roman" w:hAnsi="Times New Roman" w:cs="Times New Roman"/>
          <w:sz w:val="24"/>
          <w:szCs w:val="24"/>
          <w:shd w:val="clear" w:color="auto" w:fill="FFFFFF"/>
        </w:rPr>
        <w:t xml:space="preserve">secret </w:t>
      </w:r>
      <w:r w:rsidR="003C0760">
        <w:rPr>
          <w:rFonts w:ascii="Times New Roman" w:hAnsi="Times New Roman" w:cs="Times New Roman"/>
          <w:sz w:val="24"/>
          <w:szCs w:val="24"/>
          <w:shd w:val="clear" w:color="auto" w:fill="FFFFFF"/>
        </w:rPr>
        <w:t xml:space="preserve">investigations and trials will pose. </w:t>
      </w:r>
      <w:r w:rsidR="00230A6C" w:rsidRPr="0032528B">
        <w:rPr>
          <w:rFonts w:ascii="Times New Roman" w:hAnsi="Times New Roman" w:cs="Times New Roman"/>
          <w:sz w:val="24"/>
          <w:szCs w:val="24"/>
          <w:shd w:val="clear" w:color="auto" w:fill="FFFFFF"/>
        </w:rPr>
        <w:t xml:space="preserve"> </w:t>
      </w:r>
    </w:p>
    <w:p w:rsidR="00230A6C" w:rsidRPr="0032528B" w:rsidRDefault="00230A6C" w:rsidP="00230A6C">
      <w:pPr>
        <w:pStyle w:val="ListParagraph"/>
        <w:ind w:left="0"/>
        <w:rPr>
          <w:rFonts w:ascii="Times New Roman" w:hAnsi="Times New Roman" w:cs="Times New Roman"/>
          <w:sz w:val="24"/>
          <w:szCs w:val="24"/>
          <w:shd w:val="clear" w:color="auto" w:fill="FFFFFF"/>
        </w:rPr>
      </w:pPr>
    </w:p>
    <w:p w:rsidR="00230A6C" w:rsidRPr="0032528B" w:rsidRDefault="00230A6C" w:rsidP="00230A6C">
      <w:pPr>
        <w:pStyle w:val="ListParagraph"/>
        <w:ind w:left="0"/>
        <w:rPr>
          <w:rFonts w:ascii="Times New Roman" w:hAnsi="Times New Roman" w:cs="Times New Roman"/>
          <w:sz w:val="24"/>
          <w:szCs w:val="24"/>
          <w:shd w:val="clear" w:color="auto" w:fill="FFFFFF"/>
        </w:rPr>
      </w:pPr>
      <w:r w:rsidRPr="0032528B">
        <w:rPr>
          <w:rFonts w:ascii="Times New Roman" w:hAnsi="Times New Roman" w:cs="Times New Roman"/>
          <w:sz w:val="24"/>
          <w:szCs w:val="24"/>
          <w:shd w:val="clear" w:color="auto" w:fill="FFFFFF"/>
        </w:rPr>
        <w:t>Even if Article 17(2) admissibility</w:t>
      </w:r>
      <w:r w:rsidR="000774B6">
        <w:rPr>
          <w:rFonts w:ascii="Times New Roman" w:hAnsi="Times New Roman" w:cs="Times New Roman"/>
          <w:sz w:val="24"/>
          <w:szCs w:val="24"/>
          <w:shd w:val="clear" w:color="auto" w:fill="FFFFFF"/>
        </w:rPr>
        <w:t xml:space="preserve"> </w:t>
      </w:r>
      <w:proofErr w:type="gramStart"/>
      <w:r w:rsidR="000774B6">
        <w:rPr>
          <w:rFonts w:ascii="Times New Roman" w:hAnsi="Times New Roman" w:cs="Times New Roman"/>
          <w:sz w:val="24"/>
          <w:szCs w:val="24"/>
          <w:shd w:val="clear" w:color="auto" w:fill="FFFFFF"/>
        </w:rPr>
        <w:t>is able to</w:t>
      </w:r>
      <w:proofErr w:type="gramEnd"/>
      <w:r w:rsidR="000774B6">
        <w:rPr>
          <w:rFonts w:ascii="Times New Roman" w:hAnsi="Times New Roman" w:cs="Times New Roman"/>
          <w:sz w:val="24"/>
          <w:szCs w:val="24"/>
          <w:shd w:val="clear" w:color="auto" w:fill="FFFFFF"/>
        </w:rPr>
        <w:t xml:space="preserve"> be established in future</w:t>
      </w:r>
      <w:r w:rsidRPr="0032528B">
        <w:rPr>
          <w:rFonts w:ascii="Times New Roman" w:hAnsi="Times New Roman" w:cs="Times New Roman"/>
          <w:sz w:val="24"/>
          <w:szCs w:val="24"/>
          <w:shd w:val="clear" w:color="auto" w:fill="FFFFFF"/>
        </w:rPr>
        <w:t xml:space="preserve">, there are other reasons why the ICC is unlikely to step in. </w:t>
      </w:r>
      <w:r w:rsidR="000774B6">
        <w:rPr>
          <w:rFonts w:ascii="Times New Roman" w:hAnsi="Times New Roman" w:cs="Times New Roman"/>
          <w:sz w:val="24"/>
          <w:szCs w:val="24"/>
          <w:shd w:val="clear" w:color="auto" w:fill="FFFFFF"/>
        </w:rPr>
        <w:t>Indeed</w:t>
      </w:r>
      <w:r w:rsidRPr="0032528B">
        <w:rPr>
          <w:rFonts w:ascii="Times New Roman" w:hAnsi="Times New Roman" w:cs="Times New Roman"/>
          <w:sz w:val="24"/>
          <w:szCs w:val="24"/>
          <w:shd w:val="clear" w:color="auto" w:fill="FFFFFF"/>
        </w:rPr>
        <w:t xml:space="preserve">, there may not be ‘sufficient gravity’ according to Articles 17(1)(d) and 53(1)(c) - each incident detailed in the Brereton Report involved one or only a small number of victims, and although there were aggravating factors (the apparent deliberate nature of the killing(s), abuse of power, the vulnerability of victim(s)), the </w:t>
      </w:r>
      <w:hyperlink r:id="rId25" w:history="1">
        <w:r w:rsidRPr="0032528B">
          <w:rPr>
            <w:rStyle w:val="Hyperlink"/>
            <w:rFonts w:ascii="Times New Roman" w:hAnsi="Times New Roman" w:cs="Times New Roman"/>
            <w:sz w:val="24"/>
            <w:szCs w:val="24"/>
            <w:shd w:val="clear" w:color="auto" w:fill="FFFFFF"/>
          </w:rPr>
          <w:t>Prosecutor has previously declined</w:t>
        </w:r>
      </w:hyperlink>
      <w:r w:rsidRPr="0032528B">
        <w:rPr>
          <w:rFonts w:ascii="Times New Roman" w:hAnsi="Times New Roman" w:cs="Times New Roman"/>
          <w:sz w:val="24"/>
          <w:szCs w:val="24"/>
          <w:shd w:val="clear" w:color="auto" w:fill="FFFFFF"/>
        </w:rPr>
        <w:t xml:space="preserve"> to open investigations into </w:t>
      </w:r>
      <w:hyperlink r:id="rId26" w:history="1">
        <w:r w:rsidRPr="0032528B">
          <w:rPr>
            <w:rStyle w:val="Hyperlink"/>
            <w:rFonts w:ascii="Times New Roman" w:hAnsi="Times New Roman" w:cs="Times New Roman"/>
            <w:sz w:val="24"/>
            <w:szCs w:val="24"/>
            <w:shd w:val="clear" w:color="auto" w:fill="FFFFFF"/>
          </w:rPr>
          <w:t>situations involving limited numbers of victims</w:t>
        </w:r>
      </w:hyperlink>
      <w:r w:rsidRPr="0032528B">
        <w:rPr>
          <w:rFonts w:ascii="Times New Roman" w:hAnsi="Times New Roman" w:cs="Times New Roman"/>
          <w:sz w:val="24"/>
          <w:szCs w:val="24"/>
          <w:shd w:val="clear" w:color="auto" w:fill="FFFFFF"/>
        </w:rPr>
        <w:t>. This is of course before any assessment is made of the</w:t>
      </w:r>
      <w:r w:rsidR="00EB3C68" w:rsidRPr="0032528B">
        <w:rPr>
          <w:rFonts w:ascii="Times New Roman" w:hAnsi="Times New Roman" w:cs="Times New Roman"/>
          <w:sz w:val="24"/>
          <w:szCs w:val="24"/>
          <w:shd w:val="clear" w:color="auto" w:fill="FFFFFF"/>
        </w:rPr>
        <w:t xml:space="preserve"> ‘</w:t>
      </w:r>
      <w:hyperlink r:id="rId27" w:history="1">
        <w:r w:rsidR="00EB3C68" w:rsidRPr="0032528B">
          <w:rPr>
            <w:rStyle w:val="Hyperlink"/>
            <w:rFonts w:ascii="Times New Roman" w:hAnsi="Times New Roman" w:cs="Times New Roman"/>
            <w:sz w:val="24"/>
            <w:szCs w:val="24"/>
            <w:shd w:val="clear" w:color="auto" w:fill="FFFFFF"/>
          </w:rPr>
          <w:t>interests of justice’</w:t>
        </w:r>
      </w:hyperlink>
      <w:r w:rsidR="00EB3C68" w:rsidRPr="0032528B">
        <w:rPr>
          <w:rFonts w:ascii="Times New Roman" w:hAnsi="Times New Roman" w:cs="Times New Roman"/>
          <w:sz w:val="24"/>
          <w:szCs w:val="24"/>
          <w:shd w:val="clear" w:color="auto" w:fill="FFFFFF"/>
        </w:rPr>
        <w:t>.</w:t>
      </w:r>
      <w:r w:rsidRPr="0032528B">
        <w:rPr>
          <w:rFonts w:ascii="Times New Roman" w:hAnsi="Times New Roman" w:cs="Times New Roman"/>
          <w:sz w:val="24"/>
          <w:szCs w:val="24"/>
          <w:shd w:val="clear" w:color="auto" w:fill="FFFFFF"/>
        </w:rPr>
        <w:t xml:space="preserve"> The current ICC investigation into alleged crimes in Afghanistan is understood to not involve Australia.</w:t>
      </w:r>
    </w:p>
    <w:p w:rsidR="00230A6C" w:rsidRPr="0032528B" w:rsidRDefault="00230A6C" w:rsidP="00693C60">
      <w:pPr>
        <w:pStyle w:val="ListParagraph"/>
        <w:ind w:left="0"/>
        <w:rPr>
          <w:rFonts w:ascii="Times New Roman" w:hAnsi="Times New Roman" w:cs="Times New Roman"/>
          <w:b/>
          <w:color w:val="1A1A1A"/>
          <w:sz w:val="24"/>
          <w:szCs w:val="24"/>
          <w:shd w:val="clear" w:color="auto" w:fill="FFFFFF"/>
        </w:rPr>
      </w:pPr>
    </w:p>
    <w:p w:rsidR="00693C60" w:rsidRPr="0032528B" w:rsidRDefault="00693C60" w:rsidP="00693C60">
      <w:pPr>
        <w:pStyle w:val="ListParagraph"/>
        <w:ind w:left="0"/>
        <w:rPr>
          <w:rFonts w:ascii="Times New Roman" w:hAnsi="Times New Roman" w:cs="Times New Roman"/>
          <w:b/>
          <w:color w:val="1A1A1A"/>
          <w:sz w:val="24"/>
          <w:szCs w:val="24"/>
          <w:shd w:val="clear" w:color="auto" w:fill="FFFFFF"/>
        </w:rPr>
      </w:pPr>
      <w:r w:rsidRPr="0032528B">
        <w:rPr>
          <w:rFonts w:ascii="Times New Roman" w:hAnsi="Times New Roman" w:cs="Times New Roman"/>
          <w:b/>
          <w:color w:val="1A1A1A"/>
          <w:sz w:val="24"/>
          <w:szCs w:val="24"/>
          <w:shd w:val="clear" w:color="auto" w:fill="FFFFFF"/>
        </w:rPr>
        <w:t xml:space="preserve">Command responsibility </w:t>
      </w:r>
    </w:p>
    <w:p w:rsidR="00693C60" w:rsidRPr="0032528B" w:rsidRDefault="00693C60" w:rsidP="00693C60">
      <w:pPr>
        <w:pStyle w:val="ListParagraph"/>
        <w:ind w:left="0"/>
        <w:rPr>
          <w:rFonts w:ascii="Times New Roman" w:hAnsi="Times New Roman" w:cs="Times New Roman"/>
          <w:sz w:val="24"/>
          <w:szCs w:val="24"/>
          <w:lang w:val="en-US"/>
        </w:rPr>
      </w:pPr>
    </w:p>
    <w:p w:rsidR="00693C60" w:rsidRPr="0032528B" w:rsidRDefault="00230A6C" w:rsidP="00230A6C">
      <w:pPr>
        <w:pStyle w:val="ListParagraph"/>
        <w:ind w:left="0"/>
        <w:rPr>
          <w:rFonts w:ascii="Times New Roman" w:hAnsi="Times New Roman" w:cs="Times New Roman"/>
          <w:sz w:val="24"/>
          <w:szCs w:val="24"/>
        </w:rPr>
      </w:pPr>
      <w:r w:rsidRPr="0032528B">
        <w:rPr>
          <w:rFonts w:ascii="Times New Roman" w:hAnsi="Times New Roman" w:cs="Times New Roman"/>
          <w:sz w:val="24"/>
          <w:szCs w:val="24"/>
          <w:lang w:val="en-US"/>
        </w:rPr>
        <w:t>Although t</w:t>
      </w:r>
      <w:r w:rsidR="00693C60" w:rsidRPr="0032528B">
        <w:rPr>
          <w:rFonts w:ascii="Times New Roman" w:hAnsi="Times New Roman" w:cs="Times New Roman"/>
          <w:sz w:val="24"/>
          <w:szCs w:val="24"/>
          <w:lang w:val="en-US"/>
        </w:rPr>
        <w:t xml:space="preserve">here have been calls on the Chief of the </w:t>
      </w:r>
      <w:proofErr w:type="spellStart"/>
      <w:r w:rsidR="00693C60" w:rsidRPr="0032528B">
        <w:rPr>
          <w:rFonts w:ascii="Times New Roman" w:hAnsi="Times New Roman" w:cs="Times New Roman"/>
          <w:sz w:val="24"/>
          <w:szCs w:val="24"/>
          <w:lang w:val="en-US"/>
        </w:rPr>
        <w:t>Defence</w:t>
      </w:r>
      <w:proofErr w:type="spellEnd"/>
      <w:r w:rsidR="00693C60" w:rsidRPr="0032528B">
        <w:rPr>
          <w:rFonts w:ascii="Times New Roman" w:hAnsi="Times New Roman" w:cs="Times New Roman"/>
          <w:sz w:val="24"/>
          <w:szCs w:val="24"/>
          <w:lang w:val="en-US"/>
        </w:rPr>
        <w:t xml:space="preserve"> Force, or the Chief of the Army</w:t>
      </w:r>
      <w:r w:rsidRPr="0032528B">
        <w:rPr>
          <w:rFonts w:ascii="Times New Roman" w:hAnsi="Times New Roman" w:cs="Times New Roman"/>
          <w:sz w:val="24"/>
          <w:szCs w:val="24"/>
          <w:lang w:val="en-US"/>
        </w:rPr>
        <w:t>,</w:t>
      </w:r>
      <w:r w:rsidR="00693C60" w:rsidRPr="0032528B">
        <w:rPr>
          <w:rFonts w:ascii="Times New Roman" w:hAnsi="Times New Roman" w:cs="Times New Roman"/>
          <w:sz w:val="24"/>
          <w:szCs w:val="24"/>
          <w:lang w:val="en-US"/>
        </w:rPr>
        <w:t xml:space="preserve"> to resign on the basis that t</w:t>
      </w:r>
      <w:r w:rsidR="00693C60" w:rsidRPr="0032528B">
        <w:rPr>
          <w:rFonts w:ascii="Times New Roman" w:hAnsi="Times New Roman" w:cs="Times New Roman"/>
          <w:sz w:val="24"/>
          <w:szCs w:val="24"/>
        </w:rPr>
        <w:t xml:space="preserve">he “higher-ups” could not have not known or that they </w:t>
      </w:r>
      <w:hyperlink r:id="rId28" w:history="1">
        <w:r w:rsidR="00693C60" w:rsidRPr="0032528B">
          <w:rPr>
            <w:rStyle w:val="Hyperlink"/>
            <w:rFonts w:ascii="Times New Roman" w:hAnsi="Times New Roman" w:cs="Times New Roman"/>
            <w:sz w:val="24"/>
            <w:szCs w:val="24"/>
          </w:rPr>
          <w:t>failed to prevent criminal behaviour</w:t>
        </w:r>
      </w:hyperlink>
      <w:r w:rsidRPr="0032528B">
        <w:rPr>
          <w:rFonts w:ascii="Times New Roman" w:hAnsi="Times New Roman" w:cs="Times New Roman"/>
          <w:sz w:val="24"/>
          <w:szCs w:val="24"/>
        </w:rPr>
        <w:t>, these are unrealistic.</w:t>
      </w:r>
      <w:r w:rsidR="00693C60" w:rsidRPr="0032528B">
        <w:rPr>
          <w:rFonts w:ascii="Times New Roman" w:hAnsi="Times New Roman" w:cs="Times New Roman"/>
          <w:sz w:val="24"/>
          <w:szCs w:val="24"/>
        </w:rPr>
        <w:t xml:space="preserve"> The Brereton report was conclusive in finding that while more senior commanders at the troop, squadron and SOTG-level bore “some [moral] responsibility for the events that happened ‘on their watch’, the criminal behaviour of a few was commenced, committed, continued and </w:t>
      </w:r>
      <w:r w:rsidR="00693C60" w:rsidRPr="0032528B">
        <w:rPr>
          <w:rStyle w:val="Emphasis"/>
          <w:rFonts w:ascii="Times New Roman" w:hAnsi="Times New Roman" w:cs="Times New Roman"/>
          <w:i w:val="0"/>
          <w:sz w:val="24"/>
          <w:szCs w:val="24"/>
        </w:rPr>
        <w:t>concealed</w:t>
      </w:r>
      <w:r w:rsidR="00693C60" w:rsidRPr="0032528B">
        <w:rPr>
          <w:rFonts w:ascii="Times New Roman" w:hAnsi="Times New Roman" w:cs="Times New Roman"/>
          <w:sz w:val="24"/>
          <w:szCs w:val="24"/>
        </w:rPr>
        <w:t xml:space="preserve"> at the patrol commander level, that is, at corporal or sergeant level”</w:t>
      </w:r>
      <w:r w:rsidR="00253332" w:rsidRPr="0032528B">
        <w:rPr>
          <w:rFonts w:ascii="Times New Roman" w:hAnsi="Times New Roman" w:cs="Times New Roman"/>
          <w:sz w:val="24"/>
          <w:szCs w:val="24"/>
        </w:rPr>
        <w:t xml:space="preserve"> (para 25 of Chapter 1.01)</w:t>
      </w:r>
      <w:r w:rsidR="00693C60" w:rsidRPr="0032528B">
        <w:rPr>
          <w:rFonts w:ascii="Times New Roman" w:hAnsi="Times New Roman" w:cs="Times New Roman"/>
          <w:sz w:val="24"/>
          <w:szCs w:val="24"/>
        </w:rPr>
        <w:t>. Therefore, “[</w:t>
      </w:r>
      <w:proofErr w:type="spellStart"/>
      <w:r w:rsidR="00693C60" w:rsidRPr="0032528B">
        <w:rPr>
          <w:rFonts w:ascii="Times New Roman" w:hAnsi="Times New Roman" w:cs="Times New Roman"/>
          <w:sz w:val="24"/>
          <w:szCs w:val="24"/>
        </w:rPr>
        <w:t>i</w:t>
      </w:r>
      <w:proofErr w:type="spellEnd"/>
      <w:r w:rsidR="00693C60" w:rsidRPr="0032528B">
        <w:rPr>
          <w:rFonts w:ascii="Times New Roman" w:hAnsi="Times New Roman" w:cs="Times New Roman"/>
          <w:sz w:val="24"/>
          <w:szCs w:val="24"/>
        </w:rPr>
        <w:t>]t is overwhelmingly at that level that responsibility resides”</w:t>
      </w:r>
      <w:r w:rsidR="00253332" w:rsidRPr="0032528B">
        <w:rPr>
          <w:rFonts w:ascii="Times New Roman" w:hAnsi="Times New Roman" w:cs="Times New Roman"/>
          <w:sz w:val="24"/>
          <w:szCs w:val="24"/>
        </w:rPr>
        <w:t xml:space="preserve"> (para 26 of Chapter 1.01)</w:t>
      </w:r>
      <w:r w:rsidR="00693C60" w:rsidRPr="0032528B">
        <w:rPr>
          <w:rFonts w:ascii="Times New Roman" w:hAnsi="Times New Roman" w:cs="Times New Roman"/>
          <w:sz w:val="24"/>
          <w:szCs w:val="24"/>
        </w:rPr>
        <w:t xml:space="preserve">. Indeed, </w:t>
      </w:r>
      <w:r w:rsidRPr="0032528B">
        <w:rPr>
          <w:rFonts w:ascii="Times New Roman" w:hAnsi="Times New Roman" w:cs="Times New Roman"/>
          <w:sz w:val="24"/>
          <w:szCs w:val="24"/>
        </w:rPr>
        <w:t xml:space="preserve">even </w:t>
      </w:r>
      <w:r w:rsidR="00693C60" w:rsidRPr="0032528B">
        <w:rPr>
          <w:rFonts w:ascii="Times New Roman" w:hAnsi="Times New Roman" w:cs="Times New Roman"/>
          <w:sz w:val="24"/>
          <w:szCs w:val="24"/>
        </w:rPr>
        <w:t xml:space="preserve">at the next command level up - troop commander </w:t>
      </w:r>
      <w:r w:rsidRPr="0032528B">
        <w:rPr>
          <w:rFonts w:ascii="Times New Roman" w:hAnsi="Times New Roman" w:cs="Times New Roman"/>
          <w:sz w:val="24"/>
          <w:szCs w:val="24"/>
        </w:rPr>
        <w:t>-</w:t>
      </w:r>
      <w:r w:rsidR="00693C60" w:rsidRPr="0032528B">
        <w:rPr>
          <w:rFonts w:ascii="Times New Roman" w:hAnsi="Times New Roman" w:cs="Times New Roman"/>
          <w:sz w:val="24"/>
          <w:szCs w:val="24"/>
        </w:rPr>
        <w:t xml:space="preserve"> there was not </w:t>
      </w:r>
      <w:proofErr w:type="gramStart"/>
      <w:r w:rsidR="00693C60" w:rsidRPr="0032528B">
        <w:rPr>
          <w:rFonts w:ascii="Times New Roman" w:hAnsi="Times New Roman" w:cs="Times New Roman"/>
          <w:sz w:val="24"/>
          <w:szCs w:val="24"/>
        </w:rPr>
        <w:t>sufficient</w:t>
      </w:r>
      <w:proofErr w:type="gramEnd"/>
      <w:r w:rsidR="00693C60" w:rsidRPr="0032528B">
        <w:rPr>
          <w:rFonts w:ascii="Times New Roman" w:hAnsi="Times New Roman" w:cs="Times New Roman"/>
          <w:sz w:val="24"/>
          <w:szCs w:val="24"/>
        </w:rPr>
        <w:t xml:space="preserve"> command and control over conduct on the ground. </w:t>
      </w:r>
    </w:p>
    <w:p w:rsidR="00693C60" w:rsidRPr="0032528B" w:rsidRDefault="00693C60" w:rsidP="00693C60">
      <w:pPr>
        <w:autoSpaceDE w:val="0"/>
        <w:autoSpaceDN w:val="0"/>
        <w:adjustRightInd w:val="0"/>
        <w:spacing w:after="0" w:line="240" w:lineRule="auto"/>
        <w:jc w:val="both"/>
        <w:rPr>
          <w:rFonts w:ascii="Times New Roman" w:hAnsi="Times New Roman" w:cs="Times New Roman"/>
          <w:color w:val="000000"/>
          <w:sz w:val="24"/>
          <w:szCs w:val="24"/>
          <w:lang w:val="en-AU"/>
        </w:rPr>
      </w:pPr>
      <w:r w:rsidRPr="0032528B">
        <w:rPr>
          <w:rFonts w:ascii="Times New Roman" w:hAnsi="Times New Roman" w:cs="Times New Roman"/>
          <w:sz w:val="24"/>
          <w:szCs w:val="24"/>
        </w:rPr>
        <w:t>Is it credible that no</w:t>
      </w:r>
      <w:r w:rsidR="00230A6C" w:rsidRPr="0032528B">
        <w:rPr>
          <w:rFonts w:ascii="Times New Roman" w:hAnsi="Times New Roman" w:cs="Times New Roman"/>
          <w:sz w:val="24"/>
          <w:szCs w:val="24"/>
        </w:rPr>
        <w:t>t even</w:t>
      </w:r>
      <w:r w:rsidRPr="0032528B">
        <w:rPr>
          <w:rFonts w:ascii="Times New Roman" w:hAnsi="Times New Roman" w:cs="Times New Roman"/>
          <w:sz w:val="24"/>
          <w:szCs w:val="24"/>
        </w:rPr>
        <w:t xml:space="preserve"> troop commanders bear criminal responsibility? </w:t>
      </w:r>
      <w:r w:rsidRPr="0032528B">
        <w:rPr>
          <w:rFonts w:ascii="Times New Roman" w:hAnsi="Times New Roman" w:cs="Times New Roman"/>
          <w:color w:val="000000"/>
          <w:sz w:val="24"/>
          <w:szCs w:val="24"/>
          <w:lang w:val="en-AU"/>
        </w:rPr>
        <w:t>Section 268.115(2)</w:t>
      </w:r>
      <w:r w:rsidR="004C7D2F" w:rsidRPr="0032528B">
        <w:rPr>
          <w:rFonts w:ascii="Times New Roman" w:hAnsi="Times New Roman" w:cs="Times New Roman"/>
          <w:color w:val="000000"/>
          <w:sz w:val="24"/>
          <w:szCs w:val="24"/>
          <w:lang w:val="en-AU"/>
        </w:rPr>
        <w:t>, which implements Art 28 of the Rome Statute,</w:t>
      </w:r>
      <w:r w:rsidRPr="0032528B">
        <w:rPr>
          <w:rFonts w:ascii="Times New Roman" w:hAnsi="Times New Roman" w:cs="Times New Roman"/>
          <w:color w:val="000000"/>
          <w:sz w:val="24"/>
          <w:szCs w:val="24"/>
          <w:lang w:val="en-AU"/>
        </w:rPr>
        <w:t xml:space="preserve"> provides that a military commander is criminally responsible for the failure to exercise control properly over forces under his </w:t>
      </w:r>
      <w:r w:rsidRPr="0032528B">
        <w:rPr>
          <w:rFonts w:ascii="Times New Roman" w:hAnsi="Times New Roman" w:cs="Times New Roman"/>
          <w:i/>
          <w:color w:val="000000"/>
          <w:sz w:val="24"/>
          <w:szCs w:val="24"/>
          <w:shd w:val="clear" w:color="auto" w:fill="FFFFFF"/>
        </w:rPr>
        <w:t>effective command and control</w:t>
      </w:r>
      <w:r w:rsidRPr="0032528B">
        <w:rPr>
          <w:rFonts w:ascii="Times New Roman" w:hAnsi="Times New Roman" w:cs="Times New Roman"/>
          <w:color w:val="000000"/>
          <w:sz w:val="24"/>
          <w:szCs w:val="24"/>
          <w:shd w:val="clear" w:color="auto" w:fill="FFFFFF"/>
        </w:rPr>
        <w:t xml:space="preserve"> </w:t>
      </w:r>
      <w:r w:rsidRPr="0032528B">
        <w:rPr>
          <w:rFonts w:ascii="Times New Roman" w:hAnsi="Times New Roman" w:cs="Times New Roman"/>
          <w:color w:val="000000"/>
          <w:sz w:val="24"/>
          <w:szCs w:val="24"/>
          <w:lang w:val="en-AU"/>
        </w:rPr>
        <w:t xml:space="preserve">where (a)  the military commander or person either </w:t>
      </w:r>
      <w:r w:rsidRPr="0032528B">
        <w:rPr>
          <w:rFonts w:ascii="Times New Roman" w:hAnsi="Times New Roman" w:cs="Times New Roman"/>
          <w:i/>
          <w:color w:val="000000"/>
          <w:sz w:val="24"/>
          <w:szCs w:val="24"/>
          <w:lang w:val="en-AU"/>
        </w:rPr>
        <w:t>knew or, owing to the circumstances at the time, was reckless</w:t>
      </w:r>
      <w:r w:rsidRPr="0032528B">
        <w:rPr>
          <w:rFonts w:ascii="Times New Roman" w:hAnsi="Times New Roman" w:cs="Times New Roman"/>
          <w:color w:val="000000"/>
          <w:sz w:val="24"/>
          <w:szCs w:val="24"/>
          <w:lang w:val="en-AU"/>
        </w:rPr>
        <w:t xml:space="preserve"> as to whether the forces were </w:t>
      </w:r>
      <w:r w:rsidRPr="0032528B">
        <w:rPr>
          <w:rFonts w:ascii="Times New Roman" w:hAnsi="Times New Roman" w:cs="Times New Roman"/>
          <w:i/>
          <w:color w:val="000000"/>
          <w:sz w:val="24"/>
          <w:szCs w:val="24"/>
          <w:lang w:val="en-AU"/>
        </w:rPr>
        <w:t>committing or about to commit</w:t>
      </w:r>
      <w:r w:rsidRPr="0032528B">
        <w:rPr>
          <w:rFonts w:ascii="Times New Roman" w:hAnsi="Times New Roman" w:cs="Times New Roman"/>
          <w:color w:val="000000"/>
          <w:sz w:val="24"/>
          <w:szCs w:val="24"/>
          <w:lang w:val="en-AU"/>
        </w:rPr>
        <w:t xml:space="preserve"> such offences; and (b)  the military commander or person failed to take </w:t>
      </w:r>
      <w:r w:rsidRPr="0032528B">
        <w:rPr>
          <w:rFonts w:ascii="Times New Roman" w:hAnsi="Times New Roman" w:cs="Times New Roman"/>
          <w:i/>
          <w:color w:val="000000"/>
          <w:sz w:val="24"/>
          <w:szCs w:val="24"/>
          <w:lang w:val="en-AU"/>
        </w:rPr>
        <w:t>all necessary and reasonable measures within his or her power</w:t>
      </w:r>
      <w:r w:rsidRPr="0032528B">
        <w:rPr>
          <w:rFonts w:ascii="Times New Roman" w:hAnsi="Times New Roman" w:cs="Times New Roman"/>
          <w:color w:val="000000"/>
          <w:sz w:val="24"/>
          <w:szCs w:val="24"/>
          <w:lang w:val="en-AU"/>
        </w:rPr>
        <w:t xml:space="preserve"> to prevent or repress their commission. The requirements for the offence are thus three, “effective command and control”, the requisite mental element (of which there are two types), and the failure to prevent or repress. These will be </w:t>
      </w:r>
      <w:r w:rsidR="004C7D2F" w:rsidRPr="0032528B">
        <w:rPr>
          <w:rFonts w:ascii="Times New Roman" w:hAnsi="Times New Roman" w:cs="Times New Roman"/>
          <w:color w:val="000000"/>
          <w:sz w:val="24"/>
          <w:szCs w:val="24"/>
          <w:lang w:val="en-AU"/>
        </w:rPr>
        <w:t>examined</w:t>
      </w:r>
      <w:r w:rsidRPr="0032528B">
        <w:rPr>
          <w:rFonts w:ascii="Times New Roman" w:hAnsi="Times New Roman" w:cs="Times New Roman"/>
          <w:color w:val="000000"/>
          <w:sz w:val="24"/>
          <w:szCs w:val="24"/>
          <w:lang w:val="en-AU"/>
        </w:rPr>
        <w:t xml:space="preserve"> in turn.</w:t>
      </w:r>
    </w:p>
    <w:p w:rsidR="00693C60" w:rsidRPr="0032528B" w:rsidRDefault="00693C60" w:rsidP="00693C60">
      <w:pPr>
        <w:autoSpaceDE w:val="0"/>
        <w:autoSpaceDN w:val="0"/>
        <w:adjustRightInd w:val="0"/>
        <w:spacing w:after="0" w:line="240" w:lineRule="auto"/>
        <w:jc w:val="both"/>
        <w:rPr>
          <w:rFonts w:ascii="Times New Roman" w:hAnsi="Times New Roman" w:cs="Times New Roman"/>
          <w:sz w:val="24"/>
          <w:szCs w:val="24"/>
        </w:rPr>
      </w:pPr>
    </w:p>
    <w:p w:rsidR="00693C60" w:rsidRPr="0032528B" w:rsidRDefault="004C7D2F" w:rsidP="00693C60">
      <w:pPr>
        <w:autoSpaceDE w:val="0"/>
        <w:autoSpaceDN w:val="0"/>
        <w:adjustRightInd w:val="0"/>
        <w:spacing w:after="0" w:line="240" w:lineRule="auto"/>
        <w:jc w:val="both"/>
        <w:rPr>
          <w:rFonts w:ascii="Times New Roman" w:hAnsi="Times New Roman" w:cs="Times New Roman"/>
          <w:color w:val="000000"/>
          <w:sz w:val="24"/>
          <w:szCs w:val="24"/>
          <w:lang w:val="en-AU"/>
        </w:rPr>
      </w:pPr>
      <w:r w:rsidRPr="0032528B">
        <w:rPr>
          <w:rFonts w:ascii="Times New Roman" w:hAnsi="Times New Roman" w:cs="Times New Roman"/>
          <w:color w:val="000000"/>
          <w:sz w:val="24"/>
          <w:szCs w:val="24"/>
          <w:lang w:val="en-AU"/>
        </w:rPr>
        <w:t>For</w:t>
      </w:r>
      <w:r w:rsidR="00693C60" w:rsidRPr="0032528B">
        <w:rPr>
          <w:rFonts w:ascii="Times New Roman" w:hAnsi="Times New Roman" w:cs="Times New Roman"/>
          <w:color w:val="000000"/>
          <w:sz w:val="24"/>
          <w:szCs w:val="24"/>
          <w:lang w:val="en-AU"/>
        </w:rPr>
        <w:t xml:space="preserve"> “effective command and control”, the ICTY Appeals Chamber determined in </w:t>
      </w:r>
      <w:hyperlink r:id="rId29" w:history="1">
        <w:proofErr w:type="spellStart"/>
        <w:r w:rsidR="00693C60" w:rsidRPr="0032528B">
          <w:rPr>
            <w:rStyle w:val="Hyperlink"/>
            <w:rFonts w:ascii="Times New Roman" w:hAnsi="Times New Roman" w:cs="Times New Roman"/>
            <w:i/>
            <w:sz w:val="24"/>
            <w:szCs w:val="24"/>
            <w:lang w:val="en-AU"/>
          </w:rPr>
          <w:t>Hadzihasanovic</w:t>
        </w:r>
        <w:proofErr w:type="spellEnd"/>
        <w:r w:rsidR="00693C60" w:rsidRPr="0032528B">
          <w:rPr>
            <w:rStyle w:val="Hyperlink"/>
            <w:rFonts w:ascii="Times New Roman" w:hAnsi="Times New Roman" w:cs="Times New Roman"/>
            <w:i/>
            <w:sz w:val="24"/>
            <w:szCs w:val="24"/>
            <w:lang w:val="en-AU"/>
          </w:rPr>
          <w:t xml:space="preserve"> et al</w:t>
        </w:r>
      </w:hyperlink>
      <w:r w:rsidRPr="0032528B">
        <w:rPr>
          <w:rFonts w:ascii="Times New Roman" w:hAnsi="Times New Roman" w:cs="Times New Roman"/>
          <w:color w:val="000000"/>
          <w:sz w:val="24"/>
          <w:szCs w:val="24"/>
          <w:lang w:val="en-AU"/>
        </w:rPr>
        <w:t xml:space="preserve"> (paras 37-56)</w:t>
      </w:r>
      <w:r w:rsidR="00693C60" w:rsidRPr="0032528B">
        <w:rPr>
          <w:rFonts w:ascii="Times New Roman" w:hAnsi="Times New Roman" w:cs="Times New Roman"/>
          <w:color w:val="000000"/>
          <w:sz w:val="24"/>
          <w:szCs w:val="24"/>
          <w:lang w:val="en-AU"/>
        </w:rPr>
        <w:t xml:space="preserve">, which was endorsed by the ICC in </w:t>
      </w:r>
      <w:hyperlink r:id="rId30" w:history="1">
        <w:r w:rsidR="001421A4" w:rsidRPr="0032528B">
          <w:rPr>
            <w:rStyle w:val="Hyperlink"/>
            <w:rFonts w:ascii="Times New Roman" w:hAnsi="Times New Roman" w:cs="Times New Roman"/>
            <w:i/>
            <w:sz w:val="24"/>
            <w:szCs w:val="24"/>
            <w:lang w:val="en-AU"/>
          </w:rPr>
          <w:t>Bemba</w:t>
        </w:r>
      </w:hyperlink>
      <w:r w:rsidR="006E2D9B" w:rsidRPr="0032528B">
        <w:rPr>
          <w:rFonts w:ascii="Times New Roman" w:hAnsi="Times New Roman" w:cs="Times New Roman"/>
          <w:color w:val="000000"/>
          <w:sz w:val="24"/>
          <w:szCs w:val="24"/>
          <w:lang w:val="en-AU"/>
        </w:rPr>
        <w:t xml:space="preserve"> (para 424)</w:t>
      </w:r>
      <w:r w:rsidR="00693C60" w:rsidRPr="0032528B">
        <w:rPr>
          <w:rFonts w:ascii="Times New Roman" w:hAnsi="Times New Roman" w:cs="Times New Roman"/>
          <w:color w:val="000000"/>
          <w:sz w:val="24"/>
          <w:szCs w:val="24"/>
          <w:lang w:val="en-AU"/>
        </w:rPr>
        <w:t>, that for superior responsibility to arise, the crimes must be committed whilst the superior has “effective control” over the offenders. While a patrol commander leading a patrol has “effective control” over their patrol members, there may be doubts over whether the troop commander, who was generally remote from the encounter (for legitimate operational/tactical reasons)</w:t>
      </w:r>
      <w:r w:rsidR="006E2D9B" w:rsidRPr="0032528B">
        <w:rPr>
          <w:rFonts w:ascii="Times New Roman" w:hAnsi="Times New Roman" w:cs="Times New Roman"/>
          <w:color w:val="000000"/>
          <w:sz w:val="24"/>
          <w:szCs w:val="24"/>
          <w:lang w:val="en-AU"/>
        </w:rPr>
        <w:t xml:space="preserve"> (</w:t>
      </w:r>
      <w:r w:rsidR="006E2D9B" w:rsidRPr="0032528B">
        <w:rPr>
          <w:rFonts w:ascii="Times New Roman" w:hAnsi="Times New Roman" w:cs="Times New Roman"/>
          <w:sz w:val="24"/>
          <w:szCs w:val="24"/>
        </w:rPr>
        <w:t>para 29 of Chapter 1.01)</w:t>
      </w:r>
      <w:r w:rsidR="00693C60" w:rsidRPr="0032528B">
        <w:rPr>
          <w:rFonts w:ascii="Times New Roman" w:hAnsi="Times New Roman" w:cs="Times New Roman"/>
          <w:color w:val="000000"/>
          <w:sz w:val="24"/>
          <w:szCs w:val="24"/>
          <w:lang w:val="en-AU"/>
        </w:rPr>
        <w:t xml:space="preserve"> had close enough control to meet this standard. Additionally, </w:t>
      </w:r>
      <w:r w:rsidR="00693C60" w:rsidRPr="0032528B">
        <w:rPr>
          <w:rFonts w:ascii="Times New Roman" w:hAnsi="Times New Roman" w:cs="Times New Roman"/>
          <w:color w:val="000000"/>
          <w:sz w:val="24"/>
          <w:szCs w:val="24"/>
          <w:lang w:val="en-AU"/>
        </w:rPr>
        <w:lastRenderedPageBreak/>
        <w:t>the Brereton Report expressed sympathy for troop commanders as it noted that they were often new and inexperienced junior officers who were generally unsupported by senior officers and faced difficulties in implementing control over battle-experienced patrol commanders (NCOs) on the ground</w:t>
      </w:r>
      <w:r w:rsidR="006E2D9B" w:rsidRPr="0032528B">
        <w:rPr>
          <w:rFonts w:ascii="Times New Roman" w:hAnsi="Times New Roman" w:cs="Times New Roman"/>
          <w:color w:val="000000"/>
          <w:sz w:val="24"/>
          <w:szCs w:val="24"/>
          <w:lang w:val="en-AU"/>
        </w:rPr>
        <w:t xml:space="preserve"> (</w:t>
      </w:r>
      <w:r w:rsidR="006E2D9B" w:rsidRPr="0032528B">
        <w:rPr>
          <w:rFonts w:ascii="Times New Roman" w:hAnsi="Times New Roman" w:cs="Times New Roman"/>
          <w:sz w:val="24"/>
          <w:szCs w:val="24"/>
        </w:rPr>
        <w:t>para 33 of Chapter 1.01)</w:t>
      </w:r>
      <w:r w:rsidR="00693C60" w:rsidRPr="0032528B">
        <w:rPr>
          <w:rFonts w:ascii="Times New Roman" w:hAnsi="Times New Roman" w:cs="Times New Roman"/>
          <w:color w:val="000000"/>
          <w:sz w:val="24"/>
          <w:szCs w:val="24"/>
          <w:lang w:val="en-AU"/>
        </w:rPr>
        <w:t>. As such, and perhaps counter-intuitively, this requirement may not be met.</w:t>
      </w:r>
    </w:p>
    <w:p w:rsidR="00693C60" w:rsidRPr="0032528B" w:rsidRDefault="00693C60" w:rsidP="00693C60">
      <w:pPr>
        <w:autoSpaceDE w:val="0"/>
        <w:autoSpaceDN w:val="0"/>
        <w:adjustRightInd w:val="0"/>
        <w:spacing w:after="0" w:line="240" w:lineRule="auto"/>
        <w:jc w:val="both"/>
        <w:rPr>
          <w:rFonts w:ascii="Times New Roman" w:hAnsi="Times New Roman" w:cs="Times New Roman"/>
          <w:color w:val="000000"/>
          <w:sz w:val="24"/>
          <w:szCs w:val="24"/>
          <w:lang w:val="en-AU"/>
        </w:rPr>
      </w:pPr>
    </w:p>
    <w:p w:rsidR="00693C60" w:rsidRPr="0032528B" w:rsidRDefault="00693C60" w:rsidP="00693C60">
      <w:pPr>
        <w:autoSpaceDE w:val="0"/>
        <w:autoSpaceDN w:val="0"/>
        <w:adjustRightInd w:val="0"/>
        <w:spacing w:after="0" w:line="240" w:lineRule="auto"/>
        <w:jc w:val="both"/>
        <w:rPr>
          <w:rFonts w:ascii="Times New Roman" w:hAnsi="Times New Roman" w:cs="Times New Roman"/>
          <w:color w:val="000000"/>
          <w:sz w:val="24"/>
          <w:szCs w:val="24"/>
          <w:lang w:val="en-AU"/>
        </w:rPr>
      </w:pPr>
      <w:r w:rsidRPr="0032528B">
        <w:rPr>
          <w:rFonts w:ascii="Times New Roman" w:hAnsi="Times New Roman" w:cs="Times New Roman"/>
          <w:color w:val="000000"/>
          <w:sz w:val="24"/>
          <w:szCs w:val="24"/>
          <w:lang w:val="en-AU"/>
        </w:rPr>
        <w:t>Second</w:t>
      </w:r>
      <w:r w:rsidR="006C0786" w:rsidRPr="0032528B">
        <w:rPr>
          <w:rFonts w:ascii="Times New Roman" w:hAnsi="Times New Roman" w:cs="Times New Roman"/>
          <w:color w:val="000000"/>
          <w:sz w:val="24"/>
          <w:szCs w:val="24"/>
          <w:lang w:val="en-AU"/>
        </w:rPr>
        <w:t xml:space="preserve">, </w:t>
      </w:r>
      <w:r w:rsidRPr="0032528B">
        <w:rPr>
          <w:rFonts w:ascii="Times New Roman" w:hAnsi="Times New Roman" w:cs="Times New Roman"/>
          <w:color w:val="000000"/>
          <w:sz w:val="24"/>
          <w:szCs w:val="24"/>
          <w:lang w:val="en-AU"/>
        </w:rPr>
        <w:t>the mental element</w:t>
      </w:r>
      <w:r w:rsidR="006C0786" w:rsidRPr="0032528B">
        <w:rPr>
          <w:rFonts w:ascii="Times New Roman" w:hAnsi="Times New Roman" w:cs="Times New Roman"/>
          <w:color w:val="000000"/>
          <w:sz w:val="24"/>
          <w:szCs w:val="24"/>
          <w:lang w:val="en-AU"/>
        </w:rPr>
        <w:t xml:space="preserve">: </w:t>
      </w:r>
      <w:r w:rsidRPr="0032528B">
        <w:rPr>
          <w:rFonts w:ascii="Times New Roman" w:hAnsi="Times New Roman" w:cs="Times New Roman"/>
          <w:sz w:val="24"/>
          <w:szCs w:val="24"/>
        </w:rPr>
        <w:t>Brereton found that the troop commanders and those more senior had no evidence that crimes were being committed or that they may have been likely. Indeed, “commanders trusted their subordinates: including to make responsible and difficult good faith decisions under rules of engagement; and to report accurately. Such trust is an important and inherent feature of command”</w:t>
      </w:r>
      <w:r w:rsidR="00253332" w:rsidRPr="0032528B">
        <w:rPr>
          <w:rFonts w:ascii="Times New Roman" w:hAnsi="Times New Roman" w:cs="Times New Roman"/>
          <w:sz w:val="24"/>
          <w:szCs w:val="24"/>
        </w:rPr>
        <w:t xml:space="preserve"> (para 40 of Chapter 1.01)</w:t>
      </w:r>
      <w:r w:rsidRPr="0032528B">
        <w:rPr>
          <w:rFonts w:ascii="Times New Roman" w:hAnsi="Times New Roman" w:cs="Times New Roman"/>
          <w:sz w:val="24"/>
          <w:szCs w:val="24"/>
        </w:rPr>
        <w:t xml:space="preserve">. While this may be so, there are </w:t>
      </w:r>
      <w:proofErr w:type="gramStart"/>
      <w:r w:rsidRPr="0032528B">
        <w:rPr>
          <w:rFonts w:ascii="Times New Roman" w:hAnsi="Times New Roman" w:cs="Times New Roman"/>
          <w:sz w:val="24"/>
          <w:szCs w:val="24"/>
        </w:rPr>
        <w:t>a number of</w:t>
      </w:r>
      <w:proofErr w:type="gramEnd"/>
      <w:r w:rsidRPr="0032528B">
        <w:rPr>
          <w:rFonts w:ascii="Times New Roman" w:hAnsi="Times New Roman" w:cs="Times New Roman"/>
          <w:sz w:val="24"/>
          <w:szCs w:val="24"/>
        </w:rPr>
        <w:t xml:space="preserve"> factors which point to a heightened risk of criminal conduct</w:t>
      </w:r>
      <w:r w:rsidR="00230A6C" w:rsidRPr="0032528B">
        <w:rPr>
          <w:rFonts w:ascii="Times New Roman" w:hAnsi="Times New Roman" w:cs="Times New Roman"/>
          <w:sz w:val="24"/>
          <w:szCs w:val="24"/>
        </w:rPr>
        <w:t xml:space="preserve"> in Afghanistan</w:t>
      </w:r>
      <w:r w:rsidRPr="0032528B">
        <w:rPr>
          <w:rFonts w:ascii="Times New Roman" w:hAnsi="Times New Roman" w:cs="Times New Roman"/>
          <w:sz w:val="24"/>
          <w:szCs w:val="24"/>
        </w:rPr>
        <w:t xml:space="preserve">. First, the nature of “Special Forces” is that they are elite, and their </w:t>
      </w:r>
      <w:r w:rsidRPr="0032528B">
        <w:rPr>
          <w:rFonts w:ascii="Times New Roman" w:hAnsi="Times New Roman" w:cs="Times New Roman"/>
          <w:i/>
          <w:sz w:val="24"/>
          <w:szCs w:val="24"/>
        </w:rPr>
        <w:t>modus operandi</w:t>
      </w:r>
      <w:r w:rsidRPr="0032528B">
        <w:rPr>
          <w:rFonts w:ascii="Times New Roman" w:hAnsi="Times New Roman" w:cs="Times New Roman"/>
          <w:sz w:val="24"/>
          <w:szCs w:val="24"/>
        </w:rPr>
        <w:t xml:space="preserve"> </w:t>
      </w:r>
      <w:proofErr w:type="gramStart"/>
      <w:r w:rsidRPr="0032528B">
        <w:rPr>
          <w:rFonts w:ascii="Times New Roman" w:hAnsi="Times New Roman" w:cs="Times New Roman"/>
          <w:sz w:val="24"/>
          <w:szCs w:val="24"/>
        </w:rPr>
        <w:t>by definition is</w:t>
      </w:r>
      <w:proofErr w:type="gramEnd"/>
      <w:r w:rsidRPr="0032528B">
        <w:rPr>
          <w:rFonts w:ascii="Times New Roman" w:hAnsi="Times New Roman" w:cs="Times New Roman"/>
          <w:sz w:val="24"/>
          <w:szCs w:val="24"/>
        </w:rPr>
        <w:t xml:space="preserve"> irregular and unconventional. The notion they are “special” gave rise in some to notions of superiority and exceptionalism</w:t>
      </w:r>
      <w:r w:rsidR="00253332" w:rsidRPr="0032528B">
        <w:rPr>
          <w:rFonts w:ascii="Times New Roman" w:hAnsi="Times New Roman" w:cs="Times New Roman"/>
          <w:sz w:val="24"/>
          <w:szCs w:val="24"/>
        </w:rPr>
        <w:t xml:space="preserve"> (para 5b of Chapter 3.01)</w:t>
      </w:r>
      <w:r w:rsidRPr="0032528B">
        <w:rPr>
          <w:rFonts w:ascii="Times New Roman" w:hAnsi="Times New Roman" w:cs="Times New Roman"/>
          <w:sz w:val="24"/>
          <w:szCs w:val="24"/>
        </w:rPr>
        <w:t xml:space="preserve">. Second, after having undergone gruelling selection and training, they are looking to prove themselves to their </w:t>
      </w:r>
      <w:r w:rsidR="00230A6C" w:rsidRPr="0032528B">
        <w:rPr>
          <w:rFonts w:ascii="Times New Roman" w:hAnsi="Times New Roman" w:cs="Times New Roman"/>
          <w:sz w:val="24"/>
          <w:szCs w:val="24"/>
        </w:rPr>
        <w:t xml:space="preserve">unit and to their </w:t>
      </w:r>
      <w:r w:rsidRPr="0032528B">
        <w:rPr>
          <w:rFonts w:ascii="Times New Roman" w:hAnsi="Times New Roman" w:cs="Times New Roman"/>
          <w:sz w:val="24"/>
          <w:szCs w:val="24"/>
        </w:rPr>
        <w:t>superiors. Third, they are deployed “in a foreign environment, far from the influence of the norms of ordinary Australian society, where the incident could be compartmentalised as something that happened outside the wire to stay outside the wire”</w:t>
      </w:r>
      <w:r w:rsidR="00253332" w:rsidRPr="0032528B">
        <w:rPr>
          <w:rFonts w:ascii="Times New Roman" w:hAnsi="Times New Roman" w:cs="Times New Roman"/>
          <w:sz w:val="24"/>
          <w:szCs w:val="24"/>
        </w:rPr>
        <w:t xml:space="preserve"> (para 27 of Chapter 1.01)</w:t>
      </w:r>
      <w:r w:rsidRPr="0032528B">
        <w:rPr>
          <w:rFonts w:ascii="Times New Roman" w:hAnsi="Times New Roman" w:cs="Times New Roman"/>
          <w:sz w:val="24"/>
          <w:szCs w:val="24"/>
        </w:rPr>
        <w:t>. Fourth, the Taliban has long been condemned and dehumanised at the highest political and military leadership levels, in Australia and by international allies. A hefty dose of anti-Islam</w:t>
      </w:r>
      <w:r w:rsidR="00253332" w:rsidRPr="0032528B">
        <w:rPr>
          <w:rFonts w:ascii="Times New Roman" w:hAnsi="Times New Roman" w:cs="Times New Roman"/>
          <w:sz w:val="24"/>
          <w:szCs w:val="24"/>
        </w:rPr>
        <w:t>ic</w:t>
      </w:r>
      <w:r w:rsidRPr="0032528B">
        <w:rPr>
          <w:rFonts w:ascii="Times New Roman" w:hAnsi="Times New Roman" w:cs="Times New Roman"/>
          <w:sz w:val="24"/>
          <w:szCs w:val="24"/>
        </w:rPr>
        <w:t xml:space="preserve"> bias</w:t>
      </w:r>
      <w:r w:rsidR="00230A6C" w:rsidRPr="0032528B">
        <w:rPr>
          <w:rFonts w:ascii="Times New Roman" w:hAnsi="Times New Roman" w:cs="Times New Roman"/>
          <w:sz w:val="24"/>
          <w:szCs w:val="24"/>
        </w:rPr>
        <w:t>,</w:t>
      </w:r>
      <w:r w:rsidRPr="0032528B">
        <w:rPr>
          <w:rFonts w:ascii="Times New Roman" w:hAnsi="Times New Roman" w:cs="Times New Roman"/>
          <w:sz w:val="24"/>
          <w:szCs w:val="24"/>
        </w:rPr>
        <w:t xml:space="preserve"> and a desire to punish for previous attacks</w:t>
      </w:r>
      <w:r w:rsidR="00230A6C" w:rsidRPr="0032528B">
        <w:rPr>
          <w:rFonts w:ascii="Times New Roman" w:hAnsi="Times New Roman" w:cs="Times New Roman"/>
          <w:sz w:val="24"/>
          <w:szCs w:val="24"/>
        </w:rPr>
        <w:t>,</w:t>
      </w:r>
      <w:r w:rsidRPr="0032528B">
        <w:rPr>
          <w:rFonts w:ascii="Times New Roman" w:hAnsi="Times New Roman" w:cs="Times New Roman"/>
          <w:sz w:val="24"/>
          <w:szCs w:val="24"/>
        </w:rPr>
        <w:t xml:space="preserve"> has been </w:t>
      </w:r>
      <w:r w:rsidR="00230A6C" w:rsidRPr="0032528B">
        <w:rPr>
          <w:rFonts w:ascii="Times New Roman" w:hAnsi="Times New Roman" w:cs="Times New Roman"/>
          <w:sz w:val="24"/>
          <w:szCs w:val="24"/>
        </w:rPr>
        <w:t>part</w:t>
      </w:r>
      <w:r w:rsidRPr="0032528B">
        <w:rPr>
          <w:rFonts w:ascii="Times New Roman" w:hAnsi="Times New Roman" w:cs="Times New Roman"/>
          <w:sz w:val="24"/>
          <w:szCs w:val="24"/>
        </w:rPr>
        <w:t xml:space="preserve"> of this narrative. Fifth, the amount of firepower and resources the</w:t>
      </w:r>
      <w:r w:rsidR="00230A6C" w:rsidRPr="0032528B">
        <w:rPr>
          <w:rFonts w:ascii="Times New Roman" w:hAnsi="Times New Roman" w:cs="Times New Roman"/>
          <w:sz w:val="24"/>
          <w:szCs w:val="24"/>
        </w:rPr>
        <w:t xml:space="preserve"> SASR</w:t>
      </w:r>
      <w:r w:rsidRPr="0032528B">
        <w:rPr>
          <w:rFonts w:ascii="Times New Roman" w:hAnsi="Times New Roman" w:cs="Times New Roman"/>
          <w:sz w:val="24"/>
          <w:szCs w:val="24"/>
        </w:rPr>
        <w:t xml:space="preserve"> ha</w:t>
      </w:r>
      <w:r w:rsidR="00230A6C" w:rsidRPr="0032528B">
        <w:rPr>
          <w:rFonts w:ascii="Times New Roman" w:hAnsi="Times New Roman" w:cs="Times New Roman"/>
          <w:sz w:val="24"/>
          <w:szCs w:val="24"/>
        </w:rPr>
        <w:t>s</w:t>
      </w:r>
      <w:r w:rsidRPr="0032528B">
        <w:rPr>
          <w:rFonts w:ascii="Times New Roman" w:hAnsi="Times New Roman" w:cs="Times New Roman"/>
          <w:sz w:val="24"/>
          <w:szCs w:val="24"/>
        </w:rPr>
        <w:t xml:space="preserve"> available is completely disproportionate to the poorly-equipped </w:t>
      </w:r>
      <w:r w:rsidR="00230A6C" w:rsidRPr="0032528B">
        <w:rPr>
          <w:rFonts w:ascii="Times New Roman" w:hAnsi="Times New Roman" w:cs="Times New Roman"/>
          <w:sz w:val="24"/>
          <w:szCs w:val="24"/>
        </w:rPr>
        <w:t>villagers</w:t>
      </w:r>
      <w:r w:rsidRPr="0032528B">
        <w:rPr>
          <w:rFonts w:ascii="Times New Roman" w:hAnsi="Times New Roman" w:cs="Times New Roman"/>
          <w:sz w:val="24"/>
          <w:szCs w:val="24"/>
        </w:rPr>
        <w:t xml:space="preserve"> they encounter. In such an environment, combined with repeated tours over a decade, “a ‘Lord of the Flies’ syndrome” can prosper</w:t>
      </w:r>
      <w:r w:rsidR="00253332" w:rsidRPr="0032528B">
        <w:rPr>
          <w:rFonts w:ascii="Times New Roman" w:hAnsi="Times New Roman" w:cs="Times New Roman"/>
          <w:sz w:val="24"/>
          <w:szCs w:val="24"/>
        </w:rPr>
        <w:t xml:space="preserve"> (paras 13, 41 of Chapter 3.01)</w:t>
      </w:r>
      <w:r w:rsidRPr="0032528B">
        <w:rPr>
          <w:rFonts w:ascii="Times New Roman" w:hAnsi="Times New Roman" w:cs="Times New Roman"/>
          <w:sz w:val="24"/>
          <w:szCs w:val="24"/>
        </w:rPr>
        <w:t xml:space="preserve">, and it is completely unrealistic to assume that every </w:t>
      </w:r>
      <w:r w:rsidR="00230A6C" w:rsidRPr="0032528B">
        <w:rPr>
          <w:rFonts w:ascii="Times New Roman" w:hAnsi="Times New Roman" w:cs="Times New Roman"/>
          <w:sz w:val="24"/>
          <w:szCs w:val="24"/>
        </w:rPr>
        <w:t>soldier</w:t>
      </w:r>
      <w:r w:rsidRPr="0032528B">
        <w:rPr>
          <w:rFonts w:ascii="Times New Roman" w:hAnsi="Times New Roman" w:cs="Times New Roman"/>
          <w:sz w:val="24"/>
          <w:szCs w:val="24"/>
        </w:rPr>
        <w:t xml:space="preserve"> will abide by the rules. Moreover, there was evidence that </w:t>
      </w:r>
      <w:r w:rsidRPr="0032528B">
        <w:rPr>
          <w:rFonts w:ascii="Times New Roman" w:hAnsi="Times New Roman" w:cs="Times New Roman"/>
          <w:color w:val="000000"/>
          <w:sz w:val="24"/>
          <w:szCs w:val="24"/>
          <w:lang w:val="en-AU"/>
        </w:rPr>
        <w:t xml:space="preserve">troop commanders already knew of a decline in standards </w:t>
      </w:r>
      <w:r w:rsidR="001421A4" w:rsidRPr="0032528B">
        <w:rPr>
          <w:rFonts w:ascii="Times New Roman" w:hAnsi="Times New Roman" w:cs="Times New Roman"/>
          <w:color w:val="000000"/>
          <w:sz w:val="24"/>
          <w:szCs w:val="24"/>
          <w:lang w:val="en-AU"/>
        </w:rPr>
        <w:t>in</w:t>
      </w:r>
      <w:r w:rsidRPr="0032528B">
        <w:rPr>
          <w:rFonts w:ascii="Times New Roman" w:hAnsi="Times New Roman" w:cs="Times New Roman"/>
          <w:color w:val="000000"/>
          <w:sz w:val="24"/>
          <w:szCs w:val="24"/>
          <w:lang w:val="en-AU"/>
        </w:rPr>
        <w:t xml:space="preserve"> the use of ‘throwdowns’ to make accidental/mistaken kills look legitimate</w:t>
      </w:r>
      <w:r w:rsidR="001421A4" w:rsidRPr="0032528B">
        <w:rPr>
          <w:rFonts w:ascii="Times New Roman" w:hAnsi="Times New Roman" w:cs="Times New Roman"/>
          <w:color w:val="000000"/>
          <w:sz w:val="24"/>
          <w:szCs w:val="24"/>
          <w:lang w:val="en-AU"/>
        </w:rPr>
        <w:t xml:space="preserve"> (</w:t>
      </w:r>
      <w:r w:rsidR="001421A4" w:rsidRPr="0032528B">
        <w:rPr>
          <w:rFonts w:ascii="Times New Roman" w:hAnsi="Times New Roman" w:cs="Times New Roman"/>
          <w:sz w:val="24"/>
          <w:szCs w:val="24"/>
        </w:rPr>
        <w:t>paras 30, 33 of Chapter 1.01)</w:t>
      </w:r>
      <w:r w:rsidRPr="0032528B">
        <w:rPr>
          <w:rFonts w:ascii="Times New Roman" w:hAnsi="Times New Roman" w:cs="Times New Roman"/>
          <w:color w:val="000000"/>
          <w:sz w:val="24"/>
          <w:szCs w:val="24"/>
          <w:lang w:val="en-AU"/>
        </w:rPr>
        <w:t>.</w:t>
      </w:r>
      <w:r w:rsidRPr="0032528B">
        <w:rPr>
          <w:rFonts w:ascii="Times New Roman" w:hAnsi="Times New Roman" w:cs="Times New Roman"/>
          <w:sz w:val="24"/>
          <w:szCs w:val="24"/>
        </w:rPr>
        <w:t xml:space="preserve"> </w:t>
      </w:r>
      <w:r w:rsidR="006C0786" w:rsidRPr="0032528B">
        <w:rPr>
          <w:rFonts w:ascii="Times New Roman" w:hAnsi="Times New Roman" w:cs="Times New Roman"/>
          <w:sz w:val="24"/>
          <w:szCs w:val="24"/>
        </w:rPr>
        <w:t>I</w:t>
      </w:r>
      <w:r w:rsidR="00A46ABB">
        <w:rPr>
          <w:rFonts w:ascii="Times New Roman" w:hAnsi="Times New Roman" w:cs="Times New Roman"/>
          <w:sz w:val="24"/>
          <w:szCs w:val="24"/>
        </w:rPr>
        <w:t>n all, i</w:t>
      </w:r>
      <w:r w:rsidR="006C0786" w:rsidRPr="0032528B">
        <w:rPr>
          <w:rFonts w:ascii="Times New Roman" w:hAnsi="Times New Roman" w:cs="Times New Roman"/>
          <w:sz w:val="24"/>
          <w:szCs w:val="24"/>
        </w:rPr>
        <w:t xml:space="preserve">t is difficult to accept that </w:t>
      </w:r>
      <w:r w:rsidR="001421A4" w:rsidRPr="0032528B">
        <w:rPr>
          <w:rFonts w:ascii="Times New Roman" w:hAnsi="Times New Roman" w:cs="Times New Roman"/>
          <w:sz w:val="24"/>
          <w:szCs w:val="24"/>
        </w:rPr>
        <w:t>s</w:t>
      </w:r>
      <w:r w:rsidR="006C0786" w:rsidRPr="0032528B">
        <w:rPr>
          <w:rFonts w:ascii="Times New Roman" w:hAnsi="Times New Roman" w:cs="Times New Roman"/>
          <w:sz w:val="24"/>
          <w:szCs w:val="24"/>
        </w:rPr>
        <w:t>uch a risk is</w:t>
      </w:r>
      <w:r w:rsidR="001421A4" w:rsidRPr="0032528B">
        <w:rPr>
          <w:rFonts w:ascii="Times New Roman" w:hAnsi="Times New Roman" w:cs="Times New Roman"/>
          <w:sz w:val="24"/>
          <w:szCs w:val="24"/>
        </w:rPr>
        <w:t xml:space="preserve"> recognisable</w:t>
      </w:r>
      <w:r w:rsidR="006C0786" w:rsidRPr="0032528B">
        <w:rPr>
          <w:rFonts w:ascii="Times New Roman" w:hAnsi="Times New Roman" w:cs="Times New Roman"/>
          <w:sz w:val="24"/>
          <w:szCs w:val="24"/>
        </w:rPr>
        <w:t xml:space="preserve"> </w:t>
      </w:r>
      <w:r w:rsidR="00901046" w:rsidRPr="0032528B">
        <w:rPr>
          <w:rFonts w:ascii="Times New Roman" w:hAnsi="Times New Roman" w:cs="Times New Roman"/>
          <w:sz w:val="24"/>
          <w:szCs w:val="24"/>
        </w:rPr>
        <w:t>only</w:t>
      </w:r>
      <w:r w:rsidR="006C0786" w:rsidRPr="0032528B">
        <w:rPr>
          <w:rFonts w:ascii="Times New Roman" w:hAnsi="Times New Roman" w:cs="Times New Roman"/>
          <w:sz w:val="24"/>
          <w:szCs w:val="24"/>
        </w:rPr>
        <w:t xml:space="preserve"> in hindsight. </w:t>
      </w:r>
    </w:p>
    <w:p w:rsidR="00693C60" w:rsidRPr="0032528B" w:rsidRDefault="00693C60" w:rsidP="00693C60">
      <w:pPr>
        <w:autoSpaceDE w:val="0"/>
        <w:autoSpaceDN w:val="0"/>
        <w:adjustRightInd w:val="0"/>
        <w:spacing w:after="0" w:line="240" w:lineRule="auto"/>
        <w:rPr>
          <w:rFonts w:ascii="Times New Roman" w:hAnsi="Times New Roman" w:cs="Times New Roman"/>
          <w:sz w:val="24"/>
          <w:szCs w:val="24"/>
        </w:rPr>
      </w:pPr>
    </w:p>
    <w:p w:rsidR="00693C60" w:rsidRPr="0032528B" w:rsidRDefault="00693C60" w:rsidP="00693C60">
      <w:pPr>
        <w:autoSpaceDE w:val="0"/>
        <w:autoSpaceDN w:val="0"/>
        <w:adjustRightInd w:val="0"/>
        <w:spacing w:after="0" w:line="240" w:lineRule="auto"/>
        <w:jc w:val="both"/>
        <w:rPr>
          <w:rFonts w:ascii="Times New Roman" w:hAnsi="Times New Roman" w:cs="Times New Roman"/>
          <w:color w:val="000000"/>
          <w:sz w:val="24"/>
          <w:szCs w:val="24"/>
          <w:lang w:val="en-AU"/>
        </w:rPr>
      </w:pPr>
      <w:r w:rsidRPr="0032528B">
        <w:rPr>
          <w:rFonts w:ascii="Times New Roman" w:hAnsi="Times New Roman" w:cs="Times New Roman"/>
          <w:color w:val="000000"/>
          <w:sz w:val="24"/>
          <w:szCs w:val="24"/>
          <w:lang w:val="en-AU"/>
        </w:rPr>
        <w:t xml:space="preserve">Article 28 of the ICC Statute speaks of when a superior “knew or owing to the circumstances of the time, </w:t>
      </w:r>
      <w:r w:rsidRPr="0032528B">
        <w:rPr>
          <w:rFonts w:ascii="Times New Roman" w:hAnsi="Times New Roman" w:cs="Times New Roman"/>
          <w:i/>
          <w:color w:val="000000"/>
          <w:sz w:val="24"/>
          <w:szCs w:val="24"/>
          <w:lang w:val="en-AU"/>
        </w:rPr>
        <w:t>should have known</w:t>
      </w:r>
      <w:r w:rsidRPr="0032528B">
        <w:rPr>
          <w:rFonts w:ascii="Times New Roman" w:hAnsi="Times New Roman" w:cs="Times New Roman"/>
          <w:color w:val="000000"/>
          <w:sz w:val="24"/>
          <w:szCs w:val="24"/>
          <w:lang w:val="en-AU"/>
        </w:rPr>
        <w:t xml:space="preserve"> that the forces were committing or about to commit such crimes”, and has made clear that failure to seek out such information could lead to liability</w:t>
      </w:r>
      <w:r w:rsidR="001421A4" w:rsidRPr="0032528B">
        <w:rPr>
          <w:rFonts w:ascii="Times New Roman" w:hAnsi="Times New Roman" w:cs="Times New Roman"/>
          <w:color w:val="000000"/>
          <w:sz w:val="24"/>
          <w:szCs w:val="24"/>
          <w:lang w:val="en-AU"/>
        </w:rPr>
        <w:t xml:space="preserve"> (</w:t>
      </w:r>
      <w:hyperlink r:id="rId31" w:history="1">
        <w:r w:rsidR="001421A4" w:rsidRPr="0032528B">
          <w:rPr>
            <w:rStyle w:val="Hyperlink"/>
            <w:rFonts w:ascii="Times New Roman" w:hAnsi="Times New Roman" w:cs="Times New Roman"/>
            <w:i/>
            <w:sz w:val="24"/>
            <w:szCs w:val="24"/>
            <w:lang w:val="en-AU"/>
          </w:rPr>
          <w:t>Bemba</w:t>
        </w:r>
      </w:hyperlink>
      <w:r w:rsidR="001421A4" w:rsidRPr="0032528B">
        <w:rPr>
          <w:rFonts w:ascii="Times New Roman" w:hAnsi="Times New Roman" w:cs="Times New Roman"/>
          <w:color w:val="000000"/>
          <w:sz w:val="24"/>
          <w:szCs w:val="24"/>
          <w:lang w:val="en-AU"/>
        </w:rPr>
        <w:t>, para 432-433)</w:t>
      </w:r>
      <w:r w:rsidRPr="0032528B">
        <w:rPr>
          <w:rFonts w:ascii="Times New Roman" w:hAnsi="Times New Roman" w:cs="Times New Roman"/>
          <w:color w:val="000000"/>
          <w:sz w:val="24"/>
          <w:szCs w:val="24"/>
          <w:lang w:val="en-AU"/>
        </w:rPr>
        <w:t xml:space="preserve">. However, </w:t>
      </w:r>
      <w:r w:rsidR="00A46ABB">
        <w:rPr>
          <w:rFonts w:ascii="Times New Roman" w:hAnsi="Times New Roman" w:cs="Times New Roman"/>
          <w:color w:val="000000"/>
          <w:sz w:val="24"/>
          <w:szCs w:val="24"/>
          <w:lang w:val="en-AU"/>
        </w:rPr>
        <w:t xml:space="preserve">Australia’s </w:t>
      </w:r>
      <w:r w:rsidRPr="0032528B">
        <w:rPr>
          <w:rFonts w:ascii="Times New Roman" w:hAnsi="Times New Roman" w:cs="Times New Roman"/>
          <w:color w:val="000000"/>
          <w:sz w:val="24"/>
          <w:szCs w:val="24"/>
          <w:lang w:val="en-AU"/>
        </w:rPr>
        <w:t xml:space="preserve">s268.115(2)(a) refers to </w:t>
      </w:r>
      <w:r w:rsidRPr="0032528B">
        <w:rPr>
          <w:rFonts w:ascii="Times New Roman" w:hAnsi="Times New Roman" w:cs="Times New Roman"/>
          <w:i/>
          <w:color w:val="000000"/>
          <w:sz w:val="24"/>
          <w:szCs w:val="24"/>
          <w:lang w:val="en-AU"/>
        </w:rPr>
        <w:t>recklessness</w:t>
      </w:r>
      <w:r w:rsidRPr="0032528B">
        <w:rPr>
          <w:rFonts w:ascii="Times New Roman" w:hAnsi="Times New Roman" w:cs="Times New Roman"/>
          <w:color w:val="000000"/>
          <w:sz w:val="24"/>
          <w:szCs w:val="24"/>
          <w:lang w:val="en-AU"/>
        </w:rPr>
        <w:t xml:space="preserve">, which is a different standard to </w:t>
      </w:r>
      <w:r w:rsidR="00E02B0D" w:rsidRPr="0032528B">
        <w:rPr>
          <w:rFonts w:ascii="Times New Roman" w:hAnsi="Times New Roman" w:cs="Times New Roman"/>
          <w:color w:val="000000"/>
          <w:sz w:val="24"/>
          <w:szCs w:val="24"/>
          <w:lang w:val="en-AU"/>
        </w:rPr>
        <w:t xml:space="preserve">“had reason to know” </w:t>
      </w:r>
      <w:r w:rsidRPr="0032528B">
        <w:rPr>
          <w:rFonts w:ascii="Times New Roman" w:hAnsi="Times New Roman" w:cs="Times New Roman"/>
          <w:color w:val="000000"/>
          <w:sz w:val="24"/>
          <w:szCs w:val="24"/>
          <w:lang w:val="en-AU"/>
        </w:rPr>
        <w:t xml:space="preserve">in Article 28. Perhaps </w:t>
      </w:r>
      <w:r w:rsidR="00A46ABB">
        <w:rPr>
          <w:rFonts w:ascii="Times New Roman" w:hAnsi="Times New Roman" w:cs="Times New Roman"/>
          <w:color w:val="000000"/>
          <w:sz w:val="24"/>
          <w:szCs w:val="24"/>
          <w:lang w:val="en-AU"/>
        </w:rPr>
        <w:t>it</w:t>
      </w:r>
      <w:r w:rsidRPr="0032528B">
        <w:rPr>
          <w:rFonts w:ascii="Times New Roman" w:hAnsi="Times New Roman" w:cs="Times New Roman"/>
          <w:color w:val="000000"/>
          <w:sz w:val="24"/>
          <w:szCs w:val="24"/>
          <w:lang w:val="en-AU"/>
        </w:rPr>
        <w:t xml:space="preserve"> is closer to the test applied in the ICTY Trial Chamber in </w:t>
      </w:r>
      <w:hyperlink r:id="rId32" w:history="1">
        <w:proofErr w:type="spellStart"/>
        <w:r w:rsidRPr="0032528B">
          <w:rPr>
            <w:rStyle w:val="Hyperlink"/>
            <w:rFonts w:ascii="Times New Roman" w:hAnsi="Times New Roman" w:cs="Times New Roman"/>
            <w:i/>
            <w:sz w:val="24"/>
            <w:szCs w:val="24"/>
            <w:lang w:val="en-AU"/>
          </w:rPr>
          <w:t>Blaskic</w:t>
        </w:r>
        <w:proofErr w:type="spellEnd"/>
      </w:hyperlink>
      <w:r w:rsidRPr="0032528B">
        <w:rPr>
          <w:rFonts w:ascii="Times New Roman" w:hAnsi="Times New Roman" w:cs="Times New Roman"/>
          <w:color w:val="000000"/>
          <w:sz w:val="24"/>
          <w:szCs w:val="24"/>
          <w:lang w:val="en-AU"/>
        </w:rPr>
        <w:t xml:space="preserve">; where the “absence of knowledge is the result of </w:t>
      </w:r>
      <w:r w:rsidRPr="0032528B">
        <w:rPr>
          <w:rFonts w:ascii="Times New Roman" w:hAnsi="Times New Roman" w:cs="Times New Roman"/>
          <w:i/>
          <w:color w:val="000000"/>
          <w:sz w:val="24"/>
          <w:szCs w:val="24"/>
          <w:lang w:val="en-AU"/>
        </w:rPr>
        <w:t>negligence</w:t>
      </w:r>
      <w:r w:rsidRPr="0032528B">
        <w:rPr>
          <w:rFonts w:ascii="Times New Roman" w:hAnsi="Times New Roman" w:cs="Times New Roman"/>
          <w:color w:val="000000"/>
          <w:sz w:val="24"/>
          <w:szCs w:val="24"/>
          <w:lang w:val="en-AU"/>
        </w:rPr>
        <w:t xml:space="preserve"> in the discharge of his duties”, this amounted to </w:t>
      </w:r>
      <w:r w:rsidR="00901046" w:rsidRPr="0032528B">
        <w:rPr>
          <w:rFonts w:ascii="Times New Roman" w:hAnsi="Times New Roman" w:cs="Times New Roman"/>
          <w:color w:val="000000"/>
          <w:sz w:val="24"/>
          <w:szCs w:val="24"/>
          <w:lang w:val="en-AU"/>
        </w:rPr>
        <w:t>“</w:t>
      </w:r>
      <w:r w:rsidRPr="0032528B">
        <w:rPr>
          <w:rFonts w:ascii="Times New Roman" w:hAnsi="Times New Roman" w:cs="Times New Roman"/>
          <w:color w:val="000000"/>
          <w:sz w:val="24"/>
          <w:szCs w:val="24"/>
          <w:lang w:val="en-AU"/>
        </w:rPr>
        <w:t>reason to know</w:t>
      </w:r>
      <w:r w:rsidR="00901046" w:rsidRPr="0032528B">
        <w:rPr>
          <w:rFonts w:ascii="Times New Roman" w:hAnsi="Times New Roman" w:cs="Times New Roman"/>
          <w:color w:val="000000"/>
          <w:sz w:val="24"/>
          <w:szCs w:val="24"/>
          <w:lang w:val="en-AU"/>
        </w:rPr>
        <w:t>”</w:t>
      </w:r>
      <w:r w:rsidRPr="0032528B">
        <w:rPr>
          <w:rFonts w:ascii="Times New Roman" w:hAnsi="Times New Roman" w:cs="Times New Roman"/>
          <w:color w:val="000000"/>
          <w:sz w:val="24"/>
          <w:szCs w:val="24"/>
          <w:lang w:val="en-AU"/>
        </w:rPr>
        <w:t xml:space="preserve"> within the meaning of the Statute</w:t>
      </w:r>
      <w:r w:rsidR="001421A4" w:rsidRPr="0032528B">
        <w:rPr>
          <w:rFonts w:ascii="Times New Roman" w:hAnsi="Times New Roman" w:cs="Times New Roman"/>
          <w:color w:val="000000"/>
          <w:sz w:val="24"/>
          <w:szCs w:val="24"/>
          <w:lang w:val="en-AU"/>
        </w:rPr>
        <w:t xml:space="preserve"> (para 332)</w:t>
      </w:r>
      <w:r w:rsidR="00E02B0D" w:rsidRPr="0032528B">
        <w:rPr>
          <w:rFonts w:ascii="Times New Roman" w:hAnsi="Times New Roman" w:cs="Times New Roman"/>
          <w:color w:val="000000"/>
          <w:sz w:val="24"/>
          <w:szCs w:val="24"/>
          <w:lang w:val="en-AU"/>
        </w:rPr>
        <w:t xml:space="preserve"> [t</w:t>
      </w:r>
      <w:r w:rsidR="001421A4" w:rsidRPr="0032528B">
        <w:rPr>
          <w:rFonts w:ascii="Times New Roman" w:hAnsi="Times New Roman" w:cs="Times New Roman"/>
          <w:color w:val="000000"/>
          <w:sz w:val="24"/>
          <w:szCs w:val="24"/>
          <w:lang w:val="en-AU"/>
        </w:rPr>
        <w:t xml:space="preserve">his </w:t>
      </w:r>
      <w:r w:rsidR="00901046" w:rsidRPr="0032528B">
        <w:rPr>
          <w:rFonts w:ascii="Times New Roman" w:hAnsi="Times New Roman" w:cs="Times New Roman"/>
          <w:color w:val="000000"/>
          <w:sz w:val="24"/>
          <w:szCs w:val="24"/>
          <w:lang w:val="en-AU"/>
        </w:rPr>
        <w:t>was rejected</w:t>
      </w:r>
      <w:r w:rsidR="001421A4" w:rsidRPr="0032528B">
        <w:rPr>
          <w:rFonts w:ascii="Times New Roman" w:hAnsi="Times New Roman" w:cs="Times New Roman"/>
          <w:color w:val="000000"/>
          <w:sz w:val="24"/>
          <w:szCs w:val="24"/>
          <w:lang w:val="en-AU"/>
        </w:rPr>
        <w:t xml:space="preserve"> in the</w:t>
      </w:r>
      <w:r w:rsidR="0032528B">
        <w:rPr>
          <w:rFonts w:ascii="Times New Roman" w:hAnsi="Times New Roman" w:cs="Times New Roman"/>
          <w:color w:val="000000"/>
          <w:sz w:val="24"/>
          <w:szCs w:val="24"/>
          <w:lang w:val="en-AU"/>
        </w:rPr>
        <w:t xml:space="preserve"> </w:t>
      </w:r>
      <w:proofErr w:type="spellStart"/>
      <w:r w:rsidR="0032528B" w:rsidRPr="0032528B">
        <w:rPr>
          <w:rFonts w:ascii="Times New Roman" w:hAnsi="Times New Roman" w:cs="Times New Roman"/>
          <w:i/>
          <w:color w:val="000000"/>
          <w:sz w:val="24"/>
          <w:szCs w:val="24"/>
          <w:lang w:val="en-AU"/>
        </w:rPr>
        <w:t>Blaskic</w:t>
      </w:r>
      <w:proofErr w:type="spellEnd"/>
      <w:r w:rsidR="001421A4" w:rsidRPr="0032528B">
        <w:rPr>
          <w:rFonts w:ascii="Times New Roman" w:hAnsi="Times New Roman" w:cs="Times New Roman"/>
          <w:color w:val="000000"/>
          <w:sz w:val="24"/>
          <w:szCs w:val="24"/>
          <w:lang w:val="en-AU"/>
        </w:rPr>
        <w:t xml:space="preserve"> </w:t>
      </w:r>
      <w:hyperlink r:id="rId33" w:history="1">
        <w:r w:rsidR="00E02B0D" w:rsidRPr="0032528B">
          <w:rPr>
            <w:rStyle w:val="Hyperlink"/>
            <w:rFonts w:ascii="Times New Roman" w:hAnsi="Times New Roman" w:cs="Times New Roman"/>
            <w:sz w:val="24"/>
            <w:szCs w:val="24"/>
            <w:lang w:val="en-AU"/>
          </w:rPr>
          <w:t>Appeals Chamber</w:t>
        </w:r>
      </w:hyperlink>
      <w:r w:rsidR="00E02B0D" w:rsidRPr="0032528B">
        <w:rPr>
          <w:rFonts w:ascii="Times New Roman" w:hAnsi="Times New Roman" w:cs="Times New Roman"/>
          <w:color w:val="000000"/>
          <w:sz w:val="24"/>
          <w:szCs w:val="24"/>
          <w:lang w:val="en-AU"/>
        </w:rPr>
        <w:t xml:space="preserve"> (para 63), which preferred to endorse the </w:t>
      </w:r>
      <w:hyperlink r:id="rId34" w:history="1">
        <w:proofErr w:type="spellStart"/>
        <w:r w:rsidR="00E02B0D" w:rsidRPr="0032528B">
          <w:rPr>
            <w:rStyle w:val="Hyperlink"/>
            <w:rFonts w:ascii="Times New Roman" w:hAnsi="Times New Roman" w:cs="Times New Roman"/>
            <w:i/>
            <w:sz w:val="24"/>
            <w:szCs w:val="24"/>
            <w:lang w:val="en-AU"/>
          </w:rPr>
          <w:t>Celebici</w:t>
        </w:r>
        <w:proofErr w:type="spellEnd"/>
      </w:hyperlink>
      <w:r w:rsidR="00D402C3" w:rsidRPr="0032528B">
        <w:rPr>
          <w:rFonts w:ascii="Times New Roman" w:hAnsi="Times New Roman" w:cs="Times New Roman"/>
          <w:color w:val="000000"/>
          <w:sz w:val="24"/>
          <w:szCs w:val="24"/>
          <w:lang w:val="en-AU"/>
        </w:rPr>
        <w:t xml:space="preserve"> </w:t>
      </w:r>
      <w:r w:rsidR="00E02B0D" w:rsidRPr="0032528B">
        <w:rPr>
          <w:rFonts w:ascii="Times New Roman" w:hAnsi="Times New Roman" w:cs="Times New Roman"/>
          <w:color w:val="000000"/>
          <w:sz w:val="24"/>
          <w:szCs w:val="24"/>
          <w:lang w:val="en-AU"/>
        </w:rPr>
        <w:t>Appeals Chamber’s interpretation of “had reason to know”</w:t>
      </w:r>
      <w:r w:rsidR="00D402C3" w:rsidRPr="0032528B">
        <w:rPr>
          <w:rFonts w:ascii="Times New Roman" w:hAnsi="Times New Roman" w:cs="Times New Roman"/>
          <w:color w:val="000000"/>
          <w:sz w:val="24"/>
          <w:szCs w:val="24"/>
          <w:lang w:val="en-AU"/>
        </w:rPr>
        <w:t xml:space="preserve"> (para 241)</w:t>
      </w:r>
      <w:r w:rsidR="00E02B0D" w:rsidRPr="0032528B">
        <w:rPr>
          <w:rFonts w:ascii="Times New Roman" w:hAnsi="Times New Roman" w:cs="Times New Roman"/>
          <w:color w:val="000000"/>
          <w:sz w:val="24"/>
          <w:szCs w:val="24"/>
          <w:lang w:val="en-AU"/>
        </w:rPr>
        <w:t>.]</w:t>
      </w:r>
      <w:r w:rsidR="001421A4" w:rsidRPr="0032528B">
        <w:rPr>
          <w:rFonts w:ascii="Times New Roman" w:hAnsi="Times New Roman" w:cs="Times New Roman"/>
          <w:color w:val="000000"/>
          <w:sz w:val="24"/>
          <w:szCs w:val="24"/>
          <w:lang w:val="en-AU"/>
        </w:rPr>
        <w:t xml:space="preserve"> </w:t>
      </w:r>
      <w:r w:rsidR="00D402C3" w:rsidRPr="0032528B">
        <w:rPr>
          <w:rFonts w:ascii="Times New Roman" w:hAnsi="Times New Roman" w:cs="Times New Roman"/>
          <w:color w:val="000000"/>
          <w:sz w:val="24"/>
          <w:szCs w:val="24"/>
          <w:lang w:val="en-AU"/>
        </w:rPr>
        <w:t>E</w:t>
      </w:r>
      <w:r w:rsidR="00E02B0D" w:rsidRPr="0032528B">
        <w:rPr>
          <w:rFonts w:ascii="Times New Roman" w:hAnsi="Times New Roman" w:cs="Times New Roman"/>
          <w:color w:val="000000"/>
          <w:sz w:val="24"/>
          <w:szCs w:val="24"/>
          <w:lang w:val="en-AU"/>
        </w:rPr>
        <w:t>ven i</w:t>
      </w:r>
      <w:r w:rsidRPr="0032528B">
        <w:rPr>
          <w:rFonts w:ascii="Times New Roman" w:hAnsi="Times New Roman" w:cs="Times New Roman"/>
          <w:color w:val="000000"/>
          <w:sz w:val="24"/>
          <w:szCs w:val="24"/>
          <w:lang w:val="en-AU"/>
        </w:rPr>
        <w:t xml:space="preserve">f </w:t>
      </w:r>
      <w:r w:rsidR="00E02B0D" w:rsidRPr="0032528B">
        <w:rPr>
          <w:rFonts w:ascii="Times New Roman" w:hAnsi="Times New Roman" w:cs="Times New Roman"/>
          <w:color w:val="000000"/>
          <w:sz w:val="24"/>
          <w:szCs w:val="24"/>
          <w:lang w:val="en-AU"/>
        </w:rPr>
        <w:t>it</w:t>
      </w:r>
      <w:r w:rsidRPr="0032528B">
        <w:rPr>
          <w:rFonts w:ascii="Times New Roman" w:hAnsi="Times New Roman" w:cs="Times New Roman"/>
          <w:color w:val="000000"/>
          <w:sz w:val="24"/>
          <w:szCs w:val="24"/>
          <w:lang w:val="en-AU"/>
        </w:rPr>
        <w:t xml:space="preserve"> is </w:t>
      </w:r>
      <w:r w:rsidR="00901046" w:rsidRPr="0032528B">
        <w:rPr>
          <w:rFonts w:ascii="Times New Roman" w:hAnsi="Times New Roman" w:cs="Times New Roman"/>
          <w:color w:val="000000"/>
          <w:sz w:val="24"/>
          <w:szCs w:val="24"/>
          <w:lang w:val="en-AU"/>
        </w:rPr>
        <w:t xml:space="preserve">nonetheless </w:t>
      </w:r>
      <w:r w:rsidRPr="0032528B">
        <w:rPr>
          <w:rFonts w:ascii="Times New Roman" w:hAnsi="Times New Roman" w:cs="Times New Roman"/>
          <w:color w:val="000000"/>
          <w:sz w:val="24"/>
          <w:szCs w:val="24"/>
          <w:lang w:val="en-AU"/>
        </w:rPr>
        <w:t xml:space="preserve">the closest </w:t>
      </w:r>
      <w:r w:rsidR="00901046" w:rsidRPr="0032528B">
        <w:rPr>
          <w:rFonts w:ascii="Times New Roman" w:hAnsi="Times New Roman" w:cs="Times New Roman"/>
          <w:color w:val="000000"/>
          <w:sz w:val="24"/>
          <w:szCs w:val="24"/>
          <w:lang w:val="en-AU"/>
        </w:rPr>
        <w:t xml:space="preserve">case </w:t>
      </w:r>
      <w:r w:rsidRPr="0032528B">
        <w:rPr>
          <w:rFonts w:ascii="Times New Roman" w:hAnsi="Times New Roman" w:cs="Times New Roman"/>
          <w:color w:val="000000"/>
          <w:sz w:val="24"/>
          <w:szCs w:val="24"/>
          <w:lang w:val="en-AU"/>
        </w:rPr>
        <w:t xml:space="preserve">to the wording of s268.115(2), it is </w:t>
      </w:r>
      <w:r w:rsidR="00901046" w:rsidRPr="0032528B">
        <w:rPr>
          <w:rFonts w:ascii="Times New Roman" w:hAnsi="Times New Roman" w:cs="Times New Roman"/>
          <w:color w:val="000000"/>
          <w:sz w:val="24"/>
          <w:szCs w:val="24"/>
          <w:lang w:val="en-AU"/>
        </w:rPr>
        <w:t xml:space="preserve">still </w:t>
      </w:r>
      <w:r w:rsidRPr="0032528B">
        <w:rPr>
          <w:rFonts w:ascii="Times New Roman" w:hAnsi="Times New Roman" w:cs="Times New Roman"/>
          <w:color w:val="000000"/>
          <w:sz w:val="24"/>
          <w:szCs w:val="24"/>
          <w:lang w:val="en-AU"/>
        </w:rPr>
        <w:t xml:space="preserve">most unclear whether the factors </w:t>
      </w:r>
      <w:r w:rsidR="00A46ABB">
        <w:rPr>
          <w:rFonts w:ascii="Times New Roman" w:hAnsi="Times New Roman" w:cs="Times New Roman"/>
          <w:color w:val="000000"/>
          <w:sz w:val="24"/>
          <w:szCs w:val="24"/>
          <w:lang w:val="en-AU"/>
        </w:rPr>
        <w:t xml:space="preserve">in the preceding paragraph </w:t>
      </w:r>
      <w:r w:rsidRPr="0032528B">
        <w:rPr>
          <w:rFonts w:ascii="Times New Roman" w:hAnsi="Times New Roman" w:cs="Times New Roman"/>
          <w:color w:val="000000"/>
          <w:sz w:val="24"/>
          <w:szCs w:val="24"/>
          <w:lang w:val="en-AU"/>
        </w:rPr>
        <w:t>would amount to ‘recklessness’</w:t>
      </w:r>
      <w:r w:rsidR="00A46ABB">
        <w:rPr>
          <w:rFonts w:ascii="Times New Roman" w:hAnsi="Times New Roman" w:cs="Times New Roman"/>
          <w:color w:val="000000"/>
          <w:sz w:val="24"/>
          <w:szCs w:val="24"/>
          <w:lang w:val="en-AU"/>
        </w:rPr>
        <w:t>,</w:t>
      </w:r>
      <w:r w:rsidRPr="0032528B">
        <w:rPr>
          <w:rFonts w:ascii="Times New Roman" w:hAnsi="Times New Roman" w:cs="Times New Roman"/>
          <w:color w:val="000000"/>
          <w:sz w:val="24"/>
          <w:szCs w:val="24"/>
          <w:lang w:val="en-AU"/>
        </w:rPr>
        <w:t xml:space="preserve"> as judged at the time. Additionally, the temporal element - “committing or about to commit” - would </w:t>
      </w:r>
      <w:r w:rsidR="006C0786" w:rsidRPr="0032528B">
        <w:rPr>
          <w:rFonts w:ascii="Times New Roman" w:hAnsi="Times New Roman" w:cs="Times New Roman"/>
          <w:color w:val="000000"/>
          <w:sz w:val="24"/>
          <w:szCs w:val="24"/>
          <w:lang w:val="en-AU"/>
        </w:rPr>
        <w:t>pose an additional hurdle</w:t>
      </w:r>
      <w:r w:rsidRPr="0032528B">
        <w:rPr>
          <w:rFonts w:ascii="Times New Roman" w:hAnsi="Times New Roman" w:cs="Times New Roman"/>
          <w:color w:val="000000"/>
          <w:sz w:val="24"/>
          <w:szCs w:val="24"/>
          <w:lang w:val="en-AU"/>
        </w:rPr>
        <w:t>.</w:t>
      </w:r>
    </w:p>
    <w:p w:rsidR="00693C60" w:rsidRPr="0032528B" w:rsidRDefault="00693C60" w:rsidP="00693C60">
      <w:pPr>
        <w:autoSpaceDE w:val="0"/>
        <w:autoSpaceDN w:val="0"/>
        <w:adjustRightInd w:val="0"/>
        <w:spacing w:after="0" w:line="240" w:lineRule="auto"/>
        <w:rPr>
          <w:rFonts w:ascii="Times New Roman" w:hAnsi="Times New Roman" w:cs="Times New Roman"/>
          <w:color w:val="000000"/>
          <w:sz w:val="24"/>
          <w:szCs w:val="24"/>
          <w:lang w:val="en-AU"/>
        </w:rPr>
      </w:pPr>
    </w:p>
    <w:p w:rsidR="00693C60" w:rsidRPr="0032528B" w:rsidRDefault="00693C60" w:rsidP="00693C60">
      <w:pPr>
        <w:autoSpaceDE w:val="0"/>
        <w:autoSpaceDN w:val="0"/>
        <w:adjustRightInd w:val="0"/>
        <w:spacing w:after="0" w:line="240" w:lineRule="auto"/>
        <w:jc w:val="both"/>
        <w:rPr>
          <w:rFonts w:ascii="Times New Roman" w:hAnsi="Times New Roman" w:cs="Times New Roman"/>
          <w:color w:val="000000"/>
          <w:sz w:val="24"/>
          <w:szCs w:val="24"/>
          <w:lang w:val="en-AU"/>
        </w:rPr>
      </w:pPr>
      <w:r w:rsidRPr="0032528B">
        <w:rPr>
          <w:rFonts w:ascii="Times New Roman" w:hAnsi="Times New Roman" w:cs="Times New Roman"/>
          <w:color w:val="000000"/>
          <w:sz w:val="24"/>
          <w:szCs w:val="24"/>
          <w:lang w:val="en-AU"/>
        </w:rPr>
        <w:t xml:space="preserve">The last part of the test is in relation to failed to take </w:t>
      </w:r>
      <w:r w:rsidRPr="0032528B">
        <w:rPr>
          <w:rFonts w:ascii="Times New Roman" w:hAnsi="Times New Roman" w:cs="Times New Roman"/>
          <w:i/>
          <w:color w:val="000000"/>
          <w:sz w:val="24"/>
          <w:szCs w:val="24"/>
          <w:lang w:val="en-AU"/>
        </w:rPr>
        <w:t>all necessary and reasonable measures within his or her power</w:t>
      </w:r>
      <w:r w:rsidRPr="0032528B">
        <w:rPr>
          <w:rFonts w:ascii="Times New Roman" w:hAnsi="Times New Roman" w:cs="Times New Roman"/>
          <w:color w:val="000000"/>
          <w:sz w:val="24"/>
          <w:szCs w:val="24"/>
          <w:lang w:val="en-AU"/>
        </w:rPr>
        <w:t xml:space="preserve"> to prevent or repress commission of war crimes. Given the dynamics of the relationship between troop commanders and their superiors as highlighted in the Brereton Report</w:t>
      </w:r>
      <w:r w:rsidR="001421A4" w:rsidRPr="0032528B">
        <w:rPr>
          <w:rFonts w:ascii="Times New Roman" w:hAnsi="Times New Roman" w:cs="Times New Roman"/>
          <w:color w:val="000000"/>
          <w:sz w:val="24"/>
          <w:szCs w:val="24"/>
          <w:lang w:val="en-AU"/>
        </w:rPr>
        <w:t xml:space="preserve"> (</w:t>
      </w:r>
      <w:r w:rsidR="001421A4" w:rsidRPr="0032528B">
        <w:rPr>
          <w:rFonts w:ascii="Times New Roman" w:hAnsi="Times New Roman" w:cs="Times New Roman"/>
          <w:sz w:val="24"/>
          <w:szCs w:val="24"/>
        </w:rPr>
        <w:t>paras 5e-f of Chapter 3.01)</w:t>
      </w:r>
      <w:r w:rsidRPr="0032528B">
        <w:rPr>
          <w:rFonts w:ascii="Times New Roman" w:hAnsi="Times New Roman" w:cs="Times New Roman"/>
          <w:color w:val="000000"/>
          <w:sz w:val="24"/>
          <w:szCs w:val="24"/>
          <w:lang w:val="en-AU"/>
        </w:rPr>
        <w:t xml:space="preserve">, it is questionable whether they could have prevented criminal behaviour within the ground patrols. It appears that they had no authority to call for investigatory services (which proved ineffective anyway), and even if they did, the calls are </w:t>
      </w:r>
      <w:r w:rsidRPr="0032528B">
        <w:rPr>
          <w:rFonts w:ascii="Times New Roman" w:hAnsi="Times New Roman" w:cs="Times New Roman"/>
          <w:color w:val="000000"/>
          <w:sz w:val="24"/>
          <w:szCs w:val="24"/>
          <w:lang w:val="en-AU"/>
        </w:rPr>
        <w:lastRenderedPageBreak/>
        <w:t>likely to have been both ignored by their superiors and sidelined by the patrol commanders, and criminal behaviour would still have been actively concealed</w:t>
      </w:r>
      <w:r w:rsidR="001421A4" w:rsidRPr="0032528B">
        <w:rPr>
          <w:rFonts w:ascii="Times New Roman" w:hAnsi="Times New Roman" w:cs="Times New Roman"/>
          <w:color w:val="000000"/>
          <w:sz w:val="24"/>
          <w:szCs w:val="24"/>
          <w:lang w:val="en-AU"/>
        </w:rPr>
        <w:t xml:space="preserve"> (</w:t>
      </w:r>
      <w:r w:rsidR="001421A4" w:rsidRPr="0032528B">
        <w:rPr>
          <w:rFonts w:ascii="Times New Roman" w:hAnsi="Times New Roman" w:cs="Times New Roman"/>
          <w:sz w:val="24"/>
          <w:szCs w:val="24"/>
        </w:rPr>
        <w:t>paras 39-51 of Chapter 1.01)</w:t>
      </w:r>
      <w:r w:rsidRPr="0032528B">
        <w:rPr>
          <w:rFonts w:ascii="Times New Roman" w:hAnsi="Times New Roman" w:cs="Times New Roman"/>
          <w:color w:val="000000"/>
          <w:sz w:val="24"/>
          <w:szCs w:val="24"/>
          <w:lang w:val="en-AU"/>
        </w:rPr>
        <w:t xml:space="preserve">. </w:t>
      </w:r>
    </w:p>
    <w:p w:rsidR="00693C60" w:rsidRPr="0032528B" w:rsidRDefault="00693C60" w:rsidP="00693C60">
      <w:pPr>
        <w:autoSpaceDE w:val="0"/>
        <w:autoSpaceDN w:val="0"/>
        <w:adjustRightInd w:val="0"/>
        <w:spacing w:after="0" w:line="240" w:lineRule="auto"/>
        <w:rPr>
          <w:rFonts w:ascii="Times New Roman" w:hAnsi="Times New Roman" w:cs="Times New Roman"/>
          <w:color w:val="000000"/>
          <w:sz w:val="24"/>
          <w:szCs w:val="24"/>
          <w:lang w:val="en-AU"/>
        </w:rPr>
      </w:pPr>
    </w:p>
    <w:p w:rsidR="00D929D1" w:rsidRDefault="00693C60" w:rsidP="00693C60">
      <w:pPr>
        <w:autoSpaceDE w:val="0"/>
        <w:autoSpaceDN w:val="0"/>
        <w:adjustRightInd w:val="0"/>
        <w:spacing w:after="0" w:line="240" w:lineRule="auto"/>
        <w:jc w:val="both"/>
        <w:rPr>
          <w:rFonts w:ascii="Times New Roman" w:hAnsi="Times New Roman" w:cs="Times New Roman"/>
          <w:sz w:val="24"/>
          <w:szCs w:val="24"/>
        </w:rPr>
      </w:pPr>
      <w:r w:rsidRPr="0032528B">
        <w:rPr>
          <w:rFonts w:ascii="Times New Roman" w:hAnsi="Times New Roman" w:cs="Times New Roman"/>
          <w:color w:val="000000"/>
          <w:sz w:val="24"/>
          <w:szCs w:val="24"/>
          <w:lang w:val="en-AU"/>
        </w:rPr>
        <w:t>In sum, it will be difficult to charge troop commanders for command responsibility. Brereton argued instead that the</w:t>
      </w:r>
      <w:r w:rsidRPr="0032528B">
        <w:rPr>
          <w:rFonts w:ascii="Times New Roman" w:hAnsi="Times New Roman" w:cs="Times New Roman"/>
          <w:color w:val="31363C"/>
          <w:sz w:val="24"/>
          <w:szCs w:val="24"/>
        </w:rPr>
        <w:t xml:space="preserve"> commanders of the SASR parent units who were</w:t>
      </w:r>
      <w:bookmarkStart w:id="0" w:name="_GoBack"/>
      <w:bookmarkEnd w:id="0"/>
      <w:r w:rsidRPr="0032528B">
        <w:rPr>
          <w:rFonts w:ascii="Times New Roman" w:hAnsi="Times New Roman" w:cs="Times New Roman"/>
          <w:color w:val="31363C"/>
          <w:sz w:val="24"/>
          <w:szCs w:val="24"/>
        </w:rPr>
        <w:t xml:space="preserve"> responsible for the ‘warrior culture’ which bred criminal behaviour bear greater</w:t>
      </w:r>
      <w:r w:rsidR="007C4465" w:rsidRPr="0032528B">
        <w:rPr>
          <w:rFonts w:ascii="Times New Roman" w:hAnsi="Times New Roman" w:cs="Times New Roman"/>
          <w:color w:val="31363C"/>
          <w:sz w:val="24"/>
          <w:szCs w:val="24"/>
        </w:rPr>
        <w:t xml:space="preserve"> </w:t>
      </w:r>
      <w:r w:rsidRPr="0032528B">
        <w:rPr>
          <w:rFonts w:ascii="Times New Roman" w:hAnsi="Times New Roman" w:cs="Times New Roman"/>
          <w:color w:val="31363C"/>
          <w:sz w:val="24"/>
          <w:szCs w:val="24"/>
        </w:rPr>
        <w:t>responsibility than the rest of the ADF structure</w:t>
      </w:r>
      <w:r w:rsidR="00D402C3" w:rsidRPr="0032528B">
        <w:rPr>
          <w:rFonts w:ascii="Times New Roman" w:hAnsi="Times New Roman" w:cs="Times New Roman"/>
          <w:color w:val="31363C"/>
          <w:sz w:val="24"/>
          <w:szCs w:val="24"/>
        </w:rPr>
        <w:t xml:space="preserve"> (</w:t>
      </w:r>
      <w:r w:rsidR="00D402C3" w:rsidRPr="0032528B">
        <w:rPr>
          <w:rFonts w:ascii="Times New Roman" w:hAnsi="Times New Roman" w:cs="Times New Roman"/>
          <w:sz w:val="24"/>
          <w:szCs w:val="24"/>
        </w:rPr>
        <w:t>paras 34-35 of Chapter 1.01)</w:t>
      </w:r>
      <w:r w:rsidRPr="0032528B">
        <w:rPr>
          <w:rFonts w:ascii="Times New Roman" w:hAnsi="Times New Roman" w:cs="Times New Roman"/>
          <w:color w:val="31363C"/>
          <w:sz w:val="24"/>
          <w:szCs w:val="24"/>
        </w:rPr>
        <w:t xml:space="preserve">, but it will be very difficult to hold any of these individuals to account under s268.115 </w:t>
      </w:r>
      <w:r w:rsidR="007C4465" w:rsidRPr="0032528B">
        <w:rPr>
          <w:rFonts w:ascii="Times New Roman" w:hAnsi="Times New Roman" w:cs="Times New Roman"/>
          <w:color w:val="31363C"/>
          <w:sz w:val="24"/>
          <w:szCs w:val="24"/>
        </w:rPr>
        <w:t>given their indirect role</w:t>
      </w:r>
      <w:r w:rsidRPr="0032528B">
        <w:rPr>
          <w:rFonts w:ascii="Times New Roman" w:hAnsi="Times New Roman" w:cs="Times New Roman"/>
          <w:color w:val="31363C"/>
          <w:sz w:val="24"/>
          <w:szCs w:val="24"/>
        </w:rPr>
        <w:t xml:space="preserve">. </w:t>
      </w:r>
      <w:r w:rsidRPr="0032528B">
        <w:rPr>
          <w:rFonts w:ascii="Times New Roman" w:hAnsi="Times New Roman" w:cs="Times New Roman"/>
          <w:sz w:val="24"/>
          <w:szCs w:val="24"/>
        </w:rPr>
        <w:t>Even further up, more senior personnel within Task Group 633 (in Bahrain), and Joint Operations Command and the ADF leadership, “</w:t>
      </w:r>
      <w:r w:rsidRPr="0032528B">
        <w:rPr>
          <w:rFonts w:ascii="Times New Roman" w:hAnsi="Times New Roman" w:cs="Times New Roman"/>
          <w:iCs/>
          <w:sz w:val="24"/>
          <w:szCs w:val="24"/>
        </w:rPr>
        <w:t>did not have a sufficient degree of command and control to attract the principle of command responsibility, and within the constraints on their authority acted appropriately when relevant information and allegations came to their attention</w:t>
      </w:r>
      <w:r w:rsidRPr="0032528B">
        <w:rPr>
          <w:rFonts w:ascii="Times New Roman" w:hAnsi="Times New Roman" w:cs="Times New Roman"/>
          <w:i/>
          <w:iCs/>
          <w:sz w:val="24"/>
          <w:szCs w:val="24"/>
        </w:rPr>
        <w:t xml:space="preserve"> </w:t>
      </w:r>
      <w:r w:rsidRPr="0032528B">
        <w:rPr>
          <w:rFonts w:ascii="Times New Roman" w:hAnsi="Times New Roman" w:cs="Times New Roman"/>
          <w:iCs/>
          <w:sz w:val="24"/>
          <w:szCs w:val="24"/>
        </w:rPr>
        <w:t>to ascertain the facts”</w:t>
      </w:r>
      <w:r w:rsidR="00D402C3" w:rsidRPr="0032528B">
        <w:rPr>
          <w:rFonts w:ascii="Times New Roman" w:hAnsi="Times New Roman" w:cs="Times New Roman"/>
          <w:iCs/>
          <w:sz w:val="24"/>
          <w:szCs w:val="24"/>
        </w:rPr>
        <w:t xml:space="preserve"> (</w:t>
      </w:r>
      <w:r w:rsidR="00D402C3" w:rsidRPr="0032528B">
        <w:rPr>
          <w:rFonts w:ascii="Times New Roman" w:hAnsi="Times New Roman" w:cs="Times New Roman"/>
          <w:sz w:val="24"/>
          <w:szCs w:val="24"/>
        </w:rPr>
        <w:t>para 35 of Chapter 1.01)</w:t>
      </w:r>
      <w:r w:rsidRPr="0032528B">
        <w:rPr>
          <w:rFonts w:ascii="Times New Roman" w:hAnsi="Times New Roman" w:cs="Times New Roman"/>
          <w:sz w:val="24"/>
          <w:szCs w:val="24"/>
        </w:rPr>
        <w:t xml:space="preserve">. </w:t>
      </w:r>
    </w:p>
    <w:p w:rsidR="00D929D1" w:rsidRDefault="00D929D1" w:rsidP="00693C60">
      <w:pPr>
        <w:autoSpaceDE w:val="0"/>
        <w:autoSpaceDN w:val="0"/>
        <w:adjustRightInd w:val="0"/>
        <w:spacing w:after="0" w:line="240" w:lineRule="auto"/>
        <w:jc w:val="both"/>
        <w:rPr>
          <w:rFonts w:ascii="Times New Roman" w:hAnsi="Times New Roman" w:cs="Times New Roman"/>
          <w:sz w:val="24"/>
          <w:szCs w:val="24"/>
        </w:rPr>
      </w:pPr>
    </w:p>
    <w:p w:rsidR="00693C60" w:rsidRDefault="00901046" w:rsidP="00D929D1">
      <w:pPr>
        <w:autoSpaceDE w:val="0"/>
        <w:autoSpaceDN w:val="0"/>
        <w:adjustRightInd w:val="0"/>
        <w:spacing w:after="0" w:line="240" w:lineRule="auto"/>
        <w:jc w:val="both"/>
        <w:rPr>
          <w:rFonts w:ascii="Times New Roman" w:hAnsi="Times New Roman" w:cs="Times New Roman"/>
          <w:sz w:val="24"/>
          <w:szCs w:val="24"/>
        </w:rPr>
      </w:pPr>
      <w:r w:rsidRPr="0032528B">
        <w:rPr>
          <w:rFonts w:ascii="Times New Roman" w:hAnsi="Times New Roman" w:cs="Times New Roman"/>
          <w:sz w:val="24"/>
          <w:szCs w:val="24"/>
        </w:rPr>
        <w:t>The result is that due to (accidental) operational design</w:t>
      </w:r>
      <w:r w:rsidR="00964A40" w:rsidRPr="0032528B">
        <w:rPr>
          <w:rFonts w:ascii="Times New Roman" w:hAnsi="Times New Roman" w:cs="Times New Roman"/>
          <w:sz w:val="24"/>
          <w:szCs w:val="24"/>
        </w:rPr>
        <w:t xml:space="preserve"> and the difficulties of meeting the criminal standard</w:t>
      </w:r>
      <w:r w:rsidRPr="0032528B">
        <w:rPr>
          <w:rFonts w:ascii="Times New Roman" w:hAnsi="Times New Roman" w:cs="Times New Roman"/>
          <w:sz w:val="24"/>
          <w:szCs w:val="24"/>
        </w:rPr>
        <w:t xml:space="preserve">, </w:t>
      </w:r>
      <w:r w:rsidRPr="00A46ABB">
        <w:rPr>
          <w:rFonts w:ascii="Times New Roman" w:hAnsi="Times New Roman" w:cs="Times New Roman"/>
          <w:i/>
          <w:sz w:val="24"/>
          <w:szCs w:val="24"/>
        </w:rPr>
        <w:t>no-one more senior is likely to bear any criminal responsibility at all</w:t>
      </w:r>
      <w:r w:rsidRPr="0032528B">
        <w:rPr>
          <w:rFonts w:ascii="Times New Roman" w:hAnsi="Times New Roman" w:cs="Times New Roman"/>
          <w:sz w:val="24"/>
          <w:szCs w:val="24"/>
        </w:rPr>
        <w:t>. In any case, t</w:t>
      </w:r>
      <w:r w:rsidR="00693C60" w:rsidRPr="0032528B">
        <w:rPr>
          <w:rFonts w:ascii="Times New Roman" w:hAnsi="Times New Roman" w:cs="Times New Roman"/>
          <w:sz w:val="24"/>
          <w:szCs w:val="24"/>
        </w:rPr>
        <w:t xml:space="preserve">he likely workload the OSI/AFP faces </w:t>
      </w:r>
      <w:r w:rsidR="00EB3C68" w:rsidRPr="0032528B">
        <w:rPr>
          <w:rFonts w:ascii="Times New Roman" w:hAnsi="Times New Roman" w:cs="Times New Roman"/>
          <w:sz w:val="24"/>
          <w:szCs w:val="24"/>
        </w:rPr>
        <w:t xml:space="preserve">will </w:t>
      </w:r>
      <w:r w:rsidR="00693C60" w:rsidRPr="0032528B">
        <w:rPr>
          <w:rFonts w:ascii="Times New Roman" w:hAnsi="Times New Roman" w:cs="Times New Roman"/>
          <w:sz w:val="24"/>
          <w:szCs w:val="24"/>
        </w:rPr>
        <w:t>mean</w:t>
      </w:r>
      <w:r w:rsidR="00964A40" w:rsidRPr="0032528B">
        <w:rPr>
          <w:rFonts w:ascii="Times New Roman" w:hAnsi="Times New Roman" w:cs="Times New Roman"/>
          <w:sz w:val="24"/>
          <w:szCs w:val="24"/>
        </w:rPr>
        <w:t xml:space="preserve"> that</w:t>
      </w:r>
      <w:r w:rsidR="00693C60" w:rsidRPr="0032528B">
        <w:rPr>
          <w:rFonts w:ascii="Times New Roman" w:hAnsi="Times New Roman" w:cs="Times New Roman"/>
          <w:sz w:val="24"/>
          <w:szCs w:val="24"/>
        </w:rPr>
        <w:t xml:space="preserve"> priority </w:t>
      </w:r>
      <w:r w:rsidR="00964A40" w:rsidRPr="0032528B">
        <w:rPr>
          <w:rFonts w:ascii="Times New Roman" w:hAnsi="Times New Roman" w:cs="Times New Roman"/>
          <w:sz w:val="24"/>
          <w:szCs w:val="24"/>
        </w:rPr>
        <w:t>is most likely to</w:t>
      </w:r>
      <w:r w:rsidR="00693C60" w:rsidRPr="0032528B">
        <w:rPr>
          <w:rFonts w:ascii="Times New Roman" w:hAnsi="Times New Roman" w:cs="Times New Roman"/>
          <w:sz w:val="24"/>
          <w:szCs w:val="24"/>
        </w:rPr>
        <w:t xml:space="preserve"> be given to charging direct perpetrators rather than commanders remote from the scene. There is a possibility of subjecting those deemed responsible to military discipline processes even if no criminal charges are brought, or otherwise dealing with command issues through the Special Forces organisational restructure already getting underway. </w:t>
      </w:r>
      <w:proofErr w:type="gramStart"/>
      <w:r w:rsidRPr="0032528B">
        <w:rPr>
          <w:rFonts w:ascii="Times New Roman" w:hAnsi="Times New Roman" w:cs="Times New Roman"/>
          <w:sz w:val="24"/>
          <w:szCs w:val="24"/>
        </w:rPr>
        <w:t>Th</w:t>
      </w:r>
      <w:r w:rsidR="00964A40" w:rsidRPr="0032528B">
        <w:rPr>
          <w:rFonts w:ascii="Times New Roman" w:hAnsi="Times New Roman" w:cs="Times New Roman"/>
          <w:sz w:val="24"/>
          <w:szCs w:val="24"/>
        </w:rPr>
        <w:t>us</w:t>
      </w:r>
      <w:proofErr w:type="gramEnd"/>
      <w:r w:rsidRPr="0032528B">
        <w:rPr>
          <w:rFonts w:ascii="Times New Roman" w:hAnsi="Times New Roman" w:cs="Times New Roman"/>
          <w:sz w:val="24"/>
          <w:szCs w:val="24"/>
        </w:rPr>
        <w:t xml:space="preserve"> a</w:t>
      </w:r>
      <w:r w:rsidR="00693C60" w:rsidRPr="0032528B">
        <w:rPr>
          <w:rFonts w:ascii="Times New Roman" w:hAnsi="Times New Roman" w:cs="Times New Roman"/>
          <w:sz w:val="24"/>
          <w:szCs w:val="24"/>
        </w:rPr>
        <w:t xml:space="preserve">llegations of protecting those further up </w:t>
      </w:r>
      <w:r w:rsidRPr="0032528B">
        <w:rPr>
          <w:rFonts w:ascii="Times New Roman" w:hAnsi="Times New Roman" w:cs="Times New Roman"/>
          <w:sz w:val="24"/>
          <w:szCs w:val="24"/>
        </w:rPr>
        <w:t xml:space="preserve">are likely to </w:t>
      </w:r>
      <w:r w:rsidR="00073F7B">
        <w:rPr>
          <w:rFonts w:ascii="Times New Roman" w:hAnsi="Times New Roman" w:cs="Times New Roman"/>
          <w:sz w:val="24"/>
          <w:szCs w:val="24"/>
        </w:rPr>
        <w:t>persist</w:t>
      </w:r>
      <w:r w:rsidRPr="0032528B">
        <w:rPr>
          <w:rFonts w:ascii="Times New Roman" w:hAnsi="Times New Roman" w:cs="Times New Roman"/>
          <w:sz w:val="24"/>
          <w:szCs w:val="24"/>
        </w:rPr>
        <w:t xml:space="preserve">. </w:t>
      </w:r>
    </w:p>
    <w:p w:rsidR="00D929D1" w:rsidRPr="0032528B" w:rsidRDefault="00D929D1" w:rsidP="00D929D1">
      <w:pPr>
        <w:autoSpaceDE w:val="0"/>
        <w:autoSpaceDN w:val="0"/>
        <w:adjustRightInd w:val="0"/>
        <w:spacing w:after="0" w:line="240" w:lineRule="auto"/>
        <w:jc w:val="both"/>
        <w:rPr>
          <w:rFonts w:ascii="Times New Roman" w:hAnsi="Times New Roman" w:cs="Times New Roman"/>
          <w:sz w:val="24"/>
          <w:szCs w:val="24"/>
        </w:rPr>
      </w:pPr>
    </w:p>
    <w:p w:rsidR="00230A6C" w:rsidRPr="0032528B" w:rsidRDefault="00230A6C" w:rsidP="002209C2">
      <w:pPr>
        <w:pStyle w:val="css-38z03z"/>
        <w:shd w:val="clear" w:color="auto" w:fill="FFFFFF"/>
        <w:spacing w:before="0" w:beforeAutospacing="0" w:after="240" w:afterAutospacing="0"/>
        <w:jc w:val="both"/>
        <w:textAlignment w:val="baseline"/>
        <w:rPr>
          <w:b/>
          <w:shd w:val="clear" w:color="auto" w:fill="FFFFFF"/>
        </w:rPr>
      </w:pPr>
      <w:r w:rsidRPr="0032528B">
        <w:rPr>
          <w:b/>
          <w:shd w:val="clear" w:color="auto" w:fill="FFFFFF"/>
        </w:rPr>
        <w:t>The Road Ahead</w:t>
      </w:r>
    </w:p>
    <w:p w:rsidR="002209C2" w:rsidRPr="0032528B" w:rsidRDefault="002209C2" w:rsidP="002209C2">
      <w:pPr>
        <w:pStyle w:val="ListParagraph"/>
        <w:ind w:left="0"/>
        <w:rPr>
          <w:rFonts w:ascii="Times New Roman" w:hAnsi="Times New Roman" w:cs="Times New Roman"/>
          <w:sz w:val="24"/>
          <w:szCs w:val="24"/>
          <w:shd w:val="clear" w:color="auto" w:fill="FFFFFF"/>
        </w:rPr>
      </w:pPr>
      <w:r w:rsidRPr="0032528B">
        <w:rPr>
          <w:rFonts w:ascii="Times New Roman" w:hAnsi="Times New Roman" w:cs="Times New Roman"/>
          <w:sz w:val="24"/>
          <w:szCs w:val="24"/>
          <w:shd w:val="clear" w:color="auto" w:fill="FFFFFF"/>
        </w:rPr>
        <w:t xml:space="preserve">Of course there are factors suggesting that Australia may prosecute even ‘though </w:t>
      </w:r>
      <w:hyperlink r:id="rId35" w:history="1">
        <w:r w:rsidRPr="0032528B">
          <w:rPr>
            <w:rStyle w:val="Hyperlink"/>
            <w:rFonts w:ascii="Times New Roman" w:hAnsi="Times New Roman" w:cs="Times New Roman"/>
            <w:sz w:val="24"/>
            <w:szCs w:val="24"/>
            <w:shd w:val="clear" w:color="auto" w:fill="FFFFFF"/>
          </w:rPr>
          <w:t>other “Five Eyes” allies</w:t>
        </w:r>
      </w:hyperlink>
      <w:r w:rsidRPr="0032528B">
        <w:rPr>
          <w:rFonts w:ascii="Times New Roman" w:hAnsi="Times New Roman" w:cs="Times New Roman"/>
          <w:sz w:val="24"/>
          <w:szCs w:val="24"/>
          <w:shd w:val="clear" w:color="auto" w:fill="FFFFFF"/>
        </w:rPr>
        <w:t xml:space="preserve"> have avoided doing so. First, although the ICC has processes to manage sensitive or classified information pertaining to a State Party</w:t>
      </w:r>
      <w:r w:rsidR="00A90E64" w:rsidRPr="0032528B">
        <w:rPr>
          <w:rFonts w:ascii="Times New Roman" w:hAnsi="Times New Roman" w:cs="Times New Roman"/>
          <w:sz w:val="24"/>
          <w:szCs w:val="24"/>
          <w:shd w:val="clear" w:color="auto" w:fill="FFFFFF"/>
        </w:rPr>
        <w:t xml:space="preserve"> (e.g. Articles 54(3), 57(3)(c), 64(7), and 72)</w:t>
      </w:r>
      <w:r w:rsidRPr="0032528B">
        <w:rPr>
          <w:rFonts w:ascii="Times New Roman" w:hAnsi="Times New Roman" w:cs="Times New Roman"/>
          <w:sz w:val="24"/>
          <w:szCs w:val="24"/>
          <w:shd w:val="clear" w:color="auto" w:fill="FFFFFF"/>
        </w:rPr>
        <w:t xml:space="preserve">, the Government will be loath to see national security information of this nature in the hands of an international body, perhaps suggesting it will want to act itself. Second, there has been acknowledgment that the reputation of the SASR, the ADF and perhaps that of Australia, has been damaged, and senior Defence officials have committed to </w:t>
      </w:r>
      <w:hyperlink r:id="rId36" w:history="1">
        <w:r w:rsidRPr="0032528B">
          <w:rPr>
            <w:rStyle w:val="Hyperlink"/>
            <w:rFonts w:ascii="Times New Roman" w:hAnsi="Times New Roman" w:cs="Times New Roman"/>
            <w:sz w:val="24"/>
            <w:szCs w:val="24"/>
            <w:shd w:val="clear" w:color="auto" w:fill="FFFFFF"/>
          </w:rPr>
          <w:t>ensuring real organisational change</w:t>
        </w:r>
      </w:hyperlink>
      <w:r w:rsidRPr="0032528B">
        <w:rPr>
          <w:rFonts w:ascii="Times New Roman" w:hAnsi="Times New Roman" w:cs="Times New Roman"/>
          <w:sz w:val="24"/>
          <w:szCs w:val="24"/>
          <w:shd w:val="clear" w:color="auto" w:fill="FFFFFF"/>
        </w:rPr>
        <w:t xml:space="preserve">. </w:t>
      </w:r>
    </w:p>
    <w:p w:rsidR="002209C2" w:rsidRPr="0032528B" w:rsidRDefault="002209C2" w:rsidP="002209C2">
      <w:pPr>
        <w:pStyle w:val="ListParagraph"/>
        <w:ind w:left="0"/>
        <w:rPr>
          <w:rFonts w:ascii="Times New Roman" w:hAnsi="Times New Roman" w:cs="Times New Roman"/>
          <w:sz w:val="24"/>
          <w:szCs w:val="24"/>
          <w:shd w:val="clear" w:color="auto" w:fill="FFFFFF"/>
        </w:rPr>
      </w:pPr>
    </w:p>
    <w:p w:rsidR="002209C2" w:rsidRPr="0032528B" w:rsidRDefault="002209C2" w:rsidP="002209C2">
      <w:pPr>
        <w:pStyle w:val="ListParagraph"/>
        <w:ind w:left="0"/>
        <w:rPr>
          <w:rFonts w:ascii="Times New Roman" w:hAnsi="Times New Roman" w:cs="Times New Roman"/>
          <w:sz w:val="24"/>
          <w:szCs w:val="24"/>
          <w:lang w:val="en-US"/>
        </w:rPr>
      </w:pPr>
      <w:r w:rsidRPr="0032528B">
        <w:rPr>
          <w:rFonts w:ascii="Times New Roman" w:hAnsi="Times New Roman" w:cs="Times New Roman"/>
          <w:sz w:val="24"/>
          <w:szCs w:val="24"/>
          <w:shd w:val="clear" w:color="auto" w:fill="FFFFFF"/>
        </w:rPr>
        <w:t xml:space="preserve">However, the OSI’s work is expected to take at least five years, </w:t>
      </w:r>
      <w:r w:rsidRPr="0032528B">
        <w:rPr>
          <w:rFonts w:ascii="Times New Roman" w:eastAsia="Times New Roman" w:hAnsi="Times New Roman" w:cs="Times New Roman"/>
          <w:color w:val="121212"/>
          <w:sz w:val="24"/>
          <w:szCs w:val="24"/>
          <w:lang w:eastAsia="en-GB"/>
        </w:rPr>
        <w:t xml:space="preserve">and it is likely that the process will come under political and ADF pressure over time. </w:t>
      </w:r>
      <w:r w:rsidRPr="0032528B">
        <w:rPr>
          <w:rFonts w:ascii="Times New Roman" w:hAnsi="Times New Roman" w:cs="Times New Roman"/>
          <w:sz w:val="24"/>
          <w:szCs w:val="24"/>
          <w:shd w:val="clear" w:color="auto" w:fill="FFFFFF"/>
        </w:rPr>
        <w:t>The</w:t>
      </w:r>
      <w:r w:rsidRPr="0032528B">
        <w:rPr>
          <w:rFonts w:ascii="Times New Roman" w:hAnsi="Times New Roman" w:cs="Times New Roman"/>
          <w:sz w:val="24"/>
          <w:szCs w:val="24"/>
          <w:lang w:val="en-US"/>
        </w:rPr>
        <w:t xml:space="preserve"> </w:t>
      </w:r>
      <w:r w:rsidR="00A90E64" w:rsidRPr="0032528B">
        <w:rPr>
          <w:rFonts w:ascii="Times New Roman" w:hAnsi="Times New Roman" w:cs="Times New Roman"/>
          <w:sz w:val="24"/>
          <w:szCs w:val="24"/>
          <w:lang w:val="en-US"/>
        </w:rPr>
        <w:t xml:space="preserve">new </w:t>
      </w:r>
      <w:proofErr w:type="spellStart"/>
      <w:r w:rsidRPr="0032528B">
        <w:rPr>
          <w:rFonts w:ascii="Times New Roman" w:hAnsi="Times New Roman" w:cs="Times New Roman"/>
          <w:sz w:val="24"/>
          <w:szCs w:val="24"/>
          <w:lang w:val="en-US"/>
        </w:rPr>
        <w:t>Defence</w:t>
      </w:r>
      <w:proofErr w:type="spellEnd"/>
      <w:r w:rsidRPr="0032528B">
        <w:rPr>
          <w:rFonts w:ascii="Times New Roman" w:hAnsi="Times New Roman" w:cs="Times New Roman"/>
          <w:sz w:val="24"/>
          <w:szCs w:val="24"/>
          <w:lang w:val="en-US"/>
        </w:rPr>
        <w:t xml:space="preserve"> Minister has already intervened to placate </w:t>
      </w:r>
      <w:proofErr w:type="spellStart"/>
      <w:r w:rsidRPr="0032528B">
        <w:rPr>
          <w:rFonts w:ascii="Times New Roman" w:hAnsi="Times New Roman" w:cs="Times New Roman"/>
          <w:sz w:val="24"/>
          <w:szCs w:val="24"/>
          <w:lang w:val="en-US"/>
        </w:rPr>
        <w:t>Defence</w:t>
      </w:r>
      <w:proofErr w:type="spellEnd"/>
      <w:r w:rsidRPr="0032528B">
        <w:rPr>
          <w:rFonts w:ascii="Times New Roman" w:hAnsi="Times New Roman" w:cs="Times New Roman"/>
          <w:sz w:val="24"/>
          <w:szCs w:val="24"/>
          <w:lang w:val="en-US"/>
        </w:rPr>
        <w:t xml:space="preserve"> and veterans’ groups by </w:t>
      </w:r>
      <w:hyperlink r:id="rId37" w:history="1">
        <w:r w:rsidRPr="0032528B">
          <w:rPr>
            <w:rStyle w:val="Hyperlink"/>
            <w:rFonts w:ascii="Times New Roman" w:hAnsi="Times New Roman" w:cs="Times New Roman"/>
            <w:sz w:val="24"/>
            <w:szCs w:val="24"/>
            <w:lang w:val="en-US"/>
          </w:rPr>
          <w:t xml:space="preserve">overruling the Chief of the </w:t>
        </w:r>
        <w:proofErr w:type="spellStart"/>
        <w:r w:rsidRPr="0032528B">
          <w:rPr>
            <w:rStyle w:val="Hyperlink"/>
            <w:rFonts w:ascii="Times New Roman" w:hAnsi="Times New Roman" w:cs="Times New Roman"/>
            <w:sz w:val="24"/>
            <w:szCs w:val="24"/>
            <w:lang w:val="en-US"/>
          </w:rPr>
          <w:t>Defence</w:t>
        </w:r>
        <w:proofErr w:type="spellEnd"/>
        <w:r w:rsidRPr="0032528B">
          <w:rPr>
            <w:rStyle w:val="Hyperlink"/>
            <w:rFonts w:ascii="Times New Roman" w:hAnsi="Times New Roman" w:cs="Times New Roman"/>
            <w:sz w:val="24"/>
            <w:szCs w:val="24"/>
            <w:lang w:val="en-US"/>
          </w:rPr>
          <w:t xml:space="preserve"> Force</w:t>
        </w:r>
      </w:hyperlink>
      <w:r w:rsidRPr="0032528B">
        <w:rPr>
          <w:rFonts w:ascii="Times New Roman" w:hAnsi="Times New Roman" w:cs="Times New Roman"/>
          <w:sz w:val="24"/>
          <w:szCs w:val="24"/>
          <w:lang w:val="en-US"/>
        </w:rPr>
        <w:t>’s move to strip meritorious unit citation medals from all members of the SOTG - now, only those members who are in future convicted of a war crime will</w:t>
      </w:r>
      <w:r w:rsidR="00A90E64" w:rsidRPr="0032528B">
        <w:rPr>
          <w:rFonts w:ascii="Times New Roman" w:hAnsi="Times New Roman" w:cs="Times New Roman"/>
          <w:sz w:val="24"/>
          <w:szCs w:val="24"/>
          <w:lang w:val="en-US"/>
        </w:rPr>
        <w:t xml:space="preserve"> lose their medal.</w:t>
      </w:r>
      <w:r w:rsidRPr="0032528B">
        <w:rPr>
          <w:rFonts w:ascii="Times New Roman" w:hAnsi="Times New Roman" w:cs="Times New Roman"/>
          <w:sz w:val="24"/>
          <w:szCs w:val="24"/>
          <w:lang w:val="en-US"/>
        </w:rPr>
        <w:t xml:space="preserve"> This is in tune with the Government’s rhetoric ever since the </w:t>
      </w:r>
      <w:r w:rsidR="00A90E64" w:rsidRPr="0032528B">
        <w:rPr>
          <w:rFonts w:ascii="Times New Roman" w:hAnsi="Times New Roman" w:cs="Times New Roman"/>
          <w:sz w:val="24"/>
          <w:szCs w:val="24"/>
          <w:lang w:val="en-US"/>
        </w:rPr>
        <w:t xml:space="preserve">Brereton </w:t>
      </w:r>
      <w:r w:rsidRPr="0032528B">
        <w:rPr>
          <w:rFonts w:ascii="Times New Roman" w:hAnsi="Times New Roman" w:cs="Times New Roman"/>
          <w:sz w:val="24"/>
          <w:szCs w:val="24"/>
          <w:lang w:val="en-US"/>
        </w:rPr>
        <w:t xml:space="preserve">Report was delivered that the conduct of a few ‘bad apples’ is in no way a reflection on the service of the </w:t>
      </w:r>
      <w:proofErr w:type="gramStart"/>
      <w:r w:rsidRPr="0032528B">
        <w:rPr>
          <w:rFonts w:ascii="Times New Roman" w:hAnsi="Times New Roman" w:cs="Times New Roman"/>
          <w:sz w:val="24"/>
          <w:szCs w:val="24"/>
          <w:lang w:val="en-US"/>
        </w:rPr>
        <w:t>SOTG as a whole</w:t>
      </w:r>
      <w:proofErr w:type="gramEnd"/>
      <w:r w:rsidRPr="0032528B">
        <w:rPr>
          <w:rFonts w:ascii="Times New Roman" w:hAnsi="Times New Roman" w:cs="Times New Roman"/>
          <w:sz w:val="24"/>
          <w:szCs w:val="24"/>
          <w:lang w:val="en-US"/>
        </w:rPr>
        <w:t xml:space="preserve">. In </w:t>
      </w:r>
      <w:hyperlink r:id="rId38" w:history="1">
        <w:r w:rsidRPr="0032528B">
          <w:rPr>
            <w:rStyle w:val="Hyperlink"/>
            <w:rFonts w:ascii="Times New Roman" w:hAnsi="Times New Roman" w:cs="Times New Roman"/>
            <w:sz w:val="24"/>
            <w:szCs w:val="24"/>
            <w:lang w:val="en-US"/>
          </w:rPr>
          <w:t>downplaying collective accountability</w:t>
        </w:r>
      </w:hyperlink>
      <w:r w:rsidRPr="0032528B">
        <w:rPr>
          <w:rFonts w:ascii="Times New Roman" w:hAnsi="Times New Roman" w:cs="Times New Roman"/>
          <w:sz w:val="24"/>
          <w:szCs w:val="24"/>
          <w:lang w:val="en-US"/>
        </w:rPr>
        <w:t>, it suggests a</w:t>
      </w:r>
      <w:r w:rsidR="00E605B3">
        <w:rPr>
          <w:rFonts w:ascii="Times New Roman" w:hAnsi="Times New Roman" w:cs="Times New Roman"/>
          <w:sz w:val="24"/>
          <w:szCs w:val="24"/>
          <w:lang w:val="en-US"/>
        </w:rPr>
        <w:t xml:space="preserve"> clear</w:t>
      </w:r>
      <w:r w:rsidRPr="0032528B">
        <w:rPr>
          <w:rFonts w:ascii="Times New Roman" w:hAnsi="Times New Roman" w:cs="Times New Roman"/>
          <w:sz w:val="24"/>
          <w:szCs w:val="24"/>
          <w:lang w:val="en-US"/>
        </w:rPr>
        <w:t xml:space="preserve"> attempt to </w:t>
      </w:r>
      <w:proofErr w:type="spellStart"/>
      <w:r w:rsidRPr="0032528B">
        <w:rPr>
          <w:rFonts w:ascii="Times New Roman" w:hAnsi="Times New Roman" w:cs="Times New Roman"/>
          <w:sz w:val="24"/>
          <w:szCs w:val="24"/>
          <w:lang w:val="en-US"/>
        </w:rPr>
        <w:t>minimise</w:t>
      </w:r>
      <w:proofErr w:type="spellEnd"/>
      <w:r w:rsidRPr="0032528B">
        <w:rPr>
          <w:rFonts w:ascii="Times New Roman" w:hAnsi="Times New Roman" w:cs="Times New Roman"/>
          <w:sz w:val="24"/>
          <w:szCs w:val="24"/>
          <w:lang w:val="en-US"/>
        </w:rPr>
        <w:t xml:space="preserve"> political damage from the Inquiry. </w:t>
      </w:r>
    </w:p>
    <w:p w:rsidR="002209C2" w:rsidRPr="0032528B" w:rsidRDefault="002209C2" w:rsidP="002209C2">
      <w:pPr>
        <w:pStyle w:val="ListParagraph"/>
        <w:ind w:left="0"/>
        <w:rPr>
          <w:rFonts w:ascii="Times New Roman" w:hAnsi="Times New Roman" w:cs="Times New Roman"/>
          <w:sz w:val="24"/>
          <w:szCs w:val="24"/>
          <w:lang w:val="en-US"/>
        </w:rPr>
      </w:pPr>
    </w:p>
    <w:p w:rsidR="00C2009D" w:rsidRPr="0032528B" w:rsidRDefault="002209C2" w:rsidP="002209C2">
      <w:pPr>
        <w:pStyle w:val="ListParagraph"/>
        <w:ind w:left="0"/>
        <w:rPr>
          <w:rFonts w:ascii="Times New Roman" w:eastAsia="Times New Roman" w:hAnsi="Times New Roman" w:cs="Times New Roman"/>
          <w:color w:val="121212"/>
          <w:sz w:val="24"/>
          <w:szCs w:val="24"/>
          <w:lang w:eastAsia="en-GB"/>
        </w:rPr>
      </w:pPr>
      <w:r w:rsidRPr="0032528B">
        <w:rPr>
          <w:rFonts w:ascii="Times New Roman" w:hAnsi="Times New Roman" w:cs="Times New Roman"/>
          <w:sz w:val="24"/>
          <w:szCs w:val="24"/>
          <w:lang w:val="en-US"/>
        </w:rPr>
        <w:t xml:space="preserve">All the above considered, there is a real danger </w:t>
      </w:r>
      <w:r w:rsidRPr="0032528B">
        <w:rPr>
          <w:rFonts w:ascii="Times New Roman" w:eastAsia="Times New Roman" w:hAnsi="Times New Roman" w:cs="Times New Roman"/>
          <w:color w:val="121212"/>
          <w:sz w:val="24"/>
          <w:szCs w:val="24"/>
          <w:lang w:eastAsia="en-GB"/>
        </w:rPr>
        <w:t xml:space="preserve">that over time the Government’s attention will </w:t>
      </w:r>
      <w:r w:rsidR="007670D8" w:rsidRPr="0032528B">
        <w:rPr>
          <w:rFonts w:ascii="Times New Roman" w:eastAsia="Times New Roman" w:hAnsi="Times New Roman" w:cs="Times New Roman"/>
          <w:color w:val="121212"/>
          <w:sz w:val="24"/>
          <w:szCs w:val="24"/>
          <w:lang w:eastAsia="en-GB"/>
        </w:rPr>
        <w:t>be</w:t>
      </w:r>
      <w:r w:rsidRPr="0032528B">
        <w:rPr>
          <w:rFonts w:ascii="Times New Roman" w:eastAsia="Times New Roman" w:hAnsi="Times New Roman" w:cs="Times New Roman"/>
          <w:color w:val="121212"/>
          <w:sz w:val="24"/>
          <w:szCs w:val="24"/>
          <w:lang w:eastAsia="en-GB"/>
        </w:rPr>
        <w:t xml:space="preserve"> on demonstrating consistent progress on organisational change while the </w:t>
      </w:r>
      <w:r w:rsidR="00E76359">
        <w:rPr>
          <w:rFonts w:ascii="Times New Roman" w:eastAsia="Times New Roman" w:hAnsi="Times New Roman" w:cs="Times New Roman"/>
          <w:color w:val="121212"/>
          <w:sz w:val="24"/>
          <w:szCs w:val="24"/>
          <w:lang w:eastAsia="en-GB"/>
        </w:rPr>
        <w:t>prosecution</w:t>
      </w:r>
      <w:r w:rsidRPr="0032528B">
        <w:rPr>
          <w:rFonts w:ascii="Times New Roman" w:eastAsia="Times New Roman" w:hAnsi="Times New Roman" w:cs="Times New Roman"/>
          <w:color w:val="121212"/>
          <w:sz w:val="24"/>
          <w:szCs w:val="24"/>
          <w:lang w:eastAsia="en-GB"/>
        </w:rPr>
        <w:t xml:space="preserve"> process - politically and militarily embarrassing</w:t>
      </w:r>
      <w:r w:rsidR="00253332" w:rsidRPr="0032528B">
        <w:rPr>
          <w:rFonts w:ascii="Times New Roman" w:eastAsia="Times New Roman" w:hAnsi="Times New Roman" w:cs="Times New Roman"/>
          <w:color w:val="121212"/>
          <w:sz w:val="24"/>
          <w:szCs w:val="24"/>
          <w:lang w:eastAsia="en-GB"/>
        </w:rPr>
        <w:t>,</w:t>
      </w:r>
      <w:r w:rsidRPr="0032528B">
        <w:rPr>
          <w:rFonts w:ascii="Times New Roman" w:eastAsia="Times New Roman" w:hAnsi="Times New Roman" w:cs="Times New Roman"/>
          <w:color w:val="121212"/>
          <w:sz w:val="24"/>
          <w:szCs w:val="24"/>
          <w:lang w:eastAsia="en-GB"/>
        </w:rPr>
        <w:t xml:space="preserve"> and out of the public eye - will wither. The prospects for prosecutions, much less successful ones, are thus most uncertain.</w:t>
      </w:r>
      <w:r w:rsidR="00C2009D" w:rsidRPr="0032528B">
        <w:rPr>
          <w:rFonts w:ascii="Times New Roman" w:eastAsia="Times New Roman" w:hAnsi="Times New Roman" w:cs="Times New Roman"/>
          <w:color w:val="121212"/>
          <w:sz w:val="24"/>
          <w:szCs w:val="24"/>
          <w:lang w:eastAsia="en-GB"/>
        </w:rPr>
        <w:t xml:space="preserve"> As indicated in the Brereton Report itself, </w:t>
      </w:r>
    </w:p>
    <w:p w:rsidR="00C2009D" w:rsidRPr="0032528B" w:rsidRDefault="00C2009D" w:rsidP="002209C2">
      <w:pPr>
        <w:pStyle w:val="ListParagraph"/>
        <w:ind w:left="0"/>
        <w:rPr>
          <w:rFonts w:ascii="Times New Roman" w:eastAsia="Times New Roman" w:hAnsi="Times New Roman" w:cs="Times New Roman"/>
          <w:color w:val="121212"/>
          <w:sz w:val="24"/>
          <w:szCs w:val="24"/>
          <w:lang w:eastAsia="en-GB"/>
        </w:rPr>
      </w:pPr>
    </w:p>
    <w:p w:rsidR="00E74A06" w:rsidRDefault="00C2009D" w:rsidP="008A1503">
      <w:pPr>
        <w:pStyle w:val="ListParagraph"/>
        <w:ind w:right="804"/>
        <w:rPr>
          <w:rFonts w:ascii="Times New Roman" w:hAnsi="Times New Roman" w:cs="Times New Roman"/>
          <w:sz w:val="24"/>
          <w:szCs w:val="24"/>
        </w:rPr>
      </w:pPr>
      <w:r w:rsidRPr="0032528B">
        <w:rPr>
          <w:rFonts w:ascii="Times New Roman" w:eastAsia="Times New Roman" w:hAnsi="Times New Roman" w:cs="Times New Roman"/>
          <w:color w:val="121212"/>
          <w:sz w:val="24"/>
          <w:szCs w:val="24"/>
          <w:lang w:eastAsia="en-GB"/>
        </w:rPr>
        <w:t>“</w:t>
      </w:r>
      <w:r w:rsidR="00382849" w:rsidRPr="0032528B">
        <w:rPr>
          <w:rFonts w:ascii="Times New Roman" w:hAnsi="Times New Roman" w:cs="Times New Roman"/>
          <w:color w:val="231F20"/>
          <w:sz w:val="24"/>
          <w:szCs w:val="24"/>
        </w:rPr>
        <w:t>Most of Australia’s coalition partners in Afghanistan have had to deal with allegations of war</w:t>
      </w:r>
      <w:r w:rsidRPr="0032528B">
        <w:rPr>
          <w:rFonts w:ascii="Times New Roman" w:hAnsi="Times New Roman" w:cs="Times New Roman"/>
          <w:color w:val="231F20"/>
          <w:sz w:val="24"/>
          <w:szCs w:val="24"/>
        </w:rPr>
        <w:t xml:space="preserve"> </w:t>
      </w:r>
      <w:r w:rsidR="00382849" w:rsidRPr="0032528B">
        <w:rPr>
          <w:rFonts w:ascii="Times New Roman" w:hAnsi="Times New Roman" w:cs="Times New Roman"/>
          <w:color w:val="231F20"/>
          <w:sz w:val="24"/>
          <w:szCs w:val="24"/>
        </w:rPr>
        <w:t>crimes. Even where the evidence is apparently strong and clear, pitfalls have been encountered,</w:t>
      </w:r>
      <w:r w:rsidRPr="0032528B">
        <w:rPr>
          <w:rFonts w:ascii="Times New Roman" w:hAnsi="Times New Roman" w:cs="Times New Roman"/>
          <w:color w:val="231F20"/>
          <w:sz w:val="24"/>
          <w:szCs w:val="24"/>
        </w:rPr>
        <w:t xml:space="preserve"> </w:t>
      </w:r>
      <w:r w:rsidR="00382849" w:rsidRPr="0032528B">
        <w:rPr>
          <w:rFonts w:ascii="Times New Roman" w:hAnsi="Times New Roman" w:cs="Times New Roman"/>
          <w:color w:val="231F20"/>
          <w:sz w:val="24"/>
          <w:szCs w:val="24"/>
        </w:rPr>
        <w:t>both political and popular. It is predictable that Australian prosecutions could encounter similar</w:t>
      </w:r>
      <w:r w:rsidRPr="0032528B">
        <w:rPr>
          <w:rFonts w:ascii="Times New Roman" w:hAnsi="Times New Roman" w:cs="Times New Roman"/>
          <w:color w:val="231F20"/>
          <w:sz w:val="24"/>
          <w:szCs w:val="24"/>
        </w:rPr>
        <w:t xml:space="preserve"> </w:t>
      </w:r>
      <w:r w:rsidR="00382849" w:rsidRPr="0032528B">
        <w:rPr>
          <w:rFonts w:ascii="Times New Roman" w:hAnsi="Times New Roman" w:cs="Times New Roman"/>
          <w:color w:val="231F20"/>
          <w:sz w:val="24"/>
          <w:szCs w:val="24"/>
        </w:rPr>
        <w:t>obstacles</w:t>
      </w:r>
      <w:r w:rsidRPr="0032528B">
        <w:rPr>
          <w:rFonts w:ascii="Times New Roman" w:hAnsi="Times New Roman" w:cs="Times New Roman"/>
          <w:color w:val="231F20"/>
          <w:sz w:val="24"/>
          <w:szCs w:val="24"/>
        </w:rPr>
        <w:t>”</w:t>
      </w:r>
      <w:r w:rsidR="00253332" w:rsidRPr="0032528B">
        <w:rPr>
          <w:rFonts w:ascii="Times New Roman" w:hAnsi="Times New Roman" w:cs="Times New Roman"/>
          <w:color w:val="231F20"/>
          <w:sz w:val="24"/>
          <w:szCs w:val="24"/>
        </w:rPr>
        <w:t xml:space="preserve"> (</w:t>
      </w:r>
      <w:r w:rsidR="00253332" w:rsidRPr="0032528B">
        <w:rPr>
          <w:rFonts w:ascii="Times New Roman" w:hAnsi="Times New Roman" w:cs="Times New Roman"/>
          <w:sz w:val="24"/>
          <w:szCs w:val="24"/>
        </w:rPr>
        <w:t>para 52 of Chapter 1.12)</w:t>
      </w:r>
      <w:r w:rsidR="0032528B">
        <w:rPr>
          <w:rFonts w:ascii="Times New Roman" w:hAnsi="Times New Roman" w:cs="Times New Roman"/>
          <w:sz w:val="24"/>
          <w:szCs w:val="24"/>
        </w:rPr>
        <w:t>.</w:t>
      </w:r>
    </w:p>
    <w:p w:rsidR="00D8557C" w:rsidRDefault="00D8557C" w:rsidP="008A1503">
      <w:pPr>
        <w:pStyle w:val="ListParagraph"/>
        <w:ind w:right="804"/>
        <w:rPr>
          <w:rFonts w:ascii="Times New Roman" w:hAnsi="Times New Roman" w:cs="Times New Roman"/>
          <w:sz w:val="24"/>
          <w:szCs w:val="24"/>
        </w:rPr>
      </w:pPr>
    </w:p>
    <w:p w:rsidR="00D8557C" w:rsidRDefault="00D8557C" w:rsidP="008A1503">
      <w:pPr>
        <w:pStyle w:val="ListParagraph"/>
        <w:pBdr>
          <w:bottom w:val="single" w:sz="6" w:space="1" w:color="auto"/>
        </w:pBdr>
        <w:ind w:right="804"/>
        <w:rPr>
          <w:rFonts w:ascii="Times New Roman" w:hAnsi="Times New Roman" w:cs="Times New Roman"/>
          <w:sz w:val="24"/>
          <w:szCs w:val="24"/>
        </w:rPr>
      </w:pPr>
    </w:p>
    <w:p w:rsidR="00D8557C" w:rsidRDefault="00D8557C" w:rsidP="00D8557C">
      <w:pPr>
        <w:pStyle w:val="ListParagraph"/>
        <w:ind w:left="0" w:right="804"/>
        <w:rPr>
          <w:rFonts w:ascii="Times New Roman" w:hAnsi="Times New Roman" w:cs="Times New Roman"/>
          <w:sz w:val="24"/>
          <w:szCs w:val="24"/>
        </w:rPr>
      </w:pPr>
    </w:p>
    <w:p w:rsidR="00D8557C" w:rsidRDefault="00D8557C" w:rsidP="00D8557C">
      <w:pPr>
        <w:pStyle w:val="ListParagraph"/>
        <w:ind w:left="0" w:right="804"/>
        <w:rPr>
          <w:rFonts w:ascii="Times New Roman" w:hAnsi="Times New Roman" w:cs="Times New Roman"/>
          <w:sz w:val="24"/>
          <w:szCs w:val="24"/>
        </w:rPr>
      </w:pPr>
    </w:p>
    <w:p w:rsidR="00D8557C" w:rsidRDefault="00D8557C" w:rsidP="00D8557C">
      <w:pPr>
        <w:pStyle w:val="ListParagraph"/>
        <w:ind w:left="0" w:right="804"/>
        <w:rPr>
          <w:rFonts w:ascii="Times New Roman" w:hAnsi="Times New Roman" w:cs="Times New Roman"/>
          <w:sz w:val="24"/>
          <w:szCs w:val="24"/>
        </w:rPr>
      </w:pPr>
      <w:r>
        <w:rPr>
          <w:rFonts w:ascii="Times New Roman" w:hAnsi="Times New Roman" w:cs="Times New Roman"/>
          <w:sz w:val="24"/>
          <w:szCs w:val="24"/>
        </w:rPr>
        <w:t>Published 4 June 2021</w:t>
      </w:r>
    </w:p>
    <w:p w:rsidR="00D8557C" w:rsidRDefault="00D8557C" w:rsidP="00D8557C">
      <w:pPr>
        <w:pStyle w:val="ListParagraph"/>
        <w:ind w:left="0" w:right="804"/>
        <w:rPr>
          <w:rFonts w:ascii="Times New Roman" w:hAnsi="Times New Roman" w:cs="Times New Roman"/>
          <w:sz w:val="24"/>
          <w:szCs w:val="24"/>
        </w:rPr>
      </w:pPr>
    </w:p>
    <w:p w:rsidR="00D8557C" w:rsidRDefault="00D8557C" w:rsidP="00D8557C">
      <w:pPr>
        <w:pStyle w:val="ListParagraph"/>
        <w:ind w:left="0" w:right="804"/>
        <w:rPr>
          <w:rFonts w:ascii="Roboto Slab" w:hAnsi="Roboto Slab"/>
          <w:color w:val="1A1A1A"/>
          <w:sz w:val="21"/>
          <w:szCs w:val="21"/>
          <w:bdr w:val="none" w:sz="0" w:space="0" w:color="auto" w:frame="1"/>
          <w:shd w:val="clear" w:color="auto" w:fill="FFFFFF"/>
        </w:rPr>
      </w:pPr>
      <w:r>
        <w:rPr>
          <w:rFonts w:ascii="Roboto Slab" w:hAnsi="Roboto Slab"/>
          <w:color w:val="1A1A1A"/>
          <w:sz w:val="21"/>
          <w:szCs w:val="21"/>
          <w:bdr w:val="none" w:sz="0" w:space="0" w:color="auto" w:frame="1"/>
          <w:shd w:val="clear" w:color="auto" w:fill="FFFFFF"/>
        </w:rPr>
        <w:t>Alexandra Fowler, ‘Australian war crimes in Afghanistan: Prosecutions face an uncertain road ahead’ on </w:t>
      </w:r>
      <w:r>
        <w:rPr>
          <w:rStyle w:val="Emphasis"/>
          <w:rFonts w:ascii="Roboto Slab" w:hAnsi="Roboto Slab"/>
          <w:color w:val="1A1A1A"/>
          <w:sz w:val="21"/>
          <w:szCs w:val="21"/>
          <w:shd w:val="clear" w:color="auto" w:fill="FFFFFF"/>
        </w:rPr>
        <w:t>ILA Reporter</w:t>
      </w:r>
      <w:r>
        <w:rPr>
          <w:rFonts w:ascii="Roboto Slab" w:hAnsi="Roboto Slab"/>
          <w:color w:val="1A1A1A"/>
          <w:sz w:val="21"/>
          <w:szCs w:val="21"/>
          <w:bdr w:val="none" w:sz="0" w:space="0" w:color="auto" w:frame="1"/>
          <w:shd w:val="clear" w:color="auto" w:fill="FFFFFF"/>
        </w:rPr>
        <w:t xml:space="preserve"> (4 June 2021), </w:t>
      </w:r>
      <w:hyperlink r:id="rId39" w:history="1">
        <w:r w:rsidRPr="001750ED">
          <w:rPr>
            <w:rStyle w:val="Hyperlink"/>
            <w:rFonts w:ascii="Roboto Slab" w:hAnsi="Roboto Slab"/>
            <w:sz w:val="21"/>
            <w:szCs w:val="21"/>
            <w:bdr w:val="none" w:sz="0" w:space="0" w:color="auto" w:frame="1"/>
            <w:shd w:val="clear" w:color="auto" w:fill="FFFFFF"/>
          </w:rPr>
          <w:t>http://ilareporter.org.au/2021/06/australian-war-crimes-in-afghanistan-prosecutions-face-an-uncertain-road-ahead-alexandra-fowler/</w:t>
        </w:r>
      </w:hyperlink>
    </w:p>
    <w:p w:rsidR="00D8557C" w:rsidRDefault="00D8557C" w:rsidP="00D8557C">
      <w:pPr>
        <w:pStyle w:val="ListParagraph"/>
        <w:ind w:left="0" w:right="804"/>
        <w:rPr>
          <w:rFonts w:ascii="Times New Roman" w:hAnsi="Times New Roman" w:cs="Times New Roman"/>
          <w:sz w:val="24"/>
          <w:szCs w:val="24"/>
        </w:rPr>
      </w:pPr>
    </w:p>
    <w:p w:rsidR="00D8557C" w:rsidRPr="0032528B" w:rsidRDefault="00D8557C" w:rsidP="00D8557C">
      <w:pPr>
        <w:pStyle w:val="ListParagraph"/>
        <w:ind w:left="0" w:right="804"/>
        <w:rPr>
          <w:rFonts w:ascii="Times New Roman" w:hAnsi="Times New Roman" w:cs="Times New Roman"/>
          <w:sz w:val="24"/>
          <w:szCs w:val="24"/>
        </w:rPr>
      </w:pPr>
    </w:p>
    <w:sectPr w:rsidR="00D8557C" w:rsidRPr="00325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BD" w:rsidRDefault="006307BD" w:rsidP="00D422A3">
      <w:pPr>
        <w:spacing w:after="0" w:line="240" w:lineRule="auto"/>
      </w:pPr>
      <w:r>
        <w:separator/>
      </w:r>
    </w:p>
  </w:endnote>
  <w:endnote w:type="continuationSeparator" w:id="0">
    <w:p w:rsidR="006307BD" w:rsidRDefault="006307BD" w:rsidP="00D4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BD" w:rsidRDefault="006307BD" w:rsidP="00D422A3">
      <w:pPr>
        <w:spacing w:after="0" w:line="240" w:lineRule="auto"/>
      </w:pPr>
      <w:r>
        <w:separator/>
      </w:r>
    </w:p>
  </w:footnote>
  <w:footnote w:type="continuationSeparator" w:id="0">
    <w:p w:rsidR="006307BD" w:rsidRDefault="006307BD" w:rsidP="00D42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C1"/>
    <w:rsid w:val="000129FA"/>
    <w:rsid w:val="00021263"/>
    <w:rsid w:val="0002306C"/>
    <w:rsid w:val="00030C71"/>
    <w:rsid w:val="00036657"/>
    <w:rsid w:val="00041631"/>
    <w:rsid w:val="00041D1B"/>
    <w:rsid w:val="000452E7"/>
    <w:rsid w:val="00046DD9"/>
    <w:rsid w:val="00051E70"/>
    <w:rsid w:val="000614A8"/>
    <w:rsid w:val="000629E7"/>
    <w:rsid w:val="000644B3"/>
    <w:rsid w:val="000645F2"/>
    <w:rsid w:val="00073F7B"/>
    <w:rsid w:val="000774B6"/>
    <w:rsid w:val="0007750F"/>
    <w:rsid w:val="00087B43"/>
    <w:rsid w:val="00093DBE"/>
    <w:rsid w:val="00095B3C"/>
    <w:rsid w:val="00097DF3"/>
    <w:rsid w:val="000A0DED"/>
    <w:rsid w:val="000B15F1"/>
    <w:rsid w:val="000B4A42"/>
    <w:rsid w:val="000B4CC6"/>
    <w:rsid w:val="000B5F20"/>
    <w:rsid w:val="000C5274"/>
    <w:rsid w:val="000D177A"/>
    <w:rsid w:val="000D2FE2"/>
    <w:rsid w:val="000E2976"/>
    <w:rsid w:val="000E57FD"/>
    <w:rsid w:val="001015B2"/>
    <w:rsid w:val="0011103F"/>
    <w:rsid w:val="001117F8"/>
    <w:rsid w:val="00112F44"/>
    <w:rsid w:val="00121714"/>
    <w:rsid w:val="00121871"/>
    <w:rsid w:val="0012369F"/>
    <w:rsid w:val="001278DE"/>
    <w:rsid w:val="00130A20"/>
    <w:rsid w:val="00135A89"/>
    <w:rsid w:val="001421A4"/>
    <w:rsid w:val="00146FD9"/>
    <w:rsid w:val="00156164"/>
    <w:rsid w:val="00156225"/>
    <w:rsid w:val="00173D11"/>
    <w:rsid w:val="001837F0"/>
    <w:rsid w:val="001A0586"/>
    <w:rsid w:val="001A181F"/>
    <w:rsid w:val="001A6E18"/>
    <w:rsid w:val="001B1F57"/>
    <w:rsid w:val="001B209D"/>
    <w:rsid w:val="001B65BF"/>
    <w:rsid w:val="001C3641"/>
    <w:rsid w:val="001C542C"/>
    <w:rsid w:val="001D3C08"/>
    <w:rsid w:val="001E1BDA"/>
    <w:rsid w:val="001E5A71"/>
    <w:rsid w:val="001E67EF"/>
    <w:rsid w:val="001F2E24"/>
    <w:rsid w:val="001F3DD6"/>
    <w:rsid w:val="002104A6"/>
    <w:rsid w:val="00215840"/>
    <w:rsid w:val="00217E75"/>
    <w:rsid w:val="002209C2"/>
    <w:rsid w:val="002249F3"/>
    <w:rsid w:val="0022564E"/>
    <w:rsid w:val="00227F20"/>
    <w:rsid w:val="00230A6C"/>
    <w:rsid w:val="002315C7"/>
    <w:rsid w:val="002335EA"/>
    <w:rsid w:val="002404EA"/>
    <w:rsid w:val="00244E93"/>
    <w:rsid w:val="00244FC9"/>
    <w:rsid w:val="002476E9"/>
    <w:rsid w:val="00253332"/>
    <w:rsid w:val="00254DB8"/>
    <w:rsid w:val="00255C37"/>
    <w:rsid w:val="00256234"/>
    <w:rsid w:val="002624FC"/>
    <w:rsid w:val="00262FDE"/>
    <w:rsid w:val="002752FA"/>
    <w:rsid w:val="002808BF"/>
    <w:rsid w:val="00281FDC"/>
    <w:rsid w:val="002820C8"/>
    <w:rsid w:val="00282C0B"/>
    <w:rsid w:val="00295742"/>
    <w:rsid w:val="002B51A8"/>
    <w:rsid w:val="002C21B8"/>
    <w:rsid w:val="002C2AB3"/>
    <w:rsid w:val="002C41C2"/>
    <w:rsid w:val="002C4DDC"/>
    <w:rsid w:val="002C6228"/>
    <w:rsid w:val="002C7B72"/>
    <w:rsid w:val="002D4759"/>
    <w:rsid w:val="002D6230"/>
    <w:rsid w:val="002D66D3"/>
    <w:rsid w:val="002E0F17"/>
    <w:rsid w:val="002F4ABB"/>
    <w:rsid w:val="002F61F4"/>
    <w:rsid w:val="003138A4"/>
    <w:rsid w:val="0031597B"/>
    <w:rsid w:val="00315A82"/>
    <w:rsid w:val="00321E63"/>
    <w:rsid w:val="0032528B"/>
    <w:rsid w:val="00334847"/>
    <w:rsid w:val="0034654B"/>
    <w:rsid w:val="00351B2C"/>
    <w:rsid w:val="003559C1"/>
    <w:rsid w:val="00357509"/>
    <w:rsid w:val="00361A44"/>
    <w:rsid w:val="003634A8"/>
    <w:rsid w:val="00363C5B"/>
    <w:rsid w:val="00366B92"/>
    <w:rsid w:val="00375260"/>
    <w:rsid w:val="00382849"/>
    <w:rsid w:val="003860B2"/>
    <w:rsid w:val="003865A1"/>
    <w:rsid w:val="00387959"/>
    <w:rsid w:val="00392CA6"/>
    <w:rsid w:val="00395E6A"/>
    <w:rsid w:val="0039729A"/>
    <w:rsid w:val="003A178D"/>
    <w:rsid w:val="003A1F35"/>
    <w:rsid w:val="003A333F"/>
    <w:rsid w:val="003A3E97"/>
    <w:rsid w:val="003A52F3"/>
    <w:rsid w:val="003A56AF"/>
    <w:rsid w:val="003A703D"/>
    <w:rsid w:val="003B6FEF"/>
    <w:rsid w:val="003C0760"/>
    <w:rsid w:val="003C0812"/>
    <w:rsid w:val="003C488F"/>
    <w:rsid w:val="003D337A"/>
    <w:rsid w:val="003D5222"/>
    <w:rsid w:val="003D7883"/>
    <w:rsid w:val="003E12A8"/>
    <w:rsid w:val="003F55A7"/>
    <w:rsid w:val="00415E5D"/>
    <w:rsid w:val="00421212"/>
    <w:rsid w:val="00421864"/>
    <w:rsid w:val="00423CA5"/>
    <w:rsid w:val="00425F57"/>
    <w:rsid w:val="0043195D"/>
    <w:rsid w:val="004330A0"/>
    <w:rsid w:val="0043381B"/>
    <w:rsid w:val="00435DE7"/>
    <w:rsid w:val="00440ED9"/>
    <w:rsid w:val="004452C5"/>
    <w:rsid w:val="00445706"/>
    <w:rsid w:val="00446A46"/>
    <w:rsid w:val="00447C01"/>
    <w:rsid w:val="0045680D"/>
    <w:rsid w:val="004637FA"/>
    <w:rsid w:val="00463C49"/>
    <w:rsid w:val="00467F7B"/>
    <w:rsid w:val="00476888"/>
    <w:rsid w:val="00482634"/>
    <w:rsid w:val="004835E3"/>
    <w:rsid w:val="00485350"/>
    <w:rsid w:val="00486D67"/>
    <w:rsid w:val="00490F5E"/>
    <w:rsid w:val="00492310"/>
    <w:rsid w:val="00495658"/>
    <w:rsid w:val="00496C72"/>
    <w:rsid w:val="004A64D3"/>
    <w:rsid w:val="004A6F9B"/>
    <w:rsid w:val="004B0533"/>
    <w:rsid w:val="004B5378"/>
    <w:rsid w:val="004B63D5"/>
    <w:rsid w:val="004B7208"/>
    <w:rsid w:val="004C7D2F"/>
    <w:rsid w:val="004D00E6"/>
    <w:rsid w:val="004E3C2B"/>
    <w:rsid w:val="00510416"/>
    <w:rsid w:val="00512601"/>
    <w:rsid w:val="0051460E"/>
    <w:rsid w:val="005203E3"/>
    <w:rsid w:val="0052118D"/>
    <w:rsid w:val="005416B2"/>
    <w:rsid w:val="00551BD8"/>
    <w:rsid w:val="005554DC"/>
    <w:rsid w:val="00557124"/>
    <w:rsid w:val="0056735A"/>
    <w:rsid w:val="0056790E"/>
    <w:rsid w:val="0057231D"/>
    <w:rsid w:val="00572895"/>
    <w:rsid w:val="00580BCD"/>
    <w:rsid w:val="0058542A"/>
    <w:rsid w:val="005862BC"/>
    <w:rsid w:val="00586402"/>
    <w:rsid w:val="00587B4B"/>
    <w:rsid w:val="00592FFF"/>
    <w:rsid w:val="00593915"/>
    <w:rsid w:val="00594E9A"/>
    <w:rsid w:val="005A11C6"/>
    <w:rsid w:val="005B22DF"/>
    <w:rsid w:val="005B6644"/>
    <w:rsid w:val="005C6F8C"/>
    <w:rsid w:val="005E1FE9"/>
    <w:rsid w:val="005F3EED"/>
    <w:rsid w:val="005F79CD"/>
    <w:rsid w:val="006014D2"/>
    <w:rsid w:val="00610594"/>
    <w:rsid w:val="00611646"/>
    <w:rsid w:val="00614268"/>
    <w:rsid w:val="00614336"/>
    <w:rsid w:val="00615D60"/>
    <w:rsid w:val="006267F3"/>
    <w:rsid w:val="00626DA6"/>
    <w:rsid w:val="006307BD"/>
    <w:rsid w:val="00633818"/>
    <w:rsid w:val="006340A7"/>
    <w:rsid w:val="00642E89"/>
    <w:rsid w:val="00650827"/>
    <w:rsid w:val="006525F9"/>
    <w:rsid w:val="00656207"/>
    <w:rsid w:val="00657289"/>
    <w:rsid w:val="00665583"/>
    <w:rsid w:val="00665ACE"/>
    <w:rsid w:val="006675A2"/>
    <w:rsid w:val="00670889"/>
    <w:rsid w:val="00670CFF"/>
    <w:rsid w:val="00672EDD"/>
    <w:rsid w:val="00677201"/>
    <w:rsid w:val="006862F7"/>
    <w:rsid w:val="00690B8D"/>
    <w:rsid w:val="00693C60"/>
    <w:rsid w:val="006A2ADD"/>
    <w:rsid w:val="006B201F"/>
    <w:rsid w:val="006B735E"/>
    <w:rsid w:val="006C0786"/>
    <w:rsid w:val="006C3A1A"/>
    <w:rsid w:val="006C7F5D"/>
    <w:rsid w:val="006D2C51"/>
    <w:rsid w:val="006E2D9B"/>
    <w:rsid w:val="006F074D"/>
    <w:rsid w:val="00702DB1"/>
    <w:rsid w:val="0070542C"/>
    <w:rsid w:val="0070674A"/>
    <w:rsid w:val="00707B82"/>
    <w:rsid w:val="00711CC9"/>
    <w:rsid w:val="00713703"/>
    <w:rsid w:val="00721671"/>
    <w:rsid w:val="007221CE"/>
    <w:rsid w:val="00727D8F"/>
    <w:rsid w:val="00732058"/>
    <w:rsid w:val="00732C9D"/>
    <w:rsid w:val="007341A9"/>
    <w:rsid w:val="00736A31"/>
    <w:rsid w:val="00750D44"/>
    <w:rsid w:val="00750FDB"/>
    <w:rsid w:val="00764844"/>
    <w:rsid w:val="007670D8"/>
    <w:rsid w:val="00767C2A"/>
    <w:rsid w:val="00787691"/>
    <w:rsid w:val="0078788A"/>
    <w:rsid w:val="00795198"/>
    <w:rsid w:val="0079539C"/>
    <w:rsid w:val="007A7D7F"/>
    <w:rsid w:val="007C00FE"/>
    <w:rsid w:val="007C3225"/>
    <w:rsid w:val="007C4465"/>
    <w:rsid w:val="007C4F1A"/>
    <w:rsid w:val="007C7CE3"/>
    <w:rsid w:val="00815881"/>
    <w:rsid w:val="00823495"/>
    <w:rsid w:val="00826257"/>
    <w:rsid w:val="008304AD"/>
    <w:rsid w:val="0083170D"/>
    <w:rsid w:val="00831D71"/>
    <w:rsid w:val="00833D27"/>
    <w:rsid w:val="00837DAA"/>
    <w:rsid w:val="008405DB"/>
    <w:rsid w:val="00844ECA"/>
    <w:rsid w:val="00846CAE"/>
    <w:rsid w:val="00855FD7"/>
    <w:rsid w:val="008571A9"/>
    <w:rsid w:val="00857AFB"/>
    <w:rsid w:val="0086253C"/>
    <w:rsid w:val="00870A6A"/>
    <w:rsid w:val="008A1503"/>
    <w:rsid w:val="008A7F25"/>
    <w:rsid w:val="008B0186"/>
    <w:rsid w:val="008B136D"/>
    <w:rsid w:val="008B45DA"/>
    <w:rsid w:val="008C2BF5"/>
    <w:rsid w:val="008D3971"/>
    <w:rsid w:val="008D7A3D"/>
    <w:rsid w:val="008E34BD"/>
    <w:rsid w:val="008E76CC"/>
    <w:rsid w:val="00901046"/>
    <w:rsid w:val="00910CAA"/>
    <w:rsid w:val="00911781"/>
    <w:rsid w:val="009228B5"/>
    <w:rsid w:val="0092483D"/>
    <w:rsid w:val="00925763"/>
    <w:rsid w:val="00930DE5"/>
    <w:rsid w:val="0094058A"/>
    <w:rsid w:val="009539D0"/>
    <w:rsid w:val="00954536"/>
    <w:rsid w:val="009574CB"/>
    <w:rsid w:val="00957A3C"/>
    <w:rsid w:val="00964A40"/>
    <w:rsid w:val="00964CE5"/>
    <w:rsid w:val="00966EE9"/>
    <w:rsid w:val="00967B83"/>
    <w:rsid w:val="00981E09"/>
    <w:rsid w:val="009A4F81"/>
    <w:rsid w:val="009B1E33"/>
    <w:rsid w:val="009C7B72"/>
    <w:rsid w:val="009D116D"/>
    <w:rsid w:val="009D4A35"/>
    <w:rsid w:val="009E3EA9"/>
    <w:rsid w:val="009E735D"/>
    <w:rsid w:val="009F0905"/>
    <w:rsid w:val="00A01364"/>
    <w:rsid w:val="00A03A6B"/>
    <w:rsid w:val="00A16218"/>
    <w:rsid w:val="00A22519"/>
    <w:rsid w:val="00A2397A"/>
    <w:rsid w:val="00A26B1A"/>
    <w:rsid w:val="00A3127B"/>
    <w:rsid w:val="00A40FC1"/>
    <w:rsid w:val="00A46ABB"/>
    <w:rsid w:val="00A5183D"/>
    <w:rsid w:val="00A53FDD"/>
    <w:rsid w:val="00A56146"/>
    <w:rsid w:val="00A634F2"/>
    <w:rsid w:val="00A647A3"/>
    <w:rsid w:val="00A708AB"/>
    <w:rsid w:val="00A72670"/>
    <w:rsid w:val="00A73B99"/>
    <w:rsid w:val="00A75239"/>
    <w:rsid w:val="00A87909"/>
    <w:rsid w:val="00A90E64"/>
    <w:rsid w:val="00A9622A"/>
    <w:rsid w:val="00A9672B"/>
    <w:rsid w:val="00AA4ECD"/>
    <w:rsid w:val="00AB6698"/>
    <w:rsid w:val="00AC021C"/>
    <w:rsid w:val="00AC115E"/>
    <w:rsid w:val="00AC132C"/>
    <w:rsid w:val="00AC5021"/>
    <w:rsid w:val="00AC5FB7"/>
    <w:rsid w:val="00AD240B"/>
    <w:rsid w:val="00AE002A"/>
    <w:rsid w:val="00AE05C3"/>
    <w:rsid w:val="00AE0EF6"/>
    <w:rsid w:val="00AE5EF2"/>
    <w:rsid w:val="00AE7362"/>
    <w:rsid w:val="00B263FE"/>
    <w:rsid w:val="00B409D5"/>
    <w:rsid w:val="00B41AF5"/>
    <w:rsid w:val="00B4265F"/>
    <w:rsid w:val="00B43A27"/>
    <w:rsid w:val="00B51D31"/>
    <w:rsid w:val="00B54B36"/>
    <w:rsid w:val="00B562C2"/>
    <w:rsid w:val="00B60013"/>
    <w:rsid w:val="00B63F4F"/>
    <w:rsid w:val="00B64551"/>
    <w:rsid w:val="00B71897"/>
    <w:rsid w:val="00B71FF7"/>
    <w:rsid w:val="00B7233A"/>
    <w:rsid w:val="00B75D5B"/>
    <w:rsid w:val="00B822B1"/>
    <w:rsid w:val="00B84DA9"/>
    <w:rsid w:val="00B9673F"/>
    <w:rsid w:val="00B967DA"/>
    <w:rsid w:val="00BA235D"/>
    <w:rsid w:val="00BB0F70"/>
    <w:rsid w:val="00BB1F71"/>
    <w:rsid w:val="00BB276E"/>
    <w:rsid w:val="00BB293B"/>
    <w:rsid w:val="00BB63CD"/>
    <w:rsid w:val="00BC1C20"/>
    <w:rsid w:val="00BD0E1E"/>
    <w:rsid w:val="00BD49A6"/>
    <w:rsid w:val="00C00007"/>
    <w:rsid w:val="00C01FE6"/>
    <w:rsid w:val="00C02629"/>
    <w:rsid w:val="00C06592"/>
    <w:rsid w:val="00C10FA5"/>
    <w:rsid w:val="00C152D5"/>
    <w:rsid w:val="00C2009D"/>
    <w:rsid w:val="00C30B0C"/>
    <w:rsid w:val="00C32606"/>
    <w:rsid w:val="00C375D1"/>
    <w:rsid w:val="00C54E18"/>
    <w:rsid w:val="00C634AC"/>
    <w:rsid w:val="00C6626C"/>
    <w:rsid w:val="00C672AE"/>
    <w:rsid w:val="00C71A1A"/>
    <w:rsid w:val="00C740CE"/>
    <w:rsid w:val="00C77636"/>
    <w:rsid w:val="00C77EA8"/>
    <w:rsid w:val="00C84C73"/>
    <w:rsid w:val="00C93540"/>
    <w:rsid w:val="00C95E3E"/>
    <w:rsid w:val="00CA10A5"/>
    <w:rsid w:val="00CA791A"/>
    <w:rsid w:val="00CB0FFD"/>
    <w:rsid w:val="00CC1AA6"/>
    <w:rsid w:val="00CC1E8C"/>
    <w:rsid w:val="00CC2D9A"/>
    <w:rsid w:val="00CC4D73"/>
    <w:rsid w:val="00CC7513"/>
    <w:rsid w:val="00CD2004"/>
    <w:rsid w:val="00CE085E"/>
    <w:rsid w:val="00CE7827"/>
    <w:rsid w:val="00CF04BF"/>
    <w:rsid w:val="00D005E9"/>
    <w:rsid w:val="00D01CD1"/>
    <w:rsid w:val="00D02A04"/>
    <w:rsid w:val="00D112B2"/>
    <w:rsid w:val="00D15043"/>
    <w:rsid w:val="00D163C7"/>
    <w:rsid w:val="00D16F75"/>
    <w:rsid w:val="00D2267D"/>
    <w:rsid w:val="00D31594"/>
    <w:rsid w:val="00D402C3"/>
    <w:rsid w:val="00D41F11"/>
    <w:rsid w:val="00D422A3"/>
    <w:rsid w:val="00D46F07"/>
    <w:rsid w:val="00D52783"/>
    <w:rsid w:val="00D536C9"/>
    <w:rsid w:val="00D64D58"/>
    <w:rsid w:val="00D6707F"/>
    <w:rsid w:val="00D678B3"/>
    <w:rsid w:val="00D739E7"/>
    <w:rsid w:val="00D7586A"/>
    <w:rsid w:val="00D8557C"/>
    <w:rsid w:val="00D86C37"/>
    <w:rsid w:val="00D86C63"/>
    <w:rsid w:val="00D87A25"/>
    <w:rsid w:val="00D90ED2"/>
    <w:rsid w:val="00D929D1"/>
    <w:rsid w:val="00D93140"/>
    <w:rsid w:val="00D93713"/>
    <w:rsid w:val="00D94044"/>
    <w:rsid w:val="00DA0B46"/>
    <w:rsid w:val="00DA17A4"/>
    <w:rsid w:val="00DA3173"/>
    <w:rsid w:val="00DB1BE3"/>
    <w:rsid w:val="00DB6369"/>
    <w:rsid w:val="00DB71E7"/>
    <w:rsid w:val="00DC7BD8"/>
    <w:rsid w:val="00DE16F4"/>
    <w:rsid w:val="00DE2C44"/>
    <w:rsid w:val="00DE3D48"/>
    <w:rsid w:val="00DE63F7"/>
    <w:rsid w:val="00DF1E2A"/>
    <w:rsid w:val="00DF2B96"/>
    <w:rsid w:val="00DF3196"/>
    <w:rsid w:val="00DF36FB"/>
    <w:rsid w:val="00E02B0D"/>
    <w:rsid w:val="00E07BFA"/>
    <w:rsid w:val="00E21E55"/>
    <w:rsid w:val="00E36BE1"/>
    <w:rsid w:val="00E47ADF"/>
    <w:rsid w:val="00E560C3"/>
    <w:rsid w:val="00E605B3"/>
    <w:rsid w:val="00E64703"/>
    <w:rsid w:val="00E65600"/>
    <w:rsid w:val="00E661D1"/>
    <w:rsid w:val="00E70C59"/>
    <w:rsid w:val="00E74A06"/>
    <w:rsid w:val="00E754CF"/>
    <w:rsid w:val="00E76359"/>
    <w:rsid w:val="00E86FFC"/>
    <w:rsid w:val="00E9565A"/>
    <w:rsid w:val="00EA6456"/>
    <w:rsid w:val="00EA6DEC"/>
    <w:rsid w:val="00EB3C68"/>
    <w:rsid w:val="00EB4B35"/>
    <w:rsid w:val="00EB7272"/>
    <w:rsid w:val="00ED3DBF"/>
    <w:rsid w:val="00ED72A0"/>
    <w:rsid w:val="00EE0247"/>
    <w:rsid w:val="00EE0E45"/>
    <w:rsid w:val="00EE2389"/>
    <w:rsid w:val="00EE7FF3"/>
    <w:rsid w:val="00EF3DF7"/>
    <w:rsid w:val="00EF58DF"/>
    <w:rsid w:val="00EF59B7"/>
    <w:rsid w:val="00F21C23"/>
    <w:rsid w:val="00F222B1"/>
    <w:rsid w:val="00F256F9"/>
    <w:rsid w:val="00F26F13"/>
    <w:rsid w:val="00F27A9F"/>
    <w:rsid w:val="00F30354"/>
    <w:rsid w:val="00F41136"/>
    <w:rsid w:val="00F42308"/>
    <w:rsid w:val="00F43DAC"/>
    <w:rsid w:val="00F46647"/>
    <w:rsid w:val="00F51E57"/>
    <w:rsid w:val="00F55D3B"/>
    <w:rsid w:val="00F66CE2"/>
    <w:rsid w:val="00F675AF"/>
    <w:rsid w:val="00F704FC"/>
    <w:rsid w:val="00F76410"/>
    <w:rsid w:val="00F85A92"/>
    <w:rsid w:val="00F90463"/>
    <w:rsid w:val="00F96859"/>
    <w:rsid w:val="00F9704C"/>
    <w:rsid w:val="00FA7A59"/>
    <w:rsid w:val="00FB00A1"/>
    <w:rsid w:val="00FB0886"/>
    <w:rsid w:val="00FB0F10"/>
    <w:rsid w:val="00FC6A8A"/>
    <w:rsid w:val="00FC7DB2"/>
    <w:rsid w:val="00FD58C4"/>
    <w:rsid w:val="00FE0890"/>
    <w:rsid w:val="00FE08AB"/>
    <w:rsid w:val="00FE11C3"/>
    <w:rsid w:val="00FF19C0"/>
    <w:rsid w:val="00FF5C2C"/>
    <w:rsid w:val="00FF70AD"/>
    <w:rsid w:val="00FF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FBE1"/>
  <w15:chartTrackingRefBased/>
  <w15:docId w15:val="{C11D998A-B460-4976-BFFF-B4A7BEE4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0F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C1"/>
    <w:pPr>
      <w:spacing w:line="252" w:lineRule="auto"/>
      <w:ind w:left="720"/>
      <w:contextualSpacing/>
      <w:jc w:val="both"/>
    </w:pPr>
    <w:rPr>
      <w:rFonts w:eastAsiaTheme="minorEastAsia"/>
      <w:lang w:val="en-AU"/>
    </w:rPr>
  </w:style>
  <w:style w:type="character" w:customStyle="1" w:styleId="Heading2Char">
    <w:name w:val="Heading 2 Char"/>
    <w:basedOn w:val="DefaultParagraphFont"/>
    <w:link w:val="Heading2"/>
    <w:uiPriority w:val="9"/>
    <w:rsid w:val="00A40FC1"/>
    <w:rPr>
      <w:rFonts w:ascii="Times New Roman" w:eastAsia="Times New Roman" w:hAnsi="Times New Roman" w:cs="Times New Roman"/>
      <w:b/>
      <w:bCs/>
      <w:sz w:val="36"/>
      <w:szCs w:val="36"/>
      <w:lang w:eastAsia="en-GB"/>
    </w:rPr>
  </w:style>
  <w:style w:type="paragraph" w:customStyle="1" w:styleId="css-38z03z">
    <w:name w:val="css-38z03z"/>
    <w:basedOn w:val="Normal"/>
    <w:rsid w:val="00A40F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0FC1"/>
    <w:rPr>
      <w:color w:val="0000FF"/>
      <w:u w:val="single"/>
    </w:rPr>
  </w:style>
  <w:style w:type="character" w:styleId="Emphasis">
    <w:name w:val="Emphasis"/>
    <w:basedOn w:val="DefaultParagraphFont"/>
    <w:uiPriority w:val="20"/>
    <w:qFormat/>
    <w:rsid w:val="009E735D"/>
    <w:rPr>
      <w:i/>
      <w:iCs/>
    </w:rPr>
  </w:style>
  <w:style w:type="paragraph" w:styleId="NormalWeb">
    <w:name w:val="Normal (Web)"/>
    <w:basedOn w:val="Normal"/>
    <w:uiPriority w:val="99"/>
    <w:semiHidden/>
    <w:unhideWhenUsed/>
    <w:rsid w:val="00467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3DF7"/>
    <w:rPr>
      <w:b/>
      <w:bCs/>
    </w:rPr>
  </w:style>
  <w:style w:type="paragraph" w:styleId="FootnoteText">
    <w:name w:val="footnote text"/>
    <w:basedOn w:val="Normal"/>
    <w:link w:val="FootnoteTextChar"/>
    <w:uiPriority w:val="99"/>
    <w:semiHidden/>
    <w:unhideWhenUsed/>
    <w:rsid w:val="00D4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2A3"/>
    <w:rPr>
      <w:sz w:val="20"/>
      <w:szCs w:val="20"/>
    </w:rPr>
  </w:style>
  <w:style w:type="character" w:styleId="FootnoteReference">
    <w:name w:val="footnote reference"/>
    <w:basedOn w:val="DefaultParagraphFont"/>
    <w:uiPriority w:val="99"/>
    <w:semiHidden/>
    <w:unhideWhenUsed/>
    <w:rsid w:val="00D422A3"/>
    <w:rPr>
      <w:vertAlign w:val="superscript"/>
    </w:rPr>
  </w:style>
  <w:style w:type="character" w:customStyle="1" w:styleId="reference-accessdate">
    <w:name w:val="reference-accessdate"/>
    <w:basedOn w:val="DefaultParagraphFont"/>
    <w:rsid w:val="00DF2B96"/>
  </w:style>
  <w:style w:type="character" w:customStyle="1" w:styleId="nowrap">
    <w:name w:val="nowrap"/>
    <w:basedOn w:val="DefaultParagraphFont"/>
    <w:rsid w:val="00DF2B96"/>
  </w:style>
  <w:style w:type="character" w:customStyle="1" w:styleId="cs1-kern-left">
    <w:name w:val="cs1-kern-left"/>
    <w:basedOn w:val="DefaultParagraphFont"/>
    <w:rsid w:val="00750D44"/>
  </w:style>
  <w:style w:type="character" w:customStyle="1" w:styleId="Heading1Char">
    <w:name w:val="Heading 1 Char"/>
    <w:basedOn w:val="DefaultParagraphFont"/>
    <w:link w:val="Heading1"/>
    <w:uiPriority w:val="9"/>
    <w:rsid w:val="005416B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D66D3"/>
    <w:rPr>
      <w:color w:val="605E5C"/>
      <w:shd w:val="clear" w:color="auto" w:fill="E1DFDD"/>
    </w:rPr>
  </w:style>
  <w:style w:type="character" w:styleId="FollowedHyperlink">
    <w:name w:val="FollowedHyperlink"/>
    <w:basedOn w:val="DefaultParagraphFont"/>
    <w:uiPriority w:val="99"/>
    <w:semiHidden/>
    <w:unhideWhenUsed/>
    <w:rsid w:val="00041D1B"/>
    <w:rPr>
      <w:color w:val="954F72" w:themeColor="followedHyperlink"/>
      <w:u w:val="single"/>
    </w:rPr>
  </w:style>
  <w:style w:type="paragraph" w:customStyle="1" w:styleId="subsection">
    <w:name w:val="subsection"/>
    <w:basedOn w:val="Normal"/>
    <w:rsid w:val="00510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104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393">
      <w:bodyDiv w:val="1"/>
      <w:marLeft w:val="0"/>
      <w:marRight w:val="0"/>
      <w:marTop w:val="0"/>
      <w:marBottom w:val="0"/>
      <w:divBdr>
        <w:top w:val="none" w:sz="0" w:space="0" w:color="auto"/>
        <w:left w:val="none" w:sz="0" w:space="0" w:color="auto"/>
        <w:bottom w:val="none" w:sz="0" w:space="0" w:color="auto"/>
        <w:right w:val="none" w:sz="0" w:space="0" w:color="auto"/>
      </w:divBdr>
    </w:div>
    <w:div w:id="145513323">
      <w:bodyDiv w:val="1"/>
      <w:marLeft w:val="0"/>
      <w:marRight w:val="0"/>
      <w:marTop w:val="0"/>
      <w:marBottom w:val="0"/>
      <w:divBdr>
        <w:top w:val="none" w:sz="0" w:space="0" w:color="auto"/>
        <w:left w:val="none" w:sz="0" w:space="0" w:color="auto"/>
        <w:bottom w:val="none" w:sz="0" w:space="0" w:color="auto"/>
        <w:right w:val="none" w:sz="0" w:space="0" w:color="auto"/>
      </w:divBdr>
    </w:div>
    <w:div w:id="207375325">
      <w:bodyDiv w:val="1"/>
      <w:marLeft w:val="0"/>
      <w:marRight w:val="0"/>
      <w:marTop w:val="0"/>
      <w:marBottom w:val="0"/>
      <w:divBdr>
        <w:top w:val="none" w:sz="0" w:space="0" w:color="auto"/>
        <w:left w:val="none" w:sz="0" w:space="0" w:color="auto"/>
        <w:bottom w:val="none" w:sz="0" w:space="0" w:color="auto"/>
        <w:right w:val="none" w:sz="0" w:space="0" w:color="auto"/>
      </w:divBdr>
    </w:div>
    <w:div w:id="381447302">
      <w:bodyDiv w:val="1"/>
      <w:marLeft w:val="0"/>
      <w:marRight w:val="0"/>
      <w:marTop w:val="0"/>
      <w:marBottom w:val="0"/>
      <w:divBdr>
        <w:top w:val="none" w:sz="0" w:space="0" w:color="auto"/>
        <w:left w:val="none" w:sz="0" w:space="0" w:color="auto"/>
        <w:bottom w:val="none" w:sz="0" w:space="0" w:color="auto"/>
        <w:right w:val="none" w:sz="0" w:space="0" w:color="auto"/>
      </w:divBdr>
    </w:div>
    <w:div w:id="434834035">
      <w:bodyDiv w:val="1"/>
      <w:marLeft w:val="0"/>
      <w:marRight w:val="0"/>
      <w:marTop w:val="0"/>
      <w:marBottom w:val="0"/>
      <w:divBdr>
        <w:top w:val="none" w:sz="0" w:space="0" w:color="auto"/>
        <w:left w:val="none" w:sz="0" w:space="0" w:color="auto"/>
        <w:bottom w:val="none" w:sz="0" w:space="0" w:color="auto"/>
        <w:right w:val="none" w:sz="0" w:space="0" w:color="auto"/>
      </w:divBdr>
      <w:divsChild>
        <w:div w:id="445465118">
          <w:marLeft w:val="0"/>
          <w:marRight w:val="0"/>
          <w:marTop w:val="0"/>
          <w:marBottom w:val="0"/>
          <w:divBdr>
            <w:top w:val="none" w:sz="0" w:space="0" w:color="auto"/>
            <w:left w:val="none" w:sz="0" w:space="0" w:color="auto"/>
            <w:bottom w:val="none" w:sz="0" w:space="0" w:color="auto"/>
            <w:right w:val="none" w:sz="0" w:space="0" w:color="auto"/>
          </w:divBdr>
          <w:divsChild>
            <w:div w:id="2130853059">
              <w:marLeft w:val="0"/>
              <w:marRight w:val="0"/>
              <w:marTop w:val="0"/>
              <w:marBottom w:val="0"/>
              <w:divBdr>
                <w:top w:val="none" w:sz="0" w:space="0" w:color="auto"/>
                <w:left w:val="none" w:sz="0" w:space="0" w:color="auto"/>
                <w:bottom w:val="none" w:sz="0" w:space="0" w:color="auto"/>
                <w:right w:val="none" w:sz="0" w:space="0" w:color="auto"/>
              </w:divBdr>
              <w:divsChild>
                <w:div w:id="1185821389">
                  <w:marLeft w:val="-3600"/>
                  <w:marRight w:val="300"/>
                  <w:marTop w:val="0"/>
                  <w:marBottom w:val="75"/>
                  <w:divBdr>
                    <w:top w:val="none" w:sz="0" w:space="0" w:color="auto"/>
                    <w:left w:val="none" w:sz="0" w:space="0" w:color="auto"/>
                    <w:bottom w:val="none" w:sz="0" w:space="0" w:color="auto"/>
                    <w:right w:val="none" w:sz="0" w:space="0" w:color="auto"/>
                  </w:divBdr>
                  <w:divsChild>
                    <w:div w:id="1324090573">
                      <w:marLeft w:val="0"/>
                      <w:marRight w:val="0"/>
                      <w:marTop w:val="0"/>
                      <w:marBottom w:val="0"/>
                      <w:divBdr>
                        <w:top w:val="none" w:sz="0" w:space="0" w:color="auto"/>
                        <w:left w:val="none" w:sz="0" w:space="0" w:color="auto"/>
                        <w:bottom w:val="none" w:sz="0" w:space="0" w:color="auto"/>
                        <w:right w:val="none" w:sz="0" w:space="0" w:color="auto"/>
                      </w:divBdr>
                      <w:divsChild>
                        <w:div w:id="271135944">
                          <w:marLeft w:val="0"/>
                          <w:marRight w:val="0"/>
                          <w:marTop w:val="0"/>
                          <w:marBottom w:val="0"/>
                          <w:divBdr>
                            <w:top w:val="none" w:sz="0" w:space="0" w:color="auto"/>
                            <w:left w:val="none" w:sz="0" w:space="0" w:color="auto"/>
                            <w:bottom w:val="none" w:sz="0" w:space="0" w:color="auto"/>
                            <w:right w:val="none" w:sz="0" w:space="0" w:color="auto"/>
                          </w:divBdr>
                          <w:divsChild>
                            <w:div w:id="1890534404">
                              <w:marLeft w:val="0"/>
                              <w:marRight w:val="0"/>
                              <w:marTop w:val="0"/>
                              <w:marBottom w:val="0"/>
                              <w:divBdr>
                                <w:top w:val="none" w:sz="0" w:space="0" w:color="auto"/>
                                <w:left w:val="none" w:sz="0" w:space="0" w:color="auto"/>
                                <w:bottom w:val="none" w:sz="0" w:space="0" w:color="auto"/>
                                <w:right w:val="none" w:sz="0" w:space="0" w:color="auto"/>
                              </w:divBdr>
                            </w:div>
                            <w:div w:id="1019239818">
                              <w:marLeft w:val="0"/>
                              <w:marRight w:val="0"/>
                              <w:marTop w:val="0"/>
                              <w:marBottom w:val="0"/>
                              <w:divBdr>
                                <w:top w:val="none" w:sz="0" w:space="0" w:color="auto"/>
                                <w:left w:val="none" w:sz="0" w:space="0" w:color="auto"/>
                                <w:bottom w:val="none" w:sz="0" w:space="0" w:color="auto"/>
                                <w:right w:val="none" w:sz="0" w:space="0" w:color="auto"/>
                              </w:divBdr>
                            </w:div>
                          </w:divsChild>
                        </w:div>
                        <w:div w:id="313730022">
                          <w:marLeft w:val="0"/>
                          <w:marRight w:val="0"/>
                          <w:marTop w:val="0"/>
                          <w:marBottom w:val="0"/>
                          <w:divBdr>
                            <w:top w:val="none" w:sz="0" w:space="0" w:color="auto"/>
                            <w:left w:val="none" w:sz="0" w:space="0" w:color="auto"/>
                            <w:bottom w:val="none" w:sz="0" w:space="0" w:color="auto"/>
                            <w:right w:val="none" w:sz="0" w:space="0" w:color="auto"/>
                          </w:divBdr>
                          <w:divsChild>
                            <w:div w:id="3242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15681">
      <w:bodyDiv w:val="1"/>
      <w:marLeft w:val="0"/>
      <w:marRight w:val="0"/>
      <w:marTop w:val="0"/>
      <w:marBottom w:val="0"/>
      <w:divBdr>
        <w:top w:val="none" w:sz="0" w:space="0" w:color="auto"/>
        <w:left w:val="none" w:sz="0" w:space="0" w:color="auto"/>
        <w:bottom w:val="none" w:sz="0" w:space="0" w:color="auto"/>
        <w:right w:val="none" w:sz="0" w:space="0" w:color="auto"/>
      </w:divBdr>
    </w:div>
    <w:div w:id="655646062">
      <w:bodyDiv w:val="1"/>
      <w:marLeft w:val="0"/>
      <w:marRight w:val="0"/>
      <w:marTop w:val="0"/>
      <w:marBottom w:val="0"/>
      <w:divBdr>
        <w:top w:val="none" w:sz="0" w:space="0" w:color="auto"/>
        <w:left w:val="none" w:sz="0" w:space="0" w:color="auto"/>
        <w:bottom w:val="none" w:sz="0" w:space="0" w:color="auto"/>
        <w:right w:val="none" w:sz="0" w:space="0" w:color="auto"/>
      </w:divBdr>
    </w:div>
    <w:div w:id="799762064">
      <w:bodyDiv w:val="1"/>
      <w:marLeft w:val="0"/>
      <w:marRight w:val="0"/>
      <w:marTop w:val="0"/>
      <w:marBottom w:val="0"/>
      <w:divBdr>
        <w:top w:val="none" w:sz="0" w:space="0" w:color="auto"/>
        <w:left w:val="none" w:sz="0" w:space="0" w:color="auto"/>
        <w:bottom w:val="none" w:sz="0" w:space="0" w:color="auto"/>
        <w:right w:val="none" w:sz="0" w:space="0" w:color="auto"/>
      </w:divBdr>
    </w:div>
    <w:div w:id="1132986739">
      <w:bodyDiv w:val="1"/>
      <w:marLeft w:val="0"/>
      <w:marRight w:val="0"/>
      <w:marTop w:val="0"/>
      <w:marBottom w:val="0"/>
      <w:divBdr>
        <w:top w:val="none" w:sz="0" w:space="0" w:color="auto"/>
        <w:left w:val="none" w:sz="0" w:space="0" w:color="auto"/>
        <w:bottom w:val="none" w:sz="0" w:space="0" w:color="auto"/>
        <w:right w:val="none" w:sz="0" w:space="0" w:color="auto"/>
      </w:divBdr>
    </w:div>
    <w:div w:id="1164665427">
      <w:bodyDiv w:val="1"/>
      <w:marLeft w:val="0"/>
      <w:marRight w:val="0"/>
      <w:marTop w:val="0"/>
      <w:marBottom w:val="0"/>
      <w:divBdr>
        <w:top w:val="none" w:sz="0" w:space="0" w:color="auto"/>
        <w:left w:val="none" w:sz="0" w:space="0" w:color="auto"/>
        <w:bottom w:val="none" w:sz="0" w:space="0" w:color="auto"/>
        <w:right w:val="none" w:sz="0" w:space="0" w:color="auto"/>
      </w:divBdr>
    </w:div>
    <w:div w:id="1200624185">
      <w:bodyDiv w:val="1"/>
      <w:marLeft w:val="0"/>
      <w:marRight w:val="0"/>
      <w:marTop w:val="0"/>
      <w:marBottom w:val="0"/>
      <w:divBdr>
        <w:top w:val="none" w:sz="0" w:space="0" w:color="auto"/>
        <w:left w:val="none" w:sz="0" w:space="0" w:color="auto"/>
        <w:bottom w:val="none" w:sz="0" w:space="0" w:color="auto"/>
        <w:right w:val="none" w:sz="0" w:space="0" w:color="auto"/>
      </w:divBdr>
    </w:div>
    <w:div w:id="1258295923">
      <w:bodyDiv w:val="1"/>
      <w:marLeft w:val="0"/>
      <w:marRight w:val="0"/>
      <w:marTop w:val="0"/>
      <w:marBottom w:val="0"/>
      <w:divBdr>
        <w:top w:val="none" w:sz="0" w:space="0" w:color="auto"/>
        <w:left w:val="none" w:sz="0" w:space="0" w:color="auto"/>
        <w:bottom w:val="none" w:sz="0" w:space="0" w:color="auto"/>
        <w:right w:val="none" w:sz="0" w:space="0" w:color="auto"/>
      </w:divBdr>
    </w:div>
    <w:div w:id="1433819898">
      <w:bodyDiv w:val="1"/>
      <w:marLeft w:val="0"/>
      <w:marRight w:val="0"/>
      <w:marTop w:val="0"/>
      <w:marBottom w:val="0"/>
      <w:divBdr>
        <w:top w:val="none" w:sz="0" w:space="0" w:color="auto"/>
        <w:left w:val="none" w:sz="0" w:space="0" w:color="auto"/>
        <w:bottom w:val="none" w:sz="0" w:space="0" w:color="auto"/>
        <w:right w:val="none" w:sz="0" w:space="0" w:color="auto"/>
      </w:divBdr>
    </w:div>
    <w:div w:id="1562984679">
      <w:bodyDiv w:val="1"/>
      <w:marLeft w:val="0"/>
      <w:marRight w:val="0"/>
      <w:marTop w:val="0"/>
      <w:marBottom w:val="0"/>
      <w:divBdr>
        <w:top w:val="none" w:sz="0" w:space="0" w:color="auto"/>
        <w:left w:val="none" w:sz="0" w:space="0" w:color="auto"/>
        <w:bottom w:val="none" w:sz="0" w:space="0" w:color="auto"/>
        <w:right w:val="none" w:sz="0" w:space="0" w:color="auto"/>
      </w:divBdr>
    </w:div>
    <w:div w:id="1592085340">
      <w:bodyDiv w:val="1"/>
      <w:marLeft w:val="0"/>
      <w:marRight w:val="0"/>
      <w:marTop w:val="0"/>
      <w:marBottom w:val="0"/>
      <w:divBdr>
        <w:top w:val="none" w:sz="0" w:space="0" w:color="auto"/>
        <w:left w:val="none" w:sz="0" w:space="0" w:color="auto"/>
        <w:bottom w:val="none" w:sz="0" w:space="0" w:color="auto"/>
        <w:right w:val="none" w:sz="0" w:space="0" w:color="auto"/>
      </w:divBdr>
      <w:divsChild>
        <w:div w:id="1484615523">
          <w:marLeft w:val="0"/>
          <w:marRight w:val="0"/>
          <w:marTop w:val="0"/>
          <w:marBottom w:val="0"/>
          <w:divBdr>
            <w:top w:val="none" w:sz="0" w:space="0" w:color="auto"/>
            <w:left w:val="none" w:sz="0" w:space="0" w:color="auto"/>
            <w:bottom w:val="none" w:sz="0" w:space="0" w:color="auto"/>
            <w:right w:val="none" w:sz="0" w:space="0" w:color="auto"/>
          </w:divBdr>
          <w:divsChild>
            <w:div w:id="510802970">
              <w:marLeft w:val="0"/>
              <w:marRight w:val="0"/>
              <w:marTop w:val="0"/>
              <w:marBottom w:val="0"/>
              <w:divBdr>
                <w:top w:val="none" w:sz="0" w:space="0" w:color="auto"/>
                <w:left w:val="none" w:sz="0" w:space="0" w:color="auto"/>
                <w:bottom w:val="none" w:sz="0" w:space="0" w:color="auto"/>
                <w:right w:val="none" w:sz="0" w:space="0" w:color="auto"/>
              </w:divBdr>
              <w:divsChild>
                <w:div w:id="962079864">
                  <w:marLeft w:val="-3600"/>
                  <w:marRight w:val="300"/>
                  <w:marTop w:val="0"/>
                  <w:marBottom w:val="75"/>
                  <w:divBdr>
                    <w:top w:val="none" w:sz="0" w:space="0" w:color="auto"/>
                    <w:left w:val="none" w:sz="0" w:space="0" w:color="auto"/>
                    <w:bottom w:val="none" w:sz="0" w:space="0" w:color="auto"/>
                    <w:right w:val="none" w:sz="0" w:space="0" w:color="auto"/>
                  </w:divBdr>
                  <w:divsChild>
                    <w:div w:id="283581168">
                      <w:marLeft w:val="0"/>
                      <w:marRight w:val="0"/>
                      <w:marTop w:val="0"/>
                      <w:marBottom w:val="0"/>
                      <w:divBdr>
                        <w:top w:val="none" w:sz="0" w:space="0" w:color="auto"/>
                        <w:left w:val="none" w:sz="0" w:space="0" w:color="auto"/>
                        <w:bottom w:val="none" w:sz="0" w:space="0" w:color="auto"/>
                        <w:right w:val="none" w:sz="0" w:space="0" w:color="auto"/>
                      </w:divBdr>
                    </w:div>
                    <w:div w:id="2078241168">
                      <w:marLeft w:val="0"/>
                      <w:marRight w:val="0"/>
                      <w:marTop w:val="0"/>
                      <w:marBottom w:val="0"/>
                      <w:divBdr>
                        <w:top w:val="none" w:sz="0" w:space="0" w:color="auto"/>
                        <w:left w:val="none" w:sz="0" w:space="0" w:color="auto"/>
                        <w:bottom w:val="none" w:sz="0" w:space="0" w:color="auto"/>
                        <w:right w:val="none" w:sz="0" w:space="0" w:color="auto"/>
                      </w:divBdr>
                      <w:divsChild>
                        <w:div w:id="909996362">
                          <w:marLeft w:val="0"/>
                          <w:marRight w:val="0"/>
                          <w:marTop w:val="0"/>
                          <w:marBottom w:val="0"/>
                          <w:divBdr>
                            <w:top w:val="none" w:sz="0" w:space="0" w:color="auto"/>
                            <w:left w:val="none" w:sz="0" w:space="0" w:color="auto"/>
                            <w:bottom w:val="none" w:sz="0" w:space="0" w:color="auto"/>
                            <w:right w:val="none" w:sz="0" w:space="0" w:color="auto"/>
                          </w:divBdr>
                          <w:divsChild>
                            <w:div w:id="1492090767">
                              <w:marLeft w:val="0"/>
                              <w:marRight w:val="0"/>
                              <w:marTop w:val="0"/>
                              <w:marBottom w:val="0"/>
                              <w:divBdr>
                                <w:top w:val="none" w:sz="0" w:space="0" w:color="auto"/>
                                <w:left w:val="none" w:sz="0" w:space="0" w:color="auto"/>
                                <w:bottom w:val="none" w:sz="0" w:space="0" w:color="auto"/>
                                <w:right w:val="none" w:sz="0" w:space="0" w:color="auto"/>
                              </w:divBdr>
                            </w:div>
                          </w:divsChild>
                        </w:div>
                        <w:div w:id="902830752">
                          <w:marLeft w:val="0"/>
                          <w:marRight w:val="0"/>
                          <w:marTop w:val="0"/>
                          <w:marBottom w:val="0"/>
                          <w:divBdr>
                            <w:top w:val="none" w:sz="0" w:space="0" w:color="auto"/>
                            <w:left w:val="none" w:sz="0" w:space="0" w:color="auto"/>
                            <w:bottom w:val="none" w:sz="0" w:space="0" w:color="auto"/>
                            <w:right w:val="none" w:sz="0" w:space="0" w:color="auto"/>
                          </w:divBdr>
                          <w:divsChild>
                            <w:div w:id="18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99376">
      <w:bodyDiv w:val="1"/>
      <w:marLeft w:val="0"/>
      <w:marRight w:val="0"/>
      <w:marTop w:val="0"/>
      <w:marBottom w:val="0"/>
      <w:divBdr>
        <w:top w:val="none" w:sz="0" w:space="0" w:color="auto"/>
        <w:left w:val="none" w:sz="0" w:space="0" w:color="auto"/>
        <w:bottom w:val="none" w:sz="0" w:space="0" w:color="auto"/>
        <w:right w:val="none" w:sz="0" w:space="0" w:color="auto"/>
      </w:divBdr>
    </w:div>
    <w:div w:id="1781139621">
      <w:bodyDiv w:val="1"/>
      <w:marLeft w:val="0"/>
      <w:marRight w:val="0"/>
      <w:marTop w:val="0"/>
      <w:marBottom w:val="0"/>
      <w:divBdr>
        <w:top w:val="none" w:sz="0" w:space="0" w:color="auto"/>
        <w:left w:val="none" w:sz="0" w:space="0" w:color="auto"/>
        <w:bottom w:val="none" w:sz="0" w:space="0" w:color="auto"/>
        <w:right w:val="none" w:sz="0" w:space="0" w:color="auto"/>
      </w:divBdr>
    </w:div>
    <w:div w:id="21133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ge.com.au/world/australian-troops-kill-5-afghan-children-20090213-874z.html" TargetMode="External"/><Relationship Id="rId18" Type="http://schemas.openxmlformats.org/officeDocument/2006/relationships/hyperlink" Target="https://www.theguardian.com/australia-news/2020/may/06/labor-wants-secrecy-in-ben-roberts-smith-defamation-case-to-be-examined-by-watchdog" TargetMode="External"/><Relationship Id="rId26" Type="http://schemas.openxmlformats.org/officeDocument/2006/relationships/hyperlink" Target="https://doi.org/10.1093/jicj/mqw027" TargetMode="External"/><Relationship Id="rId39" Type="http://schemas.openxmlformats.org/officeDocument/2006/relationships/hyperlink" Target="http://ilareporter.org.au/2021/06/australian-war-crimes-in-afghanistan-prosecutions-face-an-uncertain-road-ahead-alexandra-fowler/" TargetMode="External"/><Relationship Id="rId21" Type="http://schemas.openxmlformats.org/officeDocument/2006/relationships/hyperlink" Target="https://www.icc-cpi.int/nr/rdonlyres/66a8dcdc-3650-4514-aa62-d229d1128f65/281506/otpprosecutorialstrategy20092013.pdf" TargetMode="External"/><Relationship Id="rId34" Type="http://schemas.openxmlformats.org/officeDocument/2006/relationships/hyperlink" Target="https://www.icty.org/x/cases/mucic/acjug/en/cel-aj010220.pdf" TargetMode="External"/><Relationship Id="rId7" Type="http://schemas.openxmlformats.org/officeDocument/2006/relationships/hyperlink" Target="https://afghanistaninquiry.defence.gov.au/sites/default/files/2020-11/IGADF-Afghanistan-Inquiry-Public-Release-Version.pdf" TargetMode="External"/><Relationship Id="rId2" Type="http://schemas.openxmlformats.org/officeDocument/2006/relationships/styles" Target="styles.xml"/><Relationship Id="rId16" Type="http://schemas.openxmlformats.org/officeDocument/2006/relationships/hyperlink" Target="https://www.theguardian.com/uk-news/2017/mar/15/alexander-blackman-royal-marine-a-judges-quash-murder-conviction" TargetMode="External"/><Relationship Id="rId20" Type="http://schemas.openxmlformats.org/officeDocument/2006/relationships/hyperlink" Target="http://ilareporter.org.au/2019/09/private-prosecutions-for-international-crimes-the-high-court-of-australia-closes-the-door-on-individuals-seeking-to-end-impunity-keilin-anderson/" TargetMode="External"/><Relationship Id="rId29" Type="http://schemas.openxmlformats.org/officeDocument/2006/relationships/hyperlink" Target="https://www.icty.org/x/cases/hadzihasanovic_kubura/acdec/en/030716.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si.gov.au/about-us/our-people" TargetMode="External"/><Relationship Id="rId24" Type="http://schemas.openxmlformats.org/officeDocument/2006/relationships/hyperlink" Target="https://www.icc-cpi.int/Pages/item.aspx?name=201209-otp-statement-iraq-uk" TargetMode="External"/><Relationship Id="rId32" Type="http://schemas.openxmlformats.org/officeDocument/2006/relationships/hyperlink" Target="https://www.icty.org/x/cases/blaskic/tjug/en/bla-tj000303e.pdf" TargetMode="External"/><Relationship Id="rId37" Type="http://schemas.openxmlformats.org/officeDocument/2006/relationships/hyperlink" Target="https://www.theguardian.com/australia-news/2021/apr/19/peter-dutton-overrules-decision-to-strip-medals-from-sas-soldiers-who-served-in-afghanista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policydigest.org/the-david-mcbride-case-whistleblowing-afghanistan-and-australian-war-crimes/" TargetMode="External"/><Relationship Id="rId23" Type="http://schemas.openxmlformats.org/officeDocument/2006/relationships/hyperlink" Target="https://www.middleeasteye.net/news/uk-british-forces-six-war-crimes-committed-icc" TargetMode="External"/><Relationship Id="rId28" Type="http://schemas.openxmlformats.org/officeDocument/2006/relationships/hyperlink" Target="http://crossingtheline.co/2020/12/a-public-relations-fiasco-hangs-our-best-and-bravest-out-to-dry/" TargetMode="External"/><Relationship Id="rId36" Type="http://schemas.openxmlformats.org/officeDocument/2006/relationships/hyperlink" Target="https://www.abc.net.au/news/2020-11-22/lieutenant-general-rick-burr-speaks-on-afghan-report/12909166" TargetMode="External"/><Relationship Id="rId10" Type="http://schemas.openxmlformats.org/officeDocument/2006/relationships/hyperlink" Target="https://www.legislation.gov.au/Details/C2020G01030" TargetMode="External"/><Relationship Id="rId19" Type="http://schemas.openxmlformats.org/officeDocument/2006/relationships/hyperlink" Target="https://www.theguardian.com/australia-news/2019/nov/22/act-justice-minister-says-even-he-was-kept-in-dark-over-secret-prisoner" TargetMode="External"/><Relationship Id="rId31" Type="http://schemas.openxmlformats.org/officeDocument/2006/relationships/hyperlink" Target="https://www.icc-cpi.int/CourtRecords/CR2009_04528.PDF" TargetMode="External"/><Relationship Id="rId4" Type="http://schemas.openxmlformats.org/officeDocument/2006/relationships/webSettings" Target="webSettings.xml"/><Relationship Id="rId9" Type="http://schemas.openxmlformats.org/officeDocument/2006/relationships/hyperlink" Target="https://www.theage.com.au/national/buried-evidence-and-threats-how-ben-roberts-smith-tried-to-cover-up-his-alleged-crimes-20210408-p57hlr.html" TargetMode="External"/><Relationship Id="rId14" Type="http://schemas.openxmlformats.org/officeDocument/2006/relationships/hyperlink" Target="https://www.cdpp.gov.au/sites/default/files/CDPPProsecutionPolicy_0.pdf" TargetMode="External"/><Relationship Id="rId22" Type="http://schemas.openxmlformats.org/officeDocument/2006/relationships/hyperlink" Target="https://www.gov.uk/government/news/ministry-of-defence-response-to-allegations-relating-to-the-conduct-of-uk-forces-in-iraq-and-afghanistan" TargetMode="External"/><Relationship Id="rId27" Type="http://schemas.openxmlformats.org/officeDocument/2006/relationships/hyperlink" Target="https://www.icc-cpi.int/CourtRecords/CR2020_00828.PDF" TargetMode="External"/><Relationship Id="rId30" Type="http://schemas.openxmlformats.org/officeDocument/2006/relationships/hyperlink" Target="https://www.icc-cpi.int/CourtRecords/CR2009_04528.PDF" TargetMode="External"/><Relationship Id="rId35" Type="http://schemas.openxmlformats.org/officeDocument/2006/relationships/hyperlink" Target="https://www.defenseone.com/ideas/2020/11/theres-no-easy-fix-australias-special-forces-culture/170215/" TargetMode="External"/><Relationship Id="rId8" Type="http://schemas.openxmlformats.org/officeDocument/2006/relationships/hyperlink" Target="https://www.theguardian.com/australia-news/2020/nov/11/ben-roberts-smith-defamation-case-ex-soldier-ordered-to-hand-over-war-crimes-inquiry-documents" TargetMode="External"/><Relationship Id="rId3" Type="http://schemas.openxmlformats.org/officeDocument/2006/relationships/settings" Target="settings.xml"/><Relationship Id="rId12" Type="http://schemas.openxmlformats.org/officeDocument/2006/relationships/hyperlink" Target="https://www.abc.net.au/news/2017-07-11/killings-of-unarmed-afghans-by-australian-special-forces/8466642?nw=0" TargetMode="External"/><Relationship Id="rId17" Type="http://schemas.openxmlformats.org/officeDocument/2006/relationships/hyperlink" Target="https://7news.com.au/politics/afghanistan-war-crime-prosecutions-complex-c-1617607" TargetMode="External"/><Relationship Id="rId25" Type="http://schemas.openxmlformats.org/officeDocument/2006/relationships/hyperlink" Target="https://www.icc-cpi.int/NR/rdonlyres/04D143C8-19FB-466C-AB77-4CDB2FDEBEF7/143682/OTP_letter_to_senders_re_Iraq_9_February_2006.pdf" TargetMode="External"/><Relationship Id="rId33" Type="http://schemas.openxmlformats.org/officeDocument/2006/relationships/hyperlink" Target="https://www.icty.org/x/cases/blaskic/acjug/en/bla-aj040729e.pdf" TargetMode="External"/><Relationship Id="rId38" Type="http://schemas.openxmlformats.org/officeDocument/2006/relationships/hyperlink" Target="https://www.theguardian.com/australia-news/2020/dec/02/australians-should-not-dismiss-war-crimes-scandal-as-just-a-few-bad-apples-expert-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07BF-C5C0-42A1-B259-2B075254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Fowler</dc:creator>
  <cp:keywords/>
  <dc:description/>
  <cp:lastModifiedBy>Alexandra Fowler</cp:lastModifiedBy>
  <cp:revision>39</cp:revision>
  <dcterms:created xsi:type="dcterms:W3CDTF">2021-06-02T20:52:00Z</dcterms:created>
  <dcterms:modified xsi:type="dcterms:W3CDTF">2021-06-07T10:44:00Z</dcterms:modified>
</cp:coreProperties>
</file>