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30A6B" w14:textId="77777777" w:rsidR="006E3FC2" w:rsidRPr="005B6084" w:rsidRDefault="00C9788B" w:rsidP="00B85FCA">
      <w:pPr>
        <w:pStyle w:val="NormaleWeb"/>
        <w:spacing w:before="0" w:beforeAutospacing="0" w:after="0" w:afterAutospacing="0" w:line="360" w:lineRule="exact"/>
        <w:jc w:val="center"/>
        <w:rPr>
          <w:b/>
          <w:color w:val="auto"/>
          <w:lang w:val="en-US" w:eastAsia="it-IT"/>
        </w:rPr>
      </w:pPr>
      <w:r w:rsidRPr="005B6084">
        <w:rPr>
          <w:b/>
          <w:color w:val="auto"/>
          <w:lang w:val="en-US" w:eastAsia="it-IT"/>
        </w:rPr>
        <w:t xml:space="preserve">EVIDENTIARY ISSUES IN INTERNATIONAL DISPUTES RELATED TO </w:t>
      </w:r>
      <w:r w:rsidR="00A64B9B" w:rsidRPr="005B6084">
        <w:rPr>
          <w:b/>
          <w:color w:val="auto"/>
          <w:lang w:val="en-US" w:eastAsia="it-IT"/>
        </w:rPr>
        <w:t xml:space="preserve">STATE RESPONSIBILITY FOR </w:t>
      </w:r>
      <w:r w:rsidRPr="005B6084">
        <w:rPr>
          <w:b/>
          <w:color w:val="auto"/>
          <w:lang w:val="en-US" w:eastAsia="it-IT"/>
        </w:rPr>
        <w:t xml:space="preserve">CYBER OPERATIONS </w:t>
      </w:r>
    </w:p>
    <w:p w14:paraId="499382C3" w14:textId="77777777" w:rsidR="006E3FC2" w:rsidRPr="005B6084" w:rsidRDefault="006E3FC2" w:rsidP="00467E90">
      <w:pPr>
        <w:pStyle w:val="NormaleWeb"/>
        <w:spacing w:before="0" w:beforeAutospacing="0" w:after="120" w:afterAutospacing="0" w:line="360" w:lineRule="exact"/>
        <w:jc w:val="center"/>
        <w:rPr>
          <w:b/>
          <w:color w:val="auto"/>
          <w:lang w:val="en-US" w:eastAsia="it-IT"/>
        </w:rPr>
      </w:pPr>
    </w:p>
    <w:p w14:paraId="3B0C4F27" w14:textId="77777777" w:rsidR="006E3FC2" w:rsidRPr="005B6084" w:rsidRDefault="006E3FC2" w:rsidP="00107637">
      <w:pPr>
        <w:pStyle w:val="NormaleWeb"/>
        <w:spacing w:before="0" w:beforeAutospacing="0" w:after="120" w:afterAutospacing="0" w:line="360" w:lineRule="exact"/>
        <w:jc w:val="center"/>
        <w:rPr>
          <w:i/>
          <w:color w:val="auto"/>
          <w:lang w:val="en-US" w:eastAsia="it-IT"/>
        </w:rPr>
      </w:pPr>
      <w:r w:rsidRPr="005B6084">
        <w:rPr>
          <w:i/>
          <w:color w:val="auto"/>
          <w:lang w:val="en-US" w:eastAsia="it-IT"/>
        </w:rPr>
        <w:t>Marco Roscini</w:t>
      </w:r>
      <w:r w:rsidRPr="005B6084">
        <w:rPr>
          <w:rStyle w:val="Rimandonotaapidipagina"/>
          <w:i/>
          <w:color w:val="auto"/>
          <w:lang w:val="en-US" w:eastAsia="it-IT"/>
        </w:rPr>
        <w:footnoteReference w:id="2"/>
      </w:r>
    </w:p>
    <w:p w14:paraId="62455C9D" w14:textId="77777777" w:rsidR="006E3FC2" w:rsidRPr="003E4B91" w:rsidRDefault="006E3FC2" w:rsidP="003E4B91">
      <w:pPr>
        <w:pStyle w:val="NormaleWeb"/>
        <w:spacing w:before="0" w:beforeAutospacing="0" w:after="120" w:afterAutospacing="0" w:line="360" w:lineRule="exact"/>
        <w:jc w:val="center"/>
        <w:rPr>
          <w:b/>
          <w:color w:val="auto"/>
          <w:lang w:val="en-US" w:eastAsia="it-IT"/>
        </w:rPr>
      </w:pPr>
    </w:p>
    <w:p w14:paraId="5376C8C9" w14:textId="39AD09BB" w:rsidR="003E4B91" w:rsidRPr="003E4B91" w:rsidRDefault="003E4B91" w:rsidP="003E4B91">
      <w:pPr>
        <w:pStyle w:val="NormaleWeb"/>
        <w:spacing w:before="0" w:beforeAutospacing="0" w:after="120" w:afterAutospacing="0" w:line="360" w:lineRule="exact"/>
        <w:jc w:val="center"/>
        <w:rPr>
          <w:b/>
          <w:color w:val="auto"/>
          <w:lang w:val="en-US" w:eastAsia="it-IT"/>
        </w:rPr>
      </w:pPr>
      <w:r>
        <w:rPr>
          <w:b/>
          <w:color w:val="auto"/>
          <w:lang w:val="en-US" w:eastAsia="it-IT"/>
        </w:rPr>
        <w:t>PLEASE NOTE: This is a</w:t>
      </w:r>
      <w:r w:rsidRPr="003E4B91">
        <w:rPr>
          <w:b/>
          <w:color w:val="auto"/>
          <w:lang w:val="en-US" w:eastAsia="it-IT"/>
        </w:rPr>
        <w:t xml:space="preserve">n </w:t>
      </w:r>
      <w:proofErr w:type="spellStart"/>
      <w:r w:rsidRPr="003E4B91">
        <w:rPr>
          <w:b/>
          <w:color w:val="auto"/>
          <w:lang w:val="en-US" w:eastAsia="it-IT"/>
        </w:rPr>
        <w:t>unproofed</w:t>
      </w:r>
      <w:proofErr w:type="spellEnd"/>
      <w:r w:rsidRPr="003E4B91">
        <w:rPr>
          <w:b/>
          <w:color w:val="auto"/>
          <w:lang w:val="en-US" w:eastAsia="it-IT"/>
        </w:rPr>
        <w:t xml:space="preserve"> version</w:t>
      </w:r>
    </w:p>
    <w:p w14:paraId="637D606B" w14:textId="4D1F026E" w:rsidR="003E4B91" w:rsidRPr="003E4B91" w:rsidRDefault="003E4B91" w:rsidP="003E4B91">
      <w:pPr>
        <w:spacing w:after="120" w:line="240" w:lineRule="auto"/>
        <w:jc w:val="center"/>
        <w:rPr>
          <w:rFonts w:ascii="Times New Roman" w:hAnsi="Times New Roman"/>
          <w:b/>
          <w:sz w:val="24"/>
          <w:szCs w:val="24"/>
        </w:rPr>
      </w:pPr>
      <w:r w:rsidRPr="003E4B91">
        <w:rPr>
          <w:rFonts w:ascii="Times New Roman" w:hAnsi="Times New Roman"/>
          <w:b/>
          <w:sz w:val="24"/>
          <w:szCs w:val="24"/>
          <w:lang w:val="en-US" w:eastAsia="it-IT"/>
        </w:rPr>
        <w:t xml:space="preserve">The final version appears in </w:t>
      </w:r>
      <w:r w:rsidRPr="003E4B91">
        <w:rPr>
          <w:rFonts w:ascii="Times New Roman" w:hAnsi="Times New Roman"/>
          <w:b/>
          <w:sz w:val="24"/>
          <w:szCs w:val="24"/>
        </w:rPr>
        <w:t xml:space="preserve">50 </w:t>
      </w:r>
      <w:r w:rsidRPr="003E4B91">
        <w:rPr>
          <w:rFonts w:ascii="Times New Roman" w:hAnsi="Times New Roman"/>
          <w:b/>
          <w:i/>
          <w:sz w:val="24"/>
          <w:szCs w:val="24"/>
        </w:rPr>
        <w:t>Texas International Law Journal</w:t>
      </w:r>
      <w:r w:rsidRPr="003E4B91">
        <w:rPr>
          <w:rFonts w:ascii="Times New Roman" w:hAnsi="Times New Roman"/>
          <w:b/>
          <w:sz w:val="24"/>
          <w:szCs w:val="24"/>
        </w:rPr>
        <w:t xml:space="preserve"> (2014-2015)</w:t>
      </w:r>
      <w:r>
        <w:rPr>
          <w:rFonts w:ascii="Times New Roman" w:hAnsi="Times New Roman"/>
          <w:b/>
          <w:sz w:val="24"/>
          <w:szCs w:val="24"/>
        </w:rPr>
        <w:t>, forthcoming,</w:t>
      </w:r>
      <w:r w:rsidRPr="003E4B91">
        <w:rPr>
          <w:rFonts w:ascii="Times New Roman" w:hAnsi="Times New Roman"/>
          <w:b/>
          <w:sz w:val="24"/>
          <w:szCs w:val="24"/>
        </w:rPr>
        <w:t xml:space="preserve"> and </w:t>
      </w:r>
      <w:r w:rsidRPr="003E4B91">
        <w:rPr>
          <w:rFonts w:ascii="Times New Roman" w:hAnsi="Times New Roman"/>
          <w:b/>
          <w:sz w:val="24"/>
          <w:szCs w:val="24"/>
        </w:rPr>
        <w:t xml:space="preserve">in </w:t>
      </w:r>
      <w:r w:rsidRPr="003E4B91">
        <w:rPr>
          <w:rFonts w:ascii="Times New Roman" w:hAnsi="Times New Roman"/>
          <w:b/>
          <w:sz w:val="24"/>
          <w:szCs w:val="24"/>
          <w:lang w:val="en"/>
        </w:rPr>
        <w:t xml:space="preserve">C. Finkelstein, J.D. Ohlin, and K. Govern (eds.), </w:t>
      </w:r>
      <w:r w:rsidRPr="003E4B91">
        <w:rPr>
          <w:rFonts w:ascii="Times New Roman" w:hAnsi="Times New Roman"/>
          <w:b/>
          <w:i/>
          <w:sz w:val="24"/>
          <w:szCs w:val="24"/>
          <w:lang w:val="en"/>
        </w:rPr>
        <w:t>Cyber War – Law and Ethics for Virtual Conflicts</w:t>
      </w:r>
      <w:r w:rsidRPr="003E4B91">
        <w:rPr>
          <w:rFonts w:ascii="Times New Roman" w:hAnsi="Times New Roman"/>
          <w:b/>
          <w:sz w:val="24"/>
          <w:szCs w:val="24"/>
          <w:lang w:val="en"/>
        </w:rPr>
        <w:t xml:space="preserve"> (OUP, 2015), 215-248.</w:t>
      </w:r>
    </w:p>
    <w:p w14:paraId="0F019CF7" w14:textId="3BB4C34B" w:rsidR="003E4B91" w:rsidRPr="003E4B91" w:rsidRDefault="003E4B91" w:rsidP="003E4B91">
      <w:pPr>
        <w:pStyle w:val="NormaleWeb"/>
        <w:spacing w:before="0" w:beforeAutospacing="0" w:after="120" w:afterAutospacing="0" w:line="360" w:lineRule="exact"/>
        <w:jc w:val="center"/>
        <w:rPr>
          <w:b/>
          <w:color w:val="auto"/>
          <w:lang w:val="en-US" w:eastAsia="it-IT"/>
        </w:rPr>
      </w:pPr>
    </w:p>
    <w:p w14:paraId="19FEDDE3" w14:textId="77777777" w:rsidR="006E3FC2" w:rsidRPr="005B6084" w:rsidRDefault="006E3FC2" w:rsidP="00467E90">
      <w:pPr>
        <w:pStyle w:val="NormaleWeb"/>
        <w:spacing w:before="0" w:beforeAutospacing="0" w:after="120" w:afterAutospacing="0" w:line="360" w:lineRule="exact"/>
        <w:ind w:firstLine="567"/>
        <w:jc w:val="both"/>
        <w:rPr>
          <w:b/>
          <w:color w:val="auto"/>
          <w:lang w:val="en-US" w:eastAsia="it-IT"/>
        </w:rPr>
      </w:pPr>
    </w:p>
    <w:p w14:paraId="619301B0" w14:textId="77777777" w:rsidR="006E3FC2" w:rsidRPr="005B6084" w:rsidRDefault="00B85FCA" w:rsidP="00107637">
      <w:pPr>
        <w:pStyle w:val="P"/>
        <w:spacing w:after="120" w:line="360" w:lineRule="exact"/>
        <w:jc w:val="both"/>
        <w:rPr>
          <w:b/>
        </w:rPr>
      </w:pPr>
      <w:r w:rsidRPr="005B6084">
        <w:rPr>
          <w:b/>
        </w:rPr>
        <w:t>1</w:t>
      </w:r>
      <w:r w:rsidR="006E3FC2" w:rsidRPr="005B6084">
        <w:rPr>
          <w:b/>
        </w:rPr>
        <w:t>. Introduction</w:t>
      </w:r>
    </w:p>
    <w:p w14:paraId="5FB4ADEE" w14:textId="77777777" w:rsidR="006E3FC2" w:rsidRPr="005B6084" w:rsidRDefault="006E3FC2" w:rsidP="000B521C">
      <w:pPr>
        <w:pStyle w:val="P"/>
        <w:spacing w:after="120" w:line="360" w:lineRule="exact"/>
        <w:jc w:val="both"/>
      </w:pPr>
    </w:p>
    <w:p w14:paraId="31815A01" w14:textId="28BE359B" w:rsidR="006E3FC2" w:rsidRPr="005B6084" w:rsidRDefault="006E3FC2" w:rsidP="00DD61B3">
      <w:pPr>
        <w:pStyle w:val="P"/>
        <w:spacing w:after="120" w:line="360" w:lineRule="exact"/>
        <w:jc w:val="both"/>
      </w:pPr>
      <w:r w:rsidRPr="005B6084">
        <w:t xml:space="preserve">Evidentiary problems in </w:t>
      </w:r>
      <w:r w:rsidR="003C5A1A" w:rsidRPr="005B6084">
        <w:t>inter-state</w:t>
      </w:r>
      <w:r w:rsidR="00CC4879" w:rsidRPr="005B6084">
        <w:t xml:space="preserve"> litigation</w:t>
      </w:r>
      <w:r w:rsidRPr="005B6084">
        <w:t>, in particular in relation to the attribution of certain unlawful conduct, are not peculiar to cyber operations.</w:t>
      </w:r>
      <w:bookmarkStart w:id="1" w:name="_Ref383511592"/>
      <w:r w:rsidRPr="005B6084">
        <w:rPr>
          <w:rStyle w:val="Rimandonotaapidipagina"/>
        </w:rPr>
        <w:footnoteReference w:id="3"/>
      </w:r>
      <w:bookmarkEnd w:id="1"/>
      <w:r w:rsidRPr="005B6084">
        <w:t xml:space="preserve"> Well before the cyber age, in the </w:t>
      </w:r>
      <w:r w:rsidRPr="005B6084">
        <w:rPr>
          <w:i/>
        </w:rPr>
        <w:t>Nicaragua</w:t>
      </w:r>
      <w:r w:rsidRPr="005B6084">
        <w:t xml:space="preserve"> Judgment the International Court of Justice (ICJ) conceded that ‘the problem is not . . . the legal process of imputing the act to a particular State . . . but the prior process of tracing material proof of the identity of the perpetrator’.</w:t>
      </w:r>
      <w:bookmarkStart w:id="2" w:name="_Ref383511825"/>
      <w:r w:rsidRPr="005B6084">
        <w:rPr>
          <w:vertAlign w:val="superscript"/>
        </w:rPr>
        <w:footnoteReference w:id="4"/>
      </w:r>
      <w:bookmarkEnd w:id="2"/>
      <w:r w:rsidRPr="005B6084">
        <w:t xml:space="preserve"> </w:t>
      </w:r>
      <w:r w:rsidRPr="005B6084">
        <w:rPr>
          <w:lang w:eastAsia="it-IT"/>
        </w:rPr>
        <w:t xml:space="preserve">As the United States declared in its views on </w:t>
      </w:r>
      <w:proofErr w:type="gramStart"/>
      <w:r w:rsidRPr="005B6084">
        <w:rPr>
          <w:lang w:eastAsia="it-IT"/>
        </w:rPr>
        <w:t>information</w:t>
      </w:r>
      <w:proofErr w:type="gramEnd"/>
      <w:r w:rsidRPr="005B6084">
        <w:rPr>
          <w:lang w:eastAsia="it-IT"/>
        </w:rPr>
        <w:t xml:space="preserve"> security submitted to the UN Secretary-General, </w:t>
      </w:r>
      <w:r w:rsidR="0003670E" w:rsidRPr="005B6084">
        <w:rPr>
          <w:lang w:eastAsia="it-IT"/>
        </w:rPr>
        <w:t xml:space="preserve">then, </w:t>
      </w:r>
      <w:r w:rsidRPr="005B6084">
        <w:rPr>
          <w:lang w:eastAsia="it-IT"/>
        </w:rPr>
        <w:t xml:space="preserve">the ambiguities of cyberspace ‘simply reflect the challenges </w:t>
      </w:r>
      <w:r w:rsidR="007F624B" w:rsidRPr="005B6084">
        <w:rPr>
          <w:lang w:eastAsia="it-IT"/>
        </w:rPr>
        <w:t>…</w:t>
      </w:r>
      <w:r w:rsidRPr="005B6084">
        <w:rPr>
          <w:lang w:eastAsia="it-IT"/>
        </w:rPr>
        <w:t xml:space="preserve"> that already exists [</w:t>
      </w:r>
      <w:r w:rsidRPr="005B6084">
        <w:rPr>
          <w:i/>
          <w:lang w:eastAsia="it-IT"/>
        </w:rPr>
        <w:t>sic</w:t>
      </w:r>
      <w:r w:rsidRPr="005B6084">
        <w:rPr>
          <w:lang w:eastAsia="it-IT"/>
        </w:rPr>
        <w:t>] in many contexts’.</w:t>
      </w:r>
      <w:r w:rsidRPr="005B6084">
        <w:rPr>
          <w:vertAlign w:val="superscript"/>
        </w:rPr>
        <w:footnoteReference w:id="5"/>
      </w:r>
      <w:r w:rsidRPr="005B6084">
        <w:t xml:space="preserve"> It is </w:t>
      </w:r>
      <w:proofErr w:type="gramStart"/>
      <w:r w:rsidRPr="005B6084">
        <w:t>undeniable,</w:t>
      </w:r>
      <w:proofErr w:type="gramEnd"/>
      <w:r w:rsidRPr="005B6084">
        <w:t xml:space="preserve"> however, that these challenges are particularly evident in the cyber context, where identifying who is behind </w:t>
      </w:r>
      <w:r w:rsidRPr="005B6084">
        <w:lastRenderedPageBreak/>
        <w:t xml:space="preserve">a </w:t>
      </w:r>
      <w:proofErr w:type="spellStart"/>
      <w:r w:rsidRPr="005B6084">
        <w:t>cyber operation</w:t>
      </w:r>
      <w:proofErr w:type="spellEnd"/>
      <w:r w:rsidRPr="005B6084">
        <w:t xml:space="preserve"> presents significant technical problems. As has been effectively observed, ‘the internet is one big masquerade ball. You can hide behind aliases, you can hide behind proxy servers, and you can surreptitiously enslave other computers to do your dirty work’.</w:t>
      </w:r>
      <w:r w:rsidRPr="005B6084">
        <w:rPr>
          <w:rStyle w:val="Rimandonotaapidipagina"/>
        </w:rPr>
        <w:footnoteReference w:id="6"/>
      </w:r>
    </w:p>
    <w:p w14:paraId="4A66AA56" w14:textId="2EE2A264" w:rsidR="006E3FC2" w:rsidRPr="005B6084" w:rsidRDefault="006E3FC2" w:rsidP="00934F02">
      <w:pPr>
        <w:pStyle w:val="P"/>
        <w:spacing w:after="120" w:line="360" w:lineRule="exact"/>
        <w:ind w:firstLine="567"/>
        <w:jc w:val="both"/>
      </w:pPr>
      <w:r w:rsidRPr="005B6084">
        <w:t xml:space="preserve">One needs only look at the three most famous cases of </w:t>
      </w:r>
      <w:proofErr w:type="spellStart"/>
      <w:r w:rsidRPr="005B6084">
        <w:t>cyber attacks</w:t>
      </w:r>
      <w:proofErr w:type="spellEnd"/>
      <w:r w:rsidRPr="005B6084">
        <w:t xml:space="preserve"> against states allegedly launched by other states to realize how thorny the problem of evidence in relation to cyber operations is. It </w:t>
      </w:r>
      <w:proofErr w:type="gramStart"/>
      <w:r w:rsidRPr="005B6084">
        <w:t>has been claimed</w:t>
      </w:r>
      <w:proofErr w:type="gramEnd"/>
      <w:r w:rsidRPr="005B6084">
        <w:t>, in particular, that the Russian Federation was behind both the 2007 Distributed Denial of Service (</w:t>
      </w:r>
      <w:proofErr w:type="spellStart"/>
      <w:r w:rsidRPr="005B6084">
        <w:t>DDoS</w:t>
      </w:r>
      <w:proofErr w:type="spellEnd"/>
      <w:r w:rsidRPr="005B6084">
        <w:t xml:space="preserve">) attacks against Estonia and the 2008 </w:t>
      </w:r>
      <w:proofErr w:type="spellStart"/>
      <w:r w:rsidRPr="005B6084">
        <w:t xml:space="preserve">cyber </w:t>
      </w:r>
      <w:r w:rsidR="002D5ADA" w:rsidRPr="005B6084">
        <w:t>attacks</w:t>
      </w:r>
      <w:proofErr w:type="spellEnd"/>
      <w:r w:rsidRPr="005B6084">
        <w:t xml:space="preserve"> against Georgia.</w:t>
      </w:r>
      <w:r w:rsidRPr="005B6084">
        <w:rPr>
          <w:rStyle w:val="Rimandonotaapidipagina"/>
        </w:rPr>
        <w:footnoteReference w:id="7"/>
      </w:r>
      <w:r w:rsidRPr="005B6084">
        <w:t xml:space="preserve"> These allegations </w:t>
      </w:r>
      <w:proofErr w:type="gramStart"/>
      <w:r w:rsidRPr="005B6084">
        <w:t>were based</w:t>
      </w:r>
      <w:proofErr w:type="gramEnd"/>
      <w:r w:rsidRPr="005B6084">
        <w:t xml:space="preserve"> on the following facts. In the Estonian case, the hackers claimed to be Russian, the tools to hack and deface were contained in Russian websites and chatrooms, </w:t>
      </w:r>
      <w:r w:rsidR="0003670E" w:rsidRPr="005B6084">
        <w:t xml:space="preserve">and </w:t>
      </w:r>
      <w:r w:rsidRPr="005B6084">
        <w:t>the attacks picked on 9</w:t>
      </w:r>
      <w:r w:rsidRPr="005B6084">
        <w:rPr>
          <w:vertAlign w:val="superscript"/>
        </w:rPr>
        <w:t>th</w:t>
      </w:r>
      <w:r w:rsidRPr="005B6084">
        <w:t xml:space="preserve"> May (the day Russia celebrates Victory Day in Europe in the Second World War).</w:t>
      </w:r>
      <w:bookmarkStart w:id="3" w:name="_Ref383510798"/>
      <w:r w:rsidRPr="005B6084">
        <w:rPr>
          <w:rStyle w:val="Rimandonotaapidipagina"/>
        </w:rPr>
        <w:footnoteReference w:id="8"/>
      </w:r>
      <w:bookmarkEnd w:id="3"/>
      <w:r w:rsidRPr="005B6084">
        <w:t xml:space="preserve"> Furthermore, although the botnets included computers based in several countries, it seems that at least certain attacks originated from Russian IP addresses, including those of state institutions.</w:t>
      </w:r>
      <w:r w:rsidRPr="005B6084">
        <w:rPr>
          <w:rStyle w:val="Rimandonotaapidipagina"/>
        </w:rPr>
        <w:footnoteReference w:id="9"/>
      </w:r>
      <w:r w:rsidRPr="005B6084">
        <w:t xml:space="preserve"> According to the Estonian </w:t>
      </w:r>
      <w:proofErr w:type="spellStart"/>
      <w:r w:rsidRPr="005B6084">
        <w:t>Defence</w:t>
      </w:r>
      <w:proofErr w:type="spellEnd"/>
      <w:r w:rsidRPr="005B6084">
        <w:t xml:space="preserve"> Minister, the attacks were ‘unusually well-coordinated and required resources unavailable to common people’.</w:t>
      </w:r>
      <w:r w:rsidRPr="005B6084">
        <w:rPr>
          <w:rStyle w:val="Rimandonotaapidipagina"/>
        </w:rPr>
        <w:footnoteReference w:id="10"/>
      </w:r>
      <w:r w:rsidRPr="005B6084">
        <w:t xml:space="preserve"> The </w:t>
      </w:r>
      <w:proofErr w:type="spellStart"/>
      <w:r w:rsidRPr="005B6084">
        <w:t>DDoS</w:t>
      </w:r>
      <w:proofErr w:type="spellEnd"/>
      <w:r w:rsidRPr="005B6084">
        <w:t xml:space="preserve"> attacks also </w:t>
      </w:r>
      <w:r w:rsidR="00404E7D" w:rsidRPr="005B6084">
        <w:t xml:space="preserve">took place against the backdrop of </w:t>
      </w:r>
      <w:r w:rsidRPr="005B6084">
        <w:t xml:space="preserve">the removal of a Russian war memorial from Tallinn city </w:t>
      </w:r>
      <w:proofErr w:type="spellStart"/>
      <w:r w:rsidRPr="005B6084">
        <w:t>centre</w:t>
      </w:r>
      <w:proofErr w:type="spellEnd"/>
      <w:r w:rsidRPr="005B6084">
        <w:t xml:space="preserve">. Finally, </w:t>
      </w:r>
      <w:r w:rsidRPr="005B6084">
        <w:rPr>
          <w:lang w:eastAsia="it-IT"/>
        </w:rPr>
        <w:t xml:space="preserve">Russia did not cooperate with Estonia in tracking down those responsible, and </w:t>
      </w:r>
      <w:proofErr w:type="gramStart"/>
      <w:r w:rsidRPr="005B6084">
        <w:rPr>
          <w:lang w:eastAsia="it-IT"/>
        </w:rPr>
        <w:t xml:space="preserve">a request for bilateral investigation under the Mutual Legal Assistance Treaty between the two countries was rejected by the Russian Supreme </w:t>
      </w:r>
      <w:proofErr w:type="spellStart"/>
      <w:r w:rsidRPr="005B6084">
        <w:rPr>
          <w:lang w:eastAsia="it-IT"/>
        </w:rPr>
        <w:t>Procurature</w:t>
      </w:r>
      <w:proofErr w:type="spellEnd"/>
      <w:proofErr w:type="gramEnd"/>
      <w:r w:rsidRPr="005B6084">
        <w:rPr>
          <w:lang w:eastAsia="it-IT"/>
        </w:rPr>
        <w:t>.</w:t>
      </w:r>
      <w:r w:rsidRPr="005B6084">
        <w:rPr>
          <w:rStyle w:val="Rimandonotaapidipagina"/>
          <w:lang w:eastAsia="it-IT"/>
        </w:rPr>
        <w:footnoteReference w:id="11"/>
      </w:r>
    </w:p>
    <w:p w14:paraId="5FA17424" w14:textId="477C9558" w:rsidR="006E3FC2" w:rsidRPr="005B6084" w:rsidRDefault="006E3FC2" w:rsidP="00AF0F2C">
      <w:pPr>
        <w:autoSpaceDE w:val="0"/>
        <w:autoSpaceDN w:val="0"/>
        <w:adjustRightInd w:val="0"/>
        <w:spacing w:after="120" w:line="360" w:lineRule="exact"/>
        <w:ind w:firstLine="567"/>
        <w:jc w:val="both"/>
        <w:rPr>
          <w:rFonts w:ascii="Times New Roman" w:hAnsi="Times New Roman"/>
          <w:sz w:val="24"/>
          <w:szCs w:val="24"/>
        </w:rPr>
      </w:pPr>
      <w:r w:rsidRPr="005B6084">
        <w:rPr>
          <w:rFonts w:ascii="Times New Roman" w:hAnsi="Times New Roman"/>
          <w:sz w:val="24"/>
          <w:szCs w:val="24"/>
        </w:rPr>
        <w:lastRenderedPageBreak/>
        <w:t xml:space="preserve">The </w:t>
      </w:r>
      <w:proofErr w:type="spellStart"/>
      <w:r w:rsidRPr="005B6084">
        <w:rPr>
          <w:rFonts w:ascii="Times New Roman" w:hAnsi="Times New Roman"/>
          <w:sz w:val="24"/>
          <w:szCs w:val="24"/>
        </w:rPr>
        <w:t>cyber attacks</w:t>
      </w:r>
      <w:proofErr w:type="spellEnd"/>
      <w:r w:rsidRPr="005B6084">
        <w:rPr>
          <w:rFonts w:ascii="Times New Roman" w:hAnsi="Times New Roman"/>
          <w:sz w:val="24"/>
          <w:szCs w:val="24"/>
        </w:rPr>
        <w:t xml:space="preserve"> against Georgia started immediately before and continued throughout the armed conflict between the Caucasian state and the Russian Federation in August 2008. It seems that </w:t>
      </w:r>
      <w:r w:rsidRPr="005B6084">
        <w:rPr>
          <w:rFonts w:ascii="Times New Roman" w:eastAsia="KozGoPro-Light" w:hAnsi="Times New Roman"/>
          <w:sz w:val="24"/>
          <w:szCs w:val="24"/>
          <w:lang w:val="en-US"/>
        </w:rPr>
        <w:t xml:space="preserve">the Russian hacker community was involved in the </w:t>
      </w:r>
      <w:proofErr w:type="spellStart"/>
      <w:r w:rsidRPr="005B6084">
        <w:rPr>
          <w:rFonts w:ascii="Times New Roman" w:eastAsia="KozGoPro-Light" w:hAnsi="Times New Roman"/>
          <w:sz w:val="24"/>
          <w:szCs w:val="24"/>
          <w:lang w:val="en-US"/>
        </w:rPr>
        <w:t>cyber attacks</w:t>
      </w:r>
      <w:proofErr w:type="spellEnd"/>
      <w:r w:rsidRPr="005B6084">
        <w:rPr>
          <w:rFonts w:ascii="Times New Roman" w:eastAsia="KozGoPro-Light" w:hAnsi="Times New Roman"/>
          <w:sz w:val="24"/>
          <w:szCs w:val="24"/>
          <w:lang w:val="en-US"/>
        </w:rPr>
        <w:t xml:space="preserve"> and that coordination took place in the Russian language and in Russian or Russian-related fora.</w:t>
      </w:r>
      <w:bookmarkStart w:id="4" w:name="_Ref383685687"/>
      <w:r w:rsidRPr="005B6084">
        <w:rPr>
          <w:rStyle w:val="Rimandonotaapidipagina"/>
          <w:rFonts w:ascii="Times New Roman" w:eastAsia="KozGoPro-Light" w:hAnsi="Times New Roman"/>
          <w:sz w:val="24"/>
          <w:szCs w:val="24"/>
          <w:lang w:val="en-US"/>
        </w:rPr>
        <w:footnoteReference w:id="12"/>
      </w:r>
      <w:bookmarkEnd w:id="4"/>
      <w:r w:rsidRPr="005B6084">
        <w:rPr>
          <w:rFonts w:ascii="Times New Roman" w:eastAsia="KozGoPro-Light" w:hAnsi="Times New Roman"/>
          <w:sz w:val="24"/>
          <w:szCs w:val="24"/>
          <w:lang w:val="en-US"/>
        </w:rPr>
        <w:t xml:space="preserve"> </w:t>
      </w:r>
      <w:r w:rsidR="0003670E" w:rsidRPr="005B6084">
        <w:rPr>
          <w:rFonts w:ascii="Times New Roman" w:eastAsia="KozGoPro-Light" w:hAnsi="Times New Roman"/>
          <w:sz w:val="24"/>
          <w:szCs w:val="24"/>
          <w:lang w:val="en-US"/>
        </w:rPr>
        <w:t>As</w:t>
      </w:r>
      <w:r w:rsidRPr="005B6084">
        <w:rPr>
          <w:rFonts w:ascii="Times New Roman" w:eastAsia="KozGoPro-Light" w:hAnsi="Times New Roman"/>
          <w:sz w:val="24"/>
          <w:szCs w:val="24"/>
          <w:lang w:val="en-US"/>
        </w:rPr>
        <w:t xml:space="preserve"> in the Estonian case, it </w:t>
      </w:r>
      <w:proofErr w:type="gramStart"/>
      <w:r w:rsidRPr="005B6084">
        <w:rPr>
          <w:rFonts w:ascii="Times New Roman" w:eastAsia="KozGoPro-Light" w:hAnsi="Times New Roman"/>
          <w:sz w:val="24"/>
          <w:szCs w:val="24"/>
          <w:lang w:val="en-US"/>
        </w:rPr>
        <w:t>was claimed</w:t>
      </w:r>
      <w:proofErr w:type="gramEnd"/>
      <w:r w:rsidRPr="005B6084">
        <w:rPr>
          <w:rFonts w:ascii="Times New Roman" w:eastAsia="KozGoPro-Light" w:hAnsi="Times New Roman"/>
          <w:sz w:val="24"/>
          <w:szCs w:val="24"/>
          <w:lang w:val="en-US"/>
        </w:rPr>
        <w:t xml:space="preserve"> that the level of coordination and preparation suggested governmental support for the </w:t>
      </w:r>
      <w:proofErr w:type="spellStart"/>
      <w:r w:rsidRPr="005B6084">
        <w:rPr>
          <w:rFonts w:ascii="Times New Roman" w:eastAsia="KozGoPro-Light" w:hAnsi="Times New Roman"/>
          <w:sz w:val="24"/>
          <w:szCs w:val="24"/>
          <w:lang w:val="en-US"/>
        </w:rPr>
        <w:t>cyber attacks</w:t>
      </w:r>
      <w:proofErr w:type="spellEnd"/>
      <w:r w:rsidRPr="005B6084">
        <w:rPr>
          <w:rFonts w:ascii="Times New Roman" w:eastAsia="KozGoPro-Light" w:hAnsi="Times New Roman"/>
          <w:sz w:val="24"/>
          <w:szCs w:val="24"/>
          <w:lang w:val="en-US"/>
        </w:rPr>
        <w:t>.</w:t>
      </w:r>
      <w:r w:rsidRPr="005B6084">
        <w:rPr>
          <w:rStyle w:val="Rimandonotaapidipagina"/>
          <w:rFonts w:ascii="Times New Roman" w:eastAsia="KozGoPro-Light" w:hAnsi="Times New Roman"/>
          <w:sz w:val="24"/>
          <w:szCs w:val="24"/>
          <w:lang w:val="en-US"/>
        </w:rPr>
        <w:footnoteReference w:id="13"/>
      </w:r>
      <w:r w:rsidRPr="005B6084">
        <w:rPr>
          <w:rFonts w:ascii="Times New Roman" w:eastAsia="KozGoPro-Light" w:hAnsi="Times New Roman"/>
          <w:sz w:val="24"/>
          <w:szCs w:val="24"/>
          <w:lang w:val="en-US"/>
        </w:rPr>
        <w:t xml:space="preserve"> Finally, IP addresses belonging to Russian state-operated companies </w:t>
      </w:r>
      <w:proofErr w:type="gramStart"/>
      <w:r w:rsidRPr="005B6084">
        <w:rPr>
          <w:rFonts w:ascii="Times New Roman" w:eastAsia="KozGoPro-Light" w:hAnsi="Times New Roman"/>
          <w:sz w:val="24"/>
          <w:szCs w:val="24"/>
          <w:lang w:val="en-US"/>
        </w:rPr>
        <w:t>were used</w:t>
      </w:r>
      <w:proofErr w:type="gramEnd"/>
      <w:r w:rsidRPr="005B6084">
        <w:rPr>
          <w:rFonts w:ascii="Times New Roman" w:eastAsia="KozGoPro-Light" w:hAnsi="Times New Roman"/>
          <w:sz w:val="24"/>
          <w:szCs w:val="24"/>
          <w:lang w:val="en-US"/>
        </w:rPr>
        <w:t xml:space="preserve"> to launch the </w:t>
      </w:r>
      <w:proofErr w:type="spellStart"/>
      <w:r w:rsidRPr="005B6084">
        <w:rPr>
          <w:rFonts w:ascii="Times New Roman" w:eastAsia="KozGoPro-Light" w:hAnsi="Times New Roman"/>
          <w:sz w:val="24"/>
          <w:szCs w:val="24"/>
          <w:lang w:val="en-US"/>
        </w:rPr>
        <w:t>DDoS</w:t>
      </w:r>
      <w:proofErr w:type="spellEnd"/>
      <w:r w:rsidRPr="005B6084">
        <w:rPr>
          <w:rFonts w:ascii="Times New Roman" w:eastAsia="KozGoPro-Light" w:hAnsi="Times New Roman"/>
          <w:sz w:val="24"/>
          <w:szCs w:val="24"/>
          <w:lang w:val="en-US"/>
        </w:rPr>
        <w:t xml:space="preserve"> attacks.</w:t>
      </w:r>
      <w:r w:rsidRPr="005B6084">
        <w:rPr>
          <w:rStyle w:val="Rimandonotaapidipagina"/>
          <w:rFonts w:ascii="Times New Roman" w:eastAsia="KozGoPro-Light" w:hAnsi="Times New Roman"/>
          <w:sz w:val="24"/>
          <w:szCs w:val="24"/>
          <w:lang w:val="en-US"/>
        </w:rPr>
        <w:footnoteReference w:id="14"/>
      </w:r>
      <w:r w:rsidRPr="005B6084">
        <w:rPr>
          <w:rFonts w:ascii="Times New Roman" w:hAnsi="Times New Roman"/>
          <w:sz w:val="24"/>
          <w:szCs w:val="24"/>
        </w:rPr>
        <w:t xml:space="preserve"> Russia </w:t>
      </w:r>
      <w:r w:rsidR="00404E7D" w:rsidRPr="005B6084">
        <w:rPr>
          <w:rFonts w:ascii="Times New Roman" w:hAnsi="Times New Roman"/>
          <w:sz w:val="24"/>
          <w:szCs w:val="24"/>
        </w:rPr>
        <w:t xml:space="preserve">again </w:t>
      </w:r>
      <w:r w:rsidRPr="005B6084">
        <w:rPr>
          <w:rFonts w:ascii="Times New Roman" w:hAnsi="Times New Roman"/>
          <w:sz w:val="24"/>
          <w:szCs w:val="24"/>
        </w:rPr>
        <w:t>denied any responsibility.</w:t>
      </w:r>
      <w:r w:rsidRPr="005B6084">
        <w:rPr>
          <w:rStyle w:val="Rimandonotaapidipagina"/>
          <w:rFonts w:ascii="Times New Roman" w:hAnsi="Times New Roman"/>
          <w:sz w:val="24"/>
          <w:szCs w:val="24"/>
        </w:rPr>
        <w:footnoteReference w:id="15"/>
      </w:r>
    </w:p>
    <w:p w14:paraId="4FF16D2F" w14:textId="2E016A6A" w:rsidR="006E3FC2" w:rsidRPr="005B6084" w:rsidRDefault="006E3FC2" w:rsidP="00085676">
      <w:pPr>
        <w:autoSpaceDE w:val="0"/>
        <w:autoSpaceDN w:val="0"/>
        <w:adjustRightInd w:val="0"/>
        <w:spacing w:after="120" w:line="360" w:lineRule="exact"/>
        <w:ind w:firstLine="567"/>
        <w:jc w:val="both"/>
        <w:rPr>
          <w:rFonts w:ascii="Times New Roman" w:hAnsi="Times New Roman"/>
          <w:sz w:val="24"/>
          <w:szCs w:val="24"/>
        </w:rPr>
      </w:pPr>
      <w:r w:rsidRPr="005B6084">
        <w:rPr>
          <w:rFonts w:ascii="Times New Roman" w:hAnsi="Times New Roman"/>
          <w:sz w:val="24"/>
          <w:szCs w:val="24"/>
        </w:rPr>
        <w:t xml:space="preserve">The third case of </w:t>
      </w:r>
      <w:r w:rsidR="007F624B" w:rsidRPr="005B6084">
        <w:rPr>
          <w:rFonts w:ascii="Times New Roman" w:hAnsi="Times New Roman"/>
          <w:sz w:val="24"/>
          <w:szCs w:val="24"/>
        </w:rPr>
        <w:t xml:space="preserve">alleged </w:t>
      </w:r>
      <w:r w:rsidRPr="005B6084">
        <w:rPr>
          <w:rFonts w:ascii="Times New Roman" w:hAnsi="Times New Roman"/>
          <w:sz w:val="24"/>
          <w:szCs w:val="24"/>
        </w:rPr>
        <w:t xml:space="preserve">inter-state cyber operation, and possibly the most famous of the three, is that of </w:t>
      </w:r>
      <w:proofErr w:type="spellStart"/>
      <w:r w:rsidRPr="005B6084">
        <w:rPr>
          <w:rFonts w:ascii="Times New Roman" w:hAnsi="Times New Roman"/>
          <w:sz w:val="24"/>
          <w:szCs w:val="24"/>
        </w:rPr>
        <w:t>Stuxnet</w:t>
      </w:r>
      <w:proofErr w:type="spellEnd"/>
      <w:r w:rsidRPr="005B6084">
        <w:rPr>
          <w:rFonts w:ascii="Times New Roman" w:hAnsi="Times New Roman"/>
          <w:sz w:val="24"/>
          <w:szCs w:val="24"/>
        </w:rPr>
        <w:t xml:space="preserve">. In 2012, an article published in </w:t>
      </w:r>
      <w:r w:rsidRPr="005B6084">
        <w:rPr>
          <w:rFonts w:ascii="Times New Roman" w:hAnsi="Times New Roman"/>
          <w:i/>
          <w:sz w:val="24"/>
          <w:szCs w:val="24"/>
        </w:rPr>
        <w:t>The New York Times</w:t>
      </w:r>
      <w:r w:rsidRPr="005B6084">
        <w:rPr>
          <w:rFonts w:ascii="Times New Roman" w:hAnsi="Times New Roman"/>
          <w:sz w:val="24"/>
          <w:szCs w:val="24"/>
        </w:rPr>
        <w:t xml:space="preserve"> revealed that the United States, with Israel’s support, had been engaging in a </w:t>
      </w:r>
      <w:proofErr w:type="spellStart"/>
      <w:r w:rsidRPr="005B6084">
        <w:rPr>
          <w:rFonts w:ascii="Times New Roman" w:hAnsi="Times New Roman"/>
          <w:sz w:val="24"/>
          <w:szCs w:val="24"/>
        </w:rPr>
        <w:t>cyber campaign</w:t>
      </w:r>
      <w:proofErr w:type="spellEnd"/>
      <w:r w:rsidRPr="005B6084">
        <w:rPr>
          <w:rFonts w:ascii="Times New Roman" w:hAnsi="Times New Roman"/>
          <w:sz w:val="24"/>
          <w:szCs w:val="24"/>
        </w:rPr>
        <w:t xml:space="preserve"> against Iran, codenamed ‘Operation Olympic Games’, to disrupt the Islamic Republic’s nuclear program.</w:t>
      </w:r>
      <w:bookmarkStart w:id="5" w:name="_Ref389211315"/>
      <w:r w:rsidRPr="005B6084">
        <w:rPr>
          <w:rStyle w:val="Rimandonotaapidipagina"/>
          <w:rFonts w:ascii="Times New Roman" w:hAnsi="Times New Roman"/>
          <w:sz w:val="24"/>
          <w:szCs w:val="24"/>
        </w:rPr>
        <w:footnoteReference w:id="16"/>
      </w:r>
      <w:bookmarkEnd w:id="5"/>
      <w:r w:rsidRPr="005B6084">
        <w:rPr>
          <w:rFonts w:ascii="Times New Roman" w:hAnsi="Times New Roman"/>
          <w:sz w:val="24"/>
          <w:szCs w:val="24"/>
        </w:rPr>
        <w:t xml:space="preserve"> </w:t>
      </w:r>
      <w:proofErr w:type="spellStart"/>
      <w:r w:rsidRPr="005B6084">
        <w:rPr>
          <w:rFonts w:ascii="Times New Roman" w:hAnsi="Times New Roman"/>
          <w:sz w:val="24"/>
          <w:szCs w:val="24"/>
        </w:rPr>
        <w:t>Stuxnet</w:t>
      </w:r>
      <w:proofErr w:type="spellEnd"/>
      <w:r w:rsidRPr="005B6084">
        <w:rPr>
          <w:rFonts w:ascii="Times New Roman" w:hAnsi="Times New Roman"/>
          <w:sz w:val="24"/>
          <w:szCs w:val="24"/>
        </w:rPr>
        <w:t xml:space="preserve">, in particular, </w:t>
      </w:r>
      <w:proofErr w:type="gramStart"/>
      <w:r w:rsidRPr="005B6084">
        <w:rPr>
          <w:rFonts w:ascii="Times New Roman" w:hAnsi="Times New Roman"/>
          <w:sz w:val="24"/>
          <w:szCs w:val="24"/>
        </w:rPr>
        <w:t>was allegedly designed</w:t>
      </w:r>
      <w:proofErr w:type="gramEnd"/>
      <w:r w:rsidRPr="005B6084">
        <w:rPr>
          <w:rFonts w:ascii="Times New Roman" w:hAnsi="Times New Roman"/>
          <w:sz w:val="24"/>
          <w:szCs w:val="24"/>
        </w:rPr>
        <w:t xml:space="preserve"> to affect the gas centrifuges at the </w:t>
      </w:r>
      <w:proofErr w:type="spellStart"/>
      <w:r w:rsidRPr="005B6084">
        <w:rPr>
          <w:rFonts w:ascii="Times New Roman" w:hAnsi="Times New Roman"/>
          <w:sz w:val="24"/>
          <w:szCs w:val="24"/>
        </w:rPr>
        <w:t>Natanz</w:t>
      </w:r>
      <w:proofErr w:type="spellEnd"/>
      <w:r w:rsidRPr="005B6084">
        <w:rPr>
          <w:rFonts w:ascii="Times New Roman" w:hAnsi="Times New Roman"/>
          <w:sz w:val="24"/>
          <w:szCs w:val="24"/>
        </w:rPr>
        <w:t xml:space="preserve"> uranium enrichment facility.</w:t>
      </w:r>
      <w:bookmarkStart w:id="6" w:name="_Ref389203662"/>
      <w:r w:rsidRPr="005B6084">
        <w:rPr>
          <w:rStyle w:val="Rimandonotaapidipagina"/>
          <w:rFonts w:ascii="Times New Roman" w:hAnsi="Times New Roman"/>
          <w:sz w:val="24"/>
          <w:szCs w:val="24"/>
        </w:rPr>
        <w:footnoteReference w:id="17"/>
      </w:r>
      <w:bookmarkEnd w:id="6"/>
      <w:r w:rsidRPr="005B6084">
        <w:rPr>
          <w:rFonts w:ascii="Times New Roman" w:hAnsi="Times New Roman"/>
          <w:sz w:val="24"/>
          <w:szCs w:val="24"/>
        </w:rPr>
        <w:t xml:space="preserve"> Unlike other malware, the worm did not limit itself to self-replicat</w:t>
      </w:r>
      <w:r w:rsidR="00404E7D" w:rsidRPr="005B6084">
        <w:rPr>
          <w:rFonts w:ascii="Times New Roman" w:hAnsi="Times New Roman"/>
          <w:sz w:val="24"/>
          <w:szCs w:val="24"/>
        </w:rPr>
        <w:t>ion</w:t>
      </w:r>
      <w:r w:rsidRPr="005B6084">
        <w:rPr>
          <w:rFonts w:ascii="Times New Roman" w:hAnsi="Times New Roman"/>
          <w:sz w:val="24"/>
          <w:szCs w:val="24"/>
        </w:rPr>
        <w:t>, but also contained a ‘weaponised’ payload designed to give instructions to other programs</w:t>
      </w:r>
      <w:bookmarkStart w:id="7" w:name="_Ref354996634"/>
      <w:r w:rsidRPr="005B6084">
        <w:rPr>
          <w:rStyle w:val="Rimandonotaapidipagina"/>
          <w:rFonts w:ascii="Times New Roman" w:hAnsi="Times New Roman"/>
          <w:sz w:val="24"/>
          <w:szCs w:val="24"/>
        </w:rPr>
        <w:footnoteReference w:id="18"/>
      </w:r>
      <w:bookmarkEnd w:id="7"/>
      <w:r w:rsidRPr="005B6084">
        <w:rPr>
          <w:rFonts w:ascii="Times New Roman" w:hAnsi="Times New Roman"/>
          <w:sz w:val="24"/>
          <w:szCs w:val="24"/>
        </w:rPr>
        <w:t xml:space="preserve"> and is, in fact, the first known use of malicious software designed to produce material damage by attacking the Supervisory Control and Data Acquisition (SCADA) system of a nation</w:t>
      </w:r>
      <w:r w:rsidR="002D5ADA" w:rsidRPr="005B6084">
        <w:rPr>
          <w:rFonts w:ascii="Times New Roman" w:hAnsi="Times New Roman"/>
          <w:sz w:val="24"/>
          <w:szCs w:val="24"/>
        </w:rPr>
        <w:t xml:space="preserve">al critical </w:t>
      </w:r>
      <w:r w:rsidR="002D5ADA" w:rsidRPr="005B6084">
        <w:rPr>
          <w:rFonts w:ascii="Times New Roman" w:hAnsi="Times New Roman"/>
          <w:sz w:val="24"/>
          <w:szCs w:val="24"/>
        </w:rPr>
        <w:lastRenderedPageBreak/>
        <w:t>infrastructure</w:t>
      </w:r>
      <w:r w:rsidRPr="005B6084">
        <w:rPr>
          <w:rFonts w:ascii="Times New Roman" w:hAnsi="Times New Roman"/>
          <w:sz w:val="24"/>
          <w:szCs w:val="24"/>
          <w:lang w:eastAsia="it-IT"/>
        </w:rPr>
        <w:t>.</w:t>
      </w:r>
      <w:r w:rsidRPr="005B6084">
        <w:rPr>
          <w:rStyle w:val="Rimandonotaapidipagina"/>
          <w:rFonts w:ascii="Times New Roman" w:hAnsi="Times New Roman"/>
          <w:sz w:val="24"/>
          <w:szCs w:val="24"/>
        </w:rPr>
        <w:footnoteReference w:id="19"/>
      </w:r>
      <w:r w:rsidRPr="005B6084">
        <w:rPr>
          <w:rFonts w:ascii="Times New Roman" w:hAnsi="Times New Roman"/>
          <w:sz w:val="24"/>
          <w:szCs w:val="24"/>
          <w:lang w:eastAsia="it-IT"/>
        </w:rPr>
        <w:t xml:space="preserve"> </w:t>
      </w:r>
      <w:r w:rsidRPr="005B6084">
        <w:rPr>
          <w:rFonts w:ascii="Times New Roman" w:hAnsi="Times New Roman"/>
          <w:sz w:val="24"/>
          <w:szCs w:val="24"/>
        </w:rPr>
        <w:t xml:space="preserve">The allegations against the United States and Israel </w:t>
      </w:r>
      <w:proofErr w:type="gramStart"/>
      <w:r w:rsidRPr="005B6084">
        <w:rPr>
          <w:rFonts w:ascii="Times New Roman" w:hAnsi="Times New Roman"/>
          <w:sz w:val="24"/>
          <w:szCs w:val="24"/>
        </w:rPr>
        <w:t>were based</w:t>
      </w:r>
      <w:proofErr w:type="gramEnd"/>
      <w:r w:rsidRPr="005B6084">
        <w:rPr>
          <w:rFonts w:ascii="Times New Roman" w:hAnsi="Times New Roman"/>
          <w:sz w:val="24"/>
          <w:szCs w:val="24"/>
        </w:rPr>
        <w:t xml:space="preserve"> on journalistic interviews with current and former American, European and Israeli officials and other experts, whose names are however not known.</w:t>
      </w:r>
      <w:r w:rsidRPr="005B6084">
        <w:rPr>
          <w:rStyle w:val="Rimandonotaapidipagina"/>
          <w:rFonts w:ascii="Times New Roman" w:hAnsi="Times New Roman"/>
          <w:sz w:val="24"/>
          <w:szCs w:val="24"/>
        </w:rPr>
        <w:footnoteReference w:id="20"/>
      </w:r>
      <w:r w:rsidRPr="005B6084">
        <w:rPr>
          <w:rFonts w:ascii="Times New Roman" w:hAnsi="Times New Roman"/>
          <w:sz w:val="24"/>
          <w:szCs w:val="24"/>
        </w:rPr>
        <w:t xml:space="preserve"> In a recent interview, the former US National Security Agency (NSA) contractor Edward Snowden also claimed that the NSA and Israel were behind </w:t>
      </w:r>
      <w:proofErr w:type="spellStart"/>
      <w:r w:rsidRPr="005B6084">
        <w:rPr>
          <w:rFonts w:ascii="Times New Roman" w:hAnsi="Times New Roman"/>
          <w:sz w:val="24"/>
          <w:szCs w:val="24"/>
        </w:rPr>
        <w:t>Stuxnet</w:t>
      </w:r>
      <w:proofErr w:type="spellEnd"/>
      <w:r w:rsidRPr="005B6084">
        <w:rPr>
          <w:rFonts w:ascii="Times New Roman" w:hAnsi="Times New Roman"/>
          <w:sz w:val="24"/>
          <w:szCs w:val="24"/>
        </w:rPr>
        <w:t>.</w:t>
      </w:r>
      <w:r w:rsidRPr="005B6084">
        <w:rPr>
          <w:rStyle w:val="Rimandonotaapidipagina"/>
          <w:rFonts w:ascii="Times New Roman" w:hAnsi="Times New Roman"/>
          <w:sz w:val="24"/>
          <w:szCs w:val="24"/>
        </w:rPr>
        <w:footnoteReference w:id="21"/>
      </w:r>
      <w:r w:rsidRPr="005B6084">
        <w:rPr>
          <w:rFonts w:ascii="Times New Roman" w:hAnsi="Times New Roman"/>
          <w:sz w:val="24"/>
          <w:szCs w:val="24"/>
        </w:rPr>
        <w:t xml:space="preserve"> Symantec’s researchers suggested that </w:t>
      </w:r>
      <w:proofErr w:type="spellStart"/>
      <w:r w:rsidRPr="005B6084">
        <w:rPr>
          <w:rFonts w:ascii="Times New Roman" w:hAnsi="Times New Roman"/>
          <w:sz w:val="24"/>
          <w:szCs w:val="24"/>
        </w:rPr>
        <w:t>Stuxnet’s</w:t>
      </w:r>
      <w:proofErr w:type="spellEnd"/>
      <w:r w:rsidRPr="005B6084">
        <w:rPr>
          <w:rFonts w:ascii="Times New Roman" w:hAnsi="Times New Roman"/>
          <w:sz w:val="24"/>
          <w:szCs w:val="24"/>
        </w:rPr>
        <w:t xml:space="preserve"> code included references to the 1979 date of execution of a prominent Jewish Iranian </w:t>
      </w:r>
      <w:proofErr w:type="gramStart"/>
      <w:r w:rsidRPr="005B6084">
        <w:rPr>
          <w:rFonts w:ascii="Times New Roman" w:hAnsi="Times New Roman"/>
          <w:sz w:val="24"/>
          <w:szCs w:val="24"/>
        </w:rPr>
        <w:t>businessman</w:t>
      </w:r>
      <w:proofErr w:type="gramEnd"/>
      <w:r w:rsidRPr="005B6084">
        <w:rPr>
          <w:rFonts w:ascii="Times New Roman" w:hAnsi="Times New Roman"/>
          <w:sz w:val="24"/>
          <w:szCs w:val="24"/>
        </w:rPr>
        <w:t>.</w:t>
      </w:r>
      <w:r w:rsidRPr="005B6084">
        <w:rPr>
          <w:rStyle w:val="Rimandonotaapidipagina"/>
          <w:rFonts w:ascii="Times New Roman" w:hAnsi="Times New Roman"/>
          <w:sz w:val="24"/>
          <w:szCs w:val="24"/>
        </w:rPr>
        <w:footnoteReference w:id="22"/>
      </w:r>
      <w:r w:rsidRPr="005B6084">
        <w:rPr>
          <w:rFonts w:ascii="Times New Roman" w:hAnsi="Times New Roman"/>
          <w:sz w:val="24"/>
          <w:szCs w:val="24"/>
        </w:rPr>
        <w:t xml:space="preserve"> </w:t>
      </w:r>
      <w:proofErr w:type="gramStart"/>
      <w:r w:rsidRPr="005B6084">
        <w:rPr>
          <w:rFonts w:ascii="Times New Roman" w:hAnsi="Times New Roman"/>
          <w:sz w:val="24"/>
          <w:szCs w:val="24"/>
        </w:rPr>
        <w:t xml:space="preserve">Other circumstantial evidence includes the fact that the worm hit primarily Iran and was specifically targeted at the </w:t>
      </w:r>
      <w:proofErr w:type="spellStart"/>
      <w:r w:rsidRPr="005B6084">
        <w:rPr>
          <w:rFonts w:ascii="Times New Roman" w:hAnsi="Times New Roman"/>
          <w:sz w:val="24"/>
          <w:szCs w:val="24"/>
        </w:rPr>
        <w:t>Natanz</w:t>
      </w:r>
      <w:proofErr w:type="spellEnd"/>
      <w:r w:rsidRPr="005B6084">
        <w:rPr>
          <w:rFonts w:ascii="Times New Roman" w:hAnsi="Times New Roman"/>
          <w:sz w:val="24"/>
          <w:szCs w:val="24"/>
        </w:rPr>
        <w:t xml:space="preserve"> nuclear facility, as the worm would activate </w:t>
      </w:r>
      <w:r w:rsidR="0003670E" w:rsidRPr="005B6084">
        <w:rPr>
          <w:rFonts w:ascii="Times New Roman" w:hAnsi="Times New Roman"/>
          <w:sz w:val="24"/>
          <w:szCs w:val="24"/>
        </w:rPr>
        <w:t xml:space="preserve">itself </w:t>
      </w:r>
      <w:r w:rsidRPr="005B6084">
        <w:rPr>
          <w:rFonts w:ascii="Times New Roman" w:hAnsi="Times New Roman"/>
          <w:sz w:val="24"/>
          <w:szCs w:val="24"/>
        </w:rPr>
        <w:t>only when it found the Siemens software used in that facility, and the fact that the high sophistication of the attack, the use of several zero-day hacks and the insider knowledge of the attacked system it implied required resources normally unavailable to individual hackers.</w:t>
      </w:r>
      <w:proofErr w:type="gramEnd"/>
      <w:r w:rsidRPr="005B6084">
        <w:rPr>
          <w:rFonts w:ascii="Times New Roman" w:hAnsi="Times New Roman"/>
          <w:sz w:val="24"/>
          <w:szCs w:val="24"/>
        </w:rPr>
        <w:t xml:space="preserve"> </w:t>
      </w:r>
      <w:proofErr w:type="gramStart"/>
      <w:r w:rsidRPr="005B6084">
        <w:rPr>
          <w:rFonts w:ascii="Times New Roman" w:hAnsi="Times New Roman"/>
          <w:sz w:val="24"/>
          <w:szCs w:val="24"/>
        </w:rPr>
        <w:t xml:space="preserve">Israeli and US officials have neither denied nor confirmed involvement in the operation: in response to a question, President Obama’s chief strategist for combating weapons of mass destruction, Gary </w:t>
      </w:r>
      <w:proofErr w:type="spellStart"/>
      <w:r w:rsidRPr="005B6084">
        <w:rPr>
          <w:rFonts w:ascii="Times New Roman" w:hAnsi="Times New Roman"/>
          <w:sz w:val="24"/>
          <w:szCs w:val="24"/>
        </w:rPr>
        <w:t>Samore</w:t>
      </w:r>
      <w:proofErr w:type="spellEnd"/>
      <w:r w:rsidRPr="005B6084">
        <w:rPr>
          <w:rFonts w:ascii="Times New Roman" w:hAnsi="Times New Roman"/>
          <w:sz w:val="24"/>
          <w:szCs w:val="24"/>
        </w:rPr>
        <w:t>, sardonically pointed out that ‘I’m glad to hear they are having troubles with their centrifuge machines, and the U.S. and its allies are doing everything we can to make it more complicated’.</w:t>
      </w:r>
      <w:r w:rsidRPr="005B6084">
        <w:rPr>
          <w:rStyle w:val="Rimandonotaapidipagina"/>
          <w:rFonts w:ascii="Times New Roman" w:hAnsi="Times New Roman"/>
          <w:sz w:val="24"/>
          <w:szCs w:val="24"/>
        </w:rPr>
        <w:footnoteReference w:id="23"/>
      </w:r>
      <w:proofErr w:type="gramEnd"/>
      <w:r w:rsidRPr="005B6084">
        <w:rPr>
          <w:rFonts w:ascii="Times New Roman" w:hAnsi="Times New Roman"/>
          <w:sz w:val="24"/>
          <w:szCs w:val="24"/>
        </w:rPr>
        <w:t xml:space="preserve"> According to </w:t>
      </w:r>
      <w:hyperlink r:id="rId8" w:tooltip="The Daily Telegraph" w:history="1">
        <w:r w:rsidRPr="005B6084">
          <w:rPr>
            <w:rStyle w:val="Collegamentoipertestuale"/>
            <w:rFonts w:ascii="Times New Roman" w:hAnsi="Times New Roman"/>
            <w:i/>
            <w:iCs/>
            <w:color w:val="auto"/>
            <w:sz w:val="24"/>
            <w:szCs w:val="24"/>
            <w:u w:val="none"/>
          </w:rPr>
          <w:t>The Daily Telegraph</w:t>
        </w:r>
      </w:hyperlink>
      <w:r w:rsidRPr="005B6084">
        <w:rPr>
          <w:rFonts w:ascii="Times New Roman" w:hAnsi="Times New Roman"/>
          <w:sz w:val="24"/>
          <w:szCs w:val="24"/>
        </w:rPr>
        <w:t xml:space="preserve">, a </w:t>
      </w:r>
      <w:r w:rsidR="00866764" w:rsidRPr="005B6084">
        <w:rPr>
          <w:rFonts w:ascii="Times New Roman" w:hAnsi="Times New Roman"/>
          <w:sz w:val="24"/>
          <w:szCs w:val="24"/>
        </w:rPr>
        <w:t>video</w:t>
      </w:r>
      <w:r w:rsidR="00404E7D" w:rsidRPr="005B6084">
        <w:rPr>
          <w:rFonts w:ascii="Times New Roman" w:hAnsi="Times New Roman"/>
          <w:sz w:val="24"/>
          <w:szCs w:val="24"/>
        </w:rPr>
        <w:t xml:space="preserve"> </w:t>
      </w:r>
      <w:r w:rsidRPr="005B6084">
        <w:rPr>
          <w:rFonts w:ascii="Times New Roman" w:hAnsi="Times New Roman"/>
          <w:sz w:val="24"/>
          <w:szCs w:val="24"/>
        </w:rPr>
        <w:t xml:space="preserve">that was played at a retirement party for the head of the </w:t>
      </w:r>
      <w:hyperlink r:id="rId9" w:tooltip="Israel Defense Forces" w:history="1">
        <w:r w:rsidRPr="005B6084">
          <w:rPr>
            <w:rStyle w:val="Collegamentoipertestuale"/>
            <w:rFonts w:ascii="Times New Roman" w:hAnsi="Times New Roman"/>
            <w:color w:val="auto"/>
            <w:sz w:val="24"/>
            <w:szCs w:val="24"/>
            <w:u w:val="none"/>
          </w:rPr>
          <w:t xml:space="preserve">Israel </w:t>
        </w:r>
        <w:proofErr w:type="spellStart"/>
        <w:r w:rsidRPr="005B6084">
          <w:rPr>
            <w:rStyle w:val="Collegamentoipertestuale"/>
            <w:rFonts w:ascii="Times New Roman" w:hAnsi="Times New Roman"/>
            <w:color w:val="auto"/>
            <w:sz w:val="24"/>
            <w:szCs w:val="24"/>
            <w:u w:val="none"/>
          </w:rPr>
          <w:t>Defense</w:t>
        </w:r>
        <w:proofErr w:type="spellEnd"/>
        <w:r w:rsidRPr="005B6084">
          <w:rPr>
            <w:rStyle w:val="Collegamentoipertestuale"/>
            <w:rFonts w:ascii="Times New Roman" w:hAnsi="Times New Roman"/>
            <w:color w:val="auto"/>
            <w:sz w:val="24"/>
            <w:szCs w:val="24"/>
            <w:u w:val="none"/>
          </w:rPr>
          <w:t xml:space="preserve"> Forces</w:t>
        </w:r>
      </w:hyperlink>
      <w:r w:rsidRPr="005B6084">
        <w:rPr>
          <w:rFonts w:ascii="Times New Roman" w:hAnsi="Times New Roman"/>
          <w:sz w:val="24"/>
          <w:szCs w:val="24"/>
        </w:rPr>
        <w:t xml:space="preserve"> (IDF), </w:t>
      </w:r>
      <w:hyperlink r:id="rId10" w:tooltip="Gabi Ashkenazi" w:history="1">
        <w:r w:rsidRPr="005B6084">
          <w:rPr>
            <w:rStyle w:val="Collegamentoipertestuale"/>
            <w:rFonts w:ascii="Times New Roman" w:hAnsi="Times New Roman"/>
            <w:color w:val="auto"/>
            <w:sz w:val="24"/>
            <w:szCs w:val="24"/>
            <w:u w:val="none"/>
          </w:rPr>
          <w:t>Gabi Ashkenazi</w:t>
        </w:r>
      </w:hyperlink>
      <w:r w:rsidRPr="005B6084">
        <w:rPr>
          <w:rFonts w:ascii="Times New Roman" w:hAnsi="Times New Roman"/>
          <w:sz w:val="24"/>
          <w:szCs w:val="24"/>
        </w:rPr>
        <w:t xml:space="preserve">, included references to </w:t>
      </w:r>
      <w:proofErr w:type="spellStart"/>
      <w:r w:rsidRPr="005B6084">
        <w:rPr>
          <w:rFonts w:ascii="Times New Roman" w:hAnsi="Times New Roman"/>
          <w:sz w:val="24"/>
          <w:szCs w:val="24"/>
        </w:rPr>
        <w:t>Stuxnet</w:t>
      </w:r>
      <w:proofErr w:type="spellEnd"/>
      <w:r w:rsidRPr="005B6084">
        <w:rPr>
          <w:rFonts w:ascii="Times New Roman" w:hAnsi="Times New Roman"/>
          <w:sz w:val="24"/>
          <w:szCs w:val="24"/>
        </w:rPr>
        <w:t xml:space="preserve"> as one of his operational successes as the IDF chief of </w:t>
      </w:r>
      <w:r w:rsidR="007F624B" w:rsidRPr="005B6084">
        <w:rPr>
          <w:rFonts w:ascii="Times New Roman" w:hAnsi="Times New Roman"/>
          <w:sz w:val="24"/>
          <w:szCs w:val="24"/>
        </w:rPr>
        <w:t xml:space="preserve">general </w:t>
      </w:r>
      <w:r w:rsidRPr="005B6084">
        <w:rPr>
          <w:rFonts w:ascii="Times New Roman" w:hAnsi="Times New Roman"/>
          <w:sz w:val="24"/>
          <w:szCs w:val="24"/>
        </w:rPr>
        <w:t>staff.</w:t>
      </w:r>
      <w:r w:rsidRPr="005B6084">
        <w:rPr>
          <w:rStyle w:val="Rimandonotaapidipagina"/>
          <w:rFonts w:ascii="Times New Roman" w:hAnsi="Times New Roman"/>
          <w:sz w:val="24"/>
          <w:szCs w:val="24"/>
        </w:rPr>
        <w:footnoteReference w:id="24"/>
      </w:r>
    </w:p>
    <w:p w14:paraId="7BF67152" w14:textId="075C24F3" w:rsidR="006E3FC2" w:rsidRPr="005B6084" w:rsidRDefault="006E3FC2" w:rsidP="00467E90">
      <w:pPr>
        <w:autoSpaceDE w:val="0"/>
        <w:autoSpaceDN w:val="0"/>
        <w:adjustRightInd w:val="0"/>
        <w:spacing w:after="120" w:line="360" w:lineRule="exact"/>
        <w:ind w:firstLine="567"/>
        <w:jc w:val="both"/>
        <w:rPr>
          <w:rFonts w:ascii="Times New Roman" w:hAnsi="Times New Roman"/>
          <w:sz w:val="24"/>
          <w:szCs w:val="24"/>
          <w:lang w:val="en-US"/>
        </w:rPr>
      </w:pPr>
      <w:r w:rsidRPr="005B6084">
        <w:rPr>
          <w:rFonts w:ascii="Times New Roman" w:hAnsi="Times New Roman"/>
          <w:sz w:val="24"/>
          <w:szCs w:val="24"/>
        </w:rPr>
        <w:t xml:space="preserve">Apart from the above well-known </w:t>
      </w:r>
      <w:proofErr w:type="spellStart"/>
      <w:r w:rsidRPr="005B6084">
        <w:rPr>
          <w:rFonts w:ascii="Times New Roman" w:hAnsi="Times New Roman"/>
          <w:sz w:val="24"/>
          <w:szCs w:val="24"/>
        </w:rPr>
        <w:t>cyber attacks</w:t>
      </w:r>
      <w:proofErr w:type="spellEnd"/>
      <w:r w:rsidRPr="005B6084">
        <w:rPr>
          <w:rFonts w:ascii="Times New Roman" w:hAnsi="Times New Roman"/>
          <w:sz w:val="24"/>
          <w:szCs w:val="24"/>
        </w:rPr>
        <w:t xml:space="preserve">, allegations of state involvement have also been made in relation to other cyber operations, including cyber exploitation activities. The US Department of </w:t>
      </w:r>
      <w:proofErr w:type="spellStart"/>
      <w:r w:rsidRPr="005B6084">
        <w:rPr>
          <w:rFonts w:ascii="Times New Roman" w:hAnsi="Times New Roman"/>
          <w:sz w:val="24"/>
          <w:szCs w:val="24"/>
        </w:rPr>
        <w:t>Defense’s</w:t>
      </w:r>
      <w:proofErr w:type="spellEnd"/>
      <w:r w:rsidRPr="005B6084">
        <w:rPr>
          <w:rFonts w:ascii="Times New Roman" w:hAnsi="Times New Roman"/>
          <w:sz w:val="24"/>
          <w:szCs w:val="24"/>
        </w:rPr>
        <w:t xml:space="preserve"> 2013 Report to Congress, for instance, claims that some of the 2012 cyber intrusions into US government computers ‘appear to be attributable directly to the Chinese government and military’, although it is not </w:t>
      </w:r>
      <w:r w:rsidRPr="005B6084">
        <w:rPr>
          <w:rFonts w:ascii="Times New Roman" w:hAnsi="Times New Roman"/>
          <w:sz w:val="24"/>
          <w:szCs w:val="24"/>
        </w:rPr>
        <w:lastRenderedPageBreak/>
        <w:t>entirely clear on what grounds.</w:t>
      </w:r>
      <w:r w:rsidRPr="005B6084">
        <w:rPr>
          <w:rStyle w:val="Rimandonotaapidipagina"/>
          <w:rFonts w:ascii="Times New Roman" w:hAnsi="Times New Roman"/>
          <w:sz w:val="24"/>
          <w:szCs w:val="24"/>
        </w:rPr>
        <w:footnoteReference w:id="25"/>
      </w:r>
      <w:r w:rsidRPr="005B6084">
        <w:rPr>
          <w:rFonts w:ascii="Times New Roman" w:hAnsi="Times New Roman"/>
          <w:sz w:val="24"/>
          <w:szCs w:val="24"/>
        </w:rPr>
        <w:t xml:space="preserve"> According to the controversial </w:t>
      </w:r>
      <w:proofErr w:type="spellStart"/>
      <w:r w:rsidRPr="005B6084">
        <w:rPr>
          <w:rFonts w:ascii="Times New Roman" w:hAnsi="Times New Roman"/>
          <w:sz w:val="24"/>
          <w:szCs w:val="24"/>
        </w:rPr>
        <w:t>Mandiant</w:t>
      </w:r>
      <w:proofErr w:type="spellEnd"/>
      <w:r w:rsidRPr="005B6084">
        <w:rPr>
          <w:rFonts w:ascii="Times New Roman" w:hAnsi="Times New Roman"/>
          <w:sz w:val="24"/>
          <w:szCs w:val="24"/>
        </w:rPr>
        <w:t xml:space="preserve"> Report, ‘the </w:t>
      </w:r>
      <w:r w:rsidRPr="005B6084">
        <w:rPr>
          <w:rFonts w:ascii="Times New Roman" w:hAnsi="Times New Roman"/>
          <w:sz w:val="24"/>
          <w:szCs w:val="24"/>
          <w:lang w:val="en-US"/>
        </w:rPr>
        <w:t xml:space="preserve">sheer number of </w:t>
      </w:r>
      <w:r w:rsidR="002D5ADA" w:rsidRPr="005B6084">
        <w:rPr>
          <w:rFonts w:ascii="Times New Roman" w:hAnsi="Times New Roman"/>
          <w:sz w:val="24"/>
          <w:szCs w:val="24"/>
          <w:lang w:val="en-US"/>
        </w:rPr>
        <w:t xml:space="preserve">[hacking group] </w:t>
      </w:r>
      <w:r w:rsidRPr="005B6084">
        <w:rPr>
          <w:rFonts w:ascii="Times New Roman" w:hAnsi="Times New Roman"/>
          <w:sz w:val="24"/>
          <w:szCs w:val="24"/>
          <w:lang w:val="en-US"/>
        </w:rPr>
        <w:t>APT1 IP addresses concentrated in these Shanghai ranges, coupled with Simplified Chinese keyboard layout settings on APT1’s attack systems, betrays the true location and language of the operators’.</w:t>
      </w:r>
      <w:bookmarkStart w:id="8" w:name="_Ref383685768"/>
      <w:r w:rsidRPr="005B6084">
        <w:rPr>
          <w:rStyle w:val="Rimandonotaapidipagina"/>
          <w:rFonts w:ascii="Times New Roman" w:hAnsi="Times New Roman"/>
          <w:sz w:val="24"/>
          <w:szCs w:val="24"/>
          <w:lang w:val="en-US"/>
        </w:rPr>
        <w:footnoteReference w:id="26"/>
      </w:r>
      <w:bookmarkEnd w:id="8"/>
      <w:r w:rsidRPr="005B6084">
        <w:rPr>
          <w:rFonts w:ascii="Times New Roman" w:hAnsi="Times New Roman"/>
          <w:sz w:val="24"/>
          <w:szCs w:val="24"/>
          <w:lang w:val="en-US"/>
        </w:rPr>
        <w:t xml:space="preserve"> The Report concludes that ‘</w:t>
      </w:r>
      <w:r w:rsidRPr="005B6084">
        <w:rPr>
          <w:rFonts w:ascii="Times New Roman" w:hAnsi="Times New Roman"/>
          <w:sz w:val="24"/>
          <w:szCs w:val="24"/>
          <w:lang w:val="en-US" w:eastAsia="it-IT"/>
        </w:rPr>
        <w:t>APT1 is likely government-sponsored and one of the most persistent of China’s cyber threat actors’.</w:t>
      </w:r>
      <w:r w:rsidRPr="005B6084">
        <w:rPr>
          <w:rStyle w:val="Rimandonotaapidipagina"/>
          <w:rFonts w:ascii="Times New Roman" w:hAnsi="Times New Roman"/>
          <w:sz w:val="24"/>
          <w:szCs w:val="24"/>
          <w:lang w:val="en-US" w:eastAsia="it-IT"/>
        </w:rPr>
        <w:footnoteReference w:id="27"/>
      </w:r>
      <w:r w:rsidRPr="005B6084">
        <w:rPr>
          <w:rFonts w:ascii="Times New Roman" w:hAnsi="Times New Roman"/>
          <w:sz w:val="24"/>
          <w:szCs w:val="24"/>
          <w:lang w:val="en-US" w:eastAsia="it-IT"/>
        </w:rPr>
        <w:t xml:space="preserve"> </w:t>
      </w:r>
      <w:r w:rsidRPr="005B6084">
        <w:rPr>
          <w:rFonts w:ascii="Times New Roman" w:hAnsi="Times New Roman"/>
          <w:sz w:val="24"/>
          <w:szCs w:val="24"/>
          <w:lang w:val="en-US"/>
        </w:rPr>
        <w:t xml:space="preserve">According to the Chinese </w:t>
      </w:r>
      <w:proofErr w:type="spellStart"/>
      <w:r w:rsidRPr="005B6084">
        <w:rPr>
          <w:rFonts w:ascii="Times New Roman" w:hAnsi="Times New Roman"/>
          <w:sz w:val="24"/>
          <w:szCs w:val="24"/>
          <w:lang w:val="en-US"/>
        </w:rPr>
        <w:t>Defence</w:t>
      </w:r>
      <w:proofErr w:type="spellEnd"/>
      <w:r w:rsidRPr="005B6084">
        <w:rPr>
          <w:rFonts w:ascii="Times New Roman" w:hAnsi="Times New Roman"/>
          <w:sz w:val="24"/>
          <w:szCs w:val="24"/>
          <w:lang w:val="en-US"/>
        </w:rPr>
        <w:t xml:space="preserve"> Ministry, however, </w:t>
      </w:r>
      <w:r w:rsidRPr="005B6084">
        <w:rPr>
          <w:rFonts w:ascii="Times New Roman" w:hAnsi="Times New Roman"/>
          <w:sz w:val="24"/>
          <w:szCs w:val="24"/>
        </w:rPr>
        <w:t xml:space="preserve">the report lacked ‘technical proof’ that linked </w:t>
      </w:r>
      <w:r w:rsidR="002D5ADA" w:rsidRPr="005B6084">
        <w:rPr>
          <w:rFonts w:ascii="Times New Roman" w:hAnsi="Times New Roman"/>
          <w:sz w:val="24"/>
          <w:szCs w:val="24"/>
        </w:rPr>
        <w:t xml:space="preserve">the </w:t>
      </w:r>
      <w:r w:rsidRPr="005B6084">
        <w:rPr>
          <w:rFonts w:ascii="Times New Roman" w:hAnsi="Times New Roman"/>
          <w:sz w:val="24"/>
          <w:szCs w:val="24"/>
        </w:rPr>
        <w:t>IP addresses used by ATP1 to a military unit of the People’s Liberation Army (PLA), as the attacks employed hijacked addresses.</w:t>
      </w:r>
      <w:r w:rsidRPr="005B6084">
        <w:rPr>
          <w:rStyle w:val="Rimandonotaapidipagina"/>
          <w:rFonts w:ascii="Times New Roman" w:hAnsi="Times New Roman"/>
          <w:sz w:val="24"/>
          <w:szCs w:val="24"/>
        </w:rPr>
        <w:footnoteReference w:id="28"/>
      </w:r>
      <w:r w:rsidR="0003670E" w:rsidRPr="005B6084">
        <w:rPr>
          <w:rFonts w:ascii="Times New Roman" w:hAnsi="Times New Roman"/>
          <w:sz w:val="24"/>
          <w:szCs w:val="24"/>
        </w:rPr>
        <w:t xml:space="preserve"> In May 2014, the US Department of Justice </w:t>
      </w:r>
      <w:r w:rsidR="002D5ADA" w:rsidRPr="005B6084">
        <w:rPr>
          <w:rFonts w:ascii="Times New Roman" w:hAnsi="Times New Roman"/>
          <w:sz w:val="24"/>
          <w:szCs w:val="24"/>
        </w:rPr>
        <w:t xml:space="preserve">eventually </w:t>
      </w:r>
      <w:r w:rsidR="0003670E" w:rsidRPr="005B6084">
        <w:rPr>
          <w:rFonts w:ascii="Times New Roman" w:hAnsi="Times New Roman"/>
          <w:sz w:val="24"/>
          <w:szCs w:val="24"/>
          <w:lang w:val="en"/>
        </w:rPr>
        <w:t xml:space="preserve">brought charges against five members of the PLA for hacking into the computers of six organizations in western Pennsylvania </w:t>
      </w:r>
      <w:r w:rsidR="00984CC3" w:rsidRPr="005B6084">
        <w:rPr>
          <w:rFonts w:ascii="Times New Roman" w:hAnsi="Times New Roman"/>
          <w:sz w:val="24"/>
          <w:szCs w:val="24"/>
          <w:lang w:val="en"/>
        </w:rPr>
        <w:t xml:space="preserve">and elsewhere in the United States </w:t>
      </w:r>
      <w:r w:rsidR="0003670E" w:rsidRPr="005B6084">
        <w:rPr>
          <w:rFonts w:ascii="Times New Roman" w:hAnsi="Times New Roman"/>
          <w:sz w:val="24"/>
          <w:szCs w:val="24"/>
          <w:lang w:val="en"/>
        </w:rPr>
        <w:t>to steal trade secrets</w:t>
      </w:r>
      <w:r w:rsidR="00984CC3" w:rsidRPr="005B6084">
        <w:rPr>
          <w:rFonts w:ascii="Times New Roman" w:hAnsi="Times New Roman"/>
          <w:sz w:val="24"/>
          <w:szCs w:val="24"/>
          <w:lang w:val="en"/>
        </w:rPr>
        <w:t>, without providing much supporting evidence (if any at all) of the involvement of the defendants</w:t>
      </w:r>
      <w:bookmarkStart w:id="9" w:name="_Ref389211752"/>
      <w:r w:rsidR="00984CC3" w:rsidRPr="005B6084">
        <w:rPr>
          <w:rFonts w:ascii="Times New Roman" w:hAnsi="Times New Roman"/>
          <w:sz w:val="24"/>
          <w:szCs w:val="24"/>
          <w:lang w:val="en"/>
        </w:rPr>
        <w:t>.</w:t>
      </w:r>
      <w:r w:rsidR="0003670E" w:rsidRPr="005B6084">
        <w:rPr>
          <w:rStyle w:val="Rimandonotaapidipagina"/>
          <w:rFonts w:ascii="Times New Roman" w:hAnsi="Times New Roman"/>
          <w:sz w:val="24"/>
          <w:szCs w:val="24"/>
          <w:lang w:val="en"/>
        </w:rPr>
        <w:footnoteReference w:id="29"/>
      </w:r>
      <w:bookmarkEnd w:id="9"/>
    </w:p>
    <w:p w14:paraId="38666168" w14:textId="7A237BD7" w:rsidR="006E3FC2" w:rsidRPr="005B6084" w:rsidRDefault="006E3FC2" w:rsidP="00A14E3C">
      <w:pPr>
        <w:pStyle w:val="P"/>
        <w:spacing w:after="120" w:line="360" w:lineRule="exact"/>
        <w:ind w:firstLine="567"/>
        <w:jc w:val="both"/>
      </w:pPr>
      <w:proofErr w:type="gramStart"/>
      <w:r w:rsidRPr="005B6084">
        <w:t xml:space="preserve">In spite of the </w:t>
      </w:r>
      <w:r w:rsidR="0003670E" w:rsidRPr="005B6084">
        <w:t xml:space="preserve">obvious </w:t>
      </w:r>
      <w:r w:rsidRPr="005B6084">
        <w:t xml:space="preserve">crucial importance of evidentiary issues, works on inter-state cyber operations, both above and below the level of the use of force, have so far focused on whether such operations are consistent with primary norms of international law and on the remedies available to the victim state under the </w:t>
      </w:r>
      <w:r w:rsidRPr="005B6084">
        <w:rPr>
          <w:i/>
        </w:rPr>
        <w:t>jus ad bellum</w:t>
      </w:r>
      <w:r w:rsidRPr="005B6084">
        <w:t xml:space="preserve"> and the law of state responsibility, and have almost entirely neglected a discussion of the evidence the victim state needs to produce to demonstrate, either before a judicial body or elsewhere, that an unlawful cyber operation has been conducted against it and </w:t>
      </w:r>
      <w:r w:rsidR="00404E7D" w:rsidRPr="005B6084">
        <w:t xml:space="preserve">that it is </w:t>
      </w:r>
      <w:r w:rsidRPr="005B6084">
        <w:t>attribut</w:t>
      </w:r>
      <w:r w:rsidR="00404E7D" w:rsidRPr="005B6084">
        <w:t>able</w:t>
      </w:r>
      <w:r w:rsidRPr="005B6084">
        <w:t xml:space="preserve"> to another state.</w:t>
      </w:r>
      <w:bookmarkStart w:id="10" w:name="_Ref389204145"/>
      <w:r w:rsidRPr="005B6084">
        <w:rPr>
          <w:rStyle w:val="Rimandonotaapidipagina"/>
        </w:rPr>
        <w:footnoteReference w:id="30"/>
      </w:r>
      <w:bookmarkEnd w:id="10"/>
      <w:proofErr w:type="gramEnd"/>
      <w:r w:rsidRPr="005B6084">
        <w:t xml:space="preserve"> </w:t>
      </w:r>
      <w:r w:rsidRPr="005B6084">
        <w:rPr>
          <w:rFonts w:eastAsia="SimSun"/>
          <w:lang w:eastAsia="it-IT"/>
        </w:rPr>
        <w:t xml:space="preserve">The first edition of the </w:t>
      </w:r>
      <w:r w:rsidRPr="005B6084">
        <w:rPr>
          <w:rFonts w:eastAsia="SimSun"/>
          <w:i/>
          <w:lang w:eastAsia="it-IT"/>
        </w:rPr>
        <w:t>Tallinn Manual on the International Law Applicable to Cyber Warfare</w:t>
      </w:r>
      <w:r w:rsidRPr="005B6084">
        <w:rPr>
          <w:rFonts w:eastAsia="SimSun"/>
          <w:lang w:eastAsia="it-IT"/>
        </w:rPr>
        <w:t xml:space="preserve"> also does not discuss in</w:t>
      </w:r>
      <w:r w:rsidR="00404E7D" w:rsidRPr="005B6084">
        <w:rPr>
          <w:rFonts w:eastAsia="SimSun"/>
          <w:lang w:eastAsia="it-IT"/>
        </w:rPr>
        <w:t xml:space="preserve"> </w:t>
      </w:r>
      <w:r w:rsidRPr="005B6084">
        <w:rPr>
          <w:rFonts w:eastAsia="SimSun"/>
          <w:lang w:eastAsia="it-IT"/>
        </w:rPr>
        <w:t xml:space="preserve">depth evidentiary issues in the cyber context: </w:t>
      </w:r>
      <w:r w:rsidRPr="005B6084">
        <w:t xml:space="preserve">the only references to evidence are contained in </w:t>
      </w:r>
      <w:r w:rsidRPr="005B6084">
        <w:lastRenderedPageBreak/>
        <w:t>Rules 7 and 8.</w:t>
      </w:r>
      <w:r w:rsidRPr="005B6084">
        <w:rPr>
          <w:rStyle w:val="Rimandonotaapidipagina"/>
        </w:rPr>
        <w:footnoteReference w:id="31"/>
      </w:r>
      <w:r w:rsidRPr="005B6084">
        <w:t xml:space="preserve"> </w:t>
      </w:r>
      <w:r w:rsidRPr="005B6084">
        <w:rPr>
          <w:lang w:val="en-GB"/>
        </w:rPr>
        <w:t>The</w:t>
      </w:r>
      <w:r w:rsidRPr="005B6084">
        <w:t xml:space="preserve"> present article aims to fill this gap. It will start with a brief account of the international law of evidence and will then discuss who has the burden of proof in relation to claims </w:t>
      </w:r>
      <w:r w:rsidR="00404E7D" w:rsidRPr="005B6084">
        <w:t xml:space="preserve">seeking </w:t>
      </w:r>
      <w:r w:rsidRPr="005B6084">
        <w:t xml:space="preserve">remedies </w:t>
      </w:r>
      <w:r w:rsidR="00404E7D" w:rsidRPr="005B6084">
        <w:t xml:space="preserve">(including </w:t>
      </w:r>
      <w:r w:rsidRPr="005B6084">
        <w:t>reparation</w:t>
      </w:r>
      <w:r w:rsidR="00404E7D" w:rsidRPr="005B6084">
        <w:t>)</w:t>
      </w:r>
      <w:r w:rsidRPr="005B6084">
        <w:t xml:space="preserve"> for damage caused by cyber operations. It will then analyze the standard of proof required in the cyber context. Finally, the possible methods of proof will be examined, distinguishing between </w:t>
      </w:r>
      <w:proofErr w:type="gramStart"/>
      <w:r w:rsidRPr="005B6084">
        <w:t>th</w:t>
      </w:r>
      <w:r w:rsidR="00404E7D" w:rsidRPr="005B6084">
        <w:t>os</w:t>
      </w:r>
      <w:r w:rsidRPr="005B6084">
        <w:t xml:space="preserve">e </w:t>
      </w:r>
      <w:r w:rsidR="00404E7D" w:rsidRPr="005B6084">
        <w:t xml:space="preserve">which are </w:t>
      </w:r>
      <w:r w:rsidRPr="005B6084">
        <w:t>admissible</w:t>
      </w:r>
      <w:proofErr w:type="gramEnd"/>
      <w:r w:rsidRPr="005B6084">
        <w:t xml:space="preserve"> and </w:t>
      </w:r>
      <w:r w:rsidR="00404E7D" w:rsidRPr="005B6084">
        <w:t xml:space="preserve">those which are </w:t>
      </w:r>
      <w:r w:rsidRPr="005B6084">
        <w:t xml:space="preserve">inadmissible. </w:t>
      </w:r>
      <w:proofErr w:type="gramStart"/>
      <w:r w:rsidRPr="005B6084">
        <w:t>The present article only deals with international disputes between states</w:t>
      </w:r>
      <w:r w:rsidR="0003670E" w:rsidRPr="005B6084">
        <w:t>,</w:t>
      </w:r>
      <w:r w:rsidRPr="005B6084">
        <w:t xml:space="preserve"> and will not discuss evidentiary issues in relation to </w:t>
      </w:r>
      <w:proofErr w:type="spellStart"/>
      <w:r w:rsidRPr="005B6084">
        <w:t>cyber crime</w:t>
      </w:r>
      <w:proofErr w:type="spellEnd"/>
      <w:r w:rsidRPr="005B6084">
        <w:t xml:space="preserve"> before domestic courts.</w:t>
      </w:r>
      <w:proofErr w:type="gramEnd"/>
      <w:r w:rsidRPr="005B6084">
        <w:t xml:space="preserve"> It also does not look at evidence before international criminal tribunals, as the focus is on state responsibility for cyber operations and not on the criminal responsibility of individuals.</w:t>
      </w:r>
      <w:bookmarkStart w:id="11" w:name="_Ref389204857"/>
      <w:r w:rsidRPr="005B6084">
        <w:rPr>
          <w:rStyle w:val="Rimandonotaapidipagina"/>
        </w:rPr>
        <w:footnoteReference w:id="32"/>
      </w:r>
      <w:bookmarkEnd w:id="11"/>
      <w:r w:rsidRPr="005B6084">
        <w:t xml:space="preserve"> </w:t>
      </w:r>
    </w:p>
    <w:p w14:paraId="4AB3AE1E" w14:textId="77777777" w:rsidR="006E3FC2" w:rsidRPr="005B6084" w:rsidRDefault="006E3FC2" w:rsidP="00A14E3C">
      <w:pPr>
        <w:pStyle w:val="P"/>
        <w:spacing w:after="120" w:line="360" w:lineRule="exact"/>
        <w:jc w:val="both"/>
      </w:pPr>
    </w:p>
    <w:p w14:paraId="6A2B9ED8" w14:textId="77777777" w:rsidR="006E3FC2" w:rsidRPr="005B6084" w:rsidRDefault="006E3FC2" w:rsidP="002D361A">
      <w:pPr>
        <w:pStyle w:val="P"/>
        <w:spacing w:after="120" w:line="360" w:lineRule="exact"/>
        <w:jc w:val="both"/>
        <w:outlineLvl w:val="0"/>
        <w:rPr>
          <w:b/>
        </w:rPr>
      </w:pPr>
      <w:r w:rsidRPr="005B6084">
        <w:rPr>
          <w:b/>
        </w:rPr>
        <w:t>2. The international law of evidence</w:t>
      </w:r>
    </w:p>
    <w:p w14:paraId="2679BE87" w14:textId="77777777" w:rsidR="006E3FC2" w:rsidRPr="005B6084" w:rsidRDefault="006E3FC2" w:rsidP="00467E90">
      <w:pPr>
        <w:pStyle w:val="P"/>
        <w:spacing w:after="120" w:line="360" w:lineRule="exact"/>
        <w:ind w:firstLine="567"/>
        <w:jc w:val="both"/>
      </w:pPr>
      <w:r w:rsidRPr="005B6084">
        <w:t xml:space="preserve"> </w:t>
      </w:r>
    </w:p>
    <w:p w14:paraId="278F16C3" w14:textId="0C9D92FD" w:rsidR="006E3FC2" w:rsidRPr="005B6084" w:rsidRDefault="002D5ADA" w:rsidP="00AA0833">
      <w:pPr>
        <w:pStyle w:val="P"/>
        <w:spacing w:after="120" w:line="360" w:lineRule="exact"/>
        <w:jc w:val="both"/>
      </w:pPr>
      <w:r w:rsidRPr="005B6084">
        <w:t>‘Evidence’ is ‘information …</w:t>
      </w:r>
      <w:r w:rsidR="006E3FC2" w:rsidRPr="005B6084">
        <w:t xml:space="preserve"> with a view of establishing or disproving alleged facts’.</w:t>
      </w:r>
      <w:r w:rsidR="006E3FC2" w:rsidRPr="005B6084">
        <w:rPr>
          <w:rStyle w:val="Rimandonotaapidipagina"/>
        </w:rPr>
        <w:footnoteReference w:id="33"/>
      </w:r>
      <w:r w:rsidR="006E3FC2" w:rsidRPr="005B6084">
        <w:t xml:space="preserve"> It is different from ‘proof’ in that ‘“proof” is the result or effect of evidence, while “evidence” is the medium or means by which a fact is proved or disproved’.</w:t>
      </w:r>
      <w:r w:rsidR="006E3FC2" w:rsidRPr="005B6084">
        <w:rPr>
          <w:rStyle w:val="Rimandonotaapidipagina"/>
        </w:rPr>
        <w:footnoteReference w:id="34"/>
      </w:r>
      <w:r w:rsidR="006E3FC2" w:rsidRPr="005B6084">
        <w:t xml:space="preserve"> </w:t>
      </w:r>
      <w:r w:rsidR="006E3FC2" w:rsidRPr="005B6084">
        <w:rPr>
          <w:rFonts w:eastAsia="SimSun"/>
          <w:lang w:eastAsia="it-IT"/>
        </w:rPr>
        <w:t xml:space="preserve">Evidence is </w:t>
      </w:r>
      <w:r w:rsidR="0025206D" w:rsidRPr="005B6084">
        <w:rPr>
          <w:rFonts w:eastAsia="SimSun"/>
          <w:lang w:eastAsia="it-IT"/>
        </w:rPr>
        <w:t xml:space="preserve">normally </w:t>
      </w:r>
      <w:r w:rsidR="006E3FC2" w:rsidRPr="005B6084">
        <w:rPr>
          <w:rFonts w:eastAsia="SimSun"/>
          <w:lang w:eastAsia="it-IT"/>
        </w:rPr>
        <w:t xml:space="preserve">required to provide proof of both the objective (be it an act or omission) and subjective elements of an internationally wrongful act, i.e. its attribution to a state. A state invoking </w:t>
      </w:r>
      <w:proofErr w:type="spellStart"/>
      <w:r w:rsidR="006E3FC2" w:rsidRPr="005B6084">
        <w:rPr>
          <w:rFonts w:eastAsia="SimSun"/>
          <w:lang w:eastAsia="it-IT"/>
        </w:rPr>
        <w:t>self-defence</w:t>
      </w:r>
      <w:proofErr w:type="spellEnd"/>
      <w:r w:rsidR="006E3FC2" w:rsidRPr="005B6084">
        <w:rPr>
          <w:rFonts w:eastAsia="SimSun"/>
          <w:lang w:eastAsia="it-IT"/>
        </w:rPr>
        <w:t xml:space="preserve"> against </w:t>
      </w:r>
      <w:proofErr w:type="spellStart"/>
      <w:r w:rsidR="006E3FC2" w:rsidRPr="005B6084">
        <w:rPr>
          <w:rFonts w:eastAsia="SimSun"/>
          <w:lang w:eastAsia="it-IT"/>
        </w:rPr>
        <w:t>cyber attacks</w:t>
      </w:r>
      <w:proofErr w:type="spellEnd"/>
      <w:r w:rsidR="006E3FC2" w:rsidRPr="005B6084">
        <w:rPr>
          <w:rFonts w:eastAsia="SimSun"/>
          <w:lang w:eastAsia="it-IT"/>
        </w:rPr>
        <w:t xml:space="preserve">, for instance, will have to produce evidence that demonstrates: a) that the </w:t>
      </w:r>
      <w:proofErr w:type="spellStart"/>
      <w:r w:rsidR="006E3FC2" w:rsidRPr="005B6084">
        <w:rPr>
          <w:rFonts w:eastAsia="SimSun"/>
          <w:lang w:eastAsia="it-IT"/>
        </w:rPr>
        <w:t>cyber attack</w:t>
      </w:r>
      <w:proofErr w:type="spellEnd"/>
      <w:r w:rsidR="006E3FC2" w:rsidRPr="005B6084">
        <w:rPr>
          <w:rFonts w:eastAsia="SimSun"/>
          <w:lang w:eastAsia="it-IT"/>
        </w:rPr>
        <w:t xml:space="preserve"> actually occurred, that it </w:t>
      </w:r>
      <w:proofErr w:type="gramStart"/>
      <w:r w:rsidR="006E3FC2" w:rsidRPr="005B6084">
        <w:rPr>
          <w:rFonts w:eastAsia="SimSun"/>
          <w:lang w:eastAsia="it-IT"/>
        </w:rPr>
        <w:t>was directed</w:t>
      </w:r>
      <w:proofErr w:type="gramEnd"/>
      <w:r w:rsidR="006E3FC2" w:rsidRPr="005B6084">
        <w:rPr>
          <w:rFonts w:eastAsia="SimSun"/>
          <w:lang w:eastAsia="it-IT"/>
        </w:rPr>
        <w:t xml:space="preserve"> against it, and that its scale and effects reached the threshold of an ‘armed attack’;</w:t>
      </w:r>
      <w:r w:rsidR="006E3FC2" w:rsidRPr="005B6084">
        <w:rPr>
          <w:rStyle w:val="Rimandonotaapidipagina"/>
          <w:rFonts w:eastAsia="SimSun"/>
          <w:lang w:eastAsia="it-IT"/>
        </w:rPr>
        <w:footnoteReference w:id="35"/>
      </w:r>
      <w:r w:rsidR="006E3FC2" w:rsidRPr="005B6084">
        <w:rPr>
          <w:rFonts w:eastAsia="SimSun"/>
          <w:lang w:eastAsia="it-IT"/>
        </w:rPr>
        <w:t xml:space="preserve"> and b) that it was attributable to a certain state.</w:t>
      </w:r>
      <w:bookmarkStart w:id="12" w:name="_Ref383511918"/>
      <w:r w:rsidR="006E3FC2" w:rsidRPr="005B6084">
        <w:rPr>
          <w:rStyle w:val="Rimandonotaapidipagina"/>
          <w:rFonts w:eastAsia="SimSun"/>
          <w:lang w:eastAsia="it-IT"/>
        </w:rPr>
        <w:footnoteReference w:id="36"/>
      </w:r>
      <w:bookmarkEnd w:id="12"/>
      <w:r w:rsidR="006E3FC2" w:rsidRPr="005B6084">
        <w:rPr>
          <w:rFonts w:eastAsia="SimSun"/>
          <w:lang w:eastAsia="it-IT"/>
        </w:rPr>
        <w:t xml:space="preserve"> For a state to invoke the right to take countermeasures, on the other hand, it may be sufficient to </w:t>
      </w:r>
      <w:r w:rsidR="006E3FC2" w:rsidRPr="005B6084">
        <w:t xml:space="preserve">provide evidence that a </w:t>
      </w:r>
      <w:proofErr w:type="spellStart"/>
      <w:r w:rsidR="006E3FC2" w:rsidRPr="005B6084">
        <w:t>cyber operation</w:t>
      </w:r>
      <w:proofErr w:type="spellEnd"/>
      <w:r w:rsidR="006E3FC2" w:rsidRPr="005B6084">
        <w:t xml:space="preserve"> originated from a certain state and that </w:t>
      </w:r>
      <w:r w:rsidR="002567F5" w:rsidRPr="005B6084">
        <w:t xml:space="preserve">that </w:t>
      </w:r>
      <w:r w:rsidR="006E3FC2" w:rsidRPr="005B6084">
        <w:t xml:space="preserve">state did not exercise due diligence in terminating it, without necessarily having to prove </w:t>
      </w:r>
      <w:r w:rsidR="00D92B7F" w:rsidRPr="005B6084">
        <w:t>attribution</w:t>
      </w:r>
      <w:r w:rsidR="002567F5" w:rsidRPr="005B6084">
        <w:t xml:space="preserve"> of the attack </w:t>
      </w:r>
      <w:r w:rsidR="002567F5" w:rsidRPr="005B6084">
        <w:lastRenderedPageBreak/>
        <w:t>itself to the state</w:t>
      </w:r>
      <w:r w:rsidR="00D92B7F" w:rsidRPr="005B6084">
        <w:t>.</w:t>
      </w:r>
      <w:r w:rsidR="006E3FC2" w:rsidRPr="005B6084">
        <w:rPr>
          <w:rStyle w:val="Rimandonotaapidipagina"/>
        </w:rPr>
        <w:footnoteReference w:id="37"/>
      </w:r>
      <w:r w:rsidR="006E3FC2" w:rsidRPr="005B6084">
        <w:t xml:space="preserve"> </w:t>
      </w:r>
      <w:r w:rsidR="006E3FC2" w:rsidRPr="005B6084">
        <w:rPr>
          <w:rFonts w:eastAsia="SimSun"/>
          <w:lang w:eastAsia="it-IT"/>
        </w:rPr>
        <w:t xml:space="preserve">In the </w:t>
      </w:r>
      <w:r w:rsidR="006E3FC2" w:rsidRPr="005B6084">
        <w:rPr>
          <w:rFonts w:eastAsia="SimSun"/>
          <w:i/>
          <w:lang w:eastAsia="it-IT"/>
        </w:rPr>
        <w:t>Nicaragua</w:t>
      </w:r>
      <w:r w:rsidR="006E3FC2" w:rsidRPr="005B6084">
        <w:rPr>
          <w:rFonts w:eastAsia="SimSun"/>
          <w:lang w:eastAsia="it-IT"/>
        </w:rPr>
        <w:t xml:space="preserve"> case, the ICJ clearly explained the distinction between the objective and subjective elements from an evidentiary perspective: </w:t>
      </w:r>
    </w:p>
    <w:p w14:paraId="376908E3" w14:textId="77777777" w:rsidR="006E3FC2" w:rsidRPr="005B6084" w:rsidRDefault="006E3FC2" w:rsidP="00364DDE">
      <w:pPr>
        <w:pStyle w:val="P"/>
        <w:spacing w:after="120" w:line="360" w:lineRule="exact"/>
        <w:ind w:firstLine="567"/>
        <w:jc w:val="both"/>
        <w:rPr>
          <w:rFonts w:eastAsia="SimSun"/>
          <w:lang w:eastAsia="it-IT"/>
        </w:rPr>
      </w:pPr>
    </w:p>
    <w:p w14:paraId="5386C255" w14:textId="77777777" w:rsidR="006E3FC2" w:rsidRPr="005B6084" w:rsidRDefault="006E3FC2" w:rsidP="00364DDE">
      <w:pPr>
        <w:autoSpaceDE w:val="0"/>
        <w:autoSpaceDN w:val="0"/>
        <w:adjustRightInd w:val="0"/>
        <w:spacing w:after="120" w:line="240" w:lineRule="auto"/>
        <w:ind w:left="567" w:right="567"/>
        <w:jc w:val="both"/>
        <w:rPr>
          <w:rFonts w:ascii="Times New Roman" w:hAnsi="Times New Roman"/>
          <w:lang w:val="en-US"/>
        </w:rPr>
      </w:pPr>
      <w:proofErr w:type="gramStart"/>
      <w:r w:rsidRPr="005B6084">
        <w:rPr>
          <w:rFonts w:ascii="Times New Roman" w:hAnsi="Times New Roman"/>
          <w:lang w:val="en-US"/>
        </w:rPr>
        <w:t>[o]</w:t>
      </w:r>
      <w:proofErr w:type="spellStart"/>
      <w:r w:rsidRPr="005B6084">
        <w:rPr>
          <w:rFonts w:ascii="Times New Roman" w:hAnsi="Times New Roman"/>
          <w:lang w:val="en-US"/>
        </w:rPr>
        <w:t>ne</w:t>
      </w:r>
      <w:proofErr w:type="spellEnd"/>
      <w:r w:rsidRPr="005B6084">
        <w:rPr>
          <w:rFonts w:ascii="Times New Roman" w:hAnsi="Times New Roman"/>
          <w:lang w:val="en-US"/>
        </w:rPr>
        <w:t xml:space="preserve"> of the Court’s chief difficulties in the present case has been the determination of the</w:t>
      </w:r>
      <w:r w:rsidR="0025206D" w:rsidRPr="005B6084">
        <w:rPr>
          <w:rFonts w:ascii="Times New Roman" w:hAnsi="Times New Roman"/>
          <w:lang w:val="en-US"/>
        </w:rPr>
        <w:t xml:space="preserve"> facts relevant to the dispute …</w:t>
      </w:r>
      <w:r w:rsidRPr="005B6084">
        <w:rPr>
          <w:rFonts w:ascii="Times New Roman" w:hAnsi="Times New Roman"/>
          <w:lang w:val="en-US"/>
        </w:rPr>
        <w:t xml:space="preserve"> Sometimes there is no question, in the sense that it does not appear to be disputed, that an act was done, but there are conflicting reports, or a lack of evidence, as to w</w:t>
      </w:r>
      <w:r w:rsidR="0025206D" w:rsidRPr="005B6084">
        <w:rPr>
          <w:rFonts w:ascii="Times New Roman" w:hAnsi="Times New Roman"/>
          <w:lang w:val="en-US"/>
        </w:rPr>
        <w:t>ho did it …</w:t>
      </w:r>
      <w:r w:rsidRPr="005B6084">
        <w:rPr>
          <w:rFonts w:ascii="Times New Roman" w:hAnsi="Times New Roman"/>
          <w:lang w:val="en-US"/>
        </w:rPr>
        <w:t xml:space="preserve"> The occurrence of the act itself may however have been shrouded in secrecy.</w:t>
      </w:r>
      <w:proofErr w:type="gramEnd"/>
      <w:r w:rsidRPr="005B6084">
        <w:rPr>
          <w:rFonts w:ascii="Times New Roman" w:hAnsi="Times New Roman"/>
          <w:lang w:val="en-US"/>
        </w:rPr>
        <w:t xml:space="preserve"> In the latter case, the Court has had to </w:t>
      </w:r>
      <w:proofErr w:type="spellStart"/>
      <w:r w:rsidRPr="005B6084">
        <w:rPr>
          <w:rFonts w:ascii="Times New Roman" w:hAnsi="Times New Roman"/>
          <w:lang w:val="en-US"/>
        </w:rPr>
        <w:t>endeavour</w:t>
      </w:r>
      <w:proofErr w:type="spellEnd"/>
      <w:r w:rsidRPr="005B6084">
        <w:rPr>
          <w:rFonts w:ascii="Times New Roman" w:hAnsi="Times New Roman"/>
          <w:lang w:val="en-US"/>
        </w:rPr>
        <w:t xml:space="preserve"> first to establish what actually happened, before entering on the next stage of considering whether the act (if proven) was imputable to the State to which it has been attributed.</w:t>
      </w:r>
      <w:r w:rsidRPr="005B6084">
        <w:rPr>
          <w:rStyle w:val="Rimandonotaapidipagina"/>
          <w:rFonts w:ascii="Times New Roman" w:hAnsi="Times New Roman"/>
          <w:lang w:val="en-US"/>
        </w:rPr>
        <w:footnoteReference w:id="38"/>
      </w:r>
    </w:p>
    <w:p w14:paraId="73DA16DC" w14:textId="77777777" w:rsidR="006E3FC2" w:rsidRPr="005B6084" w:rsidRDefault="006E3FC2" w:rsidP="00364DDE">
      <w:pPr>
        <w:autoSpaceDE w:val="0"/>
        <w:autoSpaceDN w:val="0"/>
        <w:adjustRightInd w:val="0"/>
        <w:spacing w:after="120" w:line="360" w:lineRule="exact"/>
        <w:ind w:firstLine="567"/>
        <w:jc w:val="both"/>
        <w:rPr>
          <w:rFonts w:ascii="Times New Roman" w:hAnsi="Times New Roman"/>
          <w:sz w:val="24"/>
          <w:szCs w:val="24"/>
          <w:lang w:val="en-US"/>
        </w:rPr>
      </w:pPr>
    </w:p>
    <w:p w14:paraId="10ABE9EA" w14:textId="0AF50528" w:rsidR="006E3FC2" w:rsidRPr="005B6084" w:rsidRDefault="006E3FC2" w:rsidP="008C5A96">
      <w:pPr>
        <w:pStyle w:val="P"/>
        <w:spacing w:after="120" w:line="360" w:lineRule="exact"/>
        <w:ind w:firstLine="567"/>
        <w:jc w:val="both"/>
      </w:pPr>
      <w:r w:rsidRPr="005B6084">
        <w:rPr>
          <w:rFonts w:eastAsia="SimSun"/>
          <w:lang w:eastAsia="it-IT"/>
        </w:rPr>
        <w:t>The Court</w:t>
      </w:r>
      <w:r w:rsidR="00742282" w:rsidRPr="005B6084">
        <w:rPr>
          <w:rFonts w:eastAsia="SimSun"/>
          <w:lang w:eastAsia="it-IT"/>
        </w:rPr>
        <w:t>’s observations were made against the backdrop of</w:t>
      </w:r>
      <w:r w:rsidRPr="005B6084">
        <w:rPr>
          <w:rFonts w:eastAsia="SimSun"/>
          <w:lang w:eastAsia="it-IT"/>
        </w:rPr>
        <w:t xml:space="preserve"> the secrecy that surrounded the US and Nicaraguan covert operations in </w:t>
      </w:r>
      <w:proofErr w:type="gramStart"/>
      <w:r w:rsidRPr="005B6084">
        <w:rPr>
          <w:rFonts w:eastAsia="SimSun"/>
          <w:lang w:eastAsia="it-IT"/>
        </w:rPr>
        <w:t>central</w:t>
      </w:r>
      <w:proofErr w:type="gramEnd"/>
      <w:r w:rsidRPr="005B6084">
        <w:rPr>
          <w:rFonts w:eastAsia="SimSun"/>
          <w:lang w:eastAsia="it-IT"/>
        </w:rPr>
        <w:t xml:space="preserve"> America,</w:t>
      </w:r>
      <w:r w:rsidRPr="005B6084">
        <w:rPr>
          <w:rStyle w:val="Rimandonotaapidipagina"/>
          <w:rFonts w:eastAsia="SimSun"/>
          <w:lang w:eastAsia="it-IT"/>
        </w:rPr>
        <w:footnoteReference w:id="39"/>
      </w:r>
      <w:r w:rsidRPr="005B6084">
        <w:rPr>
          <w:rFonts w:eastAsia="SimSun"/>
          <w:lang w:eastAsia="it-IT"/>
        </w:rPr>
        <w:t xml:space="preserve"> which is also a quintessential characteristic of cyber operations. In this context too, then, it is likely that evidence will be </w:t>
      </w:r>
      <w:r w:rsidR="00742282" w:rsidRPr="005B6084">
        <w:rPr>
          <w:rFonts w:eastAsia="SimSun"/>
          <w:lang w:eastAsia="it-IT"/>
        </w:rPr>
        <w:t>required both to establish to material elements of the wrongful act and to establish its attribution</w:t>
      </w:r>
      <w:r w:rsidRPr="005B6084">
        <w:rPr>
          <w:rFonts w:eastAsia="SimSun"/>
          <w:lang w:eastAsia="it-IT"/>
        </w:rPr>
        <w:t xml:space="preserve">. It is still unclear, for instance, not only who is responsible for </w:t>
      </w:r>
      <w:proofErr w:type="spellStart"/>
      <w:r w:rsidRPr="005B6084">
        <w:rPr>
          <w:rFonts w:eastAsia="SimSun"/>
          <w:lang w:eastAsia="it-IT"/>
        </w:rPr>
        <w:t>Stuxnet</w:t>
      </w:r>
      <w:proofErr w:type="spellEnd"/>
      <w:r w:rsidRPr="005B6084">
        <w:rPr>
          <w:rFonts w:eastAsia="SimSun"/>
          <w:lang w:eastAsia="it-IT"/>
        </w:rPr>
        <w:t xml:space="preserve">, but also whether the worm caused any damage and, if so, to what extent, which is essential </w:t>
      </w:r>
      <w:r w:rsidR="002567F5" w:rsidRPr="005B6084">
        <w:rPr>
          <w:rFonts w:eastAsia="SimSun"/>
          <w:lang w:eastAsia="it-IT"/>
        </w:rPr>
        <w:t xml:space="preserve">in order </w:t>
      </w:r>
      <w:r w:rsidRPr="005B6084">
        <w:rPr>
          <w:rFonts w:eastAsia="SimSun"/>
          <w:lang w:eastAsia="it-IT"/>
        </w:rPr>
        <w:t xml:space="preserve">to establish whether the cyber operation amounted to a use of force and, more importantly, whether it was an armed attack entitling the </w:t>
      </w:r>
      <w:r w:rsidR="00D36BA2" w:rsidRPr="005B6084">
        <w:rPr>
          <w:rFonts w:eastAsia="SimSun"/>
          <w:lang w:eastAsia="it-IT"/>
        </w:rPr>
        <w:t>victim</w:t>
      </w:r>
      <w:r w:rsidRPr="005B6084">
        <w:rPr>
          <w:rFonts w:eastAsia="SimSun"/>
          <w:lang w:eastAsia="it-IT"/>
        </w:rPr>
        <w:t xml:space="preserve"> state to </w:t>
      </w:r>
      <w:proofErr w:type="spellStart"/>
      <w:r w:rsidRPr="005B6084">
        <w:rPr>
          <w:rFonts w:eastAsia="SimSun"/>
          <w:lang w:eastAsia="it-IT"/>
        </w:rPr>
        <w:t>self-defence</w:t>
      </w:r>
      <w:proofErr w:type="spellEnd"/>
      <w:r w:rsidRPr="005B6084">
        <w:rPr>
          <w:rFonts w:eastAsia="SimSun"/>
          <w:lang w:eastAsia="it-IT"/>
        </w:rPr>
        <w:t>.</w:t>
      </w:r>
      <w:r w:rsidR="00D92B7F" w:rsidRPr="005B6084">
        <w:rPr>
          <w:rStyle w:val="Rimandonotaapidipagina"/>
          <w:rFonts w:eastAsia="SimSun"/>
          <w:lang w:eastAsia="it-IT"/>
        </w:rPr>
        <w:footnoteReference w:id="40"/>
      </w:r>
      <w:r w:rsidRPr="005B6084">
        <w:rPr>
          <w:rFonts w:eastAsia="SimSun"/>
          <w:lang w:eastAsia="it-IT"/>
        </w:rPr>
        <w:t xml:space="preserve"> </w:t>
      </w:r>
      <w:proofErr w:type="gramStart"/>
      <w:r w:rsidRPr="005B6084">
        <w:rPr>
          <w:rFonts w:eastAsia="SimSun"/>
          <w:lang w:eastAsia="it-IT"/>
        </w:rPr>
        <w:t xml:space="preserve">As to establishing the subjective element of the internationally wrongful act, what is peculiar to cyber operations is that </w:t>
      </w:r>
      <w:r w:rsidRPr="005B6084">
        <w:t xml:space="preserve">there are in fact three levels of evidence </w:t>
      </w:r>
      <w:r w:rsidR="00D36BA2" w:rsidRPr="005B6084">
        <w:t xml:space="preserve">that are </w:t>
      </w:r>
      <w:r w:rsidRPr="005B6084">
        <w:t xml:space="preserve">needed to attribute a </w:t>
      </w:r>
      <w:proofErr w:type="spellStart"/>
      <w:r w:rsidRPr="005B6084">
        <w:t>cyber operation</w:t>
      </w:r>
      <w:proofErr w:type="spellEnd"/>
      <w:r w:rsidRPr="005B6084">
        <w:t xml:space="preserve"> to a state: first, the computer(s) or server(s) from which the operations originate must be located; second</w:t>
      </w:r>
      <w:r w:rsidR="00D36BA2" w:rsidRPr="005B6084">
        <w:t>ly</w:t>
      </w:r>
      <w:r w:rsidRPr="005B6084">
        <w:t>, it is the individual that is behind the operation that needs to be identified; and third</w:t>
      </w:r>
      <w:r w:rsidR="00D36BA2" w:rsidRPr="005B6084">
        <w:t>ly</w:t>
      </w:r>
      <w:r w:rsidRPr="005B6084">
        <w:t xml:space="preserve">, what needs to be proved is that the individual acted on behalf of a state so </w:t>
      </w:r>
      <w:r w:rsidR="002567F5" w:rsidRPr="005B6084">
        <w:t xml:space="preserve">that </w:t>
      </w:r>
      <w:r w:rsidRPr="005B6084">
        <w:t xml:space="preserve">his or her conduct </w:t>
      </w:r>
      <w:r w:rsidR="002567F5" w:rsidRPr="005B6084">
        <w:t xml:space="preserve">is attributable </w:t>
      </w:r>
      <w:r w:rsidRPr="005B6084">
        <w:t>to it.</w:t>
      </w:r>
      <w:proofErr w:type="gramEnd"/>
    </w:p>
    <w:p w14:paraId="2E397061" w14:textId="10E6AE17" w:rsidR="006E3FC2" w:rsidRPr="005B6084" w:rsidRDefault="006E3FC2" w:rsidP="00364DDE">
      <w:pPr>
        <w:pStyle w:val="P"/>
        <w:spacing w:after="120" w:line="360" w:lineRule="exact"/>
        <w:ind w:firstLine="567"/>
        <w:jc w:val="both"/>
      </w:pPr>
      <w:r w:rsidRPr="005B6084">
        <w:t xml:space="preserve">This leads us to an important specification: the standard of proof </w:t>
      </w:r>
      <w:proofErr w:type="gramStart"/>
      <w:r w:rsidRPr="005B6084">
        <w:t>must be distinguished</w:t>
      </w:r>
      <w:proofErr w:type="gramEnd"/>
      <w:r w:rsidRPr="005B6084">
        <w:t xml:space="preserve"> from </w:t>
      </w:r>
      <w:r w:rsidR="002567F5" w:rsidRPr="005B6084">
        <w:t xml:space="preserve">the rules of </w:t>
      </w:r>
      <w:r w:rsidRPr="005B6084">
        <w:t xml:space="preserve">attribution. The former is ‘the </w:t>
      </w:r>
      <w:r w:rsidRPr="005B6084">
        <w:rPr>
          <w:i/>
        </w:rPr>
        <w:t>quantum</w:t>
      </w:r>
      <w:r w:rsidRPr="005B6084">
        <w:t xml:space="preserve"> of evidence necessary to substantiate the factual claims made by the parties.’</w:t>
      </w:r>
      <w:bookmarkStart w:id="13" w:name="_Ref389211489"/>
      <w:r w:rsidRPr="005B6084">
        <w:rPr>
          <w:rStyle w:val="Rimandonotaapidipagina"/>
        </w:rPr>
        <w:footnoteReference w:id="41"/>
      </w:r>
      <w:bookmarkEnd w:id="13"/>
      <w:r w:rsidRPr="005B6084">
        <w:t xml:space="preserve"> The latter, on the other hand, determine the level of connection that must exist between an individual or group of individuals and a state for the conduct of the individuals to </w:t>
      </w:r>
      <w:proofErr w:type="gramStart"/>
      <w:r w:rsidRPr="005B6084">
        <w:t>be attributed</w:t>
      </w:r>
      <w:proofErr w:type="gramEnd"/>
      <w:r w:rsidRPr="005B6084">
        <w:t xml:space="preserve"> to the </w:t>
      </w:r>
      <w:r w:rsidRPr="005B6084">
        <w:lastRenderedPageBreak/>
        <w:t xml:space="preserve">state at the international level. The rules </w:t>
      </w:r>
      <w:r w:rsidR="002567F5" w:rsidRPr="005B6084">
        <w:t xml:space="preserve">of attribution for the purposes of state responsibility </w:t>
      </w:r>
      <w:r w:rsidRPr="005B6084">
        <w:t xml:space="preserve">have been codified in the </w:t>
      </w:r>
      <w:r w:rsidR="002567F5" w:rsidRPr="005B6084">
        <w:t>P</w:t>
      </w:r>
      <w:r w:rsidRPr="005B6084">
        <w:t xml:space="preserve">art </w:t>
      </w:r>
      <w:proofErr w:type="gramStart"/>
      <w:r w:rsidR="002567F5" w:rsidRPr="005B6084">
        <w:t>One</w:t>
      </w:r>
      <w:proofErr w:type="gramEnd"/>
      <w:r w:rsidR="002567F5" w:rsidRPr="005B6084">
        <w:t xml:space="preserve"> </w:t>
      </w:r>
      <w:r w:rsidRPr="005B6084">
        <w:t xml:space="preserve">of the Articles on the Responsibility of States for Internationally Wrongful Acts </w:t>
      </w:r>
      <w:r w:rsidR="002567F5" w:rsidRPr="005B6084">
        <w:t xml:space="preserve">adopted by the International Law Commission (ILC), </w:t>
      </w:r>
      <w:r w:rsidR="00742282" w:rsidRPr="005B6084">
        <w:t>as well as having been articulated in the case-law of the ICJ</w:t>
      </w:r>
      <w:r w:rsidRPr="005B6084">
        <w:t>.</w:t>
      </w:r>
      <w:r w:rsidRPr="005B6084">
        <w:rPr>
          <w:rStyle w:val="Rimandonotaapidipagina"/>
        </w:rPr>
        <w:footnoteReference w:id="42"/>
      </w:r>
      <w:r w:rsidRPr="005B6084">
        <w:t xml:space="preserve"> Evidence according to the applicable standard </w:t>
      </w:r>
      <w:proofErr w:type="gramStart"/>
      <w:r w:rsidRPr="005B6084">
        <w:t>must be provided</w:t>
      </w:r>
      <w:proofErr w:type="gramEnd"/>
      <w:r w:rsidRPr="005B6084">
        <w:t xml:space="preserve"> to demonstrate that the attribution test has been satisfied: in </w:t>
      </w:r>
      <w:r w:rsidRPr="005B6084">
        <w:rPr>
          <w:i/>
        </w:rPr>
        <w:t>Nicaragua</w:t>
      </w:r>
      <w:r w:rsidRPr="005B6084">
        <w:t xml:space="preserve">, for instance, the ICJ had to </w:t>
      </w:r>
      <w:r w:rsidR="002567F5" w:rsidRPr="005B6084">
        <w:t xml:space="preserve">assess </w:t>
      </w:r>
      <w:r w:rsidRPr="005B6084">
        <w:t xml:space="preserve">whether there was sufficient evidence that the United States </w:t>
      </w:r>
      <w:r w:rsidR="002567F5" w:rsidRPr="005B6084">
        <w:t xml:space="preserve">had </w:t>
      </w:r>
      <w:r w:rsidRPr="005B6084">
        <w:t xml:space="preserve">exercised ‘effective control’ over the </w:t>
      </w:r>
      <w:r w:rsidRPr="005B6084">
        <w:rPr>
          <w:i/>
        </w:rPr>
        <w:t>contras</w:t>
      </w:r>
      <w:r w:rsidRPr="005B6084">
        <w:t xml:space="preserve"> so </w:t>
      </w:r>
      <w:r w:rsidR="002567F5" w:rsidRPr="005B6084">
        <w:t xml:space="preserve">that it could </w:t>
      </w:r>
      <w:r w:rsidRPr="005B6084">
        <w:t>be held responsible for their violations of international humanitarian law.</w:t>
      </w:r>
      <w:r w:rsidRPr="005B6084">
        <w:rPr>
          <w:rStyle w:val="Rimandonotaapidipagina"/>
        </w:rPr>
        <w:footnoteReference w:id="43"/>
      </w:r>
    </w:p>
    <w:p w14:paraId="6C98FFD1" w14:textId="77777777" w:rsidR="006E3FC2" w:rsidRPr="005B6084" w:rsidRDefault="006E3FC2" w:rsidP="00467E90">
      <w:pPr>
        <w:pStyle w:val="P"/>
        <w:spacing w:after="120" w:line="360" w:lineRule="exact"/>
        <w:ind w:firstLine="567"/>
        <w:jc w:val="both"/>
      </w:pPr>
      <w:r w:rsidRPr="005B6084">
        <w:t xml:space="preserve">The standard of proof </w:t>
      </w:r>
      <w:proofErr w:type="gramStart"/>
      <w:r w:rsidRPr="005B6084">
        <w:t>should also be distinguished</w:t>
      </w:r>
      <w:proofErr w:type="gramEnd"/>
      <w:r w:rsidRPr="005B6084">
        <w:t xml:space="preserve"> from the burden of proof. The latter does not determine how much evidence, and </w:t>
      </w:r>
      <w:r w:rsidR="002567F5" w:rsidRPr="005B6084">
        <w:t xml:space="preserve">of </w:t>
      </w:r>
      <w:r w:rsidRPr="005B6084">
        <w:t>what type, is necessary to prove the alleged facts, but merely identifies the litigant that must provide that evidence. In other words, the burden of proof is ‘the obligation on a party to show that they have sufficient evidence on an issue to raise it in a case’.</w:t>
      </w:r>
      <w:bookmarkStart w:id="14" w:name="_Ref389211532"/>
      <w:r w:rsidRPr="005B6084">
        <w:rPr>
          <w:rStyle w:val="Rimandonotaapidipagina"/>
        </w:rPr>
        <w:footnoteReference w:id="44"/>
      </w:r>
      <w:bookmarkEnd w:id="14"/>
      <w:r w:rsidR="00D36BA2" w:rsidRPr="005B6084">
        <w:t xml:space="preserve"> The burden of proof includes not only the ‘burden of persuasion’, but also the ‘burden of production’, i.e. to produce the relevant evidence before a court.</w:t>
      </w:r>
      <w:bookmarkStart w:id="15" w:name="_Ref389656491"/>
      <w:r w:rsidR="00D36BA2" w:rsidRPr="005B6084">
        <w:rPr>
          <w:rStyle w:val="Rimandonotaapidipagina"/>
        </w:rPr>
        <w:footnoteReference w:id="45"/>
      </w:r>
      <w:bookmarkEnd w:id="15"/>
    </w:p>
    <w:p w14:paraId="449AF92D" w14:textId="2C1F91F0" w:rsidR="006E3FC2" w:rsidRPr="005B6084" w:rsidRDefault="006E3FC2" w:rsidP="009068AC">
      <w:pPr>
        <w:pStyle w:val="P"/>
        <w:spacing w:after="120" w:line="360" w:lineRule="exact"/>
        <w:ind w:firstLine="567"/>
        <w:jc w:val="both"/>
      </w:pPr>
      <w:r w:rsidRPr="005B6084">
        <w:t xml:space="preserve">Evidence may be submitted not only to an international court or tribunal, but also to political organs (for instance to secure a </w:t>
      </w:r>
      <w:proofErr w:type="spellStart"/>
      <w:r w:rsidRPr="005B6084">
        <w:t>favourable</w:t>
      </w:r>
      <w:proofErr w:type="spellEnd"/>
      <w:r w:rsidRPr="005B6084">
        <w:t xml:space="preserve"> vote), or </w:t>
      </w:r>
      <w:r w:rsidR="00742282" w:rsidRPr="005B6084">
        <w:t>could be disseminated more widely for the purposes of influencing public opinion</w:t>
      </w:r>
      <w:r w:rsidRPr="005B6084">
        <w:t xml:space="preserve"> </w:t>
      </w:r>
      <w:r w:rsidR="00742282" w:rsidRPr="005B6084">
        <w:t xml:space="preserve">and </w:t>
      </w:r>
      <w:r w:rsidRPr="005B6084">
        <w:t>gain support for certain actions or inactions.</w:t>
      </w:r>
      <w:bookmarkStart w:id="16" w:name="_Ref383697438"/>
      <w:r w:rsidRPr="005B6084">
        <w:rPr>
          <w:rStyle w:val="Rimandonotaapidipagina"/>
        </w:rPr>
        <w:footnoteReference w:id="46"/>
      </w:r>
      <w:bookmarkEnd w:id="16"/>
      <w:r w:rsidRPr="005B6084">
        <w:t xml:space="preserve"> One could recall the evidence presented by the Reagan </w:t>
      </w:r>
      <w:r w:rsidRPr="005B6084">
        <w:lastRenderedPageBreak/>
        <w:t xml:space="preserve">Administration before the UN Security Council to justify its 1986 strike on Tripoli as a measure of </w:t>
      </w:r>
      <w:proofErr w:type="spellStart"/>
      <w:r w:rsidRPr="005B6084">
        <w:t>self-defence</w:t>
      </w:r>
      <w:proofErr w:type="spellEnd"/>
      <w:r w:rsidRPr="005B6084">
        <w:t>.</w:t>
      </w:r>
      <w:r w:rsidRPr="005B6084">
        <w:rPr>
          <w:rStyle w:val="Rimandonotaapidipagina"/>
        </w:rPr>
        <w:footnoteReference w:id="47"/>
      </w:r>
      <w:r w:rsidRPr="005B6084">
        <w:t xml:space="preserve"> </w:t>
      </w:r>
      <w:r w:rsidRPr="005B6084">
        <w:rPr>
          <w:lang w:eastAsia="it-IT"/>
        </w:rPr>
        <w:t xml:space="preserve">When justifying its 2001 armed operation against Afghanistan, the US Permanent Representative to the United Nations referred to the fact that the US government had ‘clear and compelling information that the Al-Qaeda organization, which is supported by the Taliban regime in Afghanistan, had a central role in the [11 September </w:t>
      </w:r>
      <w:r w:rsidR="002840D1" w:rsidRPr="005B6084">
        <w:rPr>
          <w:lang w:eastAsia="it-IT"/>
        </w:rPr>
        <w:t>2001] attacks</w:t>
      </w:r>
      <w:r w:rsidRPr="005B6084">
        <w:rPr>
          <w:lang w:eastAsia="it-IT"/>
        </w:rPr>
        <w:t>’</w:t>
      </w:r>
      <w:r w:rsidR="002840D1" w:rsidRPr="005B6084">
        <w:rPr>
          <w:lang w:eastAsia="it-IT"/>
        </w:rPr>
        <w:t>, without however going into further details.</w:t>
      </w:r>
      <w:r w:rsidRPr="005B6084">
        <w:rPr>
          <w:rStyle w:val="Rimandonotaapidipagina"/>
          <w:lang w:eastAsia="it-IT"/>
        </w:rPr>
        <w:footnoteReference w:id="48"/>
      </w:r>
      <w:r w:rsidRPr="005B6084">
        <w:rPr>
          <w:lang w:eastAsia="it-IT"/>
        </w:rPr>
        <w:t xml:space="preserve"> The </w:t>
      </w:r>
      <w:proofErr w:type="gramStart"/>
      <w:r w:rsidRPr="005B6084">
        <w:rPr>
          <w:lang w:eastAsia="it-IT"/>
        </w:rPr>
        <w:t xml:space="preserve">same language was used by </w:t>
      </w:r>
      <w:r w:rsidR="00E3416C" w:rsidRPr="005B6084">
        <w:rPr>
          <w:lang w:eastAsia="it-IT"/>
        </w:rPr>
        <w:t xml:space="preserve">the </w:t>
      </w:r>
      <w:r w:rsidRPr="005B6084">
        <w:rPr>
          <w:lang w:eastAsia="it-IT"/>
        </w:rPr>
        <w:t>Secretary-General</w:t>
      </w:r>
      <w:r w:rsidR="00E3416C" w:rsidRPr="005B6084">
        <w:rPr>
          <w:lang w:eastAsia="it-IT"/>
        </w:rPr>
        <w:t xml:space="preserve"> of NATO</w:t>
      </w:r>
      <w:proofErr w:type="gramEnd"/>
      <w:r w:rsidRPr="005B6084">
        <w:rPr>
          <w:lang w:eastAsia="it-IT"/>
        </w:rPr>
        <w:t>.</w:t>
      </w:r>
      <w:r w:rsidRPr="005B6084">
        <w:rPr>
          <w:rStyle w:val="Rimandonotaapidipagina"/>
          <w:lang w:eastAsia="it-IT"/>
        </w:rPr>
        <w:footnoteReference w:id="49"/>
      </w:r>
      <w:r w:rsidRPr="005B6084">
        <w:rPr>
          <w:lang w:eastAsia="it-IT"/>
        </w:rPr>
        <w:t xml:space="preserve"> </w:t>
      </w:r>
      <w:r w:rsidR="00FD6BF6" w:rsidRPr="005B6084">
        <w:rPr>
          <w:lang w:eastAsia="it-IT"/>
        </w:rPr>
        <w:t>E</w:t>
      </w:r>
      <w:r w:rsidRPr="005B6084">
        <w:rPr>
          <w:lang w:eastAsia="it-IT"/>
        </w:rPr>
        <w:t xml:space="preserve">vidence was also famously one of the </w:t>
      </w:r>
      <w:r w:rsidR="00FD6BF6" w:rsidRPr="005B6084">
        <w:rPr>
          <w:lang w:eastAsia="it-IT"/>
        </w:rPr>
        <w:t xml:space="preserve">controversial aspects of </w:t>
      </w:r>
      <w:r w:rsidRPr="005B6084">
        <w:rPr>
          <w:lang w:eastAsia="it-IT"/>
        </w:rPr>
        <w:t>the 2003 US/UK intervention against Iraq.</w:t>
      </w:r>
      <w:r w:rsidRPr="005B6084">
        <w:rPr>
          <w:rStyle w:val="Rimandonotaapidipagina"/>
        </w:rPr>
        <w:footnoteReference w:id="50"/>
      </w:r>
      <w:r w:rsidRPr="005B6084">
        <w:rPr>
          <w:lang w:eastAsia="it-IT"/>
        </w:rPr>
        <w:t xml:space="preserve"> More recently, in the context of the proposed intervention to react against the use of chemical weapons in Syria, President Obama stated that attacking another country without a UN mandate and without ‘clear evidence that can be presented’ would raise questions of international law.</w:t>
      </w:r>
      <w:r w:rsidRPr="005B6084">
        <w:rPr>
          <w:rStyle w:val="Rimandonotaapidipagina"/>
          <w:rFonts w:eastAsia="SimSun"/>
          <w:lang w:eastAsia="it-IT"/>
        </w:rPr>
        <w:footnoteReference w:id="51"/>
      </w:r>
      <w:r w:rsidRPr="005B6084">
        <w:rPr>
          <w:lang w:eastAsia="it-IT"/>
        </w:rPr>
        <w:t xml:space="preserve"> </w:t>
      </w:r>
      <w:r w:rsidRPr="005B6084">
        <w:t xml:space="preserve">The political or judicial relevance of evidence may relate to the different phases of the same international dispute. For instance, the state invoking the right of </w:t>
      </w:r>
      <w:proofErr w:type="spellStart"/>
      <w:r w:rsidRPr="005B6084">
        <w:t>self-defence</w:t>
      </w:r>
      <w:proofErr w:type="spellEnd"/>
      <w:r w:rsidRPr="005B6084">
        <w:t xml:space="preserve"> against an armed attack by another state will normally try to justify the exercise of this right first before the international community and public opinion by providing evidence of the occurrence (or imminent occurrence) of the armed attack and of its attribution to the target state. </w:t>
      </w:r>
      <w:proofErr w:type="gramStart"/>
      <w:r w:rsidRPr="005B6084">
        <w:t xml:space="preserve">If, as in the case of the </w:t>
      </w:r>
      <w:r w:rsidRPr="005B6084">
        <w:rPr>
          <w:i/>
        </w:rPr>
        <w:t>Military and paramilitary activities in and against Nicaragua</w:t>
      </w:r>
      <w:r w:rsidRPr="005B6084">
        <w:t xml:space="preserve">, a state subsequently brings the case before an international court </w:t>
      </w:r>
      <w:r w:rsidR="00E3416C" w:rsidRPr="005B6084">
        <w:t xml:space="preserve">which has </w:t>
      </w:r>
      <w:r w:rsidRPr="005B6084">
        <w:t xml:space="preserve">jurisdiction over the case, </w:t>
      </w:r>
      <w:r w:rsidR="00E3416C" w:rsidRPr="005B6084">
        <w:t xml:space="preserve">the </w:t>
      </w:r>
      <w:r w:rsidRPr="005B6084">
        <w:t>eviden</w:t>
      </w:r>
      <w:r w:rsidR="00D36BA2" w:rsidRPr="005B6084">
        <w:t>ce will have to be assessed by that</w:t>
      </w:r>
      <w:r w:rsidRPr="005B6084">
        <w:t xml:space="preserve"> court in order to establish international responsibility and its consequences, and in particular whether the requirements for the exercise of </w:t>
      </w:r>
      <w:proofErr w:type="spellStart"/>
      <w:r w:rsidRPr="005B6084">
        <w:t>self-defence</w:t>
      </w:r>
      <w:proofErr w:type="spellEnd"/>
      <w:r w:rsidRPr="005B6084">
        <w:t xml:space="preserve"> were met.</w:t>
      </w:r>
      <w:proofErr w:type="gramEnd"/>
    </w:p>
    <w:p w14:paraId="0855FDC1" w14:textId="6C92F73E" w:rsidR="006E3FC2" w:rsidRPr="005B6084" w:rsidRDefault="00D92B7F" w:rsidP="00AB643A">
      <w:pPr>
        <w:pStyle w:val="P"/>
        <w:spacing w:after="120" w:line="360" w:lineRule="exact"/>
        <w:ind w:firstLine="567"/>
        <w:jc w:val="both"/>
      </w:pPr>
      <w:r w:rsidRPr="005B6084">
        <w:lastRenderedPageBreak/>
        <w:t>The problem is that there is</w:t>
      </w:r>
      <w:r w:rsidR="006E3FC2" w:rsidRPr="005B6084">
        <w:t xml:space="preserve"> no </w:t>
      </w:r>
      <w:r w:rsidR="00535F8C" w:rsidRPr="005B6084">
        <w:t>uniform body</w:t>
      </w:r>
      <w:r w:rsidR="006E3FC2" w:rsidRPr="005B6084">
        <w:t xml:space="preserve"> of rules on the production of evidence in international law.</w:t>
      </w:r>
      <w:bookmarkStart w:id="17" w:name="_Ref389206084"/>
      <w:r w:rsidR="006E3FC2" w:rsidRPr="005B6084">
        <w:rPr>
          <w:rStyle w:val="Rimandonotaapidipagina"/>
        </w:rPr>
        <w:footnoteReference w:id="52"/>
      </w:r>
      <w:bookmarkEnd w:id="17"/>
      <w:r w:rsidR="006E3FC2" w:rsidRPr="005B6084">
        <w:t xml:space="preserve"> There is no treaty provision that regulates evidentiary issues in non-judicial contexts and it is doubtful that international law has developed customary rules in that sense.</w:t>
      </w:r>
      <w:r w:rsidR="00EC617E" w:rsidRPr="005B6084">
        <w:t xml:space="preserve"> </w:t>
      </w:r>
      <w:r w:rsidRPr="005B6084">
        <w:t xml:space="preserve">As to the production of evidence in </w:t>
      </w:r>
      <w:r w:rsidR="003C5A1A" w:rsidRPr="005B6084">
        <w:t>inter-state</w:t>
      </w:r>
      <w:r w:rsidRPr="005B6084">
        <w:t xml:space="preserve"> litigation,</w:t>
      </w:r>
      <w:r w:rsidR="006E3FC2" w:rsidRPr="005B6084">
        <w:t xml:space="preserve"> international court</w:t>
      </w:r>
      <w:r w:rsidRPr="005B6084">
        <w:t>s</w:t>
      </w:r>
      <w:r w:rsidR="00FD6BF6" w:rsidRPr="005B6084">
        <w:t>, at least those of a non-criminal nature,</w:t>
      </w:r>
      <w:r w:rsidRPr="005B6084">
        <w:t xml:space="preserve"> </w:t>
      </w:r>
      <w:r w:rsidR="00CD3B95" w:rsidRPr="005B6084">
        <w:t xml:space="preserve">normally </w:t>
      </w:r>
      <w:r w:rsidRPr="005B6084">
        <w:t>determine</w:t>
      </w:r>
      <w:r w:rsidR="006E3FC2" w:rsidRPr="005B6084">
        <w:t xml:space="preserve"> </w:t>
      </w:r>
      <w:r w:rsidRPr="005B6084">
        <w:t>their</w:t>
      </w:r>
      <w:r w:rsidR="006E3FC2" w:rsidRPr="005B6084">
        <w:t xml:space="preserve"> own standards</w:t>
      </w:r>
      <w:r w:rsidRPr="005B6084">
        <w:t xml:space="preserve"> in each case</w:t>
      </w:r>
      <w:r w:rsidR="006E3FC2" w:rsidRPr="005B6084">
        <w:t xml:space="preserve">, which may considerably differ according to the nature of the court or the case under examination. </w:t>
      </w:r>
      <w:proofErr w:type="gramStart"/>
      <w:r w:rsidR="006E3FC2" w:rsidRPr="005B6084">
        <w:t xml:space="preserve">As it is not possible to identify </w:t>
      </w:r>
      <w:r w:rsidR="00D36BA2" w:rsidRPr="005B6084">
        <w:t>uniform</w:t>
      </w:r>
      <w:r w:rsidR="006E3FC2" w:rsidRPr="005B6084">
        <w:t xml:space="preserve"> evidentiary rules applicable in all cases and </w:t>
      </w:r>
      <w:r w:rsidR="00D36BA2" w:rsidRPr="005B6084">
        <w:t xml:space="preserve">before </w:t>
      </w:r>
      <w:r w:rsidR="006E3FC2" w:rsidRPr="005B6084">
        <w:t xml:space="preserve">all international courts, this article will focus on proceedings before the ICJ: this is because the ICJ is the main UN judicial organ </w:t>
      </w:r>
      <w:r w:rsidR="00287AAA" w:rsidRPr="005B6084">
        <w:t xml:space="preserve">which deals, if the involved states have consented to its jurisdiction, </w:t>
      </w:r>
      <w:r w:rsidR="00AE2F81" w:rsidRPr="005B6084">
        <w:t xml:space="preserve">with </w:t>
      </w:r>
      <w:r w:rsidR="00CD3B95" w:rsidRPr="005B6084">
        <w:t xml:space="preserve">claims of </w:t>
      </w:r>
      <w:r w:rsidR="00287AAA" w:rsidRPr="005B6084">
        <w:t>state responsibility arising from the violation of any primary norm of international law</w:t>
      </w:r>
      <w:r w:rsidR="006E3FC2" w:rsidRPr="005B6084">
        <w:t>.</w:t>
      </w:r>
      <w:proofErr w:type="gramEnd"/>
      <w:r w:rsidR="006E3FC2" w:rsidRPr="005B6084">
        <w:t xml:space="preserve"> Our overall purpose is to establish whether rules on evidence may be id</w:t>
      </w:r>
      <w:r w:rsidR="00CD3B95" w:rsidRPr="005B6084">
        <w:t xml:space="preserve">entified </w:t>
      </w:r>
      <w:r w:rsidR="0056649C" w:rsidRPr="005B6084">
        <w:t xml:space="preserve">that would apply to </w:t>
      </w:r>
      <w:r w:rsidR="00CD3B95" w:rsidRPr="005B6084">
        <w:t>claims in inter-state judicial proceedings seeking remedies for damage caused by</w:t>
      </w:r>
      <w:r w:rsidR="0056649C" w:rsidRPr="005B6084">
        <w:t xml:space="preserve"> cyber operations.</w:t>
      </w:r>
      <w:r w:rsidR="006E3FC2" w:rsidRPr="005B6084">
        <w:t xml:space="preserve"> It should be borne in mind, however, that the conclusions reached with regard to the ICJ only apply to it and </w:t>
      </w:r>
      <w:proofErr w:type="gramStart"/>
      <w:r w:rsidR="006E3FC2" w:rsidRPr="005B6084">
        <w:t xml:space="preserve">could </w:t>
      </w:r>
      <w:r w:rsidR="00287AAA" w:rsidRPr="005B6084">
        <w:t>not automatically</w:t>
      </w:r>
      <w:r w:rsidR="006E3FC2" w:rsidRPr="005B6084">
        <w:t xml:space="preserve"> be extended</w:t>
      </w:r>
      <w:proofErr w:type="gramEnd"/>
      <w:r w:rsidR="006E3FC2" w:rsidRPr="005B6084">
        <w:t xml:space="preserve"> to </w:t>
      </w:r>
      <w:r w:rsidR="00287AAA" w:rsidRPr="005B6084">
        <w:t>other international</w:t>
      </w:r>
      <w:r w:rsidR="006E3FC2" w:rsidRPr="005B6084">
        <w:t xml:space="preserve"> </w:t>
      </w:r>
      <w:r w:rsidR="00287AAA" w:rsidRPr="005B6084">
        <w:t>courts.</w:t>
      </w:r>
    </w:p>
    <w:p w14:paraId="65F496C0" w14:textId="535A8F42" w:rsidR="006E3FC2" w:rsidRPr="005B6084" w:rsidRDefault="006E3FC2" w:rsidP="00EC3285">
      <w:pPr>
        <w:pStyle w:val="P"/>
        <w:spacing w:after="120" w:line="360" w:lineRule="exact"/>
        <w:ind w:firstLine="567"/>
        <w:jc w:val="both"/>
      </w:pPr>
      <w:r w:rsidRPr="005B6084">
        <w:t>Rules on the production of evidence before the ICJ are contained in the ICJ Statute, the Rules of Court</w:t>
      </w:r>
      <w:r w:rsidR="00AE2F81" w:rsidRPr="005B6084">
        <w:t xml:space="preserve"> (adopted in 1978)</w:t>
      </w:r>
      <w:r w:rsidRPr="005B6084">
        <w:t>, and Practice Directions for use by states appearing before the Court, first adopted in 2001</w:t>
      </w:r>
      <w:r w:rsidR="00287AAA" w:rsidRPr="005B6084">
        <w:t xml:space="preserve"> and</w:t>
      </w:r>
      <w:r w:rsidR="00CD3B95" w:rsidRPr="005B6084">
        <w:t xml:space="preserve"> </w:t>
      </w:r>
      <w:r w:rsidR="00287AAA" w:rsidRPr="005B6084">
        <w:t>subsequently amended</w:t>
      </w:r>
      <w:r w:rsidRPr="005B6084">
        <w:t xml:space="preserve">. In the following pages, the relevant rules on evidentiary issues contained in </w:t>
      </w:r>
      <w:r w:rsidR="00CD3B95" w:rsidRPr="005B6084">
        <w:t>those documents</w:t>
      </w:r>
      <w:r w:rsidRPr="005B6084">
        <w:t xml:space="preserve">, as well as those elaborated by the Court in its jurisprudence, </w:t>
      </w:r>
      <w:proofErr w:type="gramStart"/>
      <w:r w:rsidRPr="005B6084">
        <w:t>will be applied</w:t>
      </w:r>
      <w:proofErr w:type="gramEnd"/>
      <w:r w:rsidRPr="005B6084">
        <w:t xml:space="preserve"> to allegations </w:t>
      </w:r>
      <w:r w:rsidR="0056649C" w:rsidRPr="005B6084">
        <w:t>related</w:t>
      </w:r>
      <w:r w:rsidRPr="005B6084">
        <w:t xml:space="preserve"> to cyber operations.</w:t>
      </w:r>
    </w:p>
    <w:p w14:paraId="73482215" w14:textId="77777777" w:rsidR="006E3FC2" w:rsidRPr="005B6084" w:rsidRDefault="006E3FC2" w:rsidP="009068AC">
      <w:pPr>
        <w:pStyle w:val="P"/>
        <w:spacing w:after="120" w:line="360" w:lineRule="exact"/>
        <w:jc w:val="both"/>
      </w:pPr>
    </w:p>
    <w:p w14:paraId="315073C5" w14:textId="77777777" w:rsidR="006E3FC2" w:rsidRPr="005B6084" w:rsidRDefault="006E3FC2" w:rsidP="002D361A">
      <w:pPr>
        <w:pStyle w:val="P"/>
        <w:spacing w:after="120" w:line="360" w:lineRule="exact"/>
        <w:jc w:val="both"/>
        <w:outlineLvl w:val="0"/>
        <w:rPr>
          <w:b/>
        </w:rPr>
      </w:pPr>
      <w:r w:rsidRPr="005B6084">
        <w:rPr>
          <w:b/>
        </w:rPr>
        <w:t>3. Burden of proof and cyber operations</w:t>
      </w:r>
    </w:p>
    <w:p w14:paraId="76761505" w14:textId="77777777" w:rsidR="006E3FC2" w:rsidRPr="005B6084" w:rsidRDefault="006E3FC2" w:rsidP="003859CB">
      <w:pPr>
        <w:autoSpaceDE w:val="0"/>
        <w:autoSpaceDN w:val="0"/>
        <w:adjustRightInd w:val="0"/>
        <w:spacing w:after="120" w:line="360" w:lineRule="exact"/>
        <w:ind w:firstLine="567"/>
        <w:jc w:val="both"/>
        <w:rPr>
          <w:rFonts w:ascii="Times New Roman" w:hAnsi="Times New Roman"/>
          <w:sz w:val="24"/>
          <w:szCs w:val="24"/>
          <w:lang w:val="en-US"/>
        </w:rPr>
      </w:pPr>
    </w:p>
    <w:p w14:paraId="2B115375" w14:textId="5436C02D" w:rsidR="006E3FC2" w:rsidRPr="005B6084" w:rsidRDefault="00D771A7" w:rsidP="00C7551A">
      <w:pPr>
        <w:pStyle w:val="PI"/>
        <w:spacing w:after="120" w:line="360" w:lineRule="exact"/>
        <w:ind w:firstLine="0"/>
        <w:jc w:val="both"/>
      </w:pPr>
      <w:r w:rsidRPr="005B6084">
        <w:t xml:space="preserve">The burden of proof </w:t>
      </w:r>
      <w:r w:rsidR="006E3FC2" w:rsidRPr="005B6084">
        <w:t>identifies the litigant that has the onus of meeting the standard of proof</w:t>
      </w:r>
      <w:r w:rsidR="004F30C0" w:rsidRPr="005B6084">
        <w:t xml:space="preserve"> by providing the necessary evidence</w:t>
      </w:r>
      <w:r w:rsidR="006E3FC2" w:rsidRPr="005B6084">
        <w:t>.</w:t>
      </w:r>
      <w:bookmarkStart w:id="18" w:name="_Ref383854616"/>
      <w:r w:rsidR="006E3FC2" w:rsidRPr="005B6084">
        <w:rPr>
          <w:rStyle w:val="Rimandonotaapidipagina"/>
        </w:rPr>
        <w:footnoteReference w:id="53"/>
      </w:r>
      <w:bookmarkEnd w:id="18"/>
      <w:r w:rsidR="006E3FC2" w:rsidRPr="005B6084">
        <w:t xml:space="preserve"> Once the burden </w:t>
      </w:r>
      <w:proofErr w:type="gramStart"/>
      <w:r w:rsidR="006E3FC2" w:rsidRPr="005B6084">
        <w:t>has been discharged</w:t>
      </w:r>
      <w:proofErr w:type="gramEnd"/>
      <w:r w:rsidR="006E3FC2" w:rsidRPr="005B6084">
        <w:t xml:space="preserve"> according to the appropriate standard, </w:t>
      </w:r>
      <w:r w:rsidR="00445206" w:rsidRPr="005B6084">
        <w:t xml:space="preserve">the burden </w:t>
      </w:r>
      <w:r w:rsidR="006E3FC2" w:rsidRPr="005B6084">
        <w:t xml:space="preserve">shifts </w:t>
      </w:r>
      <w:r w:rsidR="00445206" w:rsidRPr="005B6084">
        <w:t xml:space="preserve">to </w:t>
      </w:r>
      <w:r w:rsidR="006E3FC2" w:rsidRPr="005B6084">
        <w:t xml:space="preserve">the other litigant, who has to prove the contrary. </w:t>
      </w:r>
      <w:proofErr w:type="gramStart"/>
      <w:r w:rsidR="006E3FC2" w:rsidRPr="005B6084">
        <w:t>It is normally the party that relies upon a certain fact that is required to prove it</w:t>
      </w:r>
      <w:proofErr w:type="gramEnd"/>
      <w:r w:rsidR="006E3FC2" w:rsidRPr="005B6084">
        <w:t xml:space="preserve"> (the principle</w:t>
      </w:r>
      <w:r w:rsidR="00445206" w:rsidRPr="005B6084">
        <w:t>,</w:t>
      </w:r>
      <w:r w:rsidR="006E3FC2" w:rsidRPr="005B6084">
        <w:t xml:space="preserve"> </w:t>
      </w:r>
      <w:r w:rsidR="00445206" w:rsidRPr="005B6084">
        <w:t xml:space="preserve">deriving from Roman law, </w:t>
      </w:r>
      <w:r w:rsidR="006E3FC2" w:rsidRPr="005B6084">
        <w:rPr>
          <w:i/>
        </w:rPr>
        <w:t xml:space="preserve">onus </w:t>
      </w:r>
      <w:proofErr w:type="spellStart"/>
      <w:r w:rsidR="006E3FC2" w:rsidRPr="005B6084">
        <w:rPr>
          <w:i/>
        </w:rPr>
        <w:t>probandi</w:t>
      </w:r>
      <w:proofErr w:type="spellEnd"/>
      <w:r w:rsidR="006E3FC2" w:rsidRPr="005B6084">
        <w:rPr>
          <w:i/>
        </w:rPr>
        <w:t xml:space="preserve"> </w:t>
      </w:r>
      <w:proofErr w:type="spellStart"/>
      <w:r w:rsidR="006E3FC2" w:rsidRPr="005B6084">
        <w:rPr>
          <w:i/>
        </w:rPr>
        <w:t>incumbit</w:t>
      </w:r>
      <w:proofErr w:type="spellEnd"/>
      <w:r w:rsidR="006E3FC2" w:rsidRPr="005B6084">
        <w:rPr>
          <w:i/>
        </w:rPr>
        <w:t xml:space="preserve"> </w:t>
      </w:r>
      <w:proofErr w:type="spellStart"/>
      <w:r w:rsidR="006E3FC2" w:rsidRPr="005B6084">
        <w:rPr>
          <w:i/>
        </w:rPr>
        <w:t>actori</w:t>
      </w:r>
      <w:proofErr w:type="spellEnd"/>
      <w:r w:rsidR="006E3FC2" w:rsidRPr="005B6084">
        <w:t>).</w:t>
      </w:r>
      <w:bookmarkStart w:id="19" w:name="_Ref383705089"/>
      <w:r w:rsidR="006E3FC2" w:rsidRPr="005B6084">
        <w:rPr>
          <w:rStyle w:val="Rimandonotaapidipagina"/>
        </w:rPr>
        <w:footnoteReference w:id="54"/>
      </w:r>
      <w:bookmarkEnd w:id="19"/>
      <w:r w:rsidR="006E3FC2" w:rsidRPr="005B6084">
        <w:t xml:space="preserve"> This general principle of law, invoked consistently by the ICJ and other international </w:t>
      </w:r>
      <w:r w:rsidR="006E3FC2" w:rsidRPr="005B6084">
        <w:lastRenderedPageBreak/>
        <w:t>courts and tribunals,</w:t>
      </w:r>
      <w:bookmarkStart w:id="20" w:name="_Ref389205025"/>
      <w:r w:rsidR="006E3FC2" w:rsidRPr="005B6084">
        <w:rPr>
          <w:rStyle w:val="Rimandonotaapidipagina"/>
        </w:rPr>
        <w:footnoteReference w:id="55"/>
      </w:r>
      <w:bookmarkEnd w:id="20"/>
      <w:r w:rsidR="006E3FC2" w:rsidRPr="005B6084">
        <w:t xml:space="preserve"> </w:t>
      </w:r>
      <w:r w:rsidR="006E3FC2" w:rsidRPr="005B6084">
        <w:rPr>
          <w:lang w:eastAsia="it-IT"/>
        </w:rPr>
        <w:t>‘applies to the assertions of fact both by the Applicant and the Respondent’.</w:t>
      </w:r>
      <w:bookmarkStart w:id="21" w:name="_Ref383515176"/>
      <w:r w:rsidR="006E3FC2" w:rsidRPr="005B6084">
        <w:rPr>
          <w:rStyle w:val="Rimandonotaapidipagina"/>
          <w:lang w:eastAsia="it-IT"/>
        </w:rPr>
        <w:footnoteReference w:id="56"/>
      </w:r>
      <w:bookmarkEnd w:id="21"/>
      <w:r w:rsidR="006E3FC2" w:rsidRPr="005B6084">
        <w:t xml:space="preserve"> </w:t>
      </w:r>
      <w:r w:rsidR="00445206" w:rsidRPr="005B6084">
        <w:t>The party bearing the burden of proof</w:t>
      </w:r>
      <w:r w:rsidR="006E3FC2" w:rsidRPr="005B6084">
        <w:t>, therefore, is not necessarily the applicant</w:t>
      </w:r>
      <w:r w:rsidR="00CD3B95" w:rsidRPr="005B6084">
        <w:t>,</w:t>
      </w:r>
      <w:r w:rsidR="006E3FC2" w:rsidRPr="005B6084">
        <w:t xml:space="preserve"> i.e. the state that has brought the application before the tribunal, but the party ‘seeking to establish a fact’,</w:t>
      </w:r>
      <w:r w:rsidR="006E3FC2" w:rsidRPr="005B6084">
        <w:rPr>
          <w:rStyle w:val="Rimandonotaapidipagina"/>
        </w:rPr>
        <w:footnoteReference w:id="57"/>
      </w:r>
      <w:r w:rsidR="006E3FC2" w:rsidRPr="005B6084">
        <w:t xml:space="preserve"> regardless of its procedural position.</w:t>
      </w:r>
      <w:bookmarkStart w:id="22" w:name="_Ref389205814"/>
      <w:r w:rsidR="006E3FC2" w:rsidRPr="005B6084">
        <w:rPr>
          <w:rStyle w:val="Rimandonotaapidipagina"/>
        </w:rPr>
        <w:footnoteReference w:id="58"/>
      </w:r>
      <w:bookmarkEnd w:id="22"/>
      <w:r w:rsidR="006E3FC2" w:rsidRPr="005B6084">
        <w:t xml:space="preserve"> For instance, the party (applicant or respondent) that relies on an exception, including </w:t>
      </w:r>
      <w:proofErr w:type="spellStart"/>
      <w:r w:rsidR="006E3FC2" w:rsidRPr="005B6084">
        <w:t>self-defence</w:t>
      </w:r>
      <w:proofErr w:type="spellEnd"/>
      <w:r w:rsidR="006E3FC2" w:rsidRPr="005B6084">
        <w:t xml:space="preserve">, has the burden of proving the facts that are the </w:t>
      </w:r>
      <w:r w:rsidR="00445206" w:rsidRPr="005B6084">
        <w:t xml:space="preserve">basis for </w:t>
      </w:r>
      <w:r w:rsidR="006E3FC2" w:rsidRPr="005B6084">
        <w:t>the exception.</w:t>
      </w:r>
      <w:bookmarkStart w:id="23" w:name="_Ref383515473"/>
      <w:r w:rsidR="006E3FC2" w:rsidRPr="005B6084">
        <w:rPr>
          <w:rStyle w:val="Rimandonotaapidipagina"/>
        </w:rPr>
        <w:footnoteReference w:id="59"/>
      </w:r>
      <w:bookmarkEnd w:id="23"/>
      <w:r w:rsidR="006E3FC2" w:rsidRPr="005B6084">
        <w:t xml:space="preserve"> It should also be recalled that the distinction between applicant and respondent </w:t>
      </w:r>
      <w:proofErr w:type="gramStart"/>
      <w:r w:rsidR="006E3FC2" w:rsidRPr="005B6084">
        <w:t>may</w:t>
      </w:r>
      <w:proofErr w:type="gramEnd"/>
      <w:r w:rsidR="006E3FC2" w:rsidRPr="005B6084">
        <w:t xml:space="preserve"> not always be clear in </w:t>
      </w:r>
      <w:r w:rsidR="003C5A1A" w:rsidRPr="005B6084">
        <w:t>inter-state</w:t>
      </w:r>
      <w:r w:rsidR="006E3FC2" w:rsidRPr="005B6084">
        <w:t xml:space="preserve"> litigation, especially when the case is brought before an international court by special agreement between the parties.</w:t>
      </w:r>
      <w:bookmarkStart w:id="24" w:name="_Ref389207412"/>
      <w:r w:rsidR="006E3FC2" w:rsidRPr="005B6084">
        <w:rPr>
          <w:rStyle w:val="Rimandonotaapidipagina"/>
        </w:rPr>
        <w:footnoteReference w:id="60"/>
      </w:r>
      <w:bookmarkEnd w:id="24"/>
    </w:p>
    <w:p w14:paraId="52BB860C" w14:textId="53775916" w:rsidR="006E3FC2" w:rsidRPr="005B6084" w:rsidRDefault="006E3FC2" w:rsidP="000E7753">
      <w:pPr>
        <w:pStyle w:val="P"/>
        <w:spacing w:after="120" w:line="360" w:lineRule="exact"/>
        <w:ind w:firstLine="567"/>
        <w:jc w:val="both"/>
      </w:pPr>
      <w:r w:rsidRPr="005B6084">
        <w:t xml:space="preserve">The </w:t>
      </w:r>
      <w:r w:rsidRPr="005B6084">
        <w:rPr>
          <w:i/>
        </w:rPr>
        <w:t xml:space="preserve">onus </w:t>
      </w:r>
      <w:proofErr w:type="spellStart"/>
      <w:r w:rsidRPr="005B6084">
        <w:rPr>
          <w:i/>
        </w:rPr>
        <w:t>probandi</w:t>
      </w:r>
      <w:proofErr w:type="spellEnd"/>
      <w:r w:rsidRPr="005B6084">
        <w:rPr>
          <w:i/>
        </w:rPr>
        <w:t xml:space="preserve"> </w:t>
      </w:r>
      <w:proofErr w:type="spellStart"/>
      <w:r w:rsidRPr="005B6084">
        <w:rPr>
          <w:i/>
        </w:rPr>
        <w:t>incumbit</w:t>
      </w:r>
      <w:proofErr w:type="spellEnd"/>
      <w:r w:rsidRPr="005B6084">
        <w:rPr>
          <w:i/>
        </w:rPr>
        <w:t xml:space="preserve"> </w:t>
      </w:r>
      <w:proofErr w:type="spellStart"/>
      <w:r w:rsidRPr="005B6084">
        <w:rPr>
          <w:i/>
        </w:rPr>
        <w:t>actori</w:t>
      </w:r>
      <w:proofErr w:type="spellEnd"/>
      <w:r w:rsidRPr="005B6084">
        <w:t xml:space="preserve"> principle </w:t>
      </w:r>
      <w:r w:rsidR="00445206" w:rsidRPr="005B6084">
        <w:t xml:space="preserve">is subject to </w:t>
      </w:r>
      <w:r w:rsidRPr="005B6084">
        <w:t xml:space="preserve">three main limitations. First, facts that </w:t>
      </w:r>
      <w:proofErr w:type="gramStart"/>
      <w:r w:rsidRPr="005B6084">
        <w:t>are not disputed</w:t>
      </w:r>
      <w:proofErr w:type="gramEnd"/>
      <w:r w:rsidRPr="005B6084">
        <w:t xml:space="preserve"> or that are agreed upon by the parties do not need to be proved.</w:t>
      </w:r>
      <w:r w:rsidRPr="005B6084">
        <w:rPr>
          <w:rStyle w:val="Rimandonotaapidipagina"/>
        </w:rPr>
        <w:footnoteReference w:id="61"/>
      </w:r>
      <w:r w:rsidRPr="005B6084">
        <w:t xml:space="preserve"> Second</w:t>
      </w:r>
      <w:r w:rsidR="00CD3B95" w:rsidRPr="005B6084">
        <w:t>ly</w:t>
      </w:r>
      <w:r w:rsidRPr="005B6084">
        <w:t>, the Court has relieved a party from the burden of providing evidence of facts that are ‘notorious’ or ‘of public knowledge’.</w:t>
      </w:r>
      <w:r w:rsidRPr="005B6084">
        <w:rPr>
          <w:rStyle w:val="Rimandonotaapidipagina"/>
        </w:rPr>
        <w:footnoteReference w:id="62"/>
      </w:r>
      <w:r w:rsidRPr="005B6084">
        <w:t xml:space="preserve"> In </w:t>
      </w:r>
      <w:r w:rsidRPr="005B6084">
        <w:rPr>
          <w:i/>
        </w:rPr>
        <w:t>Nicaragua</w:t>
      </w:r>
      <w:r w:rsidRPr="005B6084">
        <w:t xml:space="preserve">, for instance, the Court found that ‘since there was no secrecy about the holding of the </w:t>
      </w:r>
      <w:proofErr w:type="spellStart"/>
      <w:r w:rsidRPr="005B6084">
        <w:t>manoeuvres</w:t>
      </w:r>
      <w:proofErr w:type="spellEnd"/>
      <w:r w:rsidRPr="005B6084">
        <w:t>, the Court considers that it may treat the matter as one of public knowledge, and as such, sufficiently established’.</w:t>
      </w:r>
      <w:r w:rsidRPr="005B6084">
        <w:rPr>
          <w:rStyle w:val="Rimandonotaapidipagina"/>
        </w:rPr>
        <w:footnoteReference w:id="63"/>
      </w:r>
      <w:r w:rsidRPr="005B6084">
        <w:t xml:space="preserve"> As has been noted, ‘the notion of common or public knowledge has, over the years, expanded, given the wide availability of information on current events in the press and on the internet’.</w:t>
      </w:r>
      <w:r w:rsidRPr="005B6084">
        <w:rPr>
          <w:rStyle w:val="Rimandonotaapidipagina"/>
        </w:rPr>
        <w:footnoteReference w:id="64"/>
      </w:r>
      <w:r w:rsidRPr="005B6084">
        <w:t xml:space="preserve"> Reports on cyber incidents have also been published by companies like McAfee, Symantec, </w:t>
      </w:r>
      <w:proofErr w:type="spellStart"/>
      <w:r w:rsidRPr="005B6084">
        <w:t>Mandiant</w:t>
      </w:r>
      <w:proofErr w:type="spellEnd"/>
      <w:r w:rsidRPr="005B6084">
        <w:t xml:space="preserve">, Project Grey Goose and </w:t>
      </w:r>
      <w:proofErr w:type="gramStart"/>
      <w:r w:rsidRPr="005B6084">
        <w:t>think-tanks</w:t>
      </w:r>
      <w:proofErr w:type="gramEnd"/>
      <w:r w:rsidRPr="005B6084">
        <w:t xml:space="preserve"> like NATO’s Cooperative Cyber </w:t>
      </w:r>
      <w:proofErr w:type="spellStart"/>
      <w:r w:rsidRPr="005B6084">
        <w:t>Defence</w:t>
      </w:r>
      <w:proofErr w:type="spellEnd"/>
      <w:r w:rsidRPr="005B6084">
        <w:t xml:space="preserve"> Centre of Excellence (CCDCOE). These reports essentially contain technical analysis of cyber incidents and</w:t>
      </w:r>
      <w:r w:rsidR="0056649C" w:rsidRPr="005B6084">
        <w:t>, with the possible exception of those of the CCDCOE,</w:t>
      </w:r>
      <w:r w:rsidRPr="005B6084">
        <w:t xml:space="preserve"> do not normally </w:t>
      </w:r>
      <w:r w:rsidRPr="005B6084">
        <w:lastRenderedPageBreak/>
        <w:t>investigate attribution</w:t>
      </w:r>
      <w:r w:rsidR="00445206" w:rsidRPr="005B6084">
        <w:t xml:space="preserve"> for legal purposes of those incidents in any </w:t>
      </w:r>
      <w:r w:rsidRPr="005B6084">
        <w:t>depth (if at all). The fact that cyber incidents have received extensive press coverage</w:t>
      </w:r>
      <w:r w:rsidR="004F30C0" w:rsidRPr="005B6084">
        <w:t xml:space="preserve">, as in the case of </w:t>
      </w:r>
      <w:proofErr w:type="spellStart"/>
      <w:r w:rsidR="004F30C0" w:rsidRPr="005B6084">
        <w:t>Stuxnet</w:t>
      </w:r>
      <w:proofErr w:type="spellEnd"/>
      <w:r w:rsidR="004F30C0" w:rsidRPr="005B6084">
        <w:t>,</w:t>
      </w:r>
      <w:r w:rsidRPr="005B6084">
        <w:t xml:space="preserve"> may also contribute to the public knowledge character of certain facts. In </w:t>
      </w:r>
      <w:r w:rsidRPr="005B6084">
        <w:rPr>
          <w:i/>
        </w:rPr>
        <w:t>Nicaragua,</w:t>
      </w:r>
      <w:r w:rsidRPr="005B6084">
        <w:t xml:space="preserve"> however, the ICJ warned that ‘[w]</w:t>
      </w:r>
      <w:proofErr w:type="spellStart"/>
      <w:r w:rsidRPr="005B6084">
        <w:t>idespread</w:t>
      </w:r>
      <w:proofErr w:type="spellEnd"/>
      <w:r w:rsidRPr="005B6084">
        <w:t xml:space="preserve"> reports of a fact may prove on closer examination to derive from a single source, and such reports, however numerous, will in such case have no greater value as evidence than the original source’.</w:t>
      </w:r>
      <w:r w:rsidRPr="005B6084">
        <w:rPr>
          <w:rStyle w:val="Rimandonotaapidipagina"/>
        </w:rPr>
        <w:footnoteReference w:id="65"/>
      </w:r>
      <w:r w:rsidRPr="005B6084">
        <w:t xml:space="preserve"> The ICJ also held that the ‘massive body of information’ available to the Court, including newspapers, radio and television reports, may be useful only when it is ‘wholly consistent and concordant as to the main facts and circumstances of the case’.</w:t>
      </w:r>
      <w:bookmarkStart w:id="25" w:name="_Ref383686640"/>
      <w:r w:rsidRPr="005B6084">
        <w:rPr>
          <w:rStyle w:val="Rimandonotaapidipagina"/>
        </w:rPr>
        <w:footnoteReference w:id="66"/>
      </w:r>
      <w:bookmarkEnd w:id="25"/>
    </w:p>
    <w:p w14:paraId="7F124C54" w14:textId="4D06FC52" w:rsidR="006E3FC2" w:rsidRPr="005B6084" w:rsidRDefault="006E3FC2" w:rsidP="003B5DCC">
      <w:pPr>
        <w:pStyle w:val="PI"/>
        <w:spacing w:after="120" w:line="360" w:lineRule="exact"/>
        <w:ind w:firstLine="567"/>
        <w:jc w:val="both"/>
      </w:pPr>
      <w:r w:rsidRPr="005B6084">
        <w:t>Third</w:t>
      </w:r>
      <w:r w:rsidR="00CD3B95" w:rsidRPr="005B6084">
        <w:t>ly</w:t>
      </w:r>
      <w:r w:rsidRPr="005B6084">
        <w:t xml:space="preserve">, the </w:t>
      </w:r>
      <w:r w:rsidRPr="005B6084">
        <w:rPr>
          <w:i/>
        </w:rPr>
        <w:t xml:space="preserve">onus </w:t>
      </w:r>
      <w:proofErr w:type="spellStart"/>
      <w:r w:rsidRPr="005B6084">
        <w:rPr>
          <w:i/>
        </w:rPr>
        <w:t>probandi</w:t>
      </w:r>
      <w:proofErr w:type="spellEnd"/>
      <w:r w:rsidRPr="005B6084">
        <w:rPr>
          <w:i/>
        </w:rPr>
        <w:t xml:space="preserve"> </w:t>
      </w:r>
      <w:proofErr w:type="spellStart"/>
      <w:r w:rsidRPr="005B6084">
        <w:rPr>
          <w:i/>
        </w:rPr>
        <w:t>incumbit</w:t>
      </w:r>
      <w:proofErr w:type="spellEnd"/>
      <w:r w:rsidRPr="005B6084">
        <w:rPr>
          <w:i/>
        </w:rPr>
        <w:t xml:space="preserve"> </w:t>
      </w:r>
      <w:proofErr w:type="spellStart"/>
      <w:r w:rsidRPr="005B6084">
        <w:rPr>
          <w:i/>
        </w:rPr>
        <w:t>actori</w:t>
      </w:r>
      <w:proofErr w:type="spellEnd"/>
      <w:r w:rsidRPr="005B6084">
        <w:t xml:space="preserve"> principle only applies to facts, not to the law, which does not need to </w:t>
      </w:r>
      <w:proofErr w:type="gramStart"/>
      <w:r w:rsidRPr="005B6084">
        <w:t>be proved</w:t>
      </w:r>
      <w:proofErr w:type="gramEnd"/>
      <w:r w:rsidRPr="005B6084">
        <w:t xml:space="preserve"> (</w:t>
      </w:r>
      <w:proofErr w:type="spellStart"/>
      <w:r w:rsidRPr="005B6084">
        <w:rPr>
          <w:i/>
        </w:rPr>
        <w:t>jura</w:t>
      </w:r>
      <w:proofErr w:type="spellEnd"/>
      <w:r w:rsidRPr="005B6084">
        <w:rPr>
          <w:i/>
        </w:rPr>
        <w:t xml:space="preserve"> </w:t>
      </w:r>
      <w:proofErr w:type="spellStart"/>
      <w:r w:rsidRPr="005B6084">
        <w:rPr>
          <w:i/>
        </w:rPr>
        <w:t>novit</w:t>
      </w:r>
      <w:proofErr w:type="spellEnd"/>
      <w:r w:rsidRPr="005B6084">
        <w:rPr>
          <w:i/>
        </w:rPr>
        <w:t xml:space="preserve"> curia</w:t>
      </w:r>
      <w:r w:rsidRPr="005B6084">
        <w:t xml:space="preserve">). It should be </w:t>
      </w:r>
      <w:r w:rsidR="00CD3B95" w:rsidRPr="005B6084">
        <w:t>borne in mind</w:t>
      </w:r>
      <w:r w:rsidRPr="005B6084">
        <w:t>, however, that</w:t>
      </w:r>
      <w:r w:rsidR="0056649C" w:rsidRPr="005B6084">
        <w:t>,</w:t>
      </w:r>
      <w:r w:rsidRPr="005B6084">
        <w:t xml:space="preserve"> in </w:t>
      </w:r>
      <w:r w:rsidR="002219A7" w:rsidRPr="005B6084">
        <w:t>inter-state</w:t>
      </w:r>
      <w:r w:rsidRPr="005B6084">
        <w:t xml:space="preserve"> litigation</w:t>
      </w:r>
      <w:r w:rsidR="0056649C" w:rsidRPr="005B6084">
        <w:t>,</w:t>
      </w:r>
      <w:r w:rsidRPr="005B6084">
        <w:t xml:space="preserve"> municipal law is a fact that </w:t>
      </w:r>
      <w:proofErr w:type="gramStart"/>
      <w:r w:rsidRPr="005B6084">
        <w:t>must be proved</w:t>
      </w:r>
      <w:proofErr w:type="gramEnd"/>
      <w:r w:rsidRPr="005B6084">
        <w:t xml:space="preserve"> by the parties invoking it.</w:t>
      </w:r>
      <w:r w:rsidRPr="005B6084">
        <w:rPr>
          <w:rStyle w:val="Rimandonotaapidipagina"/>
        </w:rPr>
        <w:footnoteReference w:id="67"/>
      </w:r>
      <w:r w:rsidRPr="005B6084">
        <w:t xml:space="preserve"> Furthermore, the ICJ has often distinguished between treaty law and customary international law and </w:t>
      </w:r>
      <w:r w:rsidR="00CD3B95" w:rsidRPr="005B6084">
        <w:t xml:space="preserve">has </w:t>
      </w:r>
      <w:r w:rsidRPr="005B6084">
        <w:t xml:space="preserve">held that the </w:t>
      </w:r>
      <w:proofErr w:type="gramStart"/>
      <w:r w:rsidRPr="005B6084">
        <w:t xml:space="preserve">existence and scope of customary </w:t>
      </w:r>
      <w:r w:rsidR="00445206" w:rsidRPr="005B6084">
        <w:t>rules</w:t>
      </w:r>
      <w:r w:rsidRPr="005B6084">
        <w:t>, especially when of a regional character, must be proved by the parties, as one of their two elements, state practice</w:t>
      </w:r>
      <w:proofErr w:type="gramEnd"/>
      <w:r w:rsidRPr="005B6084">
        <w:t>, is factual.</w:t>
      </w:r>
      <w:r w:rsidRPr="005B6084">
        <w:rPr>
          <w:rStyle w:val="Rimandonotaapidipagina"/>
        </w:rPr>
        <w:footnoteReference w:id="68"/>
      </w:r>
      <w:r w:rsidRPr="005B6084">
        <w:t xml:space="preserve"> </w:t>
      </w:r>
      <w:r w:rsidR="00445206" w:rsidRPr="005B6084">
        <w:t xml:space="preserve">A </w:t>
      </w:r>
      <w:r w:rsidRPr="005B6084">
        <w:t xml:space="preserve">party invoking national legislation or the existence of a general or cyber-specific custom in its </w:t>
      </w:r>
      <w:proofErr w:type="spellStart"/>
      <w:r w:rsidRPr="005B6084">
        <w:t>favour</w:t>
      </w:r>
      <w:proofErr w:type="spellEnd"/>
      <w:r w:rsidRPr="005B6084">
        <w:t xml:space="preserve">, therefore, will bear the burden of </w:t>
      </w:r>
      <w:r w:rsidR="00445206" w:rsidRPr="005B6084">
        <w:t xml:space="preserve">producing relevant evidence before </w:t>
      </w:r>
      <w:r w:rsidRPr="005B6084">
        <w:t>the Court.</w:t>
      </w:r>
    </w:p>
    <w:p w14:paraId="7C0727C6" w14:textId="68178CF4" w:rsidR="00D77F1F" w:rsidRPr="005B6084" w:rsidRDefault="00A35725" w:rsidP="003212A2">
      <w:pPr>
        <w:pStyle w:val="P"/>
        <w:spacing w:after="120" w:line="360" w:lineRule="exact"/>
        <w:ind w:firstLine="567"/>
        <w:jc w:val="both"/>
        <w:rPr>
          <w:lang w:eastAsia="it-IT"/>
        </w:rPr>
      </w:pPr>
      <w:r w:rsidRPr="005B6084">
        <w:rPr>
          <w:lang w:eastAsia="it-IT"/>
        </w:rPr>
        <w:t xml:space="preserve">Certain </w:t>
      </w:r>
      <w:r w:rsidR="006E3FC2" w:rsidRPr="005B6084">
        <w:rPr>
          <w:lang w:eastAsia="it-IT"/>
        </w:rPr>
        <w:t>authors have suggested that</w:t>
      </w:r>
      <w:r w:rsidRPr="005B6084">
        <w:rPr>
          <w:lang w:eastAsia="it-IT"/>
        </w:rPr>
        <w:t xml:space="preserve"> the problems of identification and attribution </w:t>
      </w:r>
      <w:r w:rsidR="006E3FC2" w:rsidRPr="005B6084">
        <w:rPr>
          <w:lang w:eastAsia="it-IT"/>
        </w:rPr>
        <w:t>in the cyber context</w:t>
      </w:r>
      <w:r w:rsidRPr="005B6084">
        <w:rPr>
          <w:lang w:eastAsia="it-IT"/>
        </w:rPr>
        <w:t xml:space="preserve"> </w:t>
      </w:r>
      <w:proofErr w:type="gramStart"/>
      <w:r w:rsidRPr="005B6084">
        <w:rPr>
          <w:lang w:eastAsia="it-IT"/>
        </w:rPr>
        <w:t>could be solved</w:t>
      </w:r>
      <w:proofErr w:type="gramEnd"/>
      <w:r w:rsidRPr="005B6084">
        <w:rPr>
          <w:lang w:eastAsia="it-IT"/>
        </w:rPr>
        <w:t xml:space="preserve"> by shifting</w:t>
      </w:r>
      <w:r w:rsidR="006E3FC2" w:rsidRPr="005B6084">
        <w:rPr>
          <w:lang w:eastAsia="it-IT"/>
        </w:rPr>
        <w:t xml:space="preserve"> the burden of proof ‘from the investigator and accuser to the nation in which the attack software was launched’.</w:t>
      </w:r>
      <w:r w:rsidR="006E3FC2" w:rsidRPr="005B6084">
        <w:rPr>
          <w:rStyle w:val="Rimandonotaapidipagina"/>
          <w:lang w:eastAsia="it-IT"/>
        </w:rPr>
        <w:footnoteReference w:id="69"/>
      </w:r>
      <w:r w:rsidR="006E3FC2" w:rsidRPr="005B6084">
        <w:rPr>
          <w:lang w:eastAsia="it-IT"/>
        </w:rPr>
        <w:t xml:space="preserve"> </w:t>
      </w:r>
      <w:r w:rsidR="00445206" w:rsidRPr="005B6084">
        <w:rPr>
          <w:lang w:eastAsia="it-IT"/>
        </w:rPr>
        <w:t>On that basis, i</w:t>
      </w:r>
      <w:r w:rsidR="006E3FC2" w:rsidRPr="005B6084">
        <w:t xml:space="preserve">t would </w:t>
      </w:r>
      <w:r w:rsidR="00445206" w:rsidRPr="005B6084">
        <w:t xml:space="preserve">be </w:t>
      </w:r>
      <w:r w:rsidR="006E3FC2" w:rsidRPr="005B6084">
        <w:t xml:space="preserve">up to the state </w:t>
      </w:r>
      <w:r w:rsidR="008A2494" w:rsidRPr="005B6084">
        <w:t xml:space="preserve">from </w:t>
      </w:r>
      <w:r w:rsidR="006E3FC2" w:rsidRPr="005B6084">
        <w:t xml:space="preserve">whose </w:t>
      </w:r>
      <w:r w:rsidR="008A2494" w:rsidRPr="005B6084">
        <w:t xml:space="preserve">cyber </w:t>
      </w:r>
      <w:r w:rsidR="006E3FC2" w:rsidRPr="005B6084">
        <w:t xml:space="preserve">infrastructure </w:t>
      </w:r>
      <w:r w:rsidR="008A2494" w:rsidRPr="005B6084">
        <w:t xml:space="preserve">the cyber operation originated to prove that it was not responsible for it and/or that </w:t>
      </w:r>
      <w:r w:rsidR="006E3FC2" w:rsidRPr="005B6084">
        <w:t>it exercised due diligence not to allow the misuse</w:t>
      </w:r>
      <w:r w:rsidR="008A2494" w:rsidRPr="005B6084">
        <w:t xml:space="preserve"> of its infrastructure by others</w:t>
      </w:r>
      <w:r w:rsidR="006E3FC2" w:rsidRPr="005B6084">
        <w:t xml:space="preserve">, and not to the claimant to prove the contrary. </w:t>
      </w:r>
      <w:r w:rsidRPr="005B6084">
        <w:t>Similarly, it has been</w:t>
      </w:r>
      <w:r w:rsidR="006E3FC2" w:rsidRPr="005B6084">
        <w:t xml:space="preserve"> </w:t>
      </w:r>
      <w:r w:rsidR="008A2494" w:rsidRPr="005B6084">
        <w:t>argued</w:t>
      </w:r>
      <w:r w:rsidR="006E3FC2" w:rsidRPr="005B6084">
        <w:t xml:space="preserve"> that ‘[</w:t>
      </w:r>
      <w:r w:rsidR="006E3FC2" w:rsidRPr="005B6084">
        <w:rPr>
          <w:i/>
        </w:rPr>
        <w:t>t</w:t>
      </w:r>
      <w:r w:rsidR="006E3FC2" w:rsidRPr="005B6084">
        <w:t>]</w:t>
      </w:r>
      <w:r w:rsidR="006E3FC2" w:rsidRPr="005B6084">
        <w:rPr>
          <w:i/>
        </w:rPr>
        <w:t xml:space="preserve">he fact that a harmful cyber incident is conducted via the information infrastructure subject to a nation’s control is </w:t>
      </w:r>
      <w:r w:rsidR="006E3FC2" w:rsidRPr="005B6084">
        <w:t>prima facie</w:t>
      </w:r>
      <w:r w:rsidR="006E3FC2" w:rsidRPr="005B6084">
        <w:rPr>
          <w:i/>
        </w:rPr>
        <w:t xml:space="preserve"> evidence that the nation knows of the use and is responsible for the cyber incident</w:t>
      </w:r>
      <w:r w:rsidR="006E3FC2" w:rsidRPr="005B6084">
        <w:t>’.</w:t>
      </w:r>
      <w:r w:rsidR="006E3FC2" w:rsidRPr="005B6084">
        <w:rPr>
          <w:rStyle w:val="Rimandonotaapidipagina"/>
        </w:rPr>
        <w:footnoteReference w:id="70"/>
      </w:r>
      <w:r w:rsidR="006E3FC2" w:rsidRPr="005B6084">
        <w:t xml:space="preserve"> This</w:t>
      </w:r>
      <w:r w:rsidR="00A65018" w:rsidRPr="005B6084">
        <w:t>, however,</w:t>
      </w:r>
      <w:r w:rsidR="006E3FC2" w:rsidRPr="005B6084">
        <w:t xml:space="preserve"> is not correct. </w:t>
      </w:r>
      <w:r w:rsidR="004F30C0" w:rsidRPr="005B6084">
        <w:t>First, m</w:t>
      </w:r>
      <w:r w:rsidR="006E3FC2" w:rsidRPr="005B6084">
        <w:t xml:space="preserve">ere </w:t>
      </w:r>
      <w:r w:rsidR="006E3FC2" w:rsidRPr="005B6084">
        <w:lastRenderedPageBreak/>
        <w:t xml:space="preserve">knowledge does not automatically entail direct attribution, but only a potential violation of the due diligence duty not to allow hostile acts from one’s </w:t>
      </w:r>
      <w:r w:rsidR="004F30C0" w:rsidRPr="005B6084">
        <w:t>territory.</w:t>
      </w:r>
      <w:r w:rsidR="006E3FC2" w:rsidRPr="005B6084">
        <w:t xml:space="preserve"> What is more, </w:t>
      </w:r>
      <w:r w:rsidR="006E3FC2" w:rsidRPr="005B6084">
        <w:rPr>
          <w:lang w:eastAsia="it-IT"/>
        </w:rPr>
        <w:t xml:space="preserve">the views arguing for a reversal of the burden of proof are at odds with the </w:t>
      </w:r>
      <w:r w:rsidR="006E3FC2" w:rsidRPr="005B6084">
        <w:rPr>
          <w:i/>
          <w:lang w:eastAsia="it-IT"/>
        </w:rPr>
        <w:t xml:space="preserve">jurisprudence </w:t>
      </w:r>
      <w:proofErr w:type="spellStart"/>
      <w:r w:rsidR="006E3FC2" w:rsidRPr="005B6084">
        <w:rPr>
          <w:i/>
          <w:lang w:eastAsia="it-IT"/>
        </w:rPr>
        <w:t>constante</w:t>
      </w:r>
      <w:proofErr w:type="spellEnd"/>
      <w:r w:rsidR="00D77F1F" w:rsidRPr="005B6084">
        <w:rPr>
          <w:lang w:eastAsia="it-IT"/>
        </w:rPr>
        <w:t xml:space="preserve"> of the ICJ</w:t>
      </w:r>
      <w:r w:rsidR="006E3FC2" w:rsidRPr="005B6084">
        <w:rPr>
          <w:lang w:eastAsia="it-IT"/>
        </w:rPr>
        <w:t xml:space="preserve">. In the </w:t>
      </w:r>
      <w:r w:rsidR="006E3FC2" w:rsidRPr="005B6084">
        <w:rPr>
          <w:i/>
        </w:rPr>
        <w:t>Corfu Channel</w:t>
      </w:r>
      <w:r w:rsidR="006E3FC2" w:rsidRPr="005B6084">
        <w:t xml:space="preserve"> case, the Court famously found that the exclusive control exercised by a state over its territory ‘neither involves </w:t>
      </w:r>
      <w:r w:rsidR="006E3FC2" w:rsidRPr="005B6084">
        <w:rPr>
          <w:i/>
        </w:rPr>
        <w:t>prima facie</w:t>
      </w:r>
      <w:r w:rsidR="006E3FC2" w:rsidRPr="005B6084">
        <w:t xml:space="preserve"> responsibility nor shifts the burden of proof’ in relation to unlawful acts perpetrated therein.</w:t>
      </w:r>
      <w:bookmarkStart w:id="26" w:name="_Ref383686385"/>
      <w:r w:rsidR="006E3FC2" w:rsidRPr="005B6084">
        <w:rPr>
          <w:rStyle w:val="Rimandonotaapidipagina"/>
        </w:rPr>
        <w:footnoteReference w:id="71"/>
      </w:r>
      <w:bookmarkEnd w:id="26"/>
      <w:r w:rsidR="006E3FC2" w:rsidRPr="005B6084">
        <w:t xml:space="preserve"> The Court, however, conceded that difficulties in discharging the burden of proof </w:t>
      </w:r>
      <w:r w:rsidR="004F30C0" w:rsidRPr="005B6084">
        <w:t xml:space="preserve">in such cases </w:t>
      </w:r>
      <w:proofErr w:type="gramStart"/>
      <w:r w:rsidR="006E3FC2" w:rsidRPr="005B6084">
        <w:t>may</w:t>
      </w:r>
      <w:proofErr w:type="gramEnd"/>
      <w:r w:rsidR="006E3FC2" w:rsidRPr="005B6084">
        <w:t xml:space="preserve"> allow ‘</w:t>
      </w:r>
      <w:r w:rsidR="006E3FC2" w:rsidRPr="005B6084">
        <w:rPr>
          <w:lang w:eastAsia="it-IT"/>
        </w:rPr>
        <w:t>a more liberal recourse to inferences of fact and circumstantial evidence</w:t>
      </w:r>
      <w:r w:rsidR="006E3FC2" w:rsidRPr="005B6084">
        <w:t>’</w:t>
      </w:r>
      <w:r w:rsidR="006E3FC2" w:rsidRPr="005B6084">
        <w:rPr>
          <w:lang w:eastAsia="it-IT"/>
        </w:rPr>
        <w:t>.</w:t>
      </w:r>
      <w:r w:rsidR="006E3FC2" w:rsidRPr="005B6084">
        <w:rPr>
          <w:rStyle w:val="Rimandonotaapidipagina"/>
          <w:lang w:eastAsia="it-IT"/>
        </w:rPr>
        <w:footnoteReference w:id="72"/>
      </w:r>
      <w:r w:rsidR="006E3FC2" w:rsidRPr="005B6084">
        <w:rPr>
          <w:lang w:eastAsia="it-IT"/>
        </w:rPr>
        <w:t xml:space="preserve"> This point </w:t>
      </w:r>
      <w:proofErr w:type="gramStart"/>
      <w:r w:rsidR="006E3FC2" w:rsidRPr="005B6084">
        <w:rPr>
          <w:lang w:eastAsia="it-IT"/>
        </w:rPr>
        <w:t>will be further explored</w:t>
      </w:r>
      <w:proofErr w:type="gramEnd"/>
      <w:r w:rsidR="006E3FC2" w:rsidRPr="005B6084">
        <w:rPr>
          <w:lang w:eastAsia="it-IT"/>
        </w:rPr>
        <w:t xml:space="preserve"> below.</w:t>
      </w:r>
      <w:r w:rsidR="006E3FC2" w:rsidRPr="005B6084">
        <w:rPr>
          <w:rStyle w:val="Rimandonotaapidipagina"/>
          <w:lang w:eastAsia="it-IT"/>
        </w:rPr>
        <w:footnoteReference w:id="73"/>
      </w:r>
      <w:r w:rsidR="006E3FC2" w:rsidRPr="005B6084">
        <w:rPr>
          <w:lang w:eastAsia="it-IT"/>
        </w:rPr>
        <w:t xml:space="preserve"> </w:t>
      </w:r>
      <w:proofErr w:type="gramStart"/>
      <w:r w:rsidR="003212A2" w:rsidRPr="005B6084">
        <w:t xml:space="preserve">In </w:t>
      </w:r>
      <w:r w:rsidR="00D77F1F" w:rsidRPr="005B6084">
        <w:rPr>
          <w:i/>
        </w:rPr>
        <w:t>Armed Activities</w:t>
      </w:r>
      <w:r w:rsidR="00D77F1F" w:rsidRPr="005B6084">
        <w:t xml:space="preserve"> </w:t>
      </w:r>
      <w:r w:rsidR="00D77F1F" w:rsidRPr="005B6084">
        <w:rPr>
          <w:i/>
        </w:rPr>
        <w:t>(</w:t>
      </w:r>
      <w:r w:rsidR="003212A2" w:rsidRPr="005B6084">
        <w:rPr>
          <w:i/>
        </w:rPr>
        <w:t>DRC v. Uganda</w:t>
      </w:r>
      <w:r w:rsidR="00D77F1F" w:rsidRPr="005B6084">
        <w:rPr>
          <w:i/>
        </w:rPr>
        <w:t>)</w:t>
      </w:r>
      <w:r w:rsidR="003212A2" w:rsidRPr="005B6084">
        <w:t xml:space="preserve">, the ICJ </w:t>
      </w:r>
      <w:r w:rsidR="008A2494" w:rsidRPr="005B6084">
        <w:t xml:space="preserve">also </w:t>
      </w:r>
      <w:r w:rsidR="003212A2" w:rsidRPr="005B6084">
        <w:t xml:space="preserve">did not shift the burden of proving that Zaire </w:t>
      </w:r>
      <w:r w:rsidR="00D77F1F" w:rsidRPr="005B6084">
        <w:t xml:space="preserve">had been </w:t>
      </w:r>
      <w:r w:rsidR="003212A2" w:rsidRPr="005B6084">
        <w:t xml:space="preserve">in a position to stop the armed groups’ actions originating from its border regions, as claimed by Uganda in its counter-claim, from </w:t>
      </w:r>
      <w:r w:rsidR="00D77F1F" w:rsidRPr="005B6084">
        <w:t xml:space="preserve">Uganda </w:t>
      </w:r>
      <w:r w:rsidR="003212A2" w:rsidRPr="005B6084">
        <w:t xml:space="preserve">to the </w:t>
      </w:r>
      <w:r w:rsidR="00D77F1F" w:rsidRPr="005B6084">
        <w:t>DRC</w:t>
      </w:r>
      <w:r w:rsidR="003212A2" w:rsidRPr="005B6084">
        <w:t xml:space="preserve">, and therefore </w:t>
      </w:r>
      <w:r w:rsidR="00D77F1F" w:rsidRPr="005B6084">
        <w:t xml:space="preserve">found that it could </w:t>
      </w:r>
      <w:r w:rsidR="003212A2" w:rsidRPr="005B6084">
        <w:t>not</w:t>
      </w:r>
      <w:r w:rsidR="003212A2" w:rsidRPr="005B6084">
        <w:rPr>
          <w:lang w:eastAsia="it-IT"/>
        </w:rPr>
        <w:t xml:space="preserve"> ‘conclude that the absence of action by Zaire’s Government against the rebel groups in the border area is tantamount to “tolerating” or “acquiescing” in their activities’.</w:t>
      </w:r>
      <w:bookmarkStart w:id="27" w:name="_Ref389662903"/>
      <w:r w:rsidR="003212A2" w:rsidRPr="005B6084">
        <w:rPr>
          <w:rStyle w:val="Rimandonotaapidipagina"/>
          <w:lang w:eastAsia="it-IT"/>
        </w:rPr>
        <w:footnoteReference w:id="74"/>
      </w:r>
      <w:bookmarkEnd w:id="27"/>
      <w:proofErr w:type="gramEnd"/>
      <w:r w:rsidR="003212A2" w:rsidRPr="005B6084">
        <w:rPr>
          <w:lang w:eastAsia="it-IT"/>
        </w:rPr>
        <w:t xml:space="preserve"> </w:t>
      </w:r>
    </w:p>
    <w:p w14:paraId="398DE179" w14:textId="6A3B190C" w:rsidR="006E3FC2" w:rsidRPr="005B6084" w:rsidRDefault="006E3FC2" w:rsidP="003212A2">
      <w:pPr>
        <w:pStyle w:val="P"/>
        <w:spacing w:after="120" w:line="360" w:lineRule="exact"/>
        <w:ind w:firstLine="567"/>
        <w:jc w:val="both"/>
        <w:rPr>
          <w:highlight w:val="yellow"/>
        </w:rPr>
      </w:pPr>
      <w:proofErr w:type="gramStart"/>
      <w:r w:rsidRPr="005B6084">
        <w:rPr>
          <w:lang w:eastAsia="it-IT"/>
        </w:rPr>
        <w:t xml:space="preserve">If one applies these </w:t>
      </w:r>
      <w:r w:rsidR="008A2494" w:rsidRPr="005B6084">
        <w:rPr>
          <w:lang w:eastAsia="it-IT"/>
        </w:rPr>
        <w:t>findings</w:t>
      </w:r>
      <w:r w:rsidRPr="005B6084">
        <w:rPr>
          <w:lang w:eastAsia="it-IT"/>
        </w:rPr>
        <w:t xml:space="preserve"> in the cyber context, the fact that a state has exclusive ‘territorial’ control of the cyber infrastructure from which the cyber operation originates does not </w:t>
      </w:r>
      <w:r w:rsidR="00A35725" w:rsidRPr="005B6084">
        <w:rPr>
          <w:lang w:eastAsia="it-IT"/>
        </w:rPr>
        <w:t xml:space="preserve">per se </w:t>
      </w:r>
      <w:r w:rsidRPr="005B6084">
        <w:rPr>
          <w:lang w:eastAsia="it-IT"/>
        </w:rPr>
        <w:t xml:space="preserve">shift the burden of proof and it is therefore still up to the claimant to demonstrate that the territorial state </w:t>
      </w:r>
      <w:r w:rsidR="008A2494" w:rsidRPr="005B6084">
        <w:rPr>
          <w:lang w:eastAsia="it-IT"/>
        </w:rPr>
        <w:t xml:space="preserve">is responsible for the cyber operation or that it </w:t>
      </w:r>
      <w:r w:rsidRPr="005B6084">
        <w:rPr>
          <w:lang w:eastAsia="it-IT"/>
        </w:rPr>
        <w:t>failed to comply with its due diligence duty of vigilance</w:t>
      </w:r>
      <w:r w:rsidR="008A2494" w:rsidRPr="005B6084">
        <w:rPr>
          <w:lang w:eastAsia="it-IT"/>
        </w:rPr>
        <w:t xml:space="preserve">, </w:t>
      </w:r>
      <w:r w:rsidRPr="005B6084">
        <w:rPr>
          <w:lang w:eastAsia="it-IT"/>
        </w:rPr>
        <w:t>and not to the territorial state to demonstrate the contrary.</w:t>
      </w:r>
      <w:r w:rsidRPr="005B6084">
        <w:rPr>
          <w:rStyle w:val="Rimandonotaapidipagina"/>
          <w:lang w:eastAsia="it-IT"/>
        </w:rPr>
        <w:footnoteReference w:id="75"/>
      </w:r>
      <w:proofErr w:type="gramEnd"/>
    </w:p>
    <w:p w14:paraId="130FB341" w14:textId="621AB41D" w:rsidR="006E3FC2" w:rsidRPr="005B6084" w:rsidRDefault="006E3FC2" w:rsidP="003B5DCC">
      <w:pPr>
        <w:spacing w:after="120" w:line="360" w:lineRule="exact"/>
        <w:ind w:firstLine="567"/>
        <w:jc w:val="both"/>
        <w:rPr>
          <w:rFonts w:ascii="Times New Roman" w:hAnsi="Times New Roman"/>
          <w:sz w:val="24"/>
          <w:szCs w:val="24"/>
        </w:rPr>
      </w:pPr>
      <w:r w:rsidRPr="005B6084">
        <w:rPr>
          <w:rFonts w:ascii="Times New Roman" w:hAnsi="Times New Roman"/>
          <w:sz w:val="24"/>
          <w:szCs w:val="24"/>
        </w:rPr>
        <w:lastRenderedPageBreak/>
        <w:t xml:space="preserve">Even beyond the principle of territorial control, the fact that relevant evidence is in the hands of the other party does not per se shift the burden of proof. In the </w:t>
      </w:r>
      <w:proofErr w:type="spellStart"/>
      <w:r w:rsidRPr="005B6084">
        <w:rPr>
          <w:rFonts w:ascii="Times New Roman" w:hAnsi="Times New Roman"/>
          <w:i/>
          <w:sz w:val="24"/>
          <w:szCs w:val="24"/>
        </w:rPr>
        <w:t>Avena</w:t>
      </w:r>
      <w:proofErr w:type="spellEnd"/>
      <w:r w:rsidRPr="005B6084">
        <w:rPr>
          <w:rFonts w:ascii="Times New Roman" w:hAnsi="Times New Roman"/>
          <w:sz w:val="24"/>
          <w:szCs w:val="24"/>
        </w:rPr>
        <w:t xml:space="preserve"> case, the ICJ held that it could not</w:t>
      </w:r>
    </w:p>
    <w:p w14:paraId="5C5C855A" w14:textId="77777777" w:rsidR="006E3FC2" w:rsidRPr="005B6084" w:rsidRDefault="006E3FC2" w:rsidP="003B5DCC">
      <w:pPr>
        <w:spacing w:after="120" w:line="360" w:lineRule="exact"/>
        <w:ind w:firstLine="567"/>
        <w:jc w:val="both"/>
        <w:rPr>
          <w:rFonts w:ascii="Times New Roman" w:hAnsi="Times New Roman"/>
          <w:sz w:val="24"/>
          <w:szCs w:val="24"/>
        </w:rPr>
      </w:pPr>
    </w:p>
    <w:p w14:paraId="6474A522" w14:textId="77777777" w:rsidR="006E3FC2" w:rsidRPr="005B6084" w:rsidRDefault="006E3FC2" w:rsidP="00407B1D">
      <w:pPr>
        <w:spacing w:after="120" w:line="240" w:lineRule="auto"/>
        <w:ind w:left="567" w:right="567"/>
        <w:jc w:val="both"/>
        <w:rPr>
          <w:rFonts w:ascii="Times New Roman" w:hAnsi="Times New Roman"/>
        </w:rPr>
      </w:pPr>
      <w:proofErr w:type="gramStart"/>
      <w:r w:rsidRPr="005B6084">
        <w:rPr>
          <w:rFonts w:ascii="Times New Roman" w:hAnsi="Times New Roman"/>
        </w:rPr>
        <w:t>accept</w:t>
      </w:r>
      <w:proofErr w:type="gramEnd"/>
      <w:r w:rsidRPr="005B6084">
        <w:rPr>
          <w:rFonts w:ascii="Times New Roman" w:hAnsi="Times New Roman"/>
        </w:rPr>
        <w:t xml:space="preserve"> that, because such information may have been in part in the hands of Mexico, it was for Mexico to produce such information. It was for the United States to seek such information, with sufficient specificity, and to demonstrate both that this </w:t>
      </w:r>
      <w:proofErr w:type="gramStart"/>
      <w:r w:rsidRPr="005B6084">
        <w:rPr>
          <w:rFonts w:ascii="Times New Roman" w:hAnsi="Times New Roman"/>
        </w:rPr>
        <w:t>was done</w:t>
      </w:r>
      <w:proofErr w:type="gramEnd"/>
      <w:r w:rsidRPr="005B6084">
        <w:rPr>
          <w:rFonts w:ascii="Times New Roman" w:hAnsi="Times New Roman"/>
        </w:rPr>
        <w:t xml:space="preserve"> and that the Mexican authorities declined or failed to respond to such specific requests. … The Court accordingly concludes that the United States has not met its burden of proof in its attempt to show that persons of Mexican nationality were also United States nationals.</w:t>
      </w:r>
      <w:r w:rsidRPr="005B6084">
        <w:rPr>
          <w:rStyle w:val="Rimandonotaapidipagina"/>
          <w:rFonts w:ascii="Times New Roman" w:hAnsi="Times New Roman"/>
        </w:rPr>
        <w:footnoteReference w:id="76"/>
      </w:r>
    </w:p>
    <w:p w14:paraId="69F00894" w14:textId="77777777" w:rsidR="006E3FC2" w:rsidRPr="005B6084" w:rsidRDefault="006E3FC2" w:rsidP="003B5DCC">
      <w:pPr>
        <w:spacing w:after="120" w:line="360" w:lineRule="exact"/>
        <w:ind w:firstLine="567"/>
        <w:jc w:val="both"/>
        <w:rPr>
          <w:rFonts w:ascii="Times New Roman" w:hAnsi="Times New Roman"/>
          <w:sz w:val="24"/>
          <w:szCs w:val="24"/>
        </w:rPr>
      </w:pPr>
    </w:p>
    <w:p w14:paraId="3885FFF1" w14:textId="27E6342E" w:rsidR="006C2B53" w:rsidRPr="005B6084" w:rsidRDefault="006C2B53" w:rsidP="006C2B53">
      <w:pPr>
        <w:pStyle w:val="PI"/>
        <w:spacing w:after="120" w:line="360" w:lineRule="exact"/>
        <w:ind w:firstLine="567"/>
        <w:jc w:val="both"/>
      </w:pPr>
      <w:r w:rsidRPr="005B6084">
        <w:t xml:space="preserve">The fact that cyber operations </w:t>
      </w:r>
      <w:proofErr w:type="gramStart"/>
      <w:r w:rsidRPr="005B6084">
        <w:t>were conducted</w:t>
      </w:r>
      <w:proofErr w:type="gramEnd"/>
      <w:r w:rsidRPr="005B6084">
        <w:t xml:space="preserve"> in the context of an armed conflict, as was the case of those against Georgia in 2008, </w:t>
      </w:r>
      <w:r w:rsidR="008A2494" w:rsidRPr="005B6084">
        <w:t xml:space="preserve">also </w:t>
      </w:r>
      <w:r w:rsidRPr="005B6084">
        <w:t xml:space="preserve">does not affect the normal application of the burden of proof. In </w:t>
      </w:r>
      <w:r w:rsidRPr="005B6084">
        <w:rPr>
          <w:i/>
        </w:rPr>
        <w:t>Nicaragua</w:t>
      </w:r>
      <w:r w:rsidRPr="005B6084">
        <w:t xml:space="preserve">, the ICJ recalled the </w:t>
      </w:r>
      <w:r w:rsidRPr="005B6084">
        <w:rPr>
          <w:i/>
        </w:rPr>
        <w:t>Corfu Channel</w:t>
      </w:r>
      <w:r w:rsidRPr="005B6084">
        <w:t xml:space="preserve"> and </w:t>
      </w:r>
      <w:r w:rsidRPr="005B6084">
        <w:rPr>
          <w:i/>
        </w:rPr>
        <w:t>Tehran Hostages</w:t>
      </w:r>
      <w:r w:rsidRPr="005B6084">
        <w:t xml:space="preserve"> Judgments and found that ‘[a] situation of armed conflict is not the only one in which evidence of fact may be difficult to come by, and the Court has in the past recognized and made allowance for this’.</w:t>
      </w:r>
      <w:r w:rsidRPr="005B6084">
        <w:rPr>
          <w:rStyle w:val="Rimandonotaapidipagina"/>
        </w:rPr>
        <w:footnoteReference w:id="77"/>
      </w:r>
      <w:r w:rsidRPr="005B6084">
        <w:t xml:space="preserve"> Even in </w:t>
      </w:r>
      <w:r w:rsidR="00B7368F" w:rsidRPr="005B6084">
        <w:t>such circumstances</w:t>
      </w:r>
      <w:r w:rsidRPr="005B6084">
        <w:t>, therefore, ‘it is the litigant seeking to establish a fact who bears the burden of proving it’.</w:t>
      </w:r>
      <w:r w:rsidRPr="005B6084">
        <w:rPr>
          <w:rStyle w:val="Rimandonotaapidipagina"/>
        </w:rPr>
        <w:footnoteReference w:id="78"/>
      </w:r>
      <w:r w:rsidRPr="005B6084">
        <w:t xml:space="preserve"> In the </w:t>
      </w:r>
      <w:r w:rsidRPr="005B6084">
        <w:rPr>
          <w:i/>
        </w:rPr>
        <w:t>El Salvador/Honduras</w:t>
      </w:r>
      <w:r w:rsidRPr="005B6084">
        <w:t xml:space="preserve"> case, the Court stated that it ‘fully appreciates the difficulties experienced by El Salvador in collecting its evidence, caused by the interference with governmental action resulting from acts of violence. It cannot however apply a presumption that evidence which is unavailable would, if produced, have supported a particular party’s case; still less a presumption of the existence of evidence which has not been produced’.</w:t>
      </w:r>
      <w:r w:rsidRPr="005B6084">
        <w:rPr>
          <w:rStyle w:val="Rimandonotaapidipagina"/>
        </w:rPr>
        <w:footnoteReference w:id="79"/>
      </w:r>
    </w:p>
    <w:p w14:paraId="07B882CB" w14:textId="6E63896B" w:rsidR="00100832" w:rsidRPr="005B6084" w:rsidRDefault="00100832" w:rsidP="00100832">
      <w:pPr>
        <w:spacing w:after="120" w:line="360" w:lineRule="exact"/>
        <w:ind w:firstLine="567"/>
        <w:jc w:val="both"/>
        <w:rPr>
          <w:rFonts w:ascii="Times New Roman" w:eastAsia="Times New Roman" w:hAnsi="Times New Roman"/>
          <w:sz w:val="24"/>
          <w:szCs w:val="24"/>
          <w:lang w:val="en-US" w:eastAsia="it-IT"/>
        </w:rPr>
      </w:pPr>
      <w:r w:rsidRPr="005B6084">
        <w:rPr>
          <w:rFonts w:ascii="Times New Roman" w:hAnsi="Times New Roman"/>
          <w:sz w:val="24"/>
          <w:szCs w:val="24"/>
          <w:lang w:val="en-US" w:eastAsia="it-IT"/>
        </w:rPr>
        <w:t xml:space="preserve">The application of </w:t>
      </w:r>
      <w:r w:rsidRPr="005B6084">
        <w:rPr>
          <w:rFonts w:ascii="Times New Roman" w:hAnsi="Times New Roman"/>
          <w:sz w:val="24"/>
          <w:szCs w:val="24"/>
        </w:rPr>
        <w:t xml:space="preserve">the </w:t>
      </w:r>
      <w:r w:rsidRPr="005B6084">
        <w:rPr>
          <w:rFonts w:ascii="Times New Roman" w:hAnsi="Times New Roman"/>
          <w:i/>
          <w:sz w:val="24"/>
          <w:szCs w:val="24"/>
        </w:rPr>
        <w:t xml:space="preserve">onus </w:t>
      </w:r>
      <w:proofErr w:type="spellStart"/>
      <w:r w:rsidRPr="005B6084">
        <w:rPr>
          <w:rFonts w:ascii="Times New Roman" w:hAnsi="Times New Roman"/>
          <w:i/>
          <w:sz w:val="24"/>
          <w:szCs w:val="24"/>
        </w:rPr>
        <w:t>probandi</w:t>
      </w:r>
      <w:proofErr w:type="spellEnd"/>
      <w:r w:rsidRPr="005B6084">
        <w:rPr>
          <w:rFonts w:ascii="Times New Roman" w:hAnsi="Times New Roman"/>
          <w:i/>
          <w:sz w:val="24"/>
          <w:szCs w:val="24"/>
        </w:rPr>
        <w:t xml:space="preserve"> </w:t>
      </w:r>
      <w:proofErr w:type="spellStart"/>
      <w:r w:rsidRPr="005B6084">
        <w:rPr>
          <w:rFonts w:ascii="Times New Roman" w:hAnsi="Times New Roman"/>
          <w:i/>
          <w:sz w:val="24"/>
          <w:szCs w:val="24"/>
        </w:rPr>
        <w:t>incumbit</w:t>
      </w:r>
      <w:proofErr w:type="spellEnd"/>
      <w:r w:rsidRPr="005B6084">
        <w:rPr>
          <w:rFonts w:ascii="Times New Roman" w:hAnsi="Times New Roman"/>
          <w:i/>
          <w:sz w:val="24"/>
          <w:szCs w:val="24"/>
        </w:rPr>
        <w:t xml:space="preserve"> </w:t>
      </w:r>
      <w:proofErr w:type="spellStart"/>
      <w:r w:rsidRPr="005B6084">
        <w:rPr>
          <w:rFonts w:ascii="Times New Roman" w:hAnsi="Times New Roman"/>
          <w:i/>
          <w:sz w:val="24"/>
          <w:szCs w:val="24"/>
        </w:rPr>
        <w:t>actori</w:t>
      </w:r>
      <w:proofErr w:type="spellEnd"/>
      <w:r w:rsidRPr="005B6084">
        <w:rPr>
          <w:rFonts w:ascii="Times New Roman" w:hAnsi="Times New Roman"/>
          <w:sz w:val="24"/>
          <w:szCs w:val="24"/>
        </w:rPr>
        <w:t xml:space="preserve"> principle is also not affected by the possible asymmetry in the position of the litigants in discharging the burden of proof </w:t>
      </w:r>
      <w:proofErr w:type="gramStart"/>
      <w:r w:rsidRPr="005B6084">
        <w:rPr>
          <w:rFonts w:ascii="Times New Roman" w:hAnsi="Times New Roman"/>
          <w:sz w:val="24"/>
          <w:szCs w:val="24"/>
        </w:rPr>
        <w:t>due to the fact that</w:t>
      </w:r>
      <w:proofErr w:type="gramEnd"/>
      <w:r w:rsidRPr="005B6084">
        <w:rPr>
          <w:rFonts w:ascii="Times New Roman" w:hAnsi="Times New Roman"/>
          <w:sz w:val="24"/>
          <w:szCs w:val="24"/>
        </w:rPr>
        <w:t xml:space="preserve"> one has acted covertly (as is virtually always the case of cyber operations).</w:t>
      </w:r>
      <w:r w:rsidRPr="005B6084">
        <w:rPr>
          <w:rStyle w:val="Rimandonotaapidipagina"/>
          <w:rFonts w:ascii="Times New Roman" w:hAnsi="Times New Roman"/>
          <w:sz w:val="24"/>
          <w:szCs w:val="24"/>
        </w:rPr>
        <w:footnoteReference w:id="80"/>
      </w:r>
      <w:r w:rsidRPr="005B6084">
        <w:rPr>
          <w:rFonts w:ascii="Times New Roman" w:hAnsi="Times New Roman"/>
          <w:sz w:val="24"/>
          <w:szCs w:val="24"/>
        </w:rPr>
        <w:t xml:space="preserve"> As Judge </w:t>
      </w:r>
      <w:proofErr w:type="spellStart"/>
      <w:r w:rsidRPr="005B6084">
        <w:rPr>
          <w:rFonts w:ascii="Times New Roman" w:hAnsi="Times New Roman"/>
          <w:sz w:val="24"/>
          <w:szCs w:val="24"/>
        </w:rPr>
        <w:t>Owada</w:t>
      </w:r>
      <w:proofErr w:type="spellEnd"/>
      <w:r w:rsidRPr="005B6084">
        <w:rPr>
          <w:rFonts w:ascii="Times New Roman" w:hAnsi="Times New Roman"/>
          <w:sz w:val="24"/>
          <w:szCs w:val="24"/>
        </w:rPr>
        <w:t xml:space="preserve"> points out in his Separate Opinion attached to the </w:t>
      </w:r>
      <w:r w:rsidRPr="005B6084">
        <w:rPr>
          <w:rFonts w:ascii="Times New Roman" w:hAnsi="Times New Roman"/>
          <w:i/>
          <w:sz w:val="24"/>
          <w:szCs w:val="24"/>
        </w:rPr>
        <w:t>Oil Platforms</w:t>
      </w:r>
      <w:r w:rsidRPr="005B6084">
        <w:rPr>
          <w:rFonts w:ascii="Times New Roman" w:hAnsi="Times New Roman"/>
          <w:sz w:val="24"/>
          <w:szCs w:val="24"/>
        </w:rPr>
        <w:t xml:space="preserve"> Judgment, however, the Court should </w:t>
      </w:r>
      <w:r w:rsidR="00FC23AE" w:rsidRPr="005B6084">
        <w:rPr>
          <w:rFonts w:ascii="Times New Roman" w:hAnsi="Times New Roman"/>
          <w:sz w:val="24"/>
          <w:szCs w:val="24"/>
        </w:rPr>
        <w:t>‘</w:t>
      </w:r>
      <w:r w:rsidRPr="005B6084">
        <w:rPr>
          <w:rFonts w:ascii="Times New Roman" w:hAnsi="Times New Roman"/>
          <w:sz w:val="24"/>
          <w:szCs w:val="24"/>
        </w:rPr>
        <w:t xml:space="preserve">take </w:t>
      </w:r>
      <w:r w:rsidRPr="005B6084">
        <w:rPr>
          <w:rFonts w:ascii="Times New Roman" w:eastAsia="Times New Roman" w:hAnsi="Times New Roman"/>
          <w:sz w:val="24"/>
          <w:szCs w:val="24"/>
          <w:lang w:val="en-US" w:eastAsia="it-IT"/>
        </w:rPr>
        <w:t xml:space="preserve">a more proactive stance on the </w:t>
      </w:r>
      <w:r w:rsidRPr="005B6084">
        <w:rPr>
          <w:rFonts w:ascii="Times New Roman" w:eastAsia="Times New Roman" w:hAnsi="Times New Roman"/>
          <w:sz w:val="24"/>
          <w:szCs w:val="24"/>
          <w:lang w:val="en-US" w:eastAsia="it-IT"/>
        </w:rPr>
        <w:lastRenderedPageBreak/>
        <w:t>issue of evidence and that of fact-finding’ in such cases so</w:t>
      </w:r>
      <w:r w:rsidR="00A65018" w:rsidRPr="005B6084">
        <w:rPr>
          <w:rFonts w:ascii="Times New Roman" w:eastAsia="Times New Roman" w:hAnsi="Times New Roman"/>
          <w:sz w:val="24"/>
          <w:szCs w:val="24"/>
          <w:lang w:val="en-US" w:eastAsia="it-IT"/>
        </w:rPr>
        <w:t xml:space="preserve"> </w:t>
      </w:r>
      <w:r w:rsidRPr="005B6084">
        <w:rPr>
          <w:rFonts w:ascii="Times New Roman" w:eastAsia="Times New Roman" w:hAnsi="Times New Roman"/>
          <w:sz w:val="24"/>
          <w:szCs w:val="24"/>
          <w:lang w:val="en-US" w:eastAsia="it-IT"/>
        </w:rPr>
        <w:t>to ensure that t</w:t>
      </w:r>
      <w:r w:rsidR="008A2494" w:rsidRPr="005B6084">
        <w:rPr>
          <w:rFonts w:ascii="Times New Roman" w:eastAsia="Times New Roman" w:hAnsi="Times New Roman"/>
          <w:sz w:val="24"/>
          <w:szCs w:val="24"/>
          <w:lang w:val="en-US" w:eastAsia="it-IT"/>
        </w:rPr>
        <w:t>he rules of evidence are applied</w:t>
      </w:r>
      <w:r w:rsidRPr="005B6084">
        <w:rPr>
          <w:rFonts w:ascii="Times New Roman" w:eastAsia="Times New Roman" w:hAnsi="Times New Roman"/>
          <w:sz w:val="24"/>
          <w:szCs w:val="24"/>
          <w:lang w:val="en-US" w:eastAsia="it-IT"/>
        </w:rPr>
        <w:t xml:space="preserve"> in a ‘fair and equitable manner’ to both parties.</w:t>
      </w:r>
      <w:r w:rsidRPr="005B6084">
        <w:rPr>
          <w:rStyle w:val="Rimandonotaapidipagina"/>
          <w:rFonts w:ascii="Times New Roman" w:eastAsia="Times New Roman" w:hAnsi="Times New Roman"/>
          <w:sz w:val="24"/>
          <w:szCs w:val="24"/>
          <w:lang w:val="en-US" w:eastAsia="it-IT"/>
        </w:rPr>
        <w:footnoteReference w:id="81"/>
      </w:r>
    </w:p>
    <w:p w14:paraId="4C7E48BD" w14:textId="1BBBF825" w:rsidR="006E3FC2" w:rsidRPr="005B6084" w:rsidRDefault="006E3FC2" w:rsidP="00100832">
      <w:pPr>
        <w:autoSpaceDE w:val="0"/>
        <w:autoSpaceDN w:val="0"/>
        <w:adjustRightInd w:val="0"/>
        <w:spacing w:after="120" w:line="360" w:lineRule="exact"/>
        <w:ind w:firstLine="567"/>
        <w:jc w:val="both"/>
        <w:rPr>
          <w:rFonts w:ascii="Times New Roman" w:hAnsi="Times New Roman"/>
          <w:sz w:val="24"/>
          <w:szCs w:val="24"/>
          <w:lang w:val="en-US" w:eastAsia="it-IT"/>
        </w:rPr>
      </w:pPr>
      <w:r w:rsidRPr="005B6084">
        <w:rPr>
          <w:rFonts w:ascii="Times New Roman" w:hAnsi="Times New Roman"/>
          <w:sz w:val="24"/>
          <w:szCs w:val="24"/>
          <w:lang w:val="en-US" w:eastAsia="it-IT"/>
        </w:rPr>
        <w:t xml:space="preserve">Finally, it </w:t>
      </w:r>
      <w:proofErr w:type="gramStart"/>
      <w:r w:rsidRPr="005B6084">
        <w:rPr>
          <w:rFonts w:ascii="Times New Roman" w:hAnsi="Times New Roman"/>
          <w:sz w:val="24"/>
          <w:szCs w:val="24"/>
          <w:lang w:val="en-US" w:eastAsia="it-IT"/>
        </w:rPr>
        <w:t>has been argued</w:t>
      </w:r>
      <w:proofErr w:type="gramEnd"/>
      <w:r w:rsidRPr="005B6084">
        <w:rPr>
          <w:rFonts w:ascii="Times New Roman" w:hAnsi="Times New Roman"/>
          <w:sz w:val="24"/>
          <w:szCs w:val="24"/>
          <w:lang w:val="en-US" w:eastAsia="it-IT"/>
        </w:rPr>
        <w:t xml:space="preserve"> that a reversal of the burden of proof may derive from </w:t>
      </w:r>
      <w:r w:rsidR="00B7368F" w:rsidRPr="005B6084">
        <w:rPr>
          <w:rFonts w:ascii="Times New Roman" w:hAnsi="Times New Roman"/>
          <w:sz w:val="24"/>
          <w:szCs w:val="24"/>
          <w:lang w:val="en-US" w:eastAsia="it-IT"/>
        </w:rPr>
        <w:t xml:space="preserve">an </w:t>
      </w:r>
      <w:r w:rsidRPr="005B6084">
        <w:rPr>
          <w:rFonts w:ascii="Times New Roman" w:hAnsi="Times New Roman"/>
          <w:sz w:val="24"/>
          <w:szCs w:val="24"/>
          <w:lang w:val="en-US" w:eastAsia="it-IT"/>
        </w:rPr>
        <w:t xml:space="preserve">application of the precautionary principle </w:t>
      </w:r>
      <w:r w:rsidR="00B7368F" w:rsidRPr="005B6084">
        <w:rPr>
          <w:rFonts w:ascii="Times New Roman" w:hAnsi="Times New Roman"/>
          <w:sz w:val="24"/>
          <w:szCs w:val="24"/>
          <w:lang w:val="en-US" w:eastAsia="it-IT"/>
        </w:rPr>
        <w:t xml:space="preserve">deriving from international environmental law </w:t>
      </w:r>
      <w:r w:rsidRPr="005B6084">
        <w:rPr>
          <w:rFonts w:ascii="Times New Roman" w:hAnsi="Times New Roman"/>
          <w:sz w:val="24"/>
          <w:szCs w:val="24"/>
          <w:lang w:val="en-US" w:eastAsia="it-IT"/>
        </w:rPr>
        <w:t>in cyberspace.</w:t>
      </w:r>
      <w:bookmarkStart w:id="28" w:name="_Ref383515147"/>
      <w:r w:rsidRPr="005B6084">
        <w:rPr>
          <w:rStyle w:val="Rimandonotaapidipagina"/>
          <w:rFonts w:ascii="Times New Roman" w:hAnsi="Times New Roman"/>
          <w:sz w:val="24"/>
          <w:szCs w:val="24"/>
          <w:lang w:val="en-US" w:eastAsia="it-IT"/>
        </w:rPr>
        <w:footnoteReference w:id="82"/>
      </w:r>
      <w:bookmarkEnd w:id="28"/>
      <w:r w:rsidRPr="005B6084">
        <w:rPr>
          <w:rFonts w:ascii="Times New Roman" w:hAnsi="Times New Roman"/>
          <w:sz w:val="24"/>
          <w:szCs w:val="24"/>
          <w:lang w:val="en-US" w:eastAsia="it-IT"/>
        </w:rPr>
        <w:t xml:space="preserve"> </w:t>
      </w:r>
      <w:r w:rsidRPr="005B6084">
        <w:rPr>
          <w:rFonts w:ascii="Times New Roman" w:hAnsi="Times New Roman"/>
          <w:sz w:val="24"/>
          <w:szCs w:val="24"/>
          <w:lang w:val="en-US"/>
        </w:rPr>
        <w:t>The precautionary principle entails ‘the duty to undertake all appropriate regulatory and other measures at an early stage, and well before the (concrete) risk of harm occurs’.</w:t>
      </w:r>
      <w:r w:rsidRPr="005B6084">
        <w:rPr>
          <w:rStyle w:val="Rimandonotaapidipagina"/>
          <w:rFonts w:ascii="Times New Roman" w:hAnsi="Times New Roman"/>
          <w:sz w:val="24"/>
          <w:szCs w:val="24"/>
          <w:lang w:val="en-US"/>
        </w:rPr>
        <w:footnoteReference w:id="83"/>
      </w:r>
      <w:r w:rsidRPr="005B6084">
        <w:rPr>
          <w:rFonts w:ascii="Times New Roman" w:hAnsi="Times New Roman"/>
          <w:sz w:val="24"/>
          <w:szCs w:val="24"/>
          <w:lang w:val="en-US"/>
        </w:rPr>
        <w:t xml:space="preserve"> </w:t>
      </w:r>
      <w:r w:rsidR="00B7368F" w:rsidRPr="005B6084">
        <w:rPr>
          <w:rFonts w:ascii="Times New Roman" w:hAnsi="Times New Roman"/>
          <w:sz w:val="24"/>
          <w:szCs w:val="24"/>
          <w:lang w:val="en-US"/>
        </w:rPr>
        <w:t xml:space="preserve">On this view, </w:t>
      </w:r>
      <w:r w:rsidR="008A2494" w:rsidRPr="005B6084">
        <w:rPr>
          <w:rFonts w:ascii="Times New Roman" w:hAnsi="Times New Roman"/>
          <w:sz w:val="24"/>
          <w:szCs w:val="24"/>
          <w:lang w:val="en-US"/>
        </w:rPr>
        <w:t>s</w:t>
      </w:r>
      <w:r w:rsidRPr="005B6084">
        <w:rPr>
          <w:rFonts w:ascii="Times New Roman" w:hAnsi="Times New Roman"/>
          <w:sz w:val="24"/>
          <w:szCs w:val="24"/>
          <w:lang w:val="en-US"/>
        </w:rPr>
        <w:t>tates</w:t>
      </w:r>
      <w:r w:rsidR="00B7368F" w:rsidRPr="005B6084">
        <w:rPr>
          <w:rFonts w:ascii="Times New Roman" w:hAnsi="Times New Roman"/>
          <w:sz w:val="24"/>
          <w:szCs w:val="24"/>
          <w:lang w:val="en-US"/>
        </w:rPr>
        <w:t xml:space="preserve"> </w:t>
      </w:r>
      <w:r w:rsidRPr="005B6084">
        <w:rPr>
          <w:rFonts w:ascii="Times New Roman" w:hAnsi="Times New Roman"/>
          <w:sz w:val="24"/>
          <w:szCs w:val="24"/>
          <w:lang w:val="en-US"/>
        </w:rPr>
        <w:t>would have an obligation to implement measures to prevent the possible misuse of their cyber infrastructure, in particular by establishing a national cyber security framework.</w:t>
      </w:r>
      <w:r w:rsidRPr="005B6084">
        <w:rPr>
          <w:rStyle w:val="Rimandonotaapidipagina"/>
          <w:rFonts w:ascii="Times New Roman" w:hAnsi="Times New Roman"/>
          <w:sz w:val="24"/>
          <w:szCs w:val="24"/>
          <w:lang w:val="en-US"/>
        </w:rPr>
        <w:footnoteReference w:id="84"/>
      </w:r>
      <w:r w:rsidRPr="005B6084">
        <w:rPr>
          <w:rFonts w:ascii="Times New Roman" w:hAnsi="Times New Roman"/>
          <w:sz w:val="24"/>
          <w:szCs w:val="24"/>
          <w:lang w:val="en-US"/>
        </w:rPr>
        <w:t xml:space="preserve"> Regardless of </w:t>
      </w:r>
      <w:r w:rsidRPr="005B6084">
        <w:rPr>
          <w:rFonts w:ascii="Times New Roman" w:hAnsi="Times New Roman"/>
          <w:sz w:val="24"/>
          <w:szCs w:val="24"/>
          <w:lang w:val="en-US" w:eastAsia="it-IT"/>
        </w:rPr>
        <w:t>whether or not the precautionary principle, with its uncertain normativity, extends to cyberspace,</w:t>
      </w:r>
      <w:r w:rsidRPr="005B6084">
        <w:rPr>
          <w:rStyle w:val="Rimandonotaapidipagina"/>
          <w:rFonts w:ascii="Times New Roman" w:hAnsi="Times New Roman"/>
          <w:sz w:val="24"/>
          <w:szCs w:val="24"/>
          <w:lang w:val="en-US" w:eastAsia="it-IT"/>
        </w:rPr>
        <w:footnoteReference w:id="85"/>
      </w:r>
      <w:r w:rsidR="00B7368F" w:rsidRPr="005B6084">
        <w:rPr>
          <w:rFonts w:ascii="Times New Roman" w:hAnsi="Times New Roman"/>
          <w:sz w:val="24"/>
          <w:szCs w:val="24"/>
          <w:lang w:val="en-US" w:eastAsia="it-IT"/>
        </w:rPr>
        <w:t xml:space="preserve"> </w:t>
      </w:r>
      <w:r w:rsidRPr="005B6084">
        <w:rPr>
          <w:rFonts w:ascii="Times New Roman" w:hAnsi="Times New Roman"/>
          <w:sz w:val="24"/>
          <w:szCs w:val="24"/>
          <w:lang w:val="en-US" w:eastAsia="it-IT"/>
        </w:rPr>
        <w:t xml:space="preserve">it </w:t>
      </w:r>
      <w:r w:rsidR="00B7368F" w:rsidRPr="005B6084">
        <w:rPr>
          <w:rFonts w:ascii="Times New Roman" w:hAnsi="Times New Roman"/>
          <w:sz w:val="24"/>
          <w:szCs w:val="24"/>
          <w:lang w:val="en-US" w:eastAsia="it-IT"/>
        </w:rPr>
        <w:t xml:space="preserve">still </w:t>
      </w:r>
      <w:r w:rsidRPr="005B6084">
        <w:rPr>
          <w:rFonts w:ascii="Times New Roman" w:hAnsi="Times New Roman"/>
          <w:sz w:val="24"/>
          <w:szCs w:val="24"/>
          <w:lang w:val="en-US" w:eastAsia="it-IT"/>
        </w:rPr>
        <w:t xml:space="preserve">would not lead to a reversal of the burden of proof from the claimant to the state </w:t>
      </w:r>
      <w:r w:rsidR="008A2494" w:rsidRPr="005B6084">
        <w:rPr>
          <w:rFonts w:ascii="Times New Roman" w:hAnsi="Times New Roman"/>
          <w:sz w:val="24"/>
          <w:szCs w:val="24"/>
          <w:lang w:val="en-US" w:eastAsia="it-IT"/>
        </w:rPr>
        <w:t>from where the cyber operation originates</w:t>
      </w:r>
      <w:r w:rsidRPr="005B6084">
        <w:rPr>
          <w:rFonts w:ascii="Times New Roman" w:hAnsi="Times New Roman"/>
          <w:sz w:val="24"/>
          <w:szCs w:val="24"/>
          <w:lang w:val="en-US" w:eastAsia="it-IT"/>
        </w:rPr>
        <w:t xml:space="preserve">. In the </w:t>
      </w:r>
      <w:r w:rsidRPr="005B6084">
        <w:rPr>
          <w:rFonts w:ascii="Times New Roman" w:hAnsi="Times New Roman"/>
          <w:i/>
          <w:sz w:val="24"/>
          <w:szCs w:val="24"/>
          <w:lang w:val="en-US" w:eastAsia="it-IT"/>
        </w:rPr>
        <w:t>Pulp Mills</w:t>
      </w:r>
      <w:r w:rsidRPr="005B6084">
        <w:rPr>
          <w:rFonts w:ascii="Times New Roman" w:hAnsi="Times New Roman"/>
          <w:sz w:val="24"/>
          <w:szCs w:val="24"/>
          <w:lang w:val="en-US" w:eastAsia="it-IT"/>
        </w:rPr>
        <w:t xml:space="preserve"> case, the ICJ concluded that ‘while a precautionary approach may be relevant in the interpretation and application of the provisions of the Statute [of the River Uruguay], it does not follow that it operates as a reversal of the burden of proof’.</w:t>
      </w:r>
      <w:r w:rsidRPr="005B6084">
        <w:rPr>
          <w:rStyle w:val="Rimandonotaapidipagina"/>
          <w:rFonts w:ascii="Times New Roman" w:hAnsi="Times New Roman"/>
          <w:sz w:val="24"/>
          <w:szCs w:val="24"/>
          <w:lang w:val="en-US" w:eastAsia="it-IT"/>
        </w:rPr>
        <w:footnoteReference w:id="86"/>
      </w:r>
      <w:r w:rsidRPr="005B6084">
        <w:rPr>
          <w:rFonts w:ascii="Times New Roman" w:hAnsi="Times New Roman"/>
          <w:sz w:val="24"/>
          <w:szCs w:val="24"/>
          <w:lang w:val="en-US" w:eastAsia="it-IT"/>
        </w:rPr>
        <w:t xml:space="preserve"> The Court, however, did not specify whether the precautionary principle </w:t>
      </w:r>
      <w:proofErr w:type="gramStart"/>
      <w:r w:rsidR="00B7368F" w:rsidRPr="005B6084">
        <w:rPr>
          <w:rFonts w:ascii="Times New Roman" w:hAnsi="Times New Roman"/>
          <w:sz w:val="24"/>
          <w:szCs w:val="24"/>
          <w:lang w:val="en-US" w:eastAsia="it-IT"/>
        </w:rPr>
        <w:t>may</w:t>
      </w:r>
      <w:proofErr w:type="gramEnd"/>
      <w:r w:rsidR="00B7368F" w:rsidRPr="005B6084">
        <w:rPr>
          <w:rFonts w:ascii="Times New Roman" w:hAnsi="Times New Roman"/>
          <w:sz w:val="24"/>
          <w:szCs w:val="24"/>
          <w:lang w:val="en-US" w:eastAsia="it-IT"/>
        </w:rPr>
        <w:t xml:space="preserve"> result in </w:t>
      </w:r>
      <w:r w:rsidRPr="005B6084">
        <w:rPr>
          <w:rFonts w:ascii="Times New Roman" w:hAnsi="Times New Roman"/>
          <w:sz w:val="24"/>
          <w:szCs w:val="24"/>
          <w:lang w:val="en-US" w:eastAsia="it-IT"/>
        </w:rPr>
        <w:t xml:space="preserve">at least </w:t>
      </w:r>
      <w:r w:rsidR="00B7368F" w:rsidRPr="005B6084">
        <w:rPr>
          <w:rFonts w:ascii="Times New Roman" w:hAnsi="Times New Roman"/>
          <w:sz w:val="24"/>
          <w:szCs w:val="24"/>
          <w:lang w:val="en-US" w:eastAsia="it-IT"/>
        </w:rPr>
        <w:t xml:space="preserve">a lowering </w:t>
      </w:r>
      <w:r w:rsidRPr="005B6084">
        <w:rPr>
          <w:rFonts w:ascii="Times New Roman" w:hAnsi="Times New Roman"/>
          <w:sz w:val="24"/>
          <w:szCs w:val="24"/>
          <w:lang w:val="en-US" w:eastAsia="it-IT"/>
        </w:rPr>
        <w:t>of the standard of proof.</w:t>
      </w:r>
      <w:r w:rsidR="0008591D" w:rsidRPr="005B6084">
        <w:rPr>
          <w:rStyle w:val="Rimandonotaapidipagina"/>
          <w:rFonts w:ascii="Times New Roman" w:hAnsi="Times New Roman"/>
          <w:sz w:val="24"/>
          <w:szCs w:val="24"/>
          <w:lang w:val="en-US" w:eastAsia="it-IT"/>
        </w:rPr>
        <w:footnoteReference w:id="87"/>
      </w:r>
    </w:p>
    <w:p w14:paraId="23B94DD5" w14:textId="3CD88A94" w:rsidR="006E3FC2" w:rsidRPr="005B6084" w:rsidRDefault="006E3FC2" w:rsidP="00A72856">
      <w:pPr>
        <w:autoSpaceDE w:val="0"/>
        <w:autoSpaceDN w:val="0"/>
        <w:adjustRightInd w:val="0"/>
        <w:spacing w:after="120" w:line="360" w:lineRule="exact"/>
        <w:ind w:firstLine="567"/>
        <w:jc w:val="both"/>
        <w:rPr>
          <w:rFonts w:ascii="Times New Roman" w:hAnsi="Times New Roman"/>
          <w:sz w:val="24"/>
          <w:szCs w:val="24"/>
          <w:lang w:val="en-US" w:eastAsia="it-IT"/>
        </w:rPr>
      </w:pPr>
      <w:r w:rsidRPr="005B6084">
        <w:rPr>
          <w:rFonts w:ascii="Times New Roman" w:hAnsi="Times New Roman"/>
          <w:sz w:val="24"/>
          <w:szCs w:val="24"/>
          <w:lang w:val="en-US" w:eastAsia="it-IT"/>
        </w:rPr>
        <w:t xml:space="preserve">In light of the above, it </w:t>
      </w:r>
      <w:proofErr w:type="gramStart"/>
      <w:r w:rsidRPr="005B6084">
        <w:rPr>
          <w:rFonts w:ascii="Times New Roman" w:hAnsi="Times New Roman"/>
          <w:sz w:val="24"/>
          <w:szCs w:val="24"/>
          <w:lang w:val="en-US" w:eastAsia="it-IT"/>
        </w:rPr>
        <w:t>can be concluded</w:t>
      </w:r>
      <w:proofErr w:type="gramEnd"/>
      <w:r w:rsidRPr="005B6084">
        <w:rPr>
          <w:rFonts w:ascii="Times New Roman" w:hAnsi="Times New Roman"/>
          <w:sz w:val="24"/>
          <w:szCs w:val="24"/>
          <w:lang w:val="en-US" w:eastAsia="it-IT"/>
        </w:rPr>
        <w:t xml:space="preserve"> that it is unlikely that the ICJ </w:t>
      </w:r>
      <w:r w:rsidR="00B7368F" w:rsidRPr="005B6084">
        <w:rPr>
          <w:rFonts w:ascii="Times New Roman" w:hAnsi="Times New Roman"/>
          <w:sz w:val="24"/>
          <w:szCs w:val="24"/>
          <w:lang w:val="en-US" w:eastAsia="it-IT"/>
        </w:rPr>
        <w:t xml:space="preserve">would </w:t>
      </w:r>
      <w:r w:rsidRPr="005B6084">
        <w:rPr>
          <w:rFonts w:ascii="Times New Roman" w:hAnsi="Times New Roman"/>
          <w:sz w:val="24"/>
          <w:szCs w:val="24"/>
          <w:lang w:val="en-US" w:eastAsia="it-IT"/>
        </w:rPr>
        <w:t xml:space="preserve">accept </w:t>
      </w:r>
      <w:r w:rsidR="00B7368F" w:rsidRPr="005B6084">
        <w:rPr>
          <w:rFonts w:ascii="Times New Roman" w:hAnsi="Times New Roman"/>
          <w:sz w:val="24"/>
          <w:szCs w:val="24"/>
          <w:lang w:val="en-US" w:eastAsia="it-IT"/>
        </w:rPr>
        <w:t xml:space="preserve">that there is </w:t>
      </w:r>
      <w:r w:rsidRPr="005B6084">
        <w:rPr>
          <w:rFonts w:ascii="Times New Roman" w:hAnsi="Times New Roman"/>
          <w:sz w:val="24"/>
          <w:szCs w:val="24"/>
          <w:lang w:val="en-US" w:eastAsia="it-IT"/>
        </w:rPr>
        <w:t>a reversal of the burden of proof in the cyber context</w:t>
      </w:r>
      <w:r w:rsidR="00FC23AE" w:rsidRPr="005B6084">
        <w:rPr>
          <w:rFonts w:ascii="Times New Roman" w:hAnsi="Times New Roman"/>
          <w:sz w:val="24"/>
          <w:szCs w:val="24"/>
          <w:lang w:val="en-US" w:eastAsia="it-IT"/>
        </w:rPr>
        <w:t>.</w:t>
      </w:r>
      <w:r w:rsidRPr="005B6084">
        <w:rPr>
          <w:rFonts w:ascii="Times New Roman" w:hAnsi="Times New Roman"/>
          <w:sz w:val="24"/>
          <w:szCs w:val="24"/>
          <w:lang w:val="en-US" w:eastAsia="it-IT"/>
        </w:rPr>
        <w:t xml:space="preserve"> </w:t>
      </w:r>
      <w:r w:rsidRPr="005B6084">
        <w:rPr>
          <w:rFonts w:ascii="Times New Roman" w:hAnsi="Times New Roman"/>
          <w:sz w:val="24"/>
          <w:szCs w:val="24"/>
        </w:rPr>
        <w:t>As has been correctly argued, ‘suggesting a reversal of the burden of proof could easily lead to wrong and even absurd results given the possibility of routing cyber operations through numerous countries, and to the denouncing of wholly uninvolved and innocent States’.</w:t>
      </w:r>
      <w:r w:rsidRPr="005B6084">
        <w:rPr>
          <w:rStyle w:val="Rimandonotaapidipagina"/>
          <w:rFonts w:ascii="Times New Roman" w:hAnsi="Times New Roman"/>
          <w:sz w:val="24"/>
          <w:szCs w:val="24"/>
        </w:rPr>
        <w:footnoteReference w:id="88"/>
      </w:r>
      <w:r w:rsidRPr="005B6084">
        <w:rPr>
          <w:rFonts w:ascii="Times New Roman" w:hAnsi="Times New Roman"/>
          <w:sz w:val="24"/>
          <w:szCs w:val="24"/>
        </w:rPr>
        <w:t xml:space="preserve"> In the case of the 2007 </w:t>
      </w:r>
      <w:proofErr w:type="spellStart"/>
      <w:r w:rsidRPr="005B6084">
        <w:rPr>
          <w:rFonts w:ascii="Times New Roman" w:hAnsi="Times New Roman"/>
          <w:sz w:val="24"/>
          <w:szCs w:val="24"/>
        </w:rPr>
        <w:t>DDoS</w:t>
      </w:r>
      <w:proofErr w:type="spellEnd"/>
      <w:r w:rsidRPr="005B6084">
        <w:rPr>
          <w:rFonts w:ascii="Times New Roman" w:hAnsi="Times New Roman"/>
          <w:sz w:val="24"/>
          <w:szCs w:val="24"/>
        </w:rPr>
        <w:t xml:space="preserve"> campaign against Estonia, for instance, the botnets included computers located not only in Russia, but also in the United States, Europe, Canada, Brazil, Vietnam and other countries.</w:t>
      </w:r>
      <w:r w:rsidRPr="005B6084">
        <w:rPr>
          <w:rStyle w:val="Rimandonotaapidipagina"/>
          <w:rFonts w:ascii="Times New Roman" w:hAnsi="Times New Roman"/>
          <w:sz w:val="24"/>
          <w:szCs w:val="24"/>
        </w:rPr>
        <w:footnoteReference w:id="89"/>
      </w:r>
      <w:r w:rsidRPr="005B6084">
        <w:rPr>
          <w:rFonts w:ascii="Times New Roman" w:hAnsi="Times New Roman"/>
          <w:sz w:val="24"/>
          <w:szCs w:val="24"/>
        </w:rPr>
        <w:t xml:space="preserve"> </w:t>
      </w:r>
      <w:r w:rsidRPr="005B6084">
        <w:rPr>
          <w:rFonts w:ascii="Times New Roman" w:hAnsi="Times New Roman"/>
          <w:sz w:val="24"/>
          <w:szCs w:val="24"/>
          <w:lang w:val="en-US" w:eastAsia="it-IT"/>
        </w:rPr>
        <w:t xml:space="preserve">Difficulties in discharging the burden of proof, </w:t>
      </w:r>
      <w:r w:rsidR="00B7368F" w:rsidRPr="005B6084">
        <w:rPr>
          <w:rFonts w:ascii="Times New Roman" w:hAnsi="Times New Roman"/>
          <w:sz w:val="24"/>
          <w:szCs w:val="24"/>
          <w:lang w:val="en-US" w:eastAsia="it-IT"/>
        </w:rPr>
        <w:t xml:space="preserve">which are </w:t>
      </w:r>
      <w:r w:rsidRPr="005B6084">
        <w:rPr>
          <w:rFonts w:ascii="Times New Roman" w:hAnsi="Times New Roman"/>
          <w:sz w:val="24"/>
          <w:szCs w:val="24"/>
          <w:lang w:val="en-US" w:eastAsia="it-IT"/>
        </w:rPr>
        <w:t xml:space="preserve">particularly significant in the context under examination, may however </w:t>
      </w:r>
      <w:r w:rsidR="008A2494" w:rsidRPr="005B6084">
        <w:rPr>
          <w:rFonts w:ascii="Times New Roman" w:hAnsi="Times New Roman"/>
          <w:sz w:val="24"/>
          <w:szCs w:val="24"/>
          <w:lang w:val="en-US" w:eastAsia="it-IT"/>
        </w:rPr>
        <w:t>result in an alleviation of</w:t>
      </w:r>
      <w:r w:rsidR="00B7368F" w:rsidRPr="005B6084">
        <w:rPr>
          <w:rFonts w:ascii="Times New Roman" w:hAnsi="Times New Roman"/>
          <w:sz w:val="24"/>
          <w:szCs w:val="24"/>
          <w:lang w:val="en-US" w:eastAsia="it-IT"/>
        </w:rPr>
        <w:t xml:space="preserve"> </w:t>
      </w:r>
      <w:r w:rsidRPr="005B6084">
        <w:rPr>
          <w:rFonts w:ascii="Times New Roman" w:hAnsi="Times New Roman"/>
          <w:sz w:val="24"/>
          <w:szCs w:val="24"/>
          <w:lang w:val="en-US" w:eastAsia="it-IT"/>
        </w:rPr>
        <w:t xml:space="preserve">the standard of proof required to demonstrate a </w:t>
      </w:r>
      <w:r w:rsidR="00B7368F" w:rsidRPr="005B6084">
        <w:rPr>
          <w:rFonts w:ascii="Times New Roman" w:hAnsi="Times New Roman"/>
          <w:sz w:val="24"/>
          <w:szCs w:val="24"/>
          <w:lang w:val="en-US" w:eastAsia="it-IT"/>
        </w:rPr>
        <w:t xml:space="preserve">particular </w:t>
      </w:r>
      <w:r w:rsidRPr="005B6084">
        <w:rPr>
          <w:rFonts w:ascii="Times New Roman" w:hAnsi="Times New Roman"/>
          <w:sz w:val="24"/>
          <w:szCs w:val="24"/>
          <w:lang w:val="en-US" w:eastAsia="it-IT"/>
        </w:rPr>
        <w:t xml:space="preserve">fact. It is to </w:t>
      </w:r>
      <w:r w:rsidR="008A2494" w:rsidRPr="005B6084">
        <w:rPr>
          <w:rFonts w:ascii="Times New Roman" w:hAnsi="Times New Roman"/>
          <w:sz w:val="24"/>
          <w:szCs w:val="24"/>
          <w:lang w:val="en-US" w:eastAsia="it-IT"/>
        </w:rPr>
        <w:t>this</w:t>
      </w:r>
      <w:r w:rsidR="00B7368F" w:rsidRPr="005B6084">
        <w:rPr>
          <w:rFonts w:ascii="Times New Roman" w:hAnsi="Times New Roman"/>
          <w:sz w:val="24"/>
          <w:szCs w:val="24"/>
          <w:lang w:val="en-US" w:eastAsia="it-IT"/>
        </w:rPr>
        <w:t xml:space="preserve"> </w:t>
      </w:r>
      <w:r w:rsidR="008A2494" w:rsidRPr="005B6084">
        <w:rPr>
          <w:rFonts w:ascii="Times New Roman" w:hAnsi="Times New Roman"/>
          <w:sz w:val="24"/>
          <w:szCs w:val="24"/>
          <w:lang w:val="en-US" w:eastAsia="it-IT"/>
        </w:rPr>
        <w:t>aspect</w:t>
      </w:r>
      <w:r w:rsidR="00B7368F" w:rsidRPr="005B6084">
        <w:rPr>
          <w:rFonts w:ascii="Times New Roman" w:hAnsi="Times New Roman"/>
          <w:sz w:val="24"/>
          <w:szCs w:val="24"/>
          <w:lang w:val="en-US" w:eastAsia="it-IT"/>
        </w:rPr>
        <w:t xml:space="preserve"> </w:t>
      </w:r>
      <w:r w:rsidRPr="005B6084">
        <w:rPr>
          <w:rFonts w:ascii="Times New Roman" w:hAnsi="Times New Roman"/>
          <w:sz w:val="24"/>
          <w:szCs w:val="24"/>
          <w:lang w:val="en-US" w:eastAsia="it-IT"/>
        </w:rPr>
        <w:t>that the analysis now turns.</w:t>
      </w:r>
    </w:p>
    <w:p w14:paraId="16EBAFAF" w14:textId="77777777" w:rsidR="006E3FC2" w:rsidRPr="005B6084" w:rsidRDefault="006E3FC2" w:rsidP="003859CB">
      <w:pPr>
        <w:pStyle w:val="P"/>
        <w:spacing w:after="120" w:line="360" w:lineRule="exact"/>
        <w:jc w:val="both"/>
      </w:pPr>
    </w:p>
    <w:p w14:paraId="6ABF951A" w14:textId="77777777" w:rsidR="006E3FC2" w:rsidRPr="005B6084" w:rsidRDefault="006E3FC2" w:rsidP="002D361A">
      <w:pPr>
        <w:pStyle w:val="P"/>
        <w:spacing w:after="120" w:line="360" w:lineRule="exact"/>
        <w:jc w:val="both"/>
        <w:outlineLvl w:val="0"/>
        <w:rPr>
          <w:b/>
        </w:rPr>
      </w:pPr>
      <w:r w:rsidRPr="005B6084">
        <w:rPr>
          <w:b/>
        </w:rPr>
        <w:t>4. Standard of proof and cyber operations</w:t>
      </w:r>
    </w:p>
    <w:p w14:paraId="52C8000E" w14:textId="77777777" w:rsidR="006E3FC2" w:rsidRPr="005B6084" w:rsidRDefault="006E3FC2" w:rsidP="00F25EFD">
      <w:pPr>
        <w:pStyle w:val="P"/>
        <w:spacing w:after="120" w:line="360" w:lineRule="exact"/>
        <w:jc w:val="both"/>
        <w:rPr>
          <w:b/>
        </w:rPr>
      </w:pPr>
    </w:p>
    <w:p w14:paraId="5DB6EB5B" w14:textId="69A5F435" w:rsidR="006E3FC2" w:rsidRPr="005B6084" w:rsidRDefault="006E3FC2" w:rsidP="00467E90">
      <w:pPr>
        <w:autoSpaceDE w:val="0"/>
        <w:autoSpaceDN w:val="0"/>
        <w:adjustRightInd w:val="0"/>
        <w:spacing w:after="120" w:line="360" w:lineRule="exact"/>
        <w:jc w:val="both"/>
        <w:rPr>
          <w:rFonts w:ascii="Times New Roman" w:eastAsia="SimSun" w:hAnsi="Times New Roman"/>
          <w:sz w:val="24"/>
          <w:szCs w:val="24"/>
          <w:lang w:val="en-US" w:eastAsia="it-IT"/>
        </w:rPr>
      </w:pPr>
      <w:proofErr w:type="gramStart"/>
      <w:r w:rsidRPr="005B6084">
        <w:rPr>
          <w:rFonts w:ascii="Times New Roman" w:eastAsia="SimSun" w:hAnsi="Times New Roman"/>
          <w:sz w:val="24"/>
          <w:szCs w:val="24"/>
          <w:lang w:val="en-US" w:eastAsia="it-IT"/>
        </w:rPr>
        <w:t>It is well-known that, while in civil law systems there are no specific standards of proof that judges have to apply as they</w:t>
      </w:r>
      <w:r w:rsidR="00B7368F" w:rsidRPr="005B6084">
        <w:rPr>
          <w:rFonts w:ascii="Times New Roman" w:eastAsia="SimSun" w:hAnsi="Times New Roman"/>
          <w:sz w:val="24"/>
          <w:szCs w:val="24"/>
          <w:lang w:val="en-US" w:eastAsia="it-IT"/>
        </w:rPr>
        <w:t xml:space="preserve"> are authorized to </w:t>
      </w:r>
      <w:r w:rsidRPr="005B6084">
        <w:rPr>
          <w:rFonts w:ascii="Times New Roman" w:eastAsia="SimSun" w:hAnsi="Times New Roman"/>
          <w:sz w:val="24"/>
          <w:szCs w:val="24"/>
          <w:lang w:val="en-US" w:eastAsia="it-IT"/>
        </w:rPr>
        <w:t>evaluate the evidence produced according to their personal convictions on a case-by-case basis, common law jurisdictions employ a rigid classification of standards, including (from the most stringent to the least) beyond reasonable doubt (i</w:t>
      </w:r>
      <w:r w:rsidR="005B6084" w:rsidRPr="005B6084">
        <w:rPr>
          <w:rFonts w:ascii="Times New Roman" w:eastAsia="SimSun" w:hAnsi="Times New Roman"/>
          <w:sz w:val="24"/>
          <w:szCs w:val="24"/>
          <w:lang w:val="en-US" w:eastAsia="it-IT"/>
        </w:rPr>
        <w:t>.</w:t>
      </w:r>
      <w:r w:rsidRPr="005B6084">
        <w:rPr>
          <w:rFonts w:ascii="Times New Roman" w:eastAsia="SimSun" w:hAnsi="Times New Roman"/>
          <w:sz w:val="24"/>
          <w:szCs w:val="24"/>
          <w:lang w:val="en-US" w:eastAsia="it-IT"/>
        </w:rPr>
        <w:t>e</w:t>
      </w:r>
      <w:r w:rsidR="005B6084" w:rsidRPr="005B6084">
        <w:rPr>
          <w:rFonts w:ascii="Times New Roman" w:eastAsia="SimSun" w:hAnsi="Times New Roman"/>
          <w:sz w:val="24"/>
          <w:szCs w:val="24"/>
          <w:lang w:val="en-US" w:eastAsia="it-IT"/>
        </w:rPr>
        <w:t>.</w:t>
      </w:r>
      <w:r w:rsidRPr="005B6084">
        <w:rPr>
          <w:rFonts w:ascii="Times New Roman" w:eastAsia="SimSun" w:hAnsi="Times New Roman"/>
          <w:sz w:val="24"/>
          <w:szCs w:val="24"/>
          <w:lang w:val="en-US" w:eastAsia="it-IT"/>
        </w:rPr>
        <w:t xml:space="preserve"> indisputable evidence, used in criminal trials), clear and convincing (or compelling) evidence (i</w:t>
      </w:r>
      <w:r w:rsidR="005B6084" w:rsidRPr="005B6084">
        <w:rPr>
          <w:rFonts w:ascii="Times New Roman" w:eastAsia="SimSun" w:hAnsi="Times New Roman"/>
          <w:sz w:val="24"/>
          <w:szCs w:val="24"/>
          <w:lang w:val="en-US" w:eastAsia="it-IT"/>
        </w:rPr>
        <w:t>.</w:t>
      </w:r>
      <w:r w:rsidRPr="005B6084">
        <w:rPr>
          <w:rFonts w:ascii="Times New Roman" w:eastAsia="SimSun" w:hAnsi="Times New Roman"/>
          <w:sz w:val="24"/>
          <w:szCs w:val="24"/>
          <w:lang w:val="en-US" w:eastAsia="it-IT"/>
        </w:rPr>
        <w:t>e</w:t>
      </w:r>
      <w:r w:rsidR="005B6084" w:rsidRPr="005B6084">
        <w:rPr>
          <w:rFonts w:ascii="Times New Roman" w:eastAsia="SimSun" w:hAnsi="Times New Roman"/>
          <w:sz w:val="24"/>
          <w:szCs w:val="24"/>
          <w:lang w:val="en-US" w:eastAsia="it-IT"/>
        </w:rPr>
        <w:t>.</w:t>
      </w:r>
      <w:r w:rsidRPr="005B6084">
        <w:rPr>
          <w:rFonts w:ascii="Times New Roman" w:eastAsia="SimSun" w:hAnsi="Times New Roman"/>
          <w:sz w:val="24"/>
          <w:szCs w:val="24"/>
          <w:lang w:val="en-US" w:eastAsia="it-IT"/>
        </w:rPr>
        <w:t xml:space="preserve"> more than probable but short of indisputable) and preponderance of evidence or balance of probabilities (more likely than not, reasonably probable, normally used in civil proceedings).</w:t>
      </w:r>
      <w:bookmarkStart w:id="29" w:name="_Ref389206061"/>
      <w:r w:rsidRPr="005B6084">
        <w:rPr>
          <w:rStyle w:val="Rimandonotaapidipagina"/>
          <w:rFonts w:ascii="Times New Roman" w:hAnsi="Times New Roman"/>
          <w:sz w:val="24"/>
          <w:szCs w:val="24"/>
          <w:lang w:val="en-US" w:eastAsia="it-IT"/>
        </w:rPr>
        <w:footnoteReference w:id="90"/>
      </w:r>
      <w:bookmarkEnd w:id="29"/>
      <w:proofErr w:type="gramEnd"/>
      <w:r w:rsidRPr="005B6084">
        <w:rPr>
          <w:rFonts w:ascii="Times New Roman" w:eastAsia="SimSun" w:hAnsi="Times New Roman"/>
          <w:sz w:val="24"/>
          <w:szCs w:val="24"/>
          <w:lang w:val="en-US" w:eastAsia="it-IT"/>
        </w:rPr>
        <w:t xml:space="preserve"> A fourth standard is that of </w:t>
      </w:r>
      <w:r w:rsidRPr="005B6084">
        <w:rPr>
          <w:rFonts w:ascii="Times New Roman" w:eastAsia="SimSun" w:hAnsi="Times New Roman"/>
          <w:i/>
          <w:sz w:val="24"/>
          <w:szCs w:val="24"/>
          <w:lang w:val="en-US" w:eastAsia="it-IT"/>
        </w:rPr>
        <w:t>prima facie</w:t>
      </w:r>
      <w:r w:rsidRPr="005B6084">
        <w:rPr>
          <w:rFonts w:ascii="Times New Roman" w:eastAsia="SimSun" w:hAnsi="Times New Roman"/>
          <w:sz w:val="24"/>
          <w:szCs w:val="24"/>
          <w:lang w:val="en-US" w:eastAsia="it-IT"/>
        </w:rPr>
        <w:t xml:space="preserve"> evidence, </w:t>
      </w:r>
      <w:r w:rsidR="00B7368F" w:rsidRPr="005B6084">
        <w:rPr>
          <w:rFonts w:ascii="Times New Roman" w:eastAsia="SimSun" w:hAnsi="Times New Roman"/>
          <w:sz w:val="24"/>
          <w:szCs w:val="24"/>
          <w:lang w:val="en-US" w:eastAsia="it-IT"/>
        </w:rPr>
        <w:t xml:space="preserve">which </w:t>
      </w:r>
      <w:r w:rsidRPr="005B6084">
        <w:rPr>
          <w:rFonts w:ascii="Times New Roman" w:eastAsia="SimSun" w:hAnsi="Times New Roman"/>
          <w:sz w:val="24"/>
          <w:szCs w:val="24"/>
          <w:lang w:val="en-US" w:eastAsia="it-IT"/>
        </w:rPr>
        <w:t xml:space="preserve">merely requires </w:t>
      </w:r>
      <w:r w:rsidR="00262768" w:rsidRPr="005B6084">
        <w:rPr>
          <w:rFonts w:ascii="Times New Roman" w:eastAsia="SimSun" w:hAnsi="Times New Roman"/>
          <w:sz w:val="24"/>
          <w:szCs w:val="24"/>
          <w:lang w:val="en-US" w:eastAsia="it-IT"/>
        </w:rPr>
        <w:t xml:space="preserve">indicative </w:t>
      </w:r>
      <w:r w:rsidRPr="005B6084">
        <w:rPr>
          <w:rFonts w:ascii="Times New Roman" w:eastAsia="SimSun" w:hAnsi="Times New Roman"/>
          <w:sz w:val="24"/>
          <w:szCs w:val="24"/>
          <w:lang w:val="en-US" w:eastAsia="it-IT"/>
        </w:rPr>
        <w:t xml:space="preserve">proof </w:t>
      </w:r>
      <w:r w:rsidR="00262768" w:rsidRPr="005B6084">
        <w:rPr>
          <w:rFonts w:ascii="Times New Roman" w:eastAsia="SimSun" w:hAnsi="Times New Roman"/>
          <w:sz w:val="24"/>
          <w:szCs w:val="24"/>
          <w:lang w:val="en-US" w:eastAsia="it-IT"/>
        </w:rPr>
        <w:t>of</w:t>
      </w:r>
      <w:r w:rsidR="00B7368F" w:rsidRPr="005B6084">
        <w:rPr>
          <w:rFonts w:ascii="Times New Roman" w:eastAsia="SimSun" w:hAnsi="Times New Roman"/>
          <w:sz w:val="24"/>
          <w:szCs w:val="24"/>
          <w:lang w:val="en-US" w:eastAsia="it-IT"/>
        </w:rPr>
        <w:t xml:space="preserve"> the correctness </w:t>
      </w:r>
      <w:r w:rsidRPr="005B6084">
        <w:rPr>
          <w:rFonts w:ascii="Times New Roman" w:eastAsia="SimSun" w:hAnsi="Times New Roman"/>
          <w:sz w:val="24"/>
          <w:szCs w:val="24"/>
          <w:lang w:val="en-US" w:eastAsia="it-IT"/>
        </w:rPr>
        <w:t>of the contention</w:t>
      </w:r>
      <w:r w:rsidR="00B7368F" w:rsidRPr="005B6084">
        <w:rPr>
          <w:rFonts w:ascii="Times New Roman" w:eastAsia="SimSun" w:hAnsi="Times New Roman"/>
          <w:sz w:val="24"/>
          <w:szCs w:val="24"/>
          <w:lang w:val="en-US" w:eastAsia="it-IT"/>
        </w:rPr>
        <w:t xml:space="preserve"> made</w:t>
      </w:r>
      <w:r w:rsidRPr="005B6084">
        <w:rPr>
          <w:rFonts w:ascii="Times New Roman" w:eastAsia="SimSun" w:hAnsi="Times New Roman"/>
          <w:sz w:val="24"/>
          <w:szCs w:val="24"/>
          <w:lang w:val="en-US" w:eastAsia="it-IT"/>
        </w:rPr>
        <w:t>.</w:t>
      </w:r>
      <w:r w:rsidRPr="005B6084">
        <w:rPr>
          <w:rStyle w:val="Rimandonotaapidipagina"/>
          <w:rFonts w:ascii="Times New Roman" w:hAnsi="Times New Roman"/>
          <w:sz w:val="24"/>
          <w:szCs w:val="24"/>
          <w:lang w:val="en-US" w:eastAsia="it-IT"/>
        </w:rPr>
        <w:footnoteReference w:id="91"/>
      </w:r>
    </w:p>
    <w:p w14:paraId="3E1669B0" w14:textId="1AC958FA" w:rsidR="00DE5F56" w:rsidRPr="005B6084" w:rsidRDefault="00FC23AE" w:rsidP="00FC23AE">
      <w:pPr>
        <w:autoSpaceDE w:val="0"/>
        <w:autoSpaceDN w:val="0"/>
        <w:adjustRightInd w:val="0"/>
        <w:spacing w:after="120" w:line="360" w:lineRule="exact"/>
        <w:ind w:firstLine="567"/>
        <w:jc w:val="both"/>
        <w:rPr>
          <w:rFonts w:ascii="Times New Roman" w:eastAsia="SimSun" w:hAnsi="Times New Roman"/>
          <w:sz w:val="24"/>
          <w:szCs w:val="24"/>
          <w:lang w:val="en-US" w:eastAsia="it-IT"/>
        </w:rPr>
      </w:pPr>
      <w:r w:rsidRPr="005B6084">
        <w:rPr>
          <w:rFonts w:ascii="Times New Roman" w:hAnsi="Times New Roman"/>
          <w:sz w:val="24"/>
          <w:szCs w:val="24"/>
          <w:lang w:val="en-US" w:eastAsia="it-IT"/>
        </w:rPr>
        <w:t>The</w:t>
      </w:r>
      <w:r w:rsidRPr="005B6084">
        <w:rPr>
          <w:rFonts w:ascii="Times New Roman" w:eastAsia="SimSun" w:hAnsi="Times New Roman"/>
          <w:sz w:val="24"/>
          <w:szCs w:val="24"/>
          <w:lang w:val="en-US" w:eastAsia="it-IT"/>
        </w:rPr>
        <w:t xml:space="preserve"> Statute </w:t>
      </w:r>
      <w:r w:rsidR="00B7368F" w:rsidRPr="005B6084">
        <w:rPr>
          <w:rFonts w:ascii="Times New Roman" w:eastAsia="SimSun" w:hAnsi="Times New Roman"/>
          <w:sz w:val="24"/>
          <w:szCs w:val="24"/>
          <w:lang w:val="en-US" w:eastAsia="it-IT"/>
        </w:rPr>
        <w:t xml:space="preserve">of the ICJ </w:t>
      </w:r>
      <w:r w:rsidRPr="005B6084">
        <w:rPr>
          <w:rFonts w:ascii="Times New Roman" w:eastAsia="SimSun" w:hAnsi="Times New Roman"/>
          <w:sz w:val="24"/>
          <w:szCs w:val="24"/>
          <w:lang w:val="en-US" w:eastAsia="it-IT"/>
        </w:rPr>
        <w:t>and the Rules of Court neither require specific standards of proof</w:t>
      </w:r>
      <w:r w:rsidR="00B7368F" w:rsidRPr="005B6084">
        <w:rPr>
          <w:rFonts w:ascii="Times New Roman" w:eastAsia="SimSun" w:hAnsi="Times New Roman"/>
          <w:sz w:val="24"/>
          <w:szCs w:val="24"/>
          <w:lang w:val="en-US" w:eastAsia="it-IT"/>
        </w:rPr>
        <w:t>,</w:t>
      </w:r>
      <w:r w:rsidRPr="005B6084">
        <w:rPr>
          <w:rFonts w:ascii="Times New Roman" w:eastAsia="SimSun" w:hAnsi="Times New Roman"/>
          <w:sz w:val="24"/>
          <w:szCs w:val="24"/>
          <w:lang w:val="en-US" w:eastAsia="it-IT"/>
        </w:rPr>
        <w:t xml:space="preserve"> nor indicate what </w:t>
      </w:r>
      <w:r w:rsidR="00B13C30" w:rsidRPr="005B6084">
        <w:rPr>
          <w:rFonts w:ascii="Times New Roman" w:eastAsia="SimSun" w:hAnsi="Times New Roman"/>
          <w:sz w:val="24"/>
          <w:szCs w:val="24"/>
          <w:lang w:val="en-US" w:eastAsia="it-IT"/>
        </w:rPr>
        <w:t>methods of proof</w:t>
      </w:r>
      <w:r w:rsidRPr="005B6084">
        <w:rPr>
          <w:rFonts w:ascii="Times New Roman" w:eastAsia="SimSun" w:hAnsi="Times New Roman"/>
          <w:sz w:val="24"/>
          <w:szCs w:val="24"/>
          <w:lang w:val="en-US" w:eastAsia="it-IT"/>
        </w:rPr>
        <w:t xml:space="preserve"> the Court will consider </w:t>
      </w:r>
      <w:r w:rsidR="00B7368F" w:rsidRPr="005B6084">
        <w:rPr>
          <w:rFonts w:ascii="Times New Roman" w:eastAsia="SimSun" w:hAnsi="Times New Roman"/>
          <w:sz w:val="24"/>
          <w:szCs w:val="24"/>
          <w:lang w:val="en-US" w:eastAsia="it-IT"/>
        </w:rPr>
        <w:t xml:space="preserve">as being </w:t>
      </w:r>
      <w:r w:rsidRPr="005B6084">
        <w:rPr>
          <w:rFonts w:ascii="Times New Roman" w:eastAsia="SimSun" w:hAnsi="Times New Roman"/>
          <w:sz w:val="24"/>
          <w:szCs w:val="24"/>
          <w:lang w:val="en-US" w:eastAsia="it-IT"/>
        </w:rPr>
        <w:t xml:space="preserve">probative in order to meet a certain standard. The ICJ has </w:t>
      </w:r>
      <w:r w:rsidR="00B7368F" w:rsidRPr="005B6084">
        <w:rPr>
          <w:rFonts w:ascii="Times New Roman" w:eastAsia="SimSun" w:hAnsi="Times New Roman"/>
          <w:sz w:val="24"/>
          <w:szCs w:val="24"/>
          <w:lang w:val="en-US" w:eastAsia="it-IT"/>
        </w:rPr>
        <w:t xml:space="preserve">to date </w:t>
      </w:r>
      <w:r w:rsidRPr="005B6084">
        <w:rPr>
          <w:rFonts w:ascii="Times New Roman" w:eastAsia="SimSun" w:hAnsi="Times New Roman"/>
          <w:sz w:val="24"/>
          <w:szCs w:val="24"/>
          <w:lang w:val="en-US" w:eastAsia="it-IT"/>
        </w:rPr>
        <w:t xml:space="preserve">avoided clearly indicating the standards of proof </w:t>
      </w:r>
      <w:r w:rsidR="00262768" w:rsidRPr="005B6084">
        <w:rPr>
          <w:rFonts w:ascii="Times New Roman" w:eastAsia="SimSun" w:hAnsi="Times New Roman"/>
          <w:sz w:val="24"/>
          <w:szCs w:val="24"/>
          <w:lang w:val="en-US" w:eastAsia="it-IT"/>
        </w:rPr>
        <w:t>expected from the litigants during the proceedings</w:t>
      </w:r>
      <w:r w:rsidRPr="005B6084">
        <w:rPr>
          <w:rFonts w:ascii="Times New Roman" w:eastAsia="SimSun" w:hAnsi="Times New Roman"/>
          <w:sz w:val="24"/>
          <w:szCs w:val="24"/>
          <w:lang w:val="en-US" w:eastAsia="it-IT"/>
        </w:rPr>
        <w:t>.</w:t>
      </w:r>
      <w:r w:rsidRPr="005B6084">
        <w:rPr>
          <w:rStyle w:val="Rimandonotaapidipagina"/>
          <w:rFonts w:ascii="Times New Roman" w:hAnsi="Times New Roman"/>
          <w:sz w:val="24"/>
          <w:szCs w:val="24"/>
          <w:lang w:val="en-US" w:eastAsia="it-IT"/>
        </w:rPr>
        <w:footnoteReference w:id="92"/>
      </w:r>
      <w:r w:rsidRPr="005B6084">
        <w:rPr>
          <w:rFonts w:ascii="Times New Roman" w:eastAsia="SimSun" w:hAnsi="Times New Roman"/>
          <w:sz w:val="24"/>
          <w:szCs w:val="24"/>
          <w:lang w:val="en-US" w:eastAsia="it-IT"/>
        </w:rPr>
        <w:t xml:space="preserve"> </w:t>
      </w:r>
      <w:r w:rsidR="00262768" w:rsidRPr="005B6084">
        <w:rPr>
          <w:rFonts w:ascii="Times New Roman" w:eastAsia="SimSun" w:hAnsi="Times New Roman"/>
          <w:sz w:val="24"/>
          <w:szCs w:val="24"/>
          <w:lang w:val="en-US" w:eastAsia="it-IT"/>
        </w:rPr>
        <w:t>It has</w:t>
      </w:r>
      <w:r w:rsidRPr="005B6084">
        <w:rPr>
          <w:rFonts w:ascii="Times New Roman" w:eastAsia="SimSun" w:hAnsi="Times New Roman"/>
          <w:sz w:val="24"/>
          <w:szCs w:val="24"/>
          <w:lang w:val="en-US" w:eastAsia="it-IT"/>
        </w:rPr>
        <w:t xml:space="preserve"> </w:t>
      </w:r>
      <w:r w:rsidR="00B21206" w:rsidRPr="005B6084">
        <w:rPr>
          <w:rFonts w:ascii="Times New Roman" w:eastAsia="SimSun" w:hAnsi="Times New Roman"/>
          <w:sz w:val="24"/>
          <w:szCs w:val="24"/>
          <w:lang w:val="en-US" w:eastAsia="it-IT"/>
        </w:rPr>
        <w:t xml:space="preserve">normally </w:t>
      </w:r>
      <w:r w:rsidR="00262768" w:rsidRPr="005B6084">
        <w:rPr>
          <w:rFonts w:ascii="Times New Roman" w:eastAsia="SimSun" w:hAnsi="Times New Roman"/>
          <w:sz w:val="24"/>
          <w:szCs w:val="24"/>
          <w:lang w:val="en-US" w:eastAsia="it-IT"/>
        </w:rPr>
        <w:t>referred</w:t>
      </w:r>
      <w:r w:rsidRPr="005B6084">
        <w:rPr>
          <w:rFonts w:ascii="Times New Roman" w:eastAsia="SimSun" w:hAnsi="Times New Roman"/>
          <w:sz w:val="24"/>
          <w:szCs w:val="24"/>
          <w:lang w:val="en-US" w:eastAsia="it-IT"/>
        </w:rPr>
        <w:t xml:space="preserve"> to </w:t>
      </w:r>
      <w:r w:rsidR="00B7368F" w:rsidRPr="005B6084">
        <w:rPr>
          <w:rFonts w:ascii="Times New Roman" w:eastAsia="SimSun" w:hAnsi="Times New Roman"/>
          <w:sz w:val="24"/>
          <w:szCs w:val="24"/>
          <w:lang w:val="en-US" w:eastAsia="it-IT"/>
        </w:rPr>
        <w:t xml:space="preserve">the applicable </w:t>
      </w:r>
      <w:r w:rsidRPr="005B6084">
        <w:rPr>
          <w:rFonts w:ascii="Times New Roman" w:eastAsia="SimSun" w:hAnsi="Times New Roman"/>
          <w:sz w:val="24"/>
          <w:szCs w:val="24"/>
          <w:lang w:val="en-US" w:eastAsia="it-IT"/>
        </w:rPr>
        <w:t>standard of proof in the judgments,</w:t>
      </w:r>
      <w:r w:rsidR="00BE6B4B" w:rsidRPr="005B6084">
        <w:rPr>
          <w:rFonts w:ascii="Times New Roman" w:eastAsia="SimSun" w:hAnsi="Times New Roman"/>
          <w:sz w:val="24"/>
          <w:szCs w:val="24"/>
          <w:lang w:val="en-US" w:eastAsia="it-IT"/>
        </w:rPr>
        <w:t xml:space="preserve"> </w:t>
      </w:r>
      <w:r w:rsidRPr="005B6084">
        <w:rPr>
          <w:rFonts w:ascii="Times New Roman" w:eastAsia="SimSun" w:hAnsi="Times New Roman"/>
          <w:sz w:val="24"/>
          <w:szCs w:val="24"/>
          <w:lang w:val="en-US" w:eastAsia="it-IT"/>
        </w:rPr>
        <w:t xml:space="preserve">but at that </w:t>
      </w:r>
      <w:proofErr w:type="gramStart"/>
      <w:r w:rsidRPr="005B6084">
        <w:rPr>
          <w:rFonts w:ascii="Times New Roman" w:eastAsia="SimSun" w:hAnsi="Times New Roman"/>
          <w:sz w:val="24"/>
          <w:szCs w:val="24"/>
          <w:lang w:val="en-US" w:eastAsia="it-IT"/>
        </w:rPr>
        <w:t>point</w:t>
      </w:r>
      <w:proofErr w:type="gramEnd"/>
      <w:r w:rsidRPr="005B6084">
        <w:rPr>
          <w:rFonts w:ascii="Times New Roman" w:eastAsia="SimSun" w:hAnsi="Times New Roman"/>
          <w:sz w:val="24"/>
          <w:szCs w:val="24"/>
          <w:lang w:val="en-US" w:eastAsia="it-IT"/>
        </w:rPr>
        <w:t xml:space="preserve"> it is of course too late for the parties to take it into account </w:t>
      </w:r>
      <w:r w:rsidR="00B7368F" w:rsidRPr="005B6084">
        <w:rPr>
          <w:rFonts w:ascii="Times New Roman" w:eastAsia="SimSun" w:hAnsi="Times New Roman"/>
          <w:sz w:val="24"/>
          <w:szCs w:val="24"/>
          <w:lang w:val="en-US" w:eastAsia="it-IT"/>
        </w:rPr>
        <w:t xml:space="preserve">in pleading </w:t>
      </w:r>
      <w:r w:rsidRPr="005B6084">
        <w:rPr>
          <w:rFonts w:ascii="Times New Roman" w:eastAsia="SimSun" w:hAnsi="Times New Roman"/>
          <w:sz w:val="24"/>
          <w:szCs w:val="24"/>
          <w:lang w:val="en-US" w:eastAsia="it-IT"/>
        </w:rPr>
        <w:t>their case</w:t>
      </w:r>
      <w:r w:rsidR="00B7368F" w:rsidRPr="005B6084">
        <w:rPr>
          <w:rFonts w:ascii="Times New Roman" w:eastAsia="SimSun" w:hAnsi="Times New Roman"/>
          <w:sz w:val="24"/>
          <w:szCs w:val="24"/>
          <w:lang w:val="en-US" w:eastAsia="it-IT"/>
        </w:rPr>
        <w:t>s</w:t>
      </w:r>
      <w:r w:rsidRPr="005B6084">
        <w:rPr>
          <w:rFonts w:ascii="Times New Roman" w:eastAsia="SimSun" w:hAnsi="Times New Roman"/>
          <w:sz w:val="24"/>
          <w:szCs w:val="24"/>
          <w:lang w:val="en-US" w:eastAsia="it-IT"/>
        </w:rPr>
        <w:t>.</w:t>
      </w:r>
      <w:r w:rsidRPr="005B6084">
        <w:rPr>
          <w:rStyle w:val="Rimandonotaapidipagina"/>
          <w:rFonts w:ascii="Times New Roman" w:eastAsia="SimSun" w:hAnsi="Times New Roman"/>
          <w:sz w:val="24"/>
          <w:szCs w:val="24"/>
          <w:lang w:val="en-US" w:eastAsia="it-IT"/>
        </w:rPr>
        <w:footnoteReference w:id="93"/>
      </w:r>
      <w:r w:rsidRPr="005B6084">
        <w:rPr>
          <w:rFonts w:ascii="Times New Roman" w:eastAsia="SimSun" w:hAnsi="Times New Roman"/>
          <w:sz w:val="24"/>
          <w:szCs w:val="24"/>
          <w:lang w:val="en-US" w:eastAsia="it-IT"/>
        </w:rPr>
        <w:t xml:space="preserve"> </w:t>
      </w:r>
    </w:p>
    <w:p w14:paraId="4D6FECD5" w14:textId="4A25887E" w:rsidR="006E3FC2" w:rsidRPr="005B6084" w:rsidRDefault="00DE5F56" w:rsidP="00FC23AE">
      <w:pPr>
        <w:autoSpaceDE w:val="0"/>
        <w:autoSpaceDN w:val="0"/>
        <w:adjustRightInd w:val="0"/>
        <w:spacing w:after="120" w:line="360" w:lineRule="exact"/>
        <w:ind w:firstLine="567"/>
        <w:jc w:val="both"/>
        <w:rPr>
          <w:rFonts w:ascii="Times New Roman" w:eastAsia="SimSun" w:hAnsi="Times New Roman"/>
          <w:sz w:val="24"/>
          <w:szCs w:val="24"/>
          <w:lang w:val="en-US" w:eastAsia="it-IT"/>
        </w:rPr>
      </w:pPr>
      <w:r w:rsidRPr="005B6084">
        <w:rPr>
          <w:rFonts w:ascii="Times New Roman" w:hAnsi="Times New Roman"/>
          <w:sz w:val="24"/>
          <w:szCs w:val="24"/>
          <w:lang w:val="en-US" w:eastAsia="it-IT"/>
        </w:rPr>
        <w:t xml:space="preserve">There is no agreement on what standard of proof the ICJ should expect from the parties in the cases before it. </w:t>
      </w:r>
      <w:r w:rsidR="00262768" w:rsidRPr="005B6084">
        <w:rPr>
          <w:rFonts w:ascii="Times New Roman" w:eastAsia="SimSun" w:hAnsi="Times New Roman"/>
          <w:sz w:val="24"/>
          <w:szCs w:val="24"/>
          <w:lang w:val="en-US" w:eastAsia="it-IT"/>
        </w:rPr>
        <w:t xml:space="preserve">If, because of their nature, </w:t>
      </w:r>
      <w:r w:rsidR="00262768" w:rsidRPr="005B6084">
        <w:rPr>
          <w:rFonts w:ascii="Times New Roman" w:hAnsi="Times New Roman"/>
          <w:sz w:val="24"/>
          <w:szCs w:val="24"/>
          <w:lang w:val="en-US" w:eastAsia="it-IT"/>
        </w:rPr>
        <w:t>international criminal courts use the beyond reasonable doubt standard in their proceedings,</w:t>
      </w:r>
      <w:r w:rsidR="00262768" w:rsidRPr="005B6084">
        <w:rPr>
          <w:rStyle w:val="Rimandonotaapidipagina"/>
          <w:rFonts w:ascii="Times New Roman" w:hAnsi="Times New Roman"/>
          <w:sz w:val="24"/>
          <w:szCs w:val="24"/>
          <w:lang w:val="en-US" w:eastAsia="it-IT"/>
        </w:rPr>
        <w:footnoteReference w:id="94"/>
      </w:r>
      <w:r w:rsidR="00262768" w:rsidRPr="005B6084">
        <w:rPr>
          <w:rFonts w:ascii="Times New Roman" w:hAnsi="Times New Roman"/>
          <w:sz w:val="24"/>
          <w:szCs w:val="24"/>
          <w:lang w:val="en-US" w:eastAsia="it-IT"/>
        </w:rPr>
        <w:t xml:space="preserve"> </w:t>
      </w:r>
      <w:r w:rsidR="00262768" w:rsidRPr="005B6084">
        <w:rPr>
          <w:rFonts w:ascii="Times New Roman" w:hAnsi="Times New Roman"/>
          <w:sz w:val="24"/>
          <w:szCs w:val="24"/>
          <w:lang w:eastAsia="it-IT"/>
        </w:rPr>
        <w:t>the most appropriate analogy for inter-state litigation is not with criminal trials, but with certain types of civil litigation.</w:t>
      </w:r>
      <w:bookmarkStart w:id="30" w:name="_Ref383682569"/>
      <w:r w:rsidR="00262768" w:rsidRPr="005B6084">
        <w:rPr>
          <w:rStyle w:val="Rimandonotaapidipagina"/>
          <w:rFonts w:ascii="Times New Roman" w:hAnsi="Times New Roman"/>
          <w:sz w:val="24"/>
          <w:szCs w:val="24"/>
          <w:lang w:eastAsia="it-IT"/>
        </w:rPr>
        <w:footnoteReference w:id="95"/>
      </w:r>
      <w:bookmarkEnd w:id="30"/>
      <w:r w:rsidR="00262768" w:rsidRPr="005B6084">
        <w:rPr>
          <w:rFonts w:ascii="Times New Roman" w:hAnsi="Times New Roman"/>
          <w:sz w:val="24"/>
          <w:szCs w:val="24"/>
          <w:lang w:eastAsia="it-IT"/>
        </w:rPr>
        <w:t xml:space="preserve"> </w:t>
      </w:r>
      <w:r w:rsidR="0006263C" w:rsidRPr="005B6084">
        <w:rPr>
          <w:rFonts w:ascii="Times New Roman" w:hAnsi="Times New Roman"/>
          <w:sz w:val="24"/>
          <w:szCs w:val="24"/>
          <w:lang w:val="en-US" w:eastAsia="it-IT"/>
        </w:rPr>
        <w:t xml:space="preserve">In his Dissenting Opinion in </w:t>
      </w:r>
      <w:r w:rsidR="00B13C30" w:rsidRPr="005B6084">
        <w:rPr>
          <w:rFonts w:ascii="Times New Roman" w:hAnsi="Times New Roman"/>
          <w:sz w:val="24"/>
          <w:szCs w:val="24"/>
          <w:lang w:val="en-US" w:eastAsia="it-IT"/>
        </w:rPr>
        <w:t xml:space="preserve">the </w:t>
      </w:r>
      <w:r w:rsidR="0006263C" w:rsidRPr="005B6084">
        <w:rPr>
          <w:rFonts w:ascii="Times New Roman" w:hAnsi="Times New Roman"/>
          <w:i/>
          <w:sz w:val="24"/>
          <w:szCs w:val="24"/>
          <w:lang w:val="en-US" w:eastAsia="it-IT"/>
        </w:rPr>
        <w:t>Corfu Channel</w:t>
      </w:r>
      <w:r w:rsidR="00B13C30" w:rsidRPr="005B6084">
        <w:rPr>
          <w:rFonts w:ascii="Times New Roman" w:hAnsi="Times New Roman"/>
          <w:i/>
          <w:sz w:val="24"/>
          <w:szCs w:val="24"/>
          <w:lang w:val="en-US" w:eastAsia="it-IT"/>
        </w:rPr>
        <w:t xml:space="preserve"> </w:t>
      </w:r>
      <w:r w:rsidR="00B13C30" w:rsidRPr="005B6084">
        <w:rPr>
          <w:rFonts w:ascii="Times New Roman" w:hAnsi="Times New Roman"/>
          <w:sz w:val="24"/>
          <w:szCs w:val="24"/>
          <w:lang w:val="en-US" w:eastAsia="it-IT"/>
        </w:rPr>
        <w:t>case</w:t>
      </w:r>
      <w:r w:rsidR="0006263C" w:rsidRPr="005B6084">
        <w:rPr>
          <w:rFonts w:ascii="Times New Roman" w:hAnsi="Times New Roman"/>
          <w:sz w:val="24"/>
          <w:szCs w:val="24"/>
          <w:lang w:val="en-US" w:eastAsia="it-IT"/>
        </w:rPr>
        <w:t xml:space="preserve">, Judge </w:t>
      </w:r>
      <w:proofErr w:type="spellStart"/>
      <w:r w:rsidR="0006263C" w:rsidRPr="005B6084">
        <w:rPr>
          <w:rFonts w:ascii="Times New Roman" w:hAnsi="Times New Roman"/>
          <w:sz w:val="24"/>
          <w:szCs w:val="24"/>
          <w:lang w:val="en-US" w:eastAsia="it-IT"/>
        </w:rPr>
        <w:t>Krylov</w:t>
      </w:r>
      <w:proofErr w:type="spellEnd"/>
      <w:r w:rsidR="0006263C" w:rsidRPr="005B6084">
        <w:rPr>
          <w:rFonts w:ascii="Times New Roman" w:hAnsi="Times New Roman"/>
          <w:sz w:val="24"/>
          <w:szCs w:val="24"/>
          <w:lang w:val="en-US" w:eastAsia="it-IT"/>
        </w:rPr>
        <w:t xml:space="preserve"> suggested that ‘[o]ne cannot condemn a State on the basis of probabilities. To establish </w:t>
      </w:r>
      <w:r w:rsidR="0006263C" w:rsidRPr="005B6084">
        <w:rPr>
          <w:rFonts w:ascii="Times New Roman" w:hAnsi="Times New Roman"/>
          <w:sz w:val="24"/>
          <w:szCs w:val="24"/>
          <w:lang w:val="en-US" w:eastAsia="it-IT"/>
        </w:rPr>
        <w:lastRenderedPageBreak/>
        <w:t>international responsibility, one must have clear and indisputable facts’.</w:t>
      </w:r>
      <w:r w:rsidR="0006263C" w:rsidRPr="005B6084">
        <w:rPr>
          <w:rStyle w:val="Rimandonotaapidipagina"/>
          <w:rFonts w:ascii="Times New Roman" w:hAnsi="Times New Roman"/>
          <w:sz w:val="24"/>
          <w:szCs w:val="24"/>
          <w:lang w:val="en-US" w:eastAsia="it-IT"/>
        </w:rPr>
        <w:footnoteReference w:id="96"/>
      </w:r>
      <w:r w:rsidR="0006263C" w:rsidRPr="005B6084">
        <w:rPr>
          <w:rFonts w:ascii="Times New Roman" w:eastAsia="SimSun" w:hAnsi="Times New Roman"/>
          <w:sz w:val="24"/>
          <w:szCs w:val="24"/>
          <w:lang w:val="en-US" w:eastAsia="it-IT"/>
        </w:rPr>
        <w:t xml:space="preserve"> </w:t>
      </w:r>
      <w:proofErr w:type="spellStart"/>
      <w:r w:rsidR="006E3FC2" w:rsidRPr="005B6084">
        <w:rPr>
          <w:rFonts w:ascii="Times New Roman" w:hAnsi="Times New Roman"/>
          <w:sz w:val="24"/>
          <w:szCs w:val="24"/>
          <w:lang w:eastAsia="it-IT"/>
        </w:rPr>
        <w:t>Wolfrum</w:t>
      </w:r>
      <w:proofErr w:type="spellEnd"/>
      <w:r w:rsidR="006E3FC2" w:rsidRPr="005B6084">
        <w:rPr>
          <w:rFonts w:ascii="Times New Roman" w:hAnsi="Times New Roman"/>
          <w:sz w:val="24"/>
          <w:szCs w:val="24"/>
          <w:lang w:eastAsia="it-IT"/>
        </w:rPr>
        <w:t xml:space="preserve"> has argued that, while the jurisdiction of an international court over a case </w:t>
      </w:r>
      <w:proofErr w:type="gramStart"/>
      <w:r w:rsidR="006E3FC2" w:rsidRPr="005B6084">
        <w:rPr>
          <w:rFonts w:ascii="Times New Roman" w:hAnsi="Times New Roman"/>
          <w:sz w:val="24"/>
          <w:szCs w:val="24"/>
          <w:lang w:eastAsia="it-IT"/>
        </w:rPr>
        <w:t>should be established</w:t>
      </w:r>
      <w:proofErr w:type="gramEnd"/>
      <w:r w:rsidR="006E3FC2" w:rsidRPr="005B6084">
        <w:rPr>
          <w:rFonts w:ascii="Times New Roman" w:hAnsi="Times New Roman"/>
          <w:sz w:val="24"/>
          <w:szCs w:val="24"/>
          <w:lang w:eastAsia="it-IT"/>
        </w:rPr>
        <w:t xml:space="preserve"> beyond reasonable doubt,</w:t>
      </w:r>
      <w:r w:rsidR="006E3FC2" w:rsidRPr="005B6084">
        <w:rPr>
          <w:rFonts w:ascii="Times New Roman" w:eastAsia="SimSun" w:hAnsi="Times New Roman"/>
          <w:sz w:val="24"/>
          <w:szCs w:val="24"/>
          <w:lang w:val="en-US" w:eastAsia="it-IT"/>
        </w:rPr>
        <w:t xml:space="preserve"> the ICJ has generally applied a standard comparable to that of preponderance of evidence used in domestic civil proceedings when deciding disputes involving state responsibility.</w:t>
      </w:r>
      <w:r w:rsidR="006E3FC2" w:rsidRPr="005B6084">
        <w:rPr>
          <w:rStyle w:val="Rimandonotaapidipagina"/>
          <w:rFonts w:ascii="Times New Roman" w:eastAsia="SimSun" w:hAnsi="Times New Roman"/>
          <w:sz w:val="24"/>
          <w:szCs w:val="24"/>
          <w:lang w:val="en-US" w:eastAsia="it-IT"/>
        </w:rPr>
        <w:footnoteReference w:id="97"/>
      </w:r>
      <w:r w:rsidR="006E3FC2" w:rsidRPr="005B6084">
        <w:rPr>
          <w:rFonts w:ascii="Times New Roman" w:eastAsia="SimSun" w:hAnsi="Times New Roman"/>
          <w:sz w:val="24"/>
          <w:szCs w:val="24"/>
          <w:lang w:val="en-US" w:eastAsia="it-IT"/>
        </w:rPr>
        <w:t xml:space="preserve"> Others have maintained that such </w:t>
      </w:r>
      <w:r w:rsidR="00B9145B" w:rsidRPr="005B6084">
        <w:rPr>
          <w:rFonts w:ascii="Times New Roman" w:eastAsia="SimSun" w:hAnsi="Times New Roman"/>
          <w:sz w:val="24"/>
          <w:szCs w:val="24"/>
          <w:lang w:val="en-US" w:eastAsia="it-IT"/>
        </w:rPr>
        <w:t xml:space="preserve">a </w:t>
      </w:r>
      <w:r w:rsidR="006E3FC2" w:rsidRPr="005B6084">
        <w:rPr>
          <w:rFonts w:ascii="Times New Roman" w:eastAsia="SimSun" w:hAnsi="Times New Roman"/>
          <w:sz w:val="24"/>
          <w:szCs w:val="24"/>
          <w:lang w:val="en-US" w:eastAsia="it-IT"/>
        </w:rPr>
        <w:t xml:space="preserve">standard only applies to cases not concerning attribution of international </w:t>
      </w:r>
      <w:r w:rsidR="00262768" w:rsidRPr="005B6084">
        <w:rPr>
          <w:rFonts w:ascii="Times New Roman" w:eastAsia="SimSun" w:hAnsi="Times New Roman"/>
          <w:sz w:val="24"/>
          <w:szCs w:val="24"/>
          <w:lang w:val="en-US" w:eastAsia="it-IT"/>
        </w:rPr>
        <w:t>wrongful acts</w:t>
      </w:r>
      <w:r w:rsidR="006E3FC2" w:rsidRPr="005B6084">
        <w:rPr>
          <w:rFonts w:ascii="Times New Roman" w:eastAsia="SimSun" w:hAnsi="Times New Roman"/>
          <w:sz w:val="24"/>
          <w:szCs w:val="24"/>
          <w:lang w:val="en-US" w:eastAsia="it-IT"/>
        </w:rPr>
        <w:t xml:space="preserve">, such as border delimitations, while when international responsibility is at </w:t>
      </w:r>
      <w:proofErr w:type="gramStart"/>
      <w:r w:rsidR="006E3FC2" w:rsidRPr="005B6084">
        <w:rPr>
          <w:rFonts w:ascii="Times New Roman" w:eastAsia="SimSun" w:hAnsi="Times New Roman"/>
          <w:sz w:val="24"/>
          <w:szCs w:val="24"/>
          <w:lang w:val="en-US" w:eastAsia="it-IT"/>
        </w:rPr>
        <w:t>stake</w:t>
      </w:r>
      <w:r w:rsidR="00B9145B" w:rsidRPr="005B6084">
        <w:rPr>
          <w:rFonts w:ascii="Times New Roman" w:eastAsia="SimSun" w:hAnsi="Times New Roman"/>
          <w:sz w:val="24"/>
          <w:szCs w:val="24"/>
          <w:lang w:val="en-US" w:eastAsia="it-IT"/>
        </w:rPr>
        <w:t>,</w:t>
      </w:r>
      <w:proofErr w:type="gramEnd"/>
      <w:r w:rsidR="006E3FC2" w:rsidRPr="005B6084">
        <w:rPr>
          <w:rFonts w:ascii="Times New Roman" w:eastAsia="SimSun" w:hAnsi="Times New Roman"/>
          <w:sz w:val="24"/>
          <w:szCs w:val="24"/>
          <w:lang w:val="en-US" w:eastAsia="it-IT"/>
        </w:rPr>
        <w:t xml:space="preserve"> the sta</w:t>
      </w:r>
      <w:r w:rsidR="0006263C" w:rsidRPr="005B6084">
        <w:rPr>
          <w:rFonts w:ascii="Times New Roman" w:eastAsia="SimSun" w:hAnsi="Times New Roman"/>
          <w:sz w:val="24"/>
          <w:szCs w:val="24"/>
          <w:lang w:val="en-US" w:eastAsia="it-IT"/>
        </w:rPr>
        <w:t>ndard is stricter and requires clear and convincing</w:t>
      </w:r>
      <w:r w:rsidR="006E3FC2" w:rsidRPr="005B6084">
        <w:rPr>
          <w:rFonts w:ascii="Times New Roman" w:eastAsia="SimSun" w:hAnsi="Times New Roman"/>
          <w:sz w:val="24"/>
          <w:szCs w:val="24"/>
          <w:lang w:val="en-US" w:eastAsia="it-IT"/>
        </w:rPr>
        <w:t xml:space="preserve"> evidence.</w:t>
      </w:r>
      <w:r w:rsidR="006E3FC2" w:rsidRPr="005B6084">
        <w:rPr>
          <w:rStyle w:val="Rimandonotaapidipagina"/>
          <w:rFonts w:ascii="Times New Roman" w:eastAsia="SimSun" w:hAnsi="Times New Roman"/>
          <w:sz w:val="24"/>
          <w:szCs w:val="24"/>
          <w:lang w:val="en-US" w:eastAsia="it-IT"/>
        </w:rPr>
        <w:footnoteReference w:id="98"/>
      </w:r>
    </w:p>
    <w:p w14:paraId="59DD7AFF" w14:textId="47C53C6D" w:rsidR="006E3FC2" w:rsidRPr="005B6084" w:rsidRDefault="0065185A" w:rsidP="005E7A5C">
      <w:pPr>
        <w:spacing w:after="120" w:line="360" w:lineRule="exact"/>
        <w:ind w:firstLine="567"/>
        <w:jc w:val="both"/>
        <w:rPr>
          <w:rFonts w:ascii="Times New Roman" w:hAnsi="Times New Roman"/>
          <w:sz w:val="24"/>
          <w:szCs w:val="24"/>
        </w:rPr>
      </w:pPr>
      <w:r w:rsidRPr="005B6084">
        <w:rPr>
          <w:rFonts w:ascii="Times New Roman" w:eastAsia="SimSun" w:hAnsi="Times New Roman"/>
          <w:sz w:val="24"/>
          <w:szCs w:val="24"/>
          <w:lang w:val="en-US" w:eastAsia="it-IT"/>
        </w:rPr>
        <w:t xml:space="preserve">It is therefore </w:t>
      </w:r>
      <w:proofErr w:type="gramStart"/>
      <w:r w:rsidRPr="005B6084">
        <w:rPr>
          <w:rFonts w:ascii="Times New Roman" w:eastAsia="SimSun" w:hAnsi="Times New Roman"/>
          <w:sz w:val="24"/>
          <w:szCs w:val="24"/>
          <w:lang w:val="en-US" w:eastAsia="it-IT"/>
        </w:rPr>
        <w:t>difficult,</w:t>
      </w:r>
      <w:proofErr w:type="gramEnd"/>
      <w:r w:rsidRPr="005B6084">
        <w:rPr>
          <w:rFonts w:ascii="Times New Roman" w:eastAsia="SimSun" w:hAnsi="Times New Roman"/>
          <w:sz w:val="24"/>
          <w:szCs w:val="24"/>
          <w:lang w:val="en-US" w:eastAsia="it-IT"/>
        </w:rPr>
        <w:t xml:space="preserve"> and perhaps undesirable,</w:t>
      </w:r>
      <w:r w:rsidRPr="005B6084">
        <w:rPr>
          <w:rStyle w:val="Rimandonotaapidipagina"/>
          <w:rFonts w:ascii="Times New Roman" w:eastAsia="SimSun" w:hAnsi="Times New Roman"/>
          <w:sz w:val="24"/>
          <w:szCs w:val="24"/>
          <w:lang w:val="en-US" w:eastAsia="it-IT"/>
        </w:rPr>
        <w:footnoteReference w:id="99"/>
      </w:r>
      <w:r w:rsidRPr="005B6084">
        <w:rPr>
          <w:rFonts w:ascii="Times New Roman" w:eastAsia="SimSun" w:hAnsi="Times New Roman"/>
          <w:sz w:val="24"/>
          <w:szCs w:val="24"/>
          <w:lang w:val="en-US" w:eastAsia="it-IT"/>
        </w:rPr>
        <w:t xml:space="preserve"> to identify a </w:t>
      </w:r>
      <w:r w:rsidR="00CF5EAF" w:rsidRPr="005B6084">
        <w:rPr>
          <w:rFonts w:ascii="Times New Roman" w:eastAsia="SimSun" w:hAnsi="Times New Roman"/>
          <w:sz w:val="24"/>
          <w:szCs w:val="24"/>
          <w:lang w:val="en-US" w:eastAsia="it-IT"/>
        </w:rPr>
        <w:t xml:space="preserve">uniform </w:t>
      </w:r>
      <w:r w:rsidRPr="005B6084">
        <w:rPr>
          <w:rFonts w:ascii="Times New Roman" w:eastAsia="SimSun" w:hAnsi="Times New Roman"/>
          <w:sz w:val="24"/>
          <w:szCs w:val="24"/>
          <w:lang w:val="en-US" w:eastAsia="it-IT"/>
        </w:rPr>
        <w:t xml:space="preserve">standard of proof </w:t>
      </w:r>
      <w:r w:rsidR="00D22E62" w:rsidRPr="005B6084">
        <w:rPr>
          <w:rFonts w:ascii="Times New Roman" w:eastAsia="SimSun" w:hAnsi="Times New Roman"/>
          <w:sz w:val="24"/>
          <w:szCs w:val="24"/>
          <w:lang w:val="en-US" w:eastAsia="it-IT"/>
        </w:rPr>
        <w:t xml:space="preserve">generally applicable in </w:t>
      </w:r>
      <w:r w:rsidR="00DE5F56" w:rsidRPr="005B6084">
        <w:rPr>
          <w:rFonts w:ascii="Times New Roman" w:eastAsia="SimSun" w:hAnsi="Times New Roman"/>
          <w:sz w:val="24"/>
          <w:szCs w:val="24"/>
          <w:lang w:val="en-US" w:eastAsia="it-IT"/>
        </w:rPr>
        <w:t xml:space="preserve">inter-state </w:t>
      </w:r>
      <w:r w:rsidR="00D22E62" w:rsidRPr="005B6084">
        <w:rPr>
          <w:rFonts w:ascii="Times New Roman" w:eastAsia="SimSun" w:hAnsi="Times New Roman"/>
          <w:sz w:val="24"/>
          <w:szCs w:val="24"/>
          <w:lang w:val="en-US" w:eastAsia="it-IT"/>
        </w:rPr>
        <w:t>litigation</w:t>
      </w:r>
      <w:r w:rsidR="00B13C30" w:rsidRPr="005B6084">
        <w:rPr>
          <w:rFonts w:ascii="Times New Roman" w:eastAsia="SimSun" w:hAnsi="Times New Roman"/>
          <w:sz w:val="24"/>
          <w:szCs w:val="24"/>
          <w:lang w:val="en-US" w:eastAsia="it-IT"/>
        </w:rPr>
        <w:t>,</w:t>
      </w:r>
      <w:r w:rsidR="00D22E62" w:rsidRPr="005B6084">
        <w:rPr>
          <w:rFonts w:ascii="Times New Roman" w:eastAsia="SimSun" w:hAnsi="Times New Roman"/>
          <w:sz w:val="24"/>
          <w:szCs w:val="24"/>
          <w:lang w:val="en-US" w:eastAsia="it-IT"/>
        </w:rPr>
        <w:t xml:space="preserve"> or even a predominant one</w:t>
      </w:r>
      <w:r w:rsidR="00CF5EAF" w:rsidRPr="005B6084">
        <w:rPr>
          <w:rFonts w:ascii="Times New Roman" w:eastAsia="SimSun" w:hAnsi="Times New Roman"/>
          <w:sz w:val="24"/>
          <w:szCs w:val="24"/>
          <w:lang w:val="en-US" w:eastAsia="it-IT"/>
        </w:rPr>
        <w:t>: the Court ‘tends to look at issues as they arise’.</w:t>
      </w:r>
      <w:r w:rsidR="00CF5EAF" w:rsidRPr="005B6084">
        <w:rPr>
          <w:rStyle w:val="Rimandonotaapidipagina"/>
          <w:rFonts w:ascii="Times New Roman" w:eastAsia="SimSun" w:hAnsi="Times New Roman"/>
          <w:sz w:val="24"/>
          <w:szCs w:val="24"/>
          <w:lang w:val="en-US" w:eastAsia="it-IT"/>
        </w:rPr>
        <w:footnoteReference w:id="100"/>
      </w:r>
      <w:r w:rsidR="00CF5EAF" w:rsidRPr="005B6084">
        <w:rPr>
          <w:rFonts w:ascii="Times New Roman" w:eastAsia="SimSun" w:hAnsi="Times New Roman"/>
          <w:sz w:val="24"/>
          <w:szCs w:val="24"/>
          <w:lang w:val="en-US" w:eastAsia="it-IT"/>
        </w:rPr>
        <w:t xml:space="preserve"> This case-by-case approach, however, does not exclude that </w:t>
      </w:r>
      <w:r w:rsidR="00B13C30" w:rsidRPr="005B6084">
        <w:rPr>
          <w:rFonts w:ascii="Times New Roman" w:eastAsia="SimSun" w:hAnsi="Times New Roman"/>
          <w:sz w:val="24"/>
          <w:szCs w:val="24"/>
          <w:lang w:val="en-US" w:eastAsia="it-IT"/>
        </w:rPr>
        <w:t>a</w:t>
      </w:r>
      <w:r w:rsidR="006E3FC2" w:rsidRPr="005B6084">
        <w:rPr>
          <w:rFonts w:ascii="Times New Roman" w:eastAsia="SimSun" w:hAnsi="Times New Roman"/>
          <w:sz w:val="24"/>
          <w:szCs w:val="24"/>
          <w:lang w:val="en-US" w:eastAsia="it-IT"/>
        </w:rPr>
        <w:t xml:space="preserve"> standard of proof</w:t>
      </w:r>
      <w:r w:rsidR="00D22E62" w:rsidRPr="005B6084">
        <w:rPr>
          <w:rFonts w:ascii="Times New Roman" w:eastAsia="SimSun" w:hAnsi="Times New Roman"/>
          <w:sz w:val="24"/>
          <w:szCs w:val="24"/>
          <w:lang w:val="en-US" w:eastAsia="it-IT"/>
        </w:rPr>
        <w:t xml:space="preserve"> </w:t>
      </w:r>
      <w:r w:rsidR="00B13C30" w:rsidRPr="005B6084">
        <w:rPr>
          <w:rFonts w:ascii="Times New Roman" w:eastAsia="SimSun" w:hAnsi="Times New Roman"/>
          <w:sz w:val="24"/>
          <w:szCs w:val="24"/>
          <w:lang w:val="en-US" w:eastAsia="it-IT"/>
        </w:rPr>
        <w:t>may be identified having regard to</w:t>
      </w:r>
      <w:r w:rsidR="006E3FC2" w:rsidRPr="005B6084">
        <w:rPr>
          <w:rFonts w:ascii="Times New Roman" w:eastAsia="SimSun" w:hAnsi="Times New Roman"/>
          <w:sz w:val="24"/>
          <w:szCs w:val="24"/>
          <w:lang w:val="en-US" w:eastAsia="it-IT"/>
        </w:rPr>
        <w:t xml:space="preserve"> </w:t>
      </w:r>
      <w:r w:rsidR="00701269" w:rsidRPr="005B6084">
        <w:rPr>
          <w:rFonts w:ascii="Times New Roman" w:eastAsia="SimSun" w:hAnsi="Times New Roman"/>
          <w:sz w:val="24"/>
          <w:szCs w:val="24"/>
          <w:lang w:val="en-US" w:eastAsia="it-IT"/>
        </w:rPr>
        <w:t xml:space="preserve">the </w:t>
      </w:r>
      <w:r w:rsidR="006E3FC2" w:rsidRPr="005B6084">
        <w:rPr>
          <w:rFonts w:ascii="Times New Roman" w:eastAsia="SimSun" w:hAnsi="Times New Roman"/>
          <w:sz w:val="24"/>
          <w:szCs w:val="24"/>
          <w:lang w:val="en-US" w:eastAsia="it-IT"/>
        </w:rPr>
        <w:t xml:space="preserve">primary rules </w:t>
      </w:r>
      <w:r w:rsidR="00701269" w:rsidRPr="005B6084">
        <w:rPr>
          <w:rFonts w:ascii="Times New Roman" w:eastAsia="SimSun" w:hAnsi="Times New Roman"/>
          <w:sz w:val="24"/>
          <w:szCs w:val="24"/>
          <w:lang w:val="en-US" w:eastAsia="it-IT"/>
        </w:rPr>
        <w:t xml:space="preserve">in </w:t>
      </w:r>
      <w:r w:rsidR="006E3FC2" w:rsidRPr="005B6084">
        <w:rPr>
          <w:rFonts w:ascii="Times New Roman" w:eastAsia="SimSun" w:hAnsi="Times New Roman"/>
          <w:sz w:val="24"/>
          <w:szCs w:val="24"/>
          <w:lang w:val="en-US" w:eastAsia="it-IT"/>
        </w:rPr>
        <w:t>dispute, i.e. ‘the substantive rules of international law through which the Court will reach its decision’.</w:t>
      </w:r>
      <w:r w:rsidR="006E3FC2" w:rsidRPr="005B6084">
        <w:rPr>
          <w:rStyle w:val="Rimandonotaapidipagina"/>
          <w:rFonts w:ascii="Times New Roman" w:eastAsia="SimSun" w:hAnsi="Times New Roman"/>
          <w:sz w:val="24"/>
          <w:szCs w:val="24"/>
          <w:lang w:val="en-US" w:eastAsia="it-IT"/>
        </w:rPr>
        <w:footnoteReference w:id="101"/>
      </w:r>
      <w:r w:rsidR="006E3FC2" w:rsidRPr="005B6084">
        <w:rPr>
          <w:rFonts w:ascii="Times New Roman" w:hAnsi="Times New Roman"/>
          <w:sz w:val="24"/>
          <w:szCs w:val="24"/>
          <w:lang w:val="en-US" w:eastAsia="it-IT"/>
        </w:rPr>
        <w:t xml:space="preserve"> Indeed, when the </w:t>
      </w:r>
      <w:r w:rsidR="00701269" w:rsidRPr="005B6084">
        <w:rPr>
          <w:rFonts w:ascii="Times New Roman" w:hAnsi="Times New Roman"/>
          <w:sz w:val="24"/>
          <w:szCs w:val="24"/>
          <w:lang w:val="en-US" w:eastAsia="it-IT"/>
        </w:rPr>
        <w:t xml:space="preserve">allegation </w:t>
      </w:r>
      <w:r w:rsidR="006E3FC2" w:rsidRPr="005B6084">
        <w:rPr>
          <w:rFonts w:ascii="Times New Roman" w:hAnsi="Times New Roman"/>
          <w:sz w:val="24"/>
          <w:szCs w:val="24"/>
          <w:lang w:val="en-US" w:eastAsia="it-IT"/>
        </w:rPr>
        <w:t>is the same, it seems logical that the evidentiary standard should also be the same.</w:t>
      </w:r>
      <w:r w:rsidR="006E3FC2" w:rsidRPr="005B6084">
        <w:rPr>
          <w:rStyle w:val="Rimandonotaapidipagina"/>
          <w:rFonts w:ascii="Times New Roman" w:hAnsi="Times New Roman"/>
          <w:sz w:val="24"/>
          <w:szCs w:val="24"/>
          <w:lang w:val="en-US" w:eastAsia="it-IT"/>
        </w:rPr>
        <w:footnoteReference w:id="102"/>
      </w:r>
      <w:r w:rsidR="006E3FC2" w:rsidRPr="005B6084">
        <w:rPr>
          <w:rFonts w:ascii="Times New Roman" w:hAnsi="Times New Roman"/>
          <w:sz w:val="24"/>
          <w:szCs w:val="24"/>
          <w:lang w:val="en-US" w:eastAsia="it-IT"/>
        </w:rPr>
        <w:t xml:space="preserve"> There are indications, for instance, that claims related to </w:t>
      </w:r>
      <w:r w:rsidR="006E3FC2" w:rsidRPr="005B6084">
        <w:rPr>
          <w:rFonts w:ascii="Times New Roman" w:hAnsi="Times New Roman"/>
          <w:i/>
          <w:sz w:val="24"/>
          <w:szCs w:val="24"/>
          <w:lang w:val="en-US" w:eastAsia="it-IT"/>
        </w:rPr>
        <w:t>jus ad bellum</w:t>
      </w:r>
      <w:r w:rsidR="006E3FC2" w:rsidRPr="005B6084">
        <w:rPr>
          <w:rFonts w:ascii="Times New Roman" w:hAnsi="Times New Roman"/>
          <w:sz w:val="24"/>
          <w:szCs w:val="24"/>
          <w:lang w:val="en-US" w:eastAsia="it-IT"/>
        </w:rPr>
        <w:t xml:space="preserve"> violations, in particular in relation to the invocation of an exception to the prohibition of the use of force in international relations, </w:t>
      </w:r>
      <w:r w:rsidR="0006263C" w:rsidRPr="005B6084">
        <w:rPr>
          <w:rFonts w:ascii="Times New Roman" w:hAnsi="Times New Roman"/>
          <w:sz w:val="24"/>
          <w:szCs w:val="24"/>
          <w:lang w:val="en-US" w:eastAsia="it-IT"/>
        </w:rPr>
        <w:t>have been treated as requiring</w:t>
      </w:r>
      <w:r w:rsidR="006E3FC2" w:rsidRPr="005B6084">
        <w:rPr>
          <w:rFonts w:ascii="Times New Roman" w:hAnsi="Times New Roman"/>
          <w:sz w:val="24"/>
          <w:szCs w:val="24"/>
          <w:lang w:val="en-US" w:eastAsia="it-IT"/>
        </w:rPr>
        <w:t xml:space="preserve"> ‘clear and convincing evidence’.</w:t>
      </w:r>
      <w:r w:rsidR="006E3FC2" w:rsidRPr="005B6084">
        <w:rPr>
          <w:rStyle w:val="Rimandonotaapidipagina"/>
          <w:rFonts w:ascii="Times New Roman" w:hAnsi="Times New Roman"/>
          <w:sz w:val="24"/>
          <w:szCs w:val="24"/>
          <w:lang w:val="en-US" w:eastAsia="it-IT"/>
        </w:rPr>
        <w:footnoteReference w:id="103"/>
      </w:r>
      <w:r w:rsidR="006E3FC2" w:rsidRPr="005B6084">
        <w:rPr>
          <w:rFonts w:ascii="Times New Roman" w:hAnsi="Times New Roman"/>
          <w:sz w:val="24"/>
          <w:szCs w:val="24"/>
          <w:lang w:val="en-US" w:eastAsia="it-IT"/>
        </w:rPr>
        <w:t xml:space="preserve"> In the </w:t>
      </w:r>
      <w:r w:rsidR="006E3FC2" w:rsidRPr="005B6084">
        <w:rPr>
          <w:rFonts w:ascii="Times New Roman" w:hAnsi="Times New Roman"/>
          <w:i/>
          <w:sz w:val="24"/>
          <w:szCs w:val="24"/>
          <w:lang w:val="en-US" w:eastAsia="it-IT"/>
        </w:rPr>
        <w:t>Nicaragua</w:t>
      </w:r>
      <w:r w:rsidR="006E3FC2" w:rsidRPr="005B6084">
        <w:rPr>
          <w:rFonts w:ascii="Times New Roman" w:hAnsi="Times New Roman"/>
          <w:sz w:val="24"/>
          <w:szCs w:val="24"/>
          <w:lang w:val="en-US" w:eastAsia="it-IT"/>
        </w:rPr>
        <w:t xml:space="preserve"> Judgment, the Court referred to ‘convincing evidence’ of the facts on which a claim is based and to the lack of ‘clear evidence’ of the degree of control exercised by the United States over the </w:t>
      </w:r>
      <w:r w:rsidR="006E3FC2" w:rsidRPr="005B6084">
        <w:rPr>
          <w:rFonts w:ascii="Times New Roman" w:hAnsi="Times New Roman"/>
          <w:i/>
          <w:sz w:val="24"/>
          <w:szCs w:val="24"/>
          <w:lang w:val="en-US" w:eastAsia="it-IT"/>
        </w:rPr>
        <w:t>contras</w:t>
      </w:r>
      <w:r w:rsidR="006E3FC2" w:rsidRPr="005B6084">
        <w:rPr>
          <w:rFonts w:ascii="Times New Roman" w:hAnsi="Times New Roman"/>
          <w:sz w:val="24"/>
          <w:szCs w:val="24"/>
          <w:lang w:val="en-US" w:eastAsia="it-IT"/>
        </w:rPr>
        <w:t>.</w:t>
      </w:r>
      <w:r w:rsidR="006E3FC2" w:rsidRPr="005B6084">
        <w:rPr>
          <w:rStyle w:val="Rimandonotaapidipagina"/>
          <w:rFonts w:ascii="Times New Roman" w:hAnsi="Times New Roman"/>
          <w:sz w:val="24"/>
          <w:szCs w:val="24"/>
          <w:lang w:val="en-US" w:eastAsia="it-IT"/>
        </w:rPr>
        <w:footnoteReference w:id="104"/>
      </w:r>
      <w:r w:rsidR="006E3FC2" w:rsidRPr="005B6084">
        <w:rPr>
          <w:rFonts w:ascii="Times New Roman" w:hAnsi="Times New Roman"/>
          <w:sz w:val="24"/>
          <w:szCs w:val="24"/>
          <w:lang w:val="en-US" w:eastAsia="it-IT"/>
        </w:rPr>
        <w:t xml:space="preserve"> In the </w:t>
      </w:r>
      <w:r w:rsidR="006E3FC2" w:rsidRPr="005B6084">
        <w:rPr>
          <w:rFonts w:ascii="Times New Roman" w:hAnsi="Times New Roman"/>
          <w:i/>
          <w:sz w:val="24"/>
          <w:szCs w:val="24"/>
          <w:lang w:val="en-US" w:eastAsia="it-IT"/>
        </w:rPr>
        <w:t>Oil Platforms</w:t>
      </w:r>
      <w:r w:rsidR="006E3FC2" w:rsidRPr="005B6084">
        <w:rPr>
          <w:rFonts w:ascii="Times New Roman" w:hAnsi="Times New Roman"/>
          <w:sz w:val="24"/>
          <w:szCs w:val="24"/>
          <w:lang w:val="en-US" w:eastAsia="it-IT"/>
        </w:rPr>
        <w:t xml:space="preserve"> case, the ICJ rejected evidence with regard to Iran’s responsibility for minelaying that was ‘highly suggestive, but not conclusive’ and </w:t>
      </w:r>
      <w:r w:rsidR="00701269" w:rsidRPr="005B6084">
        <w:rPr>
          <w:rFonts w:ascii="Times New Roman" w:hAnsi="Times New Roman"/>
          <w:sz w:val="24"/>
          <w:szCs w:val="24"/>
          <w:lang w:val="en-US" w:eastAsia="it-IT"/>
        </w:rPr>
        <w:t xml:space="preserve">held </w:t>
      </w:r>
      <w:r w:rsidR="006E3FC2" w:rsidRPr="005B6084">
        <w:rPr>
          <w:rFonts w:ascii="Times New Roman" w:hAnsi="Times New Roman"/>
          <w:sz w:val="24"/>
          <w:szCs w:val="24"/>
          <w:lang w:val="en-US" w:eastAsia="it-IT"/>
        </w:rPr>
        <w:t xml:space="preserve">that ‘evidence indicative of Iranian responsibility for the attack on the </w:t>
      </w:r>
      <w:r w:rsidR="006E3FC2" w:rsidRPr="005B6084">
        <w:rPr>
          <w:rFonts w:ascii="Times New Roman" w:hAnsi="Times New Roman"/>
          <w:i/>
          <w:sz w:val="24"/>
          <w:szCs w:val="24"/>
          <w:lang w:val="en-US" w:eastAsia="it-IT"/>
        </w:rPr>
        <w:t>Sea Isle City</w:t>
      </w:r>
      <w:r w:rsidR="006E3FC2" w:rsidRPr="005B6084">
        <w:rPr>
          <w:rFonts w:ascii="Times New Roman" w:hAnsi="Times New Roman"/>
          <w:sz w:val="24"/>
          <w:szCs w:val="24"/>
          <w:lang w:val="en-US" w:eastAsia="it-IT"/>
        </w:rPr>
        <w:t xml:space="preserve">’ was </w:t>
      </w:r>
      <w:r w:rsidR="006E3FC2" w:rsidRPr="005B6084">
        <w:rPr>
          <w:rFonts w:ascii="Times New Roman" w:hAnsi="Times New Roman"/>
          <w:sz w:val="24"/>
          <w:szCs w:val="24"/>
          <w:lang w:val="en-US" w:eastAsia="it-IT"/>
        </w:rPr>
        <w:lastRenderedPageBreak/>
        <w:t>insufficient.</w:t>
      </w:r>
      <w:r w:rsidR="006E3FC2" w:rsidRPr="005B6084">
        <w:rPr>
          <w:rStyle w:val="Rimandonotaapidipagina"/>
          <w:rFonts w:ascii="Times New Roman" w:hAnsi="Times New Roman"/>
          <w:sz w:val="24"/>
          <w:szCs w:val="24"/>
          <w:lang w:val="en-US" w:eastAsia="it-IT"/>
        </w:rPr>
        <w:footnoteReference w:id="105"/>
      </w:r>
      <w:r w:rsidR="006E3FC2" w:rsidRPr="005B6084">
        <w:rPr>
          <w:rFonts w:ascii="Times New Roman" w:hAnsi="Times New Roman"/>
          <w:sz w:val="24"/>
          <w:szCs w:val="24"/>
          <w:lang w:val="en-US" w:eastAsia="it-IT"/>
        </w:rPr>
        <w:t xml:space="preserve"> In </w:t>
      </w:r>
      <w:r w:rsidR="006E3FC2" w:rsidRPr="005B6084">
        <w:rPr>
          <w:rFonts w:ascii="Times New Roman" w:hAnsi="Times New Roman"/>
          <w:i/>
          <w:sz w:val="24"/>
          <w:szCs w:val="24"/>
          <w:lang w:val="en-US" w:eastAsia="it-IT"/>
        </w:rPr>
        <w:t>DRC v. Uganda</w:t>
      </w:r>
      <w:r w:rsidR="006E3FC2" w:rsidRPr="005B6084">
        <w:rPr>
          <w:rFonts w:ascii="Times New Roman" w:hAnsi="Times New Roman"/>
          <w:sz w:val="24"/>
          <w:szCs w:val="24"/>
          <w:lang w:val="en-US" w:eastAsia="it-IT"/>
        </w:rPr>
        <w:t>, the ICJ referred again to facts ‘convincingly established by the evidence’, ‘convincing evidence’ and ‘evidence weighty and convincing’.</w:t>
      </w:r>
      <w:r w:rsidR="006E3FC2" w:rsidRPr="005B6084">
        <w:rPr>
          <w:rStyle w:val="Rimandonotaapidipagina"/>
          <w:rFonts w:ascii="Times New Roman" w:hAnsi="Times New Roman"/>
          <w:sz w:val="24"/>
          <w:szCs w:val="24"/>
          <w:lang w:val="en-US" w:eastAsia="it-IT"/>
        </w:rPr>
        <w:footnoteReference w:id="106"/>
      </w:r>
      <w:r w:rsidR="006E3FC2" w:rsidRPr="005B6084">
        <w:rPr>
          <w:rFonts w:ascii="Times New Roman" w:hAnsi="Times New Roman"/>
          <w:sz w:val="24"/>
          <w:szCs w:val="24"/>
          <w:lang w:val="en-US" w:eastAsia="it-IT"/>
        </w:rPr>
        <w:t xml:space="preserve"> Beyond the ICJ, </w:t>
      </w:r>
      <w:r w:rsidR="006E3FC2" w:rsidRPr="005B6084">
        <w:rPr>
          <w:rFonts w:ascii="Times New Roman" w:hAnsi="Times New Roman"/>
          <w:sz w:val="24"/>
          <w:szCs w:val="24"/>
        </w:rPr>
        <w:t>the Eritrea-Ethiopia Claims Commission</w:t>
      </w:r>
      <w:r w:rsidR="006E3FC2" w:rsidRPr="005B6084">
        <w:rPr>
          <w:rFonts w:ascii="Times New Roman" w:hAnsi="Times New Roman"/>
          <w:sz w:val="24"/>
          <w:szCs w:val="24"/>
          <w:lang w:val="en-US" w:eastAsia="it-IT"/>
        </w:rPr>
        <w:t xml:space="preserve"> also found that there was ‘clear’ evidence that events </w:t>
      </w:r>
      <w:proofErr w:type="gramStart"/>
      <w:r w:rsidR="006E3FC2" w:rsidRPr="005B6084">
        <w:rPr>
          <w:rFonts w:ascii="Times New Roman" w:hAnsi="Times New Roman"/>
          <w:sz w:val="24"/>
          <w:szCs w:val="24"/>
          <w:lang w:val="en-US" w:eastAsia="it-IT"/>
        </w:rPr>
        <w:t>in the vicinity of</w:t>
      </w:r>
      <w:proofErr w:type="gramEnd"/>
      <w:r w:rsidR="006E3FC2" w:rsidRPr="005B6084">
        <w:rPr>
          <w:rFonts w:ascii="Times New Roman" w:hAnsi="Times New Roman"/>
          <w:sz w:val="24"/>
          <w:szCs w:val="24"/>
          <w:lang w:val="en-US" w:eastAsia="it-IT"/>
        </w:rPr>
        <w:t xml:space="preserve"> </w:t>
      </w:r>
      <w:proofErr w:type="spellStart"/>
      <w:r w:rsidR="006E3FC2" w:rsidRPr="005B6084">
        <w:rPr>
          <w:rFonts w:ascii="Times New Roman" w:hAnsi="Times New Roman"/>
          <w:sz w:val="24"/>
          <w:szCs w:val="24"/>
          <w:lang w:val="en-US" w:eastAsia="it-IT"/>
        </w:rPr>
        <w:t>Badme</w:t>
      </w:r>
      <w:proofErr w:type="spellEnd"/>
      <w:r w:rsidR="006E3FC2" w:rsidRPr="005B6084">
        <w:rPr>
          <w:rFonts w:ascii="Times New Roman" w:hAnsi="Times New Roman"/>
          <w:sz w:val="24"/>
          <w:szCs w:val="24"/>
          <w:lang w:val="en-US" w:eastAsia="it-IT"/>
        </w:rPr>
        <w:t xml:space="preserve"> were minor incidents and did not reach the magnitude of an armed attack.</w:t>
      </w:r>
      <w:r w:rsidR="006E3FC2" w:rsidRPr="005B6084">
        <w:rPr>
          <w:rStyle w:val="Rimandonotaapidipagina"/>
          <w:rFonts w:ascii="Times New Roman" w:hAnsi="Times New Roman"/>
          <w:sz w:val="24"/>
          <w:szCs w:val="24"/>
          <w:lang w:val="en-US" w:eastAsia="it-IT"/>
        </w:rPr>
        <w:footnoteReference w:id="107"/>
      </w:r>
      <w:r w:rsidR="006E3FC2" w:rsidRPr="005B6084">
        <w:rPr>
          <w:rFonts w:ascii="Times New Roman" w:hAnsi="Times New Roman"/>
          <w:sz w:val="24"/>
          <w:szCs w:val="24"/>
          <w:lang w:val="en-US" w:eastAsia="it-IT"/>
        </w:rPr>
        <w:t xml:space="preserve"> </w:t>
      </w:r>
      <w:r w:rsidR="006E3FC2" w:rsidRPr="005B6084">
        <w:rPr>
          <w:rFonts w:ascii="Times New Roman" w:hAnsi="Times New Roman"/>
          <w:sz w:val="24"/>
          <w:szCs w:val="24"/>
          <w:lang w:eastAsia="it-IT"/>
        </w:rPr>
        <w:t xml:space="preserve">The above suggests that at least clear and convincing evidence </w:t>
      </w:r>
      <w:proofErr w:type="gramStart"/>
      <w:r w:rsidR="006E3FC2" w:rsidRPr="005B6084">
        <w:rPr>
          <w:rFonts w:ascii="Times New Roman" w:hAnsi="Times New Roman"/>
          <w:sz w:val="24"/>
          <w:szCs w:val="24"/>
          <w:lang w:eastAsia="it-IT"/>
        </w:rPr>
        <w:t>is expected</w:t>
      </w:r>
      <w:proofErr w:type="gramEnd"/>
      <w:r w:rsidR="006E3FC2" w:rsidRPr="005B6084">
        <w:rPr>
          <w:rFonts w:ascii="Times New Roman" w:hAnsi="Times New Roman"/>
          <w:sz w:val="24"/>
          <w:szCs w:val="24"/>
          <w:lang w:eastAsia="it-IT"/>
        </w:rPr>
        <w:t xml:space="preserve"> for claims related to the use of force. As self-defence is an exception to the prohibition of the use of force, in particular, the standard of proof should be high enough to limit its invocation to exceptional circumstances and thus avoid abuses.</w:t>
      </w:r>
      <w:r w:rsidR="006E3FC2" w:rsidRPr="005B6084">
        <w:rPr>
          <w:rStyle w:val="Rimandonotaapidipagina"/>
          <w:rFonts w:ascii="Times New Roman" w:hAnsi="Times New Roman"/>
          <w:sz w:val="24"/>
          <w:szCs w:val="24"/>
          <w:lang w:eastAsia="it-IT"/>
        </w:rPr>
        <w:footnoteReference w:id="108"/>
      </w:r>
      <w:r w:rsidR="006E3FC2" w:rsidRPr="005B6084">
        <w:rPr>
          <w:rFonts w:ascii="Times New Roman" w:hAnsi="Times New Roman"/>
          <w:sz w:val="24"/>
          <w:szCs w:val="24"/>
          <w:lang w:eastAsia="it-IT"/>
        </w:rPr>
        <w:t xml:space="preserve"> </w:t>
      </w:r>
    </w:p>
    <w:p w14:paraId="20C47DC0" w14:textId="1CF22DBB" w:rsidR="006E3FC2" w:rsidRPr="005B6084" w:rsidRDefault="006E3FC2" w:rsidP="002A7CE5">
      <w:pPr>
        <w:pStyle w:val="PI"/>
        <w:spacing w:after="120" w:line="360" w:lineRule="exact"/>
        <w:ind w:firstLine="567"/>
        <w:jc w:val="both"/>
      </w:pPr>
      <w:r w:rsidRPr="005B6084">
        <w:rPr>
          <w:lang w:eastAsia="it-IT"/>
        </w:rPr>
        <w:t xml:space="preserve">If clear and convincing evidence is required at least in relation to claims </w:t>
      </w:r>
      <w:r w:rsidR="002C3FA9" w:rsidRPr="005B6084">
        <w:rPr>
          <w:lang w:eastAsia="it-IT"/>
        </w:rPr>
        <w:t xml:space="preserve">related to </w:t>
      </w:r>
      <w:r w:rsidR="00B13C30" w:rsidRPr="005B6084">
        <w:rPr>
          <w:lang w:eastAsia="it-IT"/>
        </w:rPr>
        <w:t>the</w:t>
      </w:r>
      <w:r w:rsidR="002C3FA9" w:rsidRPr="005B6084">
        <w:rPr>
          <w:lang w:eastAsia="it-IT"/>
        </w:rPr>
        <w:t xml:space="preserve"> </w:t>
      </w:r>
      <w:r w:rsidRPr="005B6084">
        <w:rPr>
          <w:lang w:eastAsia="it-IT"/>
        </w:rPr>
        <w:t xml:space="preserve">use </w:t>
      </w:r>
      <w:r w:rsidR="00701269" w:rsidRPr="005B6084">
        <w:rPr>
          <w:lang w:eastAsia="it-IT"/>
        </w:rPr>
        <w:t xml:space="preserve">of </w:t>
      </w:r>
      <w:r w:rsidRPr="005B6084">
        <w:rPr>
          <w:lang w:eastAsia="it-IT"/>
        </w:rPr>
        <w:t xml:space="preserve">armed force, the question arises whether there is a special, and lower, standard in the cyber context, in particular for claims of </w:t>
      </w:r>
      <w:proofErr w:type="spellStart"/>
      <w:r w:rsidRPr="005B6084">
        <w:rPr>
          <w:lang w:eastAsia="it-IT"/>
        </w:rPr>
        <w:t>self-defence</w:t>
      </w:r>
      <w:proofErr w:type="spellEnd"/>
      <w:r w:rsidRPr="005B6084">
        <w:rPr>
          <w:lang w:eastAsia="it-IT"/>
        </w:rPr>
        <w:t xml:space="preserve"> against cyber operations. Indeed, </w:t>
      </w:r>
      <w:r w:rsidRPr="005B6084">
        <w:t>‘evidentiary thresholds that might have worked well in a world of conventional threats – where capabilities could be judged with high accuracy and the costs of false negatives to peace and security were not necessarily devastating – risk exposing states to unacceptable dangers’.</w:t>
      </w:r>
      <w:r w:rsidRPr="005B6084">
        <w:rPr>
          <w:rStyle w:val="Rimandonotaapidipagina"/>
        </w:rPr>
        <w:footnoteReference w:id="109"/>
      </w:r>
      <w:r w:rsidRPr="005B6084">
        <w:t xml:space="preserve"> There is of course no </w:t>
      </w:r>
      <w:proofErr w:type="gramStart"/>
      <w:r w:rsidRPr="005B6084">
        <w:t>case-law</w:t>
      </w:r>
      <w:proofErr w:type="gramEnd"/>
      <w:r w:rsidRPr="005B6084">
        <w:t xml:space="preserve"> in relation to</w:t>
      </w:r>
      <w:r w:rsidR="00701269" w:rsidRPr="005B6084">
        <w:t xml:space="preserve"> claims arising out of</w:t>
      </w:r>
      <w:r w:rsidRPr="005B6084">
        <w:t xml:space="preserve"> inter-state cyber operations, so </w:t>
      </w:r>
      <w:r w:rsidR="00B13C30" w:rsidRPr="005B6084">
        <w:t xml:space="preserve">possible </w:t>
      </w:r>
      <w:r w:rsidRPr="005B6084">
        <w:t xml:space="preserve">indications in this sense have to be </w:t>
      </w:r>
      <w:r w:rsidR="00701269" w:rsidRPr="005B6084">
        <w:t xml:space="preserve">found </w:t>
      </w:r>
      <w:r w:rsidRPr="005B6084">
        <w:t xml:space="preserve">elsewhere. </w:t>
      </w:r>
      <w:r w:rsidRPr="005B6084">
        <w:rPr>
          <w:lang w:eastAsia="it-IT"/>
        </w:rPr>
        <w:t xml:space="preserve">The Project Grey Goose Report on the </w:t>
      </w:r>
      <w:proofErr w:type="gramStart"/>
      <w:r w:rsidRPr="005B6084">
        <w:rPr>
          <w:lang w:eastAsia="it-IT"/>
        </w:rPr>
        <w:t>2008 cyber</w:t>
      </w:r>
      <w:proofErr w:type="gramEnd"/>
      <w:r w:rsidRPr="005B6084">
        <w:rPr>
          <w:lang w:eastAsia="it-IT"/>
        </w:rPr>
        <w:t xml:space="preserve"> operations against Georgia, for instance, relies on </w:t>
      </w:r>
      <w:r w:rsidR="00C2475F" w:rsidRPr="005B6084">
        <w:rPr>
          <w:lang w:eastAsia="it-IT"/>
        </w:rPr>
        <w:t xml:space="preserve">the concordance of various items of </w:t>
      </w:r>
      <w:r w:rsidRPr="005B6084">
        <w:rPr>
          <w:lang w:eastAsia="it-IT"/>
        </w:rPr>
        <w:t>circumstantial evidence</w:t>
      </w:r>
      <w:r w:rsidR="00C2475F" w:rsidRPr="005B6084">
        <w:rPr>
          <w:lang w:eastAsia="it-IT"/>
        </w:rPr>
        <w:t xml:space="preserve"> </w:t>
      </w:r>
      <w:r w:rsidRPr="005B6084">
        <w:rPr>
          <w:lang w:eastAsia="it-IT"/>
        </w:rPr>
        <w:t>to suggest that the Russian government was responsible for the operations.</w:t>
      </w:r>
      <w:bookmarkStart w:id="31" w:name="_Ref389207204"/>
      <w:r w:rsidRPr="005B6084">
        <w:rPr>
          <w:rStyle w:val="Rimandonotaapidipagina"/>
          <w:lang w:eastAsia="it-IT"/>
        </w:rPr>
        <w:footnoteReference w:id="110"/>
      </w:r>
      <w:bookmarkEnd w:id="31"/>
      <w:r w:rsidRPr="005B6084">
        <w:rPr>
          <w:lang w:eastAsia="it-IT"/>
        </w:rPr>
        <w:t xml:space="preserve"> In its reply to the UN Secretary-General on issues related to information security, the United States claimed that ‘high-confidence attribution of identity to perpetrators cannot be achieved in a timely manner, if ever, and success often depends on a high degree of transnational cooperation.’</w:t>
      </w:r>
      <w:r w:rsidRPr="005B6084">
        <w:rPr>
          <w:rStyle w:val="Rimandonotaapidipagina"/>
          <w:lang w:eastAsia="it-IT"/>
        </w:rPr>
        <w:footnoteReference w:id="111"/>
      </w:r>
      <w:r w:rsidRPr="005B6084">
        <w:rPr>
          <w:lang w:eastAsia="it-IT"/>
        </w:rPr>
        <w:t xml:space="preserve"> </w:t>
      </w:r>
      <w:r w:rsidRPr="005B6084">
        <w:t xml:space="preserve">In a Senate questionnaire in </w:t>
      </w:r>
      <w:r w:rsidRPr="005B6084">
        <w:lastRenderedPageBreak/>
        <w:t xml:space="preserve">preparation for a hearing on his nomination to head of the US Cyber Command, </w:t>
      </w:r>
      <w:r w:rsidRPr="005B6084">
        <w:rPr>
          <w:lang w:eastAsia="it-IT"/>
        </w:rPr>
        <w:t xml:space="preserve">General Alexander argued that ‘some level of mitigating action’ can be taken against </w:t>
      </w:r>
      <w:proofErr w:type="spellStart"/>
      <w:r w:rsidRPr="005B6084">
        <w:rPr>
          <w:lang w:eastAsia="it-IT"/>
        </w:rPr>
        <w:t>cyber attacks</w:t>
      </w:r>
      <w:proofErr w:type="spellEnd"/>
      <w:r w:rsidRPr="005B6084">
        <w:rPr>
          <w:lang w:eastAsia="it-IT"/>
        </w:rPr>
        <w:t xml:space="preserve"> ‘even when we are not certain who is responsible’.</w:t>
      </w:r>
      <w:r w:rsidRPr="005B6084">
        <w:rPr>
          <w:rStyle w:val="Rimandonotaapidipagina"/>
          <w:lang w:eastAsia="it-IT"/>
        </w:rPr>
        <w:footnoteReference w:id="112"/>
      </w:r>
      <w:r w:rsidRPr="005B6084">
        <w:rPr>
          <w:lang w:eastAsia="it-IT"/>
        </w:rPr>
        <w:t xml:space="preserve"> Similar words </w:t>
      </w:r>
      <w:proofErr w:type="gramStart"/>
      <w:r w:rsidRPr="005B6084">
        <w:rPr>
          <w:lang w:eastAsia="it-IT"/>
        </w:rPr>
        <w:t>were employed</w:t>
      </w:r>
      <w:proofErr w:type="gramEnd"/>
      <w:r w:rsidRPr="005B6084">
        <w:rPr>
          <w:lang w:eastAsia="it-IT"/>
        </w:rPr>
        <w:t xml:space="preserve"> by his successor</w:t>
      </w:r>
      <w:r w:rsidR="00701269" w:rsidRPr="005B6084">
        <w:rPr>
          <w:lang w:eastAsia="it-IT"/>
        </w:rPr>
        <w:t>, Vice Admiral Michael S. Rogers</w:t>
      </w:r>
      <w:r w:rsidRPr="005B6084">
        <w:rPr>
          <w:lang w:eastAsia="it-IT"/>
        </w:rPr>
        <w:t xml:space="preserve">: </w:t>
      </w:r>
      <w:r w:rsidRPr="005B6084">
        <w:t>‘International law does not require that a nation know who is responsible for conducting an armed attack before using capabilities to defend themselves from that attack’.</w:t>
      </w:r>
      <w:r w:rsidRPr="005B6084">
        <w:rPr>
          <w:rStyle w:val="Rimandonotaapidipagina"/>
        </w:rPr>
        <w:footnoteReference w:id="113"/>
      </w:r>
      <w:r w:rsidRPr="005B6084">
        <w:t xml:space="preserve"> However, </w:t>
      </w:r>
      <w:r w:rsidR="00701269" w:rsidRPr="005B6084">
        <w:t xml:space="preserve">Vice Admiral Rogers </w:t>
      </w:r>
      <w:r w:rsidRPr="005B6084">
        <w:t>also caution</w:t>
      </w:r>
      <w:r w:rsidR="00701269" w:rsidRPr="005B6084">
        <w:t>ed</w:t>
      </w:r>
      <w:r w:rsidRPr="005B6084">
        <w:t xml:space="preserve"> that ‘from both an operational and policy perspective, it is difficult to develop an effective response without a degree of confidence in attribution’.</w:t>
      </w:r>
      <w:r w:rsidRPr="005B6084">
        <w:rPr>
          <w:rStyle w:val="Rimandonotaapidipagina"/>
        </w:rPr>
        <w:footnoteReference w:id="114"/>
      </w:r>
      <w:r w:rsidRPr="005B6084">
        <w:t xml:space="preserve"> Overall, </w:t>
      </w:r>
      <w:r w:rsidRPr="005B6084">
        <w:rPr>
          <w:lang w:eastAsia="it-IT"/>
        </w:rPr>
        <w:t xml:space="preserve">the above views seem to suggest an evidentiary standard, based on circumstantial evidence, significantly lower than clear and convincing evidence and even than </w:t>
      </w:r>
      <w:r w:rsidR="00701269" w:rsidRPr="005B6084">
        <w:rPr>
          <w:lang w:eastAsia="it-IT"/>
        </w:rPr>
        <w:t xml:space="preserve">a </w:t>
      </w:r>
      <w:r w:rsidRPr="005B6084">
        <w:rPr>
          <w:lang w:eastAsia="it-IT"/>
        </w:rPr>
        <w:t xml:space="preserve">preponderance of </w:t>
      </w:r>
      <w:r w:rsidR="00701269" w:rsidRPr="005B6084">
        <w:rPr>
          <w:lang w:eastAsia="it-IT"/>
        </w:rPr>
        <w:t xml:space="preserve">the </w:t>
      </w:r>
      <w:r w:rsidRPr="005B6084">
        <w:rPr>
          <w:lang w:eastAsia="it-IT"/>
        </w:rPr>
        <w:t>evidence, on the basis that identification and attribution are more problematic in a digital environment than in the analogue world.</w:t>
      </w:r>
      <w:r w:rsidRPr="005B6084">
        <w:rPr>
          <w:rStyle w:val="Rimandonotaapidipagina"/>
          <w:lang w:eastAsia="it-IT"/>
        </w:rPr>
        <w:footnoteReference w:id="115"/>
      </w:r>
    </w:p>
    <w:p w14:paraId="2D1904EB" w14:textId="1BF6D82E" w:rsidR="006E3FC2" w:rsidRPr="005B6084" w:rsidRDefault="006E3FC2" w:rsidP="00467E90">
      <w:pPr>
        <w:spacing w:after="120" w:line="360" w:lineRule="exact"/>
        <w:ind w:firstLine="567"/>
        <w:jc w:val="both"/>
        <w:rPr>
          <w:rFonts w:ascii="Times New Roman" w:hAnsi="Times New Roman"/>
          <w:sz w:val="24"/>
          <w:szCs w:val="24"/>
          <w:lang w:val="en-US"/>
        </w:rPr>
      </w:pPr>
      <w:r w:rsidRPr="005B6084">
        <w:rPr>
          <w:rFonts w:ascii="Times New Roman" w:hAnsi="Times New Roman"/>
          <w:sz w:val="24"/>
          <w:szCs w:val="24"/>
          <w:lang w:val="en-US" w:eastAsia="it-IT"/>
        </w:rPr>
        <w:t xml:space="preserve">It is difficult, however, to see why the standard of proof should be lower simply because it is more difficult to reach it. </w:t>
      </w:r>
      <w:r w:rsidR="007D27E1" w:rsidRPr="005B6084">
        <w:rPr>
          <w:rFonts w:ascii="Times New Roman" w:hAnsi="Times New Roman"/>
          <w:sz w:val="24"/>
          <w:szCs w:val="24"/>
          <w:lang w:val="en-US" w:eastAsia="it-IT"/>
        </w:rPr>
        <w:t xml:space="preserve">The </w:t>
      </w:r>
      <w:r w:rsidRPr="005B6084">
        <w:rPr>
          <w:rFonts w:ascii="Times New Roman" w:hAnsi="Times New Roman"/>
          <w:sz w:val="24"/>
          <w:szCs w:val="24"/>
          <w:lang w:val="en-US" w:eastAsia="it-IT"/>
        </w:rPr>
        <w:t xml:space="preserve">standard </w:t>
      </w:r>
      <w:r w:rsidR="007D27E1" w:rsidRPr="005B6084">
        <w:rPr>
          <w:rFonts w:ascii="Times New Roman" w:hAnsi="Times New Roman"/>
          <w:sz w:val="24"/>
          <w:szCs w:val="24"/>
          <w:lang w:val="en-US" w:eastAsia="it-IT"/>
        </w:rPr>
        <w:t xml:space="preserve">of proof </w:t>
      </w:r>
      <w:r w:rsidRPr="005B6084">
        <w:rPr>
          <w:rFonts w:ascii="Times New Roman" w:hAnsi="Times New Roman"/>
          <w:sz w:val="24"/>
          <w:szCs w:val="24"/>
          <w:lang w:val="en-US" w:eastAsia="it-IT"/>
        </w:rPr>
        <w:t>exists not to disadvantage the claimant, but to protect the respondent against false attribution, which</w:t>
      </w:r>
      <w:r w:rsidRPr="005B6084">
        <w:rPr>
          <w:rFonts w:ascii="Times New Roman" w:hAnsi="Times New Roman"/>
          <w:sz w:val="24"/>
          <w:szCs w:val="24"/>
        </w:rPr>
        <w:t xml:space="preserve">, thanks to tricks like IP spoofing, onion routing and the use of botnets, </w:t>
      </w:r>
      <w:r w:rsidRPr="005B6084">
        <w:rPr>
          <w:rFonts w:ascii="Times New Roman" w:hAnsi="Times New Roman"/>
          <w:sz w:val="24"/>
          <w:szCs w:val="24"/>
          <w:lang w:val="en-US" w:eastAsia="it-IT"/>
        </w:rPr>
        <w:t xml:space="preserve">is a particularly serious risk in the cyber context. The </w:t>
      </w:r>
      <w:proofErr w:type="gramStart"/>
      <w:r w:rsidRPr="005B6084">
        <w:rPr>
          <w:rFonts w:ascii="Times New Roman" w:hAnsi="Times New Roman"/>
          <w:sz w:val="24"/>
          <w:szCs w:val="24"/>
          <w:lang w:val="en-US" w:eastAsia="it-IT"/>
        </w:rPr>
        <w:t>above mentioned</w:t>
      </w:r>
      <w:proofErr w:type="gramEnd"/>
      <w:r w:rsidRPr="005B6084">
        <w:rPr>
          <w:rFonts w:ascii="Times New Roman" w:hAnsi="Times New Roman"/>
          <w:sz w:val="24"/>
          <w:szCs w:val="24"/>
          <w:lang w:val="en-US" w:eastAsia="it-IT"/>
        </w:rPr>
        <w:t xml:space="preserve"> views are also far from being unanimous</w:t>
      </w:r>
      <w:r w:rsidR="007D27E1" w:rsidRPr="005B6084">
        <w:rPr>
          <w:rFonts w:ascii="Times New Roman" w:hAnsi="Times New Roman"/>
          <w:sz w:val="24"/>
          <w:szCs w:val="24"/>
          <w:lang w:val="en-US" w:eastAsia="it-IT"/>
        </w:rPr>
        <w:t>ly held</w:t>
      </w:r>
      <w:r w:rsidRPr="005B6084">
        <w:rPr>
          <w:rFonts w:ascii="Times New Roman" w:hAnsi="Times New Roman"/>
          <w:sz w:val="24"/>
          <w:szCs w:val="24"/>
          <w:lang w:val="en-US" w:eastAsia="it-IT"/>
        </w:rPr>
        <w:t xml:space="preserve">, even within the US </w:t>
      </w:r>
      <w:r w:rsidR="007D27E1" w:rsidRPr="005B6084">
        <w:rPr>
          <w:rFonts w:ascii="Times New Roman" w:hAnsi="Times New Roman"/>
          <w:sz w:val="24"/>
          <w:szCs w:val="24"/>
          <w:lang w:val="en-US" w:eastAsia="it-IT"/>
        </w:rPr>
        <w:t>government</w:t>
      </w:r>
      <w:r w:rsidRPr="005B6084">
        <w:rPr>
          <w:rFonts w:ascii="Times New Roman" w:hAnsi="Times New Roman"/>
          <w:sz w:val="24"/>
          <w:szCs w:val="24"/>
          <w:lang w:val="en-US" w:eastAsia="it-IT"/>
        </w:rPr>
        <w:t>: the Air Force Doctrine for Cyberspace Operations, for instance, states that attribution of cyber operations should be established with ‘sufficient confidence and verifiability’.</w:t>
      </w:r>
      <w:r w:rsidRPr="005B6084">
        <w:rPr>
          <w:rStyle w:val="Rimandonotaapidipagina"/>
          <w:rFonts w:ascii="Times New Roman" w:hAnsi="Times New Roman"/>
          <w:sz w:val="24"/>
          <w:szCs w:val="24"/>
          <w:lang w:val="en-US" w:eastAsia="it-IT"/>
        </w:rPr>
        <w:footnoteReference w:id="116"/>
      </w:r>
      <w:r w:rsidRPr="005B6084">
        <w:rPr>
          <w:rFonts w:ascii="Times New Roman" w:hAnsi="Times New Roman"/>
          <w:sz w:val="24"/>
          <w:szCs w:val="24"/>
          <w:lang w:val="en-US" w:eastAsia="it-IT"/>
        </w:rPr>
        <w:t xml:space="preserve"> A report prepared by Italy’s Parliamentary Committee on the Security of the Republic goes further and requires </w:t>
      </w:r>
      <w:r w:rsidR="007D27E1" w:rsidRPr="005B6084">
        <w:rPr>
          <w:rFonts w:ascii="Times New Roman" w:hAnsi="Times New Roman"/>
          <w:sz w:val="24"/>
          <w:szCs w:val="24"/>
          <w:lang w:val="en-US" w:eastAsia="it-IT"/>
        </w:rPr>
        <w:t xml:space="preserve">it </w:t>
      </w:r>
      <w:r w:rsidRPr="005B6084">
        <w:rPr>
          <w:rFonts w:ascii="Times New Roman" w:hAnsi="Times New Roman"/>
          <w:sz w:val="24"/>
          <w:szCs w:val="24"/>
          <w:lang w:val="en-US" w:eastAsia="it-IT"/>
        </w:rPr>
        <w:t xml:space="preserve">to </w:t>
      </w:r>
      <w:r w:rsidR="007D27E1" w:rsidRPr="005B6084">
        <w:rPr>
          <w:rFonts w:ascii="Times New Roman" w:hAnsi="Times New Roman"/>
          <w:sz w:val="24"/>
          <w:szCs w:val="24"/>
          <w:lang w:val="en-US" w:eastAsia="it-IT"/>
        </w:rPr>
        <w:t xml:space="preserve">be </w:t>
      </w:r>
      <w:r w:rsidRPr="005B6084">
        <w:rPr>
          <w:rFonts w:ascii="Times New Roman" w:hAnsi="Times New Roman"/>
          <w:sz w:val="24"/>
          <w:szCs w:val="24"/>
          <w:lang w:val="en-US" w:eastAsia="it-IT"/>
        </w:rPr>
        <w:t xml:space="preserve">demonstrate ‘unequivocally’ (‘in </w:t>
      </w:r>
      <w:proofErr w:type="spellStart"/>
      <w:r w:rsidRPr="005B6084">
        <w:rPr>
          <w:rFonts w:ascii="Times New Roman" w:hAnsi="Times New Roman"/>
          <w:sz w:val="24"/>
          <w:szCs w:val="24"/>
          <w:lang w:val="en-US" w:eastAsia="it-IT"/>
        </w:rPr>
        <w:t>modo</w:t>
      </w:r>
      <w:proofErr w:type="spellEnd"/>
      <w:r w:rsidRPr="005B6084">
        <w:rPr>
          <w:rFonts w:ascii="Times New Roman" w:hAnsi="Times New Roman"/>
          <w:sz w:val="24"/>
          <w:szCs w:val="24"/>
          <w:lang w:val="en-US" w:eastAsia="it-IT"/>
        </w:rPr>
        <w:t xml:space="preserve"> </w:t>
      </w:r>
      <w:proofErr w:type="spellStart"/>
      <w:r w:rsidRPr="005B6084">
        <w:rPr>
          <w:rFonts w:ascii="Times New Roman" w:hAnsi="Times New Roman"/>
          <w:sz w:val="24"/>
          <w:szCs w:val="24"/>
          <w:lang w:val="en-US" w:eastAsia="it-IT"/>
        </w:rPr>
        <w:t>inequivocabile</w:t>
      </w:r>
      <w:proofErr w:type="spellEnd"/>
      <w:r w:rsidRPr="005B6084">
        <w:rPr>
          <w:rFonts w:ascii="Times New Roman" w:hAnsi="Times New Roman"/>
          <w:sz w:val="24"/>
          <w:szCs w:val="24"/>
          <w:lang w:val="en-US" w:eastAsia="it-IT"/>
        </w:rPr>
        <w:t xml:space="preserve">’) that an armed attack by cyber means originated from a state and was </w:t>
      </w:r>
      <w:r w:rsidR="007D27E1" w:rsidRPr="005B6084">
        <w:rPr>
          <w:rFonts w:ascii="Times New Roman" w:hAnsi="Times New Roman"/>
          <w:sz w:val="24"/>
          <w:szCs w:val="24"/>
          <w:lang w:val="en-US" w:eastAsia="it-IT"/>
        </w:rPr>
        <w:t xml:space="preserve">undertaken on the instruction of </w:t>
      </w:r>
      <w:r w:rsidRPr="005B6084">
        <w:rPr>
          <w:rFonts w:ascii="Times New Roman" w:hAnsi="Times New Roman"/>
          <w:sz w:val="24"/>
          <w:szCs w:val="24"/>
          <w:lang w:val="en-US" w:eastAsia="it-IT"/>
        </w:rPr>
        <w:t xml:space="preserve">governmental </w:t>
      </w:r>
      <w:r w:rsidR="007D27E1" w:rsidRPr="005B6084">
        <w:rPr>
          <w:rFonts w:ascii="Times New Roman" w:hAnsi="Times New Roman"/>
          <w:sz w:val="24"/>
          <w:szCs w:val="24"/>
          <w:lang w:val="en-US" w:eastAsia="it-IT"/>
        </w:rPr>
        <w:t>bodies</w:t>
      </w:r>
      <w:r w:rsidRPr="005B6084">
        <w:rPr>
          <w:rFonts w:ascii="Times New Roman" w:hAnsi="Times New Roman"/>
          <w:sz w:val="24"/>
          <w:szCs w:val="24"/>
          <w:lang w:val="en-US" w:eastAsia="it-IT"/>
        </w:rPr>
        <w:t>.</w:t>
      </w:r>
      <w:r w:rsidRPr="005B6084">
        <w:rPr>
          <w:rStyle w:val="Rimandonotaapidipagina"/>
          <w:rFonts w:ascii="Times New Roman" w:hAnsi="Times New Roman"/>
          <w:sz w:val="24"/>
          <w:szCs w:val="24"/>
          <w:lang w:val="en-US" w:eastAsia="it-IT"/>
        </w:rPr>
        <w:footnoteReference w:id="117"/>
      </w:r>
      <w:r w:rsidRPr="005B6084">
        <w:rPr>
          <w:rFonts w:ascii="Times New Roman" w:hAnsi="Times New Roman"/>
          <w:sz w:val="24"/>
          <w:szCs w:val="24"/>
          <w:lang w:val="en-US" w:eastAsia="it-IT"/>
        </w:rPr>
        <w:t xml:space="preserve"> The document also suggests that attribution </w:t>
      </w:r>
      <w:r w:rsidR="007D27E1" w:rsidRPr="005B6084">
        <w:rPr>
          <w:rFonts w:ascii="Times New Roman" w:hAnsi="Times New Roman"/>
          <w:sz w:val="24"/>
          <w:szCs w:val="24"/>
          <w:lang w:val="en-US" w:eastAsia="it-IT"/>
        </w:rPr>
        <w:t xml:space="preserve">to a state requires </w:t>
      </w:r>
      <w:r w:rsidRPr="005B6084">
        <w:rPr>
          <w:rFonts w:ascii="Times New Roman" w:hAnsi="Times New Roman"/>
          <w:sz w:val="24"/>
          <w:szCs w:val="24"/>
          <w:lang w:val="en-US" w:eastAsia="it-IT"/>
        </w:rPr>
        <w:t xml:space="preserve">‘irrefutable digital </w:t>
      </w:r>
      <w:r w:rsidR="00C2475F" w:rsidRPr="005B6084">
        <w:rPr>
          <w:rFonts w:ascii="Times New Roman" w:hAnsi="Times New Roman"/>
          <w:sz w:val="24"/>
          <w:szCs w:val="24"/>
          <w:lang w:val="en-US" w:eastAsia="it-IT"/>
        </w:rPr>
        <w:t>«</w:t>
      </w:r>
      <w:r w:rsidRPr="005B6084">
        <w:rPr>
          <w:rFonts w:ascii="Times New Roman" w:hAnsi="Times New Roman"/>
          <w:sz w:val="24"/>
          <w:szCs w:val="24"/>
          <w:lang w:val="en-US" w:eastAsia="it-IT"/>
        </w:rPr>
        <w:t>evidence</w:t>
      </w:r>
      <w:r w:rsidR="00C2475F" w:rsidRPr="005B6084">
        <w:rPr>
          <w:rFonts w:ascii="Times New Roman" w:hAnsi="Times New Roman"/>
          <w:sz w:val="24"/>
          <w:szCs w:val="24"/>
          <w:lang w:val="en-US" w:eastAsia="it-IT"/>
        </w:rPr>
        <w:t>»</w:t>
      </w:r>
      <w:r w:rsidRPr="005B6084">
        <w:rPr>
          <w:rFonts w:ascii="Times New Roman" w:hAnsi="Times New Roman"/>
          <w:sz w:val="24"/>
          <w:szCs w:val="24"/>
          <w:lang w:val="en-US" w:eastAsia="it-IT"/>
        </w:rPr>
        <w:t>’ (‘</w:t>
      </w:r>
      <w:r w:rsidR="00C2475F" w:rsidRPr="005B6084">
        <w:rPr>
          <w:rFonts w:ascii="Times New Roman" w:hAnsi="Times New Roman"/>
          <w:sz w:val="24"/>
          <w:szCs w:val="24"/>
          <w:lang w:val="en-US" w:eastAsia="it-IT"/>
        </w:rPr>
        <w:t>«</w:t>
      </w:r>
      <w:r w:rsidRPr="005B6084">
        <w:rPr>
          <w:rFonts w:ascii="Times New Roman" w:hAnsi="Times New Roman"/>
          <w:sz w:val="24"/>
          <w:szCs w:val="24"/>
          <w:lang w:val="en-US" w:eastAsia="it-IT"/>
        </w:rPr>
        <w:t>prove</w:t>
      </w:r>
      <w:r w:rsidR="00C2475F" w:rsidRPr="005B6084">
        <w:rPr>
          <w:rFonts w:ascii="Times New Roman" w:hAnsi="Times New Roman"/>
          <w:sz w:val="24"/>
          <w:szCs w:val="24"/>
          <w:lang w:val="en-US" w:eastAsia="it-IT"/>
        </w:rPr>
        <w:t>»</w:t>
      </w:r>
      <w:r w:rsidRPr="005B6084">
        <w:rPr>
          <w:rFonts w:ascii="Times New Roman" w:hAnsi="Times New Roman"/>
          <w:sz w:val="24"/>
          <w:szCs w:val="24"/>
          <w:lang w:val="en-US" w:eastAsia="it-IT"/>
        </w:rPr>
        <w:t xml:space="preserve"> </w:t>
      </w:r>
      <w:proofErr w:type="spellStart"/>
      <w:r w:rsidRPr="005B6084">
        <w:rPr>
          <w:rFonts w:ascii="Times New Roman" w:hAnsi="Times New Roman"/>
          <w:sz w:val="24"/>
          <w:szCs w:val="24"/>
          <w:lang w:val="en-US" w:eastAsia="it-IT"/>
        </w:rPr>
        <w:t>informatiche</w:t>
      </w:r>
      <w:proofErr w:type="spellEnd"/>
      <w:r w:rsidRPr="005B6084">
        <w:rPr>
          <w:rFonts w:ascii="Times New Roman" w:hAnsi="Times New Roman"/>
          <w:sz w:val="24"/>
          <w:szCs w:val="24"/>
          <w:lang w:val="en-US" w:eastAsia="it-IT"/>
        </w:rPr>
        <w:t xml:space="preserve"> </w:t>
      </w:r>
      <w:proofErr w:type="spellStart"/>
      <w:r w:rsidRPr="005B6084">
        <w:rPr>
          <w:rFonts w:ascii="Times New Roman" w:hAnsi="Times New Roman"/>
          <w:sz w:val="24"/>
          <w:szCs w:val="24"/>
          <w:lang w:val="en-US" w:eastAsia="it-IT"/>
        </w:rPr>
        <w:t>inconfutabili</w:t>
      </w:r>
      <w:proofErr w:type="spellEnd"/>
      <w:r w:rsidRPr="005B6084">
        <w:rPr>
          <w:rFonts w:ascii="Times New Roman" w:hAnsi="Times New Roman"/>
          <w:sz w:val="24"/>
          <w:szCs w:val="24"/>
          <w:lang w:val="en-US" w:eastAsia="it-IT"/>
        </w:rPr>
        <w:t xml:space="preserve">’), which – the </w:t>
      </w:r>
      <w:r w:rsidRPr="005B6084">
        <w:rPr>
          <w:rFonts w:ascii="Times New Roman" w:hAnsi="Times New Roman"/>
          <w:sz w:val="24"/>
          <w:szCs w:val="24"/>
          <w:lang w:val="en-US" w:eastAsia="it-IT"/>
        </w:rPr>
        <w:lastRenderedPageBreak/>
        <w:t xml:space="preserve">Report concedes – is a </w:t>
      </w:r>
      <w:proofErr w:type="gramStart"/>
      <w:r w:rsidR="007D27E1" w:rsidRPr="005B6084">
        <w:rPr>
          <w:rFonts w:ascii="Times New Roman" w:hAnsi="Times New Roman"/>
          <w:sz w:val="24"/>
          <w:szCs w:val="24"/>
          <w:lang w:val="en-US" w:eastAsia="it-IT"/>
        </w:rPr>
        <w:t>standard which</w:t>
      </w:r>
      <w:proofErr w:type="gramEnd"/>
      <w:r w:rsidR="007D27E1" w:rsidRPr="005B6084">
        <w:rPr>
          <w:rFonts w:ascii="Times New Roman" w:hAnsi="Times New Roman"/>
          <w:sz w:val="24"/>
          <w:szCs w:val="24"/>
          <w:lang w:val="en-US" w:eastAsia="it-IT"/>
        </w:rPr>
        <w:t xml:space="preserve"> is </w:t>
      </w:r>
      <w:r w:rsidRPr="005B6084">
        <w:rPr>
          <w:rFonts w:ascii="Times New Roman" w:hAnsi="Times New Roman"/>
          <w:sz w:val="24"/>
          <w:szCs w:val="24"/>
          <w:lang w:val="en-US" w:eastAsia="it-IT"/>
        </w:rPr>
        <w:t>very difficult to meet.</w:t>
      </w:r>
      <w:r w:rsidRPr="005B6084">
        <w:rPr>
          <w:rStyle w:val="Rimandonotaapidipagina"/>
          <w:rFonts w:ascii="Times New Roman" w:hAnsi="Times New Roman"/>
          <w:sz w:val="24"/>
          <w:szCs w:val="24"/>
          <w:lang w:val="en-US" w:eastAsia="it-IT"/>
        </w:rPr>
        <w:footnoteReference w:id="118"/>
      </w:r>
      <w:r w:rsidRPr="005B6084">
        <w:rPr>
          <w:rFonts w:ascii="Times New Roman" w:hAnsi="Times New Roman"/>
          <w:sz w:val="24"/>
          <w:szCs w:val="24"/>
          <w:lang w:val="en-US" w:eastAsia="it-IT"/>
        </w:rPr>
        <w:t xml:space="preserve"> Germany also highlighted the need for ‘reliable attribution’ of malicious cyber activities in order to avoid ‘“false flag” attacks’, misunderstandings and miscalculations.</w:t>
      </w:r>
      <w:r w:rsidRPr="005B6084">
        <w:rPr>
          <w:rStyle w:val="Rimandonotaapidipagina"/>
          <w:rFonts w:ascii="Times New Roman" w:hAnsi="Times New Roman"/>
          <w:sz w:val="24"/>
          <w:szCs w:val="24"/>
          <w:lang w:val="en-US" w:eastAsia="it-IT"/>
        </w:rPr>
        <w:footnoteReference w:id="119"/>
      </w:r>
      <w:r w:rsidRPr="005B6084">
        <w:rPr>
          <w:rFonts w:ascii="Times New Roman" w:hAnsi="Times New Roman"/>
          <w:sz w:val="24"/>
          <w:szCs w:val="24"/>
          <w:lang w:val="en-US" w:eastAsia="it-IT"/>
        </w:rPr>
        <w:t xml:space="preserve"> In relation to the </w:t>
      </w:r>
      <w:proofErr w:type="spellStart"/>
      <w:r w:rsidRPr="005B6084">
        <w:rPr>
          <w:rFonts w:ascii="Times New Roman" w:hAnsi="Times New Roman"/>
          <w:sz w:val="24"/>
          <w:szCs w:val="24"/>
          <w:lang w:val="en-US" w:eastAsia="it-IT"/>
        </w:rPr>
        <w:t>DDoS</w:t>
      </w:r>
      <w:proofErr w:type="spellEnd"/>
      <w:r w:rsidRPr="005B6084">
        <w:rPr>
          <w:rFonts w:ascii="Times New Roman" w:hAnsi="Times New Roman"/>
          <w:sz w:val="24"/>
          <w:szCs w:val="24"/>
          <w:lang w:val="en-US" w:eastAsia="it-IT"/>
        </w:rPr>
        <w:t xml:space="preserve"> attacks against Estonia, a UK House of Lords document lamented that ‘the analysis of today is really very elusive, not </w:t>
      </w:r>
      <w:r w:rsidRPr="005B6084">
        <w:rPr>
          <w:rFonts w:ascii="Times New Roman" w:hAnsi="Times New Roman"/>
          <w:i/>
          <w:sz w:val="24"/>
          <w:szCs w:val="24"/>
          <w:lang w:val="en-US" w:eastAsia="it-IT"/>
        </w:rPr>
        <w:t>conclusive</w:t>
      </w:r>
      <w:r w:rsidRPr="005B6084">
        <w:rPr>
          <w:rFonts w:ascii="Times New Roman" w:hAnsi="Times New Roman"/>
          <w:sz w:val="24"/>
          <w:szCs w:val="24"/>
          <w:lang w:val="en-US" w:eastAsia="it-IT"/>
        </w:rPr>
        <w:t xml:space="preserve"> and it would still be very difficult to act on it’.</w:t>
      </w:r>
      <w:r w:rsidRPr="005B6084">
        <w:rPr>
          <w:rStyle w:val="Rimandonotaapidipagina"/>
          <w:rFonts w:ascii="Times New Roman" w:hAnsi="Times New Roman"/>
          <w:sz w:val="24"/>
          <w:szCs w:val="24"/>
          <w:lang w:val="en-US" w:eastAsia="it-IT"/>
        </w:rPr>
        <w:footnoteReference w:id="120"/>
      </w:r>
      <w:r w:rsidRPr="005B6084">
        <w:rPr>
          <w:rFonts w:ascii="Times New Roman" w:hAnsi="Times New Roman"/>
          <w:sz w:val="24"/>
          <w:szCs w:val="24"/>
          <w:lang w:val="en-US" w:eastAsia="it-IT"/>
        </w:rPr>
        <w:t xml:space="preserve"> Finally, the AIV/CAVV Report, </w:t>
      </w:r>
      <w:r w:rsidR="007D27E1" w:rsidRPr="005B6084">
        <w:rPr>
          <w:rFonts w:ascii="Times New Roman" w:hAnsi="Times New Roman"/>
          <w:sz w:val="24"/>
          <w:szCs w:val="24"/>
          <w:lang w:val="en-US"/>
        </w:rPr>
        <w:t xml:space="preserve">which </w:t>
      </w:r>
      <w:proofErr w:type="gramStart"/>
      <w:r w:rsidRPr="005B6084">
        <w:rPr>
          <w:rFonts w:ascii="Times New Roman" w:hAnsi="Times New Roman"/>
          <w:sz w:val="24"/>
          <w:szCs w:val="24"/>
          <w:lang w:val="en-US"/>
        </w:rPr>
        <w:t>has been endorsed</w:t>
      </w:r>
      <w:proofErr w:type="gramEnd"/>
      <w:r w:rsidRPr="005B6084">
        <w:rPr>
          <w:rFonts w:ascii="Times New Roman" w:hAnsi="Times New Roman"/>
          <w:sz w:val="24"/>
          <w:szCs w:val="24"/>
          <w:lang w:val="en-US"/>
        </w:rPr>
        <w:t xml:space="preserve"> by the Dutch government, requires ‘reliable intelligence . . . before a military response can be made to a </w:t>
      </w:r>
      <w:proofErr w:type="spellStart"/>
      <w:r w:rsidRPr="005B6084">
        <w:rPr>
          <w:rFonts w:ascii="Times New Roman" w:hAnsi="Times New Roman"/>
          <w:sz w:val="24"/>
          <w:szCs w:val="24"/>
          <w:lang w:val="en-US"/>
        </w:rPr>
        <w:t>cyber attack</w:t>
      </w:r>
      <w:proofErr w:type="spellEnd"/>
      <w:r w:rsidRPr="005B6084">
        <w:rPr>
          <w:rFonts w:ascii="Times New Roman" w:hAnsi="Times New Roman"/>
          <w:sz w:val="24"/>
          <w:szCs w:val="24"/>
          <w:lang w:val="en-US"/>
        </w:rPr>
        <w:t>’ and ‘sufficient certainty’ about the identity of the author of the attack.</w:t>
      </w:r>
      <w:r w:rsidRPr="005B6084">
        <w:rPr>
          <w:rStyle w:val="Rimandonotaapidipagina"/>
          <w:rFonts w:ascii="Times New Roman" w:hAnsi="Times New Roman"/>
          <w:sz w:val="24"/>
          <w:szCs w:val="24"/>
          <w:lang w:val="en-US"/>
        </w:rPr>
        <w:footnoteReference w:id="121"/>
      </w:r>
      <w:r w:rsidRPr="005B6084">
        <w:rPr>
          <w:rFonts w:ascii="Times New Roman" w:hAnsi="Times New Roman"/>
          <w:sz w:val="24"/>
          <w:szCs w:val="24"/>
          <w:lang w:val="en-US"/>
        </w:rPr>
        <w:t xml:space="preserve"> </w:t>
      </w:r>
      <w:r w:rsidRPr="005B6084">
        <w:rPr>
          <w:rFonts w:ascii="Times New Roman" w:hAnsi="Times New Roman"/>
          <w:sz w:val="24"/>
          <w:szCs w:val="24"/>
          <w:lang w:val="en-US" w:eastAsia="it-IT"/>
        </w:rPr>
        <w:t xml:space="preserve">In its response to the Report, the Dutch government argued that </w:t>
      </w:r>
      <w:proofErr w:type="spellStart"/>
      <w:r w:rsidRPr="005B6084">
        <w:rPr>
          <w:rFonts w:ascii="Times New Roman" w:hAnsi="Times New Roman"/>
          <w:sz w:val="24"/>
          <w:szCs w:val="24"/>
          <w:lang w:val="en-US" w:eastAsia="it-IT"/>
        </w:rPr>
        <w:t>self-defence</w:t>
      </w:r>
      <w:proofErr w:type="spellEnd"/>
      <w:r w:rsidRPr="005B6084">
        <w:rPr>
          <w:rFonts w:ascii="Times New Roman" w:hAnsi="Times New Roman"/>
          <w:sz w:val="24"/>
          <w:szCs w:val="24"/>
          <w:lang w:val="en-US" w:eastAsia="it-IT"/>
        </w:rPr>
        <w:t xml:space="preserve"> </w:t>
      </w:r>
      <w:proofErr w:type="gramStart"/>
      <w:r w:rsidRPr="005B6084">
        <w:rPr>
          <w:rFonts w:ascii="Times New Roman" w:hAnsi="Times New Roman"/>
          <w:sz w:val="24"/>
          <w:szCs w:val="24"/>
          <w:lang w:val="en-US" w:eastAsia="it-IT"/>
        </w:rPr>
        <w:t>can</w:t>
      </w:r>
      <w:proofErr w:type="gramEnd"/>
      <w:r w:rsidRPr="005B6084">
        <w:rPr>
          <w:rFonts w:ascii="Times New Roman" w:hAnsi="Times New Roman"/>
          <w:sz w:val="24"/>
          <w:szCs w:val="24"/>
          <w:lang w:val="en-US" w:eastAsia="it-IT"/>
        </w:rPr>
        <w:t xml:space="preserve"> be exercised against </w:t>
      </w:r>
      <w:proofErr w:type="spellStart"/>
      <w:r w:rsidRPr="005B6084">
        <w:rPr>
          <w:rFonts w:ascii="Times New Roman" w:hAnsi="Times New Roman"/>
          <w:sz w:val="24"/>
          <w:szCs w:val="24"/>
          <w:lang w:val="en-US" w:eastAsia="it-IT"/>
        </w:rPr>
        <w:t>cyber attacks</w:t>
      </w:r>
      <w:proofErr w:type="spellEnd"/>
      <w:r w:rsidRPr="005B6084">
        <w:rPr>
          <w:rFonts w:ascii="Times New Roman" w:hAnsi="Times New Roman"/>
          <w:sz w:val="24"/>
          <w:szCs w:val="24"/>
          <w:lang w:val="en-US" w:eastAsia="it-IT"/>
        </w:rPr>
        <w:t xml:space="preserve"> ‘only if the origin of the attack and the identity of those responsible are sufficiently certain’.</w:t>
      </w:r>
      <w:r w:rsidRPr="005B6084">
        <w:rPr>
          <w:rStyle w:val="Rimandonotaapidipagina"/>
          <w:rFonts w:ascii="Times New Roman" w:hAnsi="Times New Roman"/>
          <w:sz w:val="24"/>
          <w:szCs w:val="24"/>
          <w:lang w:val="en-US" w:eastAsia="it-IT"/>
        </w:rPr>
        <w:footnoteReference w:id="122"/>
      </w:r>
    </w:p>
    <w:p w14:paraId="33DE80DE" w14:textId="1742A70A" w:rsidR="006E3FC2" w:rsidRPr="005B6084" w:rsidRDefault="006E3FC2" w:rsidP="00AA4E61">
      <w:pPr>
        <w:pStyle w:val="P"/>
        <w:spacing w:after="120" w:line="360" w:lineRule="exact"/>
        <w:ind w:firstLine="567"/>
        <w:jc w:val="both"/>
        <w:rPr>
          <w:highlight w:val="yellow"/>
          <w:lang w:eastAsia="it-IT"/>
        </w:rPr>
      </w:pPr>
      <w:proofErr w:type="gramStart"/>
      <w:r w:rsidRPr="005B6084">
        <w:t xml:space="preserve">All in all, clear and convincing evidence seems the appropriate standard not only for claims of </w:t>
      </w:r>
      <w:proofErr w:type="spellStart"/>
      <w:r w:rsidRPr="005B6084">
        <w:t>self-defence</w:t>
      </w:r>
      <w:proofErr w:type="spellEnd"/>
      <w:r w:rsidRPr="005B6084">
        <w:t xml:space="preserve"> against traditional armed attacks, but also for those against cyber operations: a </w:t>
      </w:r>
      <w:r w:rsidRPr="005B6084">
        <w:rPr>
          <w:i/>
        </w:rPr>
        <w:t>prima facie</w:t>
      </w:r>
      <w:r w:rsidRPr="005B6084">
        <w:t xml:space="preserve"> or preponderance of evidence standard might lead to specious claims and false or erroneous attribution, while a beyond reasonable doubt standard would be unrealistic: </w:t>
      </w:r>
      <w:r w:rsidR="00262768" w:rsidRPr="005B6084">
        <w:t xml:space="preserve">in the </w:t>
      </w:r>
      <w:r w:rsidR="00262768" w:rsidRPr="005B6084">
        <w:rPr>
          <w:i/>
        </w:rPr>
        <w:t>Norwegian Loans</w:t>
      </w:r>
      <w:r w:rsidR="00262768" w:rsidRPr="005B6084">
        <w:t xml:space="preserve"> case, </w:t>
      </w:r>
      <w:r w:rsidRPr="005B6084">
        <w:t xml:space="preserve">Judge </w:t>
      </w:r>
      <w:proofErr w:type="spellStart"/>
      <w:r w:rsidRPr="005B6084">
        <w:t>Lauterpacht</w:t>
      </w:r>
      <w:proofErr w:type="spellEnd"/>
      <w:r w:rsidRPr="005B6084">
        <w:t xml:space="preserve"> emphasized </w:t>
      </w:r>
      <w:r w:rsidR="00262768" w:rsidRPr="005B6084">
        <w:t xml:space="preserve">that </w:t>
      </w:r>
      <w:r w:rsidRPr="005B6084">
        <w:rPr>
          <w:lang w:eastAsia="it-IT"/>
        </w:rPr>
        <w:t>‘the degree of burden of proof . . . adduced ought not to be so stringent as to render the proof unduly exacting’.</w:t>
      </w:r>
      <w:r w:rsidRPr="005B6084">
        <w:rPr>
          <w:rStyle w:val="Rimandonotaapidipagina"/>
          <w:lang w:eastAsia="it-IT"/>
        </w:rPr>
        <w:footnoteReference w:id="123"/>
      </w:r>
      <w:proofErr w:type="gramEnd"/>
      <w:r w:rsidRPr="005B6084">
        <w:rPr>
          <w:lang w:eastAsia="it-IT"/>
        </w:rPr>
        <w:t xml:space="preserve"> As explained by Michael Schmitt, a clear and convincing standard ‘obliges a state to act reasonably, that is, in a fashion consistent with the normal state practice in same or similar circumstances. Reasonable states </w:t>
      </w:r>
      <w:r w:rsidRPr="005B6084">
        <w:rPr>
          <w:lang w:eastAsia="it-IT"/>
        </w:rPr>
        <w:lastRenderedPageBreak/>
        <w:t>neither respond precipitously on the basis of sketchy indications of who has attacked them nor sit back passively until they have gathered unassailable evidence’.</w:t>
      </w:r>
      <w:r w:rsidRPr="005B6084">
        <w:rPr>
          <w:rStyle w:val="Rimandonotaapidipagina"/>
          <w:lang w:eastAsia="it-IT"/>
        </w:rPr>
        <w:footnoteReference w:id="124"/>
      </w:r>
    </w:p>
    <w:p w14:paraId="7A0281C9" w14:textId="0A10EE24" w:rsidR="006E3FC2" w:rsidRPr="005B6084" w:rsidRDefault="006E3FC2" w:rsidP="009028FC">
      <w:pPr>
        <w:autoSpaceDE w:val="0"/>
        <w:autoSpaceDN w:val="0"/>
        <w:adjustRightInd w:val="0"/>
        <w:spacing w:after="120" w:line="360" w:lineRule="exact"/>
        <w:ind w:firstLine="567"/>
        <w:jc w:val="both"/>
        <w:rPr>
          <w:rFonts w:ascii="Times New Roman" w:hAnsi="Times New Roman"/>
          <w:sz w:val="24"/>
          <w:szCs w:val="24"/>
          <w:lang w:val="en-US" w:eastAsia="it-IT"/>
        </w:rPr>
      </w:pPr>
      <w:proofErr w:type="gramStart"/>
      <w:r w:rsidRPr="005B6084">
        <w:rPr>
          <w:rFonts w:ascii="Times New Roman" w:hAnsi="Times New Roman"/>
          <w:sz w:val="24"/>
          <w:szCs w:val="24"/>
          <w:lang w:val="en-US" w:eastAsia="it-IT"/>
        </w:rPr>
        <w:t xml:space="preserve">Those who criticize a clear and convincing evidence standard for the exercise of </w:t>
      </w:r>
      <w:proofErr w:type="spellStart"/>
      <w:r w:rsidRPr="005B6084">
        <w:rPr>
          <w:rFonts w:ascii="Times New Roman" w:hAnsi="Times New Roman"/>
          <w:sz w:val="24"/>
          <w:szCs w:val="24"/>
          <w:lang w:val="en-US" w:eastAsia="it-IT"/>
        </w:rPr>
        <w:t>self-defence</w:t>
      </w:r>
      <w:proofErr w:type="spellEnd"/>
      <w:r w:rsidRPr="005B6084">
        <w:rPr>
          <w:rFonts w:ascii="Times New Roman" w:hAnsi="Times New Roman"/>
          <w:sz w:val="24"/>
          <w:szCs w:val="24"/>
          <w:lang w:val="en-US" w:eastAsia="it-IT"/>
        </w:rPr>
        <w:t xml:space="preserve"> against cyber operations rely on the fact that, due to the speed at which such operations may occur and produce their consequences, the requirement of a high level of evidence may in fact render </w:t>
      </w:r>
      <w:r w:rsidR="007D27E1" w:rsidRPr="005B6084">
        <w:rPr>
          <w:rFonts w:ascii="Times New Roman" w:hAnsi="Times New Roman"/>
          <w:sz w:val="24"/>
          <w:szCs w:val="24"/>
          <w:lang w:val="en-US" w:eastAsia="it-IT"/>
        </w:rPr>
        <w:t xml:space="preserve">it </w:t>
      </w:r>
      <w:r w:rsidRPr="005B6084">
        <w:rPr>
          <w:rFonts w:ascii="Times New Roman" w:hAnsi="Times New Roman"/>
          <w:sz w:val="24"/>
          <w:szCs w:val="24"/>
          <w:lang w:val="en-US" w:eastAsia="it-IT"/>
        </w:rPr>
        <w:t xml:space="preserve">impossible for the victim state </w:t>
      </w:r>
      <w:r w:rsidR="007D27E1" w:rsidRPr="005B6084">
        <w:rPr>
          <w:rFonts w:ascii="Times New Roman" w:hAnsi="Times New Roman"/>
          <w:sz w:val="24"/>
          <w:szCs w:val="24"/>
          <w:lang w:val="en-US" w:eastAsia="it-IT"/>
        </w:rPr>
        <w:t xml:space="preserve">safely </w:t>
      </w:r>
      <w:r w:rsidRPr="005B6084">
        <w:rPr>
          <w:rFonts w:ascii="Times New Roman" w:hAnsi="Times New Roman"/>
          <w:sz w:val="24"/>
          <w:szCs w:val="24"/>
          <w:lang w:val="en-US" w:eastAsia="it-IT"/>
        </w:rPr>
        <w:t xml:space="preserve">to exercise its right of </w:t>
      </w:r>
      <w:proofErr w:type="spellStart"/>
      <w:r w:rsidRPr="005B6084">
        <w:rPr>
          <w:rFonts w:ascii="Times New Roman" w:hAnsi="Times New Roman"/>
          <w:sz w:val="24"/>
          <w:szCs w:val="24"/>
          <w:lang w:val="en-US" w:eastAsia="it-IT"/>
        </w:rPr>
        <w:t>self-defence</w:t>
      </w:r>
      <w:proofErr w:type="spellEnd"/>
      <w:r w:rsidRPr="005B6084">
        <w:rPr>
          <w:rFonts w:ascii="Times New Roman" w:hAnsi="Times New Roman"/>
          <w:sz w:val="24"/>
          <w:szCs w:val="24"/>
          <w:lang w:val="en-US" w:eastAsia="it-IT"/>
        </w:rPr>
        <w:t>.</w:t>
      </w:r>
      <w:proofErr w:type="gramEnd"/>
      <w:r w:rsidRPr="005B6084">
        <w:rPr>
          <w:rFonts w:ascii="Times New Roman" w:hAnsi="Times New Roman"/>
          <w:sz w:val="24"/>
          <w:szCs w:val="24"/>
          <w:lang w:val="en-US" w:eastAsia="it-IT"/>
        </w:rPr>
        <w:t xml:space="preserve"> Such concerns, however, are exaggerated. Indeed, if the </w:t>
      </w:r>
      <w:proofErr w:type="spellStart"/>
      <w:r w:rsidRPr="005B6084">
        <w:rPr>
          <w:rFonts w:ascii="Times New Roman" w:hAnsi="Times New Roman"/>
          <w:sz w:val="24"/>
          <w:szCs w:val="24"/>
          <w:lang w:val="en-US" w:eastAsia="it-IT"/>
        </w:rPr>
        <w:t>cyber attack</w:t>
      </w:r>
      <w:proofErr w:type="spellEnd"/>
      <w:r w:rsidRPr="005B6084">
        <w:rPr>
          <w:rFonts w:ascii="Times New Roman" w:hAnsi="Times New Roman"/>
          <w:sz w:val="24"/>
          <w:szCs w:val="24"/>
          <w:lang w:val="en-US" w:eastAsia="it-IT"/>
        </w:rPr>
        <w:t xml:space="preserve"> </w:t>
      </w:r>
      <w:proofErr w:type="gramStart"/>
      <w:r w:rsidRPr="005B6084">
        <w:rPr>
          <w:rFonts w:ascii="Times New Roman" w:hAnsi="Times New Roman"/>
          <w:sz w:val="24"/>
          <w:szCs w:val="24"/>
          <w:lang w:val="en-US" w:eastAsia="it-IT"/>
        </w:rPr>
        <w:t>was</w:t>
      </w:r>
      <w:proofErr w:type="gramEnd"/>
      <w:r w:rsidRPr="005B6084">
        <w:rPr>
          <w:rFonts w:ascii="Times New Roman" w:hAnsi="Times New Roman"/>
          <w:sz w:val="24"/>
          <w:szCs w:val="24"/>
          <w:lang w:val="en-US" w:eastAsia="it-IT"/>
        </w:rPr>
        <w:t xml:space="preserve"> a standalone </w:t>
      </w:r>
      <w:r w:rsidR="007D27E1" w:rsidRPr="005B6084">
        <w:rPr>
          <w:rFonts w:ascii="Times New Roman" w:hAnsi="Times New Roman"/>
          <w:sz w:val="24"/>
          <w:szCs w:val="24"/>
          <w:lang w:val="en-US" w:eastAsia="it-IT"/>
        </w:rPr>
        <w:t xml:space="preserve">event </w:t>
      </w:r>
      <w:r w:rsidRPr="005B6084">
        <w:rPr>
          <w:rFonts w:ascii="Times New Roman" w:hAnsi="Times New Roman"/>
          <w:sz w:val="24"/>
          <w:szCs w:val="24"/>
          <w:lang w:val="en-US" w:eastAsia="it-IT"/>
        </w:rPr>
        <w:t xml:space="preserve">that instantaneously produced its damaging effects, a reaction in </w:t>
      </w:r>
      <w:proofErr w:type="spellStart"/>
      <w:r w:rsidRPr="005B6084">
        <w:rPr>
          <w:rFonts w:ascii="Times New Roman" w:hAnsi="Times New Roman"/>
          <w:sz w:val="24"/>
          <w:szCs w:val="24"/>
          <w:lang w:val="en-US" w:eastAsia="it-IT"/>
        </w:rPr>
        <w:t>self-defence</w:t>
      </w:r>
      <w:proofErr w:type="spellEnd"/>
      <w:r w:rsidRPr="005B6084">
        <w:rPr>
          <w:rFonts w:ascii="Times New Roman" w:hAnsi="Times New Roman"/>
          <w:sz w:val="24"/>
          <w:szCs w:val="24"/>
          <w:lang w:val="en-US" w:eastAsia="it-IT"/>
        </w:rPr>
        <w:t xml:space="preserve"> would not be necessary. If, on the other hand, the </w:t>
      </w:r>
      <w:proofErr w:type="spellStart"/>
      <w:r w:rsidRPr="005B6084">
        <w:rPr>
          <w:rFonts w:ascii="Times New Roman" w:hAnsi="Times New Roman"/>
          <w:sz w:val="24"/>
          <w:szCs w:val="24"/>
          <w:lang w:val="en-US" w:eastAsia="it-IT"/>
        </w:rPr>
        <w:t>cyber attack</w:t>
      </w:r>
      <w:proofErr w:type="spellEnd"/>
      <w:r w:rsidRPr="005B6084">
        <w:rPr>
          <w:rFonts w:ascii="Times New Roman" w:hAnsi="Times New Roman"/>
          <w:sz w:val="24"/>
          <w:szCs w:val="24"/>
          <w:lang w:val="en-US" w:eastAsia="it-IT"/>
        </w:rPr>
        <w:t xml:space="preserve"> </w:t>
      </w:r>
      <w:r w:rsidR="007D27E1" w:rsidRPr="005B6084">
        <w:rPr>
          <w:rFonts w:ascii="Times New Roman" w:hAnsi="Times New Roman"/>
          <w:sz w:val="24"/>
          <w:szCs w:val="24"/>
          <w:lang w:val="en-US" w:eastAsia="it-IT"/>
        </w:rPr>
        <w:t xml:space="preserve">were </w:t>
      </w:r>
      <w:r w:rsidRPr="005B6084">
        <w:rPr>
          <w:rFonts w:ascii="Times New Roman" w:hAnsi="Times New Roman"/>
          <w:sz w:val="24"/>
          <w:szCs w:val="24"/>
          <w:lang w:val="en-US" w:eastAsia="it-IT"/>
        </w:rPr>
        <w:t xml:space="preserve">continuing or formed </w:t>
      </w:r>
      <w:r w:rsidR="007D27E1" w:rsidRPr="005B6084">
        <w:rPr>
          <w:rFonts w:ascii="Times New Roman" w:hAnsi="Times New Roman"/>
          <w:sz w:val="24"/>
          <w:szCs w:val="24"/>
          <w:lang w:val="en-US" w:eastAsia="it-IT"/>
        </w:rPr>
        <w:t xml:space="preserve">of </w:t>
      </w:r>
      <w:r w:rsidRPr="005B6084">
        <w:rPr>
          <w:rFonts w:ascii="Times New Roman" w:hAnsi="Times New Roman"/>
          <w:sz w:val="24"/>
          <w:szCs w:val="24"/>
          <w:lang w:val="en-US" w:eastAsia="it-IT"/>
        </w:rPr>
        <w:t xml:space="preserve">a series of smaller scale </w:t>
      </w:r>
      <w:proofErr w:type="spellStart"/>
      <w:r w:rsidRPr="005B6084">
        <w:rPr>
          <w:rFonts w:ascii="Times New Roman" w:hAnsi="Times New Roman"/>
          <w:sz w:val="24"/>
          <w:szCs w:val="24"/>
          <w:lang w:val="en-US" w:eastAsia="it-IT"/>
        </w:rPr>
        <w:t>cyber attacks</w:t>
      </w:r>
      <w:proofErr w:type="spellEnd"/>
      <w:r w:rsidRPr="005B6084">
        <w:rPr>
          <w:rFonts w:ascii="Times New Roman" w:hAnsi="Times New Roman"/>
          <w:sz w:val="24"/>
          <w:szCs w:val="24"/>
          <w:lang w:val="en-US" w:eastAsia="it-IT"/>
        </w:rPr>
        <w:t>,</w:t>
      </w:r>
      <w:r w:rsidRPr="005B6084">
        <w:rPr>
          <w:rStyle w:val="Rimandonotaapidipagina"/>
          <w:rFonts w:ascii="Times New Roman" w:hAnsi="Times New Roman"/>
          <w:sz w:val="24"/>
          <w:szCs w:val="24"/>
          <w:lang w:val="en-US" w:eastAsia="it-IT"/>
        </w:rPr>
        <w:footnoteReference w:id="125"/>
      </w:r>
      <w:r w:rsidRPr="005B6084">
        <w:rPr>
          <w:rFonts w:ascii="Times New Roman" w:hAnsi="Times New Roman"/>
          <w:sz w:val="24"/>
          <w:szCs w:val="24"/>
          <w:lang w:val="en-US" w:eastAsia="it-IT"/>
        </w:rPr>
        <w:t xml:space="preserve"> the likelihood that clear and convincing evidence </w:t>
      </w:r>
      <w:proofErr w:type="gramStart"/>
      <w:r w:rsidR="007D27E1" w:rsidRPr="005B6084">
        <w:rPr>
          <w:rFonts w:ascii="Times New Roman" w:hAnsi="Times New Roman"/>
          <w:sz w:val="24"/>
          <w:szCs w:val="24"/>
          <w:lang w:val="en-US" w:eastAsia="it-IT"/>
        </w:rPr>
        <w:t xml:space="preserve">could </w:t>
      </w:r>
      <w:r w:rsidRPr="005B6084">
        <w:rPr>
          <w:rFonts w:ascii="Times New Roman" w:hAnsi="Times New Roman"/>
          <w:sz w:val="24"/>
          <w:szCs w:val="24"/>
          <w:lang w:val="en-US" w:eastAsia="it-IT"/>
        </w:rPr>
        <w:t xml:space="preserve"> be</w:t>
      </w:r>
      <w:proofErr w:type="gramEnd"/>
      <w:r w:rsidRPr="005B6084">
        <w:rPr>
          <w:rFonts w:ascii="Times New Roman" w:hAnsi="Times New Roman"/>
          <w:sz w:val="24"/>
          <w:szCs w:val="24"/>
          <w:lang w:val="en-US" w:eastAsia="it-IT"/>
        </w:rPr>
        <w:t xml:space="preserve"> collected would considerably increase.</w:t>
      </w:r>
      <w:r w:rsidRPr="005B6084">
        <w:rPr>
          <w:rStyle w:val="Rimandonotaapidipagina"/>
          <w:rFonts w:ascii="Times New Roman" w:hAnsi="Times New Roman"/>
          <w:sz w:val="24"/>
          <w:szCs w:val="24"/>
          <w:lang w:val="en-US" w:eastAsia="it-IT"/>
        </w:rPr>
        <w:footnoteReference w:id="126"/>
      </w:r>
    </w:p>
    <w:p w14:paraId="4D3A049D" w14:textId="47BDF204" w:rsidR="006E3FC2" w:rsidRPr="005B6084" w:rsidRDefault="006E3FC2" w:rsidP="008936CE">
      <w:pPr>
        <w:pStyle w:val="P"/>
        <w:spacing w:after="120" w:line="360" w:lineRule="exact"/>
        <w:ind w:firstLine="567"/>
        <w:jc w:val="both"/>
        <w:rPr>
          <w:lang w:eastAsia="it-IT"/>
        </w:rPr>
      </w:pPr>
      <w:r w:rsidRPr="005B6084">
        <w:rPr>
          <w:lang w:eastAsia="it-IT"/>
        </w:rPr>
        <w:t>Having said that, there are also indications that the most serious allegations, such as those involving international crimes, require a higher standard to discharge the burden of proof.</w:t>
      </w:r>
      <w:r w:rsidRPr="005B6084">
        <w:rPr>
          <w:rStyle w:val="Rimandonotaapidipagina"/>
          <w:lang w:eastAsia="it-IT"/>
        </w:rPr>
        <w:footnoteReference w:id="127"/>
      </w:r>
      <w:r w:rsidRPr="005B6084">
        <w:rPr>
          <w:lang w:eastAsia="it-IT"/>
        </w:rPr>
        <w:t xml:space="preserve"> As Judge Higgins </w:t>
      </w:r>
      <w:r w:rsidR="00262768" w:rsidRPr="005B6084">
        <w:rPr>
          <w:lang w:eastAsia="it-IT"/>
        </w:rPr>
        <w:t>wrote</w:t>
      </w:r>
      <w:r w:rsidRPr="005B6084">
        <w:rPr>
          <w:lang w:eastAsia="it-IT"/>
        </w:rPr>
        <w:t xml:space="preserve"> in her Separate Opinion attached to the </w:t>
      </w:r>
      <w:r w:rsidRPr="005B6084">
        <w:rPr>
          <w:i/>
          <w:lang w:eastAsia="it-IT"/>
        </w:rPr>
        <w:t>Oil Platforms</w:t>
      </w:r>
      <w:r w:rsidRPr="005B6084">
        <w:rPr>
          <w:lang w:eastAsia="it-IT"/>
        </w:rPr>
        <w:t xml:space="preserve"> Judgment, ‘the graver the charge the more confidence there must be in the evidence relied on’.</w:t>
      </w:r>
      <w:r w:rsidRPr="005B6084">
        <w:rPr>
          <w:rStyle w:val="Rimandonotaapidipagina"/>
          <w:lang w:eastAsia="it-IT"/>
        </w:rPr>
        <w:footnoteReference w:id="128"/>
      </w:r>
      <w:r w:rsidRPr="005B6084">
        <w:rPr>
          <w:lang w:eastAsia="it-IT"/>
        </w:rPr>
        <w:t xml:space="preserve"> In </w:t>
      </w:r>
      <w:r w:rsidRPr="005B6084">
        <w:rPr>
          <w:i/>
          <w:lang w:eastAsia="it-IT"/>
        </w:rPr>
        <w:t>Corfu Channel</w:t>
      </w:r>
      <w:r w:rsidRPr="005B6084">
        <w:rPr>
          <w:lang w:eastAsia="it-IT"/>
        </w:rPr>
        <w:t>, the Court appear</w:t>
      </w:r>
      <w:r w:rsidR="007D27E1" w:rsidRPr="005B6084">
        <w:rPr>
          <w:lang w:eastAsia="it-IT"/>
        </w:rPr>
        <w:t>ed</w:t>
      </w:r>
      <w:r w:rsidRPr="005B6084">
        <w:rPr>
          <w:lang w:eastAsia="it-IT"/>
        </w:rPr>
        <w:t xml:space="preserve"> to suggest that the standard of proof is higher for charges of ‘exceptional gravity against a State’.</w:t>
      </w:r>
      <w:bookmarkStart w:id="32" w:name="_Ref389052669"/>
      <w:r w:rsidRPr="005B6084">
        <w:rPr>
          <w:rStyle w:val="Rimandonotaapidipagina"/>
          <w:lang w:eastAsia="it-IT"/>
        </w:rPr>
        <w:footnoteReference w:id="129"/>
      </w:r>
      <w:bookmarkEnd w:id="32"/>
      <w:r w:rsidRPr="005B6084">
        <w:rPr>
          <w:lang w:eastAsia="it-IT"/>
        </w:rPr>
        <w:t xml:space="preserve"> In the </w:t>
      </w:r>
      <w:r w:rsidRPr="005B6084">
        <w:rPr>
          <w:i/>
          <w:lang w:eastAsia="it-IT"/>
        </w:rPr>
        <w:t>Bosnian</w:t>
      </w:r>
      <w:r w:rsidRPr="005B6084">
        <w:rPr>
          <w:lang w:eastAsia="it-IT"/>
        </w:rPr>
        <w:t xml:space="preserve"> </w:t>
      </w:r>
      <w:r w:rsidRPr="005B6084">
        <w:rPr>
          <w:i/>
          <w:lang w:eastAsia="it-IT"/>
        </w:rPr>
        <w:t>Genocide</w:t>
      </w:r>
      <w:r w:rsidRPr="005B6084">
        <w:rPr>
          <w:lang w:eastAsia="it-IT"/>
        </w:rPr>
        <w:t xml:space="preserve"> case, the ICJ confirmed that ‘claims </w:t>
      </w:r>
      <w:proofErr w:type="gramStart"/>
      <w:r w:rsidRPr="005B6084">
        <w:rPr>
          <w:lang w:eastAsia="it-IT"/>
        </w:rPr>
        <w:t>against a State involving charges</w:t>
      </w:r>
      <w:proofErr w:type="gramEnd"/>
      <w:r w:rsidRPr="005B6084">
        <w:rPr>
          <w:lang w:eastAsia="it-IT"/>
        </w:rPr>
        <w:t xml:space="preserve"> of exceptional gravity must be proved by evidence that is </w:t>
      </w:r>
      <w:r w:rsidRPr="005B6084">
        <w:rPr>
          <w:i/>
          <w:lang w:eastAsia="it-IT"/>
        </w:rPr>
        <w:t>fully conclusive</w:t>
      </w:r>
      <w:r w:rsidRPr="005B6084">
        <w:rPr>
          <w:lang w:eastAsia="it-IT"/>
        </w:rPr>
        <w:t>. . . . The same standard applies to the proof of attribution for such acts’ (</w:t>
      </w:r>
      <w:r w:rsidR="007D27E1" w:rsidRPr="005B6084">
        <w:rPr>
          <w:lang w:eastAsia="it-IT"/>
        </w:rPr>
        <w:t xml:space="preserve">and accordingly applies </w:t>
      </w:r>
      <w:proofErr w:type="gramStart"/>
      <w:r w:rsidRPr="005B6084">
        <w:rPr>
          <w:lang w:eastAsia="it-IT"/>
        </w:rPr>
        <w:t>both to the objective and subjective</w:t>
      </w:r>
      <w:proofErr w:type="gramEnd"/>
      <w:r w:rsidRPr="005B6084">
        <w:rPr>
          <w:lang w:eastAsia="it-IT"/>
        </w:rPr>
        <w:t xml:space="preserve"> elements of </w:t>
      </w:r>
      <w:r w:rsidR="007D27E1" w:rsidRPr="005B6084">
        <w:rPr>
          <w:lang w:eastAsia="it-IT"/>
        </w:rPr>
        <w:t xml:space="preserve">an </w:t>
      </w:r>
      <w:r w:rsidRPr="005B6084">
        <w:rPr>
          <w:lang w:eastAsia="it-IT"/>
        </w:rPr>
        <w:t>international crime).</w:t>
      </w:r>
      <w:bookmarkStart w:id="33" w:name="_Ref383683542"/>
      <w:r w:rsidRPr="005B6084">
        <w:rPr>
          <w:rStyle w:val="Rimandonotaapidipagina"/>
          <w:lang w:eastAsia="it-IT"/>
        </w:rPr>
        <w:footnoteReference w:id="130"/>
      </w:r>
      <w:bookmarkEnd w:id="33"/>
      <w:r w:rsidRPr="005B6084">
        <w:rPr>
          <w:lang w:eastAsia="it-IT"/>
        </w:rPr>
        <w:t xml:space="preserve"> The Court also </w:t>
      </w:r>
      <w:r w:rsidRPr="005B6084">
        <w:rPr>
          <w:lang w:eastAsia="it-IT"/>
        </w:rPr>
        <w:lastRenderedPageBreak/>
        <w:t>found that assistance provided by Yugoslavia to the Bosnian Serbs had not been ‘established beyond any doubt’.</w:t>
      </w:r>
      <w:r w:rsidRPr="005B6084">
        <w:rPr>
          <w:rStyle w:val="Rimandonotaapidipagina"/>
          <w:lang w:eastAsia="it-IT"/>
        </w:rPr>
        <w:footnoteReference w:id="131"/>
      </w:r>
      <w:r w:rsidRPr="005B6084">
        <w:rPr>
          <w:lang w:eastAsia="it-IT"/>
        </w:rPr>
        <w:t xml:space="preserve"> Gravity is of course inherent in any </w:t>
      </w:r>
      <w:r w:rsidRPr="005B6084">
        <w:rPr>
          <w:i/>
          <w:lang w:eastAsia="it-IT"/>
        </w:rPr>
        <w:t xml:space="preserve">jus </w:t>
      </w:r>
      <w:proofErr w:type="spellStart"/>
      <w:r w:rsidRPr="005B6084">
        <w:rPr>
          <w:i/>
          <w:lang w:eastAsia="it-IT"/>
        </w:rPr>
        <w:t>cogens</w:t>
      </w:r>
      <w:proofErr w:type="spellEnd"/>
      <w:r w:rsidRPr="005B6084">
        <w:rPr>
          <w:lang w:eastAsia="it-IT"/>
        </w:rPr>
        <w:t xml:space="preserve"> violation. </w:t>
      </w:r>
      <w:r w:rsidR="00C03A66" w:rsidRPr="005B6084">
        <w:rPr>
          <w:lang w:eastAsia="it-IT"/>
        </w:rPr>
        <w:t>Claims of reparation</w:t>
      </w:r>
      <w:r w:rsidRPr="005B6084">
        <w:rPr>
          <w:lang w:eastAsia="it-IT"/>
        </w:rPr>
        <w:t xml:space="preserve"> </w:t>
      </w:r>
      <w:r w:rsidR="00C03A66" w:rsidRPr="005B6084">
        <w:rPr>
          <w:lang w:eastAsia="it-IT"/>
        </w:rPr>
        <w:t>for</w:t>
      </w:r>
      <w:r w:rsidRPr="005B6084">
        <w:rPr>
          <w:lang w:eastAsia="it-IT"/>
        </w:rPr>
        <w:t xml:space="preserve"> cyber operations qualifying as war crimes, crimes against humanity or acts of genocide, therefore, will require ‘fully conclusive’ evidence, not just </w:t>
      </w:r>
      <w:r w:rsidR="007D27E1" w:rsidRPr="005B6084">
        <w:rPr>
          <w:lang w:eastAsia="it-IT"/>
        </w:rPr>
        <w:t xml:space="preserve">evidence that is </w:t>
      </w:r>
      <w:r w:rsidRPr="005B6084">
        <w:rPr>
          <w:lang w:eastAsia="it-IT"/>
        </w:rPr>
        <w:t xml:space="preserve">‘clear and convincing’. As has been aptly suggested, however, ‘[a] higher standard of proof may only be justified if the Court is willing to balance this strict approach with a more active use of its fact-finding powers to make sure that claims for breaches of </w:t>
      </w:r>
      <w:r w:rsidRPr="005B6084">
        <w:rPr>
          <w:i/>
          <w:lang w:eastAsia="it-IT"/>
        </w:rPr>
        <w:t xml:space="preserve">jus </w:t>
      </w:r>
      <w:proofErr w:type="spellStart"/>
      <w:r w:rsidRPr="005B6084">
        <w:rPr>
          <w:i/>
          <w:lang w:eastAsia="it-IT"/>
        </w:rPr>
        <w:t>cogens</w:t>
      </w:r>
      <w:proofErr w:type="spellEnd"/>
      <w:r w:rsidRPr="005B6084">
        <w:rPr>
          <w:lang w:eastAsia="it-IT"/>
        </w:rPr>
        <w:t xml:space="preserve"> norms are not doomed to fail merely on evidential grounds’.</w:t>
      </w:r>
      <w:r w:rsidRPr="005B6084">
        <w:rPr>
          <w:rStyle w:val="Rimandonotaapidipagina"/>
          <w:lang w:eastAsia="it-IT"/>
        </w:rPr>
        <w:footnoteReference w:id="132"/>
      </w:r>
      <w:r w:rsidRPr="005B6084">
        <w:rPr>
          <w:lang w:eastAsia="it-IT"/>
        </w:rPr>
        <w:t xml:space="preserve"> </w:t>
      </w:r>
    </w:p>
    <w:p w14:paraId="45CFD9F8" w14:textId="708819F4" w:rsidR="006E3FC2" w:rsidRPr="005B6084" w:rsidRDefault="006E3FC2" w:rsidP="008936CE">
      <w:pPr>
        <w:pStyle w:val="P"/>
        <w:spacing w:after="120" w:line="360" w:lineRule="exact"/>
        <w:ind w:firstLine="567"/>
        <w:jc w:val="both"/>
        <w:rPr>
          <w:lang w:eastAsia="it-IT"/>
        </w:rPr>
      </w:pPr>
      <w:proofErr w:type="gramStart"/>
      <w:r w:rsidRPr="005B6084">
        <w:rPr>
          <w:lang w:eastAsia="it-IT"/>
        </w:rPr>
        <w:t xml:space="preserve">In the </w:t>
      </w:r>
      <w:r w:rsidRPr="005B6084">
        <w:rPr>
          <w:i/>
          <w:lang w:eastAsia="it-IT"/>
        </w:rPr>
        <w:t>Bosnian Genocide</w:t>
      </w:r>
      <w:r w:rsidRPr="005B6084">
        <w:rPr>
          <w:lang w:eastAsia="it-IT"/>
        </w:rPr>
        <w:t xml:space="preserve"> Judgment, the Court also appeared to make a distinction between </w:t>
      </w:r>
      <w:r w:rsidR="007D27E1" w:rsidRPr="005B6084">
        <w:rPr>
          <w:lang w:eastAsia="it-IT"/>
        </w:rPr>
        <w:t xml:space="preserve">a </w:t>
      </w:r>
      <w:r w:rsidRPr="005B6084">
        <w:rPr>
          <w:lang w:eastAsia="it-IT"/>
        </w:rPr>
        <w:t xml:space="preserve">violation of the prohibition </w:t>
      </w:r>
      <w:r w:rsidR="007D27E1" w:rsidRPr="005B6084">
        <w:rPr>
          <w:lang w:eastAsia="it-IT"/>
        </w:rPr>
        <w:t xml:space="preserve">of </w:t>
      </w:r>
      <w:r w:rsidRPr="005B6084">
        <w:rPr>
          <w:lang w:eastAsia="it-IT"/>
        </w:rPr>
        <w:t>commit</w:t>
      </w:r>
      <w:r w:rsidR="00C03A66" w:rsidRPr="005B6084">
        <w:rPr>
          <w:lang w:eastAsia="it-IT"/>
        </w:rPr>
        <w:t>t</w:t>
      </w:r>
      <w:r w:rsidR="007D27E1" w:rsidRPr="005B6084">
        <w:rPr>
          <w:lang w:eastAsia="it-IT"/>
        </w:rPr>
        <w:t>ing</w:t>
      </w:r>
      <w:r w:rsidRPr="005B6084">
        <w:rPr>
          <w:lang w:eastAsia="it-IT"/>
        </w:rPr>
        <w:t xml:space="preserve"> acts of genocide, for which evidence must be ‘fully conclusive’, and </w:t>
      </w:r>
      <w:r w:rsidR="007D27E1" w:rsidRPr="005B6084">
        <w:rPr>
          <w:lang w:eastAsia="it-IT"/>
        </w:rPr>
        <w:t xml:space="preserve">a </w:t>
      </w:r>
      <w:r w:rsidRPr="005B6084">
        <w:rPr>
          <w:lang w:eastAsia="it-IT"/>
        </w:rPr>
        <w:t xml:space="preserve">violation of the obligation to prevent </w:t>
      </w:r>
      <w:r w:rsidR="007D27E1" w:rsidRPr="005B6084">
        <w:rPr>
          <w:lang w:eastAsia="it-IT"/>
        </w:rPr>
        <w:t>acts of genocide</w:t>
      </w:r>
      <w:r w:rsidRPr="005B6084">
        <w:rPr>
          <w:lang w:eastAsia="it-IT"/>
        </w:rPr>
        <w:t>, where the Court required ‘proof at a high level of certainty appropriate to the seriousness of the allegation’,</w:t>
      </w:r>
      <w:r w:rsidRPr="005B6084">
        <w:rPr>
          <w:rStyle w:val="Rimandonotaapidipagina"/>
          <w:lang w:eastAsia="it-IT"/>
        </w:rPr>
        <w:footnoteReference w:id="133"/>
      </w:r>
      <w:r w:rsidRPr="005B6084">
        <w:rPr>
          <w:lang w:eastAsia="it-IT"/>
        </w:rPr>
        <w:t xml:space="preserve"> even though not necessarily fully conclusive.</w:t>
      </w:r>
      <w:r w:rsidRPr="005B6084">
        <w:rPr>
          <w:rStyle w:val="Rimandonotaapidipagina"/>
          <w:lang w:eastAsia="it-IT"/>
        </w:rPr>
        <w:footnoteReference w:id="134"/>
      </w:r>
      <w:proofErr w:type="gramEnd"/>
      <w:r w:rsidRPr="005B6084">
        <w:rPr>
          <w:lang w:eastAsia="it-IT"/>
        </w:rPr>
        <w:t xml:space="preserve"> </w:t>
      </w:r>
      <w:r w:rsidR="007D27E1" w:rsidRPr="005B6084">
        <w:rPr>
          <w:lang w:eastAsia="it-IT"/>
        </w:rPr>
        <w:t xml:space="preserve">Such an approach </w:t>
      </w:r>
      <w:r w:rsidRPr="005B6084">
        <w:rPr>
          <w:lang w:eastAsia="it-IT"/>
        </w:rPr>
        <w:t xml:space="preserve">appears justified by the different nature of the obligation breached: indeed, presumptions and inferences necessarily play a more significant role when the wrongful act </w:t>
      </w:r>
      <w:r w:rsidR="00BA309B" w:rsidRPr="005B6084">
        <w:rPr>
          <w:lang w:eastAsia="it-IT"/>
        </w:rPr>
        <w:t xml:space="preserve">to </w:t>
      </w:r>
      <w:proofErr w:type="gramStart"/>
      <w:r w:rsidR="007D27E1" w:rsidRPr="005B6084">
        <w:rPr>
          <w:lang w:eastAsia="it-IT"/>
        </w:rPr>
        <w:t xml:space="preserve">be </w:t>
      </w:r>
      <w:r w:rsidR="00BA309B" w:rsidRPr="005B6084">
        <w:rPr>
          <w:lang w:eastAsia="it-IT"/>
        </w:rPr>
        <w:t>prove</w:t>
      </w:r>
      <w:r w:rsidR="007D27E1" w:rsidRPr="005B6084">
        <w:rPr>
          <w:lang w:eastAsia="it-IT"/>
        </w:rPr>
        <w:t>d</w:t>
      </w:r>
      <w:proofErr w:type="gramEnd"/>
      <w:r w:rsidR="00BA309B" w:rsidRPr="005B6084">
        <w:rPr>
          <w:lang w:eastAsia="it-IT"/>
        </w:rPr>
        <w:t xml:space="preserve"> consists of an omission, as is</w:t>
      </w:r>
      <w:r w:rsidRPr="005B6084">
        <w:rPr>
          <w:lang w:eastAsia="it-IT"/>
        </w:rPr>
        <w:t xml:space="preserve"> the case of the breach of an obligation to prevent.</w:t>
      </w:r>
      <w:r w:rsidRPr="005B6084">
        <w:rPr>
          <w:rStyle w:val="Rimandonotaapidipagina"/>
          <w:lang w:eastAsia="it-IT"/>
        </w:rPr>
        <w:footnoteReference w:id="135"/>
      </w:r>
      <w:r w:rsidRPr="005B6084">
        <w:rPr>
          <w:lang w:eastAsia="it-IT"/>
        </w:rPr>
        <w:t xml:space="preserve"> By the same token, it may be suggested that the standard of proof required to prove that a state has conducted cyber operations amounting to international crimes is higher than that required to prove that it </w:t>
      </w:r>
      <w:r w:rsidR="00C03A66" w:rsidRPr="005B6084">
        <w:rPr>
          <w:lang w:eastAsia="it-IT"/>
        </w:rPr>
        <w:t>did not exercise</w:t>
      </w:r>
      <w:r w:rsidRPr="005B6084">
        <w:rPr>
          <w:lang w:eastAsia="it-IT"/>
        </w:rPr>
        <w:t xml:space="preserve"> the necessary due diligence to stop its cyber infrastructure from being used by others to </w:t>
      </w:r>
      <w:r w:rsidR="00A64B9B" w:rsidRPr="005B6084">
        <w:rPr>
          <w:lang w:eastAsia="it-IT"/>
        </w:rPr>
        <w:t>commit</w:t>
      </w:r>
      <w:r w:rsidRPr="005B6084">
        <w:rPr>
          <w:lang w:eastAsia="it-IT"/>
        </w:rPr>
        <w:t xml:space="preserve"> international crimes.</w:t>
      </w:r>
    </w:p>
    <w:p w14:paraId="51E9DE40" w14:textId="77777777" w:rsidR="006E3FC2" w:rsidRPr="005B6084" w:rsidRDefault="006E3FC2" w:rsidP="004B08ED">
      <w:pPr>
        <w:pStyle w:val="P"/>
        <w:spacing w:after="120" w:line="360" w:lineRule="exact"/>
        <w:jc w:val="both"/>
      </w:pPr>
    </w:p>
    <w:p w14:paraId="14003151" w14:textId="77777777" w:rsidR="006E3FC2" w:rsidRPr="005B6084" w:rsidRDefault="006E3FC2" w:rsidP="00DD561A">
      <w:pPr>
        <w:pStyle w:val="P"/>
        <w:spacing w:after="120" w:line="360" w:lineRule="exact"/>
        <w:jc w:val="both"/>
        <w:outlineLvl w:val="0"/>
        <w:rPr>
          <w:b/>
        </w:rPr>
      </w:pPr>
      <w:r w:rsidRPr="005B6084">
        <w:rPr>
          <w:b/>
        </w:rPr>
        <w:t>5. Methods of proof and cyber operations</w:t>
      </w:r>
    </w:p>
    <w:p w14:paraId="6670B1C3" w14:textId="77777777" w:rsidR="006E3FC2" w:rsidRPr="005B6084" w:rsidRDefault="006E3FC2" w:rsidP="00467E90">
      <w:pPr>
        <w:pStyle w:val="P"/>
        <w:spacing w:after="120" w:line="360" w:lineRule="exact"/>
        <w:ind w:firstLine="567"/>
        <w:jc w:val="both"/>
      </w:pPr>
    </w:p>
    <w:p w14:paraId="0C606EAB" w14:textId="0DD1750A" w:rsidR="00BE4F47" w:rsidRPr="005B6084" w:rsidRDefault="00AC1C8F" w:rsidP="00467E90">
      <w:pPr>
        <w:pStyle w:val="P"/>
        <w:spacing w:after="120" w:line="360" w:lineRule="exact"/>
        <w:jc w:val="both"/>
      </w:pPr>
      <w:r w:rsidRPr="005B6084">
        <w:t>What</w:t>
      </w:r>
      <w:r w:rsidR="006E3FC2" w:rsidRPr="005B6084">
        <w:t xml:space="preserve"> type of evidence </w:t>
      </w:r>
      <w:proofErr w:type="gramStart"/>
      <w:r w:rsidR="006E3FC2" w:rsidRPr="005B6084">
        <w:t>may be relied on</w:t>
      </w:r>
      <w:proofErr w:type="gramEnd"/>
      <w:r w:rsidR="006E3FC2" w:rsidRPr="005B6084">
        <w:t xml:space="preserve"> in order to </w:t>
      </w:r>
      <w:r w:rsidRPr="005B6084">
        <w:t xml:space="preserve">meet the required standard of proof and </w:t>
      </w:r>
      <w:r w:rsidR="006E3FC2" w:rsidRPr="005B6084">
        <w:t xml:space="preserve">establish that a </w:t>
      </w:r>
      <w:proofErr w:type="spellStart"/>
      <w:r w:rsidR="006E3FC2" w:rsidRPr="005B6084">
        <w:t>cyber operation</w:t>
      </w:r>
      <w:proofErr w:type="spellEnd"/>
      <w:r w:rsidR="006E3FC2" w:rsidRPr="005B6084">
        <w:t xml:space="preserve"> has occurred, has produced damage, and is attributable to a c</w:t>
      </w:r>
      <w:r w:rsidRPr="005B6084">
        <w:t>ertain state or non-state actor?</w:t>
      </w:r>
      <w:r w:rsidR="006E3FC2" w:rsidRPr="005B6084">
        <w:t xml:space="preserve"> </w:t>
      </w:r>
      <w:proofErr w:type="gramStart"/>
      <w:r w:rsidR="006E3FC2" w:rsidRPr="005B6084">
        <w:t>The production of evidence before the ICJ is regulated by Articles 48</w:t>
      </w:r>
      <w:proofErr w:type="gramEnd"/>
      <w:r w:rsidR="006E3FC2" w:rsidRPr="005B6084">
        <w:t xml:space="preserve"> to 52 of </w:t>
      </w:r>
      <w:r w:rsidR="00C03A66" w:rsidRPr="005B6084">
        <w:t>its</w:t>
      </w:r>
      <w:r w:rsidR="006E3FC2" w:rsidRPr="005B6084">
        <w:t xml:space="preserve"> </w:t>
      </w:r>
      <w:r w:rsidR="007D27E1" w:rsidRPr="005B6084">
        <w:t xml:space="preserve">Statute </w:t>
      </w:r>
      <w:r w:rsidR="006E3FC2" w:rsidRPr="005B6084">
        <w:t xml:space="preserve">and by the Rules of Court. </w:t>
      </w:r>
      <w:r w:rsidR="0047178F" w:rsidRPr="005B6084">
        <w:t xml:space="preserve">There is, however, no list of the methods of proof available to </w:t>
      </w:r>
      <w:r w:rsidR="007D27E1" w:rsidRPr="005B6084">
        <w:t xml:space="preserve">parties before </w:t>
      </w:r>
      <w:r w:rsidR="0047178F" w:rsidRPr="005B6084">
        <w:t xml:space="preserve">the Court </w:t>
      </w:r>
      <w:r w:rsidR="007D27E1" w:rsidRPr="005B6084">
        <w:t>n</w:t>
      </w:r>
      <w:r w:rsidR="0047178F" w:rsidRPr="005B6084">
        <w:t>or an</w:t>
      </w:r>
      <w:r w:rsidR="007D27E1" w:rsidRPr="005B6084">
        <w:t>y</w:t>
      </w:r>
      <w:r w:rsidR="0047178F" w:rsidRPr="005B6084">
        <w:t xml:space="preserve"> </w:t>
      </w:r>
      <w:r w:rsidR="0047178F" w:rsidRPr="005B6084">
        <w:lastRenderedPageBreak/>
        <w:t xml:space="preserve">indication of their different probative weight. </w:t>
      </w:r>
      <w:proofErr w:type="gramStart"/>
      <w:r w:rsidR="00CF4223" w:rsidRPr="005B6084">
        <w:t xml:space="preserve">Article 48 of the ICJ Statute provides </w:t>
      </w:r>
      <w:r w:rsidR="00BE4F47" w:rsidRPr="005B6084">
        <w:t xml:space="preserve">only </w:t>
      </w:r>
      <w:r w:rsidR="00CF4223" w:rsidRPr="005B6084">
        <w:t>that ‘[t]he Court shall … make all arrangements connected with the taking of evidence’</w:t>
      </w:r>
      <w:r w:rsidR="00BE4F47" w:rsidRPr="005B6084">
        <w:t xml:space="preserve">, while </w:t>
      </w:r>
      <w:r w:rsidR="00EA3B40" w:rsidRPr="005B6084">
        <w:t xml:space="preserve">Article 58 of the Rules of Court </w:t>
      </w:r>
      <w:r w:rsidR="00CF4223" w:rsidRPr="005B6084">
        <w:t>confirms</w:t>
      </w:r>
      <w:r w:rsidR="00EA3B40" w:rsidRPr="005B6084">
        <w:t xml:space="preserve"> that ‘the method of handling the evidence and of examining any witnesses and experts … shall be settled by the Court after the views of the parties have been ascertained in accordance with Article 31 of these Rules’.</w:t>
      </w:r>
      <w:proofErr w:type="gramEnd"/>
      <w:r w:rsidR="00EA3B40" w:rsidRPr="005B6084">
        <w:t xml:space="preserve"> </w:t>
      </w:r>
    </w:p>
    <w:p w14:paraId="6A824E04" w14:textId="01752DFF" w:rsidR="006E3FC2" w:rsidRPr="005B6084" w:rsidRDefault="006E3FC2" w:rsidP="00467E90">
      <w:pPr>
        <w:pStyle w:val="P"/>
        <w:spacing w:after="120" w:line="360" w:lineRule="exact"/>
        <w:jc w:val="both"/>
      </w:pPr>
      <w:r w:rsidRPr="005B6084">
        <w:t>As a leading commentator has observed, ‘[t]he International Court of Justice has construed the absence of restrictive rules in its Statute to mean that a party may generally produce any evidence as a matter of right, so long as it is produced within the time limits fixed by the Court’.</w:t>
      </w:r>
      <w:r w:rsidRPr="005B6084">
        <w:rPr>
          <w:rStyle w:val="Rimandonotaapidipagina"/>
        </w:rPr>
        <w:footnoteReference w:id="136"/>
      </w:r>
      <w:r w:rsidRPr="005B6084">
        <w:t xml:space="preserve"> Although it is primarily the parties’ responsibility to produce the evidence necessary to prove the facts</w:t>
      </w:r>
      <w:r w:rsidR="00BE4F47" w:rsidRPr="005B6084">
        <w:t xml:space="preserve"> alleged</w:t>
      </w:r>
      <w:r w:rsidRPr="005B6084">
        <w:t xml:space="preserve">, the Court </w:t>
      </w:r>
      <w:proofErr w:type="gramStart"/>
      <w:r w:rsidRPr="005B6084">
        <w:t>may</w:t>
      </w:r>
      <w:proofErr w:type="gramEnd"/>
      <w:r w:rsidRPr="005B6084">
        <w:t xml:space="preserve"> also order the production of documents, call experts and witnesses</w:t>
      </w:r>
      <w:r w:rsidR="00AC1C8F" w:rsidRPr="005B6084">
        <w:t>, conduct site visits</w:t>
      </w:r>
      <w:r w:rsidR="00C03A66" w:rsidRPr="005B6084">
        <w:t>,</w:t>
      </w:r>
      <w:r w:rsidR="00AC1C8F" w:rsidRPr="005B6084">
        <w:t xml:space="preserve"> and request relevant information </w:t>
      </w:r>
      <w:r w:rsidR="00BE4F47" w:rsidRPr="005B6084">
        <w:t xml:space="preserve">from </w:t>
      </w:r>
      <w:r w:rsidR="00AC1C8F" w:rsidRPr="005B6084">
        <w:t>international organizations</w:t>
      </w:r>
      <w:r w:rsidRPr="005B6084">
        <w:t>.</w:t>
      </w:r>
      <w:r w:rsidRPr="005B6084">
        <w:rPr>
          <w:rStyle w:val="Rimandonotaapidipagina"/>
        </w:rPr>
        <w:footnoteReference w:id="137"/>
      </w:r>
      <w:r w:rsidRPr="005B6084">
        <w:t xml:space="preserve"> In </w:t>
      </w:r>
      <w:r w:rsidRPr="005B6084">
        <w:rPr>
          <w:i/>
        </w:rPr>
        <w:t>Nicaragua</w:t>
      </w:r>
      <w:r w:rsidRPr="005B6084">
        <w:t>, for instance, the Court found that it was ‘not bound to confine its consideration to the material formally submitted to it by the parties’.</w:t>
      </w:r>
      <w:r w:rsidRPr="005B6084">
        <w:rPr>
          <w:rStyle w:val="Rimandonotaapidipagina"/>
        </w:rPr>
        <w:footnoteReference w:id="138"/>
      </w:r>
      <w:r w:rsidRPr="005B6084">
        <w:t xml:space="preserve"> In that </w:t>
      </w:r>
      <w:r w:rsidR="00BE4F47" w:rsidRPr="005B6084">
        <w:t>j</w:t>
      </w:r>
      <w:r w:rsidRPr="005B6084">
        <w:t>udgment, the ICJ also emphasized the principle of free assessment of evidence</w:t>
      </w:r>
      <w:r w:rsidR="00BE4F47" w:rsidRPr="005B6084">
        <w:t>,</w:t>
      </w:r>
      <w:r w:rsidRPr="005B6084">
        <w:t xml:space="preserve"> stating that ‘within the limits of its Statute and Rules, [the Court] has freedom in estimating the value of the various elements of evidence’.</w:t>
      </w:r>
      <w:bookmarkStart w:id="34" w:name="_Ref383515563"/>
      <w:r w:rsidRPr="005B6084">
        <w:rPr>
          <w:rStyle w:val="Rimandonotaapidipagina"/>
        </w:rPr>
        <w:footnoteReference w:id="139"/>
      </w:r>
      <w:bookmarkEnd w:id="34"/>
      <w:r w:rsidRPr="005B6084">
        <w:t xml:space="preserve"> </w:t>
      </w:r>
    </w:p>
    <w:p w14:paraId="23F7DCA0" w14:textId="77777777" w:rsidR="006E3FC2" w:rsidRPr="005B6084" w:rsidRDefault="006E3FC2" w:rsidP="006A6BAA">
      <w:pPr>
        <w:pStyle w:val="P"/>
        <w:spacing w:after="120" w:line="360" w:lineRule="exact"/>
        <w:ind w:firstLine="567"/>
        <w:jc w:val="both"/>
      </w:pPr>
      <w:r w:rsidRPr="005B6084">
        <w:t xml:space="preserve">In the next pages, </w:t>
      </w:r>
      <w:r w:rsidR="002C3FA9" w:rsidRPr="005B6084">
        <w:t>methods of proof</w:t>
      </w:r>
      <w:r w:rsidRPr="005B6084">
        <w:t xml:space="preserve"> that may be relevant in relation to cyber operations </w:t>
      </w:r>
      <w:proofErr w:type="gramStart"/>
      <w:r w:rsidRPr="005B6084">
        <w:t>will be examined</w:t>
      </w:r>
      <w:proofErr w:type="gramEnd"/>
      <w:r w:rsidRPr="005B6084">
        <w:t xml:space="preserve">. </w:t>
      </w:r>
    </w:p>
    <w:p w14:paraId="76D7B28D" w14:textId="77777777" w:rsidR="006E3FC2" w:rsidRPr="005B6084" w:rsidRDefault="006E3FC2" w:rsidP="00467E90">
      <w:pPr>
        <w:pStyle w:val="P"/>
        <w:spacing w:after="120" w:line="360" w:lineRule="exact"/>
        <w:ind w:firstLine="567"/>
        <w:jc w:val="both"/>
      </w:pPr>
    </w:p>
    <w:p w14:paraId="4BE9AF8D" w14:textId="77777777" w:rsidR="006E3FC2" w:rsidRPr="005B6084" w:rsidRDefault="006E3FC2" w:rsidP="00DD561A">
      <w:pPr>
        <w:pStyle w:val="P"/>
        <w:spacing w:after="120" w:line="360" w:lineRule="exact"/>
        <w:jc w:val="both"/>
        <w:outlineLvl w:val="0"/>
        <w:rPr>
          <w:i/>
        </w:rPr>
      </w:pPr>
      <w:r w:rsidRPr="005B6084">
        <w:rPr>
          <w:i/>
        </w:rPr>
        <w:t xml:space="preserve">a) </w:t>
      </w:r>
      <w:proofErr w:type="gramStart"/>
      <w:r w:rsidRPr="005B6084">
        <w:rPr>
          <w:i/>
        </w:rPr>
        <w:t>documentary</w:t>
      </w:r>
      <w:proofErr w:type="gramEnd"/>
      <w:r w:rsidRPr="005B6084">
        <w:rPr>
          <w:i/>
        </w:rPr>
        <w:t xml:space="preserve"> evidence</w:t>
      </w:r>
    </w:p>
    <w:p w14:paraId="5F009674" w14:textId="77777777" w:rsidR="006E3FC2" w:rsidRPr="005B6084" w:rsidRDefault="006E3FC2" w:rsidP="00467E90">
      <w:pPr>
        <w:pStyle w:val="P"/>
        <w:spacing w:after="120" w:line="360" w:lineRule="exact"/>
        <w:jc w:val="both"/>
      </w:pPr>
    </w:p>
    <w:p w14:paraId="3498BF00" w14:textId="77777777" w:rsidR="006E3FC2" w:rsidRPr="005B6084" w:rsidRDefault="006E3FC2" w:rsidP="00EA09C7">
      <w:pPr>
        <w:pStyle w:val="P"/>
        <w:spacing w:after="120" w:line="360" w:lineRule="exact"/>
        <w:jc w:val="both"/>
      </w:pPr>
      <w:r w:rsidRPr="005B6084">
        <w:t>Although there is no formal hierarchy between different sources, the ICJ has taken a civil law court approach and has normally given primacy to written documents over oral evidence.</w:t>
      </w:r>
      <w:r w:rsidRPr="005B6084">
        <w:rPr>
          <w:rStyle w:val="Rimandonotaapidipagina"/>
        </w:rPr>
        <w:footnoteReference w:id="140"/>
      </w:r>
      <w:r w:rsidRPr="005B6084">
        <w:t xml:space="preserve"> Documentary evidence includes ‘all information submitted by the parties in support of the contentions contained in the pleadings other than expert and witness testimony’.</w:t>
      </w:r>
      <w:r w:rsidRPr="005B6084">
        <w:rPr>
          <w:rStyle w:val="Rimandonotaapidipagina"/>
        </w:rPr>
        <w:footnoteReference w:id="141"/>
      </w:r>
      <w:r w:rsidRPr="005B6084">
        <w:t xml:space="preserve"> </w:t>
      </w:r>
      <w:proofErr w:type="gramStart"/>
      <w:r w:rsidRPr="005B6084">
        <w:t xml:space="preserve">According to </w:t>
      </w:r>
      <w:proofErr w:type="spellStart"/>
      <w:r w:rsidRPr="005B6084">
        <w:t>Rosenne</w:t>
      </w:r>
      <w:proofErr w:type="spellEnd"/>
      <w:r w:rsidRPr="005B6084">
        <w:t xml:space="preserve">, documentary evidence can be classified in four categories: ‘published treaties included in one of the recognized international or national </w:t>
      </w:r>
      <w:r w:rsidRPr="005B6084">
        <w:lastRenderedPageBreak/>
        <w:t>collections of treaty texts; official records of international organizations and national parliaments; published and unpublished diplomatic correspondence and communiqués and other miscellaneous materials, including books, maps, plans, charts, accounts, archival material, photographs, films, legal opinions and opinions of experts, etc.; and affidavits and declarations’.</w:t>
      </w:r>
      <w:r w:rsidRPr="005B6084">
        <w:rPr>
          <w:rStyle w:val="Rimandonotaapidipagina"/>
        </w:rPr>
        <w:footnoteReference w:id="142"/>
      </w:r>
      <w:proofErr w:type="gramEnd"/>
    </w:p>
    <w:p w14:paraId="62E43B30" w14:textId="2B346F22" w:rsidR="006E3FC2" w:rsidRPr="005B6084" w:rsidRDefault="00CF4223" w:rsidP="000C0E3F">
      <w:pPr>
        <w:pStyle w:val="P"/>
        <w:spacing w:after="120" w:line="360" w:lineRule="exact"/>
        <w:ind w:firstLine="567"/>
        <w:jc w:val="both"/>
      </w:pPr>
      <w:r w:rsidRPr="005B6084">
        <w:t xml:space="preserve">Although the Court </w:t>
      </w:r>
      <w:proofErr w:type="gramStart"/>
      <w:r w:rsidRPr="005B6084">
        <w:t>has</w:t>
      </w:r>
      <w:proofErr w:type="gramEnd"/>
      <w:r w:rsidRPr="005B6084">
        <w:t xml:space="preserve"> the power to call upon the parties to produce any </w:t>
      </w:r>
      <w:r w:rsidR="00DF234D" w:rsidRPr="005B6084">
        <w:t>evidence</w:t>
      </w:r>
      <w:r w:rsidRPr="005B6084">
        <w:t xml:space="preserve"> it deems necessary or to seek </w:t>
      </w:r>
      <w:r w:rsidR="00DF234D" w:rsidRPr="005B6084">
        <w:t xml:space="preserve">such </w:t>
      </w:r>
      <w:r w:rsidRPr="005B6084">
        <w:t>evidence itself,</w:t>
      </w:r>
      <w:r w:rsidR="00DF234D" w:rsidRPr="005B6084">
        <w:t xml:space="preserve"> </w:t>
      </w:r>
      <w:r w:rsidRPr="005B6084">
        <w:t xml:space="preserve">it has normally refrained </w:t>
      </w:r>
      <w:r w:rsidR="00BE4F47" w:rsidRPr="005B6084">
        <w:t xml:space="preserve">from </w:t>
      </w:r>
      <w:r w:rsidRPr="005B6084">
        <w:t>do</w:t>
      </w:r>
      <w:r w:rsidR="00BE4F47" w:rsidRPr="005B6084">
        <w:t>ing</w:t>
      </w:r>
      <w:r w:rsidRPr="005B6084">
        <w:t xml:space="preserve"> so and has relied on that spontaneously produced by the litigants. </w:t>
      </w:r>
      <w:proofErr w:type="gramStart"/>
      <w:r w:rsidR="006E3FC2" w:rsidRPr="005B6084">
        <w:t xml:space="preserve">All documents not ‘readily available’ must be produced by the interested </w:t>
      </w:r>
      <w:r w:rsidR="00AC1C8F" w:rsidRPr="005B6084">
        <w:t>party</w:t>
      </w:r>
      <w:proofErr w:type="gramEnd"/>
      <w:r w:rsidR="006E3FC2" w:rsidRPr="005B6084">
        <w:t xml:space="preserve">. </w:t>
      </w:r>
      <w:proofErr w:type="gramStart"/>
      <w:r w:rsidR="006E3FC2" w:rsidRPr="005B6084">
        <w:t xml:space="preserve">A ‘publication readily available’ </w:t>
      </w:r>
      <w:r w:rsidR="00A63DD6" w:rsidRPr="005B6084">
        <w:rPr>
          <w:lang w:val="en-GB"/>
        </w:rPr>
        <w:t xml:space="preserve">is a </w:t>
      </w:r>
      <w:r w:rsidR="00EA6E45" w:rsidRPr="005B6084">
        <w:rPr>
          <w:lang w:val="en-GB"/>
        </w:rPr>
        <w:t>document</w:t>
      </w:r>
      <w:r w:rsidR="006E3FC2" w:rsidRPr="005B6084">
        <w:rPr>
          <w:lang w:val="en-GB"/>
        </w:rPr>
        <w:t xml:space="preserve"> </w:t>
      </w:r>
      <w:r w:rsidR="00A63DD6" w:rsidRPr="005B6084">
        <w:rPr>
          <w:lang w:val="en-GB"/>
        </w:rPr>
        <w:t>‘</w:t>
      </w:r>
      <w:r w:rsidR="00EA6E45" w:rsidRPr="005B6084">
        <w:rPr>
          <w:lang w:val="en-GB"/>
        </w:rPr>
        <w:t xml:space="preserve">available in the public domain … </w:t>
      </w:r>
      <w:r w:rsidR="006E3FC2" w:rsidRPr="005B6084">
        <w:rPr>
          <w:lang w:val="en-GB"/>
        </w:rPr>
        <w:t>in any format (printed or electronic), form (physical or on</w:t>
      </w:r>
      <w:r w:rsidR="006E3FC2" w:rsidRPr="005B6084">
        <w:rPr>
          <w:lang w:val="en-GB"/>
        </w:rPr>
        <w:noBreakHyphen/>
        <w:t>line, such as posted on the internet) or on any data medium (on paper, on digital or any other media) [that] should be accessible in either of the official languages of the Court</w:t>
      </w:r>
      <w:r w:rsidR="00AC1C8F" w:rsidRPr="005B6084">
        <w:rPr>
          <w:lang w:val="en-GB"/>
        </w:rPr>
        <w:t>’</w:t>
      </w:r>
      <w:r w:rsidR="006E3FC2" w:rsidRPr="005B6084">
        <w:rPr>
          <w:lang w:val="en-GB"/>
        </w:rPr>
        <w:t xml:space="preserve"> </w:t>
      </w:r>
      <w:r w:rsidR="00AC1C8F" w:rsidRPr="005B6084">
        <w:rPr>
          <w:lang w:val="en-GB"/>
        </w:rPr>
        <w:t xml:space="preserve">and which </w:t>
      </w:r>
      <w:r w:rsidR="00BE4F47" w:rsidRPr="005B6084">
        <w:rPr>
          <w:lang w:val="en-GB"/>
        </w:rPr>
        <w:t xml:space="preserve">it </w:t>
      </w:r>
      <w:r w:rsidR="00AC1C8F" w:rsidRPr="005B6084">
        <w:rPr>
          <w:lang w:val="en-GB"/>
        </w:rPr>
        <w:t>is possible to consult</w:t>
      </w:r>
      <w:r w:rsidR="006E3FC2" w:rsidRPr="005B6084">
        <w:rPr>
          <w:lang w:val="en-GB"/>
        </w:rPr>
        <w:t xml:space="preserve"> </w:t>
      </w:r>
      <w:r w:rsidR="00AC1C8F" w:rsidRPr="005B6084">
        <w:rPr>
          <w:lang w:val="en-GB"/>
        </w:rPr>
        <w:t>‘</w:t>
      </w:r>
      <w:r w:rsidR="006E3FC2" w:rsidRPr="005B6084">
        <w:rPr>
          <w:lang w:val="en-GB"/>
        </w:rPr>
        <w:t>within a reasonably short period of time’.</w:t>
      </w:r>
      <w:r w:rsidR="006E3FC2" w:rsidRPr="005B6084">
        <w:rPr>
          <w:rStyle w:val="Rimandonotaapidipagina"/>
          <w:lang w:val="en-GB"/>
        </w:rPr>
        <w:footnoteReference w:id="143"/>
      </w:r>
      <w:proofErr w:type="gramEnd"/>
      <w:r w:rsidR="006E3FC2" w:rsidRPr="005B6084">
        <w:rPr>
          <w:lang w:val="en-GB"/>
        </w:rPr>
        <w:t xml:space="preserve"> </w:t>
      </w:r>
      <w:r w:rsidR="00EA6E45" w:rsidRPr="005B6084">
        <w:rPr>
          <w:lang w:val="en-GB"/>
        </w:rPr>
        <w:t xml:space="preserve">The </w:t>
      </w:r>
      <w:r w:rsidR="00EA3B40" w:rsidRPr="005B6084">
        <w:rPr>
          <w:lang w:val="en-GB"/>
        </w:rPr>
        <w:t>accessibility</w:t>
      </w:r>
      <w:r w:rsidR="00EA6E45" w:rsidRPr="005B6084">
        <w:rPr>
          <w:lang w:val="en-GB"/>
        </w:rPr>
        <w:t xml:space="preserve"> </w:t>
      </w:r>
      <w:proofErr w:type="gramStart"/>
      <w:r w:rsidR="00EA6E45" w:rsidRPr="005B6084">
        <w:rPr>
          <w:lang w:val="en-GB"/>
        </w:rPr>
        <w:t xml:space="preserve">should be </w:t>
      </w:r>
      <w:r w:rsidR="00AC1C8F" w:rsidRPr="005B6084">
        <w:rPr>
          <w:lang w:val="en-GB"/>
        </w:rPr>
        <w:t>assessed</w:t>
      </w:r>
      <w:proofErr w:type="gramEnd"/>
      <w:r w:rsidR="00EA6E45" w:rsidRPr="005B6084">
        <w:rPr>
          <w:lang w:val="en-GB"/>
        </w:rPr>
        <w:t xml:space="preserve"> </w:t>
      </w:r>
      <w:r w:rsidR="00EA3B40" w:rsidRPr="005B6084">
        <w:rPr>
          <w:lang w:val="en-GB"/>
        </w:rPr>
        <w:t>in relation</w:t>
      </w:r>
      <w:r w:rsidR="00EA6E45" w:rsidRPr="005B6084">
        <w:rPr>
          <w:lang w:val="en-GB"/>
        </w:rPr>
        <w:t xml:space="preserve"> to the Court and the other litigant.</w:t>
      </w:r>
      <w:r w:rsidR="00EA6E45" w:rsidRPr="005B6084">
        <w:rPr>
          <w:rStyle w:val="Rimandonotaapidipagina"/>
          <w:lang w:val="en-GB"/>
        </w:rPr>
        <w:footnoteReference w:id="144"/>
      </w:r>
      <w:r w:rsidR="00EA6E45" w:rsidRPr="005B6084">
        <w:rPr>
          <w:lang w:val="en-GB"/>
        </w:rPr>
        <w:t xml:space="preserve"> </w:t>
      </w:r>
      <w:r w:rsidR="006E3FC2" w:rsidRPr="005B6084">
        <w:t xml:space="preserve">The fact that a publication is ‘readily available’ does not necessarily render the </w:t>
      </w:r>
      <w:r w:rsidR="00AC1C8F" w:rsidRPr="005B6084">
        <w:t xml:space="preserve">concerned </w:t>
      </w:r>
      <w:r w:rsidR="006E3FC2" w:rsidRPr="005B6084">
        <w:t xml:space="preserve">facts public knowledge, but </w:t>
      </w:r>
      <w:r w:rsidR="00BE4F47" w:rsidRPr="005B6084">
        <w:t xml:space="preserve">rather </w:t>
      </w:r>
      <w:r w:rsidR="006E3FC2" w:rsidRPr="005B6084">
        <w:t xml:space="preserve">relieves the </w:t>
      </w:r>
      <w:r w:rsidR="00AC1C8F" w:rsidRPr="005B6084">
        <w:t>party</w:t>
      </w:r>
      <w:r w:rsidR="006E3FC2" w:rsidRPr="005B6084">
        <w:t xml:space="preserve"> from the burden of having to produce it (Article 56(4) of the Rules of Court).</w:t>
      </w:r>
      <w:r w:rsidR="006E3FC2" w:rsidRPr="005B6084">
        <w:rPr>
          <w:rStyle w:val="Rimandonotaapidipagina"/>
        </w:rPr>
        <w:footnoteReference w:id="145"/>
      </w:r>
      <w:r w:rsidR="006E3FC2" w:rsidRPr="005B6084">
        <w:t xml:space="preserve"> The facts, however, still need to </w:t>
      </w:r>
      <w:proofErr w:type="gramStart"/>
      <w:r w:rsidR="006E3FC2" w:rsidRPr="005B6084">
        <w:t>be proved</w:t>
      </w:r>
      <w:proofErr w:type="gramEnd"/>
      <w:r w:rsidR="006E3FC2" w:rsidRPr="005B6084">
        <w:t>.</w:t>
      </w:r>
    </w:p>
    <w:p w14:paraId="68BF989F" w14:textId="0D2AD225" w:rsidR="006E3FC2" w:rsidRPr="005B6084" w:rsidRDefault="00AC1C8F" w:rsidP="000C0E3F">
      <w:pPr>
        <w:pStyle w:val="P"/>
        <w:spacing w:after="120" w:line="360" w:lineRule="exact"/>
        <w:ind w:firstLine="567"/>
        <w:jc w:val="both"/>
      </w:pPr>
      <w:r w:rsidRPr="005B6084">
        <w:t xml:space="preserve">Official state documents, </w:t>
      </w:r>
      <w:r w:rsidR="00BE4F47" w:rsidRPr="005B6084">
        <w:t xml:space="preserve">such as </w:t>
      </w:r>
      <w:r w:rsidR="006E3FC2" w:rsidRPr="005B6084">
        <w:t>national legislation, cyber doctrines, manuals, strategies, directives and rules of engagement</w:t>
      </w:r>
      <w:r w:rsidR="00C03A66" w:rsidRPr="005B6084">
        <w:t>,</w:t>
      </w:r>
      <w:r w:rsidR="006E3FC2" w:rsidRPr="005B6084">
        <w:t xml:space="preserve"> may become relevant </w:t>
      </w:r>
      <w:r w:rsidR="005B6084" w:rsidRPr="005B6084">
        <w:t xml:space="preserve">in </w:t>
      </w:r>
      <w:r w:rsidR="006E3FC2" w:rsidRPr="005B6084">
        <w:t>establish</w:t>
      </w:r>
      <w:r w:rsidR="00BE4F47" w:rsidRPr="005B6084">
        <w:t>ing</w:t>
      </w:r>
      <w:r w:rsidR="006E3FC2" w:rsidRPr="005B6084">
        <w:t xml:space="preserve"> state responsibility for cyber operations. In </w:t>
      </w:r>
      <w:r w:rsidR="006E3FC2" w:rsidRPr="005B6084">
        <w:rPr>
          <w:i/>
        </w:rPr>
        <w:t>Nicaragua</w:t>
      </w:r>
      <w:r w:rsidR="006E3FC2" w:rsidRPr="005B6084">
        <w:t xml:space="preserve">, for instance, the responsibility of the United States for encouraging violations of international humanitarian law was established </w:t>
      </w:r>
      <w:proofErr w:type="gramStart"/>
      <w:r w:rsidR="006E3FC2" w:rsidRPr="005B6084">
        <w:t>on the basis of</w:t>
      </w:r>
      <w:proofErr w:type="gramEnd"/>
      <w:r w:rsidR="006E3FC2" w:rsidRPr="005B6084">
        <w:t xml:space="preserve"> the publication of a manual on psychological operations. According to the Court, [t]he publication and dissemination of a manual in fact containing the advice quoted above must … be regarded as an encouragement, which was likely to be effective, to commit acts contrary to general principles of international </w:t>
      </w:r>
      <w:r w:rsidR="006E3FC2" w:rsidRPr="005B6084">
        <w:lastRenderedPageBreak/>
        <w:t>humanitarian law reflected in treaties’.</w:t>
      </w:r>
      <w:r w:rsidR="006E3FC2" w:rsidRPr="005B6084">
        <w:rPr>
          <w:rStyle w:val="Rimandonotaapidipagina"/>
        </w:rPr>
        <w:footnoteReference w:id="146"/>
      </w:r>
      <w:r w:rsidR="006E3FC2" w:rsidRPr="005B6084">
        <w:t xml:space="preserve"> Not </w:t>
      </w:r>
      <w:r w:rsidR="00BE4F47" w:rsidRPr="005B6084">
        <w:t xml:space="preserve">all </w:t>
      </w:r>
      <w:r w:rsidR="00C03A66" w:rsidRPr="005B6084">
        <w:t xml:space="preserve">state </w:t>
      </w:r>
      <w:r w:rsidR="006E3FC2" w:rsidRPr="005B6084">
        <w:t>document</w:t>
      </w:r>
      <w:r w:rsidR="00BE4F47" w:rsidRPr="005B6084">
        <w:t>s</w:t>
      </w:r>
      <w:r w:rsidR="00A63DD6" w:rsidRPr="005B6084">
        <w:t>, however,</w:t>
      </w:r>
      <w:r w:rsidR="006E3FC2" w:rsidRPr="005B6084">
        <w:t xml:space="preserve"> </w:t>
      </w:r>
      <w:r w:rsidR="00BE4F47" w:rsidRPr="005B6084">
        <w:t xml:space="preserve">have </w:t>
      </w:r>
      <w:r w:rsidR="006E3FC2" w:rsidRPr="005B6084">
        <w:t xml:space="preserve">the same probative value: in </w:t>
      </w:r>
      <w:r w:rsidR="006E3FC2" w:rsidRPr="005B6084">
        <w:rPr>
          <w:i/>
        </w:rPr>
        <w:t>DRC v. Uganda</w:t>
      </w:r>
      <w:r w:rsidR="006E3FC2" w:rsidRPr="005B6084">
        <w:t xml:space="preserve">, the Court dismissed the relevance of certain internal military intelligence documents because they </w:t>
      </w:r>
      <w:r w:rsidR="00C03A66" w:rsidRPr="005B6084">
        <w:t xml:space="preserve">were </w:t>
      </w:r>
      <w:r w:rsidR="00552119" w:rsidRPr="005B6084">
        <w:t xml:space="preserve">unsigned, unauthenticated or </w:t>
      </w:r>
      <w:r w:rsidR="006E3FC2" w:rsidRPr="005B6084">
        <w:t xml:space="preserve">lacked explanation of how the information </w:t>
      </w:r>
      <w:proofErr w:type="gramStart"/>
      <w:r w:rsidR="006E3FC2" w:rsidRPr="005B6084">
        <w:t>was obtained</w:t>
      </w:r>
      <w:proofErr w:type="gramEnd"/>
      <w:r w:rsidR="006E3FC2" w:rsidRPr="005B6084">
        <w:t>.</w:t>
      </w:r>
      <w:r w:rsidR="006E3FC2" w:rsidRPr="005B6084">
        <w:rPr>
          <w:rStyle w:val="Rimandonotaapidipagina"/>
        </w:rPr>
        <w:footnoteReference w:id="147"/>
      </w:r>
    </w:p>
    <w:p w14:paraId="194EF317" w14:textId="3ECC7B35" w:rsidR="006E3FC2" w:rsidRPr="005B6084" w:rsidRDefault="00A63DD6" w:rsidP="00B77D10">
      <w:pPr>
        <w:pStyle w:val="P"/>
        <w:spacing w:after="120" w:line="360" w:lineRule="exact"/>
        <w:ind w:firstLine="567"/>
        <w:jc w:val="both"/>
      </w:pPr>
      <w:r w:rsidRPr="005B6084">
        <w:t>Military cyber documents</w:t>
      </w:r>
      <w:r w:rsidR="006E3FC2" w:rsidRPr="005B6084">
        <w:t xml:space="preserve"> </w:t>
      </w:r>
      <w:proofErr w:type="gramStart"/>
      <w:r w:rsidR="006E3FC2" w:rsidRPr="005B6084">
        <w:t>are frequently classified</w:t>
      </w:r>
      <w:proofErr w:type="gramEnd"/>
      <w:r w:rsidR="006E3FC2" w:rsidRPr="005B6084">
        <w:t xml:space="preserve"> in whole or in part </w:t>
      </w:r>
      <w:r w:rsidR="00552119" w:rsidRPr="005B6084">
        <w:t>for</w:t>
      </w:r>
      <w:r w:rsidR="006E3FC2" w:rsidRPr="005B6084">
        <w:t xml:space="preserve"> national security </w:t>
      </w:r>
      <w:r w:rsidR="00552119" w:rsidRPr="005B6084">
        <w:t>reasons.</w:t>
      </w:r>
      <w:r w:rsidR="006E3FC2" w:rsidRPr="005B6084">
        <w:t xml:space="preserve"> According to the doctrine of privilege in domestic legal systems, litigants may refuse to submit certain evidence to a court on confidentiality grounds. No such doctrine exists before the ICJ.</w:t>
      </w:r>
      <w:r w:rsidR="006E3FC2" w:rsidRPr="005B6084">
        <w:rPr>
          <w:rStyle w:val="Rimandonotaapidipagina"/>
        </w:rPr>
        <w:footnoteReference w:id="148"/>
      </w:r>
      <w:r w:rsidR="006E3FC2" w:rsidRPr="005B6084">
        <w:t xml:space="preserve"> </w:t>
      </w:r>
      <w:r w:rsidR="00D771A7" w:rsidRPr="005B6084">
        <w:t xml:space="preserve">One could actually </w:t>
      </w:r>
      <w:r w:rsidR="00552119" w:rsidRPr="005B6084">
        <w:t>argue</w:t>
      </w:r>
      <w:r w:rsidR="00D771A7" w:rsidRPr="005B6084">
        <w:t xml:space="preserve"> that there is an obligation on the litigants to cooperate in good faith with the Court in the proceedings before it, and therefore to produce </w:t>
      </w:r>
      <w:r w:rsidR="00552119" w:rsidRPr="005B6084">
        <w:t>all</w:t>
      </w:r>
      <w:r w:rsidR="00D771A7" w:rsidRPr="005B6084">
        <w:t xml:space="preserve"> requested documents</w:t>
      </w:r>
      <w:r w:rsidR="00552119" w:rsidRPr="005B6084">
        <w:t>.</w:t>
      </w:r>
      <w:r w:rsidR="00D771A7" w:rsidRPr="005B6084">
        <w:rPr>
          <w:rStyle w:val="Rimandonotaapidipagina"/>
        </w:rPr>
        <w:footnoteReference w:id="149"/>
      </w:r>
      <w:r w:rsidR="00D771A7" w:rsidRPr="005B6084">
        <w:t xml:space="preserve"> </w:t>
      </w:r>
      <w:r w:rsidR="00552119" w:rsidRPr="005B6084">
        <w:t>There</w:t>
      </w:r>
      <w:r w:rsidR="00D771A7" w:rsidRPr="005B6084">
        <w:t xml:space="preserve"> is</w:t>
      </w:r>
      <w:r w:rsidR="00552119" w:rsidRPr="005B6084">
        <w:t>, however,</w:t>
      </w:r>
      <w:r w:rsidR="00D771A7" w:rsidRPr="005B6084">
        <w:t xml:space="preserve"> n</w:t>
      </w:r>
      <w:r w:rsidR="00552119" w:rsidRPr="005B6084">
        <w:t xml:space="preserve">o sanction for failure to do </w:t>
      </w:r>
      <w:proofErr w:type="gramStart"/>
      <w:r w:rsidR="00552119" w:rsidRPr="005B6084">
        <w:t>so:</w:t>
      </w:r>
      <w:proofErr w:type="gramEnd"/>
      <w:r w:rsidR="00D771A7" w:rsidRPr="005B6084">
        <w:t xml:space="preserve"> </w:t>
      </w:r>
      <w:r w:rsidR="006E3FC2" w:rsidRPr="005B6084">
        <w:t>Article 49 of the ICJ Statute</w:t>
      </w:r>
      <w:r w:rsidR="00D771A7" w:rsidRPr="005B6084">
        <w:t xml:space="preserve"> limits itself to provid</w:t>
      </w:r>
      <w:r w:rsidR="00BE4F47" w:rsidRPr="005B6084">
        <w:t xml:space="preserve">ing </w:t>
      </w:r>
      <w:r w:rsidR="00D771A7" w:rsidRPr="005B6084">
        <w:t>that</w:t>
      </w:r>
      <w:r w:rsidR="006E3FC2" w:rsidRPr="005B6084">
        <w:t xml:space="preserve"> ‘[t]he Court may, even before the hearing begins, call upon the agents to produce any document or to supply any explanations. </w:t>
      </w:r>
      <w:r w:rsidR="006E3FC2" w:rsidRPr="005B6084">
        <w:rPr>
          <w:i/>
        </w:rPr>
        <w:t>Formal note shall be taken of any refusal</w:t>
      </w:r>
      <w:r w:rsidR="006E3FC2" w:rsidRPr="005B6084">
        <w:t>’.</w:t>
      </w:r>
      <w:r w:rsidR="006E3FC2" w:rsidRPr="005B6084">
        <w:rPr>
          <w:rStyle w:val="Rimandonotaapidipagina"/>
        </w:rPr>
        <w:footnoteReference w:id="150"/>
      </w:r>
      <w:r w:rsidR="006E3FC2" w:rsidRPr="005B6084">
        <w:t xml:space="preserve"> While the ICTY </w:t>
      </w:r>
      <w:r w:rsidR="00BE4F47" w:rsidRPr="005B6084">
        <w:t xml:space="preserve">has </w:t>
      </w:r>
      <w:r w:rsidR="006E3FC2" w:rsidRPr="005B6084">
        <w:t>found that ‘to grant States a blanket right to withhold, for security purposes, documents necessary for trial might jeopardize the very function of the International Tribunal, and “defeat its essential object and purpose”’,</w:t>
      </w:r>
      <w:r w:rsidR="006E3FC2" w:rsidRPr="005B6084">
        <w:rPr>
          <w:rStyle w:val="Rimandonotaapidipagina"/>
        </w:rPr>
        <w:footnoteReference w:id="151"/>
      </w:r>
      <w:r w:rsidR="006E3FC2" w:rsidRPr="005B6084">
        <w:t xml:space="preserve"> the ICJ has been reluctant to draw inferences from the refusal of a party to produce confidential documents. The problem has arisen twice before the </w:t>
      </w:r>
      <w:r w:rsidR="00552119" w:rsidRPr="005B6084">
        <w:t>Court</w:t>
      </w:r>
      <w:r w:rsidR="006E3FC2" w:rsidRPr="005B6084">
        <w:t xml:space="preserve">: in the </w:t>
      </w:r>
      <w:r w:rsidR="006E3FC2" w:rsidRPr="005B6084">
        <w:rPr>
          <w:i/>
        </w:rPr>
        <w:t>Corfu Channel</w:t>
      </w:r>
      <w:r w:rsidR="006E3FC2" w:rsidRPr="005B6084">
        <w:t xml:space="preserve"> and in the </w:t>
      </w:r>
      <w:r w:rsidR="006E3FC2" w:rsidRPr="005B6084">
        <w:rPr>
          <w:i/>
        </w:rPr>
        <w:t>Bosnian Genocide</w:t>
      </w:r>
      <w:r w:rsidR="006E3FC2" w:rsidRPr="005B6084">
        <w:t xml:space="preserve"> case</w:t>
      </w:r>
      <w:r w:rsidR="00552119" w:rsidRPr="005B6084">
        <w:t>s</w:t>
      </w:r>
      <w:r w:rsidR="006E3FC2" w:rsidRPr="005B6084">
        <w:t xml:space="preserve">. In the </w:t>
      </w:r>
      <w:r w:rsidR="00552119" w:rsidRPr="005B6084">
        <w:t>former</w:t>
      </w:r>
      <w:r w:rsidR="006E3FC2" w:rsidRPr="005B6084">
        <w:t>, the ICJ called the United Kingdom, pursuant to Article 49 of the Statute, to produce an admiralty order. The United Kingdom refused to produce the document on grounds of naval secrecy</w:t>
      </w:r>
      <w:r w:rsidR="00786627" w:rsidRPr="005B6084">
        <w:t>,</w:t>
      </w:r>
      <w:r w:rsidR="006E3FC2" w:rsidRPr="005B6084">
        <w:rPr>
          <w:rStyle w:val="Rimandonotaapidipagina"/>
        </w:rPr>
        <w:footnoteReference w:id="152"/>
      </w:r>
      <w:r w:rsidR="006E3FC2" w:rsidRPr="005B6084">
        <w:t xml:space="preserve"> </w:t>
      </w:r>
      <w:r w:rsidR="00786627" w:rsidRPr="005B6084">
        <w:t xml:space="preserve">and </w:t>
      </w:r>
      <w:proofErr w:type="gramStart"/>
      <w:r w:rsidR="00786627" w:rsidRPr="005B6084">
        <w:t>w</w:t>
      </w:r>
      <w:r w:rsidR="006E3FC2" w:rsidRPr="005B6084">
        <w:t>itnesses also</w:t>
      </w:r>
      <w:proofErr w:type="gramEnd"/>
      <w:r w:rsidR="006E3FC2" w:rsidRPr="005B6084">
        <w:t xml:space="preserve"> refused to answer questions </w:t>
      </w:r>
      <w:r w:rsidR="00786627" w:rsidRPr="005B6084">
        <w:t xml:space="preserve">in relation to the </w:t>
      </w:r>
      <w:r w:rsidR="006E3FC2" w:rsidRPr="005B6084">
        <w:t xml:space="preserve">document. The ICJ </w:t>
      </w:r>
      <w:r w:rsidR="008A39C2" w:rsidRPr="005B6084">
        <w:t>decided</w:t>
      </w:r>
      <w:r w:rsidR="006E3FC2" w:rsidRPr="005B6084">
        <w:t xml:space="preserve"> not </w:t>
      </w:r>
      <w:r w:rsidR="008A39C2" w:rsidRPr="005B6084">
        <w:t>to ‘</w:t>
      </w:r>
      <w:r w:rsidR="006E3FC2" w:rsidRPr="005B6084">
        <w:t xml:space="preserve">draw </w:t>
      </w:r>
      <w:r w:rsidR="008A39C2" w:rsidRPr="005B6084">
        <w:t>from this refusal to produce the orders any conclusions differing from those to which the actual events gave rise’</w:t>
      </w:r>
      <w:r w:rsidR="006E3FC2" w:rsidRPr="005B6084">
        <w:t>.</w:t>
      </w:r>
      <w:r w:rsidR="006E3FC2" w:rsidRPr="005B6084">
        <w:rPr>
          <w:rStyle w:val="Rimandonotaapidipagina"/>
        </w:rPr>
        <w:footnoteReference w:id="153"/>
      </w:r>
      <w:r w:rsidR="006E3FC2" w:rsidRPr="005B6084">
        <w:t xml:space="preserve"> In the </w:t>
      </w:r>
      <w:r w:rsidR="006E3FC2" w:rsidRPr="005B6084">
        <w:rPr>
          <w:i/>
        </w:rPr>
        <w:t xml:space="preserve">Bosnian Genocide </w:t>
      </w:r>
      <w:r w:rsidR="006E3FC2" w:rsidRPr="005B6084">
        <w:t xml:space="preserve">case, even though Bosnia and Herzegovina had called </w:t>
      </w:r>
      <w:r w:rsidR="00786627" w:rsidRPr="005B6084">
        <w:t xml:space="preserve">upon </w:t>
      </w:r>
      <w:r w:rsidR="006E3FC2" w:rsidRPr="005B6084">
        <w:t xml:space="preserve">the Court to request Serbia and Montenegro to produce certain documents classified as military secrets, the Court decided not to proceed with </w:t>
      </w:r>
      <w:r w:rsidR="006E3FC2" w:rsidRPr="005B6084">
        <w:lastRenderedPageBreak/>
        <w:t xml:space="preserve">the request, although it reserved the right subsequently </w:t>
      </w:r>
      <w:r w:rsidR="00786627" w:rsidRPr="005B6084">
        <w:t xml:space="preserve">to </w:t>
      </w:r>
      <w:r w:rsidR="006E3FC2" w:rsidRPr="005B6084">
        <w:t xml:space="preserve">request </w:t>
      </w:r>
      <w:r w:rsidR="00786627" w:rsidRPr="005B6084">
        <w:t xml:space="preserve">the documents </w:t>
      </w:r>
      <w:proofErr w:type="spellStart"/>
      <w:r w:rsidR="006E3FC2" w:rsidRPr="005B6084">
        <w:rPr>
          <w:i/>
        </w:rPr>
        <w:t>motu</w:t>
      </w:r>
      <w:proofErr w:type="spellEnd"/>
      <w:r w:rsidR="006E3FC2" w:rsidRPr="005B6084">
        <w:t xml:space="preserve"> </w:t>
      </w:r>
      <w:proofErr w:type="spellStart"/>
      <w:r w:rsidR="006E3FC2" w:rsidRPr="005B6084">
        <w:rPr>
          <w:i/>
        </w:rPr>
        <w:t>proprio</w:t>
      </w:r>
      <w:proofErr w:type="spellEnd"/>
      <w:r w:rsidR="006E3FC2" w:rsidRPr="005B6084">
        <w:t>.</w:t>
      </w:r>
      <w:r w:rsidR="006E3FC2" w:rsidRPr="005B6084">
        <w:rPr>
          <w:rStyle w:val="Rimandonotaapidipagina"/>
        </w:rPr>
        <w:footnoteReference w:id="154"/>
      </w:r>
      <w:r w:rsidR="006E3FC2" w:rsidRPr="005B6084">
        <w:t xml:space="preserve"> </w:t>
      </w:r>
      <w:r w:rsidR="00786627" w:rsidRPr="005B6084">
        <w:t>In its judgment, t</w:t>
      </w:r>
      <w:r w:rsidR="006E3FC2" w:rsidRPr="005B6084">
        <w:t>he ICJ limited itself to not</w:t>
      </w:r>
      <w:r w:rsidR="00786627" w:rsidRPr="005B6084">
        <w:t xml:space="preserve">ing </w:t>
      </w:r>
      <w:r w:rsidR="006E3FC2" w:rsidRPr="005B6084">
        <w:t>‘the Applicant’s suggestion that the Court may be free to draw its own conclusions’ from the fact that Serbia and Montenegro had not produced the document voluntarily.</w:t>
      </w:r>
      <w:r w:rsidR="006E3FC2" w:rsidRPr="005B6084">
        <w:rPr>
          <w:rStyle w:val="Rimandonotaapidipagina"/>
        </w:rPr>
        <w:footnoteReference w:id="155"/>
      </w:r>
      <w:r w:rsidR="006E3FC2" w:rsidRPr="005B6084">
        <w:t xml:space="preserve"> However, it does not seem that the Court </w:t>
      </w:r>
      <w:r w:rsidR="00786627" w:rsidRPr="005B6084">
        <w:t xml:space="preserve">ultimately </w:t>
      </w:r>
      <w:r w:rsidR="006E3FC2" w:rsidRPr="005B6084">
        <w:t>dr</w:t>
      </w:r>
      <w:r w:rsidR="00786627" w:rsidRPr="005B6084">
        <w:t>e</w:t>
      </w:r>
      <w:r w:rsidR="006E3FC2" w:rsidRPr="005B6084">
        <w:t>w any inferences from Serbia’s non-disclosure of the classified document</w:t>
      </w:r>
      <w:r w:rsidR="00786627" w:rsidRPr="005B6084">
        <w:t>s</w:t>
      </w:r>
      <w:r w:rsidR="006E3FC2" w:rsidRPr="005B6084">
        <w:t>.</w:t>
      </w:r>
      <w:r w:rsidR="006E3FC2" w:rsidRPr="005B6084">
        <w:rPr>
          <w:rStyle w:val="Rimandonotaapidipagina"/>
        </w:rPr>
        <w:footnoteReference w:id="156"/>
      </w:r>
      <w:r w:rsidR="006E3FC2" w:rsidRPr="005B6084">
        <w:t xml:space="preserve"> It should be noted that, in both the </w:t>
      </w:r>
      <w:proofErr w:type="gramStart"/>
      <w:r w:rsidR="006E3FC2" w:rsidRPr="005B6084">
        <w:t>above mentioned</w:t>
      </w:r>
      <w:proofErr w:type="gramEnd"/>
      <w:r w:rsidR="006E3FC2" w:rsidRPr="005B6084">
        <w:t xml:space="preserve"> cases, alternative evidence was available to the Court. </w:t>
      </w:r>
      <w:r w:rsidR="00786627" w:rsidRPr="005B6084">
        <w:t xml:space="preserve">It </w:t>
      </w:r>
      <w:proofErr w:type="gramStart"/>
      <w:r w:rsidR="006E3FC2" w:rsidRPr="005B6084">
        <w:t xml:space="preserve">has been </w:t>
      </w:r>
      <w:r w:rsidR="00786627" w:rsidRPr="005B6084">
        <w:t>suggested</w:t>
      </w:r>
      <w:proofErr w:type="gramEnd"/>
      <w:r w:rsidR="00786627" w:rsidRPr="005B6084">
        <w:t xml:space="preserve"> that</w:t>
      </w:r>
      <w:r w:rsidR="006E3FC2" w:rsidRPr="005B6084">
        <w:t xml:space="preserve"> ‘it remains a matter of conjecture how the ICJ might respond in cases where a confidential communication is the only possible evidence to determine the veracity of a factual assertion, and no alternative materials are available’.</w:t>
      </w:r>
      <w:r w:rsidR="006E3FC2" w:rsidRPr="005B6084">
        <w:rPr>
          <w:rStyle w:val="Rimandonotaapidipagina"/>
        </w:rPr>
        <w:footnoteReference w:id="157"/>
      </w:r>
      <w:r w:rsidR="006E3FC2" w:rsidRPr="005B6084">
        <w:t xml:space="preserve"> A possible solution is that </w:t>
      </w:r>
      <w:r w:rsidR="00786627" w:rsidRPr="005B6084">
        <w:t xml:space="preserve">any </w:t>
      </w:r>
      <w:r w:rsidR="006E3FC2" w:rsidRPr="005B6084">
        <w:t xml:space="preserve">classified information </w:t>
      </w:r>
      <w:proofErr w:type="gramStart"/>
      <w:r w:rsidR="006E3FC2" w:rsidRPr="005B6084">
        <w:t>be produced</w:t>
      </w:r>
      <w:proofErr w:type="gramEnd"/>
      <w:r w:rsidR="006E3FC2" w:rsidRPr="005B6084">
        <w:t xml:space="preserve"> in closed </w:t>
      </w:r>
      <w:r w:rsidR="00786627" w:rsidRPr="005B6084">
        <w:t xml:space="preserve">sittings of the </w:t>
      </w:r>
      <w:r w:rsidR="006E3FC2" w:rsidRPr="005B6084">
        <w:t>court.</w:t>
      </w:r>
      <w:r w:rsidR="006E3FC2" w:rsidRPr="005B6084">
        <w:rPr>
          <w:rStyle w:val="Rimandonotaapidipagina"/>
        </w:rPr>
        <w:footnoteReference w:id="158"/>
      </w:r>
    </w:p>
    <w:p w14:paraId="04D07F58" w14:textId="27D04968" w:rsidR="006E3FC2" w:rsidRPr="005B6084" w:rsidRDefault="006E3FC2" w:rsidP="00B671EE">
      <w:pPr>
        <w:pStyle w:val="PI"/>
        <w:spacing w:after="120" w:line="360" w:lineRule="exact"/>
        <w:ind w:firstLine="567"/>
        <w:jc w:val="both"/>
      </w:pPr>
      <w:r w:rsidRPr="005B6084">
        <w:t xml:space="preserve">Documents of international organizations </w:t>
      </w:r>
      <w:proofErr w:type="gramStart"/>
      <w:r w:rsidRPr="005B6084">
        <w:t>may also be presented</w:t>
      </w:r>
      <w:proofErr w:type="gramEnd"/>
      <w:r w:rsidRPr="005B6084">
        <w:t xml:space="preserve"> as evidence</w:t>
      </w:r>
      <w:r w:rsidR="003B0497" w:rsidRPr="005B6084">
        <w:t>.</w:t>
      </w:r>
      <w:r w:rsidRPr="005B6084">
        <w:t xml:space="preserve"> Overall, the Court has given particular credit to UN reports, Security Council resolutions and other </w:t>
      </w:r>
      <w:r w:rsidR="002C77A0" w:rsidRPr="005B6084">
        <w:t xml:space="preserve">official </w:t>
      </w:r>
      <w:r w:rsidR="00786627" w:rsidRPr="005B6084">
        <w:t xml:space="preserve">UN </w:t>
      </w:r>
      <w:r w:rsidRPr="005B6084">
        <w:t>documents.</w:t>
      </w:r>
      <w:r w:rsidRPr="005B6084">
        <w:rPr>
          <w:rStyle w:val="Rimandonotaapidipagina"/>
        </w:rPr>
        <w:footnoteReference w:id="159"/>
      </w:r>
      <w:r w:rsidRPr="005B6084">
        <w:t xml:space="preserve"> </w:t>
      </w:r>
      <w:proofErr w:type="gramStart"/>
      <w:r w:rsidR="00B671EE" w:rsidRPr="005B6084">
        <w:t xml:space="preserve">In </w:t>
      </w:r>
      <w:r w:rsidR="00B671EE" w:rsidRPr="005B6084">
        <w:rPr>
          <w:i/>
        </w:rPr>
        <w:t>Bosnian Genocide</w:t>
      </w:r>
      <w:r w:rsidR="00B671EE" w:rsidRPr="005B6084">
        <w:t>, the ICJ stated that the probative value of reports from official or independent bodies ‘depends, among other things, on (1) the source of the item of evidence (for instance, partisan, or neutral), (2) the process by which it has been generated (for instance an anonymous press report or the product of a careful court or court-like process), and (3) the quality of the character of the item (such as statements against interest, and agreed or uncontested facts)’.</w:t>
      </w:r>
      <w:r w:rsidR="00B671EE" w:rsidRPr="005B6084">
        <w:rPr>
          <w:rStyle w:val="Rimandonotaapidipagina"/>
        </w:rPr>
        <w:footnoteReference w:id="160"/>
      </w:r>
      <w:proofErr w:type="gramEnd"/>
      <w:r w:rsidR="00B671EE" w:rsidRPr="005B6084">
        <w:t xml:space="preserve"> </w:t>
      </w:r>
      <w:r w:rsidR="0095722B" w:rsidRPr="005B6084">
        <w:t>Several documents of international organizations address cyber issues. In particular, information security</w:t>
      </w:r>
      <w:r w:rsidRPr="005B6084">
        <w:t xml:space="preserve"> has been on the UN agenda since </w:t>
      </w:r>
      <w:r w:rsidR="00786627" w:rsidRPr="005B6084">
        <w:t xml:space="preserve">in 1998 when </w:t>
      </w:r>
      <w:r w:rsidRPr="005B6084">
        <w:t xml:space="preserve">the Russian Federation introduced a draft resolution in the First Committee of the UN General Assembly. Since then, the General Assembly has adopted a series of annual resolutions on </w:t>
      </w:r>
      <w:r w:rsidR="00786627" w:rsidRPr="005B6084">
        <w:t>the topic</w:t>
      </w:r>
      <w:r w:rsidRPr="005B6084">
        <w:t xml:space="preserve">. The resolutions have called for the views of the UN member states on information security and established three Groups of Governmental Experts that </w:t>
      </w:r>
      <w:r w:rsidR="00786627" w:rsidRPr="005B6084">
        <w:t xml:space="preserve">have </w:t>
      </w:r>
      <w:r w:rsidRPr="005B6084">
        <w:t>examined threats in cyberspace and discussed cooperative measures to address them. While the first Group, established in 2004, did not produce a substanti</w:t>
      </w:r>
      <w:r w:rsidR="00786627" w:rsidRPr="005B6084">
        <w:t>ve</w:t>
      </w:r>
      <w:r w:rsidRPr="005B6084">
        <w:t xml:space="preserve"> report, </w:t>
      </w:r>
      <w:r w:rsidRPr="005B6084">
        <w:lastRenderedPageBreak/>
        <w:t>the second, created in 2009, issued a report in 2010</w:t>
      </w:r>
      <w:r w:rsidR="00786627" w:rsidRPr="005B6084">
        <w:t>,</w:t>
      </w:r>
      <w:r w:rsidRPr="005B6084">
        <w:rPr>
          <w:rStyle w:val="Rimandonotaapidipagina"/>
        </w:rPr>
        <w:footnoteReference w:id="161"/>
      </w:r>
      <w:r w:rsidRPr="005B6084">
        <w:t xml:space="preserve"> </w:t>
      </w:r>
      <w:r w:rsidR="003B0497" w:rsidRPr="005B6084">
        <w:t>and</w:t>
      </w:r>
      <w:r w:rsidR="00786627" w:rsidRPr="005B6084">
        <w:t xml:space="preserve"> the </w:t>
      </w:r>
      <w:r w:rsidRPr="005B6084">
        <w:t>third Group</w:t>
      </w:r>
      <w:r w:rsidR="00786627" w:rsidRPr="005B6084">
        <w:t>, which</w:t>
      </w:r>
      <w:r w:rsidRPr="005B6084">
        <w:t xml:space="preserve"> met between 2012 and </w:t>
      </w:r>
      <w:proofErr w:type="gramStart"/>
      <w:r w:rsidRPr="005B6084">
        <w:t>2013</w:t>
      </w:r>
      <w:r w:rsidR="003B0497" w:rsidRPr="005B6084">
        <w:t>,</w:t>
      </w:r>
      <w:r w:rsidRPr="005B6084">
        <w:t xml:space="preserve"> also</w:t>
      </w:r>
      <w:proofErr w:type="gramEnd"/>
      <w:r w:rsidRPr="005B6084">
        <w:t xml:space="preserve"> adopted a final report containing a set of recommendations.</w:t>
      </w:r>
      <w:r w:rsidRPr="005B6084">
        <w:rPr>
          <w:rStyle w:val="Rimandonotaapidipagina"/>
        </w:rPr>
        <w:footnoteReference w:id="162"/>
      </w:r>
      <w:r w:rsidRPr="005B6084">
        <w:t xml:space="preserve"> In addition, </w:t>
      </w:r>
      <w:r w:rsidR="00786627" w:rsidRPr="005B6084">
        <w:t>the view</w:t>
      </w:r>
      <w:r w:rsidR="003B0497" w:rsidRPr="005B6084">
        <w:t>s</w:t>
      </w:r>
      <w:r w:rsidR="00786627" w:rsidRPr="005B6084">
        <w:t xml:space="preserve"> of </w:t>
      </w:r>
      <w:r w:rsidRPr="005B6084">
        <w:t>UN member states on information security are contained in the annual reports of the UN Secretary-General on developments in the field of information and telecommunications in the context of international security.</w:t>
      </w:r>
      <w:r w:rsidRPr="005B6084">
        <w:rPr>
          <w:rStyle w:val="Rimandonotaapidipagina"/>
        </w:rPr>
        <w:footnoteReference w:id="163"/>
      </w:r>
      <w:r w:rsidR="00B671EE" w:rsidRPr="005B6084">
        <w:t xml:space="preserve"> </w:t>
      </w:r>
    </w:p>
    <w:p w14:paraId="3FAE6C1B" w14:textId="2C476A99" w:rsidR="006E3FC2" w:rsidRPr="005B6084" w:rsidRDefault="006E3FC2" w:rsidP="003B0497">
      <w:pPr>
        <w:autoSpaceDE w:val="0"/>
        <w:autoSpaceDN w:val="0"/>
        <w:adjustRightInd w:val="0"/>
        <w:spacing w:after="120" w:line="360" w:lineRule="exact"/>
        <w:ind w:firstLine="567"/>
        <w:jc w:val="both"/>
        <w:rPr>
          <w:rFonts w:ascii="Times New Roman" w:hAnsi="Times New Roman"/>
          <w:sz w:val="24"/>
          <w:szCs w:val="24"/>
        </w:rPr>
      </w:pPr>
      <w:r w:rsidRPr="005B6084">
        <w:rPr>
          <w:rFonts w:ascii="Times New Roman" w:hAnsi="Times New Roman"/>
          <w:sz w:val="24"/>
          <w:szCs w:val="24"/>
        </w:rPr>
        <w:t>The Court has also relied on fact-finding from commissions and other courts.</w:t>
      </w:r>
      <w:r w:rsidRPr="005B6084">
        <w:rPr>
          <w:rStyle w:val="Rimandonotaapidipagina"/>
          <w:rFonts w:ascii="Times New Roman" w:hAnsi="Times New Roman"/>
          <w:sz w:val="24"/>
          <w:szCs w:val="24"/>
        </w:rPr>
        <w:footnoteReference w:id="164"/>
      </w:r>
      <w:r w:rsidRPr="005B6084">
        <w:rPr>
          <w:rFonts w:ascii="Times New Roman" w:hAnsi="Times New Roman"/>
          <w:sz w:val="24"/>
          <w:szCs w:val="24"/>
        </w:rPr>
        <w:t xml:space="preserve"> In </w:t>
      </w:r>
      <w:r w:rsidRPr="005B6084">
        <w:rPr>
          <w:rFonts w:ascii="Times New Roman" w:hAnsi="Times New Roman"/>
          <w:i/>
          <w:sz w:val="24"/>
          <w:szCs w:val="24"/>
        </w:rPr>
        <w:t>DRC v. Uganda</w:t>
      </w:r>
      <w:r w:rsidRPr="005B6084">
        <w:rPr>
          <w:rFonts w:ascii="Times New Roman" w:hAnsi="Times New Roman"/>
          <w:sz w:val="24"/>
          <w:szCs w:val="24"/>
        </w:rPr>
        <w:t>, the Court considered the Report of the Porter Commission, observing that neither party had challenged its credibility.</w:t>
      </w:r>
      <w:r w:rsidRPr="005B6084">
        <w:rPr>
          <w:rStyle w:val="Rimandonotaapidipagina"/>
          <w:rFonts w:ascii="Times New Roman" w:hAnsi="Times New Roman"/>
          <w:sz w:val="24"/>
          <w:szCs w:val="24"/>
        </w:rPr>
        <w:footnoteReference w:id="165"/>
      </w:r>
      <w:r w:rsidRPr="005B6084">
        <w:rPr>
          <w:rFonts w:ascii="Times New Roman" w:hAnsi="Times New Roman"/>
          <w:sz w:val="24"/>
          <w:szCs w:val="24"/>
        </w:rPr>
        <w:t xml:space="preserve"> Furthermore, the Court accepted that </w:t>
      </w:r>
      <w:r w:rsidRPr="005B6084">
        <w:rPr>
          <w:rFonts w:ascii="Times New Roman" w:hAnsi="Times New Roman"/>
          <w:sz w:val="24"/>
          <w:szCs w:val="24"/>
          <w:lang w:val="en-US"/>
        </w:rPr>
        <w:t>‘evidence [included in the Report] obtained by examination of persons directly involved, and who were subsequently cross-examined by judges skilled in examination and experienced in assessing large amounts of factual information, some of it of a technical nature, merits special attention’.</w:t>
      </w:r>
      <w:r w:rsidRPr="005B6084">
        <w:rPr>
          <w:rStyle w:val="Rimandonotaapidipagina"/>
          <w:rFonts w:ascii="Times New Roman" w:hAnsi="Times New Roman"/>
          <w:sz w:val="24"/>
          <w:szCs w:val="24"/>
          <w:lang w:val="en-US"/>
        </w:rPr>
        <w:footnoteReference w:id="166"/>
      </w:r>
      <w:r w:rsidRPr="005B6084">
        <w:rPr>
          <w:rFonts w:ascii="Times New Roman" w:hAnsi="Times New Roman"/>
          <w:sz w:val="24"/>
          <w:szCs w:val="24"/>
          <w:lang w:val="en-US"/>
        </w:rPr>
        <w:t xml:space="preserve"> </w:t>
      </w:r>
      <w:r w:rsidR="00A63DD6" w:rsidRPr="005B6084">
        <w:rPr>
          <w:rFonts w:ascii="Times New Roman" w:hAnsi="Times New Roman"/>
          <w:sz w:val="24"/>
          <w:szCs w:val="24"/>
          <w:lang w:val="en-US"/>
        </w:rPr>
        <w:t>For these reasons,</w:t>
      </w:r>
      <w:r w:rsidRPr="005B6084">
        <w:rPr>
          <w:rFonts w:ascii="Times New Roman" w:hAnsi="Times New Roman"/>
          <w:sz w:val="24"/>
          <w:szCs w:val="24"/>
        </w:rPr>
        <w:t xml:space="preserve"> facts alleged by the parties that found confirmation in the Report </w:t>
      </w:r>
      <w:proofErr w:type="gramStart"/>
      <w:r w:rsidRPr="005B6084">
        <w:rPr>
          <w:rFonts w:ascii="Times New Roman" w:hAnsi="Times New Roman"/>
          <w:sz w:val="24"/>
          <w:szCs w:val="24"/>
        </w:rPr>
        <w:t>were considered clearly and convincingly proved</w:t>
      </w:r>
      <w:proofErr w:type="gramEnd"/>
      <w:r w:rsidRPr="005B6084">
        <w:rPr>
          <w:rFonts w:ascii="Times New Roman" w:hAnsi="Times New Roman"/>
          <w:sz w:val="24"/>
          <w:szCs w:val="24"/>
        </w:rPr>
        <w:t>.</w:t>
      </w:r>
      <w:r w:rsidRPr="005B6084">
        <w:rPr>
          <w:rStyle w:val="Rimandonotaapidipagina"/>
          <w:rFonts w:ascii="Times New Roman" w:hAnsi="Times New Roman"/>
          <w:sz w:val="24"/>
          <w:szCs w:val="24"/>
        </w:rPr>
        <w:footnoteReference w:id="167"/>
      </w:r>
      <w:r w:rsidRPr="005B6084">
        <w:rPr>
          <w:rFonts w:ascii="Times New Roman" w:hAnsi="Times New Roman"/>
          <w:sz w:val="24"/>
          <w:szCs w:val="24"/>
        </w:rPr>
        <w:t xml:space="preserve"> </w:t>
      </w:r>
      <w:r w:rsidR="00535F8C" w:rsidRPr="005B6084">
        <w:rPr>
          <w:rFonts w:ascii="Times New Roman" w:hAnsi="Times New Roman"/>
          <w:sz w:val="24"/>
          <w:szCs w:val="24"/>
        </w:rPr>
        <w:t>There are</w:t>
      </w:r>
      <w:r w:rsidR="003B0497" w:rsidRPr="005B6084">
        <w:rPr>
          <w:rFonts w:ascii="Times New Roman" w:hAnsi="Times New Roman"/>
          <w:sz w:val="24"/>
          <w:szCs w:val="24"/>
        </w:rPr>
        <w:t>, however,</w:t>
      </w:r>
      <w:r w:rsidR="00535F8C" w:rsidRPr="005B6084">
        <w:rPr>
          <w:rFonts w:ascii="Times New Roman" w:hAnsi="Times New Roman"/>
          <w:sz w:val="24"/>
          <w:szCs w:val="24"/>
        </w:rPr>
        <w:t xml:space="preserve"> no examples of reports by judicial commissions in relation to cyber operations. One can at best</w:t>
      </w:r>
      <w:r w:rsidRPr="005B6084">
        <w:rPr>
          <w:rFonts w:ascii="Times New Roman" w:hAnsi="Times New Roman"/>
          <w:sz w:val="24"/>
          <w:szCs w:val="24"/>
        </w:rPr>
        <w:t xml:space="preserve"> recall the 2009 Report of the Independent Fact-Finding Mission on the Conflict in Georgia established by the Council of the European Union, which briefly addresse</w:t>
      </w:r>
      <w:r w:rsidR="00890BBA" w:rsidRPr="005B6084">
        <w:rPr>
          <w:rFonts w:ascii="Times New Roman" w:hAnsi="Times New Roman"/>
          <w:sz w:val="24"/>
          <w:szCs w:val="24"/>
        </w:rPr>
        <w:t>d</w:t>
      </w:r>
      <w:r w:rsidRPr="005B6084">
        <w:rPr>
          <w:rFonts w:ascii="Times New Roman" w:hAnsi="Times New Roman"/>
          <w:sz w:val="24"/>
          <w:szCs w:val="24"/>
        </w:rPr>
        <w:t xml:space="preserve"> the cyber operations against Georgia. The Report, however, is not of great probative </w:t>
      </w:r>
      <w:r w:rsidR="00F65B61" w:rsidRPr="005B6084">
        <w:rPr>
          <w:rFonts w:ascii="Times New Roman" w:hAnsi="Times New Roman"/>
          <w:sz w:val="24"/>
          <w:szCs w:val="24"/>
        </w:rPr>
        <w:t>weight</w:t>
      </w:r>
      <w:r w:rsidRPr="005B6084">
        <w:rPr>
          <w:rFonts w:ascii="Times New Roman" w:hAnsi="Times New Roman"/>
          <w:sz w:val="24"/>
          <w:szCs w:val="24"/>
        </w:rPr>
        <w:t>, as it did not reach any conclusion on their attribution or legality and simply noted that ‘[</w:t>
      </w:r>
      <w:proofErr w:type="spellStart"/>
      <w:r w:rsidRPr="005B6084">
        <w:rPr>
          <w:rFonts w:ascii="Times New Roman" w:hAnsi="Times New Roman"/>
          <w:sz w:val="24"/>
          <w:szCs w:val="24"/>
        </w:rPr>
        <w:t>i</w:t>
      </w:r>
      <w:proofErr w:type="spellEnd"/>
      <w:r w:rsidRPr="005B6084">
        <w:rPr>
          <w:rFonts w:ascii="Times New Roman" w:hAnsi="Times New Roman"/>
          <w:sz w:val="24"/>
          <w:szCs w:val="24"/>
        </w:rPr>
        <w:t>]</w:t>
      </w:r>
      <w:r w:rsidRPr="005B6084">
        <w:rPr>
          <w:rFonts w:ascii="Times New Roman" w:hAnsi="Times New Roman"/>
          <w:sz w:val="24"/>
          <w:szCs w:val="24"/>
          <w:lang w:eastAsia="it-IT"/>
        </w:rPr>
        <w:t>f these attacks were directed by a government or governments, it is likely that this form of warfare was used for the first time in an inter-state armed conflict’.</w:t>
      </w:r>
      <w:r w:rsidRPr="005B6084">
        <w:rPr>
          <w:rStyle w:val="Rimandonotaapidipagina"/>
          <w:rFonts w:ascii="Times New Roman" w:hAnsi="Times New Roman"/>
          <w:sz w:val="24"/>
          <w:szCs w:val="24"/>
          <w:lang w:eastAsia="it-IT"/>
        </w:rPr>
        <w:footnoteReference w:id="168"/>
      </w:r>
      <w:r w:rsidRPr="005B6084">
        <w:rPr>
          <w:rFonts w:ascii="Times New Roman" w:hAnsi="Times New Roman"/>
          <w:sz w:val="24"/>
          <w:szCs w:val="24"/>
          <w:lang w:eastAsia="it-IT"/>
        </w:rPr>
        <w:t xml:space="preserve"> Even if not </w:t>
      </w:r>
      <w:r w:rsidR="00890BBA" w:rsidRPr="005B6084">
        <w:rPr>
          <w:rFonts w:ascii="Times New Roman" w:hAnsi="Times New Roman"/>
          <w:sz w:val="24"/>
          <w:szCs w:val="24"/>
          <w:lang w:eastAsia="it-IT"/>
        </w:rPr>
        <w:t xml:space="preserve">of use </w:t>
      </w:r>
      <w:r w:rsidRPr="005B6084">
        <w:rPr>
          <w:rFonts w:ascii="Times New Roman" w:hAnsi="Times New Roman"/>
          <w:sz w:val="24"/>
          <w:szCs w:val="24"/>
          <w:lang w:eastAsia="it-IT"/>
        </w:rPr>
        <w:t xml:space="preserve">to establish attribution, however, the Report </w:t>
      </w:r>
      <w:proofErr w:type="gramStart"/>
      <w:r w:rsidRPr="005B6084">
        <w:rPr>
          <w:rFonts w:ascii="Times New Roman" w:hAnsi="Times New Roman"/>
          <w:sz w:val="24"/>
          <w:szCs w:val="24"/>
          <w:lang w:eastAsia="it-IT"/>
        </w:rPr>
        <w:t>could be relied</w:t>
      </w:r>
      <w:proofErr w:type="gramEnd"/>
      <w:r w:rsidRPr="005B6084">
        <w:rPr>
          <w:rFonts w:ascii="Times New Roman" w:hAnsi="Times New Roman"/>
          <w:sz w:val="24"/>
          <w:szCs w:val="24"/>
          <w:lang w:eastAsia="it-IT"/>
        </w:rPr>
        <w:t xml:space="preserve"> on to establish that the cyber operations against Georgia did </w:t>
      </w:r>
      <w:r w:rsidR="00890BBA" w:rsidRPr="005B6084">
        <w:rPr>
          <w:rFonts w:ascii="Times New Roman" w:hAnsi="Times New Roman"/>
          <w:sz w:val="24"/>
          <w:szCs w:val="24"/>
          <w:lang w:eastAsia="it-IT"/>
        </w:rPr>
        <w:t xml:space="preserve">in fact </w:t>
      </w:r>
      <w:r w:rsidRPr="005B6084">
        <w:rPr>
          <w:rFonts w:ascii="Times New Roman" w:hAnsi="Times New Roman"/>
          <w:sz w:val="24"/>
          <w:szCs w:val="24"/>
          <w:lang w:eastAsia="it-IT"/>
        </w:rPr>
        <w:t>occur.</w:t>
      </w:r>
    </w:p>
    <w:p w14:paraId="217625D9" w14:textId="61AE3DBC" w:rsidR="006E3FC2" w:rsidRPr="005B6084" w:rsidRDefault="006E3FC2" w:rsidP="008658FE">
      <w:pPr>
        <w:pStyle w:val="PI"/>
        <w:spacing w:after="120" w:line="360" w:lineRule="exact"/>
        <w:ind w:firstLine="567"/>
        <w:jc w:val="both"/>
      </w:pPr>
      <w:r w:rsidRPr="005B6084">
        <w:t xml:space="preserve">Documents </w:t>
      </w:r>
      <w:r w:rsidR="00890BBA" w:rsidRPr="005B6084">
        <w:t xml:space="preserve">produced </w:t>
      </w:r>
      <w:r w:rsidRPr="005B6084">
        <w:t xml:space="preserve">by NGOs and </w:t>
      </w:r>
      <w:proofErr w:type="gramStart"/>
      <w:r w:rsidRPr="005B6084">
        <w:t>think-tanks</w:t>
      </w:r>
      <w:proofErr w:type="gramEnd"/>
      <w:r w:rsidRPr="005B6084">
        <w:t xml:space="preserve"> ma</w:t>
      </w:r>
      <w:r w:rsidR="00F65B61" w:rsidRPr="005B6084">
        <w:t xml:space="preserve">y also play an evidentiary role, </w:t>
      </w:r>
      <w:r w:rsidR="00890BBA" w:rsidRPr="005B6084">
        <w:t xml:space="preserve">albeit </w:t>
      </w:r>
      <w:r w:rsidR="00F65B61" w:rsidRPr="005B6084">
        <w:t>limited.</w:t>
      </w:r>
      <w:r w:rsidRPr="005B6084">
        <w:t xml:space="preserve"> In relation to cyber operations, </w:t>
      </w:r>
      <w:r w:rsidR="002C77A0" w:rsidRPr="005B6084">
        <w:t>the</w:t>
      </w:r>
      <w:r w:rsidRPr="005B6084">
        <w:t xml:space="preserve"> CCDCOE</w:t>
      </w:r>
      <w:r w:rsidRPr="005B6084">
        <w:rPr>
          <w:lang w:eastAsia="it-IT"/>
        </w:rPr>
        <w:t xml:space="preserve"> has prepared reports containing technical and legal discussion of the Estonia, Georgia and Iran cases, as well </w:t>
      </w:r>
      <w:r w:rsidRPr="005B6084">
        <w:rPr>
          <w:lang w:eastAsia="it-IT"/>
        </w:rPr>
        <w:lastRenderedPageBreak/>
        <w:t>as of other cyber incidents.</w:t>
      </w:r>
      <w:r w:rsidRPr="005B6084">
        <w:rPr>
          <w:rStyle w:val="Rimandonotaapidipagina"/>
          <w:lang w:eastAsia="it-IT"/>
        </w:rPr>
        <w:footnoteReference w:id="169"/>
      </w:r>
      <w:r w:rsidRPr="005B6084">
        <w:rPr>
          <w:lang w:eastAsia="it-IT"/>
        </w:rPr>
        <w:t xml:space="preserve"> </w:t>
      </w:r>
      <w:r w:rsidRPr="005B6084">
        <w:t xml:space="preserve">Project Grey Goose produced an </w:t>
      </w:r>
      <w:hyperlink r:id="rId11" w:tooltip="Open source" w:history="1">
        <w:r w:rsidRPr="005B6084">
          <w:rPr>
            <w:rStyle w:val="Collegamentoipertestuale"/>
            <w:color w:val="auto"/>
            <w:u w:val="none"/>
          </w:rPr>
          <w:t>open source</w:t>
        </w:r>
      </w:hyperlink>
      <w:r w:rsidRPr="005B6084">
        <w:t xml:space="preserve"> investigation into cyber conflicts</w:t>
      </w:r>
      <w:r w:rsidR="00890BBA" w:rsidRPr="005B6084">
        <w:t>,</w:t>
      </w:r>
      <w:r w:rsidRPr="005B6084">
        <w:t xml:space="preserve"> including the </w:t>
      </w:r>
      <w:proofErr w:type="gramStart"/>
      <w:r w:rsidR="003B0497" w:rsidRPr="005B6084">
        <w:t>2008</w:t>
      </w:r>
      <w:r w:rsidRPr="005B6084">
        <w:t xml:space="preserve"> </w:t>
      </w:r>
      <w:proofErr w:type="spellStart"/>
      <w:r w:rsidRPr="005B6084">
        <w:t>cyber</w:t>
      </w:r>
      <w:proofErr w:type="gramEnd"/>
      <w:r w:rsidRPr="005B6084">
        <w:t xml:space="preserve"> attacks</w:t>
      </w:r>
      <w:proofErr w:type="spellEnd"/>
      <w:r w:rsidRPr="005B6084">
        <w:t xml:space="preserve"> on </w:t>
      </w:r>
      <w:hyperlink r:id="rId12" w:tooltip="Georgia (country)" w:history="1">
        <w:r w:rsidRPr="005B6084">
          <w:rPr>
            <w:rStyle w:val="Collegamentoipertestuale"/>
            <w:color w:val="auto"/>
            <w:u w:val="none"/>
          </w:rPr>
          <w:t>Georgia</w:t>
        </w:r>
      </w:hyperlink>
      <w:r w:rsidRPr="005B6084">
        <w:t xml:space="preserve">. </w:t>
      </w:r>
      <w:proofErr w:type="gramStart"/>
      <w:r w:rsidRPr="005B6084">
        <w:t xml:space="preserve">In </w:t>
      </w:r>
      <w:r w:rsidR="003B0497" w:rsidRPr="005B6084">
        <w:t>this</w:t>
      </w:r>
      <w:r w:rsidRPr="005B6084">
        <w:t xml:space="preserve"> case, the Report concluded ‘</w:t>
      </w:r>
      <w:r w:rsidRPr="005B6084">
        <w:rPr>
          <w:rStyle w:val="a"/>
        </w:rPr>
        <w:t>with high confidence that the Russian government will likely continue its practice of distancing itself from the Russian nationalistic hacker community thus gaining deniability while passively supporting and enjoying the strategic benefits of their action</w:t>
      </w:r>
      <w:r w:rsidRPr="005B6084">
        <w:rPr>
          <w:rStyle w:val="Rimandonotaapidipagina"/>
          <w:vertAlign w:val="baseline"/>
        </w:rPr>
        <w:t>’.</w:t>
      </w:r>
      <w:r w:rsidRPr="005B6084">
        <w:rPr>
          <w:rStyle w:val="Rimandonotaapidipagina"/>
        </w:rPr>
        <w:footnoteReference w:id="170"/>
      </w:r>
      <w:r w:rsidRPr="005B6084">
        <w:t xml:space="preserve"> </w:t>
      </w:r>
      <w:r w:rsidRPr="005B6084">
        <w:rPr>
          <w:lang w:eastAsia="it-IT"/>
        </w:rPr>
        <w:t xml:space="preserve">Information security companies like Symantec, McAfee and </w:t>
      </w:r>
      <w:proofErr w:type="spellStart"/>
      <w:r w:rsidRPr="005B6084">
        <w:rPr>
          <w:lang w:eastAsia="it-IT"/>
        </w:rPr>
        <w:t>Mandiant</w:t>
      </w:r>
      <w:proofErr w:type="spellEnd"/>
      <w:r w:rsidRPr="005B6084">
        <w:rPr>
          <w:lang w:eastAsia="it-IT"/>
        </w:rPr>
        <w:t xml:space="preserve"> also regularly compile detailed technical reports on cyber threats and specific incidents.</w:t>
      </w:r>
      <w:r w:rsidRPr="005B6084">
        <w:rPr>
          <w:rStyle w:val="Rimandonotaapidipagina"/>
        </w:rPr>
        <w:footnoteReference w:id="171"/>
      </w:r>
      <w:proofErr w:type="gramEnd"/>
      <w:r w:rsidRPr="005B6084">
        <w:t xml:space="preserve"> In general, however, reports from NGOs and other non-governmental bodies </w:t>
      </w:r>
      <w:proofErr w:type="gramStart"/>
      <w:r w:rsidRPr="005B6084">
        <w:t>have been considered</w:t>
      </w:r>
      <w:proofErr w:type="gramEnd"/>
      <w:r w:rsidRPr="005B6084">
        <w:t xml:space="preserve"> by the ICJ as having less probative value than </w:t>
      </w:r>
      <w:r w:rsidR="00F65B61" w:rsidRPr="005B6084">
        <w:t>publications of states and international organizations</w:t>
      </w:r>
      <w:r w:rsidRPr="005B6084">
        <w:t xml:space="preserve">, and have been used in a </w:t>
      </w:r>
      <w:r w:rsidR="005F66C5" w:rsidRPr="005B6084">
        <w:t>corroborative</w:t>
      </w:r>
      <w:r w:rsidRPr="005B6084">
        <w:t xml:space="preserve"> role only.</w:t>
      </w:r>
      <w:r w:rsidRPr="005B6084">
        <w:rPr>
          <w:rStyle w:val="Rimandonotaapidipagina"/>
        </w:rPr>
        <w:footnoteReference w:id="172"/>
      </w:r>
      <w:r w:rsidRPr="005B6084">
        <w:t xml:space="preserve"> In </w:t>
      </w:r>
      <w:r w:rsidRPr="005B6084">
        <w:rPr>
          <w:i/>
        </w:rPr>
        <w:t>DRC v. Uganda</w:t>
      </w:r>
      <w:r w:rsidRPr="005B6084">
        <w:t xml:space="preserve">, </w:t>
      </w:r>
      <w:r w:rsidR="00A047B2" w:rsidRPr="005B6084">
        <w:t xml:space="preserve">for instance, </w:t>
      </w:r>
      <w:r w:rsidRPr="005B6084">
        <w:t xml:space="preserve">the ICJ considered a report by International Crisis Group not </w:t>
      </w:r>
      <w:r w:rsidR="00926A13" w:rsidRPr="005B6084">
        <w:t xml:space="preserve">to </w:t>
      </w:r>
      <w:r w:rsidRPr="005B6084">
        <w:t>constitut</w:t>
      </w:r>
      <w:r w:rsidR="00926A13" w:rsidRPr="005B6084">
        <w:t>e</w:t>
      </w:r>
      <w:r w:rsidRPr="005B6084">
        <w:t xml:space="preserve"> ‘reliable evidence’.</w:t>
      </w:r>
      <w:r w:rsidRPr="005B6084">
        <w:rPr>
          <w:rStyle w:val="Rimandonotaapidipagina"/>
        </w:rPr>
        <w:footnoteReference w:id="173"/>
      </w:r>
      <w:r w:rsidRPr="005B6084">
        <w:t xml:space="preserve"> Similarly, in </w:t>
      </w:r>
      <w:r w:rsidRPr="005B6084">
        <w:rPr>
          <w:i/>
        </w:rPr>
        <w:t xml:space="preserve">Oil </w:t>
      </w:r>
      <w:proofErr w:type="gramStart"/>
      <w:r w:rsidRPr="005B6084">
        <w:rPr>
          <w:i/>
        </w:rPr>
        <w:t>Platforms</w:t>
      </w:r>
      <w:proofErr w:type="gramEnd"/>
      <w:r w:rsidRPr="005B6084">
        <w:t xml:space="preserve"> the Court did not find </w:t>
      </w:r>
      <w:r w:rsidR="00926A13" w:rsidRPr="005B6084">
        <w:t xml:space="preserve">publications such as </w:t>
      </w:r>
      <w:r w:rsidRPr="005B6084">
        <w:rPr>
          <w:i/>
        </w:rPr>
        <w:t>Lloyd’s Maritime Information Service</w:t>
      </w:r>
      <w:r w:rsidRPr="005B6084">
        <w:t xml:space="preserve">, the </w:t>
      </w:r>
      <w:r w:rsidRPr="005B6084">
        <w:rPr>
          <w:i/>
        </w:rPr>
        <w:t>General Council of British Shipping</w:t>
      </w:r>
      <w:r w:rsidRPr="005B6084">
        <w:t xml:space="preserve"> and </w:t>
      </w:r>
      <w:r w:rsidRPr="005B6084">
        <w:rPr>
          <w:i/>
        </w:rPr>
        <w:t>Jane’s Intelligence Review</w:t>
      </w:r>
      <w:r w:rsidRPr="005B6084">
        <w:t xml:space="preserve"> </w:t>
      </w:r>
      <w:r w:rsidR="00A047B2" w:rsidRPr="005B6084">
        <w:t>to be</w:t>
      </w:r>
      <w:r w:rsidRPr="005B6084">
        <w:t xml:space="preserve"> authoritative public sources, as it </w:t>
      </w:r>
      <w:r w:rsidR="00926A13" w:rsidRPr="005B6084">
        <w:t xml:space="preserve">had no </w:t>
      </w:r>
      <w:r w:rsidRPr="005B6084">
        <w:t>‘indication of what was the original source, or sources, or evidence on which the public sources relied’.</w:t>
      </w:r>
      <w:r w:rsidRPr="005B6084">
        <w:rPr>
          <w:rStyle w:val="Rimandonotaapidipagina"/>
        </w:rPr>
        <w:footnoteReference w:id="174"/>
      </w:r>
      <w:r w:rsidR="001C07B4" w:rsidRPr="005B6084">
        <w:t xml:space="preserve"> Th</w:t>
      </w:r>
      <w:r w:rsidR="00926A13" w:rsidRPr="005B6084">
        <w:t>is</w:t>
      </w:r>
      <w:r w:rsidR="001C07B4" w:rsidRPr="005B6084">
        <w:t xml:space="preserve"> </w:t>
      </w:r>
      <w:r w:rsidR="00926A13" w:rsidRPr="005B6084">
        <w:t>‘</w:t>
      </w:r>
      <w:r w:rsidR="001C07B4" w:rsidRPr="005B6084">
        <w:t xml:space="preserve">unequal treatment’ of documents </w:t>
      </w:r>
      <w:r w:rsidR="00926A13" w:rsidRPr="005B6084">
        <w:t xml:space="preserve">of </w:t>
      </w:r>
      <w:r w:rsidR="001C07B4" w:rsidRPr="005B6084">
        <w:t>international organizations and NGOs has been criticized: ‘the correct approach is for the Court to apply its general evaluative criteria to documents produced by NGOs just as it does to those generated by UN actors’.</w:t>
      </w:r>
      <w:r w:rsidR="001C07B4" w:rsidRPr="005B6084">
        <w:rPr>
          <w:rStyle w:val="Rimandonotaapidipagina"/>
        </w:rPr>
        <w:footnoteReference w:id="175"/>
      </w:r>
    </w:p>
    <w:p w14:paraId="4C96A7BC" w14:textId="74834814" w:rsidR="006E3FC2" w:rsidRPr="005B6084" w:rsidRDefault="006E3FC2" w:rsidP="0012337C">
      <w:pPr>
        <w:pStyle w:val="P"/>
        <w:spacing w:after="120" w:line="360" w:lineRule="exact"/>
        <w:ind w:firstLine="567"/>
        <w:jc w:val="both"/>
      </w:pPr>
      <w:r w:rsidRPr="005B6084">
        <w:t>As far as press reports</w:t>
      </w:r>
      <w:r w:rsidR="00535F8C" w:rsidRPr="005B6084">
        <w:t xml:space="preserve"> and media evidence</w:t>
      </w:r>
      <w:r w:rsidR="00ED113F" w:rsidRPr="005B6084">
        <w:t xml:space="preserve"> </w:t>
      </w:r>
      <w:r w:rsidRPr="005B6084">
        <w:t xml:space="preserve">are concerned, one </w:t>
      </w:r>
      <w:r w:rsidR="00926A13" w:rsidRPr="005B6084">
        <w:t xml:space="preserve">may </w:t>
      </w:r>
      <w:r w:rsidRPr="005B6084">
        <w:t xml:space="preserve">recall, in the cyber context, the already mentioned </w:t>
      </w:r>
      <w:r w:rsidRPr="005B6084">
        <w:rPr>
          <w:i/>
        </w:rPr>
        <w:t>New York Times</w:t>
      </w:r>
      <w:r w:rsidRPr="005B6084">
        <w:t xml:space="preserve"> articles attributing </w:t>
      </w:r>
      <w:proofErr w:type="spellStart"/>
      <w:r w:rsidRPr="005B6084">
        <w:t>Stuxnet</w:t>
      </w:r>
      <w:proofErr w:type="spellEnd"/>
      <w:r w:rsidRPr="005B6084">
        <w:t xml:space="preserve"> to the United States and Israel.</w:t>
      </w:r>
      <w:r w:rsidR="00133040" w:rsidRPr="005B6084">
        <w:rPr>
          <w:rStyle w:val="Rimandonotaapidipagina"/>
        </w:rPr>
        <w:footnoteReference w:id="176"/>
      </w:r>
      <w:r w:rsidRPr="005B6084">
        <w:t xml:space="preserve"> The ICJ, however, has been very reluctant to accept press reports as evidence</w:t>
      </w:r>
      <w:r w:rsidR="00507AC5" w:rsidRPr="005B6084">
        <w:t xml:space="preserve"> and has treated them ‘with great caution’</w:t>
      </w:r>
      <w:r w:rsidRPr="005B6084">
        <w:t>.</w:t>
      </w:r>
      <w:r w:rsidR="00507AC5" w:rsidRPr="005B6084">
        <w:rPr>
          <w:rStyle w:val="Rimandonotaapidipagina"/>
        </w:rPr>
        <w:footnoteReference w:id="177"/>
      </w:r>
      <w:r w:rsidRPr="005B6084">
        <w:t xml:space="preserve"> </w:t>
      </w:r>
      <w:r w:rsidR="001C07B4" w:rsidRPr="005B6084">
        <w:t>Press</w:t>
      </w:r>
      <w:r w:rsidR="00F65B61" w:rsidRPr="005B6084">
        <w:t xml:space="preserve"> reports that rely only on one source</w:t>
      </w:r>
      <w:r w:rsidR="00926A13" w:rsidRPr="005B6084">
        <w:t xml:space="preserve">, upon </w:t>
      </w:r>
      <w:r w:rsidR="00F65B61" w:rsidRPr="005B6084">
        <w:t xml:space="preserve">an interested source, or give no account of their sources </w:t>
      </w:r>
      <w:proofErr w:type="gramStart"/>
      <w:r w:rsidR="00F65B61" w:rsidRPr="005B6084">
        <w:t xml:space="preserve">have </w:t>
      </w:r>
      <w:r w:rsidR="00DA6703" w:rsidRPr="005B6084">
        <w:t>therefore</w:t>
      </w:r>
      <w:r w:rsidR="001C07B4" w:rsidRPr="005B6084">
        <w:t xml:space="preserve"> </w:t>
      </w:r>
      <w:r w:rsidR="00926A13" w:rsidRPr="005B6084">
        <w:t>been treated</w:t>
      </w:r>
      <w:proofErr w:type="gramEnd"/>
      <w:r w:rsidR="00926A13" w:rsidRPr="005B6084">
        <w:t xml:space="preserve"> as having </w:t>
      </w:r>
      <w:r w:rsidR="001C07B4" w:rsidRPr="005B6084">
        <w:t>no</w:t>
      </w:r>
      <w:r w:rsidR="00F65B61" w:rsidRPr="005B6084">
        <w:t xml:space="preserve"> probative value.</w:t>
      </w:r>
      <w:r w:rsidR="00F65B61" w:rsidRPr="005B6084">
        <w:rPr>
          <w:rStyle w:val="Rimandonotaapidipagina"/>
        </w:rPr>
        <w:footnoteReference w:id="178"/>
      </w:r>
      <w:r w:rsidR="00F65B61" w:rsidRPr="005B6084">
        <w:t xml:space="preserve"> </w:t>
      </w:r>
      <w:r w:rsidRPr="005B6084">
        <w:t xml:space="preserve">In the </w:t>
      </w:r>
      <w:r w:rsidRPr="005B6084">
        <w:rPr>
          <w:i/>
        </w:rPr>
        <w:t>Bosnian Genocide</w:t>
      </w:r>
      <w:r w:rsidRPr="005B6084">
        <w:t xml:space="preserve"> case, the Court dismissed an article in </w:t>
      </w:r>
      <w:r w:rsidRPr="005B6084">
        <w:rPr>
          <w:i/>
        </w:rPr>
        <w:t>Le Monde</w:t>
      </w:r>
      <w:r w:rsidRPr="005B6084">
        <w:t xml:space="preserve"> qualifying it as ‘only a secondary source’.</w:t>
      </w:r>
      <w:r w:rsidRPr="005B6084">
        <w:rPr>
          <w:rStyle w:val="Rimandonotaapidipagina"/>
        </w:rPr>
        <w:footnoteReference w:id="179"/>
      </w:r>
      <w:r w:rsidRPr="005B6084">
        <w:t xml:space="preserve"> </w:t>
      </w:r>
      <w:proofErr w:type="gramStart"/>
      <w:r w:rsidRPr="005B6084">
        <w:t xml:space="preserve">In </w:t>
      </w:r>
      <w:r w:rsidRPr="005B6084">
        <w:rPr>
          <w:i/>
        </w:rPr>
        <w:t>Nicaragua</w:t>
      </w:r>
      <w:r w:rsidRPr="005B6084">
        <w:t xml:space="preserve">, the Court held that, even when they meet </w:t>
      </w:r>
      <w:r w:rsidR="00926A13" w:rsidRPr="005B6084">
        <w:t xml:space="preserve">a </w:t>
      </w:r>
      <w:r w:rsidRPr="005B6084">
        <w:t xml:space="preserve">‘high standard of objectivity’, </w:t>
      </w:r>
      <w:r w:rsidRPr="005B6084">
        <w:lastRenderedPageBreak/>
        <w:t xml:space="preserve">it </w:t>
      </w:r>
      <w:r w:rsidR="00926A13" w:rsidRPr="005B6084">
        <w:t>w</w:t>
      </w:r>
      <w:r w:rsidRPr="005B6084">
        <w:t>ould regard the reports in press articles and extracts from books presented by the parties ‘not as evidence capable of proving facts, but as material which can nevertheless contribute, in some circumstances, to corroborating the existence of a fact, i.e., as illustrative material additional to other sources of evidence’.</w:t>
      </w:r>
      <w:r w:rsidRPr="005B6084">
        <w:rPr>
          <w:rStyle w:val="Rimandonotaapidipagina"/>
        </w:rPr>
        <w:footnoteReference w:id="180"/>
      </w:r>
      <w:proofErr w:type="gramEnd"/>
      <w:r w:rsidRPr="005B6084">
        <w:t xml:space="preserve"> This </w:t>
      </w:r>
      <w:r w:rsidR="00926A13" w:rsidRPr="005B6084">
        <w:t>wa</w:t>
      </w:r>
      <w:r w:rsidRPr="005B6084">
        <w:t xml:space="preserve">s so </w:t>
      </w:r>
      <w:proofErr w:type="gramStart"/>
      <w:r w:rsidRPr="005B6084">
        <w:t>provid</w:t>
      </w:r>
      <w:r w:rsidR="00926A13" w:rsidRPr="005B6084">
        <w:t>ed</w:t>
      </w:r>
      <w:r w:rsidRPr="005B6084">
        <w:t xml:space="preserve"> that</w:t>
      </w:r>
      <w:proofErr w:type="gramEnd"/>
      <w:r w:rsidRPr="005B6084">
        <w:t xml:space="preserve"> they </w:t>
      </w:r>
      <w:r w:rsidR="00926A13" w:rsidRPr="005B6084">
        <w:t>we</w:t>
      </w:r>
      <w:r w:rsidRPr="005B6084">
        <w:t>re ‘wholly consistent and concordant as to the main facts and circumstances of the case’.</w:t>
      </w:r>
      <w:r w:rsidRPr="005B6084">
        <w:rPr>
          <w:rStyle w:val="Rimandonotaapidipagina"/>
        </w:rPr>
        <w:footnoteReference w:id="181"/>
      </w:r>
      <w:r w:rsidRPr="005B6084">
        <w:t xml:space="preserve"> It </w:t>
      </w:r>
      <w:proofErr w:type="gramStart"/>
      <w:r w:rsidRPr="005B6084">
        <w:t>has been suggested</w:t>
      </w:r>
      <w:proofErr w:type="gramEnd"/>
      <w:r w:rsidRPr="005B6084">
        <w:t xml:space="preserve"> that this expression means that ‘the press reports in question would have to confirm the facts as alleged by both of the parties, or confirm the facts that have not been denied or contested by the parties’.</w:t>
      </w:r>
      <w:r w:rsidRPr="005B6084">
        <w:rPr>
          <w:rStyle w:val="Rimandonotaapidipagina"/>
        </w:rPr>
        <w:footnoteReference w:id="182"/>
      </w:r>
    </w:p>
    <w:p w14:paraId="4AADB016" w14:textId="6F985929" w:rsidR="006E3FC2" w:rsidRPr="005B6084" w:rsidRDefault="006E3FC2" w:rsidP="00CE7E29">
      <w:pPr>
        <w:pStyle w:val="P"/>
        <w:spacing w:after="120" w:line="360" w:lineRule="exact"/>
        <w:ind w:firstLine="567"/>
        <w:jc w:val="both"/>
      </w:pPr>
      <w:r w:rsidRPr="005B6084">
        <w:t xml:space="preserve">Apart from </w:t>
      </w:r>
      <w:r w:rsidR="00783C7C" w:rsidRPr="005B6084">
        <w:t>this</w:t>
      </w:r>
      <w:r w:rsidRPr="005B6084">
        <w:t xml:space="preserve">, press reports may contribute, together with other sources, to demonstrate public knowledge of facts of which the Court may take judicial notice, thus relieving </w:t>
      </w:r>
      <w:r w:rsidR="00926A13" w:rsidRPr="005B6084">
        <w:t xml:space="preserve">a </w:t>
      </w:r>
      <w:r w:rsidRPr="005B6084">
        <w:t xml:space="preserve">party from </w:t>
      </w:r>
      <w:r w:rsidR="00926A13" w:rsidRPr="005B6084">
        <w:t xml:space="preserve">having to </w:t>
      </w:r>
      <w:r w:rsidRPr="005B6084">
        <w:t>discharg</w:t>
      </w:r>
      <w:r w:rsidR="00926A13" w:rsidRPr="005B6084">
        <w:t>e</w:t>
      </w:r>
      <w:r w:rsidRPr="005B6084">
        <w:t xml:space="preserve"> the burden of proof with regard to those facts.</w:t>
      </w:r>
      <w:r w:rsidRPr="005B6084">
        <w:rPr>
          <w:rStyle w:val="Rimandonotaapidipagina"/>
        </w:rPr>
        <w:footnoteReference w:id="183"/>
      </w:r>
      <w:r w:rsidRPr="005B6084">
        <w:t xml:space="preserve"> </w:t>
      </w:r>
      <w:proofErr w:type="gramStart"/>
      <w:r w:rsidRPr="005B6084">
        <w:t xml:space="preserve">The fact that cyber incidents like </w:t>
      </w:r>
      <w:proofErr w:type="spellStart"/>
      <w:r w:rsidRPr="005B6084">
        <w:t>Stuxnet</w:t>
      </w:r>
      <w:proofErr w:type="spellEnd"/>
      <w:r w:rsidRPr="005B6084">
        <w:t xml:space="preserve"> have received extensive media coverage and that the </w:t>
      </w:r>
      <w:r w:rsidRPr="005B6084">
        <w:rPr>
          <w:i/>
        </w:rPr>
        <w:t>New York Times</w:t>
      </w:r>
      <w:r w:rsidRPr="005B6084">
        <w:t xml:space="preserve"> article has been followed by many others, including in </w:t>
      </w:r>
      <w:r w:rsidRPr="005B6084">
        <w:rPr>
          <w:i/>
        </w:rPr>
        <w:t>The Washington Post</w:t>
      </w:r>
      <w:r w:rsidRPr="005B6084">
        <w:t>,</w:t>
      </w:r>
      <w:r w:rsidRPr="005B6084">
        <w:rPr>
          <w:rStyle w:val="Rimandonotaapidipagina"/>
        </w:rPr>
        <w:footnoteReference w:id="184"/>
      </w:r>
      <w:r w:rsidRPr="005B6084">
        <w:t xml:space="preserve"> would not </w:t>
      </w:r>
      <w:r w:rsidR="00783C7C" w:rsidRPr="005B6084">
        <w:t xml:space="preserve">however </w:t>
      </w:r>
      <w:r w:rsidRPr="005B6084">
        <w:t xml:space="preserve">as such increase their probative weight or </w:t>
      </w:r>
      <w:r w:rsidR="00926A13" w:rsidRPr="005B6084">
        <w:t xml:space="preserve">mean </w:t>
      </w:r>
      <w:r w:rsidRPr="005B6084">
        <w:t xml:space="preserve">that the covered facts are of public knowledge: as already mentioned, in </w:t>
      </w:r>
      <w:r w:rsidRPr="005B6084">
        <w:rPr>
          <w:i/>
        </w:rPr>
        <w:t>Nicaragua</w:t>
      </w:r>
      <w:r w:rsidRPr="005B6084">
        <w:t xml:space="preserve"> the ICJ noted that ‘[w]</w:t>
      </w:r>
      <w:proofErr w:type="spellStart"/>
      <w:r w:rsidRPr="005B6084">
        <w:t>idespread</w:t>
      </w:r>
      <w:proofErr w:type="spellEnd"/>
      <w:r w:rsidRPr="005B6084">
        <w:t xml:space="preserve"> reports of a fact may prove on closer examination to derive from a single source, and such reports, however numerous, will in such case have no greater value as evidence than the original source’.</w:t>
      </w:r>
      <w:r w:rsidRPr="005B6084">
        <w:rPr>
          <w:rStyle w:val="Rimandonotaapidipagina"/>
        </w:rPr>
        <w:footnoteReference w:id="185"/>
      </w:r>
      <w:proofErr w:type="gramEnd"/>
    </w:p>
    <w:p w14:paraId="04491F34" w14:textId="77777777" w:rsidR="006E3FC2" w:rsidRPr="005B6084" w:rsidRDefault="006E3FC2" w:rsidP="00C43727">
      <w:pPr>
        <w:pStyle w:val="P"/>
        <w:spacing w:after="120" w:line="360" w:lineRule="exact"/>
        <w:jc w:val="both"/>
      </w:pPr>
    </w:p>
    <w:p w14:paraId="043EADE4" w14:textId="77777777" w:rsidR="006E3FC2" w:rsidRPr="005B6084" w:rsidRDefault="006E3FC2" w:rsidP="0027662B">
      <w:pPr>
        <w:pStyle w:val="P"/>
        <w:spacing w:after="120" w:line="360" w:lineRule="exact"/>
        <w:jc w:val="both"/>
        <w:outlineLvl w:val="0"/>
        <w:rPr>
          <w:i/>
        </w:rPr>
      </w:pPr>
      <w:r w:rsidRPr="005B6084">
        <w:rPr>
          <w:i/>
        </w:rPr>
        <w:t xml:space="preserve">b) </w:t>
      </w:r>
      <w:proofErr w:type="gramStart"/>
      <w:r w:rsidRPr="005B6084">
        <w:rPr>
          <w:i/>
        </w:rPr>
        <w:t>official</w:t>
      </w:r>
      <w:proofErr w:type="gramEnd"/>
      <w:r w:rsidRPr="005B6084">
        <w:rPr>
          <w:i/>
        </w:rPr>
        <w:t xml:space="preserve"> statements</w:t>
      </w:r>
    </w:p>
    <w:p w14:paraId="73A1A671" w14:textId="77777777" w:rsidR="006E3FC2" w:rsidRPr="005B6084" w:rsidRDefault="006E3FC2" w:rsidP="00467E90">
      <w:pPr>
        <w:pStyle w:val="P"/>
        <w:spacing w:after="120" w:line="360" w:lineRule="exact"/>
        <w:jc w:val="both"/>
      </w:pPr>
    </w:p>
    <w:p w14:paraId="1B7B3A1C" w14:textId="5C4CCA97" w:rsidR="006E3FC2" w:rsidRPr="005B6084" w:rsidRDefault="006E3FC2" w:rsidP="00467E90">
      <w:pPr>
        <w:pStyle w:val="P"/>
        <w:spacing w:after="120" w:line="360" w:lineRule="exact"/>
        <w:jc w:val="both"/>
      </w:pPr>
      <w:r w:rsidRPr="005B6084">
        <w:t xml:space="preserve">Statements made by official authorities </w:t>
      </w:r>
      <w:r w:rsidR="00B82551" w:rsidRPr="005B6084">
        <w:t xml:space="preserve">outside the context of the judicial proceedings </w:t>
      </w:r>
      <w:r w:rsidRPr="005B6084">
        <w:t xml:space="preserve">may </w:t>
      </w:r>
      <w:r w:rsidR="00E00F7C" w:rsidRPr="005B6084">
        <w:t>play an important evidentiary role</w:t>
      </w:r>
      <w:r w:rsidRPr="005B6084">
        <w:t xml:space="preserve">. In the </w:t>
      </w:r>
      <w:r w:rsidRPr="005B6084">
        <w:rPr>
          <w:i/>
        </w:rPr>
        <w:t>Tehran Hostages</w:t>
      </w:r>
      <w:r w:rsidRPr="005B6084">
        <w:t xml:space="preserve"> case, for instance, the ICJ recalled that it had ‘a massive body of information from various sources concerning the facts and circumstances of the present case, including numerous official statements of both Iranian and United States authorities’.</w:t>
      </w:r>
      <w:r w:rsidRPr="005B6084">
        <w:rPr>
          <w:rStyle w:val="Rimandonotaapidipagina"/>
        </w:rPr>
        <w:footnoteReference w:id="186"/>
      </w:r>
      <w:r w:rsidRPr="005B6084">
        <w:t xml:space="preserve"> Statements ‘emanating from high-</w:t>
      </w:r>
      <w:r w:rsidRPr="005B6084">
        <w:lastRenderedPageBreak/>
        <w:t xml:space="preserve">ranking official political figures, sometimes indeed of the highest rank, are of particular probative value when they acknowledge facts or conduct </w:t>
      </w:r>
      <w:proofErr w:type="spellStart"/>
      <w:r w:rsidRPr="005B6084">
        <w:t>unfavourable</w:t>
      </w:r>
      <w:proofErr w:type="spellEnd"/>
      <w:r w:rsidRPr="005B6084">
        <w:t xml:space="preserve"> to the State represented by the person who made them’.</w:t>
      </w:r>
      <w:r w:rsidRPr="005B6084">
        <w:rPr>
          <w:rStyle w:val="Rimandonotaapidipagina"/>
        </w:rPr>
        <w:footnoteReference w:id="187"/>
      </w:r>
      <w:r w:rsidRPr="005B6084">
        <w:t xml:space="preserve"> However, all depends on how those statements were made public: ‘evidently, [the Court] cannot treat them as having the same value irrespective of whether the text is to be found in an official national or international publication, or in a book or newspaper’.</w:t>
      </w:r>
      <w:r w:rsidRPr="005B6084">
        <w:rPr>
          <w:rStyle w:val="Rimandonotaapidipagina"/>
        </w:rPr>
        <w:footnoteReference w:id="188"/>
      </w:r>
      <w:r w:rsidR="00535F8C" w:rsidRPr="005B6084">
        <w:t xml:space="preserve"> In other words, statements that </w:t>
      </w:r>
      <w:proofErr w:type="gramStart"/>
      <w:r w:rsidR="00535F8C" w:rsidRPr="005B6084">
        <w:t>can be directly attribut</w:t>
      </w:r>
      <w:r w:rsidR="00926A13" w:rsidRPr="005B6084">
        <w:t>ed</w:t>
      </w:r>
      <w:proofErr w:type="gramEnd"/>
      <w:r w:rsidR="00535F8C" w:rsidRPr="005B6084">
        <w:t xml:space="preserve"> to a state are of more probative value.</w:t>
      </w:r>
    </w:p>
    <w:p w14:paraId="6170FDCA" w14:textId="77777777" w:rsidR="006E3FC2" w:rsidRPr="005B6084" w:rsidRDefault="006E3FC2" w:rsidP="002F569B">
      <w:pPr>
        <w:pStyle w:val="P"/>
        <w:spacing w:after="120" w:line="360" w:lineRule="exact"/>
        <w:ind w:firstLine="567"/>
        <w:jc w:val="both"/>
      </w:pPr>
      <w:r w:rsidRPr="005B6084">
        <w:rPr>
          <w:lang w:eastAsia="it-IT"/>
        </w:rPr>
        <w:t xml:space="preserve">The US Department of Defense’s </w:t>
      </w:r>
      <w:r w:rsidRPr="005B6084">
        <w:rPr>
          <w:i/>
        </w:rPr>
        <w:t>Assessment of International Legal Issues in Information Operations</w:t>
      </w:r>
      <w:r w:rsidRPr="005B6084">
        <w:rPr>
          <w:lang w:eastAsia="it-IT"/>
        </w:rPr>
        <w:t xml:space="preserve"> </w:t>
      </w:r>
      <w:r w:rsidR="00DA6703" w:rsidRPr="005B6084">
        <w:rPr>
          <w:lang w:eastAsia="it-IT"/>
        </w:rPr>
        <w:t>confirms</w:t>
      </w:r>
      <w:r w:rsidRPr="005B6084">
        <w:rPr>
          <w:lang w:eastAsia="it-IT"/>
        </w:rPr>
        <w:t xml:space="preserve"> that ‘[s]</w:t>
      </w:r>
      <w:proofErr w:type="spellStart"/>
      <w:proofErr w:type="gramStart"/>
      <w:r w:rsidRPr="005B6084">
        <w:rPr>
          <w:lang w:eastAsia="it-IT"/>
        </w:rPr>
        <w:t>tate</w:t>
      </w:r>
      <w:proofErr w:type="spellEnd"/>
      <w:proofErr w:type="gramEnd"/>
      <w:r w:rsidRPr="005B6084">
        <w:rPr>
          <w:lang w:eastAsia="it-IT"/>
        </w:rPr>
        <w:t xml:space="preserve"> sponsorship might be persuasively </w:t>
      </w:r>
      <w:r w:rsidR="00DA6703" w:rsidRPr="005B6084">
        <w:rPr>
          <w:lang w:eastAsia="it-IT"/>
        </w:rPr>
        <w:t>established by such factors as …</w:t>
      </w:r>
      <w:r w:rsidRPr="005B6084">
        <w:rPr>
          <w:lang w:eastAsia="it-IT"/>
        </w:rPr>
        <w:t xml:space="preserve"> public statements by officials.’</w:t>
      </w:r>
      <w:bookmarkStart w:id="35" w:name="_Ref389207798"/>
      <w:r w:rsidRPr="005B6084">
        <w:rPr>
          <w:rStyle w:val="Rimandonotaapidipagina"/>
          <w:lang w:eastAsia="it-IT"/>
        </w:rPr>
        <w:footnoteReference w:id="189"/>
      </w:r>
      <w:bookmarkEnd w:id="35"/>
      <w:r w:rsidRPr="005B6084">
        <w:rPr>
          <w:lang w:eastAsia="it-IT"/>
        </w:rPr>
        <w:t xml:space="preserve"> </w:t>
      </w:r>
      <w:r w:rsidRPr="005B6084">
        <w:t xml:space="preserve">There do not seem to be, however, any official statement by Russian or Chinese authorities directly or </w:t>
      </w:r>
      <w:r w:rsidR="00926A13" w:rsidRPr="005B6084">
        <w:t xml:space="preserve">even </w:t>
      </w:r>
      <w:r w:rsidRPr="005B6084">
        <w:t xml:space="preserve">indirectly acknowledging responsibility for the cyber operations against Estonia, Georgia and the United States: on the contrary, involvement </w:t>
      </w:r>
      <w:proofErr w:type="gramStart"/>
      <w:r w:rsidRPr="005B6084">
        <w:t>was denied</w:t>
      </w:r>
      <w:proofErr w:type="gramEnd"/>
      <w:r w:rsidRPr="005B6084">
        <w:t xml:space="preserve">. With regard to </w:t>
      </w:r>
      <w:proofErr w:type="spellStart"/>
      <w:r w:rsidRPr="005B6084">
        <w:t>Stuxnet</w:t>
      </w:r>
      <w:proofErr w:type="spellEnd"/>
      <w:r w:rsidRPr="005B6084">
        <w:t xml:space="preserve">, when asked questions about the incident, US and Israeli authorities neither admitted nor denied attribution. Whether this allows inferences </w:t>
      </w:r>
      <w:r w:rsidR="00926A13" w:rsidRPr="005B6084">
        <w:t xml:space="preserve">to be drawn </w:t>
      </w:r>
      <w:proofErr w:type="gramStart"/>
      <w:r w:rsidRPr="005B6084">
        <w:t>is discussed</w:t>
      </w:r>
      <w:proofErr w:type="gramEnd"/>
      <w:r w:rsidRPr="005B6084">
        <w:t xml:space="preserve"> below.</w:t>
      </w:r>
      <w:r w:rsidR="00783C7C" w:rsidRPr="005B6084">
        <w:rPr>
          <w:rStyle w:val="Rimandonotaapidipagina"/>
        </w:rPr>
        <w:footnoteReference w:id="190"/>
      </w:r>
    </w:p>
    <w:p w14:paraId="46C5225F" w14:textId="77777777" w:rsidR="006E3FC2" w:rsidRPr="005B6084" w:rsidRDefault="006E3FC2" w:rsidP="002F569B">
      <w:pPr>
        <w:pStyle w:val="P"/>
        <w:spacing w:after="120" w:line="360" w:lineRule="exact"/>
        <w:jc w:val="both"/>
      </w:pPr>
    </w:p>
    <w:p w14:paraId="13C4773F" w14:textId="4D927772" w:rsidR="006E3FC2" w:rsidRPr="005B6084" w:rsidRDefault="006E3FC2" w:rsidP="00DD561A">
      <w:pPr>
        <w:pStyle w:val="P"/>
        <w:spacing w:after="120" w:line="360" w:lineRule="exact"/>
        <w:jc w:val="both"/>
        <w:outlineLvl w:val="0"/>
        <w:rPr>
          <w:i/>
        </w:rPr>
      </w:pPr>
      <w:r w:rsidRPr="005B6084">
        <w:rPr>
          <w:i/>
        </w:rPr>
        <w:t xml:space="preserve">c) </w:t>
      </w:r>
      <w:proofErr w:type="gramStart"/>
      <w:r w:rsidR="0009258C" w:rsidRPr="005B6084">
        <w:rPr>
          <w:i/>
        </w:rPr>
        <w:t>witness</w:t>
      </w:r>
      <w:proofErr w:type="gramEnd"/>
      <w:r w:rsidR="0009258C" w:rsidRPr="005B6084">
        <w:rPr>
          <w:i/>
        </w:rPr>
        <w:t xml:space="preserve"> testimony</w:t>
      </w:r>
    </w:p>
    <w:p w14:paraId="731F7277" w14:textId="77777777" w:rsidR="006E3FC2" w:rsidRPr="005B6084" w:rsidRDefault="006E3FC2" w:rsidP="00020241">
      <w:pPr>
        <w:pStyle w:val="P"/>
        <w:spacing w:after="120" w:line="360" w:lineRule="exact"/>
        <w:jc w:val="both"/>
      </w:pPr>
    </w:p>
    <w:p w14:paraId="1877437B" w14:textId="0904DB33" w:rsidR="006E3FC2" w:rsidRPr="005B6084" w:rsidRDefault="00EA3B40" w:rsidP="00F6405E">
      <w:pPr>
        <w:pStyle w:val="P"/>
        <w:spacing w:after="120" w:line="360" w:lineRule="exact"/>
        <w:jc w:val="both"/>
      </w:pPr>
      <w:r w:rsidRPr="005B6084">
        <w:t xml:space="preserve">Witnesses may be called to provide </w:t>
      </w:r>
      <w:r w:rsidR="00B82551" w:rsidRPr="005B6084">
        <w:t xml:space="preserve">direct oral </w:t>
      </w:r>
      <w:r w:rsidRPr="005B6084">
        <w:t xml:space="preserve">evidence by the Court </w:t>
      </w:r>
      <w:r w:rsidR="008A4019" w:rsidRPr="005B6084">
        <w:t xml:space="preserve">and </w:t>
      </w:r>
      <w:r w:rsidRPr="005B6084">
        <w:t xml:space="preserve">by the litigants: the </w:t>
      </w:r>
      <w:proofErr w:type="gramStart"/>
      <w:r w:rsidRPr="005B6084">
        <w:t>latter case is conditioned upon the absence of objections by the other liti</w:t>
      </w:r>
      <w:r w:rsidR="000938AA" w:rsidRPr="005B6084">
        <w:t>gant or the recognition</w:t>
      </w:r>
      <w:r w:rsidRPr="005B6084">
        <w:t xml:space="preserve"> by the Court that the evidence is likely</w:t>
      </w:r>
      <w:proofErr w:type="gramEnd"/>
      <w:r w:rsidRPr="005B6084">
        <w:t xml:space="preserve"> to be relevant.</w:t>
      </w:r>
      <w:r w:rsidRPr="005B6084">
        <w:rPr>
          <w:rStyle w:val="Rimandonotaapidipagina"/>
        </w:rPr>
        <w:footnoteReference w:id="191"/>
      </w:r>
      <w:r w:rsidRPr="005B6084">
        <w:t xml:space="preserve"> </w:t>
      </w:r>
      <w:r w:rsidR="000938AA" w:rsidRPr="005B6084">
        <w:t>The Court</w:t>
      </w:r>
      <w:r w:rsidR="00210299" w:rsidRPr="005B6084">
        <w:t xml:space="preserve"> may also put questions to the witnesses and experts called by the parties.</w:t>
      </w:r>
      <w:r w:rsidR="00210299" w:rsidRPr="005B6084">
        <w:rPr>
          <w:rStyle w:val="Rimandonotaapidipagina"/>
        </w:rPr>
        <w:footnoteReference w:id="192"/>
      </w:r>
      <w:r w:rsidR="00210299" w:rsidRPr="005B6084">
        <w:t xml:space="preserve"> </w:t>
      </w:r>
      <w:r w:rsidR="006E3FC2" w:rsidRPr="005B6084">
        <w:t>The ICJ has not made extensive use of oral evidence.</w:t>
      </w:r>
      <w:r w:rsidR="006E3FC2" w:rsidRPr="005B6084">
        <w:rPr>
          <w:rStyle w:val="Rimandonotaapidipagina"/>
        </w:rPr>
        <w:footnoteReference w:id="193"/>
      </w:r>
      <w:r w:rsidR="006E3FC2" w:rsidRPr="005B6084">
        <w:t xml:space="preserve"> In </w:t>
      </w:r>
      <w:r w:rsidR="006E3FC2" w:rsidRPr="005B6084">
        <w:rPr>
          <w:i/>
        </w:rPr>
        <w:t>Corfu Channel</w:t>
      </w:r>
      <w:r w:rsidR="006E3FC2" w:rsidRPr="005B6084">
        <w:t xml:space="preserve">, </w:t>
      </w:r>
      <w:r w:rsidR="00783C7C" w:rsidRPr="005B6084">
        <w:t xml:space="preserve">for instance, </w:t>
      </w:r>
      <w:r w:rsidR="006E3FC2" w:rsidRPr="005B6084">
        <w:t xml:space="preserve">naval officers </w:t>
      </w:r>
      <w:proofErr w:type="gramStart"/>
      <w:r w:rsidR="006E3FC2" w:rsidRPr="005B6084">
        <w:t>were called</w:t>
      </w:r>
      <w:proofErr w:type="gramEnd"/>
      <w:r w:rsidR="006E3FC2" w:rsidRPr="005B6084">
        <w:t xml:space="preserve"> to testify by the United Kingdom about the damage suffered by the Royal Navy ships and the nature and origin of the mines.</w:t>
      </w:r>
      <w:r w:rsidR="006E3FC2" w:rsidRPr="005B6084">
        <w:rPr>
          <w:rStyle w:val="Rimandonotaapidipagina"/>
        </w:rPr>
        <w:footnoteReference w:id="194"/>
      </w:r>
      <w:r w:rsidR="006E3FC2" w:rsidRPr="005B6084">
        <w:t xml:space="preserve"> Albania also called </w:t>
      </w:r>
      <w:r w:rsidR="006E3FC2" w:rsidRPr="005B6084">
        <w:lastRenderedPageBreak/>
        <w:t>witnesses to testify the absence of mines in the Channel.</w:t>
      </w:r>
      <w:r w:rsidR="006E3FC2" w:rsidRPr="005B6084">
        <w:rPr>
          <w:rStyle w:val="Rimandonotaapidipagina"/>
        </w:rPr>
        <w:footnoteReference w:id="195"/>
      </w:r>
      <w:r w:rsidR="006E3FC2" w:rsidRPr="005B6084">
        <w:t xml:space="preserve"> Five witnesses </w:t>
      </w:r>
      <w:proofErr w:type="gramStart"/>
      <w:r w:rsidR="006E3FC2" w:rsidRPr="005B6084">
        <w:t>were called</w:t>
      </w:r>
      <w:proofErr w:type="gramEnd"/>
      <w:r w:rsidR="006E3FC2" w:rsidRPr="005B6084">
        <w:t xml:space="preserve"> by Nicaragua to testify in the </w:t>
      </w:r>
      <w:r w:rsidR="006E3FC2" w:rsidRPr="005B6084">
        <w:rPr>
          <w:i/>
        </w:rPr>
        <w:t>Nicaragua</w:t>
      </w:r>
      <w:r w:rsidR="006E3FC2" w:rsidRPr="005B6084">
        <w:t xml:space="preserve"> case.</w:t>
      </w:r>
      <w:r w:rsidR="006E3FC2" w:rsidRPr="005B6084">
        <w:rPr>
          <w:rStyle w:val="Rimandonotaapidipagina"/>
        </w:rPr>
        <w:footnoteReference w:id="196"/>
      </w:r>
      <w:r w:rsidR="006E3FC2" w:rsidRPr="005B6084">
        <w:t xml:space="preserve"> In the same case, the Court noted that ‘testimony of matters not within the direct knowledge of the witness, but known to him only from hearsay’ is not ‘of much weight’.</w:t>
      </w:r>
      <w:r w:rsidR="006E3FC2" w:rsidRPr="005B6084">
        <w:rPr>
          <w:rStyle w:val="Rimandonotaapidipagina"/>
        </w:rPr>
        <w:footnoteReference w:id="197"/>
      </w:r>
    </w:p>
    <w:p w14:paraId="32649017" w14:textId="0023A5AA" w:rsidR="006E3FC2" w:rsidRPr="005B6084" w:rsidRDefault="006E3FC2" w:rsidP="00E46FB6">
      <w:pPr>
        <w:pStyle w:val="P"/>
        <w:spacing w:after="120" w:line="360" w:lineRule="exact"/>
        <w:ind w:firstLine="567"/>
        <w:jc w:val="both"/>
      </w:pPr>
      <w:r w:rsidRPr="005B6084">
        <w:t xml:space="preserve">It </w:t>
      </w:r>
      <w:r w:rsidR="00D1451D" w:rsidRPr="005B6084">
        <w:t>is worth recalling</w:t>
      </w:r>
      <w:r w:rsidRPr="005B6084">
        <w:t xml:space="preserve"> that </w:t>
      </w:r>
      <w:r w:rsidR="002019F2" w:rsidRPr="005B6084">
        <w:t>the Court has also accepted witness evidence given in written form</w:t>
      </w:r>
      <w:r w:rsidR="004B3AE8" w:rsidRPr="005B6084">
        <w:t xml:space="preserve"> </w:t>
      </w:r>
      <w:r w:rsidR="00DB7370" w:rsidRPr="005B6084">
        <w:t>and attached to the written pleadings</w:t>
      </w:r>
      <w:r w:rsidR="002019F2" w:rsidRPr="005B6084">
        <w:t xml:space="preserve">, but it has </w:t>
      </w:r>
      <w:r w:rsidR="00F925F1" w:rsidRPr="005B6084">
        <w:t xml:space="preserve">treated </w:t>
      </w:r>
      <w:r w:rsidR="004B3AE8" w:rsidRPr="005B6084">
        <w:t>it</w:t>
      </w:r>
      <w:r w:rsidR="00F925F1" w:rsidRPr="005B6084">
        <w:t xml:space="preserve"> ‘with caution’</w:t>
      </w:r>
      <w:bookmarkStart w:id="36" w:name="_Ref392242533"/>
      <w:r w:rsidR="00F925F1" w:rsidRPr="005B6084">
        <w:rPr>
          <w:rStyle w:val="Rimandonotaapidipagina"/>
        </w:rPr>
        <w:footnoteReference w:id="198"/>
      </w:r>
      <w:bookmarkEnd w:id="36"/>
      <w:r w:rsidR="00DB7370" w:rsidRPr="005B6084">
        <w:t xml:space="preserve"> </w:t>
      </w:r>
      <w:r w:rsidR="00F925F1" w:rsidRPr="005B6084">
        <w:t xml:space="preserve">and has generally </w:t>
      </w:r>
      <w:r w:rsidR="002019F2" w:rsidRPr="005B6084">
        <w:t xml:space="preserve">considered </w:t>
      </w:r>
      <w:r w:rsidR="004B3AE8" w:rsidRPr="005B6084">
        <w:t>it</w:t>
      </w:r>
      <w:r w:rsidR="002019F2" w:rsidRPr="005B6084">
        <w:t xml:space="preserve"> of a probative value inferior to that of direct oral witness testimony.</w:t>
      </w:r>
      <w:r w:rsidR="002019F2" w:rsidRPr="005B6084">
        <w:rPr>
          <w:rStyle w:val="Rimandonotaapidipagina"/>
        </w:rPr>
        <w:footnoteReference w:id="199"/>
      </w:r>
      <w:r w:rsidR="002019F2" w:rsidRPr="005B6084">
        <w:t xml:space="preserve"> </w:t>
      </w:r>
      <w:r w:rsidR="00F925F1" w:rsidRPr="005B6084">
        <w:t>Factors to be considered in assessing the probative weight of affidavits include time, purpose and context of production</w:t>
      </w:r>
      <w:r w:rsidR="00DB7370" w:rsidRPr="005B6084">
        <w:t xml:space="preserve">, whether </w:t>
      </w:r>
      <w:proofErr w:type="gramStart"/>
      <w:r w:rsidR="00DB7370" w:rsidRPr="005B6084">
        <w:t>they were made by disinterested witnesses</w:t>
      </w:r>
      <w:proofErr w:type="gramEnd"/>
      <w:r w:rsidR="00DB7370" w:rsidRPr="005B6084">
        <w:t xml:space="preserve"> and whether they attest to the existence of facts or only </w:t>
      </w:r>
      <w:r w:rsidR="00133040" w:rsidRPr="005B6084">
        <w:t>refer</w:t>
      </w:r>
      <w:r w:rsidR="00DB7370" w:rsidRPr="005B6084">
        <w:t xml:space="preserve"> an opinion with regard to certain events.</w:t>
      </w:r>
      <w:r w:rsidR="00DB7370" w:rsidRPr="005B6084">
        <w:rPr>
          <w:rStyle w:val="Rimandonotaapidipagina"/>
        </w:rPr>
        <w:footnoteReference w:id="200"/>
      </w:r>
    </w:p>
    <w:p w14:paraId="56F883FE" w14:textId="77777777" w:rsidR="006E3FC2" w:rsidRPr="005B6084" w:rsidRDefault="006E3FC2" w:rsidP="00020241">
      <w:pPr>
        <w:pStyle w:val="P"/>
        <w:spacing w:after="120" w:line="360" w:lineRule="exact"/>
        <w:jc w:val="both"/>
      </w:pPr>
    </w:p>
    <w:p w14:paraId="16EC859C" w14:textId="77777777" w:rsidR="006E3FC2" w:rsidRPr="005B6084" w:rsidRDefault="006E3FC2" w:rsidP="00DD561A">
      <w:pPr>
        <w:pStyle w:val="P"/>
        <w:spacing w:after="120" w:line="360" w:lineRule="exact"/>
        <w:jc w:val="both"/>
        <w:outlineLvl w:val="0"/>
        <w:rPr>
          <w:i/>
        </w:rPr>
      </w:pPr>
      <w:r w:rsidRPr="005B6084">
        <w:rPr>
          <w:i/>
        </w:rPr>
        <w:t xml:space="preserve">d) </w:t>
      </w:r>
      <w:proofErr w:type="gramStart"/>
      <w:r w:rsidRPr="005B6084">
        <w:rPr>
          <w:i/>
        </w:rPr>
        <w:t>enquiry</w:t>
      </w:r>
      <w:proofErr w:type="gramEnd"/>
      <w:r w:rsidRPr="005B6084">
        <w:rPr>
          <w:i/>
        </w:rPr>
        <w:t xml:space="preserve"> and experts</w:t>
      </w:r>
      <w:r w:rsidR="000F1036" w:rsidRPr="005B6084">
        <w:rPr>
          <w:i/>
        </w:rPr>
        <w:t xml:space="preserve"> </w:t>
      </w:r>
    </w:p>
    <w:p w14:paraId="0ACE7F73" w14:textId="77777777" w:rsidR="006E3FC2" w:rsidRPr="005B6084" w:rsidRDefault="006E3FC2" w:rsidP="00467E90">
      <w:pPr>
        <w:pStyle w:val="P"/>
        <w:spacing w:after="120" w:line="360" w:lineRule="exact"/>
        <w:jc w:val="both"/>
        <w:rPr>
          <w:i/>
        </w:rPr>
      </w:pPr>
    </w:p>
    <w:p w14:paraId="36EEA050" w14:textId="55C2A23B" w:rsidR="00015E68" w:rsidRPr="005B6084" w:rsidRDefault="006E3FC2" w:rsidP="008179B7">
      <w:pPr>
        <w:pStyle w:val="P"/>
        <w:spacing w:after="120" w:line="360" w:lineRule="exact"/>
        <w:jc w:val="both"/>
      </w:pPr>
      <w:r w:rsidRPr="005B6084">
        <w:t>According to Article 50 of the ICJ Statute, ‘[t]he Court may, at any time, entrust any individual body, bureau, commission, or other organization that it may select, with the task of carrying out an enquiry or giving an expert opinion’.</w:t>
      </w:r>
      <w:r w:rsidR="00CF4223" w:rsidRPr="005B6084">
        <w:rPr>
          <w:rStyle w:val="Rimandonotaapidipagina"/>
        </w:rPr>
        <w:footnoteReference w:id="201"/>
      </w:r>
      <w:r w:rsidRPr="005B6084">
        <w:t xml:space="preserve"> Enquiries </w:t>
      </w:r>
      <w:proofErr w:type="gramStart"/>
      <w:r w:rsidRPr="005B6084">
        <w:t>have never been commissioned</w:t>
      </w:r>
      <w:proofErr w:type="gramEnd"/>
      <w:r w:rsidRPr="005B6084">
        <w:t xml:space="preserve"> by the Court</w:t>
      </w:r>
      <w:r w:rsidR="00535F8C" w:rsidRPr="005B6084">
        <w:t>, which has rather relied on fact-finding reports from other sources</w:t>
      </w:r>
      <w:r w:rsidRPr="005B6084">
        <w:t>.</w:t>
      </w:r>
      <w:bookmarkStart w:id="37" w:name="_Ref389224238"/>
      <w:r w:rsidRPr="005B6084">
        <w:rPr>
          <w:rStyle w:val="Rimandonotaapidipagina"/>
        </w:rPr>
        <w:footnoteReference w:id="202"/>
      </w:r>
      <w:bookmarkEnd w:id="37"/>
      <w:r w:rsidRPr="005B6084">
        <w:t xml:space="preserve"> Experts may be necessary in cases of </w:t>
      </w:r>
      <w:r w:rsidR="000F1036" w:rsidRPr="005B6084">
        <w:t xml:space="preserve">a </w:t>
      </w:r>
      <w:r w:rsidRPr="005B6084">
        <w:t xml:space="preserve">highly technical nature </w:t>
      </w:r>
      <w:r w:rsidR="003C2F1C" w:rsidRPr="005B6084">
        <w:t xml:space="preserve">or that </w:t>
      </w:r>
      <w:r w:rsidRPr="005B6084">
        <w:t>involve expertise not possessed by the judges:</w:t>
      </w:r>
      <w:r w:rsidR="00015E68" w:rsidRPr="005B6084">
        <w:rPr>
          <w:rStyle w:val="Rimandonotaapidipagina"/>
        </w:rPr>
        <w:footnoteReference w:id="203"/>
      </w:r>
      <w:r w:rsidRPr="005B6084">
        <w:t xml:space="preserve"> it is likely, therefore, </w:t>
      </w:r>
      <w:r w:rsidR="00133040" w:rsidRPr="005B6084">
        <w:t xml:space="preserve">that the Court will appoint experts </w:t>
      </w:r>
      <w:r w:rsidRPr="005B6084">
        <w:t>in cases involving cyber technologies</w:t>
      </w:r>
      <w:r w:rsidR="003C2F1C" w:rsidRPr="005B6084">
        <w:t xml:space="preserve">. </w:t>
      </w:r>
      <w:r w:rsidR="00133040" w:rsidRPr="005B6084">
        <w:t>The</w:t>
      </w:r>
      <w:r w:rsidR="003C2F1C" w:rsidRPr="005B6084">
        <w:t xml:space="preserve"> Court</w:t>
      </w:r>
      <w:r w:rsidR="00133040" w:rsidRPr="005B6084">
        <w:t>, however,</w:t>
      </w:r>
      <w:r w:rsidR="003C2F1C" w:rsidRPr="005B6084">
        <w:t xml:space="preserve"> </w:t>
      </w:r>
      <w:proofErr w:type="gramStart"/>
      <w:r w:rsidR="008179B7" w:rsidRPr="005B6084">
        <w:t xml:space="preserve">would </w:t>
      </w:r>
      <w:r w:rsidR="003C2F1C" w:rsidRPr="005B6084">
        <w:t xml:space="preserve">not </w:t>
      </w:r>
      <w:r w:rsidR="008179B7" w:rsidRPr="005B6084">
        <w:t xml:space="preserve">be </w:t>
      </w:r>
      <w:r w:rsidR="003C2F1C" w:rsidRPr="005B6084">
        <w:t>bound</w:t>
      </w:r>
      <w:proofErr w:type="gramEnd"/>
      <w:r w:rsidR="003C2F1C" w:rsidRPr="005B6084">
        <w:t xml:space="preserve"> by their report.</w:t>
      </w:r>
    </w:p>
    <w:p w14:paraId="0260FEEB" w14:textId="01753A06" w:rsidR="006E3FC2" w:rsidRPr="005B6084" w:rsidRDefault="006E3FC2" w:rsidP="00631CBE">
      <w:pPr>
        <w:pStyle w:val="P"/>
        <w:spacing w:after="120" w:line="360" w:lineRule="exact"/>
        <w:ind w:firstLine="567"/>
        <w:jc w:val="both"/>
        <w:rPr>
          <w:rFonts w:eastAsia="Calibri"/>
          <w:lang w:val="en-GB"/>
        </w:rPr>
      </w:pPr>
      <w:proofErr w:type="gramStart"/>
      <w:r w:rsidRPr="005B6084">
        <w:t xml:space="preserve">Experts may </w:t>
      </w:r>
      <w:r w:rsidR="003C2F1C" w:rsidRPr="005B6084">
        <w:t xml:space="preserve">also </w:t>
      </w:r>
      <w:r w:rsidRPr="005B6084">
        <w:t xml:space="preserve">be </w:t>
      </w:r>
      <w:r w:rsidR="0081669A" w:rsidRPr="005B6084">
        <w:t>called</w:t>
      </w:r>
      <w:r w:rsidRPr="005B6084">
        <w:t xml:space="preserve"> by the parties</w:t>
      </w:r>
      <w:proofErr w:type="gramEnd"/>
      <w:r w:rsidRPr="005B6084">
        <w:t>.</w:t>
      </w:r>
      <w:r w:rsidRPr="005B6084">
        <w:rPr>
          <w:rStyle w:val="Rimandonotaapidipagina"/>
        </w:rPr>
        <w:footnoteReference w:id="204"/>
      </w:r>
      <w:r w:rsidRPr="005B6084">
        <w:t xml:space="preserve"> </w:t>
      </w:r>
      <w:proofErr w:type="gramStart"/>
      <w:r w:rsidR="00631CBE" w:rsidRPr="005B6084">
        <w:t>As to the form of their participation in the oral proceedings, i</w:t>
      </w:r>
      <w:r w:rsidR="003C2F1C" w:rsidRPr="005B6084">
        <w:t xml:space="preserve">n </w:t>
      </w:r>
      <w:r w:rsidR="003C2F1C" w:rsidRPr="005B6084">
        <w:rPr>
          <w:i/>
        </w:rPr>
        <w:t>Pulp Mills</w:t>
      </w:r>
      <w:r w:rsidR="003C2F1C" w:rsidRPr="005B6084">
        <w:t xml:space="preserve"> the ICJ </w:t>
      </w:r>
      <w:r w:rsidR="008179B7" w:rsidRPr="005B6084">
        <w:t>reminded the parties</w:t>
      </w:r>
      <w:r w:rsidR="003C2F1C" w:rsidRPr="005B6084">
        <w:t xml:space="preserve"> that </w:t>
      </w:r>
      <w:r w:rsidR="003C2F1C" w:rsidRPr="005B6084">
        <w:rPr>
          <w:lang w:val="it-IT" w:eastAsia="en-GB"/>
        </w:rPr>
        <w:t>‘</w:t>
      </w:r>
      <w:proofErr w:type="spellStart"/>
      <w:r w:rsidR="003C2F1C" w:rsidRPr="005B6084">
        <w:rPr>
          <w:lang w:val="it-IT" w:eastAsia="en-GB"/>
        </w:rPr>
        <w:t>those</w:t>
      </w:r>
      <w:proofErr w:type="spellEnd"/>
      <w:r w:rsidR="003C2F1C" w:rsidRPr="005B6084">
        <w:rPr>
          <w:lang w:val="it-IT" w:eastAsia="en-GB"/>
        </w:rPr>
        <w:t xml:space="preserve"> </w:t>
      </w:r>
      <w:proofErr w:type="spellStart"/>
      <w:r w:rsidR="003C2F1C" w:rsidRPr="005B6084">
        <w:rPr>
          <w:lang w:val="it-IT" w:eastAsia="en-GB"/>
        </w:rPr>
        <w:t>persons</w:t>
      </w:r>
      <w:proofErr w:type="spellEnd"/>
      <w:r w:rsidR="003C2F1C" w:rsidRPr="005B6084">
        <w:rPr>
          <w:lang w:val="it-IT" w:eastAsia="en-GB"/>
        </w:rPr>
        <w:t xml:space="preserve"> </w:t>
      </w:r>
      <w:proofErr w:type="spellStart"/>
      <w:r w:rsidR="003C2F1C" w:rsidRPr="005B6084">
        <w:rPr>
          <w:lang w:val="it-IT" w:eastAsia="en-GB"/>
        </w:rPr>
        <w:lastRenderedPageBreak/>
        <w:t>who</w:t>
      </w:r>
      <w:proofErr w:type="spellEnd"/>
      <w:r w:rsidR="003C2F1C" w:rsidRPr="005B6084">
        <w:rPr>
          <w:lang w:val="it-IT" w:eastAsia="en-GB"/>
        </w:rPr>
        <w:t xml:space="preserve"> </w:t>
      </w:r>
      <w:proofErr w:type="spellStart"/>
      <w:r w:rsidR="003C2F1C" w:rsidRPr="005B6084">
        <w:rPr>
          <w:lang w:val="it-IT" w:eastAsia="en-GB"/>
        </w:rPr>
        <w:t>provide</w:t>
      </w:r>
      <w:proofErr w:type="spellEnd"/>
      <w:r w:rsidR="003C2F1C" w:rsidRPr="005B6084">
        <w:rPr>
          <w:lang w:val="it-IT" w:eastAsia="en-GB"/>
        </w:rPr>
        <w:t xml:space="preserve"> </w:t>
      </w:r>
      <w:proofErr w:type="spellStart"/>
      <w:r w:rsidR="003C2F1C" w:rsidRPr="005B6084">
        <w:rPr>
          <w:lang w:val="it-IT" w:eastAsia="en-GB"/>
        </w:rPr>
        <w:t>evidence</w:t>
      </w:r>
      <w:proofErr w:type="spellEnd"/>
      <w:r w:rsidR="003C2F1C" w:rsidRPr="005B6084">
        <w:rPr>
          <w:lang w:val="it-IT" w:eastAsia="en-GB"/>
        </w:rPr>
        <w:t xml:space="preserve"> </w:t>
      </w:r>
      <w:proofErr w:type="spellStart"/>
      <w:r w:rsidR="003C2F1C" w:rsidRPr="005B6084">
        <w:rPr>
          <w:lang w:val="it-IT" w:eastAsia="en-GB"/>
        </w:rPr>
        <w:t>before</w:t>
      </w:r>
      <w:proofErr w:type="spellEnd"/>
      <w:r w:rsidR="003C2F1C" w:rsidRPr="005B6084">
        <w:rPr>
          <w:lang w:val="it-IT" w:eastAsia="en-GB"/>
        </w:rPr>
        <w:t xml:space="preserve"> the Court </w:t>
      </w:r>
      <w:proofErr w:type="spellStart"/>
      <w:r w:rsidR="003C2F1C" w:rsidRPr="005B6084">
        <w:rPr>
          <w:lang w:val="it-IT" w:eastAsia="en-GB"/>
        </w:rPr>
        <w:t>based</w:t>
      </w:r>
      <w:proofErr w:type="spellEnd"/>
      <w:r w:rsidR="003C2F1C" w:rsidRPr="005B6084">
        <w:rPr>
          <w:lang w:val="it-IT" w:eastAsia="en-GB"/>
        </w:rPr>
        <w:t xml:space="preserve"> on </w:t>
      </w:r>
      <w:proofErr w:type="spellStart"/>
      <w:r w:rsidR="003C2F1C" w:rsidRPr="005B6084">
        <w:rPr>
          <w:lang w:val="it-IT" w:eastAsia="en-GB"/>
        </w:rPr>
        <w:t>their</w:t>
      </w:r>
      <w:proofErr w:type="spellEnd"/>
      <w:r w:rsidR="003C2F1C" w:rsidRPr="005B6084">
        <w:rPr>
          <w:lang w:val="it-IT" w:eastAsia="en-GB"/>
        </w:rPr>
        <w:t xml:space="preserve"> </w:t>
      </w:r>
      <w:proofErr w:type="spellStart"/>
      <w:r w:rsidR="003C2F1C" w:rsidRPr="005B6084">
        <w:rPr>
          <w:lang w:val="it-IT" w:eastAsia="en-GB"/>
        </w:rPr>
        <w:t>scientific</w:t>
      </w:r>
      <w:proofErr w:type="spellEnd"/>
      <w:r w:rsidR="003C2F1C" w:rsidRPr="005B6084">
        <w:rPr>
          <w:lang w:val="it-IT" w:eastAsia="en-GB"/>
        </w:rPr>
        <w:t xml:space="preserve"> or </w:t>
      </w:r>
      <w:proofErr w:type="spellStart"/>
      <w:r w:rsidR="003C2F1C" w:rsidRPr="005B6084">
        <w:rPr>
          <w:lang w:val="it-IT" w:eastAsia="en-GB"/>
        </w:rPr>
        <w:t>technical</w:t>
      </w:r>
      <w:proofErr w:type="spellEnd"/>
      <w:r w:rsidR="003C2F1C" w:rsidRPr="005B6084">
        <w:rPr>
          <w:lang w:val="it-IT" w:eastAsia="en-GB"/>
        </w:rPr>
        <w:t xml:space="preserve"> </w:t>
      </w:r>
      <w:proofErr w:type="spellStart"/>
      <w:r w:rsidR="003C2F1C" w:rsidRPr="005B6084">
        <w:rPr>
          <w:lang w:val="it-IT" w:eastAsia="en-GB"/>
        </w:rPr>
        <w:t>knowledge</w:t>
      </w:r>
      <w:proofErr w:type="spellEnd"/>
      <w:r w:rsidR="003C2F1C" w:rsidRPr="005B6084">
        <w:rPr>
          <w:lang w:val="it-IT" w:eastAsia="en-GB"/>
        </w:rPr>
        <w:t xml:space="preserve"> and on </w:t>
      </w:r>
      <w:proofErr w:type="spellStart"/>
      <w:r w:rsidR="003C2F1C" w:rsidRPr="005B6084">
        <w:rPr>
          <w:lang w:val="it-IT" w:eastAsia="en-GB"/>
        </w:rPr>
        <w:t>their</w:t>
      </w:r>
      <w:proofErr w:type="spellEnd"/>
      <w:r w:rsidR="003C2F1C" w:rsidRPr="005B6084">
        <w:rPr>
          <w:lang w:val="it-IT" w:eastAsia="en-GB"/>
        </w:rPr>
        <w:t xml:space="preserve"> personal </w:t>
      </w:r>
      <w:proofErr w:type="spellStart"/>
      <w:r w:rsidR="003C2F1C" w:rsidRPr="005B6084">
        <w:rPr>
          <w:lang w:val="it-IT" w:eastAsia="en-GB"/>
        </w:rPr>
        <w:t>experience</w:t>
      </w:r>
      <w:proofErr w:type="spellEnd"/>
      <w:r w:rsidR="003C2F1C" w:rsidRPr="005B6084">
        <w:rPr>
          <w:lang w:val="it-IT" w:eastAsia="en-GB"/>
        </w:rPr>
        <w:t xml:space="preserve"> </w:t>
      </w:r>
      <w:proofErr w:type="spellStart"/>
      <w:r w:rsidR="003C2F1C" w:rsidRPr="005B6084">
        <w:rPr>
          <w:lang w:val="it-IT" w:eastAsia="en-GB"/>
        </w:rPr>
        <w:t>should</w:t>
      </w:r>
      <w:proofErr w:type="spellEnd"/>
      <w:r w:rsidR="003C2F1C" w:rsidRPr="005B6084">
        <w:rPr>
          <w:lang w:val="it-IT" w:eastAsia="en-GB"/>
        </w:rPr>
        <w:t xml:space="preserve"> </w:t>
      </w:r>
      <w:proofErr w:type="spellStart"/>
      <w:r w:rsidR="003C2F1C" w:rsidRPr="005B6084">
        <w:rPr>
          <w:lang w:val="it-IT" w:eastAsia="en-GB"/>
        </w:rPr>
        <w:t>testify</w:t>
      </w:r>
      <w:proofErr w:type="spellEnd"/>
      <w:r w:rsidR="003C2F1C" w:rsidRPr="005B6084">
        <w:rPr>
          <w:lang w:val="it-IT" w:eastAsia="en-GB"/>
        </w:rPr>
        <w:t xml:space="preserve"> </w:t>
      </w:r>
      <w:proofErr w:type="spellStart"/>
      <w:r w:rsidR="003C2F1C" w:rsidRPr="005B6084">
        <w:rPr>
          <w:lang w:val="it-IT" w:eastAsia="en-GB"/>
        </w:rPr>
        <w:t>before</w:t>
      </w:r>
      <w:proofErr w:type="spellEnd"/>
      <w:r w:rsidR="003C2F1C" w:rsidRPr="005B6084">
        <w:rPr>
          <w:lang w:val="it-IT" w:eastAsia="en-GB"/>
        </w:rPr>
        <w:t xml:space="preserve"> the Court </w:t>
      </w:r>
      <w:proofErr w:type="spellStart"/>
      <w:r w:rsidR="003C2F1C" w:rsidRPr="005B6084">
        <w:rPr>
          <w:lang w:val="it-IT" w:eastAsia="en-GB"/>
        </w:rPr>
        <w:t>as</w:t>
      </w:r>
      <w:proofErr w:type="spellEnd"/>
      <w:r w:rsidR="003C2F1C" w:rsidRPr="005B6084">
        <w:rPr>
          <w:lang w:val="it-IT" w:eastAsia="en-GB"/>
        </w:rPr>
        <w:t xml:space="preserve"> </w:t>
      </w:r>
      <w:proofErr w:type="spellStart"/>
      <w:r w:rsidR="003C2F1C" w:rsidRPr="005B6084">
        <w:rPr>
          <w:lang w:val="it-IT" w:eastAsia="en-GB"/>
        </w:rPr>
        <w:t>experts</w:t>
      </w:r>
      <w:proofErr w:type="spellEnd"/>
      <w:r w:rsidR="003C2F1C" w:rsidRPr="005B6084">
        <w:rPr>
          <w:lang w:val="it-IT" w:eastAsia="en-GB"/>
        </w:rPr>
        <w:t xml:space="preserve">, </w:t>
      </w:r>
      <w:proofErr w:type="spellStart"/>
      <w:r w:rsidR="003C2F1C" w:rsidRPr="005B6084">
        <w:rPr>
          <w:lang w:val="it-IT" w:eastAsia="en-GB"/>
        </w:rPr>
        <w:t>witnesses</w:t>
      </w:r>
      <w:proofErr w:type="spellEnd"/>
      <w:r w:rsidR="003C2F1C" w:rsidRPr="005B6084">
        <w:rPr>
          <w:lang w:val="it-IT" w:eastAsia="en-GB"/>
        </w:rPr>
        <w:t xml:space="preserve"> or in some </w:t>
      </w:r>
      <w:proofErr w:type="spellStart"/>
      <w:r w:rsidR="003C2F1C" w:rsidRPr="005B6084">
        <w:rPr>
          <w:lang w:val="it-IT" w:eastAsia="en-GB"/>
        </w:rPr>
        <w:t>cases</w:t>
      </w:r>
      <w:proofErr w:type="spellEnd"/>
      <w:r w:rsidR="003C2F1C" w:rsidRPr="005B6084">
        <w:rPr>
          <w:lang w:val="it-IT" w:eastAsia="en-GB"/>
        </w:rPr>
        <w:t xml:space="preserve"> in </w:t>
      </w:r>
      <w:proofErr w:type="spellStart"/>
      <w:r w:rsidR="003C2F1C" w:rsidRPr="005B6084">
        <w:rPr>
          <w:lang w:val="it-IT" w:eastAsia="en-GB"/>
        </w:rPr>
        <w:t>both</w:t>
      </w:r>
      <w:proofErr w:type="spellEnd"/>
      <w:r w:rsidR="003C2F1C" w:rsidRPr="005B6084">
        <w:rPr>
          <w:lang w:val="it-IT" w:eastAsia="en-GB"/>
        </w:rPr>
        <w:t xml:space="preserve"> </w:t>
      </w:r>
      <w:proofErr w:type="spellStart"/>
      <w:r w:rsidR="003C2F1C" w:rsidRPr="005B6084">
        <w:rPr>
          <w:lang w:val="it-IT" w:eastAsia="en-GB"/>
        </w:rPr>
        <w:t>capacities</w:t>
      </w:r>
      <w:proofErr w:type="spellEnd"/>
      <w:r w:rsidR="003C2F1C" w:rsidRPr="005B6084">
        <w:rPr>
          <w:lang w:val="it-IT" w:eastAsia="en-GB"/>
        </w:rPr>
        <w:t xml:space="preserve">, </w:t>
      </w:r>
      <w:proofErr w:type="spellStart"/>
      <w:r w:rsidR="003C2F1C" w:rsidRPr="005B6084">
        <w:rPr>
          <w:lang w:val="it-IT" w:eastAsia="en-GB"/>
        </w:rPr>
        <w:t>rather</w:t>
      </w:r>
      <w:proofErr w:type="spellEnd"/>
      <w:r w:rsidR="003C2F1C" w:rsidRPr="005B6084">
        <w:rPr>
          <w:lang w:val="it-IT" w:eastAsia="en-GB"/>
        </w:rPr>
        <w:t xml:space="preserve"> </w:t>
      </w:r>
      <w:proofErr w:type="spellStart"/>
      <w:r w:rsidR="003C2F1C" w:rsidRPr="005B6084">
        <w:rPr>
          <w:lang w:val="it-IT" w:eastAsia="en-GB"/>
        </w:rPr>
        <w:t>than</w:t>
      </w:r>
      <w:proofErr w:type="spellEnd"/>
      <w:r w:rsidR="003C2F1C" w:rsidRPr="005B6084">
        <w:rPr>
          <w:lang w:val="it-IT" w:eastAsia="en-GB"/>
        </w:rPr>
        <w:t xml:space="preserve"> </w:t>
      </w:r>
      <w:proofErr w:type="spellStart"/>
      <w:r w:rsidR="003C2F1C" w:rsidRPr="005B6084">
        <w:rPr>
          <w:lang w:val="it-IT" w:eastAsia="en-GB"/>
        </w:rPr>
        <w:t>counsel</w:t>
      </w:r>
      <w:proofErr w:type="spellEnd"/>
      <w:r w:rsidR="003C2F1C" w:rsidRPr="005B6084">
        <w:rPr>
          <w:lang w:val="it-IT" w:eastAsia="en-GB"/>
        </w:rPr>
        <w:t xml:space="preserve">, so </w:t>
      </w:r>
      <w:proofErr w:type="spellStart"/>
      <w:r w:rsidR="003C2F1C" w:rsidRPr="005B6084">
        <w:rPr>
          <w:lang w:val="it-IT" w:eastAsia="en-GB"/>
        </w:rPr>
        <w:t>that</w:t>
      </w:r>
      <w:proofErr w:type="spellEnd"/>
      <w:r w:rsidR="003C2F1C" w:rsidRPr="005B6084">
        <w:rPr>
          <w:lang w:val="it-IT" w:eastAsia="en-GB"/>
        </w:rPr>
        <w:t xml:space="preserve"> </w:t>
      </w:r>
      <w:proofErr w:type="spellStart"/>
      <w:r w:rsidR="003C2F1C" w:rsidRPr="005B6084">
        <w:rPr>
          <w:lang w:val="it-IT" w:eastAsia="en-GB"/>
        </w:rPr>
        <w:t>they</w:t>
      </w:r>
      <w:proofErr w:type="spellEnd"/>
      <w:r w:rsidR="003C2F1C" w:rsidRPr="005B6084">
        <w:rPr>
          <w:lang w:val="it-IT" w:eastAsia="en-GB"/>
        </w:rPr>
        <w:t xml:space="preserve"> </w:t>
      </w:r>
      <w:proofErr w:type="spellStart"/>
      <w:r w:rsidR="003C2F1C" w:rsidRPr="005B6084">
        <w:rPr>
          <w:lang w:val="it-IT" w:eastAsia="en-GB"/>
        </w:rPr>
        <w:t>may</w:t>
      </w:r>
      <w:proofErr w:type="spellEnd"/>
      <w:r w:rsidR="003C2F1C" w:rsidRPr="005B6084">
        <w:rPr>
          <w:lang w:val="it-IT" w:eastAsia="en-GB"/>
        </w:rPr>
        <w:t xml:space="preserve"> be </w:t>
      </w:r>
      <w:proofErr w:type="spellStart"/>
      <w:r w:rsidR="003C2F1C" w:rsidRPr="005B6084">
        <w:rPr>
          <w:lang w:val="it-IT" w:eastAsia="en-GB"/>
        </w:rPr>
        <w:t>submitted</w:t>
      </w:r>
      <w:proofErr w:type="spellEnd"/>
      <w:r w:rsidR="003C2F1C" w:rsidRPr="005B6084">
        <w:rPr>
          <w:lang w:val="it-IT" w:eastAsia="en-GB"/>
        </w:rPr>
        <w:t xml:space="preserve"> to </w:t>
      </w:r>
      <w:proofErr w:type="spellStart"/>
      <w:r w:rsidR="003C2F1C" w:rsidRPr="005B6084">
        <w:rPr>
          <w:lang w:val="it-IT" w:eastAsia="en-GB"/>
        </w:rPr>
        <w:t>questioning</w:t>
      </w:r>
      <w:proofErr w:type="spellEnd"/>
      <w:r w:rsidR="003C2F1C" w:rsidRPr="005B6084">
        <w:rPr>
          <w:lang w:val="it-IT" w:eastAsia="en-GB"/>
        </w:rPr>
        <w:t xml:space="preserve"> by the </w:t>
      </w:r>
      <w:proofErr w:type="spellStart"/>
      <w:r w:rsidR="003C2F1C" w:rsidRPr="005B6084">
        <w:rPr>
          <w:lang w:val="it-IT" w:eastAsia="en-GB"/>
        </w:rPr>
        <w:t>other</w:t>
      </w:r>
      <w:proofErr w:type="spellEnd"/>
      <w:r w:rsidR="003C2F1C" w:rsidRPr="005B6084">
        <w:rPr>
          <w:lang w:val="it-IT" w:eastAsia="en-GB"/>
        </w:rPr>
        <w:t xml:space="preserve"> party </w:t>
      </w:r>
      <w:proofErr w:type="spellStart"/>
      <w:r w:rsidR="003C2F1C" w:rsidRPr="005B6084">
        <w:rPr>
          <w:lang w:val="it-IT" w:eastAsia="en-GB"/>
        </w:rPr>
        <w:t>as</w:t>
      </w:r>
      <w:proofErr w:type="spellEnd"/>
      <w:r w:rsidR="003C2F1C" w:rsidRPr="005B6084">
        <w:rPr>
          <w:lang w:val="it-IT" w:eastAsia="en-GB"/>
        </w:rPr>
        <w:t xml:space="preserve"> </w:t>
      </w:r>
      <w:proofErr w:type="spellStart"/>
      <w:r w:rsidR="003C2F1C" w:rsidRPr="005B6084">
        <w:rPr>
          <w:lang w:val="it-IT" w:eastAsia="en-GB"/>
        </w:rPr>
        <w:t>well</w:t>
      </w:r>
      <w:proofErr w:type="spellEnd"/>
      <w:r w:rsidR="003C2F1C" w:rsidRPr="005B6084">
        <w:rPr>
          <w:lang w:val="it-IT" w:eastAsia="en-GB"/>
        </w:rPr>
        <w:t xml:space="preserve"> </w:t>
      </w:r>
      <w:proofErr w:type="spellStart"/>
      <w:r w:rsidR="003C2F1C" w:rsidRPr="005B6084">
        <w:rPr>
          <w:lang w:val="it-IT" w:eastAsia="en-GB"/>
        </w:rPr>
        <w:t>as</w:t>
      </w:r>
      <w:proofErr w:type="spellEnd"/>
      <w:r w:rsidR="003C2F1C" w:rsidRPr="005B6084">
        <w:rPr>
          <w:lang w:val="it-IT" w:eastAsia="en-GB"/>
        </w:rPr>
        <w:t xml:space="preserve"> by the Court’.</w:t>
      </w:r>
      <w:r w:rsidR="003C2F1C" w:rsidRPr="005B6084">
        <w:rPr>
          <w:rStyle w:val="Rimandonotaapidipagina"/>
          <w:lang w:val="it-IT" w:eastAsia="en-GB"/>
        </w:rPr>
        <w:footnoteReference w:id="205"/>
      </w:r>
      <w:proofErr w:type="gramEnd"/>
      <w:r w:rsidR="003C2F1C" w:rsidRPr="005B6084">
        <w:rPr>
          <w:lang w:val="it-IT" w:eastAsia="en-GB"/>
        </w:rPr>
        <w:t xml:space="preserve"> </w:t>
      </w:r>
      <w:r w:rsidR="008179B7" w:rsidRPr="005B6084">
        <w:t>In</w:t>
      </w:r>
      <w:r w:rsidR="003C2F1C" w:rsidRPr="005B6084">
        <w:t xml:space="preserve"> the </w:t>
      </w:r>
      <w:r w:rsidR="003C2F1C" w:rsidRPr="005B6084">
        <w:rPr>
          <w:i/>
        </w:rPr>
        <w:t>Whaling in the Antarctic</w:t>
      </w:r>
      <w:r w:rsidR="003C2F1C" w:rsidRPr="005B6084">
        <w:t xml:space="preserve"> case</w:t>
      </w:r>
      <w:r w:rsidR="008179B7" w:rsidRPr="005B6084">
        <w:t>, therefore, the experts called by both Australia and Japan gave evidence as expert witnesses and were cross-examined,</w:t>
      </w:r>
      <w:bookmarkStart w:id="38" w:name="_Ref392252598"/>
      <w:r w:rsidR="00631CBE" w:rsidRPr="005B6084">
        <w:rPr>
          <w:rStyle w:val="Rimandonotaapidipagina"/>
        </w:rPr>
        <w:footnoteReference w:id="206"/>
      </w:r>
      <w:bookmarkEnd w:id="38"/>
      <w:r w:rsidR="003C2F1C" w:rsidRPr="005B6084">
        <w:t xml:space="preserve"> and the Court relied heavily on their statements to conclude that </w:t>
      </w:r>
      <w:r w:rsidR="003C2F1C" w:rsidRPr="005B6084">
        <w:rPr>
          <w:rStyle w:val="Enfasigrassetto"/>
          <w:b w:val="0"/>
        </w:rPr>
        <w:t>the special permits granted by Japan for the killing, taking and</w:t>
      </w:r>
      <w:r w:rsidR="003C2F1C" w:rsidRPr="005B6084">
        <w:rPr>
          <w:rStyle w:val="Enfasigrassetto"/>
        </w:rPr>
        <w:t xml:space="preserve"> </w:t>
      </w:r>
      <w:r w:rsidR="003C2F1C" w:rsidRPr="005B6084">
        <w:rPr>
          <w:rStyle w:val="Enfasigrassetto"/>
          <w:b w:val="0"/>
        </w:rPr>
        <w:t>treating of whales had not been granted ‘for purposes of scientific research’</w:t>
      </w:r>
      <w:r w:rsidR="003C2F1C" w:rsidRPr="005B6084">
        <w:t>.</w:t>
      </w:r>
      <w:r w:rsidR="003C2F1C" w:rsidRPr="005B6084">
        <w:rPr>
          <w:rStyle w:val="Rimandonotaapidipagina"/>
        </w:rPr>
        <w:footnoteReference w:id="207"/>
      </w:r>
      <w:r w:rsidR="003C2F1C" w:rsidRPr="005B6084">
        <w:t xml:space="preserve"> </w:t>
      </w:r>
    </w:p>
    <w:p w14:paraId="2FA2F23D" w14:textId="77777777" w:rsidR="008179B7" w:rsidRPr="005B6084" w:rsidRDefault="008179B7" w:rsidP="00020241">
      <w:pPr>
        <w:pStyle w:val="P"/>
        <w:spacing w:after="120" w:line="360" w:lineRule="exact"/>
        <w:jc w:val="both"/>
      </w:pPr>
    </w:p>
    <w:p w14:paraId="5E201F50" w14:textId="77777777" w:rsidR="006E3FC2" w:rsidRPr="005B6084" w:rsidRDefault="006E3FC2" w:rsidP="00DD561A">
      <w:pPr>
        <w:pStyle w:val="P"/>
        <w:spacing w:after="120" w:line="360" w:lineRule="exact"/>
        <w:jc w:val="both"/>
        <w:outlineLvl w:val="0"/>
        <w:rPr>
          <w:i/>
        </w:rPr>
      </w:pPr>
      <w:r w:rsidRPr="005B6084">
        <w:rPr>
          <w:i/>
        </w:rPr>
        <w:t xml:space="preserve">e) </w:t>
      </w:r>
      <w:proofErr w:type="gramStart"/>
      <w:r w:rsidR="00EC617E" w:rsidRPr="005B6084">
        <w:rPr>
          <w:i/>
        </w:rPr>
        <w:t>digital</w:t>
      </w:r>
      <w:proofErr w:type="gramEnd"/>
      <w:r w:rsidRPr="005B6084">
        <w:rPr>
          <w:i/>
        </w:rPr>
        <w:t xml:space="preserve"> evidence</w:t>
      </w:r>
    </w:p>
    <w:p w14:paraId="115E24C6" w14:textId="77777777" w:rsidR="006E3FC2" w:rsidRPr="005B6084" w:rsidRDefault="006E3FC2" w:rsidP="00013220">
      <w:pPr>
        <w:pStyle w:val="P"/>
        <w:spacing w:after="120" w:line="360" w:lineRule="exact"/>
        <w:jc w:val="both"/>
      </w:pPr>
    </w:p>
    <w:p w14:paraId="63B568D7" w14:textId="36E37283" w:rsidR="006E3FC2" w:rsidRPr="005B6084" w:rsidRDefault="006E3FC2" w:rsidP="00862B91">
      <w:pPr>
        <w:pStyle w:val="P"/>
        <w:spacing w:after="120" w:line="360" w:lineRule="exact"/>
        <w:jc w:val="both"/>
      </w:pPr>
      <w:r w:rsidRPr="005B6084">
        <w:t>Digital forensics ‘deals with identifying, storing, analyzing, and reporting computer finds, in order to present valid digital evidence that can be submitted in civil or criminal proceedings’.</w:t>
      </w:r>
      <w:r w:rsidRPr="005B6084">
        <w:rPr>
          <w:rStyle w:val="Rimandonotaapidipagina"/>
        </w:rPr>
        <w:footnoteReference w:id="208"/>
      </w:r>
      <w:r w:rsidRPr="005B6084">
        <w:t xml:space="preserve"> It includes the seizure, forensic imaging and analysis of digital media and the production of a report </w:t>
      </w:r>
      <w:r w:rsidR="00133040" w:rsidRPr="005B6084">
        <w:t>on the</w:t>
      </w:r>
      <w:r w:rsidRPr="005B6084">
        <w:t xml:space="preserve"> evidence</w:t>
      </w:r>
      <w:r w:rsidR="00133040" w:rsidRPr="005B6084">
        <w:t xml:space="preserve"> so collected</w:t>
      </w:r>
      <w:r w:rsidRPr="005B6084">
        <w:t>.</w:t>
      </w:r>
      <w:r w:rsidRPr="005B6084">
        <w:rPr>
          <w:rStyle w:val="Rimandonotaapidipagina"/>
        </w:rPr>
        <w:footnoteReference w:id="209"/>
      </w:r>
      <w:r w:rsidRPr="005B6084">
        <w:t xml:space="preserve"> It seems that most countries ‘do not make a legal distinction between electronic evidence and physical evidence. While approaches vary, many countries consider this good practice, as it ensures fair admissibility alongside all other types of evidence’.</w:t>
      </w:r>
      <w:r w:rsidRPr="005B6084">
        <w:rPr>
          <w:rStyle w:val="Rimandonotaapidipagina"/>
        </w:rPr>
        <w:footnoteReference w:id="210"/>
      </w:r>
      <w:r w:rsidR="0081669A" w:rsidRPr="005B6084">
        <w:t xml:space="preserve"> Of course, not only </w:t>
      </w:r>
      <w:r w:rsidR="000F1036" w:rsidRPr="005B6084">
        <w:t xml:space="preserve">do </w:t>
      </w:r>
      <w:r w:rsidR="0081669A" w:rsidRPr="005B6084">
        <w:t xml:space="preserve">data have to </w:t>
      </w:r>
      <w:proofErr w:type="gramStart"/>
      <w:r w:rsidR="0081669A" w:rsidRPr="005B6084">
        <w:t>be collected</w:t>
      </w:r>
      <w:proofErr w:type="gramEnd"/>
      <w:r w:rsidR="0081669A" w:rsidRPr="005B6084">
        <w:t>, but they also need to be interpreted, and the parties may disagree on their interpretation.</w:t>
      </w:r>
    </w:p>
    <w:p w14:paraId="4183E0B0" w14:textId="558CA706" w:rsidR="006E3FC2" w:rsidRPr="005B6084" w:rsidRDefault="00631CBE" w:rsidP="000A21DF">
      <w:pPr>
        <w:pStyle w:val="P"/>
        <w:spacing w:after="120" w:line="360" w:lineRule="exact"/>
        <w:ind w:firstLine="567"/>
        <w:jc w:val="both"/>
      </w:pPr>
      <w:r w:rsidRPr="005B6084">
        <w:t>Digital</w:t>
      </w:r>
      <w:r w:rsidR="0081669A" w:rsidRPr="005B6084">
        <w:t xml:space="preserve"> evidence</w:t>
      </w:r>
      <w:r w:rsidRPr="005B6084">
        <w:t>, however,</w:t>
      </w:r>
      <w:r w:rsidR="006E3FC2" w:rsidRPr="005B6084">
        <w:t xml:space="preserve"> is unlikely to </w:t>
      </w:r>
      <w:r w:rsidR="00EC4453" w:rsidRPr="005B6084">
        <w:t>play</w:t>
      </w:r>
      <w:r w:rsidR="006E3FC2" w:rsidRPr="005B6084">
        <w:t xml:space="preserve">, on its own, </w:t>
      </w:r>
      <w:r w:rsidR="00EC4453" w:rsidRPr="005B6084">
        <w:t>a decisive role</w:t>
      </w:r>
      <w:r w:rsidR="006E3FC2" w:rsidRPr="005B6084">
        <w:t xml:space="preserve"> to establish state responsibility for cyber operations, for several reasons. First, digital </w:t>
      </w:r>
      <w:r w:rsidR="006E3FC2" w:rsidRPr="005B6084">
        <w:lastRenderedPageBreak/>
        <w:t>evidence is ‘volatile, has a short life span, and is frequently located in foreign countries’.</w:t>
      </w:r>
      <w:r w:rsidR="006E3FC2" w:rsidRPr="005B6084">
        <w:rPr>
          <w:rStyle w:val="Rimandonotaapidipagina"/>
        </w:rPr>
        <w:footnoteReference w:id="211"/>
      </w:r>
      <w:r w:rsidR="006E3FC2" w:rsidRPr="005B6084">
        <w:t xml:space="preserve"> Secondly, the collection of digital evidence can be very time consuming</w:t>
      </w:r>
      <w:r w:rsidR="00EC617E" w:rsidRPr="005B6084">
        <w:t xml:space="preserve"> and requires the cooperation of the relevant internet service providers, which may be difficult </w:t>
      </w:r>
      <w:r w:rsidR="0081669A" w:rsidRPr="005B6084">
        <w:t>to obtain</w:t>
      </w:r>
      <w:r w:rsidR="00EC617E" w:rsidRPr="005B6084">
        <w:t xml:space="preserve"> when the attack originates from other states.</w:t>
      </w:r>
      <w:r w:rsidR="006E3FC2" w:rsidRPr="005B6084">
        <w:t xml:space="preserve"> Thirdly, </w:t>
      </w:r>
      <w:r w:rsidR="00B5650A" w:rsidRPr="005B6084">
        <w:t xml:space="preserve">although </w:t>
      </w:r>
      <w:r w:rsidR="006E3FC2" w:rsidRPr="005B6084">
        <w:t xml:space="preserve">digital evidence may lead to the identification of the computer or computer system from where the cyber operation originates, </w:t>
      </w:r>
      <w:r w:rsidR="00B5650A" w:rsidRPr="005B6084">
        <w:t xml:space="preserve">it does </w:t>
      </w:r>
      <w:r w:rsidR="006E3FC2" w:rsidRPr="005B6084">
        <w:t xml:space="preserve">not necessarily </w:t>
      </w:r>
      <w:r w:rsidR="00B5650A" w:rsidRPr="005B6084">
        <w:t xml:space="preserve">identify </w:t>
      </w:r>
      <w:r w:rsidR="006E3FC2" w:rsidRPr="005B6084">
        <w:t xml:space="preserve">the individual(s) responsible for the cyber operation (as the computer </w:t>
      </w:r>
      <w:proofErr w:type="gramStart"/>
      <w:r w:rsidR="006E3FC2" w:rsidRPr="005B6084">
        <w:t>may have been hijacked</w:t>
      </w:r>
      <w:proofErr w:type="gramEnd"/>
      <w:r w:rsidR="006E3FC2" w:rsidRPr="005B6084">
        <w:t>, or the IP spoofed)</w:t>
      </w:r>
      <w:r w:rsidR="00B5650A" w:rsidRPr="005B6084">
        <w:t>. I</w:t>
      </w:r>
      <w:r w:rsidR="006E3FC2" w:rsidRPr="005B6084">
        <w:t>n any case</w:t>
      </w:r>
      <w:r w:rsidR="00EC4453" w:rsidRPr="005B6084">
        <w:t>,</w:t>
      </w:r>
      <w:r w:rsidR="006E3FC2" w:rsidRPr="005B6084">
        <w:t xml:space="preserve"> it will say nothing about whether the conduct of those individuals </w:t>
      </w:r>
      <w:proofErr w:type="gramStart"/>
      <w:r w:rsidR="006E3FC2" w:rsidRPr="005B6084">
        <w:t>can be attributed</w:t>
      </w:r>
      <w:proofErr w:type="gramEnd"/>
      <w:r w:rsidR="006E3FC2" w:rsidRPr="005B6084">
        <w:t xml:space="preserve"> to a state under t</w:t>
      </w:r>
      <w:r w:rsidR="0081669A" w:rsidRPr="005B6084">
        <w:t>he law of state responsibility.</w:t>
      </w:r>
      <w:r w:rsidR="00EC4453" w:rsidRPr="005B6084">
        <w:rPr>
          <w:rStyle w:val="Rimandonotaapidipagina"/>
        </w:rPr>
        <w:footnoteReference w:id="212"/>
      </w:r>
    </w:p>
    <w:p w14:paraId="7B4F9EF1" w14:textId="77777777" w:rsidR="006E3FC2" w:rsidRPr="005B6084" w:rsidRDefault="006E3FC2" w:rsidP="002A7CE5">
      <w:pPr>
        <w:pStyle w:val="P"/>
        <w:spacing w:after="120" w:line="360" w:lineRule="exact"/>
        <w:jc w:val="both"/>
      </w:pPr>
    </w:p>
    <w:p w14:paraId="3891900B" w14:textId="77777777" w:rsidR="006E3FC2" w:rsidRPr="005B6084" w:rsidRDefault="006E3FC2" w:rsidP="00DD561A">
      <w:pPr>
        <w:pStyle w:val="P"/>
        <w:spacing w:after="120" w:line="360" w:lineRule="exact"/>
        <w:jc w:val="both"/>
        <w:outlineLvl w:val="0"/>
        <w:rPr>
          <w:b/>
        </w:rPr>
      </w:pPr>
      <w:r w:rsidRPr="005B6084">
        <w:rPr>
          <w:b/>
        </w:rPr>
        <w:t>6. Presumptions and inferences in the cyber context</w:t>
      </w:r>
    </w:p>
    <w:p w14:paraId="434FBFA7" w14:textId="77777777" w:rsidR="006E3FC2" w:rsidRPr="005B6084" w:rsidRDefault="006E3FC2" w:rsidP="00467E90">
      <w:pPr>
        <w:pStyle w:val="P"/>
        <w:spacing w:after="120" w:line="360" w:lineRule="exact"/>
        <w:jc w:val="both"/>
      </w:pPr>
    </w:p>
    <w:p w14:paraId="4F306183" w14:textId="37F304CA" w:rsidR="009B5F3A" w:rsidRPr="005B6084" w:rsidRDefault="006E3FC2" w:rsidP="00EC4453">
      <w:pPr>
        <w:pStyle w:val="P"/>
        <w:spacing w:after="120" w:line="360" w:lineRule="exact"/>
        <w:jc w:val="both"/>
      </w:pPr>
      <w:r w:rsidRPr="005B6084">
        <w:t xml:space="preserve">As Judge </w:t>
      </w:r>
      <w:r w:rsidR="00B5650A" w:rsidRPr="005B6084">
        <w:t xml:space="preserve">ad </w:t>
      </w:r>
      <w:proofErr w:type="gramStart"/>
      <w:r w:rsidR="00B5650A" w:rsidRPr="005B6084">
        <w:t>hoc</w:t>
      </w:r>
      <w:proofErr w:type="gramEnd"/>
      <w:r w:rsidR="00B5650A" w:rsidRPr="005B6084">
        <w:t xml:space="preserve"> </w:t>
      </w:r>
      <w:r w:rsidRPr="005B6084">
        <w:t>Franck emphasized</w:t>
      </w:r>
      <w:r w:rsidR="00B5650A" w:rsidRPr="005B6084">
        <w:t xml:space="preserve"> </w:t>
      </w:r>
      <w:r w:rsidR="00EC4453" w:rsidRPr="005B6084">
        <w:t xml:space="preserve">in </w:t>
      </w:r>
      <w:r w:rsidR="00EC4453" w:rsidRPr="005B6084">
        <w:rPr>
          <w:i/>
        </w:rPr>
        <w:t xml:space="preserve">Sovereignty over </w:t>
      </w:r>
      <w:proofErr w:type="spellStart"/>
      <w:r w:rsidR="00EC4453" w:rsidRPr="005B6084">
        <w:rPr>
          <w:i/>
        </w:rPr>
        <w:t>Pulau</w:t>
      </w:r>
      <w:proofErr w:type="spellEnd"/>
      <w:r w:rsidR="00EC4453" w:rsidRPr="005B6084">
        <w:rPr>
          <w:i/>
        </w:rPr>
        <w:t xml:space="preserve"> </w:t>
      </w:r>
      <w:proofErr w:type="spellStart"/>
      <w:r w:rsidR="00EC4453" w:rsidRPr="005B6084">
        <w:rPr>
          <w:i/>
        </w:rPr>
        <w:t>Ligitan</w:t>
      </w:r>
      <w:proofErr w:type="spellEnd"/>
      <w:r w:rsidR="00EC4453" w:rsidRPr="005B6084">
        <w:rPr>
          <w:i/>
        </w:rPr>
        <w:t xml:space="preserve"> and </w:t>
      </w:r>
      <w:proofErr w:type="spellStart"/>
      <w:r w:rsidR="00EC4453" w:rsidRPr="005B6084">
        <w:rPr>
          <w:i/>
        </w:rPr>
        <w:t>Pulau</w:t>
      </w:r>
      <w:proofErr w:type="spellEnd"/>
      <w:r w:rsidR="00EC4453" w:rsidRPr="005B6084">
        <w:rPr>
          <w:i/>
        </w:rPr>
        <w:t xml:space="preserve"> </w:t>
      </w:r>
      <w:proofErr w:type="spellStart"/>
      <w:r w:rsidR="00EC4453" w:rsidRPr="005B6084">
        <w:rPr>
          <w:i/>
        </w:rPr>
        <w:t>Sipadan</w:t>
      </w:r>
      <w:proofErr w:type="spellEnd"/>
      <w:r w:rsidR="00EC4453" w:rsidRPr="005B6084">
        <w:t>,</w:t>
      </w:r>
      <w:r w:rsidRPr="005B6084">
        <w:t xml:space="preserve"> ‘[p]resumptions are necessary and well-established aspects of both common and civil law and cannot but be a part of the fabric of public international law’.</w:t>
      </w:r>
      <w:r w:rsidRPr="005B6084">
        <w:rPr>
          <w:rStyle w:val="Rimandonotaapidipagina"/>
        </w:rPr>
        <w:footnoteReference w:id="213"/>
      </w:r>
      <w:r w:rsidRPr="005B6084">
        <w:t xml:space="preserve"> </w:t>
      </w:r>
      <w:proofErr w:type="gramStart"/>
      <w:r w:rsidR="00B5650A" w:rsidRPr="005B6084">
        <w:t>Previously, i</w:t>
      </w:r>
      <w:r w:rsidR="00D429A9" w:rsidRPr="005B6084">
        <w:t xml:space="preserve">n his Dissenting Opinion </w:t>
      </w:r>
      <w:r w:rsidR="00B5650A" w:rsidRPr="005B6084">
        <w:t xml:space="preserve">in </w:t>
      </w:r>
      <w:r w:rsidR="00D429A9" w:rsidRPr="005B6084">
        <w:rPr>
          <w:i/>
        </w:rPr>
        <w:t>Corfu Channel</w:t>
      </w:r>
      <w:r w:rsidR="00D429A9" w:rsidRPr="005B6084">
        <w:t xml:space="preserve">, Judge </w:t>
      </w:r>
      <w:proofErr w:type="spellStart"/>
      <w:r w:rsidR="00D429A9" w:rsidRPr="005B6084">
        <w:t>Azevedo</w:t>
      </w:r>
      <w:proofErr w:type="spellEnd"/>
      <w:r w:rsidR="00D429A9" w:rsidRPr="005B6084">
        <w:t xml:space="preserve"> </w:t>
      </w:r>
      <w:r w:rsidR="00C34B7F" w:rsidRPr="005B6084">
        <w:t>had</w:t>
      </w:r>
      <w:r w:rsidR="00D429A9" w:rsidRPr="005B6084">
        <w:t xml:space="preserve"> argued that ‘[</w:t>
      </w:r>
      <w:proofErr w:type="spellStart"/>
      <w:r w:rsidR="00D429A9" w:rsidRPr="005B6084">
        <w:t>i</w:t>
      </w:r>
      <w:proofErr w:type="spellEnd"/>
      <w:r w:rsidR="00D429A9" w:rsidRPr="005B6084">
        <w:t xml:space="preserve">]t would be going too far for an international court to insist on direct and visual evidence and to refuse to admit, after reflection, a reasonable amount of human presumptions with a view to reaching that state of moral, human certainty </w:t>
      </w:r>
      <w:r w:rsidR="00B5650A" w:rsidRPr="005B6084">
        <w:t xml:space="preserve">with </w:t>
      </w:r>
      <w:r w:rsidR="00D429A9" w:rsidRPr="005B6084">
        <w:t>which, despite the risk of occasional errors, a court of justice must be content’.</w:t>
      </w:r>
      <w:r w:rsidR="00540E9A" w:rsidRPr="005B6084">
        <w:rPr>
          <w:rStyle w:val="Rimandonotaapidipagina"/>
        </w:rPr>
        <w:footnoteReference w:id="214"/>
      </w:r>
      <w:proofErr w:type="gramEnd"/>
    </w:p>
    <w:p w14:paraId="0E19CEFC" w14:textId="14A2D08D" w:rsidR="006E3FC2" w:rsidRPr="005B6084" w:rsidRDefault="006E3FC2" w:rsidP="00D429A9">
      <w:pPr>
        <w:pStyle w:val="P"/>
        <w:spacing w:after="120" w:line="360" w:lineRule="exact"/>
        <w:ind w:firstLine="567"/>
        <w:jc w:val="both"/>
      </w:pPr>
      <w:r w:rsidRPr="005B6084">
        <w:t xml:space="preserve">Although the difference </w:t>
      </w:r>
      <w:proofErr w:type="gramStart"/>
      <w:r w:rsidRPr="005B6084">
        <w:t>is often blurred</w:t>
      </w:r>
      <w:proofErr w:type="gramEnd"/>
      <w:r w:rsidRPr="005B6084">
        <w:t xml:space="preserve"> in </w:t>
      </w:r>
      <w:r w:rsidR="002219A7" w:rsidRPr="005B6084">
        <w:t>inter-state</w:t>
      </w:r>
      <w:r w:rsidRPr="005B6084">
        <w:t xml:space="preserve"> litigation, presumptions may be prescribed by law (‘legal presumptions’, or presumptions of law), or be reasoning tools used by the judges (presumptions of fact, or inferences).</w:t>
      </w:r>
      <w:r w:rsidRPr="005B6084">
        <w:rPr>
          <w:rStyle w:val="Rimandonotaapidipagina"/>
        </w:rPr>
        <w:footnoteReference w:id="215"/>
      </w:r>
      <w:r w:rsidRPr="005B6084">
        <w:t xml:space="preserve"> In other words, ‘[p]resumptions of law derive their force from </w:t>
      </w:r>
      <w:r w:rsidRPr="005B6084">
        <w:rPr>
          <w:i/>
        </w:rPr>
        <w:t>law</w:t>
      </w:r>
      <w:r w:rsidRPr="005B6084">
        <w:t xml:space="preserve">, while presumptions of fact derive their force from </w:t>
      </w:r>
      <w:r w:rsidRPr="005B6084">
        <w:rPr>
          <w:i/>
        </w:rPr>
        <w:t>logic</w:t>
      </w:r>
      <w:r w:rsidRPr="005B6084">
        <w:t>’.</w:t>
      </w:r>
      <w:r w:rsidRPr="005B6084">
        <w:rPr>
          <w:rStyle w:val="Rimandonotaapidipagina"/>
        </w:rPr>
        <w:footnoteReference w:id="216"/>
      </w:r>
      <w:r w:rsidRPr="005B6084">
        <w:t xml:space="preserve"> In international law, presumptions of law can derive from </w:t>
      </w:r>
      <w:r w:rsidRPr="005B6084">
        <w:lastRenderedPageBreak/>
        <w:t>treaties, international customs and general principles of law.</w:t>
      </w:r>
      <w:r w:rsidRPr="005B6084">
        <w:rPr>
          <w:rStyle w:val="Rimandonotaapidipagina"/>
        </w:rPr>
        <w:footnoteReference w:id="217"/>
      </w:r>
      <w:r w:rsidRPr="005B6084">
        <w:t xml:space="preserve"> According to Judge </w:t>
      </w:r>
      <w:proofErr w:type="spellStart"/>
      <w:r w:rsidRPr="005B6084">
        <w:t>Owada</w:t>
      </w:r>
      <w:proofErr w:type="spellEnd"/>
      <w:r w:rsidRPr="005B6084">
        <w:t xml:space="preserve"> in his Dissenting Opinion </w:t>
      </w:r>
      <w:r w:rsidR="00D5079E" w:rsidRPr="005B6084">
        <w:t>in</w:t>
      </w:r>
      <w:r w:rsidRPr="005B6084">
        <w:t xml:space="preserve"> the </w:t>
      </w:r>
      <w:r w:rsidRPr="005B6084">
        <w:rPr>
          <w:i/>
        </w:rPr>
        <w:t>Whaling in the Antarctic</w:t>
      </w:r>
      <w:r w:rsidRPr="005B6084">
        <w:t xml:space="preserve"> </w:t>
      </w:r>
      <w:r w:rsidR="00D5079E" w:rsidRPr="005B6084">
        <w:t>case</w:t>
      </w:r>
      <w:r w:rsidRPr="005B6084">
        <w:t>, for instance, good faith on the part of a contracting state in performing its obligations under a treaty ‘has necessarily to be presumed’</w:t>
      </w:r>
      <w:r w:rsidR="00EC4453" w:rsidRPr="005B6084">
        <w:t>,</w:t>
      </w:r>
      <w:r w:rsidR="00EC4453" w:rsidRPr="005B6084">
        <w:rPr>
          <w:rStyle w:val="Rimandonotaapidipagina"/>
        </w:rPr>
        <w:footnoteReference w:id="218"/>
      </w:r>
      <w:r w:rsidR="00EC4453" w:rsidRPr="005B6084">
        <w:t xml:space="preserve"> although the presumption is subject to rebuttal.</w:t>
      </w:r>
    </w:p>
    <w:p w14:paraId="0F265EB6" w14:textId="77777777" w:rsidR="006E3FC2" w:rsidRPr="005B6084" w:rsidRDefault="006E3FC2" w:rsidP="0044651B">
      <w:pPr>
        <w:pStyle w:val="P"/>
        <w:spacing w:after="120" w:line="360" w:lineRule="exact"/>
        <w:ind w:firstLine="567"/>
        <w:jc w:val="both"/>
      </w:pPr>
      <w:r w:rsidRPr="005B6084">
        <w:t xml:space="preserve">Inferences, or presumptions of fact, </w:t>
      </w:r>
      <w:proofErr w:type="gramStart"/>
      <w:r w:rsidRPr="005B6084">
        <w:t>are closely linked</w:t>
      </w:r>
      <w:proofErr w:type="gramEnd"/>
      <w:r w:rsidRPr="005B6084">
        <w:t xml:space="preserve"> to circumstantial evidence.</w:t>
      </w:r>
      <w:r w:rsidRPr="005B6084">
        <w:rPr>
          <w:rStyle w:val="Rimandonotaapidipagina"/>
        </w:rPr>
        <w:footnoteReference w:id="219"/>
      </w:r>
      <w:r w:rsidRPr="005B6084">
        <w:t xml:space="preserve"> In the </w:t>
      </w:r>
      <w:r w:rsidRPr="005B6084">
        <w:rPr>
          <w:i/>
        </w:rPr>
        <w:t>Corfu Channel</w:t>
      </w:r>
      <w:r w:rsidRPr="005B6084">
        <w:t xml:space="preserve"> case, Judge </w:t>
      </w:r>
      <w:proofErr w:type="spellStart"/>
      <w:r w:rsidRPr="005B6084">
        <w:t>Padawi</w:t>
      </w:r>
      <w:proofErr w:type="spellEnd"/>
      <w:r w:rsidRPr="005B6084">
        <w:t xml:space="preserve"> Pasha defined ‘circumstantial evidence’ as ‘facts which, while not supplying immediate proof of the charge, yet make the charge probable with the assistance of reasoning’.</w:t>
      </w:r>
      <w:r w:rsidRPr="005B6084">
        <w:rPr>
          <w:rStyle w:val="Rimandonotaapidipagina"/>
        </w:rPr>
        <w:footnoteReference w:id="220"/>
      </w:r>
      <w:r w:rsidRPr="005B6084">
        <w:t xml:space="preserve"> </w:t>
      </w:r>
      <w:proofErr w:type="gramStart"/>
      <w:r w:rsidRPr="005B6084">
        <w:rPr>
          <w:lang w:eastAsia="it-IT"/>
        </w:rPr>
        <w:t xml:space="preserve">Inferences ‘convincingly’ establishing state sponsorship for cyber operations are suggested in the US Department of Defense’s </w:t>
      </w:r>
      <w:r w:rsidRPr="005B6084">
        <w:rPr>
          <w:i/>
        </w:rPr>
        <w:t>Assessment of International Legal Issues in Information Operations</w:t>
      </w:r>
      <w:r w:rsidRPr="005B6084">
        <w:rPr>
          <w:lang w:eastAsia="it-IT"/>
        </w:rPr>
        <w:t>, including ‘the state of relationships between the two countries, the prior involvement of the suspect state in computer network attacks, the nature of the systems attacked, the nature and sophistication of the methods and equipment used, the effects of past attacks, and the damage which seems likely from future attacks’.</w:t>
      </w:r>
      <w:r w:rsidRPr="005B6084">
        <w:rPr>
          <w:rStyle w:val="Rimandonotaapidipagina"/>
          <w:lang w:eastAsia="it-IT"/>
        </w:rPr>
        <w:footnoteReference w:id="221"/>
      </w:r>
      <w:proofErr w:type="gramEnd"/>
      <w:r w:rsidRPr="005B6084">
        <w:rPr>
          <w:lang w:eastAsia="it-IT"/>
        </w:rPr>
        <w:t xml:space="preserve"> In its reply to the UN Secretary-General on issues related to information security, the United States also claimed that ‘the identity and motivation of the perpetrator(s) can only be inferred from the target, effects and other circumstantial evidence surrounding an incident’.</w:t>
      </w:r>
      <w:r w:rsidRPr="005B6084">
        <w:rPr>
          <w:rStyle w:val="Rimandonotaapidipagina"/>
          <w:lang w:eastAsia="it-IT"/>
        </w:rPr>
        <w:footnoteReference w:id="222"/>
      </w:r>
      <w:r w:rsidRPr="005B6084">
        <w:rPr>
          <w:lang w:eastAsia="it-IT"/>
        </w:rPr>
        <w:t xml:space="preserve"> </w:t>
      </w:r>
      <w:proofErr w:type="gramStart"/>
      <w:r w:rsidRPr="005B6084">
        <w:t xml:space="preserve">The commentary to Rule 11 of the Tallinn Manual refers to inferences from ‘the prevailing political environment, whether the operations portends the future use of military force, the identity of the attacker, any record of cyber operations by the attacker, and the nature of the target (such as critical infrastructure)’, in order to determine whether a </w:t>
      </w:r>
      <w:proofErr w:type="spellStart"/>
      <w:r w:rsidRPr="005B6084">
        <w:t>cyber operation</w:t>
      </w:r>
      <w:proofErr w:type="spellEnd"/>
      <w:r w:rsidRPr="005B6084">
        <w:t xml:space="preserve"> qualifies as a use of force under Article 2(4) of the UN Charter.</w:t>
      </w:r>
      <w:r w:rsidRPr="005B6084">
        <w:rPr>
          <w:rStyle w:val="Rimandonotaapidipagina"/>
        </w:rPr>
        <w:footnoteReference w:id="223"/>
      </w:r>
      <w:proofErr w:type="gramEnd"/>
    </w:p>
    <w:p w14:paraId="4E0C1255" w14:textId="3CF63A2B" w:rsidR="006E3FC2" w:rsidRPr="005B6084" w:rsidRDefault="008A39C2" w:rsidP="00B2103A">
      <w:pPr>
        <w:pStyle w:val="P"/>
        <w:spacing w:after="120" w:line="360" w:lineRule="exact"/>
        <w:ind w:firstLine="567"/>
        <w:jc w:val="both"/>
        <w:rPr>
          <w:lang w:eastAsia="it-IT"/>
        </w:rPr>
      </w:pPr>
      <w:r w:rsidRPr="005B6084">
        <w:lastRenderedPageBreak/>
        <w:t>The</w:t>
      </w:r>
      <w:r w:rsidR="006E3FC2" w:rsidRPr="005B6084">
        <w:t xml:space="preserve"> ICJ</w:t>
      </w:r>
      <w:r w:rsidRPr="005B6084">
        <w:t>, however,</w:t>
      </w:r>
      <w:r w:rsidR="006E3FC2" w:rsidRPr="005B6084">
        <w:t xml:space="preserve"> ‘has demonstrated an increasing resistance to the drawing of inferences from secondary evidence’.</w:t>
      </w:r>
      <w:r w:rsidR="006E3FC2" w:rsidRPr="005B6084">
        <w:rPr>
          <w:rStyle w:val="Rimandonotaapidipagina"/>
        </w:rPr>
        <w:footnoteReference w:id="224"/>
      </w:r>
      <w:r w:rsidR="006E3FC2" w:rsidRPr="005B6084">
        <w:t xml:space="preserve"> Only inferences to protect sta</w:t>
      </w:r>
      <w:r w:rsidR="00434479" w:rsidRPr="005B6084">
        <w:t xml:space="preserve">te sovereignty </w:t>
      </w:r>
      <w:proofErr w:type="gramStart"/>
      <w:r w:rsidR="00434479" w:rsidRPr="005B6084">
        <w:t xml:space="preserve">are </w:t>
      </w:r>
      <w:r w:rsidR="006E3FC2" w:rsidRPr="005B6084">
        <w:t>normally drawn</w:t>
      </w:r>
      <w:proofErr w:type="gramEnd"/>
      <w:r w:rsidR="006E3FC2" w:rsidRPr="005B6084">
        <w:t xml:space="preserve"> by the Court, while others are treated with great caution.</w:t>
      </w:r>
      <w:r w:rsidR="006E3FC2" w:rsidRPr="005B6084">
        <w:rPr>
          <w:rStyle w:val="Rimandonotaapidipagina"/>
        </w:rPr>
        <w:footnoteReference w:id="225"/>
      </w:r>
      <w:r w:rsidR="006E3FC2" w:rsidRPr="005B6084">
        <w:t xml:space="preserve"> Examples of situations where the ICJ </w:t>
      </w:r>
      <w:r w:rsidR="009B5F3A" w:rsidRPr="005B6084">
        <w:t xml:space="preserve">has </w:t>
      </w:r>
      <w:r w:rsidR="006E3FC2" w:rsidRPr="005B6084">
        <w:t xml:space="preserve">explored the possibility of drawing inferences include </w:t>
      </w:r>
      <w:r w:rsidR="006E51C1" w:rsidRPr="005B6084">
        <w:t>exclusive control of territory</w:t>
      </w:r>
      <w:r w:rsidR="006E3FC2" w:rsidRPr="005B6084">
        <w:t xml:space="preserve"> </w:t>
      </w:r>
      <w:r w:rsidR="009B5F3A" w:rsidRPr="005B6084">
        <w:t xml:space="preserve">and </w:t>
      </w:r>
      <w:r w:rsidR="006E3FC2" w:rsidRPr="005B6084">
        <w:t>non-production of documents.</w:t>
      </w:r>
      <w:r w:rsidR="006E3FC2" w:rsidRPr="005B6084">
        <w:rPr>
          <w:rStyle w:val="Rimandonotaapidipagina"/>
        </w:rPr>
        <w:footnoteReference w:id="226"/>
      </w:r>
      <w:r w:rsidR="00434479" w:rsidRPr="005B6084">
        <w:t xml:space="preserve"> As to the first, it </w:t>
      </w:r>
      <w:proofErr w:type="gramStart"/>
      <w:r w:rsidR="00434479" w:rsidRPr="005B6084">
        <w:t>has been argued</w:t>
      </w:r>
      <w:proofErr w:type="gramEnd"/>
      <w:r w:rsidR="006E3FC2" w:rsidRPr="005B6084">
        <w:t xml:space="preserve"> that the state from which the cyber operation originates has presumptive knowledge of such operation. US officials </w:t>
      </w:r>
      <w:r w:rsidR="009B5F3A" w:rsidRPr="005B6084">
        <w:t xml:space="preserve">have </w:t>
      </w:r>
      <w:r w:rsidR="006E3FC2" w:rsidRPr="005B6084">
        <w:t xml:space="preserve">claimed, for instance, that, from the control that the Iranian government exercises over the internet, it is ‘hard to imagine’ that </w:t>
      </w:r>
      <w:proofErr w:type="spellStart"/>
      <w:r w:rsidR="006E3FC2" w:rsidRPr="005B6084">
        <w:t>cyber attacks</w:t>
      </w:r>
      <w:proofErr w:type="spellEnd"/>
      <w:r w:rsidR="006E3FC2" w:rsidRPr="005B6084">
        <w:t xml:space="preserve"> originating from Iran against US oil, gas and electricity companies could be conducted without governmental knowledge, even in the absence of direct proof of state involvement.</w:t>
      </w:r>
      <w:r w:rsidR="006E3FC2" w:rsidRPr="005B6084">
        <w:rPr>
          <w:rStyle w:val="Rimandonotaapidipagina"/>
        </w:rPr>
        <w:footnoteReference w:id="227"/>
      </w:r>
      <w:r w:rsidR="006E3FC2" w:rsidRPr="005B6084">
        <w:t xml:space="preserve"> The same considerations </w:t>
      </w:r>
      <w:proofErr w:type="gramStart"/>
      <w:r w:rsidR="006E3FC2" w:rsidRPr="005B6084">
        <w:t>may be extended</w:t>
      </w:r>
      <w:proofErr w:type="gramEnd"/>
      <w:r w:rsidR="006E3FC2" w:rsidRPr="005B6084">
        <w:t xml:space="preserve"> to cyber operations originating from China and other states where access to the internet is under strict governmental control. </w:t>
      </w:r>
      <w:r w:rsidR="006E3FC2" w:rsidRPr="005B6084">
        <w:rPr>
          <w:lang w:eastAsia="it-IT"/>
        </w:rPr>
        <w:t xml:space="preserve">The US Department of Defense’s </w:t>
      </w:r>
      <w:r w:rsidR="006E3FC2" w:rsidRPr="005B6084">
        <w:rPr>
          <w:i/>
        </w:rPr>
        <w:t>Assessment of International Legal Issues in Information Operations</w:t>
      </w:r>
      <w:r w:rsidR="006E3FC2" w:rsidRPr="005B6084">
        <w:rPr>
          <w:lang w:eastAsia="it-IT"/>
        </w:rPr>
        <w:t xml:space="preserve"> also claims that ‘[s]</w:t>
      </w:r>
      <w:proofErr w:type="spellStart"/>
      <w:proofErr w:type="gramStart"/>
      <w:r w:rsidR="006E3FC2" w:rsidRPr="005B6084">
        <w:rPr>
          <w:lang w:eastAsia="it-IT"/>
        </w:rPr>
        <w:t>tate</w:t>
      </w:r>
      <w:proofErr w:type="spellEnd"/>
      <w:proofErr w:type="gramEnd"/>
      <w:r w:rsidR="006E3FC2" w:rsidRPr="005B6084">
        <w:rPr>
          <w:lang w:eastAsia="it-IT"/>
        </w:rPr>
        <w:t xml:space="preserve"> sponsorship might be persuasively established by such factors as … the location of the offending computer within a state-controlled facility’.</w:t>
      </w:r>
      <w:r w:rsidR="006E3FC2" w:rsidRPr="005B6084">
        <w:rPr>
          <w:rStyle w:val="Rimandonotaapidipagina"/>
          <w:lang w:eastAsia="it-IT"/>
        </w:rPr>
        <w:footnoteReference w:id="228"/>
      </w:r>
      <w:r w:rsidR="006E3FC2" w:rsidRPr="005B6084">
        <w:rPr>
          <w:lang w:eastAsia="it-IT"/>
        </w:rPr>
        <w:t xml:space="preserve"> </w:t>
      </w:r>
      <w:r w:rsidR="00D5079E" w:rsidRPr="005B6084">
        <w:rPr>
          <w:lang w:eastAsia="it-IT"/>
        </w:rPr>
        <w:t>In literature, Garnett and Clarke have claimed that ‘in a situation where there have been repeated instances of hostile computer activity emanating from a State’s territory directed against another State, it seems reasonable to presume that the host State had knowledge of such attacks and so should incur responsibility’.</w:t>
      </w:r>
      <w:r w:rsidR="00D5079E" w:rsidRPr="005B6084">
        <w:rPr>
          <w:rStyle w:val="Rimandonotaapidipagina"/>
          <w:lang w:eastAsia="it-IT"/>
        </w:rPr>
        <w:footnoteReference w:id="229"/>
      </w:r>
      <w:r w:rsidR="00D5079E" w:rsidRPr="005B6084">
        <w:rPr>
          <w:lang w:eastAsia="it-IT"/>
        </w:rPr>
        <w:t xml:space="preserve"> </w:t>
      </w:r>
      <w:r w:rsidR="006E3FC2" w:rsidRPr="005B6084">
        <w:t xml:space="preserve">At least certain of the </w:t>
      </w:r>
      <w:proofErr w:type="spellStart"/>
      <w:r w:rsidR="006E3FC2" w:rsidRPr="005B6084">
        <w:t>cyber attacks</w:t>
      </w:r>
      <w:proofErr w:type="spellEnd"/>
      <w:r w:rsidR="006E3FC2" w:rsidRPr="005B6084">
        <w:t xml:space="preserve"> against Estonia and Georgia originated from Russian IP addresses, including those of state institutions.</w:t>
      </w:r>
      <w:r w:rsidR="006E3FC2" w:rsidRPr="005B6084">
        <w:rPr>
          <w:rStyle w:val="Rimandonotaapidipagina"/>
        </w:rPr>
        <w:footnoteReference w:id="230"/>
      </w:r>
      <w:r w:rsidR="006E3FC2" w:rsidRPr="005B6084">
        <w:t xml:space="preserve"> The </w:t>
      </w:r>
      <w:proofErr w:type="spellStart"/>
      <w:r w:rsidR="006E3FC2" w:rsidRPr="005B6084">
        <w:t>Mandiant</w:t>
      </w:r>
      <w:proofErr w:type="spellEnd"/>
      <w:r w:rsidR="006E3FC2" w:rsidRPr="005B6084">
        <w:t xml:space="preserve"> Report also traced the cyber intrusions into US computers </w:t>
      </w:r>
      <w:r w:rsidR="009B5F3A" w:rsidRPr="005B6084">
        <w:t xml:space="preserve">back </w:t>
      </w:r>
      <w:r w:rsidR="006E3FC2" w:rsidRPr="005B6084">
        <w:t>to Chinese IP addresses.</w:t>
      </w:r>
      <w:r w:rsidR="006E3FC2" w:rsidRPr="005B6084">
        <w:rPr>
          <w:rStyle w:val="Rimandonotaapidipagina"/>
        </w:rPr>
        <w:footnoteReference w:id="231"/>
      </w:r>
      <w:r w:rsidR="006E3FC2" w:rsidRPr="005B6084">
        <w:t xml:space="preserve"> As has been seen, however, in the </w:t>
      </w:r>
      <w:r w:rsidR="006E3FC2" w:rsidRPr="005B6084">
        <w:rPr>
          <w:i/>
        </w:rPr>
        <w:t>Corfu Channel</w:t>
      </w:r>
      <w:r w:rsidR="006E3FC2" w:rsidRPr="005B6084">
        <w:t xml:space="preserve"> case the ICJ held that ‘it cannot be concluded from the mere fact of the control exercised [by </w:t>
      </w:r>
      <w:r w:rsidR="006E3FC2" w:rsidRPr="005B6084">
        <w:lastRenderedPageBreak/>
        <w:t>a state] over its territory … that that State necessarily knew, or ought to have known, of any unlawful act perpetrated therein’.</w:t>
      </w:r>
      <w:r w:rsidR="006E3FC2" w:rsidRPr="005B6084">
        <w:rPr>
          <w:rStyle w:val="Rimandonotaapidipagina"/>
        </w:rPr>
        <w:footnoteReference w:id="232"/>
      </w:r>
      <w:r w:rsidR="006E3FC2" w:rsidRPr="005B6084">
        <w:t xml:space="preserve"> </w:t>
      </w:r>
      <w:r w:rsidR="00434479" w:rsidRPr="005B6084">
        <w:t xml:space="preserve">Only if there are other indications of state involvement </w:t>
      </w:r>
      <w:proofErr w:type="gramStart"/>
      <w:r w:rsidR="00434479" w:rsidRPr="005B6084">
        <w:t>may</w:t>
      </w:r>
      <w:proofErr w:type="gramEnd"/>
      <w:r w:rsidR="00434479" w:rsidRPr="005B6084">
        <w:t xml:space="preserve"> territorial control contribute to establish knowledge.</w:t>
      </w:r>
      <w:r w:rsidR="00434479" w:rsidRPr="005B6084">
        <w:rPr>
          <w:rStyle w:val="Rimandonotaapidipagina"/>
        </w:rPr>
        <w:footnoteReference w:id="233"/>
      </w:r>
      <w:r w:rsidR="00434479" w:rsidRPr="005B6084">
        <w:t xml:space="preserve"> </w:t>
      </w:r>
      <w:r w:rsidR="000E19CF" w:rsidRPr="005B6084">
        <w:t xml:space="preserve">In </w:t>
      </w:r>
      <w:r w:rsidR="000E19CF" w:rsidRPr="005B6084">
        <w:rPr>
          <w:i/>
        </w:rPr>
        <w:t>Oil Platforms</w:t>
      </w:r>
      <w:r w:rsidR="000E19CF" w:rsidRPr="005B6084">
        <w:t xml:space="preserve">, the ICJ also refused to accept the US argument that the territorial control exercised by Iran over the area from which the missile against the </w:t>
      </w:r>
      <w:r w:rsidR="000E19CF" w:rsidRPr="005B6084">
        <w:rPr>
          <w:i/>
        </w:rPr>
        <w:t xml:space="preserve">Sea Isle City </w:t>
      </w:r>
      <w:proofErr w:type="gramStart"/>
      <w:r w:rsidR="000E19CF" w:rsidRPr="005B6084">
        <w:t>had been fired</w:t>
      </w:r>
      <w:proofErr w:type="gramEnd"/>
      <w:r w:rsidR="000E19CF" w:rsidRPr="005B6084">
        <w:t xml:space="preserve"> was sufficient to demonstrate Iran’s responsibility.</w:t>
      </w:r>
      <w:r w:rsidR="000E19CF" w:rsidRPr="005B6084">
        <w:rPr>
          <w:rStyle w:val="Rimandonotaapidipagina"/>
        </w:rPr>
        <w:footnoteReference w:id="234"/>
      </w:r>
      <w:r w:rsidR="000E19CF" w:rsidRPr="005B6084">
        <w:t xml:space="preserve"> </w:t>
      </w:r>
      <w:proofErr w:type="gramStart"/>
      <w:r w:rsidR="000E19CF" w:rsidRPr="005B6084">
        <w:t>These conclusions</w:t>
      </w:r>
      <w:r w:rsidR="006E3FC2" w:rsidRPr="005B6084">
        <w:t xml:space="preserve"> </w:t>
      </w:r>
      <w:r w:rsidR="000E19CF" w:rsidRPr="005B6084">
        <w:t>are</w:t>
      </w:r>
      <w:r w:rsidR="006E3FC2" w:rsidRPr="005B6084">
        <w:t xml:space="preserve"> transposed in the cyber context by Rules 7 and 8 of the Tallinn Manual, </w:t>
      </w:r>
      <w:r w:rsidR="006E3FC2" w:rsidRPr="005B6084">
        <w:rPr>
          <w:lang w:eastAsia="it-IT"/>
        </w:rPr>
        <w:t xml:space="preserve">according to which neither the fact that a </w:t>
      </w:r>
      <w:proofErr w:type="spellStart"/>
      <w:r w:rsidR="006E3FC2" w:rsidRPr="005B6084">
        <w:rPr>
          <w:lang w:eastAsia="it-IT"/>
        </w:rPr>
        <w:t>cyber operation</w:t>
      </w:r>
      <w:proofErr w:type="spellEnd"/>
      <w:r w:rsidR="006E3FC2" w:rsidRPr="005B6084">
        <w:rPr>
          <w:lang w:eastAsia="it-IT"/>
        </w:rPr>
        <w:t xml:space="preserve"> originates from a state’s governmental cyber infrastructure nor that it has been routed through the cyber infrastructure located in a state are sufficient evidence for attributing the operation to those states, although it may be ‘</w:t>
      </w:r>
      <w:r w:rsidR="006E3FC2" w:rsidRPr="005B6084">
        <w:t>an indication that the State in question is associated with the operation</w:t>
      </w:r>
      <w:r w:rsidR="006E3FC2" w:rsidRPr="005B6084">
        <w:rPr>
          <w:rStyle w:val="Titolo2Carattere"/>
          <w:b w:val="0"/>
          <w:sz w:val="24"/>
          <w:u w:val="none"/>
          <w:lang w:eastAsia="it-IT"/>
        </w:rPr>
        <w:t>’.</w:t>
      </w:r>
      <w:r w:rsidR="006E3FC2" w:rsidRPr="005B6084">
        <w:rPr>
          <w:rStyle w:val="Rimandonotaapidipagina"/>
          <w:lang w:eastAsia="it-IT"/>
        </w:rPr>
        <w:footnoteReference w:id="235"/>
      </w:r>
      <w:proofErr w:type="gramEnd"/>
      <w:r w:rsidR="007C3266" w:rsidRPr="005B6084">
        <w:rPr>
          <w:rStyle w:val="Titolo2Carattere"/>
          <w:b w:val="0"/>
          <w:sz w:val="24"/>
          <w:u w:val="none"/>
          <w:lang w:eastAsia="it-IT"/>
        </w:rPr>
        <w:t xml:space="preserve"> The Manual does not clarify what probative value this ‘indication’ would have.</w:t>
      </w:r>
    </w:p>
    <w:p w14:paraId="402812C8" w14:textId="77777777" w:rsidR="006E3FC2" w:rsidRPr="005B6084" w:rsidRDefault="006E3FC2" w:rsidP="0015029B">
      <w:pPr>
        <w:pStyle w:val="P"/>
        <w:spacing w:after="120" w:line="360" w:lineRule="exact"/>
        <w:ind w:firstLine="567"/>
        <w:jc w:val="both"/>
      </w:pPr>
      <w:r w:rsidRPr="005B6084">
        <w:rPr>
          <w:lang w:eastAsia="it-IT"/>
        </w:rPr>
        <w:t xml:space="preserve">If control of cyber infrastructure </w:t>
      </w:r>
      <w:r w:rsidR="000E19CF" w:rsidRPr="005B6084">
        <w:rPr>
          <w:lang w:eastAsia="it-IT"/>
        </w:rPr>
        <w:t>is not on its own sufficient to prove</w:t>
      </w:r>
      <w:r w:rsidRPr="005B6084">
        <w:rPr>
          <w:lang w:eastAsia="it-IT"/>
        </w:rPr>
        <w:t xml:space="preserve"> knowledge of the </w:t>
      </w:r>
      <w:r w:rsidR="000E19CF" w:rsidRPr="005B6084">
        <w:rPr>
          <w:lang w:eastAsia="it-IT"/>
        </w:rPr>
        <w:t>cyber operations originating therefrom, and even less</w:t>
      </w:r>
      <w:r w:rsidRPr="005B6084">
        <w:rPr>
          <w:lang w:eastAsia="it-IT"/>
        </w:rPr>
        <w:t xml:space="preserve"> direct attribution, it may however have ‘</w:t>
      </w:r>
      <w:r w:rsidRPr="005B6084">
        <w:t>a bearing upon the methods of proof available to establish the knowledge of that State as to such events’.</w:t>
      </w:r>
      <w:r w:rsidRPr="005B6084">
        <w:rPr>
          <w:rStyle w:val="Rimandonotaapidipagina"/>
        </w:rPr>
        <w:footnoteReference w:id="236"/>
      </w:r>
      <w:r w:rsidR="000E19CF" w:rsidRPr="005B6084">
        <w:t xml:space="preserve"> In particular,</w:t>
      </w:r>
    </w:p>
    <w:p w14:paraId="5C655C92" w14:textId="77777777" w:rsidR="006E3FC2" w:rsidRPr="005B6084" w:rsidRDefault="006E3FC2" w:rsidP="0015029B">
      <w:pPr>
        <w:pStyle w:val="P"/>
        <w:spacing w:after="120" w:line="360" w:lineRule="exact"/>
        <w:ind w:firstLine="567"/>
        <w:jc w:val="both"/>
      </w:pPr>
    </w:p>
    <w:p w14:paraId="379D25AE" w14:textId="77777777" w:rsidR="006E3FC2" w:rsidRPr="005B6084" w:rsidRDefault="006E3FC2" w:rsidP="0015029B">
      <w:pPr>
        <w:pStyle w:val="P"/>
        <w:spacing w:after="120" w:line="240" w:lineRule="auto"/>
        <w:ind w:left="567" w:right="567"/>
        <w:jc w:val="both"/>
        <w:rPr>
          <w:sz w:val="22"/>
          <w:szCs w:val="22"/>
        </w:rPr>
      </w:pPr>
      <w:r w:rsidRPr="005B6084">
        <w:rPr>
          <w:sz w:val="22"/>
          <w:szCs w:val="22"/>
        </w:rPr>
        <w:t xml:space="preserve">[b]y reason of this exclusive control [within its frontiers], the other State, the victim of a breach of international law, is often unable to furnish direct proof of facts giving rise to responsibility. Such a State </w:t>
      </w:r>
      <w:proofErr w:type="gramStart"/>
      <w:r w:rsidRPr="005B6084">
        <w:rPr>
          <w:sz w:val="22"/>
          <w:szCs w:val="22"/>
        </w:rPr>
        <w:t>should be allowed</w:t>
      </w:r>
      <w:proofErr w:type="gramEnd"/>
      <w:r w:rsidRPr="005B6084">
        <w:rPr>
          <w:sz w:val="22"/>
          <w:szCs w:val="22"/>
        </w:rPr>
        <w:t xml:space="preserve"> a </w:t>
      </w:r>
      <w:r w:rsidRPr="005B6084">
        <w:rPr>
          <w:i/>
          <w:sz w:val="22"/>
          <w:szCs w:val="22"/>
        </w:rPr>
        <w:t>more liberal recourse to inferences of fact and circumstantial evidence</w:t>
      </w:r>
      <w:r w:rsidRPr="005B6084">
        <w:rPr>
          <w:sz w:val="22"/>
          <w:szCs w:val="22"/>
        </w:rPr>
        <w:t xml:space="preserve">. This indirect evidence </w:t>
      </w:r>
      <w:proofErr w:type="gramStart"/>
      <w:r w:rsidRPr="005B6084">
        <w:rPr>
          <w:sz w:val="22"/>
          <w:szCs w:val="22"/>
        </w:rPr>
        <w:t>is admitted</w:t>
      </w:r>
      <w:proofErr w:type="gramEnd"/>
      <w:r w:rsidRPr="005B6084">
        <w:rPr>
          <w:sz w:val="22"/>
          <w:szCs w:val="22"/>
        </w:rPr>
        <w:t xml:space="preserve"> in all systems of law, and its use is recognized by international decisions.</w:t>
      </w:r>
      <w:r w:rsidRPr="005B6084">
        <w:rPr>
          <w:rStyle w:val="Rimandonotaapidipagina"/>
          <w:sz w:val="22"/>
          <w:szCs w:val="22"/>
        </w:rPr>
        <w:footnoteReference w:id="237"/>
      </w:r>
    </w:p>
    <w:p w14:paraId="22BB597B" w14:textId="77777777" w:rsidR="006E3FC2" w:rsidRPr="005B6084" w:rsidRDefault="006E3FC2" w:rsidP="0015029B">
      <w:pPr>
        <w:pStyle w:val="P"/>
        <w:spacing w:after="120" w:line="360" w:lineRule="exact"/>
        <w:ind w:firstLine="567"/>
        <w:jc w:val="both"/>
      </w:pPr>
    </w:p>
    <w:p w14:paraId="08649249" w14:textId="7EFB88BC" w:rsidR="006E3FC2" w:rsidRPr="005B6084" w:rsidRDefault="006E3FC2" w:rsidP="009100B8">
      <w:pPr>
        <w:pStyle w:val="P"/>
        <w:spacing w:after="120" w:line="360" w:lineRule="exact"/>
        <w:ind w:firstLine="567"/>
        <w:jc w:val="both"/>
        <w:rPr>
          <w:highlight w:val="yellow"/>
        </w:rPr>
      </w:pPr>
      <w:r w:rsidRPr="005B6084">
        <w:t xml:space="preserve">According to the Court, then, inferences become particularly valuable, and assume a probative value higher than normal, when a litigant is unable to provide direct proof of facts because the evidence is under the exclusive territorial control of the other litigant. </w:t>
      </w:r>
      <w:r w:rsidR="00176D40" w:rsidRPr="005B6084">
        <w:t xml:space="preserve">Such indirect evidence ‘must be regarded as of special weight when it is based </w:t>
      </w:r>
      <w:r w:rsidR="00176D40" w:rsidRPr="005B6084">
        <w:lastRenderedPageBreak/>
        <w:t>on a series of facts linked together and leading logically to a single conclusion’.</w:t>
      </w:r>
      <w:r w:rsidR="00176D40" w:rsidRPr="005B6084">
        <w:rPr>
          <w:rStyle w:val="Rimandonotaapidipagina"/>
        </w:rPr>
        <w:footnoteReference w:id="238"/>
      </w:r>
      <w:r w:rsidR="00176D40" w:rsidRPr="005B6084">
        <w:t xml:space="preserve"> </w:t>
      </w:r>
      <w:r w:rsidRPr="005B6084">
        <w:t xml:space="preserve">The </w:t>
      </w:r>
      <w:r w:rsidR="000E19CF" w:rsidRPr="005B6084">
        <w:t>ICJ</w:t>
      </w:r>
      <w:r w:rsidRPr="005B6084">
        <w:t>, therefore, coupled the exclusive territorial control by Albania with its silence about the mine-laying and other circumstantial evidence, and concluded that Albania had knowledge of the mines.</w:t>
      </w:r>
      <w:r w:rsidRPr="005B6084">
        <w:rPr>
          <w:rStyle w:val="Rimandonotaapidipagina"/>
        </w:rPr>
        <w:footnoteReference w:id="239"/>
      </w:r>
      <w:r w:rsidRPr="005B6084">
        <w:t xml:space="preserve"> </w:t>
      </w:r>
      <w:r w:rsidR="009100B8" w:rsidRPr="005B6084">
        <w:t xml:space="preserve">Transposed to the cyber context, the presence </w:t>
      </w:r>
      <w:r w:rsidR="006E51C1" w:rsidRPr="005B6084">
        <w:t xml:space="preserve">or </w:t>
      </w:r>
      <w:r w:rsidR="00C44F53" w:rsidRPr="005B6084">
        <w:t xml:space="preserve">origination </w:t>
      </w:r>
      <w:r w:rsidR="009100B8" w:rsidRPr="005B6084">
        <w:t xml:space="preserve">of the </w:t>
      </w:r>
      <w:r w:rsidR="006E51C1" w:rsidRPr="005B6084">
        <w:t>hazard</w:t>
      </w:r>
      <w:r w:rsidR="009100B8" w:rsidRPr="005B6084">
        <w:t xml:space="preserve"> </w:t>
      </w:r>
      <w:r w:rsidR="006E51C1" w:rsidRPr="005B6084">
        <w:t>in</w:t>
      </w:r>
      <w:r w:rsidR="009100B8" w:rsidRPr="005B6084">
        <w:t xml:space="preserve"> the cyber infrastructure controlled by a state </w:t>
      </w:r>
      <w:r w:rsidR="000E19CF" w:rsidRPr="005B6084">
        <w:t>does not per se demonstrate knowledge</w:t>
      </w:r>
      <w:r w:rsidR="006E51C1" w:rsidRPr="005B6084">
        <w:t xml:space="preserve"> by that state</w:t>
      </w:r>
      <w:r w:rsidR="000E19CF" w:rsidRPr="005B6084">
        <w:t xml:space="preserve">, but may </w:t>
      </w:r>
      <w:r w:rsidR="00176D40" w:rsidRPr="005B6084">
        <w:t xml:space="preserve">contribute to </w:t>
      </w:r>
      <w:r w:rsidR="00C44F53" w:rsidRPr="005B6084">
        <w:t xml:space="preserve">such a finding </w:t>
      </w:r>
      <w:r w:rsidR="000E19CF" w:rsidRPr="005B6084">
        <w:t xml:space="preserve">if it is accompanied by other circumstantial evidence </w:t>
      </w:r>
      <w:r w:rsidR="00176D40" w:rsidRPr="005B6084">
        <w:t>pointing in that direction.</w:t>
      </w:r>
      <w:r w:rsidR="00CF5EAF" w:rsidRPr="005B6084">
        <w:t xml:space="preserve"> </w:t>
      </w:r>
      <w:r w:rsidR="00C44F53" w:rsidRPr="005B6084">
        <w:rPr>
          <w:i/>
        </w:rPr>
        <w:t>In Corfu Channel</w:t>
      </w:r>
      <w:r w:rsidR="00C44F53" w:rsidRPr="005B6084">
        <w:t>, t</w:t>
      </w:r>
      <w:r w:rsidRPr="005B6084">
        <w:t>he Court</w:t>
      </w:r>
      <w:r w:rsidR="007C3266" w:rsidRPr="005B6084">
        <w:t>, however,</w:t>
      </w:r>
      <w:r w:rsidRPr="005B6084">
        <w:t xml:space="preserve"> specified</w:t>
      </w:r>
      <w:r w:rsidR="007C3266" w:rsidRPr="005B6084">
        <w:t xml:space="preserve"> </w:t>
      </w:r>
      <w:r w:rsidRPr="005B6084">
        <w:t xml:space="preserve">that, when proof is based on inferences, </w:t>
      </w:r>
      <w:r w:rsidR="006E51C1" w:rsidRPr="005B6084">
        <w:t>these</w:t>
      </w:r>
      <w:r w:rsidRPr="005B6084">
        <w:t xml:space="preserve"> must ‘leave </w:t>
      </w:r>
      <w:r w:rsidRPr="005B6084">
        <w:rPr>
          <w:i/>
        </w:rPr>
        <w:t>no room</w:t>
      </w:r>
      <w:r w:rsidRPr="005B6084">
        <w:t xml:space="preserve"> for reasonable doubt’.</w:t>
      </w:r>
      <w:r w:rsidRPr="005B6084">
        <w:rPr>
          <w:rStyle w:val="Rimandonotaapidipagina"/>
        </w:rPr>
        <w:footnoteReference w:id="240"/>
      </w:r>
      <w:r w:rsidRPr="005B6084">
        <w:t xml:space="preserve"> In the </w:t>
      </w:r>
      <w:r w:rsidRPr="005B6084">
        <w:rPr>
          <w:i/>
        </w:rPr>
        <w:t>Bosnia</w:t>
      </w:r>
      <w:r w:rsidR="000E19CF" w:rsidRPr="005B6084">
        <w:rPr>
          <w:i/>
        </w:rPr>
        <w:t>n</w:t>
      </w:r>
      <w:r w:rsidRPr="005B6084">
        <w:rPr>
          <w:i/>
        </w:rPr>
        <w:t xml:space="preserve"> Genocide</w:t>
      </w:r>
      <w:r w:rsidRPr="005B6084">
        <w:t xml:space="preserve"> case, the Court confirmed that</w:t>
      </w:r>
      <w:r w:rsidR="00C44F53" w:rsidRPr="005B6084">
        <w:t xml:space="preserve"> in demonstrating genocidal intent</w:t>
      </w:r>
      <w:r w:rsidRPr="005B6084">
        <w:t xml:space="preserve"> ‘for a pattern of conduct to be accepted as evidence of its existence, it would have to be such that it could only point to the existence of such intent’.</w:t>
      </w:r>
      <w:r w:rsidRPr="005B6084">
        <w:rPr>
          <w:rStyle w:val="Rimandonotaapidipagina"/>
        </w:rPr>
        <w:footnoteReference w:id="241"/>
      </w:r>
      <w:r w:rsidRPr="005B6084">
        <w:t xml:space="preserve"> </w:t>
      </w:r>
      <w:r w:rsidR="008A39C2" w:rsidRPr="005B6084">
        <w:t>In any case, ‘no inference can be drawn which is inconsistent with facts incontrovertib</w:t>
      </w:r>
      <w:r w:rsidR="000E19CF" w:rsidRPr="005B6084">
        <w:t>ly established by the evidence’.</w:t>
      </w:r>
      <w:r w:rsidR="000E19CF" w:rsidRPr="005B6084">
        <w:rPr>
          <w:rStyle w:val="Rimandonotaapidipagina"/>
        </w:rPr>
        <w:footnoteReference w:id="242"/>
      </w:r>
    </w:p>
    <w:p w14:paraId="154CC2C1" w14:textId="7E7C5AB1" w:rsidR="006E3FC2" w:rsidRPr="005B6084" w:rsidRDefault="006E3FC2" w:rsidP="00764AED">
      <w:pPr>
        <w:autoSpaceDE w:val="0"/>
        <w:autoSpaceDN w:val="0"/>
        <w:adjustRightInd w:val="0"/>
        <w:spacing w:after="120" w:line="360" w:lineRule="exact"/>
        <w:ind w:firstLine="567"/>
        <w:jc w:val="both"/>
        <w:rPr>
          <w:rFonts w:ascii="Times New Roman" w:hAnsi="Times New Roman"/>
          <w:sz w:val="24"/>
          <w:szCs w:val="24"/>
          <w:lang w:val="en-US"/>
        </w:rPr>
      </w:pPr>
      <w:r w:rsidRPr="005B6084">
        <w:rPr>
          <w:rFonts w:ascii="Times New Roman" w:hAnsi="Times New Roman"/>
          <w:sz w:val="24"/>
          <w:szCs w:val="24"/>
        </w:rPr>
        <w:t xml:space="preserve">Of course, </w:t>
      </w:r>
      <w:r w:rsidRPr="005B6084">
        <w:rPr>
          <w:rFonts w:ascii="Times New Roman" w:hAnsi="Times New Roman"/>
          <w:sz w:val="24"/>
          <w:szCs w:val="24"/>
          <w:lang w:val="en-US"/>
        </w:rPr>
        <w:t xml:space="preserve">the Court will first have to determine whether the party has ‘exclusive territorial control’ of the </w:t>
      </w:r>
      <w:r w:rsidR="00434479" w:rsidRPr="005B6084">
        <w:rPr>
          <w:rFonts w:ascii="Times New Roman" w:hAnsi="Times New Roman"/>
          <w:sz w:val="24"/>
          <w:szCs w:val="24"/>
          <w:lang w:val="en-US"/>
        </w:rPr>
        <w:t xml:space="preserve">cyber infrastructure from which the cyber operations originated </w:t>
      </w:r>
      <w:r w:rsidR="0014747A" w:rsidRPr="005B6084">
        <w:rPr>
          <w:rFonts w:ascii="Times New Roman" w:hAnsi="Times New Roman"/>
          <w:sz w:val="24"/>
          <w:szCs w:val="24"/>
          <w:lang w:val="en-US"/>
        </w:rPr>
        <w:t xml:space="preserve">(and, therefore, potentially of the evidence of who was responsible for them) </w:t>
      </w:r>
      <w:r w:rsidRPr="005B6084">
        <w:rPr>
          <w:rFonts w:ascii="Times New Roman" w:hAnsi="Times New Roman"/>
          <w:sz w:val="24"/>
          <w:szCs w:val="24"/>
          <w:lang w:val="en-US"/>
        </w:rPr>
        <w:t>before allowing the more ‘liberal’ recourse to inferences</w:t>
      </w:r>
      <w:r w:rsidR="00C44F53" w:rsidRPr="005B6084">
        <w:rPr>
          <w:rFonts w:ascii="Times New Roman" w:hAnsi="Times New Roman"/>
          <w:sz w:val="24"/>
          <w:szCs w:val="24"/>
          <w:lang w:val="en-US"/>
        </w:rPr>
        <w:t xml:space="preserve">. This may cause </w:t>
      </w:r>
      <w:r w:rsidRPr="005B6084">
        <w:rPr>
          <w:rFonts w:ascii="Times New Roman" w:hAnsi="Times New Roman"/>
          <w:sz w:val="24"/>
          <w:szCs w:val="24"/>
          <w:lang w:val="en-US"/>
        </w:rPr>
        <w:t>particular difficult</w:t>
      </w:r>
      <w:r w:rsidR="00C44F53" w:rsidRPr="005B6084">
        <w:rPr>
          <w:rFonts w:ascii="Times New Roman" w:hAnsi="Times New Roman"/>
          <w:sz w:val="24"/>
          <w:szCs w:val="24"/>
          <w:lang w:val="en-US"/>
        </w:rPr>
        <w:t>ies</w:t>
      </w:r>
      <w:r w:rsidRPr="005B6084">
        <w:rPr>
          <w:rFonts w:ascii="Times New Roman" w:hAnsi="Times New Roman"/>
          <w:sz w:val="24"/>
          <w:szCs w:val="24"/>
          <w:lang w:val="en-US"/>
        </w:rPr>
        <w:t xml:space="preserve"> in case of armed conflict: in the </w:t>
      </w:r>
      <w:r w:rsidRPr="005B6084">
        <w:rPr>
          <w:rFonts w:ascii="Times New Roman" w:hAnsi="Times New Roman"/>
          <w:i/>
          <w:sz w:val="24"/>
          <w:szCs w:val="24"/>
          <w:lang w:val="en-US"/>
        </w:rPr>
        <w:t>DRC v</w:t>
      </w:r>
      <w:r w:rsidR="00A047B2" w:rsidRPr="005B6084">
        <w:rPr>
          <w:rFonts w:ascii="Times New Roman" w:hAnsi="Times New Roman"/>
          <w:i/>
          <w:sz w:val="24"/>
          <w:szCs w:val="24"/>
          <w:lang w:val="en-US"/>
        </w:rPr>
        <w:t>.</w:t>
      </w:r>
      <w:r w:rsidRPr="005B6084">
        <w:rPr>
          <w:rFonts w:ascii="Times New Roman" w:hAnsi="Times New Roman"/>
          <w:i/>
          <w:sz w:val="24"/>
          <w:szCs w:val="24"/>
          <w:lang w:val="en-US"/>
        </w:rPr>
        <w:t xml:space="preserve"> Uganda</w:t>
      </w:r>
      <w:r w:rsidRPr="005B6084">
        <w:rPr>
          <w:rFonts w:ascii="Times New Roman" w:hAnsi="Times New Roman"/>
          <w:sz w:val="24"/>
          <w:szCs w:val="24"/>
          <w:lang w:val="en-US"/>
        </w:rPr>
        <w:t xml:space="preserve"> case, for instance, </w:t>
      </w:r>
      <w:r w:rsidR="00C44F53" w:rsidRPr="005B6084">
        <w:rPr>
          <w:rFonts w:ascii="Times New Roman" w:hAnsi="Times New Roman"/>
          <w:sz w:val="24"/>
          <w:szCs w:val="24"/>
          <w:lang w:val="en-US"/>
        </w:rPr>
        <w:t xml:space="preserve">whether Uganda had had </w:t>
      </w:r>
      <w:r w:rsidRPr="005B6084">
        <w:rPr>
          <w:rFonts w:ascii="Times New Roman" w:hAnsi="Times New Roman"/>
          <w:sz w:val="24"/>
          <w:szCs w:val="24"/>
          <w:lang w:val="en-US"/>
        </w:rPr>
        <w:t xml:space="preserve">control over Congolese territory was </w:t>
      </w:r>
      <w:r w:rsidR="00C44F53" w:rsidRPr="005B6084">
        <w:rPr>
          <w:rFonts w:ascii="Times New Roman" w:hAnsi="Times New Roman"/>
          <w:sz w:val="24"/>
          <w:szCs w:val="24"/>
          <w:lang w:val="en-US"/>
        </w:rPr>
        <w:t xml:space="preserve">one of the issues in </w:t>
      </w:r>
      <w:r w:rsidRPr="005B6084">
        <w:rPr>
          <w:rFonts w:ascii="Times New Roman" w:hAnsi="Times New Roman"/>
          <w:sz w:val="24"/>
          <w:szCs w:val="24"/>
          <w:lang w:val="en-US"/>
        </w:rPr>
        <w:t>dispute.</w:t>
      </w:r>
      <w:r w:rsidRPr="005B6084">
        <w:rPr>
          <w:rStyle w:val="Rimandonotaapidipagina"/>
          <w:rFonts w:ascii="Times New Roman" w:hAnsi="Times New Roman"/>
          <w:sz w:val="24"/>
          <w:szCs w:val="24"/>
          <w:lang w:val="en-US"/>
        </w:rPr>
        <w:footnoteReference w:id="243"/>
      </w:r>
      <w:r w:rsidRPr="005B6084">
        <w:rPr>
          <w:rFonts w:ascii="Times New Roman" w:hAnsi="Times New Roman"/>
          <w:sz w:val="24"/>
          <w:szCs w:val="24"/>
          <w:lang w:val="en-US"/>
        </w:rPr>
        <w:t xml:space="preserve"> In the cyber context, determining whether a litigant has ‘territorial control’ of the cyber infrastructure and whether such control is ‘exclusive’ may be equally difficult to establish and is linked to the ongoing debate on the states’ creeping jurisdiction over the internet and cyberspace in general.</w:t>
      </w:r>
      <w:r w:rsidR="006C2B53" w:rsidRPr="005B6084">
        <w:rPr>
          <w:rStyle w:val="Rimandonotaapidipagina"/>
          <w:rFonts w:ascii="Times New Roman" w:hAnsi="Times New Roman"/>
          <w:sz w:val="24"/>
          <w:szCs w:val="24"/>
          <w:lang w:val="en-US"/>
        </w:rPr>
        <w:footnoteReference w:id="244"/>
      </w:r>
      <w:r w:rsidRPr="005B6084">
        <w:rPr>
          <w:rFonts w:ascii="Times New Roman" w:hAnsi="Times New Roman"/>
          <w:sz w:val="24"/>
          <w:szCs w:val="24"/>
          <w:lang w:val="en-US"/>
        </w:rPr>
        <w:t xml:space="preserve"> In this context, it </w:t>
      </w:r>
      <w:proofErr w:type="gramStart"/>
      <w:r w:rsidRPr="005B6084">
        <w:rPr>
          <w:rFonts w:ascii="Times New Roman" w:hAnsi="Times New Roman"/>
          <w:sz w:val="24"/>
          <w:szCs w:val="24"/>
          <w:lang w:val="en-US"/>
        </w:rPr>
        <w:t>should be recalled</w:t>
      </w:r>
      <w:proofErr w:type="gramEnd"/>
      <w:r w:rsidRPr="005B6084">
        <w:rPr>
          <w:rFonts w:ascii="Times New Roman" w:hAnsi="Times New Roman"/>
          <w:sz w:val="24"/>
          <w:szCs w:val="24"/>
          <w:lang w:val="en-US"/>
        </w:rPr>
        <w:t xml:space="preserve"> that Rule 1 of </w:t>
      </w:r>
      <w:r w:rsidRPr="005B6084">
        <w:rPr>
          <w:rFonts w:ascii="Times New Roman" w:hAnsi="Times New Roman"/>
          <w:sz w:val="24"/>
          <w:szCs w:val="24"/>
          <w:lang w:val="en-US"/>
        </w:rPr>
        <w:lastRenderedPageBreak/>
        <w:t xml:space="preserve">the Tallinn Manual </w:t>
      </w:r>
      <w:r w:rsidR="006C2B53" w:rsidRPr="005B6084">
        <w:rPr>
          <w:rFonts w:ascii="Times New Roman" w:hAnsi="Times New Roman"/>
          <w:sz w:val="24"/>
          <w:szCs w:val="24"/>
          <w:lang w:val="en-US"/>
        </w:rPr>
        <w:t>accepts</w:t>
      </w:r>
      <w:r w:rsidRPr="005B6084">
        <w:rPr>
          <w:rFonts w:ascii="Times New Roman" w:hAnsi="Times New Roman"/>
          <w:sz w:val="24"/>
          <w:szCs w:val="24"/>
          <w:lang w:val="en-US"/>
        </w:rPr>
        <w:t xml:space="preserve"> that ‘[a]</w:t>
      </w:r>
      <w:r w:rsidRPr="005B6084">
        <w:rPr>
          <w:rFonts w:ascii="Times New Roman" w:hAnsi="Times New Roman"/>
          <w:sz w:val="24"/>
          <w:szCs w:val="24"/>
        </w:rPr>
        <w:t xml:space="preserve"> State may exercise control over cyber infrastructure and activities within its sovereign territory’.</w:t>
      </w:r>
      <w:r w:rsidRPr="005B6084">
        <w:rPr>
          <w:rStyle w:val="Rimandonotaapidipagina"/>
          <w:rFonts w:ascii="Times New Roman" w:hAnsi="Times New Roman"/>
          <w:sz w:val="24"/>
          <w:szCs w:val="24"/>
        </w:rPr>
        <w:footnoteReference w:id="245"/>
      </w:r>
    </w:p>
    <w:p w14:paraId="3CD81D7C" w14:textId="651B5DA8" w:rsidR="006E3FC2" w:rsidRPr="005B6084" w:rsidRDefault="006E3FC2" w:rsidP="001F4EE1">
      <w:pPr>
        <w:pStyle w:val="P"/>
        <w:spacing w:after="120" w:line="360" w:lineRule="exact"/>
        <w:ind w:firstLine="567"/>
        <w:jc w:val="both"/>
      </w:pPr>
      <w:r w:rsidRPr="005B6084">
        <w:t xml:space="preserve">It </w:t>
      </w:r>
      <w:proofErr w:type="gramStart"/>
      <w:r w:rsidRPr="005B6084">
        <w:t>should also be noted</w:t>
      </w:r>
      <w:proofErr w:type="gramEnd"/>
      <w:r w:rsidRPr="005B6084">
        <w:t xml:space="preserve"> that the ICJ has not always allowed the ‘more liberal recourse to inferences of fact and circumstantial evidence’ in cases of exclusive territorial control. In the </w:t>
      </w:r>
      <w:r w:rsidRPr="005B6084">
        <w:rPr>
          <w:i/>
        </w:rPr>
        <w:t>Bosnian Genocide</w:t>
      </w:r>
      <w:r w:rsidRPr="005B6084">
        <w:t xml:space="preserve"> case, Bosnia and Herzegovina argued that, because of Serbia and Montenegro’s geographical situation, the standard of proof should be </w:t>
      </w:r>
      <w:r w:rsidR="006B6D5A" w:rsidRPr="005B6084">
        <w:t xml:space="preserve">lower </w:t>
      </w:r>
      <w:r w:rsidRPr="005B6084">
        <w:t>and that the respondent ‘had a special duty of diligence in preventing genocide and the proof of its lack of diligence can be inferred from fact and circumstantial evidence’.</w:t>
      </w:r>
      <w:r w:rsidRPr="005B6084">
        <w:rPr>
          <w:rStyle w:val="Rimandonotaapidipagina"/>
        </w:rPr>
        <w:footnoteReference w:id="246"/>
      </w:r>
      <w:r w:rsidRPr="005B6084">
        <w:t xml:space="preserve"> The Court rejected this reasoning and established Serbia and Montenegro’s responsibility for </w:t>
      </w:r>
      <w:r w:rsidR="006B6D5A" w:rsidRPr="005B6084">
        <w:t xml:space="preserve">failure to </w:t>
      </w:r>
      <w:r w:rsidRPr="005B6084">
        <w:t xml:space="preserve">prevent genocide not </w:t>
      </w:r>
      <w:proofErr w:type="gramStart"/>
      <w:r w:rsidRPr="005B6084">
        <w:t>on the basis of</w:t>
      </w:r>
      <w:proofErr w:type="gramEnd"/>
      <w:r w:rsidRPr="005B6084">
        <w:t xml:space="preserve"> inferences but on documentary evidence and ICTY testimony.</w:t>
      </w:r>
      <w:r w:rsidRPr="005B6084">
        <w:rPr>
          <w:rStyle w:val="Rimandonotaapidipagina"/>
        </w:rPr>
        <w:footnoteReference w:id="247"/>
      </w:r>
    </w:p>
    <w:p w14:paraId="49F000CD" w14:textId="77777777" w:rsidR="00BA309B" w:rsidRPr="005B6084" w:rsidRDefault="006E3FC2" w:rsidP="00BA309B">
      <w:pPr>
        <w:pStyle w:val="P"/>
        <w:spacing w:after="120" w:line="360" w:lineRule="exact"/>
        <w:ind w:firstLine="567"/>
        <w:jc w:val="both"/>
      </w:pPr>
      <w:r w:rsidRPr="005B6084">
        <w:t xml:space="preserve">Does refusal to disclose evidence allow negative inferences? </w:t>
      </w:r>
      <w:proofErr w:type="gramStart"/>
      <w:r w:rsidRPr="005B6084">
        <w:t>Article 38 of the Rules of Procedure of the Inter-American Commission on Human Rights provide</w:t>
      </w:r>
      <w:r w:rsidR="007C3266" w:rsidRPr="005B6084">
        <w:t>s</w:t>
      </w:r>
      <w:r w:rsidRPr="005B6084">
        <w:t xml:space="preserve"> that the facts alleged in the petition ‘shall be presumed to be true if the State has not provided responsive information during the period set by the Commission under the provisions of Article 37 of these Rules of Procedure, as long as other evidence does not lead to a different conclusion’.</w:t>
      </w:r>
      <w:r w:rsidRPr="005B6084">
        <w:rPr>
          <w:rStyle w:val="Rimandonotaapidipagina"/>
        </w:rPr>
        <w:footnoteReference w:id="248"/>
      </w:r>
      <w:proofErr w:type="gramEnd"/>
      <w:r w:rsidRPr="005B6084">
        <w:t xml:space="preserve"> This is due to the different nature of human rights tribunals, where one of the parties is an individual and the other is a government, while disputes before the ICJ are between sovereign states. According to Article 49 of its Statute, the ICJ </w:t>
      </w:r>
      <w:r w:rsidR="001A7A3E" w:rsidRPr="005B6084">
        <w:t>may</w:t>
      </w:r>
      <w:r w:rsidRPr="005B6084">
        <w:t xml:space="preserve"> only take ‘formal note’ of the refusal to disclose evidence: this provision authorizes the Court to draw inferences but does not create a presumption of law.</w:t>
      </w:r>
      <w:r w:rsidRPr="005B6084">
        <w:rPr>
          <w:rStyle w:val="Rimandonotaapidipagina"/>
        </w:rPr>
        <w:footnoteReference w:id="249"/>
      </w:r>
      <w:r w:rsidRPr="005B6084">
        <w:t xml:space="preserve"> In any case, as has already been seen, in the </w:t>
      </w:r>
      <w:r w:rsidRPr="005B6084">
        <w:rPr>
          <w:i/>
        </w:rPr>
        <w:t>Corfu Channel</w:t>
      </w:r>
      <w:r w:rsidRPr="005B6084">
        <w:t xml:space="preserve"> and the </w:t>
      </w:r>
      <w:r w:rsidRPr="005B6084">
        <w:rPr>
          <w:i/>
        </w:rPr>
        <w:t>Bosnian Genocide</w:t>
      </w:r>
      <w:r w:rsidRPr="005B6084">
        <w:t xml:space="preserve"> cases the Court </w:t>
      </w:r>
      <w:r w:rsidR="00D429A9" w:rsidRPr="005B6084">
        <w:t>declined</w:t>
      </w:r>
      <w:r w:rsidRPr="005B6084">
        <w:t xml:space="preserve"> to draw any inferences from refusal to produce evidence</w:t>
      </w:r>
      <w:r w:rsidR="00D429A9" w:rsidRPr="005B6084">
        <w:t xml:space="preserve">, in the former case because there </w:t>
      </w:r>
      <w:r w:rsidR="001A7A3E" w:rsidRPr="005B6084">
        <w:t xml:space="preserve">was </w:t>
      </w:r>
      <w:r w:rsidR="00D429A9" w:rsidRPr="005B6084">
        <w:t>a series of facts contrary to the inference sought.</w:t>
      </w:r>
      <w:r w:rsidRPr="005B6084">
        <w:t xml:space="preserve"> Of course, if the litigant decides not to produce certain evidence, it will bear the risk that the facts it claims </w:t>
      </w:r>
      <w:proofErr w:type="gramStart"/>
      <w:r w:rsidRPr="005B6084">
        <w:t>will not be considered</w:t>
      </w:r>
      <w:proofErr w:type="gramEnd"/>
      <w:r w:rsidRPr="005B6084">
        <w:t xml:space="preserve"> sufficiently proved.</w:t>
      </w:r>
    </w:p>
    <w:p w14:paraId="3158FE18" w14:textId="77777777" w:rsidR="006E3FC2" w:rsidRPr="005B6084" w:rsidRDefault="006E3FC2" w:rsidP="00CC35CE">
      <w:pPr>
        <w:spacing w:after="120" w:line="360" w:lineRule="exact"/>
        <w:jc w:val="both"/>
        <w:rPr>
          <w:rFonts w:ascii="Times New Roman" w:hAnsi="Times New Roman"/>
          <w:sz w:val="24"/>
          <w:szCs w:val="24"/>
          <w:lang w:val="en-US" w:eastAsia="it-IT"/>
        </w:rPr>
      </w:pPr>
    </w:p>
    <w:p w14:paraId="3E18B32A" w14:textId="77777777" w:rsidR="006E3FC2" w:rsidRPr="005B6084" w:rsidRDefault="006E3FC2" w:rsidP="00DD561A">
      <w:pPr>
        <w:pStyle w:val="P"/>
        <w:spacing w:after="120" w:line="360" w:lineRule="exact"/>
        <w:jc w:val="both"/>
        <w:outlineLvl w:val="0"/>
        <w:rPr>
          <w:b/>
        </w:rPr>
      </w:pPr>
      <w:r w:rsidRPr="005B6084">
        <w:rPr>
          <w:b/>
        </w:rPr>
        <w:t>7. Inadmissible evidence</w:t>
      </w:r>
    </w:p>
    <w:p w14:paraId="549E20EE" w14:textId="77777777" w:rsidR="006E3FC2" w:rsidRPr="005B6084" w:rsidRDefault="006E3FC2" w:rsidP="00B922A6">
      <w:pPr>
        <w:pStyle w:val="P"/>
        <w:spacing w:after="120" w:line="360" w:lineRule="exact"/>
        <w:jc w:val="both"/>
        <w:rPr>
          <w:b/>
        </w:rPr>
      </w:pPr>
    </w:p>
    <w:p w14:paraId="51624006" w14:textId="05868322" w:rsidR="006E3FC2" w:rsidRPr="005B6084" w:rsidRDefault="006E3FC2" w:rsidP="00971AF8">
      <w:pPr>
        <w:pStyle w:val="P"/>
        <w:spacing w:after="120" w:line="360" w:lineRule="exact"/>
        <w:jc w:val="both"/>
      </w:pPr>
      <w:r w:rsidRPr="005B6084">
        <w:lastRenderedPageBreak/>
        <w:t>There are no express rules on the admissibility of evidence in the ICJ Statute. Therefore, ‘[t]he general practice of the Court has been to admit contested documents and testimony, subject to the reservation that the Court will itself be the judge of the weight to be accorded to it’.</w:t>
      </w:r>
      <w:r w:rsidRPr="005B6084">
        <w:rPr>
          <w:rStyle w:val="Rimandonotaapidipagina"/>
        </w:rPr>
        <w:footnoteReference w:id="250"/>
      </w:r>
      <w:r w:rsidRPr="005B6084">
        <w:t xml:space="preserve"> </w:t>
      </w:r>
      <w:r w:rsidR="000E516F" w:rsidRPr="005B6084">
        <w:t>E</w:t>
      </w:r>
      <w:r w:rsidRPr="005B6084">
        <w:t>vidence</w:t>
      </w:r>
      <w:r w:rsidR="006E51C1" w:rsidRPr="005B6084">
        <w:t xml:space="preserve"> </w:t>
      </w:r>
      <w:r w:rsidRPr="005B6084">
        <w:t>may</w:t>
      </w:r>
      <w:r w:rsidR="006B6D5A" w:rsidRPr="005B6084">
        <w:t xml:space="preserve">, however, </w:t>
      </w:r>
      <w:r w:rsidRPr="005B6084">
        <w:t>be declared inadmissible because it has been produced too late or not in the prescribed form.</w:t>
      </w:r>
      <w:r w:rsidR="00DF234D" w:rsidRPr="005B6084">
        <w:rPr>
          <w:rStyle w:val="Rimandonotaapidipagina"/>
        </w:rPr>
        <w:footnoteReference w:id="251"/>
      </w:r>
      <w:r w:rsidRPr="005B6084">
        <w:t xml:space="preserve"> </w:t>
      </w:r>
      <w:proofErr w:type="gramStart"/>
      <w:r w:rsidRPr="005B6084">
        <w:t xml:space="preserve">Another </w:t>
      </w:r>
      <w:r w:rsidR="000E516F" w:rsidRPr="005B6084">
        <w:t>example of inadmissible evidence</w:t>
      </w:r>
      <w:r w:rsidRPr="005B6084">
        <w:t xml:space="preserve"> </w:t>
      </w:r>
      <w:r w:rsidR="006B6D5A" w:rsidRPr="005B6084">
        <w:t xml:space="preserve">is provided </w:t>
      </w:r>
      <w:r w:rsidRPr="005B6084">
        <w:t xml:space="preserve">by the </w:t>
      </w:r>
      <w:r w:rsidR="006B6D5A" w:rsidRPr="005B6084">
        <w:t xml:space="preserve">decision of the </w:t>
      </w:r>
      <w:r w:rsidR="0020595D" w:rsidRPr="005B6084">
        <w:t>Permanent Court of International Justice (</w:t>
      </w:r>
      <w:r w:rsidR="000E516F" w:rsidRPr="005B6084">
        <w:t>PCIJ</w:t>
      </w:r>
      <w:r w:rsidR="0020595D" w:rsidRPr="005B6084">
        <w:t>)</w:t>
      </w:r>
      <w:r w:rsidRPr="005B6084">
        <w:t xml:space="preserve"> in the </w:t>
      </w:r>
      <w:r w:rsidRPr="005B6084">
        <w:rPr>
          <w:i/>
        </w:rPr>
        <w:t xml:space="preserve">Factory at </w:t>
      </w:r>
      <w:proofErr w:type="spellStart"/>
      <w:r w:rsidRPr="005B6084">
        <w:rPr>
          <w:i/>
        </w:rPr>
        <w:t>Chórzow</w:t>
      </w:r>
      <w:proofErr w:type="spellEnd"/>
      <w:r w:rsidRPr="005B6084">
        <w:t xml:space="preserve"> case, where the ICJ’s predecessor held that it ‘cannot take account of declarations, admissions or proposals which the parties may have made in the course of direct negotiations when the negotiations in questions have not led to an agreement between the parties’.</w:t>
      </w:r>
      <w:r w:rsidRPr="005B6084">
        <w:rPr>
          <w:rStyle w:val="Rimandonotaapidipagina"/>
        </w:rPr>
        <w:footnoteReference w:id="252"/>
      </w:r>
      <w:proofErr w:type="gramEnd"/>
      <w:r w:rsidRPr="005B6084">
        <w:t xml:space="preserve"> </w:t>
      </w:r>
      <w:r w:rsidR="006B6D5A" w:rsidRPr="005B6084">
        <w:t xml:space="preserve">The underlying reason for the inadmissibility of such material </w:t>
      </w:r>
      <w:r w:rsidRPr="005B6084">
        <w:t xml:space="preserve">is to facilitate the diplomatic settlement of international disputes through negotiations, so that the negotiating parties do not have to fear that what they say in the negotiating context </w:t>
      </w:r>
      <w:proofErr w:type="gramStart"/>
      <w:r w:rsidRPr="005B6084">
        <w:t>may be used</w:t>
      </w:r>
      <w:proofErr w:type="gramEnd"/>
      <w:r w:rsidRPr="005B6084">
        <w:t xml:space="preserve"> against them in subsequent judicial proceedings.</w:t>
      </w:r>
      <w:r w:rsidRPr="005B6084">
        <w:rPr>
          <w:rStyle w:val="Rimandonotaapidipagina"/>
        </w:rPr>
        <w:footnoteReference w:id="253"/>
      </w:r>
    </w:p>
    <w:p w14:paraId="413EFFCB" w14:textId="6C52A4B8" w:rsidR="006E3FC2" w:rsidRPr="005B6084" w:rsidRDefault="006E3FC2" w:rsidP="00D471A0">
      <w:pPr>
        <w:pStyle w:val="Default"/>
        <w:spacing w:after="120" w:line="360" w:lineRule="exact"/>
        <w:ind w:firstLine="567"/>
        <w:jc w:val="both"/>
        <w:rPr>
          <w:rFonts w:ascii="Times New Roman" w:hAnsi="Times New Roman" w:cs="Times New Roman"/>
          <w:color w:val="auto"/>
        </w:rPr>
      </w:pPr>
      <w:proofErr w:type="gramStart"/>
      <w:r w:rsidRPr="005B6084">
        <w:rPr>
          <w:rFonts w:ascii="Times New Roman" w:hAnsi="Times New Roman" w:cs="Times New Roman"/>
          <w:color w:val="auto"/>
          <w:lang w:val="en-US"/>
        </w:rPr>
        <w:t>Is evidence obtained</w:t>
      </w:r>
      <w:proofErr w:type="gramEnd"/>
      <w:r w:rsidRPr="005B6084">
        <w:rPr>
          <w:rFonts w:ascii="Times New Roman" w:hAnsi="Times New Roman" w:cs="Times New Roman"/>
          <w:color w:val="auto"/>
          <w:lang w:val="en-US"/>
        </w:rPr>
        <w:t xml:space="preserve"> through a violation of international law also inadmissible? T</w:t>
      </w:r>
      <w:proofErr w:type="spellStart"/>
      <w:r w:rsidRPr="005B6084">
        <w:rPr>
          <w:rFonts w:ascii="Times New Roman" w:hAnsi="Times New Roman" w:cs="Times New Roman"/>
          <w:color w:val="auto"/>
        </w:rPr>
        <w:t>raditional</w:t>
      </w:r>
      <w:proofErr w:type="spellEnd"/>
      <w:r w:rsidRPr="005B6084">
        <w:rPr>
          <w:rFonts w:ascii="Times New Roman" w:hAnsi="Times New Roman" w:cs="Times New Roman"/>
          <w:color w:val="auto"/>
        </w:rPr>
        <w:t xml:space="preserve"> espionage and cyber exploitation, used in support of </w:t>
      </w:r>
      <w:proofErr w:type="spellStart"/>
      <w:r w:rsidRPr="005B6084">
        <w:rPr>
          <w:rFonts w:ascii="Times New Roman" w:hAnsi="Times New Roman" w:cs="Times New Roman"/>
          <w:color w:val="auto"/>
        </w:rPr>
        <w:t>traceback</w:t>
      </w:r>
      <w:proofErr w:type="spellEnd"/>
      <w:r w:rsidRPr="005B6084">
        <w:rPr>
          <w:rFonts w:ascii="Times New Roman" w:hAnsi="Times New Roman" w:cs="Times New Roman"/>
          <w:color w:val="auto"/>
        </w:rPr>
        <w:t xml:space="preserve"> technical tools, may be a helpful instrument to establish proof of state responsibility for cyber operations.</w:t>
      </w:r>
      <w:r w:rsidRPr="005B6084">
        <w:rPr>
          <w:rFonts w:ascii="Times New Roman" w:hAnsi="Times New Roman" w:cs="Times New Roman"/>
          <w:color w:val="auto"/>
          <w:vertAlign w:val="superscript"/>
        </w:rPr>
        <w:footnoteReference w:id="254"/>
      </w:r>
      <w:r w:rsidRPr="005B6084">
        <w:rPr>
          <w:rFonts w:ascii="Times New Roman" w:hAnsi="Times New Roman" w:cs="Times New Roman"/>
          <w:color w:val="auto"/>
        </w:rPr>
        <w:t xml:space="preserve"> India has noted that ‘[c]</w:t>
      </w:r>
      <w:proofErr w:type="spellStart"/>
      <w:r w:rsidRPr="005B6084">
        <w:rPr>
          <w:rFonts w:ascii="Times New Roman" w:hAnsi="Times New Roman" w:cs="Times New Roman"/>
          <w:color w:val="auto"/>
        </w:rPr>
        <w:t>yber</w:t>
      </w:r>
      <w:proofErr w:type="spellEnd"/>
      <w:r w:rsidRPr="005B6084">
        <w:rPr>
          <w:rFonts w:ascii="Times New Roman" w:hAnsi="Times New Roman" w:cs="Times New Roman"/>
          <w:color w:val="auto"/>
        </w:rPr>
        <w:t xml:space="preserve"> security intelligence forms an integral component of security of cyber space in order to be able to anticipate attacks, adopt suitable counter measures and attribute the attacks for possible counter action’.</w:t>
      </w:r>
      <w:r w:rsidRPr="005B6084">
        <w:rPr>
          <w:rStyle w:val="Rimandonotaapidipagina"/>
          <w:rFonts w:ascii="Times New Roman" w:hAnsi="Times New Roman"/>
          <w:color w:val="auto"/>
        </w:rPr>
        <w:footnoteReference w:id="255"/>
      </w:r>
      <w:r w:rsidRPr="005B6084">
        <w:rPr>
          <w:rFonts w:ascii="Times New Roman" w:hAnsi="Times New Roman" w:cs="Times New Roman"/>
          <w:color w:val="auto"/>
        </w:rPr>
        <w:t xml:space="preserve"> It is doubtful whether the above activities constitute internationally wrongful acts</w:t>
      </w:r>
      <w:r w:rsidR="006B6D5A" w:rsidRPr="005B6084">
        <w:rPr>
          <w:rFonts w:ascii="Times New Roman" w:hAnsi="Times New Roman" w:cs="Times New Roman"/>
          <w:color w:val="auto"/>
        </w:rPr>
        <w:t>, although one</w:t>
      </w:r>
      <w:r w:rsidRPr="005B6084">
        <w:rPr>
          <w:rFonts w:ascii="Times New Roman" w:hAnsi="Times New Roman" w:cs="Times New Roman"/>
          <w:color w:val="auto"/>
        </w:rPr>
        <w:t xml:space="preserve"> commentator has argued, for instance, that cyber espionage may be a violation of t</w:t>
      </w:r>
      <w:r w:rsidR="000E516F" w:rsidRPr="005B6084">
        <w:rPr>
          <w:rFonts w:ascii="Times New Roman" w:hAnsi="Times New Roman" w:cs="Times New Roman"/>
          <w:color w:val="auto"/>
        </w:rPr>
        <w:t>he sovereignty of the targeted s</w:t>
      </w:r>
      <w:r w:rsidRPr="005B6084">
        <w:rPr>
          <w:rFonts w:ascii="Times New Roman" w:hAnsi="Times New Roman" w:cs="Times New Roman"/>
          <w:color w:val="auto"/>
        </w:rPr>
        <w:t>tate whenever it entails an unauthorized intrusion into cyber infrastructure</w:t>
      </w:r>
      <w:r w:rsidR="000E516F" w:rsidRPr="005B6084">
        <w:rPr>
          <w:rFonts w:ascii="Times New Roman" w:hAnsi="Times New Roman" w:cs="Times New Roman"/>
          <w:color w:val="auto"/>
        </w:rPr>
        <w:t xml:space="preserve"> located in another s</w:t>
      </w:r>
      <w:r w:rsidRPr="005B6084">
        <w:rPr>
          <w:rFonts w:ascii="Times New Roman" w:hAnsi="Times New Roman" w:cs="Times New Roman"/>
          <w:color w:val="auto"/>
        </w:rPr>
        <w:t>tate (be it governmental or private).</w:t>
      </w:r>
      <w:r w:rsidRPr="005B6084">
        <w:rPr>
          <w:rStyle w:val="Rimandonotaapidipagina"/>
          <w:rFonts w:ascii="Times New Roman" w:hAnsi="Times New Roman"/>
          <w:color w:val="auto"/>
        </w:rPr>
        <w:footnoteReference w:id="256"/>
      </w:r>
      <w:r w:rsidRPr="005B6084">
        <w:rPr>
          <w:rFonts w:ascii="Times New Roman" w:hAnsi="Times New Roman" w:cs="Times New Roman"/>
          <w:color w:val="auto"/>
        </w:rPr>
        <w:t xml:space="preserve"> Data </w:t>
      </w:r>
      <w:r w:rsidRPr="005B6084">
        <w:rPr>
          <w:rFonts w:ascii="Times New Roman" w:hAnsi="Times New Roman" w:cs="Times New Roman"/>
          <w:color w:val="auto"/>
        </w:rPr>
        <w:lastRenderedPageBreak/>
        <w:t>monitoring and interceptions may also be a violation of international human rights law.</w:t>
      </w:r>
      <w:r w:rsidRPr="005B6084">
        <w:rPr>
          <w:rStyle w:val="Rimandonotaapidipagina"/>
          <w:rFonts w:ascii="Times New Roman" w:hAnsi="Times New Roman"/>
          <w:color w:val="auto"/>
        </w:rPr>
        <w:footnoteReference w:id="257"/>
      </w:r>
    </w:p>
    <w:p w14:paraId="28E7F1E1" w14:textId="43393C69" w:rsidR="000E516F" w:rsidRPr="005B6084" w:rsidRDefault="006E3FC2" w:rsidP="00061A87">
      <w:pPr>
        <w:pStyle w:val="Default"/>
        <w:spacing w:after="120" w:line="360" w:lineRule="exact"/>
        <w:ind w:firstLine="567"/>
        <w:jc w:val="both"/>
        <w:rPr>
          <w:rFonts w:ascii="Times New Roman" w:hAnsi="Times New Roman" w:cs="Times New Roman"/>
          <w:color w:val="auto"/>
        </w:rPr>
      </w:pPr>
      <w:r w:rsidRPr="005B6084">
        <w:rPr>
          <w:rFonts w:ascii="Times New Roman" w:hAnsi="Times New Roman" w:cs="Times New Roman"/>
          <w:color w:val="auto"/>
        </w:rPr>
        <w:t xml:space="preserve">Assuming, </w:t>
      </w:r>
      <w:r w:rsidRPr="005B6084">
        <w:rPr>
          <w:rFonts w:ascii="Times New Roman" w:hAnsi="Times New Roman" w:cs="Times New Roman"/>
          <w:i/>
          <w:color w:val="auto"/>
        </w:rPr>
        <w:t>arguendo</w:t>
      </w:r>
      <w:r w:rsidRPr="005B6084">
        <w:rPr>
          <w:rFonts w:ascii="Times New Roman" w:hAnsi="Times New Roman" w:cs="Times New Roman"/>
          <w:color w:val="auto"/>
        </w:rPr>
        <w:t xml:space="preserve">, that espionage and cyber exploitation are, at least in certain instances, internationally wrongful acts, what is </w:t>
      </w:r>
      <w:r w:rsidR="001853E3" w:rsidRPr="005B6084">
        <w:rPr>
          <w:rFonts w:ascii="Times New Roman" w:hAnsi="Times New Roman" w:cs="Times New Roman"/>
          <w:color w:val="auto"/>
        </w:rPr>
        <w:t>the</w:t>
      </w:r>
      <w:r w:rsidRPr="005B6084">
        <w:rPr>
          <w:rFonts w:ascii="Times New Roman" w:hAnsi="Times New Roman" w:cs="Times New Roman"/>
          <w:color w:val="auto"/>
        </w:rPr>
        <w:t xml:space="preserve"> probative value</w:t>
      </w:r>
      <w:r w:rsidR="001853E3" w:rsidRPr="005B6084">
        <w:rPr>
          <w:rFonts w:ascii="Times New Roman" w:hAnsi="Times New Roman" w:cs="Times New Roman"/>
          <w:color w:val="auto"/>
        </w:rPr>
        <w:t xml:space="preserve"> of the evidence so collected</w:t>
      </w:r>
      <w:r w:rsidRPr="005B6084">
        <w:rPr>
          <w:rFonts w:ascii="Times New Roman" w:hAnsi="Times New Roman" w:cs="Times New Roman"/>
          <w:color w:val="auto"/>
        </w:rPr>
        <w:t xml:space="preserve">? There is no express rule in the </w:t>
      </w:r>
      <w:r w:rsidR="00F70924" w:rsidRPr="005B6084">
        <w:rPr>
          <w:rFonts w:ascii="Times New Roman" w:hAnsi="Times New Roman" w:cs="Times New Roman"/>
          <w:color w:val="auto"/>
        </w:rPr>
        <w:t xml:space="preserve">Statute of the </w:t>
      </w:r>
      <w:r w:rsidRPr="005B6084">
        <w:rPr>
          <w:rFonts w:ascii="Times New Roman" w:hAnsi="Times New Roman" w:cs="Times New Roman"/>
          <w:color w:val="auto"/>
        </w:rPr>
        <w:t>ICJ providing that evidence obtained through a violation of international law is inadmissible. It is also not a general principle of law, as it seems to be a rule essentially confined to the US criminal system.</w:t>
      </w:r>
      <w:bookmarkStart w:id="39" w:name="_Ref389050635"/>
      <w:r w:rsidRPr="005B6084">
        <w:rPr>
          <w:rStyle w:val="Rimandonotaapidipagina"/>
          <w:rFonts w:ascii="Times New Roman" w:hAnsi="Times New Roman"/>
          <w:color w:val="auto"/>
        </w:rPr>
        <w:footnoteReference w:id="258"/>
      </w:r>
      <w:bookmarkEnd w:id="39"/>
      <w:r w:rsidRPr="005B6084">
        <w:rPr>
          <w:rFonts w:ascii="Times New Roman" w:hAnsi="Times New Roman" w:cs="Times New Roman"/>
          <w:color w:val="auto"/>
        </w:rPr>
        <w:t xml:space="preserve"> As </w:t>
      </w:r>
      <w:proofErr w:type="spellStart"/>
      <w:r w:rsidRPr="005B6084">
        <w:rPr>
          <w:rFonts w:ascii="Times New Roman" w:hAnsi="Times New Roman" w:cs="Times New Roman"/>
          <w:color w:val="auto"/>
        </w:rPr>
        <w:t>Thirlway</w:t>
      </w:r>
      <w:proofErr w:type="spellEnd"/>
      <w:r w:rsidRPr="005B6084">
        <w:rPr>
          <w:rFonts w:ascii="Times New Roman" w:hAnsi="Times New Roman" w:cs="Times New Roman"/>
          <w:color w:val="auto"/>
        </w:rPr>
        <w:t xml:space="preserve"> argues, the rule in domestic legal systems </w:t>
      </w:r>
      <w:proofErr w:type="gramStart"/>
      <w:r w:rsidRPr="005B6084">
        <w:rPr>
          <w:rFonts w:ascii="Times New Roman" w:hAnsi="Times New Roman" w:cs="Times New Roman"/>
          <w:color w:val="auto"/>
        </w:rPr>
        <w:t>is motivated</w:t>
      </w:r>
      <w:proofErr w:type="gramEnd"/>
      <w:r w:rsidRPr="005B6084">
        <w:rPr>
          <w:rFonts w:ascii="Times New Roman" w:hAnsi="Times New Roman" w:cs="Times New Roman"/>
          <w:color w:val="auto"/>
        </w:rPr>
        <w:t xml:space="preserve"> by the need to protect the defendant against the wider powers of the prosecutor and its possible abuses: in </w:t>
      </w:r>
      <w:r w:rsidR="002219A7" w:rsidRPr="005B6084">
        <w:rPr>
          <w:rFonts w:ascii="Times New Roman" w:hAnsi="Times New Roman" w:cs="Times New Roman"/>
          <w:color w:val="auto"/>
        </w:rPr>
        <w:t>inter-state</w:t>
      </w:r>
      <w:r w:rsidRPr="005B6084">
        <w:rPr>
          <w:rFonts w:ascii="Times New Roman" w:hAnsi="Times New Roman" w:cs="Times New Roman"/>
          <w:color w:val="auto"/>
        </w:rPr>
        <w:t xml:space="preserve"> litigation, there is no criminal trial and no dominant party, as the litigants are states in a position of sovereign equality.</w:t>
      </w:r>
      <w:r w:rsidRPr="005B6084">
        <w:rPr>
          <w:rStyle w:val="Rimandonotaapidipagina"/>
          <w:rFonts w:ascii="Times New Roman" w:hAnsi="Times New Roman"/>
          <w:color w:val="auto"/>
        </w:rPr>
        <w:footnoteReference w:id="259"/>
      </w:r>
      <w:r w:rsidRPr="005B6084">
        <w:rPr>
          <w:rFonts w:ascii="Times New Roman" w:hAnsi="Times New Roman" w:cs="Times New Roman"/>
          <w:color w:val="auto"/>
        </w:rPr>
        <w:t xml:space="preserve"> In the </w:t>
      </w:r>
      <w:r w:rsidRPr="005B6084">
        <w:rPr>
          <w:rFonts w:ascii="Times New Roman" w:hAnsi="Times New Roman" w:cs="Times New Roman"/>
          <w:i/>
          <w:color w:val="auto"/>
        </w:rPr>
        <w:t>Corfu Channel</w:t>
      </w:r>
      <w:r w:rsidRPr="005B6084">
        <w:rPr>
          <w:rFonts w:ascii="Times New Roman" w:hAnsi="Times New Roman" w:cs="Times New Roman"/>
          <w:color w:val="auto"/>
        </w:rPr>
        <w:t xml:space="preserve"> case, the ICJ did not dismiss evidence illegally obtained by the United Kingdom in Operation Retail</w:t>
      </w:r>
      <w:r w:rsidR="00F70924" w:rsidRPr="005B6084">
        <w:rPr>
          <w:rFonts w:ascii="Times New Roman" w:hAnsi="Times New Roman" w:cs="Times New Roman"/>
          <w:color w:val="auto"/>
        </w:rPr>
        <w:t>;</w:t>
      </w:r>
      <w:r w:rsidRPr="005B6084">
        <w:rPr>
          <w:rFonts w:ascii="Times New Roman" w:hAnsi="Times New Roman" w:cs="Times New Roman"/>
          <w:color w:val="auto"/>
        </w:rPr>
        <w:t xml:space="preserve"> on the contrary</w:t>
      </w:r>
      <w:r w:rsidR="00F70924" w:rsidRPr="005B6084">
        <w:rPr>
          <w:rFonts w:ascii="Times New Roman" w:hAnsi="Times New Roman" w:cs="Times New Roman"/>
          <w:color w:val="auto"/>
        </w:rPr>
        <w:t>,</w:t>
      </w:r>
      <w:r w:rsidRPr="005B6084">
        <w:rPr>
          <w:rFonts w:ascii="Times New Roman" w:hAnsi="Times New Roman" w:cs="Times New Roman"/>
          <w:color w:val="auto"/>
        </w:rPr>
        <w:t xml:space="preserve"> it relied on it </w:t>
      </w:r>
      <w:r w:rsidR="001853E3" w:rsidRPr="005B6084">
        <w:rPr>
          <w:rFonts w:ascii="Times New Roman" w:hAnsi="Times New Roman" w:cs="Times New Roman"/>
          <w:color w:val="auto"/>
        </w:rPr>
        <w:t xml:space="preserve">in order </w:t>
      </w:r>
      <w:r w:rsidRPr="005B6084">
        <w:rPr>
          <w:rFonts w:ascii="Times New Roman" w:hAnsi="Times New Roman" w:cs="Times New Roman"/>
          <w:color w:val="auto"/>
        </w:rPr>
        <w:t>to determine the place of the accident and the nature of the mines.</w:t>
      </w:r>
      <w:r w:rsidRPr="005B6084">
        <w:rPr>
          <w:rStyle w:val="Rimandonotaapidipagina"/>
          <w:rFonts w:ascii="Times New Roman" w:hAnsi="Times New Roman"/>
          <w:color w:val="auto"/>
        </w:rPr>
        <w:footnoteReference w:id="260"/>
      </w:r>
      <w:r w:rsidRPr="005B6084">
        <w:rPr>
          <w:rFonts w:ascii="Times New Roman" w:hAnsi="Times New Roman" w:cs="Times New Roman"/>
          <w:color w:val="auto"/>
        </w:rPr>
        <w:t xml:space="preserve"> In fact, Albania never challenged the admissibility of the evidence acquired by the British Navy,</w:t>
      </w:r>
      <w:r w:rsidRPr="005B6084">
        <w:rPr>
          <w:rStyle w:val="Rimandonotaapidipagina"/>
          <w:rFonts w:ascii="Times New Roman" w:hAnsi="Times New Roman"/>
          <w:color w:val="auto"/>
        </w:rPr>
        <w:footnoteReference w:id="261"/>
      </w:r>
      <w:r w:rsidRPr="005B6084">
        <w:rPr>
          <w:rFonts w:ascii="Times New Roman" w:hAnsi="Times New Roman" w:cs="Times New Roman"/>
          <w:color w:val="auto"/>
        </w:rPr>
        <w:t xml:space="preserve"> and the Court did not address the question. What it found was not that the evidence </w:t>
      </w:r>
      <w:proofErr w:type="gramStart"/>
      <w:r w:rsidR="00F70924" w:rsidRPr="005B6084">
        <w:rPr>
          <w:rFonts w:ascii="Times New Roman" w:hAnsi="Times New Roman" w:cs="Times New Roman"/>
          <w:color w:val="auto"/>
        </w:rPr>
        <w:t xml:space="preserve">had been </w:t>
      </w:r>
      <w:r w:rsidRPr="005B6084">
        <w:rPr>
          <w:rFonts w:ascii="Times New Roman" w:hAnsi="Times New Roman" w:cs="Times New Roman"/>
          <w:color w:val="auto"/>
        </w:rPr>
        <w:t>illegally obtained</w:t>
      </w:r>
      <w:proofErr w:type="gramEnd"/>
      <w:r w:rsidRPr="005B6084">
        <w:rPr>
          <w:rFonts w:ascii="Times New Roman" w:hAnsi="Times New Roman" w:cs="Times New Roman"/>
          <w:color w:val="auto"/>
        </w:rPr>
        <w:t xml:space="preserve">, but that the purpose of gathering evidence </w:t>
      </w:r>
      <w:r w:rsidR="000E516F" w:rsidRPr="005B6084">
        <w:rPr>
          <w:rFonts w:ascii="Times New Roman" w:hAnsi="Times New Roman" w:cs="Times New Roman"/>
          <w:color w:val="auto"/>
        </w:rPr>
        <w:t>did</w:t>
      </w:r>
      <w:r w:rsidRPr="005B6084">
        <w:rPr>
          <w:rFonts w:ascii="Times New Roman" w:hAnsi="Times New Roman" w:cs="Times New Roman"/>
          <w:color w:val="auto"/>
        </w:rPr>
        <w:t xml:space="preserve"> not exclude the illegality of certain conduct.</w:t>
      </w:r>
      <w:r w:rsidR="0020595D" w:rsidRPr="005B6084">
        <w:rPr>
          <w:rStyle w:val="Rimandonotaapidipagina"/>
          <w:rFonts w:ascii="Times New Roman" w:hAnsi="Times New Roman"/>
          <w:color w:val="auto"/>
        </w:rPr>
        <w:footnoteReference w:id="262"/>
      </w:r>
      <w:r w:rsidRPr="005B6084">
        <w:rPr>
          <w:rFonts w:ascii="Times New Roman" w:hAnsi="Times New Roman" w:cs="Times New Roman"/>
          <w:color w:val="auto"/>
        </w:rPr>
        <w:t xml:space="preserve"> In general, ‘the approach of the Court is to discourage self-help in the getting of evidence involving internationally illicit acts, not by seeking to impose any bar on the employment of evidence so collected, but by making it clear that such illicit activity is not necessary, since secondary evidence will be received and treated as convincing in appropriate </w:t>
      </w:r>
      <w:r w:rsidRPr="005B6084">
        <w:rPr>
          <w:rFonts w:ascii="Times New Roman" w:hAnsi="Times New Roman" w:cs="Times New Roman"/>
          <w:color w:val="auto"/>
        </w:rPr>
        <w:lastRenderedPageBreak/>
        <w:t>circumstances’.</w:t>
      </w:r>
      <w:r w:rsidRPr="005B6084">
        <w:rPr>
          <w:rStyle w:val="Rimandonotaapidipagina"/>
          <w:rFonts w:ascii="Times New Roman" w:hAnsi="Times New Roman"/>
          <w:color w:val="auto"/>
        </w:rPr>
        <w:footnoteReference w:id="263"/>
      </w:r>
      <w:r w:rsidRPr="005B6084">
        <w:rPr>
          <w:rFonts w:ascii="Times New Roman" w:hAnsi="Times New Roman" w:cs="Times New Roman"/>
          <w:color w:val="auto"/>
        </w:rPr>
        <w:t xml:space="preserve"> </w:t>
      </w:r>
      <w:r w:rsidR="000E516F" w:rsidRPr="005B6084">
        <w:rPr>
          <w:rFonts w:ascii="Times New Roman" w:hAnsi="Times New Roman" w:cs="Times New Roman"/>
          <w:color w:val="auto"/>
        </w:rPr>
        <w:t xml:space="preserve">In a </w:t>
      </w:r>
      <w:proofErr w:type="spellStart"/>
      <w:r w:rsidR="000E516F" w:rsidRPr="005B6084">
        <w:rPr>
          <w:rFonts w:ascii="Times New Roman" w:hAnsi="Times New Roman" w:cs="Times New Roman"/>
          <w:color w:val="auto"/>
        </w:rPr>
        <w:t>cyber context</w:t>
      </w:r>
      <w:proofErr w:type="spellEnd"/>
      <w:r w:rsidRPr="005B6084">
        <w:rPr>
          <w:rFonts w:ascii="Times New Roman" w:hAnsi="Times New Roman" w:cs="Times New Roman"/>
          <w:color w:val="auto"/>
        </w:rPr>
        <w:t xml:space="preserve">, </w:t>
      </w:r>
      <w:r w:rsidR="000E516F" w:rsidRPr="005B6084">
        <w:rPr>
          <w:rFonts w:ascii="Times New Roman" w:hAnsi="Times New Roman" w:cs="Times New Roman"/>
          <w:color w:val="auto"/>
        </w:rPr>
        <w:t>this means that the fact that</w:t>
      </w:r>
      <w:r w:rsidR="00D50A53" w:rsidRPr="005B6084">
        <w:rPr>
          <w:rFonts w:ascii="Times New Roman" w:hAnsi="Times New Roman" w:cs="Times New Roman"/>
          <w:color w:val="auto"/>
        </w:rPr>
        <w:t xml:space="preserve"> </w:t>
      </w:r>
      <w:r w:rsidR="000E516F" w:rsidRPr="005B6084">
        <w:rPr>
          <w:rFonts w:ascii="Times New Roman" w:hAnsi="Times New Roman" w:cs="Times New Roman"/>
          <w:color w:val="auto"/>
        </w:rPr>
        <w:t xml:space="preserve">direct </w:t>
      </w:r>
      <w:r w:rsidR="00D50A53" w:rsidRPr="005B6084">
        <w:rPr>
          <w:rFonts w:ascii="Times New Roman" w:hAnsi="Times New Roman" w:cs="Times New Roman"/>
          <w:color w:val="auto"/>
        </w:rPr>
        <w:t xml:space="preserve">evidence </w:t>
      </w:r>
      <w:r w:rsidR="000E516F" w:rsidRPr="005B6084">
        <w:rPr>
          <w:rFonts w:ascii="Times New Roman" w:hAnsi="Times New Roman" w:cs="Times New Roman"/>
          <w:color w:val="auto"/>
        </w:rPr>
        <w:t>is located in the computers or networks of another state does not entitle the interested litigant to access them without authorization to submit it in the proceedings, but allows the Court to give more probative weight to circumstantial evidence.</w:t>
      </w:r>
    </w:p>
    <w:p w14:paraId="65370420" w14:textId="77777777" w:rsidR="006E3FC2" w:rsidRPr="005B6084" w:rsidRDefault="006E3FC2" w:rsidP="00467E90">
      <w:pPr>
        <w:pStyle w:val="P"/>
        <w:spacing w:after="120" w:line="360" w:lineRule="exact"/>
        <w:jc w:val="both"/>
      </w:pPr>
    </w:p>
    <w:p w14:paraId="0AA63318" w14:textId="77777777" w:rsidR="006E3FC2" w:rsidRPr="005B6084" w:rsidRDefault="006E3FC2" w:rsidP="00DD561A">
      <w:pPr>
        <w:pStyle w:val="P"/>
        <w:spacing w:after="120" w:line="360" w:lineRule="exact"/>
        <w:jc w:val="both"/>
        <w:outlineLvl w:val="0"/>
        <w:rPr>
          <w:b/>
        </w:rPr>
      </w:pPr>
      <w:r w:rsidRPr="005B6084">
        <w:rPr>
          <w:b/>
        </w:rPr>
        <w:t>8. Conclusions</w:t>
      </w:r>
    </w:p>
    <w:p w14:paraId="2502CFAD" w14:textId="77777777" w:rsidR="006E3FC2" w:rsidRPr="005B6084" w:rsidRDefault="006E3FC2" w:rsidP="006E2616">
      <w:pPr>
        <w:pStyle w:val="PI"/>
        <w:spacing w:after="120" w:line="360" w:lineRule="exact"/>
        <w:ind w:firstLine="0"/>
        <w:jc w:val="both"/>
      </w:pPr>
    </w:p>
    <w:p w14:paraId="77E5DCE9" w14:textId="594068D5" w:rsidR="006E3FC2" w:rsidRPr="005B6084" w:rsidRDefault="006E3FC2" w:rsidP="004E476C">
      <w:pPr>
        <w:pStyle w:val="P"/>
        <w:spacing w:after="120" w:line="360" w:lineRule="exact"/>
        <w:jc w:val="both"/>
      </w:pPr>
      <w:r w:rsidRPr="005B6084">
        <w:t xml:space="preserve">The following main conclusions </w:t>
      </w:r>
      <w:r w:rsidR="000E516F" w:rsidRPr="005B6084">
        <w:t>can</w:t>
      </w:r>
      <w:r w:rsidRPr="005B6084">
        <w:t xml:space="preserve"> be drawn from the application to cyber operations of the ICJ’s rules and </w:t>
      </w:r>
      <w:proofErr w:type="gramStart"/>
      <w:r w:rsidRPr="005B6084">
        <w:t>case-law</w:t>
      </w:r>
      <w:proofErr w:type="gramEnd"/>
      <w:r w:rsidRPr="005B6084">
        <w:t xml:space="preserve"> on </w:t>
      </w:r>
      <w:r w:rsidR="0014747A" w:rsidRPr="005B6084">
        <w:t>evidence</w:t>
      </w:r>
      <w:r w:rsidRPr="005B6084">
        <w:t>:</w:t>
      </w:r>
    </w:p>
    <w:p w14:paraId="4858D845" w14:textId="77777777" w:rsidR="006E3FC2" w:rsidRPr="005B6084" w:rsidRDefault="006E3FC2" w:rsidP="001853E3">
      <w:pPr>
        <w:pStyle w:val="PI"/>
        <w:numPr>
          <w:ilvl w:val="0"/>
          <w:numId w:val="1"/>
        </w:numPr>
        <w:spacing w:after="120" w:line="360" w:lineRule="exact"/>
        <w:ind w:left="0" w:firstLine="567"/>
        <w:jc w:val="both"/>
      </w:pPr>
      <w:r w:rsidRPr="005B6084">
        <w:t>the burden of proof does not shift in the cyber context and continues to rest on the party that alleges a certain fact;</w:t>
      </w:r>
    </w:p>
    <w:p w14:paraId="136DB233" w14:textId="4A0ACDF7" w:rsidR="006E3FC2" w:rsidRPr="005B6084" w:rsidRDefault="00F70924" w:rsidP="001853E3">
      <w:pPr>
        <w:pStyle w:val="PI"/>
        <w:numPr>
          <w:ilvl w:val="0"/>
          <w:numId w:val="1"/>
        </w:numPr>
        <w:spacing w:after="120" w:line="360" w:lineRule="exact"/>
        <w:ind w:left="0" w:firstLine="567"/>
        <w:jc w:val="both"/>
        <w:rPr>
          <w:lang w:eastAsia="it-IT"/>
        </w:rPr>
      </w:pPr>
      <w:proofErr w:type="gramStart"/>
      <w:r w:rsidRPr="005B6084">
        <w:rPr>
          <w:lang w:eastAsia="it-IT"/>
        </w:rPr>
        <w:t>whilst</w:t>
      </w:r>
      <w:proofErr w:type="gramEnd"/>
      <w:r w:rsidRPr="005B6084">
        <w:rPr>
          <w:lang w:eastAsia="it-IT"/>
        </w:rPr>
        <w:t xml:space="preserve"> </w:t>
      </w:r>
      <w:r w:rsidR="004D31C6" w:rsidRPr="005B6084">
        <w:rPr>
          <w:lang w:eastAsia="it-IT"/>
        </w:rPr>
        <w:t xml:space="preserve">it is </w:t>
      </w:r>
      <w:r w:rsidR="0020595D" w:rsidRPr="005B6084">
        <w:rPr>
          <w:lang w:eastAsia="it-IT"/>
        </w:rPr>
        <w:t>uncertain that</w:t>
      </w:r>
      <w:r w:rsidR="004D31C6" w:rsidRPr="005B6084">
        <w:rPr>
          <w:lang w:eastAsia="it-IT"/>
        </w:rPr>
        <w:t xml:space="preserve"> a uniform standard of proof applicable to </w:t>
      </w:r>
      <w:r w:rsidR="004D31C6" w:rsidRPr="005B6084">
        <w:rPr>
          <w:i/>
          <w:lang w:eastAsia="it-IT"/>
        </w:rPr>
        <w:t>all</w:t>
      </w:r>
      <w:r w:rsidR="004D31C6" w:rsidRPr="005B6084">
        <w:rPr>
          <w:lang w:eastAsia="it-IT"/>
        </w:rPr>
        <w:t xml:space="preserve"> cases involving international responsibility for cyber operations</w:t>
      </w:r>
      <w:r w:rsidR="0020595D" w:rsidRPr="005B6084">
        <w:rPr>
          <w:lang w:eastAsia="it-IT"/>
        </w:rPr>
        <w:t xml:space="preserve"> can be identified</w:t>
      </w:r>
      <w:r w:rsidR="004D31C6" w:rsidRPr="005B6084">
        <w:rPr>
          <w:lang w:eastAsia="it-IT"/>
        </w:rPr>
        <w:t xml:space="preserve">, </w:t>
      </w:r>
      <w:r w:rsidR="00D169E2">
        <w:rPr>
          <w:lang w:eastAsia="it-IT"/>
        </w:rPr>
        <w:t xml:space="preserve">it appears that </w:t>
      </w:r>
      <w:r w:rsidR="006E3FC2" w:rsidRPr="005B6084">
        <w:t xml:space="preserve">claims of </w:t>
      </w:r>
      <w:proofErr w:type="spellStart"/>
      <w:r w:rsidR="006E3FC2" w:rsidRPr="005B6084">
        <w:t>self-defence</w:t>
      </w:r>
      <w:proofErr w:type="spellEnd"/>
      <w:r w:rsidR="006E3FC2" w:rsidRPr="005B6084">
        <w:t xml:space="preserve"> against cyber operations, like those against kinetic attacks,</w:t>
      </w:r>
      <w:r w:rsidR="000E516F" w:rsidRPr="005B6084">
        <w:t xml:space="preserve"> </w:t>
      </w:r>
      <w:r w:rsidR="006E3FC2" w:rsidRPr="005B6084">
        <w:t xml:space="preserve">must be proved with clear and convincing evidence. </w:t>
      </w:r>
      <w:r w:rsidR="004D31C6" w:rsidRPr="005B6084">
        <w:t>On the other hand</w:t>
      </w:r>
      <w:r w:rsidR="006E3FC2" w:rsidRPr="005B6084">
        <w:t xml:space="preserve">, fully conclusive evidence is needed </w:t>
      </w:r>
      <w:r w:rsidR="00A64B9B" w:rsidRPr="005B6084">
        <w:t xml:space="preserve">to prove that a litigant conducted </w:t>
      </w:r>
      <w:r w:rsidR="006E3FC2" w:rsidRPr="005B6084">
        <w:t>cyber operations amounting to international crimes</w:t>
      </w:r>
      <w:r w:rsidRPr="005B6084">
        <w:t xml:space="preserve">, and </w:t>
      </w:r>
      <w:r w:rsidR="00A64B9B" w:rsidRPr="005B6084">
        <w:t xml:space="preserve">a slightly less demanding standard seems to apply when what needs to be proved is that the state </w:t>
      </w:r>
      <w:r w:rsidR="0020595D" w:rsidRPr="005B6084">
        <w:t>did not exercise</w:t>
      </w:r>
      <w:r w:rsidR="00A64B9B" w:rsidRPr="005B6084">
        <w:t xml:space="preserve"> due diligence to stop its cyber infrastructure from being used by others to commit international crimes</w:t>
      </w:r>
      <w:r w:rsidR="006E3FC2" w:rsidRPr="005B6084">
        <w:t>;</w:t>
      </w:r>
    </w:p>
    <w:p w14:paraId="725A0DEA" w14:textId="77777777" w:rsidR="006E3FC2" w:rsidRPr="005B6084" w:rsidRDefault="006E3FC2" w:rsidP="001853E3">
      <w:pPr>
        <w:pStyle w:val="PI"/>
        <w:numPr>
          <w:ilvl w:val="0"/>
          <w:numId w:val="1"/>
        </w:numPr>
        <w:spacing w:after="120" w:line="360" w:lineRule="exact"/>
        <w:ind w:left="0" w:firstLine="567"/>
        <w:jc w:val="both"/>
      </w:pPr>
      <w:r w:rsidRPr="005B6084">
        <w:t xml:space="preserve">the Court may take ‘formal note’ of the refusal of a party to present classified cyber documents, but it has so far refrained from drawing negative inferences </w:t>
      </w:r>
      <w:r w:rsidR="00B85FCA" w:rsidRPr="005B6084">
        <w:t xml:space="preserve">from </w:t>
      </w:r>
      <w:r w:rsidR="00F70924" w:rsidRPr="005B6084">
        <w:t xml:space="preserve">the </w:t>
      </w:r>
      <w:r w:rsidR="00B85FCA" w:rsidRPr="005B6084">
        <w:t xml:space="preserve">non-production of documents. In any case, </w:t>
      </w:r>
      <w:r w:rsidR="00F70924" w:rsidRPr="005B6084">
        <w:t xml:space="preserve">any </w:t>
      </w:r>
      <w:r w:rsidR="00B85FCA" w:rsidRPr="005B6084">
        <w:t>such negative inferences could not contradict factual conclusions based on consistent evidence produced by the parties;</w:t>
      </w:r>
    </w:p>
    <w:p w14:paraId="03D4BD7A" w14:textId="00D50CDE" w:rsidR="006E3FC2" w:rsidRPr="005B6084" w:rsidRDefault="002C77A0" w:rsidP="001853E3">
      <w:pPr>
        <w:pStyle w:val="PI"/>
        <w:numPr>
          <w:ilvl w:val="0"/>
          <w:numId w:val="1"/>
        </w:numPr>
        <w:spacing w:after="120" w:line="360" w:lineRule="exact"/>
        <w:ind w:left="0" w:firstLine="567"/>
        <w:jc w:val="both"/>
      </w:pPr>
      <w:proofErr w:type="gramStart"/>
      <w:r w:rsidRPr="005B6084">
        <w:t>the</w:t>
      </w:r>
      <w:proofErr w:type="gramEnd"/>
      <w:r w:rsidRPr="005B6084">
        <w:t xml:space="preserve"> Court </w:t>
      </w:r>
      <w:r w:rsidR="004D31C6" w:rsidRPr="005B6084">
        <w:t>gives more probative weight to</w:t>
      </w:r>
      <w:r w:rsidRPr="005B6084">
        <w:t xml:space="preserve"> official documents of states and international organizations such as the United Nations. </w:t>
      </w:r>
      <w:r w:rsidR="004D31C6" w:rsidRPr="005B6084">
        <w:t>NGO</w:t>
      </w:r>
      <w:r w:rsidR="006E3FC2" w:rsidRPr="005B6084">
        <w:t xml:space="preserve"> reports and press articles on cyber incidents are only secondary sources of evidence that may be useful to corroborate other sources or </w:t>
      </w:r>
      <w:r w:rsidR="00AC379B" w:rsidRPr="005B6084">
        <w:t xml:space="preserve">to </w:t>
      </w:r>
      <w:r w:rsidR="006E3FC2" w:rsidRPr="005B6084">
        <w:t>establish the public knowledge of certain facts, providing they are sufficiently rigorous and only when they are ‘wholly consistent and concordant as to the main facts and circumstances of the case’;</w:t>
      </w:r>
      <w:r w:rsidR="0020595D" w:rsidRPr="005B6084">
        <w:rPr>
          <w:rStyle w:val="Rimandonotaapidipagina"/>
        </w:rPr>
        <w:footnoteReference w:id="264"/>
      </w:r>
    </w:p>
    <w:p w14:paraId="1375A15A" w14:textId="0A2486EA" w:rsidR="006E3FC2" w:rsidRPr="005B6084" w:rsidRDefault="00F70924" w:rsidP="001853E3">
      <w:pPr>
        <w:pStyle w:val="PI"/>
        <w:numPr>
          <w:ilvl w:val="0"/>
          <w:numId w:val="1"/>
        </w:numPr>
        <w:spacing w:after="120" w:line="360" w:lineRule="exact"/>
        <w:ind w:left="0" w:firstLine="567"/>
        <w:jc w:val="both"/>
      </w:pPr>
      <w:proofErr w:type="gramStart"/>
      <w:r w:rsidRPr="005B6084">
        <w:lastRenderedPageBreak/>
        <w:t>the</w:t>
      </w:r>
      <w:proofErr w:type="gramEnd"/>
      <w:r w:rsidRPr="005B6084">
        <w:t xml:space="preserve"> drawing of </w:t>
      </w:r>
      <w:r w:rsidR="006E3FC2" w:rsidRPr="005B6084">
        <w:t xml:space="preserve">inferences </w:t>
      </w:r>
      <w:r w:rsidRPr="005B6084">
        <w:t xml:space="preserve">is approached </w:t>
      </w:r>
      <w:r w:rsidR="006E3FC2" w:rsidRPr="005B6084">
        <w:t xml:space="preserve">by the ICJ with great caution. When there are objective difficulties for a litigant to discharge the burden of proof because </w:t>
      </w:r>
      <w:r w:rsidRPr="005B6084">
        <w:t xml:space="preserve">the </w:t>
      </w:r>
      <w:r w:rsidR="00447DD0" w:rsidRPr="005B6084">
        <w:t xml:space="preserve">direct evidence lies within </w:t>
      </w:r>
      <w:r w:rsidR="006E3FC2" w:rsidRPr="005B6084">
        <w:t>the exclusive territorial control of</w:t>
      </w:r>
      <w:r w:rsidR="00D50A53" w:rsidRPr="005B6084">
        <w:t xml:space="preserve"> </w:t>
      </w:r>
      <w:r w:rsidR="006E3FC2" w:rsidRPr="005B6084">
        <w:t xml:space="preserve">the other litigant, </w:t>
      </w:r>
      <w:r w:rsidR="00447DD0" w:rsidRPr="005B6084">
        <w:t xml:space="preserve">including its cyber infrastructure, </w:t>
      </w:r>
      <w:r w:rsidR="006E3FC2" w:rsidRPr="005B6084">
        <w:t xml:space="preserve">a more liberal recourse to inferences </w:t>
      </w:r>
      <w:r w:rsidR="00AC379B" w:rsidRPr="005B6084">
        <w:t xml:space="preserve">of fact </w:t>
      </w:r>
      <w:r w:rsidR="006E3FC2" w:rsidRPr="005B6084">
        <w:t>is admissible providing that they leave no room for reasonable doubt;</w:t>
      </w:r>
    </w:p>
    <w:p w14:paraId="4CF2FBC9" w14:textId="53097352" w:rsidR="002219A7" w:rsidRPr="005B6084" w:rsidRDefault="006E3FC2" w:rsidP="00285E53">
      <w:pPr>
        <w:pStyle w:val="PI"/>
        <w:numPr>
          <w:ilvl w:val="0"/>
          <w:numId w:val="1"/>
        </w:numPr>
        <w:spacing w:after="120" w:line="360" w:lineRule="exact"/>
        <w:ind w:left="0" w:firstLine="567"/>
        <w:jc w:val="both"/>
      </w:pPr>
      <w:r w:rsidRPr="005B6084">
        <w:t>even if a litigant obtains evidence illegally, e.g. through an unauthorized intrusion into the computer systems of another state, the evidence so obtained ma</w:t>
      </w:r>
      <w:r w:rsidR="00AC379B" w:rsidRPr="005B6084">
        <w:t>y be taken into account by the C</w:t>
      </w:r>
      <w:r w:rsidRPr="005B6084">
        <w:t>ourt, although the purpose of collecting evidence does not exclud</w:t>
      </w:r>
      <w:r w:rsidR="00285E53" w:rsidRPr="005B6084">
        <w:t>e the illegality of the conduct.</w:t>
      </w:r>
    </w:p>
    <w:sectPr w:rsidR="002219A7" w:rsidRPr="005B6084" w:rsidSect="00B36AD8">
      <w:footerReference w:type="default" r:id="rId13"/>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3C98D" w14:textId="77777777" w:rsidR="007F624B" w:rsidRDefault="007F624B" w:rsidP="001D152A">
      <w:pPr>
        <w:spacing w:after="0" w:line="240" w:lineRule="auto"/>
      </w:pPr>
      <w:r>
        <w:separator/>
      </w:r>
    </w:p>
  </w:endnote>
  <w:endnote w:type="continuationSeparator" w:id="0">
    <w:p w14:paraId="652FBC23" w14:textId="77777777" w:rsidR="007F624B" w:rsidRDefault="007F624B" w:rsidP="001D152A">
      <w:pPr>
        <w:spacing w:after="0" w:line="240" w:lineRule="auto"/>
      </w:pPr>
      <w:r>
        <w:continuationSeparator/>
      </w:r>
    </w:p>
  </w:endnote>
  <w:endnote w:type="continuationNotice" w:id="1">
    <w:p w14:paraId="1976749E" w14:textId="77777777" w:rsidR="007F624B" w:rsidRDefault="007F6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Go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AB8B" w14:textId="77777777" w:rsidR="007F624B" w:rsidRDefault="007F624B">
    <w:pPr>
      <w:pStyle w:val="Pidipagina"/>
      <w:jc w:val="center"/>
    </w:pPr>
    <w:r w:rsidRPr="00B36AD8">
      <w:rPr>
        <w:rFonts w:ascii="Times New Roman" w:hAnsi="Times New Roman"/>
      </w:rPr>
      <w:fldChar w:fldCharType="begin"/>
    </w:r>
    <w:r w:rsidRPr="00B36AD8">
      <w:rPr>
        <w:rFonts w:ascii="Times New Roman" w:hAnsi="Times New Roman"/>
      </w:rPr>
      <w:instrText>PAGE   \* MERGEFORMAT</w:instrText>
    </w:r>
    <w:r w:rsidRPr="00B36AD8">
      <w:rPr>
        <w:rFonts w:ascii="Times New Roman" w:hAnsi="Times New Roman"/>
      </w:rPr>
      <w:fldChar w:fldCharType="separate"/>
    </w:r>
    <w:r w:rsidR="003E4B91" w:rsidRPr="003E4B91">
      <w:rPr>
        <w:rFonts w:ascii="Times New Roman" w:hAnsi="Times New Roman"/>
        <w:noProof/>
        <w:lang w:val="it-IT"/>
      </w:rPr>
      <w:t>20</w:t>
    </w:r>
    <w:r w:rsidRPr="00B36AD8">
      <w:rPr>
        <w:rFonts w:ascii="Times New Roman" w:hAnsi="Times New Roman"/>
      </w:rPr>
      <w:fldChar w:fldCharType="end"/>
    </w:r>
  </w:p>
  <w:p w14:paraId="0FF3D9C7" w14:textId="77777777" w:rsidR="007F624B" w:rsidRDefault="007F62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29535" w14:textId="77777777" w:rsidR="007F624B" w:rsidRDefault="007F624B" w:rsidP="001D152A">
      <w:pPr>
        <w:spacing w:after="0" w:line="240" w:lineRule="auto"/>
      </w:pPr>
      <w:r>
        <w:separator/>
      </w:r>
    </w:p>
  </w:footnote>
  <w:footnote w:type="continuationSeparator" w:id="0">
    <w:p w14:paraId="6316D69C" w14:textId="77777777" w:rsidR="007F624B" w:rsidRDefault="007F624B" w:rsidP="001D152A">
      <w:pPr>
        <w:spacing w:after="0" w:line="240" w:lineRule="auto"/>
      </w:pPr>
      <w:r>
        <w:continuationSeparator/>
      </w:r>
    </w:p>
  </w:footnote>
  <w:footnote w:type="continuationNotice" w:id="1">
    <w:p w14:paraId="2FE4D0CF" w14:textId="77777777" w:rsidR="007F624B" w:rsidRDefault="007F624B">
      <w:pPr>
        <w:spacing w:after="0" w:line="240" w:lineRule="auto"/>
      </w:pPr>
    </w:p>
  </w:footnote>
  <w:footnote w:id="2">
    <w:p w14:paraId="75FFD9D4" w14:textId="3E5B279F" w:rsidR="007F624B" w:rsidRPr="005B6084" w:rsidRDefault="007F624B" w:rsidP="005B6084">
      <w:pPr>
        <w:pStyle w:val="Testonotaapidipagina"/>
        <w:jc w:val="both"/>
      </w:pPr>
      <w:r w:rsidRPr="005B6084">
        <w:rPr>
          <w:rStyle w:val="Rimandonotaapidipagina"/>
        </w:rPr>
        <w:footnoteRef/>
      </w:r>
      <w:r w:rsidRPr="005B6084">
        <w:t xml:space="preserve"> Reader in International Law, University of Westminster. </w:t>
      </w:r>
      <w:bookmarkStart w:id="0" w:name="_GoBack"/>
      <w:bookmarkEnd w:id="0"/>
      <w:r w:rsidRPr="005B6084">
        <w:t>The article is based on developments as of June 2014 and all websites were last visited on that date.</w:t>
      </w:r>
    </w:p>
  </w:footnote>
  <w:footnote w:id="3">
    <w:p w14:paraId="7354835D" w14:textId="77777777" w:rsidR="007F624B" w:rsidRPr="005B6084" w:rsidRDefault="007F624B" w:rsidP="005B6084">
      <w:pPr>
        <w:pStyle w:val="Testonotaapidipagina"/>
        <w:jc w:val="both"/>
      </w:pPr>
      <w:r w:rsidRPr="005B6084">
        <w:rPr>
          <w:rStyle w:val="Rimandonotaapidipagina"/>
        </w:rPr>
        <w:footnoteRef/>
      </w:r>
      <w:r w:rsidRPr="005B6084">
        <w:t xml:space="preserve"> Cyber operations are </w:t>
      </w:r>
      <w:r w:rsidRPr="005B6084">
        <w:rPr>
          <w:rFonts w:eastAsia="Times New Roman"/>
          <w:lang w:val="en-US" w:eastAsia="it-IT"/>
        </w:rPr>
        <w:t>‘the employment of cyber capabilities with the primary purpose of achieving objectives in or by the use of cyberspace’ (</w:t>
      </w:r>
      <w:r w:rsidRPr="005B6084">
        <w:t>Michael N. Schmitt (</w:t>
      </w:r>
      <w:proofErr w:type="spellStart"/>
      <w:r w:rsidRPr="005B6084">
        <w:t>ed</w:t>
      </w:r>
      <w:proofErr w:type="spellEnd"/>
      <w:r w:rsidRPr="005B6084">
        <w:t xml:space="preserve">), </w:t>
      </w:r>
      <w:r w:rsidRPr="005B6084">
        <w:rPr>
          <w:i/>
        </w:rPr>
        <w:t>The Tallinn Manual on the International Law Applicable to Cyber Warfare</w:t>
      </w:r>
      <w:r w:rsidRPr="005B6084">
        <w:t xml:space="preserve"> (Cambridge University Press 2013), 258). Cyber operations include </w:t>
      </w:r>
      <w:proofErr w:type="spellStart"/>
      <w:r w:rsidRPr="005B6084">
        <w:t>cyber attacks</w:t>
      </w:r>
      <w:proofErr w:type="spellEnd"/>
      <w:r w:rsidRPr="005B6084">
        <w:t xml:space="preserve"> and cyber exploitation. </w:t>
      </w:r>
      <w:proofErr w:type="spellStart"/>
      <w:proofErr w:type="gramStart"/>
      <w:r w:rsidRPr="005B6084">
        <w:t>Cyber attacks</w:t>
      </w:r>
      <w:proofErr w:type="spellEnd"/>
      <w:r w:rsidRPr="005B6084">
        <w:t xml:space="preserve"> are </w:t>
      </w:r>
      <w:r w:rsidRPr="005B6084">
        <w:rPr>
          <w:lang w:val="en-US"/>
        </w:rPr>
        <w:t xml:space="preserve">those cyber operations, whether in offence or in </w:t>
      </w:r>
      <w:proofErr w:type="spellStart"/>
      <w:r w:rsidRPr="005B6084">
        <w:rPr>
          <w:lang w:val="en-US"/>
        </w:rPr>
        <w:t>defence</w:t>
      </w:r>
      <w:proofErr w:type="spellEnd"/>
      <w:r w:rsidRPr="005B6084">
        <w:rPr>
          <w:lang w:val="en-US"/>
        </w:rPr>
        <w:t>, intended to alter, delete, corrupt, or deny access to computer data or software for the purposes of a) propaganda or deception; and/or b) partly or totally disrupting the functioning of the targeted computer, computer system or network, and related computer-operated physical infrastructure (if any); and/or c) producing physical damage extrinsic to the computer, computer system, or network.</w:t>
      </w:r>
      <w:proofErr w:type="gramEnd"/>
      <w:r w:rsidRPr="005B6084">
        <w:rPr>
          <w:lang w:val="en-US"/>
        </w:rPr>
        <w:t xml:space="preserve"> Cyber exploitation refers to those operations that access other computers, computer systems or networks, without the authorization of their owners or exceeding the limits of the authorization, in order to obtain information, but without affecting the functionality of the accessed system or amending/deleting the data resident therein. For a discussion of these definitions, see </w:t>
      </w:r>
      <w:r w:rsidRPr="005B6084">
        <w:t xml:space="preserve">Marco Roscini, </w:t>
      </w:r>
      <w:r w:rsidRPr="005B6084">
        <w:rPr>
          <w:i/>
        </w:rPr>
        <w:t>Cyber Operations and the Use of Force in International Law</w:t>
      </w:r>
      <w:r w:rsidRPr="005B6084">
        <w:t xml:space="preserve"> (OUP, 2014), 10-18.</w:t>
      </w:r>
    </w:p>
  </w:footnote>
  <w:footnote w:id="4">
    <w:p w14:paraId="0C406F9D" w14:textId="7327D446" w:rsidR="007F624B" w:rsidRPr="005B6084" w:rsidRDefault="007F624B" w:rsidP="005B6084">
      <w:pPr>
        <w:pStyle w:val="Testonotaapidipagina"/>
        <w:jc w:val="both"/>
      </w:pPr>
      <w:r w:rsidRPr="005B6084">
        <w:rPr>
          <w:vertAlign w:val="superscript"/>
        </w:rPr>
        <w:footnoteRef/>
      </w:r>
      <w:r w:rsidRPr="005B6084">
        <w:t xml:space="preserve"> </w:t>
      </w:r>
      <w:r w:rsidRPr="005B6084">
        <w:rPr>
          <w:i/>
        </w:rPr>
        <w:t>Military and Paramilitary Activities in and against Nicaragua (Nicaragua v. United States of America),</w:t>
      </w:r>
      <w:r w:rsidRPr="005B6084">
        <w:t xml:space="preserve"> Merits [1986] ICJ Rep</w:t>
      </w:r>
      <w:r w:rsidR="0020595D" w:rsidRPr="005B6084">
        <w:t>.</w:t>
      </w:r>
      <w:r w:rsidRPr="005B6084">
        <w:t>, para. 57.</w:t>
      </w:r>
    </w:p>
  </w:footnote>
  <w:footnote w:id="5">
    <w:p w14:paraId="1F069202" w14:textId="77777777" w:rsidR="007F624B" w:rsidRPr="005B6084" w:rsidRDefault="007F624B" w:rsidP="005B6084">
      <w:pPr>
        <w:pStyle w:val="FN"/>
        <w:spacing w:line="240" w:lineRule="auto"/>
        <w:jc w:val="both"/>
        <w:rPr>
          <w:sz w:val="20"/>
          <w:szCs w:val="20"/>
        </w:rPr>
      </w:pPr>
      <w:r w:rsidRPr="005B6084">
        <w:rPr>
          <w:sz w:val="20"/>
          <w:szCs w:val="20"/>
          <w:vertAlign w:val="superscript"/>
          <w:lang w:val="en-GB"/>
        </w:rPr>
        <w:footnoteRef/>
      </w:r>
      <w:r w:rsidRPr="005B6084">
        <w:rPr>
          <w:sz w:val="20"/>
          <w:szCs w:val="20"/>
          <w:lang w:val="en-GB"/>
        </w:rPr>
        <w:t xml:space="preserve"> UN Doc A/66/152, 15 July 2011, at 18.</w:t>
      </w:r>
    </w:p>
  </w:footnote>
  <w:footnote w:id="6">
    <w:p w14:paraId="5A1C2480" w14:textId="77777777" w:rsidR="007F624B" w:rsidRPr="005B6084" w:rsidRDefault="007F624B" w:rsidP="005B6084">
      <w:pPr>
        <w:pStyle w:val="Testonotaapidipagina"/>
        <w:jc w:val="both"/>
      </w:pPr>
      <w:r w:rsidRPr="005B6084">
        <w:rPr>
          <w:rStyle w:val="Rimandonotaapidipagina"/>
        </w:rPr>
        <w:footnoteRef/>
      </w:r>
      <w:r w:rsidRPr="005B6084">
        <w:t xml:space="preserve"> Joel Brenner, </w:t>
      </w:r>
      <w:r w:rsidRPr="005B6084">
        <w:rPr>
          <w:i/>
        </w:rPr>
        <w:t>America the Vulnerable: Inside the New Threat Matrix of Digital Espionage, Crime, and Warfare</w:t>
      </w:r>
      <w:r w:rsidRPr="005B6084">
        <w:t xml:space="preserve"> (Penguin Press, 2011), at 32. </w:t>
      </w:r>
      <w:proofErr w:type="gramStart"/>
      <w:r w:rsidRPr="005B6084">
        <w:t xml:space="preserve">As has been observed ‘[t]he lack of timely, high-confidence attribution and the possibility of “spoofing” can create uncertainty and confusion for Governments, thus increasing the potential for crisis instability, misdirected responses and loss of escalation control during major </w:t>
      </w:r>
      <w:proofErr w:type="spellStart"/>
      <w:r w:rsidRPr="005B6084">
        <w:t>cyberincidents</w:t>
      </w:r>
      <w:proofErr w:type="spellEnd"/>
      <w:r w:rsidRPr="005B6084">
        <w:t>’ (United Nations Office for Disarmament Affairs, ‘Developments in the Field of Information and Telecommunications in the Context of International Security’, Disarmament Study Series 33, 2011, at 6.</w:t>
      </w:r>
      <w:proofErr w:type="gramEnd"/>
      <w:r w:rsidRPr="005B6084">
        <w:t xml:space="preserve"> &lt;</w:t>
      </w:r>
      <w:hyperlink r:id="rId1" w:history="1">
        <w:r w:rsidRPr="005B6084">
          <w:t>http://www.un.org/disarmament/HomePage/ODAPublications/DisarmamentStudySeries/</w:t>
        </w:r>
      </w:hyperlink>
      <w:r w:rsidRPr="005B6084">
        <w:t>&gt;).</w:t>
      </w:r>
    </w:p>
  </w:footnote>
  <w:footnote w:id="7">
    <w:p w14:paraId="04B1312C" w14:textId="47E6413E" w:rsidR="007F624B" w:rsidRPr="005B6084" w:rsidRDefault="007F624B" w:rsidP="005B6084">
      <w:pPr>
        <w:pStyle w:val="Testonotaapidipagina"/>
        <w:jc w:val="both"/>
      </w:pPr>
      <w:r w:rsidRPr="005B6084">
        <w:rPr>
          <w:rStyle w:val="Rimandonotaapidipagina"/>
        </w:rPr>
        <w:footnoteRef/>
      </w:r>
      <w:r w:rsidRPr="005B6084">
        <w:t xml:space="preserve"> </w:t>
      </w:r>
      <w:r w:rsidRPr="005B6084">
        <w:rPr>
          <w:lang w:val="en-US"/>
        </w:rPr>
        <w:t>Denial of Service (</w:t>
      </w:r>
      <w:proofErr w:type="spellStart"/>
      <w:r w:rsidRPr="005B6084">
        <w:rPr>
          <w:lang w:val="en-US"/>
        </w:rPr>
        <w:t>DoS</w:t>
      </w:r>
      <w:proofErr w:type="spellEnd"/>
      <w:r w:rsidRPr="005B6084">
        <w:rPr>
          <w:lang w:val="en-US"/>
        </w:rPr>
        <w:t xml:space="preserve">) attacks, of which ‘flood attacks’ are an example, do not normally penetrate into a computer system but aim to inundate the target with excessive calls, messages, enquiries or requests in order to overload it and force its shut down. Permanent </w:t>
      </w:r>
      <w:proofErr w:type="spellStart"/>
      <w:r w:rsidRPr="005B6084">
        <w:rPr>
          <w:lang w:val="en-US"/>
        </w:rPr>
        <w:t>DoS</w:t>
      </w:r>
      <w:proofErr w:type="spellEnd"/>
      <w:r w:rsidRPr="005B6084">
        <w:rPr>
          <w:lang w:val="en-US"/>
        </w:rPr>
        <w:t xml:space="preserve"> attacks are particularly serious attacks that damage the system and cause its replacement or reinstallation of hardware. When </w:t>
      </w:r>
      <w:proofErr w:type="gramStart"/>
      <w:r w:rsidRPr="005B6084">
        <w:rPr>
          <w:lang w:val="en-US"/>
        </w:rPr>
        <w:t xml:space="preserve">the </w:t>
      </w:r>
      <w:proofErr w:type="spellStart"/>
      <w:r w:rsidRPr="005B6084">
        <w:rPr>
          <w:lang w:val="en-US"/>
        </w:rPr>
        <w:t>DoS</w:t>
      </w:r>
      <w:proofErr w:type="spellEnd"/>
      <w:r w:rsidRPr="005B6084">
        <w:rPr>
          <w:lang w:val="en-US"/>
        </w:rPr>
        <w:t xml:space="preserve"> attack is carried out by a large number of computers organized in botnets</w:t>
      </w:r>
      <w:proofErr w:type="gramEnd"/>
      <w:r w:rsidRPr="005B6084">
        <w:rPr>
          <w:lang w:val="en-US"/>
        </w:rPr>
        <w:t xml:space="preserve">, it is referred to as a </w:t>
      </w:r>
      <w:proofErr w:type="spellStart"/>
      <w:r w:rsidRPr="005B6084">
        <w:rPr>
          <w:lang w:val="en-US"/>
        </w:rPr>
        <w:t>DDoS</w:t>
      </w:r>
      <w:proofErr w:type="spellEnd"/>
      <w:r w:rsidRPr="005B6084">
        <w:rPr>
          <w:lang w:val="en-US"/>
        </w:rPr>
        <w:t xml:space="preserve"> attacks</w:t>
      </w:r>
      <w:r w:rsidRPr="005B6084">
        <w:t>.</w:t>
      </w:r>
    </w:p>
  </w:footnote>
  <w:footnote w:id="8">
    <w:p w14:paraId="1CB82354" w14:textId="77777777" w:rsidR="007F624B" w:rsidRPr="005B6084" w:rsidRDefault="007F624B" w:rsidP="005B6084">
      <w:pPr>
        <w:pStyle w:val="Testonotaapidipagina"/>
        <w:jc w:val="both"/>
      </w:pPr>
      <w:r w:rsidRPr="005B6084">
        <w:rPr>
          <w:rStyle w:val="Rimandonotaapidipagina"/>
        </w:rPr>
        <w:footnoteRef/>
      </w:r>
      <w:r w:rsidRPr="005B6084">
        <w:t xml:space="preserve"> William A Owens, Kenneth W Dam, and Herbert S Lin, </w:t>
      </w:r>
      <w:r w:rsidRPr="005B6084">
        <w:rPr>
          <w:i/>
        </w:rPr>
        <w:t>Technology, Policy, Law, and Ethics Regarding U.S. Acquisition and Use of Cyberattack Capabilities</w:t>
      </w:r>
      <w:r w:rsidRPr="005B6084">
        <w:t xml:space="preserve"> (Washington, DC: National Academies Press, 2009), at 173.</w:t>
      </w:r>
    </w:p>
  </w:footnote>
  <w:footnote w:id="9">
    <w:p w14:paraId="5F3005C9" w14:textId="77777777" w:rsidR="007F624B" w:rsidRPr="005B6084" w:rsidRDefault="007F624B" w:rsidP="005B6084">
      <w:pPr>
        <w:pStyle w:val="Testonotaapidipagina"/>
        <w:jc w:val="both"/>
      </w:pPr>
      <w:r w:rsidRPr="005B6084">
        <w:rPr>
          <w:rStyle w:val="Rimandonotaapidipagina"/>
        </w:rPr>
        <w:footnoteRef/>
      </w:r>
      <w:r w:rsidRPr="005B6084">
        <w:t xml:space="preserve"> Owens, Dam, Lin, </w:t>
      </w:r>
      <w:r w:rsidRPr="005B6084">
        <w:rPr>
          <w:i/>
        </w:rPr>
        <w:t>supra</w:t>
      </w:r>
      <w:r w:rsidRPr="005B6084">
        <w:t xml:space="preserve"> note </w:t>
      </w:r>
      <w:r w:rsidRPr="005B6084">
        <w:fldChar w:fldCharType="begin"/>
      </w:r>
      <w:r w:rsidRPr="005B6084">
        <w:instrText xml:space="preserve"> NOTEREF _Ref383510798 \h  \* MERGEFORMAT </w:instrText>
      </w:r>
      <w:r w:rsidRPr="005B6084">
        <w:fldChar w:fldCharType="separate"/>
      </w:r>
      <w:proofErr w:type="gramStart"/>
      <w:r w:rsidR="005B6084">
        <w:t>7</w:t>
      </w:r>
      <w:proofErr w:type="gramEnd"/>
      <w:r w:rsidRPr="005B6084">
        <w:fldChar w:fldCharType="end"/>
      </w:r>
      <w:r w:rsidRPr="005B6084">
        <w:t>, at 173.</w:t>
      </w:r>
    </w:p>
  </w:footnote>
  <w:footnote w:id="10">
    <w:p w14:paraId="505AD9AB" w14:textId="77777777" w:rsidR="007F624B" w:rsidRPr="005B6084" w:rsidRDefault="007F624B" w:rsidP="005B6084">
      <w:pPr>
        <w:pStyle w:val="Testonotaapidipagina"/>
        <w:jc w:val="both"/>
      </w:pPr>
      <w:r w:rsidRPr="005B6084">
        <w:rPr>
          <w:rStyle w:val="Rimandonotaapidipagina"/>
        </w:rPr>
        <w:footnoteRef/>
      </w:r>
      <w:r w:rsidRPr="005B6084">
        <w:t xml:space="preserve">  Owens, Dam, Lin, </w:t>
      </w:r>
      <w:r w:rsidRPr="005B6084">
        <w:rPr>
          <w:i/>
        </w:rPr>
        <w:t>supra</w:t>
      </w:r>
      <w:r w:rsidRPr="005B6084">
        <w:t xml:space="preserve"> note </w:t>
      </w:r>
      <w:r w:rsidRPr="005B6084">
        <w:fldChar w:fldCharType="begin"/>
      </w:r>
      <w:r w:rsidRPr="005B6084">
        <w:instrText xml:space="preserve"> NOTEREF _Ref383510798 \h  \* MERGEFORMAT </w:instrText>
      </w:r>
      <w:r w:rsidRPr="005B6084">
        <w:fldChar w:fldCharType="separate"/>
      </w:r>
      <w:proofErr w:type="gramStart"/>
      <w:r w:rsidR="005B6084">
        <w:t>7</w:t>
      </w:r>
      <w:proofErr w:type="gramEnd"/>
      <w:r w:rsidRPr="005B6084">
        <w:fldChar w:fldCharType="end"/>
      </w:r>
      <w:r w:rsidRPr="005B6084">
        <w:t>, at 173.</w:t>
      </w:r>
    </w:p>
  </w:footnote>
  <w:footnote w:id="11">
    <w:p w14:paraId="485D534E" w14:textId="77777777" w:rsidR="007F624B" w:rsidRPr="005B6084" w:rsidRDefault="007F624B" w:rsidP="005B6084">
      <w:pPr>
        <w:pStyle w:val="Testonotaapidipagina"/>
        <w:jc w:val="both"/>
      </w:pPr>
      <w:r w:rsidRPr="005B6084">
        <w:rPr>
          <w:rStyle w:val="Rimandonotaapidipagina"/>
        </w:rPr>
        <w:footnoteRef/>
      </w:r>
      <w:r w:rsidRPr="005B6084">
        <w:t xml:space="preserve"> Scott J Shackelford, ‘From Nuclear War to Net War: Analogizing Cyber Attacks in International Law', </w:t>
      </w:r>
      <w:r w:rsidRPr="005B6084">
        <w:rPr>
          <w:i/>
        </w:rPr>
        <w:t>Berkeley Journal of International Law</w:t>
      </w:r>
      <w:r w:rsidRPr="005B6084">
        <w:t xml:space="preserve"> 27(1) (2009), at 208</w:t>
      </w:r>
      <w:proofErr w:type="gramStart"/>
      <w:r w:rsidRPr="005B6084">
        <w:t>;</w:t>
      </w:r>
      <w:proofErr w:type="gramEnd"/>
      <w:r w:rsidRPr="005B6084">
        <w:t xml:space="preserve"> Alexander </w:t>
      </w:r>
      <w:proofErr w:type="spellStart"/>
      <w:r w:rsidRPr="005B6084">
        <w:t>Klimburg</w:t>
      </w:r>
      <w:proofErr w:type="spellEnd"/>
      <w:r w:rsidRPr="005B6084">
        <w:t xml:space="preserve">, ‘Mobilising Cyber Power’, </w:t>
      </w:r>
      <w:r w:rsidRPr="005B6084">
        <w:rPr>
          <w:i/>
        </w:rPr>
        <w:t>Survival</w:t>
      </w:r>
      <w:r w:rsidRPr="005B6084">
        <w:t xml:space="preserve"> 53(1) (2011), at 50.</w:t>
      </w:r>
    </w:p>
  </w:footnote>
  <w:footnote w:id="12">
    <w:p w14:paraId="3F51BD8A"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Eneken</w:t>
      </w:r>
      <w:proofErr w:type="spellEnd"/>
      <w:r w:rsidRPr="005B6084">
        <w:t xml:space="preserve"> </w:t>
      </w:r>
      <w:proofErr w:type="spellStart"/>
      <w:r w:rsidRPr="005B6084">
        <w:t>Tikk</w:t>
      </w:r>
      <w:proofErr w:type="spellEnd"/>
      <w:r w:rsidRPr="005B6084">
        <w:t xml:space="preserve">, </w:t>
      </w:r>
      <w:proofErr w:type="spellStart"/>
      <w:r w:rsidRPr="005B6084">
        <w:t>Kadri</w:t>
      </w:r>
      <w:proofErr w:type="spellEnd"/>
      <w:r w:rsidRPr="005B6084">
        <w:t xml:space="preserve"> </w:t>
      </w:r>
      <w:proofErr w:type="spellStart"/>
      <w:r w:rsidRPr="005B6084">
        <w:t>Kaska</w:t>
      </w:r>
      <w:proofErr w:type="spellEnd"/>
      <w:r w:rsidRPr="005B6084">
        <w:t xml:space="preserve">, and </w:t>
      </w:r>
      <w:proofErr w:type="spellStart"/>
      <w:r w:rsidRPr="005B6084">
        <w:t>Liis</w:t>
      </w:r>
      <w:proofErr w:type="spellEnd"/>
      <w:r w:rsidRPr="005B6084">
        <w:t xml:space="preserve"> </w:t>
      </w:r>
      <w:proofErr w:type="spellStart"/>
      <w:r w:rsidRPr="005B6084">
        <w:t>Vihul</w:t>
      </w:r>
      <w:proofErr w:type="spellEnd"/>
      <w:r w:rsidRPr="005B6084">
        <w:t xml:space="preserve">, </w:t>
      </w:r>
      <w:r w:rsidRPr="005B6084">
        <w:rPr>
          <w:i/>
        </w:rPr>
        <w:t>International Cyber Incidents. Legal Considerations</w:t>
      </w:r>
      <w:r w:rsidRPr="005B6084">
        <w:t xml:space="preserve"> (CCDCOE, 2010), at 75.</w:t>
      </w:r>
    </w:p>
  </w:footnote>
  <w:footnote w:id="13">
    <w:p w14:paraId="3DE127AE"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Ibid.</w:t>
      </w:r>
    </w:p>
  </w:footnote>
  <w:footnote w:id="14">
    <w:p w14:paraId="01BC222B"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Ibid.</w:t>
      </w:r>
    </w:p>
  </w:footnote>
  <w:footnote w:id="15">
    <w:p w14:paraId="29778AF0"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Ibid.</w:t>
      </w:r>
    </w:p>
  </w:footnote>
  <w:footnote w:id="16">
    <w:p w14:paraId="6A19DF52" w14:textId="77777777" w:rsidR="007F624B" w:rsidRPr="005B6084" w:rsidRDefault="007F624B" w:rsidP="005B6084">
      <w:pPr>
        <w:pStyle w:val="Testonotaapidipagina"/>
        <w:jc w:val="both"/>
      </w:pPr>
      <w:r w:rsidRPr="005B6084">
        <w:rPr>
          <w:rStyle w:val="Rimandonotaapidipagina"/>
        </w:rPr>
        <w:footnoteRef/>
      </w:r>
      <w:r w:rsidRPr="005B6084">
        <w:t xml:space="preserve"> David E Sanger, ‘</w:t>
      </w:r>
      <w:r w:rsidRPr="005B6084">
        <w:rPr>
          <w:kern w:val="36"/>
        </w:rPr>
        <w:t xml:space="preserve">Obama Order Sped </w:t>
      </w:r>
      <w:proofErr w:type="gramStart"/>
      <w:r w:rsidRPr="005B6084">
        <w:rPr>
          <w:kern w:val="36"/>
        </w:rPr>
        <w:t>Up Wave of Cyberattacks Against</w:t>
      </w:r>
      <w:proofErr w:type="gramEnd"/>
      <w:r w:rsidRPr="005B6084">
        <w:rPr>
          <w:kern w:val="36"/>
        </w:rPr>
        <w:t xml:space="preserve"> Iran</w:t>
      </w:r>
      <w:r w:rsidRPr="005B6084">
        <w:t>’, The New York Times, 1 June 2012, &lt;http://www.nytimes.com/2012/06/01/world/middleeast/obama-ordered-wave-of-cyberattacks-against-iran.html?pagewanted=all&amp;_r=1&amp;&gt;.</w:t>
      </w:r>
    </w:p>
  </w:footnote>
  <w:footnote w:id="17">
    <w:p w14:paraId="7D993E3A"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proofErr w:type="gramStart"/>
      <w:r w:rsidRPr="005B6084">
        <w:t>Stuxnet</w:t>
      </w:r>
      <w:proofErr w:type="spellEnd"/>
      <w:r w:rsidRPr="005B6084">
        <w:t xml:space="preserve"> presumably infiltrated the </w:t>
      </w:r>
      <w:proofErr w:type="spellStart"/>
      <w:r w:rsidRPr="005B6084">
        <w:t>Natanz</w:t>
      </w:r>
      <w:proofErr w:type="spellEnd"/>
      <w:r w:rsidRPr="005B6084">
        <w:t xml:space="preserve"> system through laptops and USB drives as, for security reasons, the system is not usually connected to the internet, and had two components: one designed to force a change in the centrifuges’ rotor speed, inducing excessive vibrations or distortions that would destroy the centrifuges, and one that recorded the normal operations of the plant and then sent them back to plant operators so to make it look as everything was functioning normally (William J Broad, John </w:t>
      </w:r>
      <w:proofErr w:type="spellStart"/>
      <w:r w:rsidRPr="005B6084">
        <w:t>Markoff</w:t>
      </w:r>
      <w:proofErr w:type="spellEnd"/>
      <w:r w:rsidRPr="005B6084">
        <w:t xml:space="preserve"> and David E Sanger, ‘Israeli Test on Worm Called Crucial in Iran Nuclear Delay’, The New York Times, 15 January 2011 &lt;http://www.cfr.org/iran/nyt-israeli-test-worm-called-crucial-iran-nuclear-delay/p23850&gt;).</w:t>
      </w:r>
      <w:proofErr w:type="gramEnd"/>
    </w:p>
  </w:footnote>
  <w:footnote w:id="18">
    <w:p w14:paraId="7AF5376B" w14:textId="77777777" w:rsidR="007F624B" w:rsidRPr="005B6084" w:rsidRDefault="007F624B" w:rsidP="005B6084">
      <w:pPr>
        <w:pStyle w:val="Testonotaapidipagina"/>
        <w:jc w:val="both"/>
      </w:pPr>
      <w:r w:rsidRPr="005B6084">
        <w:rPr>
          <w:rStyle w:val="Rimandonotaapidipagina"/>
        </w:rPr>
        <w:footnoteRef/>
      </w:r>
      <w:r w:rsidRPr="005B6084">
        <w:t xml:space="preserve"> Jeremy Richmond, ‘Evolving Battlefields: Does </w:t>
      </w:r>
      <w:proofErr w:type="spellStart"/>
      <w:r w:rsidRPr="005B6084">
        <w:t>Stuxnet</w:t>
      </w:r>
      <w:proofErr w:type="spellEnd"/>
      <w:r w:rsidRPr="005B6084">
        <w:t xml:space="preserve"> Demonstrate a Need for Modifications to the Law of Armed Conflict?</w:t>
      </w:r>
      <w:proofErr w:type="gramStart"/>
      <w:r w:rsidRPr="005B6084">
        <w:t>’,</w:t>
      </w:r>
      <w:proofErr w:type="gramEnd"/>
      <w:r w:rsidRPr="005B6084">
        <w:t xml:space="preserve"> </w:t>
      </w:r>
      <w:r w:rsidRPr="005B6084">
        <w:rPr>
          <w:i/>
        </w:rPr>
        <w:t xml:space="preserve">Fordham International Law Journal </w:t>
      </w:r>
      <w:r w:rsidRPr="005B6084">
        <w:t xml:space="preserve">35 (2011-2012), at 849. </w:t>
      </w:r>
      <w:proofErr w:type="gramStart"/>
      <w:r w:rsidRPr="005B6084">
        <w:t xml:space="preserve">Although the exact consequences of the incident are still the object of debate, the International Atomic Energy Agency (IAEA) reported that, in the period when </w:t>
      </w:r>
      <w:proofErr w:type="spellStart"/>
      <w:r w:rsidRPr="005B6084">
        <w:t>Stuxnet</w:t>
      </w:r>
      <w:proofErr w:type="spellEnd"/>
      <w:r w:rsidRPr="005B6084">
        <w:t xml:space="preserve"> was active, Iran stopped feeding uranium into a significant number of gas centrifuges at </w:t>
      </w:r>
      <w:proofErr w:type="spellStart"/>
      <w:r w:rsidRPr="005B6084">
        <w:t>Natanz</w:t>
      </w:r>
      <w:proofErr w:type="spellEnd"/>
      <w:r w:rsidRPr="005B6084">
        <w:t xml:space="preserve"> (William J Broad, ‘Report Suggests Problems with Iran’s Nuclear Effort’, The New York Times, 23 November 2010</w:t>
      </w:r>
      <w:r w:rsidRPr="005B6084">
        <w:rPr>
          <w:highlight w:val="lightGray"/>
        </w:rPr>
        <w:t>,</w:t>
      </w:r>
      <w:r w:rsidRPr="005B6084">
        <w:t xml:space="preserve"> &lt;http://www.nytimes.com/2010/11/24/world/middleeast/24nuke.html&gt;).</w:t>
      </w:r>
      <w:proofErr w:type="gramEnd"/>
      <w:r w:rsidRPr="005B6084">
        <w:t xml:space="preserve"> It is still unclear, however, whether this was due to </w:t>
      </w:r>
      <w:proofErr w:type="spellStart"/>
      <w:r w:rsidRPr="005B6084">
        <w:t>Stuxnet</w:t>
      </w:r>
      <w:proofErr w:type="spellEnd"/>
      <w:r w:rsidRPr="005B6084">
        <w:t xml:space="preserve"> or to technical malfunctions inherent to the equipment used (Katharina </w:t>
      </w:r>
      <w:proofErr w:type="spellStart"/>
      <w:r w:rsidRPr="005B6084">
        <w:t>Ziolkowski</w:t>
      </w:r>
      <w:proofErr w:type="spellEnd"/>
      <w:r w:rsidRPr="005B6084">
        <w:t>, ‘</w:t>
      </w:r>
      <w:proofErr w:type="spellStart"/>
      <w:r w:rsidRPr="005B6084">
        <w:t>Stuxnet</w:t>
      </w:r>
      <w:proofErr w:type="spellEnd"/>
      <w:r w:rsidRPr="005B6084">
        <w:t xml:space="preserve"> – Legal Considerations’, NATO Cooperative Cyber Defence Centre of Excellence (CCDCOE), 2012, at 5; </w:t>
      </w:r>
      <w:proofErr w:type="spellStart"/>
      <w:r w:rsidRPr="005B6084">
        <w:t>Ivanka</w:t>
      </w:r>
      <w:proofErr w:type="spellEnd"/>
      <w:r w:rsidRPr="005B6084">
        <w:t xml:space="preserve"> </w:t>
      </w:r>
      <w:proofErr w:type="spellStart"/>
      <w:r w:rsidRPr="005B6084">
        <w:t>Barzashka</w:t>
      </w:r>
      <w:proofErr w:type="spellEnd"/>
      <w:r w:rsidRPr="005B6084">
        <w:t xml:space="preserve">, ‘Are Cyber-Weapons Effective? Assessing </w:t>
      </w:r>
      <w:proofErr w:type="spellStart"/>
      <w:r w:rsidRPr="005B6084">
        <w:t>Stuxnet’s</w:t>
      </w:r>
      <w:proofErr w:type="spellEnd"/>
      <w:r w:rsidRPr="005B6084">
        <w:t xml:space="preserve"> Impact on the Iranian Enrichment Programme’, </w:t>
      </w:r>
      <w:r w:rsidRPr="005B6084">
        <w:rPr>
          <w:i/>
        </w:rPr>
        <w:t>RUSI Journal</w:t>
      </w:r>
      <w:r w:rsidRPr="005B6084">
        <w:t xml:space="preserve"> 158(2) (2013), at 52).</w:t>
      </w:r>
    </w:p>
  </w:footnote>
  <w:footnote w:id="19">
    <w:p w14:paraId="2C5C09EB" w14:textId="77777777" w:rsidR="007F624B" w:rsidRPr="005B6084" w:rsidRDefault="007F624B" w:rsidP="005B6084">
      <w:pPr>
        <w:pStyle w:val="Testonotaapidipagina"/>
        <w:jc w:val="both"/>
      </w:pPr>
      <w:r w:rsidRPr="005B6084">
        <w:rPr>
          <w:rStyle w:val="Rimandonotaapidipagina"/>
        </w:rPr>
        <w:footnoteRef/>
      </w:r>
      <w:r w:rsidRPr="005B6084">
        <w:t xml:space="preserve"> See Thomas Rid, ‘Cyber War Will Not Take Place’ </w:t>
      </w:r>
      <w:r w:rsidRPr="005B6084">
        <w:rPr>
          <w:i/>
        </w:rPr>
        <w:t>Journal of Strategic Studies</w:t>
      </w:r>
      <w:r w:rsidRPr="005B6084">
        <w:t xml:space="preserve"> 1(2012) 35, at 7-20.</w:t>
      </w:r>
    </w:p>
  </w:footnote>
  <w:footnote w:id="20">
    <w:p w14:paraId="61F5548F" w14:textId="77777777" w:rsidR="007F624B" w:rsidRPr="005B6084" w:rsidRDefault="007F624B" w:rsidP="005B6084">
      <w:pPr>
        <w:pStyle w:val="Testonotaapidipagina"/>
        <w:jc w:val="both"/>
      </w:pPr>
      <w:r w:rsidRPr="005B6084">
        <w:rPr>
          <w:rStyle w:val="Rimandonotaapidipagina"/>
        </w:rPr>
        <w:footnoteRef/>
      </w:r>
      <w:r w:rsidRPr="005B6084">
        <w:rPr>
          <w:lang w:val="en-US"/>
        </w:rPr>
        <w:t xml:space="preserve"> Sanger, </w:t>
      </w:r>
      <w:r w:rsidRPr="005B6084">
        <w:rPr>
          <w:i/>
          <w:lang w:val="en-US"/>
        </w:rPr>
        <w:t>supra</w:t>
      </w:r>
      <w:r w:rsidRPr="005B6084">
        <w:rPr>
          <w:lang w:val="en-US"/>
        </w:rPr>
        <w:t xml:space="preserve"> note </w:t>
      </w:r>
      <w:r w:rsidRPr="005B6084">
        <w:rPr>
          <w:lang w:val="en-US"/>
        </w:rPr>
        <w:fldChar w:fldCharType="begin"/>
      </w:r>
      <w:r w:rsidRPr="005B6084">
        <w:rPr>
          <w:lang w:val="en-US"/>
        </w:rPr>
        <w:instrText xml:space="preserve"> NOTEREF _Ref389211315 \h  \* MERGEFORMAT </w:instrText>
      </w:r>
      <w:r w:rsidRPr="005B6084">
        <w:rPr>
          <w:lang w:val="en-US"/>
        </w:rPr>
      </w:r>
      <w:r w:rsidRPr="005B6084">
        <w:rPr>
          <w:lang w:val="en-US"/>
        </w:rPr>
        <w:fldChar w:fldCharType="separate"/>
      </w:r>
      <w:r w:rsidR="005B6084">
        <w:rPr>
          <w:lang w:val="en-US"/>
        </w:rPr>
        <w:t>15</w:t>
      </w:r>
      <w:r w:rsidRPr="005B6084">
        <w:rPr>
          <w:lang w:val="en-US"/>
        </w:rPr>
        <w:fldChar w:fldCharType="end"/>
      </w:r>
      <w:r w:rsidRPr="005B6084">
        <w:rPr>
          <w:lang w:val="en-US"/>
        </w:rPr>
        <w:t>.</w:t>
      </w:r>
    </w:p>
  </w:footnote>
  <w:footnote w:id="21">
    <w:p w14:paraId="1BB9EA23" w14:textId="77777777" w:rsidR="007F624B" w:rsidRPr="005B6084" w:rsidRDefault="007F624B" w:rsidP="005B6084">
      <w:pPr>
        <w:pStyle w:val="Testonotaapidipagina"/>
        <w:jc w:val="both"/>
      </w:pPr>
      <w:r w:rsidRPr="005B6084">
        <w:rPr>
          <w:rStyle w:val="Rimandonotaapidipagina"/>
        </w:rPr>
        <w:footnoteRef/>
      </w:r>
      <w:r w:rsidRPr="005B6084">
        <w:t xml:space="preserve"> Jacob </w:t>
      </w:r>
      <w:proofErr w:type="spellStart"/>
      <w:r w:rsidRPr="005B6084">
        <w:t>Appelbaum</w:t>
      </w:r>
      <w:proofErr w:type="spellEnd"/>
      <w:r w:rsidRPr="005B6084">
        <w:t xml:space="preserve"> and Laura </w:t>
      </w:r>
      <w:proofErr w:type="spellStart"/>
      <w:r w:rsidRPr="005B6084">
        <w:t>Poitras</w:t>
      </w:r>
      <w:proofErr w:type="spellEnd"/>
      <w:r w:rsidRPr="005B6084">
        <w:t>, ‘Edward Snowden Interview: The NSA and Its Willing Helpers’ Spiegel Online, 8 July 2013, &lt;http://www.spiegel.de/international/world/interview-with-whistleblower-edward-snowden-on-global-spying-a-910006.html&gt;.</w:t>
      </w:r>
    </w:p>
  </w:footnote>
  <w:footnote w:id="22">
    <w:p w14:paraId="465801AD" w14:textId="77777777" w:rsidR="007F624B" w:rsidRPr="005B6084" w:rsidRDefault="007F624B" w:rsidP="005B6084">
      <w:pPr>
        <w:pStyle w:val="Testonotaapidipagina"/>
        <w:jc w:val="both"/>
      </w:pPr>
      <w:r w:rsidRPr="005B6084">
        <w:rPr>
          <w:rStyle w:val="Rimandonotaapidipagina"/>
        </w:rPr>
        <w:footnoteRef/>
      </w:r>
      <w:r w:rsidRPr="005B6084">
        <w:t xml:space="preserve"> Nicolas </w:t>
      </w:r>
      <w:proofErr w:type="spellStart"/>
      <w:r w:rsidRPr="005B6084">
        <w:t>Falliere</w:t>
      </w:r>
      <w:proofErr w:type="spellEnd"/>
      <w:r w:rsidRPr="005B6084">
        <w:t xml:space="preserve">, Liam O </w:t>
      </w:r>
      <w:proofErr w:type="spellStart"/>
      <w:r w:rsidRPr="005B6084">
        <w:t>Murchu</w:t>
      </w:r>
      <w:proofErr w:type="spellEnd"/>
      <w:r w:rsidRPr="005B6084">
        <w:t xml:space="preserve">, and Eric </w:t>
      </w:r>
      <w:proofErr w:type="spellStart"/>
      <w:r w:rsidRPr="005B6084">
        <w:t>Chien</w:t>
      </w:r>
      <w:proofErr w:type="spellEnd"/>
      <w:r w:rsidRPr="005B6084">
        <w:t xml:space="preserve">, </w:t>
      </w:r>
      <w:r w:rsidRPr="005B6084">
        <w:rPr>
          <w:i/>
        </w:rPr>
        <w:t xml:space="preserve">W32. </w:t>
      </w:r>
      <w:proofErr w:type="spellStart"/>
      <w:r w:rsidRPr="005B6084">
        <w:rPr>
          <w:i/>
        </w:rPr>
        <w:t>Stuxnet</w:t>
      </w:r>
      <w:proofErr w:type="spellEnd"/>
      <w:r w:rsidRPr="005B6084">
        <w:rPr>
          <w:i/>
        </w:rPr>
        <w:t xml:space="preserve"> Dossier</w:t>
      </w:r>
      <w:r w:rsidRPr="005B6084">
        <w:t xml:space="preserve"> (Symantec, 2011),</w:t>
      </w:r>
      <w:r w:rsidRPr="005B6084">
        <w:rPr>
          <w:i/>
        </w:rPr>
        <w:t xml:space="preserve"> </w:t>
      </w:r>
      <w:r w:rsidRPr="005B6084">
        <w:t>Version 1.4, February 2011, at 18. &lt;http://www.symantec.com/content/en/us/enterprise/media/security_response/whitepapers/w32_stuxnet_dossier.pdf&gt;.</w:t>
      </w:r>
    </w:p>
  </w:footnote>
  <w:footnote w:id="23">
    <w:p w14:paraId="39453632" w14:textId="77777777" w:rsidR="007F624B" w:rsidRPr="005B6084" w:rsidRDefault="007F624B" w:rsidP="005B6084">
      <w:pPr>
        <w:pStyle w:val="Testonotaapidipagina"/>
        <w:jc w:val="both"/>
      </w:pPr>
      <w:r w:rsidRPr="005B6084">
        <w:rPr>
          <w:rStyle w:val="Rimandonotaapidipagina"/>
        </w:rPr>
        <w:footnoteRef/>
      </w:r>
      <w:r w:rsidRPr="005B6084">
        <w:t xml:space="preserve"> Broad, </w:t>
      </w:r>
      <w:proofErr w:type="spellStart"/>
      <w:r w:rsidRPr="005B6084">
        <w:t>Markoff</w:t>
      </w:r>
      <w:proofErr w:type="spellEnd"/>
      <w:r w:rsidRPr="005B6084">
        <w:t xml:space="preserve"> and Sanger, </w:t>
      </w:r>
      <w:r w:rsidRPr="005B6084">
        <w:rPr>
          <w:i/>
        </w:rPr>
        <w:t xml:space="preserve">supra </w:t>
      </w:r>
      <w:r w:rsidRPr="005B6084">
        <w:t xml:space="preserve">note </w:t>
      </w:r>
      <w:r w:rsidRPr="005B6084">
        <w:fldChar w:fldCharType="begin"/>
      </w:r>
      <w:r w:rsidRPr="005B6084">
        <w:instrText xml:space="preserve"> NOTEREF _Ref389203662 \h  \* MERGEFORMAT </w:instrText>
      </w:r>
      <w:r w:rsidRPr="005B6084">
        <w:fldChar w:fldCharType="separate"/>
      </w:r>
      <w:r w:rsidR="005B6084">
        <w:t>16</w:t>
      </w:r>
      <w:r w:rsidRPr="005B6084">
        <w:fldChar w:fldCharType="end"/>
      </w:r>
      <w:r w:rsidRPr="005B6084">
        <w:t>.</w:t>
      </w:r>
    </w:p>
  </w:footnote>
  <w:footnote w:id="24">
    <w:p w14:paraId="2F3CE8AB" w14:textId="77777777" w:rsidR="007F624B" w:rsidRPr="005B6084" w:rsidRDefault="007F624B" w:rsidP="005B6084">
      <w:pPr>
        <w:pStyle w:val="P"/>
        <w:spacing w:line="240" w:lineRule="auto"/>
        <w:jc w:val="both"/>
        <w:rPr>
          <w:sz w:val="20"/>
          <w:szCs w:val="20"/>
        </w:rPr>
      </w:pPr>
      <w:r w:rsidRPr="005B6084">
        <w:rPr>
          <w:rStyle w:val="Rimandonotaapidipagina"/>
          <w:sz w:val="20"/>
          <w:szCs w:val="20"/>
          <w:lang w:val="en-GB"/>
        </w:rPr>
        <w:footnoteRef/>
      </w:r>
      <w:r w:rsidRPr="005B6084">
        <w:rPr>
          <w:sz w:val="20"/>
          <w:szCs w:val="20"/>
          <w:lang w:val="en-GB"/>
        </w:rPr>
        <w:t xml:space="preserve"> Christopher Williams, ‘Israel video shows </w:t>
      </w:r>
      <w:proofErr w:type="spellStart"/>
      <w:r w:rsidRPr="005B6084">
        <w:rPr>
          <w:sz w:val="20"/>
          <w:szCs w:val="20"/>
          <w:lang w:val="en-GB"/>
        </w:rPr>
        <w:t>Stuxnet</w:t>
      </w:r>
      <w:proofErr w:type="spellEnd"/>
      <w:r w:rsidRPr="005B6084">
        <w:rPr>
          <w:sz w:val="20"/>
          <w:szCs w:val="20"/>
          <w:lang w:val="en-GB"/>
        </w:rPr>
        <w:t xml:space="preserve"> as one of its successes’, The Telegraph, 15 February 2011, &lt;</w:t>
      </w:r>
      <w:hyperlink r:id="rId2" w:history="1">
        <w:r w:rsidRPr="005B6084">
          <w:rPr>
            <w:sz w:val="20"/>
            <w:szCs w:val="20"/>
            <w:lang w:val="en-GB"/>
          </w:rPr>
          <w:t>http://www.telegraph.co.uk/news/worldnews/middleeast/israel/8326387/Israel-video-shows-Stuxnet-as-one-of-its-successes.html</w:t>
        </w:r>
      </w:hyperlink>
      <w:r w:rsidRPr="005B6084">
        <w:rPr>
          <w:sz w:val="20"/>
          <w:szCs w:val="20"/>
          <w:lang w:val="en-GB"/>
        </w:rPr>
        <w:t>&gt;.</w:t>
      </w:r>
    </w:p>
  </w:footnote>
  <w:footnote w:id="25">
    <w:p w14:paraId="4EB6AD0E" w14:textId="77777777" w:rsidR="007F624B" w:rsidRPr="005B6084" w:rsidRDefault="007F624B" w:rsidP="005B6084">
      <w:pPr>
        <w:pStyle w:val="Testonotaapidipagina"/>
        <w:jc w:val="both"/>
      </w:pPr>
      <w:r w:rsidRPr="005B6084">
        <w:rPr>
          <w:rStyle w:val="Rimandonotaapidipagina"/>
        </w:rPr>
        <w:footnoteRef/>
      </w:r>
      <w:r w:rsidRPr="005B6084">
        <w:t xml:space="preserve"> United States Department of </w:t>
      </w:r>
      <w:proofErr w:type="spellStart"/>
      <w:r w:rsidRPr="005B6084">
        <w:t>Defense</w:t>
      </w:r>
      <w:proofErr w:type="spellEnd"/>
      <w:r w:rsidRPr="005B6084">
        <w:t>, ‘Annual Report to Congress: Military and Security Developments Involving the People’s Republic of China 2013’, 6 May 2013, at 36. &lt;http://www.defense.gov/pubs/2013_china_report_final.pdf&gt;.</w:t>
      </w:r>
    </w:p>
  </w:footnote>
  <w:footnote w:id="26">
    <w:p w14:paraId="5119D01F"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Mandiant</w:t>
      </w:r>
      <w:proofErr w:type="spellEnd"/>
      <w:r w:rsidRPr="005B6084">
        <w:t xml:space="preserve">, </w:t>
      </w:r>
      <w:r w:rsidRPr="005B6084">
        <w:rPr>
          <w:i/>
        </w:rPr>
        <w:t>APT1 – Exposing One of China’s Cyber Espionage Units</w:t>
      </w:r>
      <w:r w:rsidRPr="005B6084">
        <w:t xml:space="preserve"> (2013), at 39, &lt;http://intelreport.mandiant.com/Mandiant_APT1_Report.pdf&gt;.</w:t>
      </w:r>
    </w:p>
  </w:footnote>
  <w:footnote w:id="27">
    <w:p w14:paraId="66520D86"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rPr>
          <w:i/>
        </w:rPr>
        <w:t>Ibid.,</w:t>
      </w:r>
      <w:proofErr w:type="gramEnd"/>
      <w:r w:rsidRPr="005B6084">
        <w:t xml:space="preserve"> at 2.</w:t>
      </w:r>
    </w:p>
  </w:footnote>
  <w:footnote w:id="28">
    <w:p w14:paraId="74DDCCD5" w14:textId="77777777" w:rsidR="007F624B" w:rsidRPr="005B6084" w:rsidRDefault="007F624B" w:rsidP="005B6084">
      <w:pPr>
        <w:pStyle w:val="Testonotaapidipagina"/>
        <w:jc w:val="both"/>
      </w:pPr>
      <w:r w:rsidRPr="005B6084">
        <w:rPr>
          <w:rStyle w:val="Rimandonotaapidipagina"/>
        </w:rPr>
        <w:footnoteRef/>
      </w:r>
      <w:r w:rsidRPr="005B6084">
        <w:t xml:space="preserve"> ‘China condemns hacking report by US firm </w:t>
      </w:r>
      <w:proofErr w:type="spellStart"/>
      <w:r w:rsidRPr="005B6084">
        <w:t>Mandiant</w:t>
      </w:r>
      <w:proofErr w:type="spellEnd"/>
      <w:r w:rsidRPr="005B6084">
        <w:t>’ BBC, 20 February 2013, &lt;http://www.bbc.co.uk/news/world-us-canada-21515259&gt;.</w:t>
      </w:r>
    </w:p>
  </w:footnote>
  <w:footnote w:id="29">
    <w:p w14:paraId="7C07EA95" w14:textId="77777777" w:rsidR="007F624B" w:rsidRPr="005B6084" w:rsidRDefault="007F624B" w:rsidP="005B6084">
      <w:pPr>
        <w:pStyle w:val="Testonotaapidipagina"/>
        <w:jc w:val="both"/>
      </w:pPr>
      <w:r w:rsidRPr="005B6084">
        <w:rPr>
          <w:rStyle w:val="Rimandonotaapidipagina"/>
        </w:rPr>
        <w:footnoteRef/>
      </w:r>
      <w:r w:rsidRPr="005B6084">
        <w:t xml:space="preserve"> Read the indictment at &lt;http://www.justice.gov/iso/opa/resources/5122014519132358461949.pdf&gt;.</w:t>
      </w:r>
    </w:p>
  </w:footnote>
  <w:footnote w:id="30">
    <w:p w14:paraId="56BF42D9" w14:textId="191087BC" w:rsidR="007F624B" w:rsidRPr="005B6084" w:rsidRDefault="007F624B" w:rsidP="005B6084">
      <w:pPr>
        <w:pStyle w:val="Testonotaapidipagina"/>
        <w:jc w:val="both"/>
      </w:pPr>
      <w:r w:rsidRPr="005B6084">
        <w:rPr>
          <w:rStyle w:val="Rimandonotaapidipagina"/>
        </w:rPr>
        <w:footnoteRef/>
      </w:r>
      <w:r w:rsidRPr="005B6084">
        <w:t xml:space="preserve"> Some discussion is contained in Robin </w:t>
      </w:r>
      <w:proofErr w:type="spellStart"/>
      <w:r w:rsidRPr="005B6084">
        <w:t>Geiß</w:t>
      </w:r>
      <w:proofErr w:type="spellEnd"/>
      <w:r w:rsidRPr="005B6084">
        <w:t xml:space="preserve"> and Henning </w:t>
      </w:r>
      <w:proofErr w:type="spellStart"/>
      <w:r w:rsidRPr="005B6084">
        <w:t>Lahmann</w:t>
      </w:r>
      <w:proofErr w:type="spellEnd"/>
      <w:r w:rsidRPr="005B6084">
        <w:t xml:space="preserve">, ‘Freedom and Security in Cyberspace: Shifting the Focus away from Military Responses towards Non-Forcible Countermeasures and Collective Threat-Prevention’ in Katharina </w:t>
      </w:r>
      <w:proofErr w:type="spellStart"/>
      <w:r w:rsidRPr="005B6084">
        <w:t>Ziolkowski</w:t>
      </w:r>
      <w:proofErr w:type="spellEnd"/>
      <w:r w:rsidRPr="005B6084">
        <w:t xml:space="preserve"> (ed.), </w:t>
      </w:r>
      <w:r w:rsidRPr="005B6084">
        <w:rPr>
          <w:i/>
        </w:rPr>
        <w:t>Peacetime Regime for State Activities in Cyberspace. International Law, International Relations and Diplomacy</w:t>
      </w:r>
      <w:r w:rsidRPr="005B6084">
        <w:t xml:space="preserve"> (CCDCOE, 2013)</w:t>
      </w:r>
      <w:proofErr w:type="gramStart"/>
      <w:r w:rsidRPr="005B6084">
        <w:t>;</w:t>
      </w:r>
      <w:proofErr w:type="gramEnd"/>
      <w:r w:rsidRPr="005B6084">
        <w:t xml:space="preserve"> and Scott J Shackelford and Richard B Andres, ‘State Responsibility for Cyber Attacks: Competing Standards for a Growing Problem’, </w:t>
      </w:r>
      <w:r w:rsidRPr="005B6084">
        <w:rPr>
          <w:i/>
        </w:rPr>
        <w:t>Georgetown Journal of International Law</w:t>
      </w:r>
      <w:r w:rsidRPr="005B6084">
        <w:t xml:space="preserve"> 42 (2010-2011), 971-1016. In the context of law enforcement, the Council of Europe has drafted an Electronic Evidence Guide for cyber crime (&lt;http://www.coe.int/t/dghl/cooperation/economiccrime/cybercrime/Documents/Electronic%20Evidence%20Guide/default_en.asp&gt;).</w:t>
      </w:r>
    </w:p>
  </w:footnote>
  <w:footnote w:id="31">
    <w:p w14:paraId="02746E41"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Tallinn Manual</w:t>
      </w:r>
      <w:r w:rsidRPr="005B6084">
        <w:t xml:space="preserve">, </w:t>
      </w:r>
      <w:r w:rsidRPr="005B6084">
        <w:rPr>
          <w:i/>
        </w:rPr>
        <w:t>supra</w:t>
      </w:r>
      <w:r w:rsidRPr="005B6084">
        <w:t xml:space="preserve"> note </w:t>
      </w:r>
      <w:r w:rsidRPr="005B6084">
        <w:fldChar w:fldCharType="begin"/>
      </w:r>
      <w:r w:rsidRPr="005B6084">
        <w:instrText xml:space="preserve"> NOTEREF _Ref383511592 \h  \* MERGEFORMAT </w:instrText>
      </w:r>
      <w:r w:rsidRPr="005B6084">
        <w:fldChar w:fldCharType="separate"/>
      </w:r>
      <w:proofErr w:type="gramStart"/>
      <w:r w:rsidR="005B6084">
        <w:t>2</w:t>
      </w:r>
      <w:proofErr w:type="gramEnd"/>
      <w:r w:rsidRPr="005B6084">
        <w:fldChar w:fldCharType="end"/>
      </w:r>
      <w:r w:rsidRPr="005B6084">
        <w:t>, at 34–36.</w:t>
      </w:r>
    </w:p>
  </w:footnote>
  <w:footnote w:id="32">
    <w:p w14:paraId="47B66AE9" w14:textId="77777777" w:rsidR="007F624B" w:rsidRPr="005B6084" w:rsidRDefault="007F624B" w:rsidP="005B6084">
      <w:pPr>
        <w:pStyle w:val="Testonotaapidipagina"/>
        <w:jc w:val="both"/>
      </w:pPr>
      <w:r w:rsidRPr="005B6084">
        <w:rPr>
          <w:rStyle w:val="Rimandonotaapidipagina"/>
        </w:rPr>
        <w:footnoteRef/>
      </w:r>
      <w:r w:rsidRPr="005B6084">
        <w:t xml:space="preserve"> The statutes and rules of international criminal tribunals provide for specific evidentiary rules (</w:t>
      </w:r>
      <w:proofErr w:type="spellStart"/>
      <w:r w:rsidRPr="005B6084">
        <w:t>Rüdiger</w:t>
      </w:r>
      <w:proofErr w:type="spellEnd"/>
      <w:r w:rsidRPr="005B6084">
        <w:t xml:space="preserve"> </w:t>
      </w:r>
      <w:proofErr w:type="spellStart"/>
      <w:r w:rsidRPr="005B6084">
        <w:t>Wolfrum</w:t>
      </w:r>
      <w:proofErr w:type="spellEnd"/>
      <w:r w:rsidRPr="005B6084">
        <w:t xml:space="preserve">, ‘International Courts and Tribunals, Evidence’, </w:t>
      </w:r>
      <w:r w:rsidRPr="005B6084">
        <w:rPr>
          <w:i/>
        </w:rPr>
        <w:t xml:space="preserve">Max Planck </w:t>
      </w:r>
      <w:proofErr w:type="spellStart"/>
      <w:r w:rsidRPr="005B6084">
        <w:rPr>
          <w:i/>
        </w:rPr>
        <w:t>Encyclopedia</w:t>
      </w:r>
      <w:proofErr w:type="spellEnd"/>
      <w:r w:rsidRPr="005B6084">
        <w:rPr>
          <w:i/>
        </w:rPr>
        <w:t xml:space="preserve"> of Public International Law </w:t>
      </w:r>
      <w:r w:rsidRPr="005B6084">
        <w:t>(2012), vol. V, at 567-69).</w:t>
      </w:r>
    </w:p>
  </w:footnote>
  <w:footnote w:id="33">
    <w:p w14:paraId="3C30486F"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rPr>
          <w:i/>
        </w:rPr>
        <w:t>Ibid.,</w:t>
      </w:r>
      <w:proofErr w:type="gramEnd"/>
      <w:r w:rsidRPr="005B6084">
        <w:t xml:space="preserve"> at 552.</w:t>
      </w:r>
    </w:p>
  </w:footnote>
  <w:footnote w:id="34">
    <w:p w14:paraId="2357A85C" w14:textId="77777777" w:rsidR="007F624B" w:rsidRPr="005B6084" w:rsidRDefault="007F624B" w:rsidP="005B6084">
      <w:pPr>
        <w:pStyle w:val="Testonotaapidipagina"/>
        <w:jc w:val="both"/>
      </w:pPr>
      <w:r w:rsidRPr="005B6084">
        <w:rPr>
          <w:rStyle w:val="Rimandonotaapidipagina"/>
        </w:rPr>
        <w:footnoteRef/>
      </w:r>
      <w:r w:rsidRPr="005B6084">
        <w:t xml:space="preserve"> Matthew J </w:t>
      </w:r>
      <w:proofErr w:type="spellStart"/>
      <w:r w:rsidRPr="005B6084">
        <w:t>Canavan</w:t>
      </w:r>
      <w:proofErr w:type="spellEnd"/>
      <w:r w:rsidRPr="005B6084">
        <w:t xml:space="preserve">, Lawrence J </w:t>
      </w:r>
      <w:proofErr w:type="spellStart"/>
      <w:r w:rsidRPr="005B6084">
        <w:t>Culligan</w:t>
      </w:r>
      <w:proofErr w:type="spellEnd"/>
      <w:r w:rsidRPr="005B6084">
        <w:t xml:space="preserve">, Arnold O </w:t>
      </w:r>
      <w:proofErr w:type="spellStart"/>
      <w:r w:rsidRPr="005B6084">
        <w:t>Ginnow</w:t>
      </w:r>
      <w:proofErr w:type="spellEnd"/>
      <w:r w:rsidRPr="005B6084">
        <w:t xml:space="preserve">, Francis J </w:t>
      </w:r>
      <w:proofErr w:type="spellStart"/>
      <w:r w:rsidRPr="005B6084">
        <w:t>Ludes</w:t>
      </w:r>
      <w:proofErr w:type="spellEnd"/>
      <w:r w:rsidRPr="005B6084">
        <w:t xml:space="preserve">, Robert J Owens, </w:t>
      </w:r>
      <w:proofErr w:type="gramStart"/>
      <w:r w:rsidRPr="005B6084">
        <w:rPr>
          <w:i/>
        </w:rPr>
        <w:t>Corpus</w:t>
      </w:r>
      <w:proofErr w:type="gramEnd"/>
      <w:r w:rsidRPr="005B6084">
        <w:rPr>
          <w:i/>
        </w:rPr>
        <w:t xml:space="preserve"> Juris </w:t>
      </w:r>
      <w:proofErr w:type="spellStart"/>
      <w:r w:rsidRPr="005B6084">
        <w:rPr>
          <w:i/>
        </w:rPr>
        <w:t>Secundum</w:t>
      </w:r>
      <w:proofErr w:type="spellEnd"/>
      <w:r w:rsidRPr="005B6084">
        <w:rPr>
          <w:i/>
        </w:rPr>
        <w:t xml:space="preserve">: A Complete Restatement of the Entire American Law, </w:t>
      </w:r>
      <w:proofErr w:type="spellStart"/>
      <w:r w:rsidRPr="005B6084">
        <w:t>Vol</w:t>
      </w:r>
      <w:proofErr w:type="spellEnd"/>
      <w:r w:rsidRPr="005B6084">
        <w:t xml:space="preserve"> 31A: Evidence (West Publishing, St Paul, 1964), at 820.</w:t>
      </w:r>
    </w:p>
  </w:footnote>
  <w:footnote w:id="35">
    <w:p w14:paraId="74E2A9AF" w14:textId="77777777" w:rsidR="007F624B" w:rsidRPr="005B6084" w:rsidRDefault="007F624B" w:rsidP="005B6084">
      <w:pPr>
        <w:pStyle w:val="Testonotaapidipagina"/>
        <w:jc w:val="both"/>
      </w:pPr>
      <w:r w:rsidRPr="005B6084">
        <w:rPr>
          <w:rStyle w:val="Rimandonotaapidipagina"/>
        </w:rPr>
        <w:footnoteRef/>
      </w:r>
      <w:r w:rsidRPr="005B6084">
        <w:t xml:space="preserve"> On the distinction between ‘use of force’ and ‘armed attack’, see </w:t>
      </w:r>
      <w:r w:rsidRPr="005B6084">
        <w:rPr>
          <w:i/>
        </w:rPr>
        <w:t>Nicaragua</w:t>
      </w:r>
      <w:r w:rsidRPr="005B6084">
        <w:t xml:space="preserve">, Merits, </w:t>
      </w:r>
      <w:r w:rsidRPr="005B6084">
        <w:rPr>
          <w:i/>
        </w:rPr>
        <w:t>supra</w:t>
      </w:r>
      <w:r w:rsidRPr="005B6084">
        <w:t xml:space="preserve"> note </w:t>
      </w:r>
      <w:r w:rsidRPr="005B6084">
        <w:fldChar w:fldCharType="begin"/>
      </w:r>
      <w:r w:rsidRPr="005B6084">
        <w:instrText xml:space="preserve"> NOTEREF _Ref383511825 \h  \* MERGEFORMAT </w:instrText>
      </w:r>
      <w:r w:rsidRPr="005B6084">
        <w:fldChar w:fldCharType="separate"/>
      </w:r>
      <w:proofErr w:type="gramStart"/>
      <w:r w:rsidR="005B6084">
        <w:t>3</w:t>
      </w:r>
      <w:proofErr w:type="gramEnd"/>
      <w:r w:rsidRPr="005B6084">
        <w:fldChar w:fldCharType="end"/>
      </w:r>
      <w:r w:rsidRPr="005B6084">
        <w:t>, paras. 191, 195.</w:t>
      </w:r>
    </w:p>
  </w:footnote>
  <w:footnote w:id="36">
    <w:p w14:paraId="36949DBA" w14:textId="77777777" w:rsidR="007F624B" w:rsidRPr="005B6084" w:rsidRDefault="007F624B" w:rsidP="005B6084">
      <w:pPr>
        <w:pStyle w:val="Testonotaapidipagina"/>
        <w:jc w:val="both"/>
      </w:pPr>
      <w:r w:rsidRPr="005B6084">
        <w:rPr>
          <w:rStyle w:val="Rimandonotaapidipagina"/>
        </w:rPr>
        <w:footnoteRef/>
      </w:r>
      <w:r w:rsidRPr="005B6084">
        <w:t xml:space="preserve"> On whether self-defence can be exercised against </w:t>
      </w:r>
      <w:proofErr w:type="spellStart"/>
      <w:r w:rsidRPr="005B6084">
        <w:t>cyber attacks</w:t>
      </w:r>
      <w:proofErr w:type="spellEnd"/>
      <w:r w:rsidRPr="005B6084">
        <w:t xml:space="preserve"> by non-state actors, see </w:t>
      </w:r>
      <w:proofErr w:type="gramStart"/>
      <w:r w:rsidRPr="005B6084">
        <w:t>Roscini,</w:t>
      </w:r>
      <w:proofErr w:type="gramEnd"/>
      <w:r w:rsidRPr="005B6084">
        <w:t xml:space="preserve"> </w:t>
      </w:r>
      <w:r w:rsidRPr="005B6084">
        <w:rPr>
          <w:i/>
        </w:rPr>
        <w:t xml:space="preserve">supra </w:t>
      </w:r>
      <w:r w:rsidRPr="005B6084">
        <w:t xml:space="preserve">note </w:t>
      </w:r>
      <w:r w:rsidRPr="005B6084">
        <w:fldChar w:fldCharType="begin"/>
      </w:r>
      <w:r w:rsidRPr="005B6084">
        <w:instrText xml:space="preserve"> NOTEREF _Ref383511592 \h  \* MERGEFORMAT </w:instrText>
      </w:r>
      <w:r w:rsidRPr="005B6084">
        <w:fldChar w:fldCharType="separate"/>
      </w:r>
      <w:r w:rsidR="005B6084">
        <w:t>2</w:t>
      </w:r>
      <w:r w:rsidRPr="005B6084">
        <w:fldChar w:fldCharType="end"/>
      </w:r>
      <w:r w:rsidRPr="005B6084">
        <w:t>, 80-88.</w:t>
      </w:r>
    </w:p>
  </w:footnote>
  <w:footnote w:id="37">
    <w:p w14:paraId="7E73CBD9" w14:textId="0365DD75"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Geiß</w:t>
      </w:r>
      <w:proofErr w:type="spellEnd"/>
      <w:r w:rsidRPr="005B6084">
        <w:t xml:space="preserve"> and </w:t>
      </w:r>
      <w:proofErr w:type="spellStart"/>
      <w:r w:rsidRPr="005B6084">
        <w:t>Lahmann</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_Ref389211752 \h  \* MERGEFORMAT </w:instrText>
      </w:r>
      <w:r w:rsidRPr="005B6084">
        <w:fldChar w:fldCharType="separate"/>
      </w:r>
      <w:r w:rsidR="005B6084">
        <w:t>28</w:t>
      </w:r>
      <w:r w:rsidRPr="005B6084">
        <w:fldChar w:fldCharType="end"/>
      </w:r>
      <w:r w:rsidRPr="005B6084">
        <w:t>, at 637.</w:t>
      </w:r>
    </w:p>
  </w:footnote>
  <w:footnote w:id="38">
    <w:p w14:paraId="3B603786" w14:textId="77777777" w:rsidR="007F624B" w:rsidRPr="005B6084" w:rsidRDefault="007F624B" w:rsidP="005B6084">
      <w:pPr>
        <w:pStyle w:val="Testonotaapidipagina"/>
        <w:jc w:val="both"/>
      </w:pPr>
      <w:r w:rsidRPr="005B6084">
        <w:rPr>
          <w:rStyle w:val="Rimandonotaapidipagina"/>
        </w:rPr>
        <w:footnoteRef/>
      </w:r>
      <w:r w:rsidRPr="005B6084">
        <w:rPr>
          <w:lang w:val="it-IT"/>
        </w:rPr>
        <w:t xml:space="preserve"> </w:t>
      </w:r>
      <w:r w:rsidRPr="005B6084">
        <w:rPr>
          <w:i/>
          <w:lang w:val="it-IT"/>
        </w:rPr>
        <w:t xml:space="preserve">Nicaragua, </w:t>
      </w:r>
      <w:proofErr w:type="spellStart"/>
      <w:r w:rsidRPr="005B6084">
        <w:rPr>
          <w:lang w:val="it-IT"/>
        </w:rPr>
        <w:t>Merits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r w:rsidRPr="005B6084">
        <w:t>57.</w:t>
      </w:r>
    </w:p>
  </w:footnote>
  <w:footnote w:id="39">
    <w:p w14:paraId="753ED489"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Ibid.</w:t>
      </w:r>
    </w:p>
  </w:footnote>
  <w:footnote w:id="40">
    <w:p w14:paraId="066C8934" w14:textId="77777777" w:rsidR="007F624B" w:rsidRPr="005B6084" w:rsidRDefault="007F624B" w:rsidP="005B6084">
      <w:pPr>
        <w:pStyle w:val="Testonotaapidipagina"/>
        <w:jc w:val="both"/>
      </w:pPr>
      <w:r w:rsidRPr="005B6084">
        <w:rPr>
          <w:rStyle w:val="Rimandonotaapidipagina"/>
        </w:rPr>
        <w:footnoteRef/>
      </w:r>
      <w:r w:rsidRPr="005B6084">
        <w:t xml:space="preserve"> See Roscini, </w:t>
      </w:r>
      <w:r w:rsidRPr="005B6084">
        <w:rPr>
          <w:i/>
        </w:rPr>
        <w:t>supra</w:t>
      </w:r>
      <w:r w:rsidRPr="005B6084">
        <w:t xml:space="preserve"> note </w:t>
      </w:r>
      <w:r w:rsidRPr="005B6084">
        <w:fldChar w:fldCharType="begin"/>
      </w:r>
      <w:r w:rsidRPr="005B6084">
        <w:instrText xml:space="preserve"> NOTEREF _Ref383511592 \h  \* MERGEFORMAT </w:instrText>
      </w:r>
      <w:r w:rsidRPr="005B6084">
        <w:fldChar w:fldCharType="separate"/>
      </w:r>
      <w:proofErr w:type="gramStart"/>
      <w:r w:rsidR="005B6084">
        <w:t>2</w:t>
      </w:r>
      <w:proofErr w:type="gramEnd"/>
      <w:r w:rsidRPr="005B6084">
        <w:fldChar w:fldCharType="end"/>
      </w:r>
      <w:r w:rsidRPr="005B6084">
        <w:t>, 45-63, 70-77.</w:t>
      </w:r>
    </w:p>
  </w:footnote>
  <w:footnote w:id="41">
    <w:p w14:paraId="0CD84611" w14:textId="77777777" w:rsidR="007F624B" w:rsidRPr="005B6084" w:rsidRDefault="007F624B" w:rsidP="005B6084">
      <w:pPr>
        <w:pStyle w:val="Testonotaapidipagina"/>
        <w:jc w:val="both"/>
      </w:pPr>
      <w:r w:rsidRPr="005B6084">
        <w:rPr>
          <w:rStyle w:val="Rimandonotaapidipagina"/>
        </w:rPr>
        <w:footnoteRef/>
      </w:r>
      <w:r w:rsidRPr="005B6084">
        <w:t xml:space="preserve"> James A Green, ‘Fluctuating Evidentiary Standards for Self-Defence in the International Court of Justice’, </w:t>
      </w:r>
      <w:r w:rsidRPr="005B6084">
        <w:rPr>
          <w:i/>
        </w:rPr>
        <w:t>International and Comparative Law Quarterly</w:t>
      </w:r>
      <w:r w:rsidRPr="005B6084">
        <w:t xml:space="preserve"> 58 (2009), at 165.</w:t>
      </w:r>
    </w:p>
  </w:footnote>
  <w:footnote w:id="42">
    <w:p w14:paraId="6004BA2A" w14:textId="77777777" w:rsidR="007F624B" w:rsidRPr="005B6084" w:rsidRDefault="007F624B" w:rsidP="005B6084">
      <w:pPr>
        <w:pStyle w:val="Testonotaapidipagina"/>
        <w:jc w:val="both"/>
      </w:pPr>
      <w:r w:rsidRPr="005B6084">
        <w:rPr>
          <w:rStyle w:val="Rimandonotaapidipagina"/>
        </w:rPr>
        <w:footnoteRef/>
      </w:r>
      <w:r w:rsidRPr="005B6084">
        <w:t xml:space="preserve"> For a discussion of the attribution rules in the cyber context, see Roscini, </w:t>
      </w:r>
      <w:r w:rsidRPr="005B6084">
        <w:rPr>
          <w:i/>
        </w:rPr>
        <w:t>supra</w:t>
      </w:r>
      <w:r w:rsidRPr="005B6084">
        <w:t xml:space="preserve"> note </w:t>
      </w:r>
      <w:r w:rsidRPr="005B6084">
        <w:fldChar w:fldCharType="begin"/>
      </w:r>
      <w:r w:rsidRPr="005B6084">
        <w:instrText xml:space="preserve"> NOTEREF _Ref383511592 \h  \* MERGEFORMAT </w:instrText>
      </w:r>
      <w:r w:rsidRPr="005B6084">
        <w:fldChar w:fldCharType="separate"/>
      </w:r>
      <w:proofErr w:type="gramStart"/>
      <w:r w:rsidR="005B6084">
        <w:t>2</w:t>
      </w:r>
      <w:proofErr w:type="gramEnd"/>
      <w:r w:rsidRPr="005B6084">
        <w:fldChar w:fldCharType="end"/>
      </w:r>
      <w:r w:rsidRPr="005B6084">
        <w:t>, 33-40.</w:t>
      </w:r>
    </w:p>
  </w:footnote>
  <w:footnote w:id="43">
    <w:p w14:paraId="3066BBBE" w14:textId="77777777" w:rsidR="007F624B" w:rsidRPr="005B6084" w:rsidRDefault="007F624B" w:rsidP="005B6084">
      <w:pPr>
        <w:autoSpaceDE w:val="0"/>
        <w:autoSpaceDN w:val="0"/>
        <w:adjustRightInd w:val="0"/>
        <w:spacing w:after="0" w:line="240" w:lineRule="auto"/>
        <w:jc w:val="both"/>
        <w:rPr>
          <w:rFonts w:ascii="Times New Roman" w:hAnsi="Times New Roman"/>
          <w:sz w:val="20"/>
          <w:szCs w:val="20"/>
        </w:rPr>
      </w:pPr>
      <w:r w:rsidRPr="005B6084">
        <w:rPr>
          <w:rStyle w:val="Rimandonotaapidipagina"/>
          <w:rFonts w:ascii="Times New Roman" w:hAnsi="Times New Roman"/>
          <w:sz w:val="20"/>
          <w:szCs w:val="20"/>
        </w:rPr>
        <w:footnoteRef/>
      </w:r>
      <w:r w:rsidRPr="005B6084">
        <w:rPr>
          <w:rFonts w:ascii="Times New Roman" w:hAnsi="Times New Roman"/>
          <w:sz w:val="20"/>
          <w:szCs w:val="20"/>
        </w:rPr>
        <w:t xml:space="preserve"> </w:t>
      </w:r>
      <w:proofErr w:type="gramStart"/>
      <w:r w:rsidRPr="005B6084">
        <w:rPr>
          <w:rFonts w:ascii="Times New Roman" w:hAnsi="Times New Roman"/>
          <w:sz w:val="20"/>
          <w:szCs w:val="20"/>
        </w:rPr>
        <w:t xml:space="preserve">In the </w:t>
      </w:r>
      <w:r w:rsidRPr="005B6084">
        <w:rPr>
          <w:rFonts w:ascii="Times New Roman" w:hAnsi="Times New Roman"/>
          <w:i/>
          <w:sz w:val="20"/>
          <w:szCs w:val="20"/>
        </w:rPr>
        <w:t>Nicaragua</w:t>
      </w:r>
      <w:r w:rsidRPr="005B6084">
        <w:rPr>
          <w:rFonts w:ascii="Times New Roman" w:hAnsi="Times New Roman"/>
          <w:sz w:val="20"/>
          <w:szCs w:val="20"/>
        </w:rPr>
        <w:t xml:space="preserve"> case the Court did not find that there was sufficient evidence to conclude that the </w:t>
      </w:r>
      <w:r w:rsidRPr="005B6084">
        <w:rPr>
          <w:rFonts w:ascii="Times New Roman" w:hAnsi="Times New Roman"/>
          <w:i/>
          <w:sz w:val="20"/>
          <w:szCs w:val="20"/>
        </w:rPr>
        <w:t>contras</w:t>
      </w:r>
      <w:r w:rsidRPr="005B6084">
        <w:rPr>
          <w:rFonts w:ascii="Times New Roman" w:hAnsi="Times New Roman"/>
          <w:sz w:val="20"/>
          <w:szCs w:val="20"/>
        </w:rPr>
        <w:t xml:space="preserve"> were totally dependent on the United States so to qualify as de facto organs, However, it found that a situation of partial dependency ‘the exact extent of which the Court cannot establish, may certainly be inferred </w:t>
      </w:r>
      <w:r w:rsidRPr="005B6084">
        <w:rPr>
          <w:rFonts w:ascii="Times New Roman" w:hAnsi="Times New Roman"/>
          <w:i/>
          <w:iCs/>
          <w:sz w:val="20"/>
          <w:szCs w:val="20"/>
        </w:rPr>
        <w:t xml:space="preserve">inter alia </w:t>
      </w:r>
      <w:r w:rsidRPr="005B6084">
        <w:rPr>
          <w:rFonts w:ascii="Times New Roman" w:hAnsi="Times New Roman"/>
          <w:sz w:val="20"/>
          <w:szCs w:val="20"/>
        </w:rPr>
        <w:t>from the fact that the leaders were selected by the United States.</w:t>
      </w:r>
      <w:proofErr w:type="gramEnd"/>
      <w:r w:rsidRPr="005B6084">
        <w:rPr>
          <w:rFonts w:ascii="Times New Roman" w:hAnsi="Times New Roman"/>
          <w:sz w:val="20"/>
          <w:szCs w:val="20"/>
        </w:rPr>
        <w:t xml:space="preserve"> But it may also be inferred from other factors, some of which have been examined by the Court, such as the organization, training and equipping of the force, the planning of operations, the choosing of targets and the operational support provided’ (</w:t>
      </w:r>
      <w:r w:rsidRPr="005B6084">
        <w:rPr>
          <w:rFonts w:ascii="Times New Roman" w:hAnsi="Times New Roman"/>
          <w:i/>
          <w:sz w:val="20"/>
          <w:szCs w:val="20"/>
        </w:rPr>
        <w:t xml:space="preserve">Nicaragua, </w:t>
      </w:r>
      <w:r w:rsidRPr="005B6084">
        <w:rPr>
          <w:rFonts w:ascii="Times New Roman" w:hAnsi="Times New Roman"/>
          <w:sz w:val="20"/>
          <w:szCs w:val="20"/>
        </w:rPr>
        <w:t xml:space="preserve">Merits, </w:t>
      </w:r>
      <w:r w:rsidRPr="005B6084">
        <w:rPr>
          <w:rFonts w:ascii="Times New Roman" w:hAnsi="Times New Roman"/>
          <w:i/>
          <w:sz w:val="20"/>
          <w:szCs w:val="20"/>
        </w:rPr>
        <w:t>supra</w:t>
      </w:r>
      <w:r w:rsidRPr="005B6084">
        <w:rPr>
          <w:rFonts w:ascii="Times New Roman" w:hAnsi="Times New Roman"/>
          <w:sz w:val="20"/>
          <w:szCs w:val="20"/>
        </w:rPr>
        <w:t xml:space="preserve"> note </w:t>
      </w:r>
      <w:r w:rsidRPr="005B6084">
        <w:rPr>
          <w:rFonts w:ascii="Times New Roman" w:hAnsi="Times New Roman"/>
          <w:sz w:val="20"/>
          <w:szCs w:val="20"/>
        </w:rPr>
        <w:fldChar w:fldCharType="begin"/>
      </w:r>
      <w:r w:rsidRPr="005B6084">
        <w:rPr>
          <w:rFonts w:ascii="Times New Roman" w:hAnsi="Times New Roman"/>
          <w:sz w:val="20"/>
          <w:szCs w:val="20"/>
        </w:rPr>
        <w:instrText xml:space="preserve"> NOTEREF _Ref383511825 \h  \* MERGEFORMAT </w:instrText>
      </w:r>
      <w:r w:rsidRPr="005B6084">
        <w:rPr>
          <w:rFonts w:ascii="Times New Roman" w:hAnsi="Times New Roman"/>
          <w:sz w:val="20"/>
          <w:szCs w:val="20"/>
        </w:rPr>
      </w:r>
      <w:r w:rsidRPr="005B6084">
        <w:rPr>
          <w:rFonts w:ascii="Times New Roman" w:hAnsi="Times New Roman"/>
          <w:sz w:val="20"/>
          <w:szCs w:val="20"/>
        </w:rPr>
        <w:fldChar w:fldCharType="separate"/>
      </w:r>
      <w:r w:rsidR="005B6084">
        <w:rPr>
          <w:rFonts w:ascii="Times New Roman" w:hAnsi="Times New Roman"/>
          <w:sz w:val="20"/>
          <w:szCs w:val="20"/>
        </w:rPr>
        <w:t>3</w:t>
      </w:r>
      <w:r w:rsidRPr="005B6084">
        <w:rPr>
          <w:rFonts w:ascii="Times New Roman" w:hAnsi="Times New Roman"/>
          <w:sz w:val="20"/>
          <w:szCs w:val="20"/>
        </w:rPr>
        <w:fldChar w:fldCharType="end"/>
      </w:r>
      <w:r w:rsidRPr="005B6084">
        <w:rPr>
          <w:rFonts w:ascii="Times New Roman" w:hAnsi="Times New Roman"/>
          <w:sz w:val="20"/>
          <w:szCs w:val="20"/>
        </w:rPr>
        <w:t>, para. 112).</w:t>
      </w:r>
    </w:p>
  </w:footnote>
  <w:footnote w:id="44">
    <w:p w14:paraId="703D43BC" w14:textId="77777777" w:rsidR="007F624B" w:rsidRPr="005B6084" w:rsidRDefault="007F624B" w:rsidP="005B6084">
      <w:pPr>
        <w:pStyle w:val="Testonotaapidipagina"/>
        <w:jc w:val="both"/>
      </w:pPr>
      <w:r w:rsidRPr="005B6084">
        <w:rPr>
          <w:rStyle w:val="Rimandonotaapidipagina"/>
        </w:rPr>
        <w:footnoteRef/>
      </w:r>
      <w:r w:rsidRPr="005B6084">
        <w:t xml:space="preserve"> Anna Riddell and Brendan Plant, </w:t>
      </w:r>
      <w:r w:rsidRPr="005B6084">
        <w:rPr>
          <w:i/>
        </w:rPr>
        <w:t>Evidence before the International Court of Justice</w:t>
      </w:r>
      <w:r w:rsidRPr="005B6084">
        <w:t xml:space="preserve"> (British Institute of International and Comparative Law, 2009), at 81.</w:t>
      </w:r>
    </w:p>
  </w:footnote>
  <w:footnote w:id="45">
    <w:p w14:paraId="795C69B8" w14:textId="75ED8640" w:rsidR="007F624B" w:rsidRPr="005B6084" w:rsidRDefault="007F624B" w:rsidP="005B6084">
      <w:pPr>
        <w:pStyle w:val="Testonotaapidipagina"/>
        <w:jc w:val="both"/>
      </w:pPr>
      <w:r w:rsidRPr="005B6084">
        <w:rPr>
          <w:rStyle w:val="Rimandonotaapidipagina"/>
        </w:rPr>
        <w:footnoteRef/>
      </w:r>
      <w:r w:rsidRPr="005B6084">
        <w:t xml:space="preserve"> Markus </w:t>
      </w:r>
      <w:proofErr w:type="spellStart"/>
      <w:r w:rsidRPr="005B6084">
        <w:t>Benzing</w:t>
      </w:r>
      <w:proofErr w:type="spellEnd"/>
      <w:r w:rsidRPr="005B6084">
        <w:t xml:space="preserve">, ‘Evidentiary Issues’, in Andreas Zimmermann, Karin </w:t>
      </w:r>
      <w:proofErr w:type="spellStart"/>
      <w:r w:rsidRPr="005B6084">
        <w:t>Oellers-Frahm</w:t>
      </w:r>
      <w:proofErr w:type="spellEnd"/>
      <w:r w:rsidRPr="005B6084">
        <w:t xml:space="preserve">, Christian </w:t>
      </w:r>
      <w:proofErr w:type="spellStart"/>
      <w:r w:rsidRPr="005B6084">
        <w:t>Tomuschat</w:t>
      </w:r>
      <w:proofErr w:type="spellEnd"/>
      <w:r w:rsidRPr="005B6084">
        <w:t xml:space="preserve"> and Christian J Tams (eds.), </w:t>
      </w:r>
      <w:r w:rsidRPr="005B6084">
        <w:rPr>
          <w:i/>
        </w:rPr>
        <w:t>The Statute of the International Court of Justice. A Commentary</w:t>
      </w:r>
      <w:r w:rsidRPr="005B6084">
        <w:t xml:space="preserve"> (</w:t>
      </w:r>
      <w:proofErr w:type="gramStart"/>
      <w:r w:rsidRPr="005B6084">
        <w:t>2</w:t>
      </w:r>
      <w:r w:rsidRPr="005B6084">
        <w:rPr>
          <w:vertAlign w:val="superscript"/>
        </w:rPr>
        <w:t>nd</w:t>
      </w:r>
      <w:proofErr w:type="gramEnd"/>
      <w:r w:rsidRPr="005B6084">
        <w:t xml:space="preserve"> ed., Oxford, 2012), at 1245). As there are no parties in advisory proceedings, there is no burden of proof in this type of proceedings (</w:t>
      </w:r>
      <w:proofErr w:type="spellStart"/>
      <w:r w:rsidRPr="005B6084">
        <w:t>Wolfrum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_Ref389204857 \h  \* MERGEFORMAT </w:instrText>
      </w:r>
      <w:r w:rsidRPr="005B6084">
        <w:fldChar w:fldCharType="separate"/>
      </w:r>
      <w:r w:rsidR="005B6084">
        <w:t>31</w:t>
      </w:r>
      <w:r w:rsidRPr="005B6084">
        <w:fldChar w:fldCharType="end"/>
      </w:r>
      <w:r w:rsidRPr="005B6084">
        <w:t>, 565).</w:t>
      </w:r>
    </w:p>
  </w:footnote>
  <w:footnote w:id="46">
    <w:p w14:paraId="6950C3BC" w14:textId="77777777" w:rsidR="007F624B" w:rsidRPr="005B6084" w:rsidRDefault="007F624B" w:rsidP="005B6084">
      <w:pPr>
        <w:pStyle w:val="P"/>
        <w:spacing w:line="240" w:lineRule="auto"/>
        <w:jc w:val="both"/>
        <w:rPr>
          <w:sz w:val="20"/>
          <w:szCs w:val="20"/>
        </w:rPr>
      </w:pPr>
      <w:r w:rsidRPr="005B6084">
        <w:rPr>
          <w:rStyle w:val="Rimandonotaapidipagina"/>
          <w:sz w:val="20"/>
          <w:szCs w:val="20"/>
          <w:lang w:val="en-GB"/>
        </w:rPr>
        <w:footnoteRef/>
      </w:r>
      <w:r w:rsidRPr="005B6084">
        <w:rPr>
          <w:sz w:val="20"/>
          <w:szCs w:val="20"/>
          <w:lang w:val="en-GB"/>
        </w:rPr>
        <w:t xml:space="preserve"> Whether or not states </w:t>
      </w:r>
      <w:proofErr w:type="gramStart"/>
      <w:r w:rsidRPr="005B6084">
        <w:rPr>
          <w:sz w:val="20"/>
          <w:szCs w:val="20"/>
          <w:lang w:val="en-GB"/>
        </w:rPr>
        <w:t>have</w:t>
      </w:r>
      <w:proofErr w:type="gramEnd"/>
      <w:r w:rsidRPr="005B6084">
        <w:rPr>
          <w:sz w:val="20"/>
          <w:szCs w:val="20"/>
          <w:lang w:val="en-GB"/>
        </w:rPr>
        <w:t xml:space="preserve"> an obligation to make evidence public is a matter of debate. </w:t>
      </w:r>
      <w:proofErr w:type="gramStart"/>
      <w:r w:rsidRPr="005B6084">
        <w:rPr>
          <w:sz w:val="20"/>
          <w:szCs w:val="20"/>
          <w:lang w:val="en-GB"/>
        </w:rPr>
        <w:t>It has been observed that ‘[</w:t>
      </w:r>
      <w:proofErr w:type="spellStart"/>
      <w:r w:rsidRPr="005B6084">
        <w:rPr>
          <w:sz w:val="20"/>
          <w:szCs w:val="20"/>
          <w:lang w:val="en-GB"/>
        </w:rPr>
        <w:t>i</w:t>
      </w:r>
      <w:proofErr w:type="spellEnd"/>
      <w:r w:rsidRPr="005B6084">
        <w:rPr>
          <w:sz w:val="20"/>
          <w:szCs w:val="20"/>
          <w:lang w:val="en-GB"/>
        </w:rPr>
        <w:t xml:space="preserve">]f nations are permitted to launch unilateral attacks based on secret information gained largely by inference, processed by and known only to a few individuals and not subject to international review, then Article 2(4) of the U.N. Charter is rendered virtually meaningless’ (Jules </w:t>
      </w:r>
      <w:proofErr w:type="spellStart"/>
      <w:r w:rsidRPr="005B6084">
        <w:rPr>
          <w:sz w:val="20"/>
          <w:szCs w:val="20"/>
          <w:lang w:val="en-GB"/>
        </w:rPr>
        <w:t>Lobel</w:t>
      </w:r>
      <w:proofErr w:type="spellEnd"/>
      <w:r w:rsidRPr="005B6084">
        <w:rPr>
          <w:sz w:val="20"/>
          <w:szCs w:val="20"/>
          <w:lang w:val="en-GB"/>
        </w:rPr>
        <w:t xml:space="preserve">, ‘The Use of Force to Respond to Terrorist Attacks: The Bombing of Sudan and Afghanistan’, </w:t>
      </w:r>
      <w:r w:rsidRPr="005B6084">
        <w:rPr>
          <w:i/>
          <w:sz w:val="20"/>
          <w:szCs w:val="20"/>
          <w:lang w:val="en-GB"/>
        </w:rPr>
        <w:t>Yale Journal of International Law</w:t>
      </w:r>
      <w:r w:rsidRPr="005B6084">
        <w:rPr>
          <w:sz w:val="20"/>
          <w:szCs w:val="20"/>
          <w:lang w:val="en-GB"/>
        </w:rPr>
        <w:t xml:space="preserve"> 24 (1999), 537, at 547).</w:t>
      </w:r>
      <w:proofErr w:type="gramEnd"/>
      <w:r w:rsidRPr="005B6084">
        <w:rPr>
          <w:sz w:val="20"/>
          <w:szCs w:val="20"/>
          <w:lang w:val="en-GB"/>
        </w:rPr>
        <w:t xml:space="preserve"> See also George P Fletcher and Jens D Ohlin, </w:t>
      </w:r>
      <w:r w:rsidRPr="005B6084">
        <w:rPr>
          <w:i/>
          <w:sz w:val="20"/>
          <w:szCs w:val="20"/>
          <w:lang w:val="en-GB"/>
        </w:rPr>
        <w:t>Defending Humanity</w:t>
      </w:r>
      <w:r w:rsidRPr="005B6084">
        <w:rPr>
          <w:sz w:val="20"/>
          <w:szCs w:val="20"/>
          <w:lang w:val="en-GB"/>
        </w:rPr>
        <w:t xml:space="preserve"> (Oxford University Press, 2008), at 169. </w:t>
      </w:r>
      <w:r w:rsidRPr="005B6084">
        <w:rPr>
          <w:i/>
          <w:sz w:val="20"/>
          <w:szCs w:val="20"/>
          <w:lang w:val="en-GB"/>
        </w:rPr>
        <w:t>Contra</w:t>
      </w:r>
      <w:r w:rsidRPr="005B6084">
        <w:rPr>
          <w:sz w:val="20"/>
          <w:szCs w:val="20"/>
          <w:lang w:val="en-GB"/>
        </w:rPr>
        <w:t xml:space="preserve">, see </w:t>
      </w:r>
      <w:r w:rsidRPr="005B6084">
        <w:rPr>
          <w:sz w:val="20"/>
          <w:szCs w:val="20"/>
        </w:rPr>
        <w:t xml:space="preserve">Matthew C. Waxman, ‘The Use of Force </w:t>
      </w:r>
      <w:proofErr w:type="gramStart"/>
      <w:r w:rsidRPr="005B6084">
        <w:rPr>
          <w:sz w:val="20"/>
          <w:szCs w:val="20"/>
        </w:rPr>
        <w:t>Against</w:t>
      </w:r>
      <w:proofErr w:type="gramEnd"/>
      <w:r w:rsidRPr="005B6084">
        <w:rPr>
          <w:sz w:val="20"/>
          <w:szCs w:val="20"/>
        </w:rPr>
        <w:t xml:space="preserve"> States That </w:t>
      </w:r>
      <w:r w:rsidRPr="005B6084">
        <w:rPr>
          <w:i/>
          <w:sz w:val="20"/>
          <w:szCs w:val="20"/>
        </w:rPr>
        <w:t>Might</w:t>
      </w:r>
      <w:r w:rsidRPr="005B6084">
        <w:rPr>
          <w:sz w:val="20"/>
          <w:szCs w:val="20"/>
        </w:rPr>
        <w:t xml:space="preserve"> Have Weapons of Mass Destruction’, </w:t>
      </w:r>
      <w:r w:rsidRPr="005B6084">
        <w:rPr>
          <w:i/>
          <w:sz w:val="20"/>
          <w:szCs w:val="20"/>
        </w:rPr>
        <w:t>Michigan Journal of International Law</w:t>
      </w:r>
      <w:r w:rsidRPr="005B6084">
        <w:rPr>
          <w:sz w:val="20"/>
          <w:szCs w:val="20"/>
        </w:rPr>
        <w:t xml:space="preserve"> 31 (2009), at 65</w:t>
      </w:r>
      <w:r w:rsidRPr="005B6084">
        <w:rPr>
          <w:sz w:val="20"/>
          <w:szCs w:val="20"/>
          <w:lang w:val="en-GB"/>
        </w:rPr>
        <w:t>.</w:t>
      </w:r>
    </w:p>
  </w:footnote>
  <w:footnote w:id="47">
    <w:p w14:paraId="5A71E1EE"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Lobel</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_Ref383697438 \h  \* MERGEFORMAT </w:instrText>
      </w:r>
      <w:r w:rsidRPr="005B6084">
        <w:fldChar w:fldCharType="separate"/>
      </w:r>
      <w:r w:rsidR="005B6084">
        <w:t>45</w:t>
      </w:r>
      <w:r w:rsidRPr="005B6084">
        <w:fldChar w:fldCharType="end"/>
      </w:r>
      <w:r w:rsidRPr="005B6084">
        <w:t>, at 549.</w:t>
      </w:r>
    </w:p>
  </w:footnote>
  <w:footnote w:id="48">
    <w:p w14:paraId="5DF5511C" w14:textId="5ECACE64" w:rsidR="007F624B" w:rsidRPr="005B6084" w:rsidRDefault="007F624B" w:rsidP="005B6084">
      <w:pPr>
        <w:pStyle w:val="Testonotaapidipagina"/>
        <w:jc w:val="both"/>
      </w:pPr>
      <w:r w:rsidRPr="005B6084">
        <w:rPr>
          <w:rStyle w:val="Rimandonotaapidipagina"/>
        </w:rPr>
        <w:footnoteRef/>
      </w:r>
      <w:r w:rsidRPr="005B6084">
        <w:t xml:space="preserve"> Letter dated 7 October 2001 from the Permanent Representative of the United States of America to the United Nations addressed to the President of the Security Council, UN Doc S/2001/946.</w:t>
      </w:r>
    </w:p>
  </w:footnote>
  <w:footnote w:id="49">
    <w:p w14:paraId="27357D5C" w14:textId="77777777" w:rsidR="007F624B" w:rsidRPr="005B6084" w:rsidRDefault="007F624B" w:rsidP="005B6084">
      <w:pPr>
        <w:pStyle w:val="Testonotaapidipagina"/>
        <w:jc w:val="both"/>
      </w:pPr>
      <w:r w:rsidRPr="005B6084">
        <w:rPr>
          <w:rStyle w:val="Rimandonotaapidipagina"/>
        </w:rPr>
        <w:footnoteRef/>
      </w:r>
      <w:r w:rsidRPr="005B6084">
        <w:t xml:space="preserve"> Statement by NATO Secretary General, Lord Robertson, 2 October 2001, &lt;http://www.nato.int/docu/speech/2001/s011002a.htm&gt;.</w:t>
      </w:r>
    </w:p>
  </w:footnote>
  <w:footnote w:id="50">
    <w:p w14:paraId="4A16F243"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See</w:t>
      </w:r>
      <w:r w:rsidRPr="005B6084">
        <w:t xml:space="preserve"> United Kingdom Foreign and Commonwealth Office, ‘Iraq’s Weapons of Mass Destruction: The Assessment of the British Government’ (2002)</w:t>
      </w:r>
      <w:proofErr w:type="gramStart"/>
      <w:r w:rsidRPr="005B6084">
        <w:t>;</w:t>
      </w:r>
      <w:proofErr w:type="gramEnd"/>
      <w:r w:rsidRPr="005B6084">
        <w:t xml:space="preserve"> UN Doc S/PV.4701, 1 January 2003, 2-17 (Powell’s remarks).</w:t>
      </w:r>
    </w:p>
  </w:footnote>
  <w:footnote w:id="51">
    <w:p w14:paraId="6D58C4E3" w14:textId="77777777" w:rsidR="007F624B" w:rsidRPr="005B6084" w:rsidRDefault="007F624B" w:rsidP="005B6084">
      <w:pPr>
        <w:pStyle w:val="Testonotaapidipagina"/>
        <w:jc w:val="both"/>
      </w:pPr>
      <w:r w:rsidRPr="005B6084">
        <w:rPr>
          <w:rStyle w:val="Rimandonotaapidipagina"/>
        </w:rPr>
        <w:footnoteRef/>
      </w:r>
      <w:r w:rsidRPr="005B6084">
        <w:t xml:space="preserve"> Julian Borger, ‘West reviews legal options for possible Syria intervention without UN mandate’, The Guardian, 26 August 2013, &lt;http://www.theguardian.com/world/2013/aug/26/united-nations-mandate-airstrikes-syria&gt;. </w:t>
      </w:r>
      <w:proofErr w:type="gramStart"/>
      <w:r w:rsidRPr="005B6084">
        <w:t xml:space="preserve">Indeed, the Report of the UN Secretary-General’s Investigation </w:t>
      </w:r>
      <w:r w:rsidRPr="005B6084">
        <w:rPr>
          <w:bCs/>
        </w:rPr>
        <w:t>found ‘clear and convincing evidence’ of the use of chemical weapons in the armed conflict (‘</w:t>
      </w:r>
      <w:r w:rsidRPr="005B6084">
        <w:rPr>
          <w:bCs/>
          <w:lang w:eastAsia="it-IT"/>
        </w:rPr>
        <w:t xml:space="preserve">United Nations Mission to Investigate Allegations of the Use of Chemical Weapons in the Syrian Arab Republic – Report on the Alleged Use of Chemical Weapons in the </w:t>
      </w:r>
      <w:proofErr w:type="spellStart"/>
      <w:r w:rsidRPr="005B6084">
        <w:rPr>
          <w:bCs/>
          <w:lang w:eastAsia="it-IT"/>
        </w:rPr>
        <w:t>Ghouta</w:t>
      </w:r>
      <w:proofErr w:type="spellEnd"/>
      <w:r w:rsidRPr="005B6084">
        <w:rPr>
          <w:bCs/>
          <w:lang w:eastAsia="it-IT"/>
        </w:rPr>
        <w:t xml:space="preserve"> Area of Damascus on 21 August 2013’, UN Doc A/67/997–S/</w:t>
      </w:r>
      <w:r w:rsidRPr="005B6084">
        <w:t>2013</w:t>
      </w:r>
      <w:r w:rsidRPr="005B6084">
        <w:rPr>
          <w:bCs/>
          <w:lang w:eastAsia="it-IT"/>
        </w:rPr>
        <w:t>/553</w:t>
      </w:r>
      <w:r w:rsidRPr="005B6084">
        <w:t>,</w:t>
      </w:r>
      <w:r w:rsidRPr="005B6084">
        <w:rPr>
          <w:bCs/>
          <w:lang w:eastAsia="it-IT"/>
        </w:rPr>
        <w:t xml:space="preserve"> 13 September 2013, at</w:t>
      </w:r>
      <w:r w:rsidRPr="005B6084">
        <w:t xml:space="preserve"> </w:t>
      </w:r>
      <w:r w:rsidRPr="005B6084">
        <w:rPr>
          <w:bCs/>
        </w:rPr>
        <w:t>5, &lt;http://www.un.org/disarmament/content/slideshow/Secretary_General_Report_of_CW_Investigation.pdf&gt;).</w:t>
      </w:r>
      <w:proofErr w:type="gramEnd"/>
    </w:p>
  </w:footnote>
  <w:footnote w:id="52">
    <w:p w14:paraId="01861C6C" w14:textId="77777777" w:rsidR="007F624B" w:rsidRPr="005B6084" w:rsidRDefault="007F624B" w:rsidP="005B6084">
      <w:pPr>
        <w:pStyle w:val="Testonotaapidipagina"/>
        <w:jc w:val="both"/>
      </w:pPr>
      <w:r w:rsidRPr="005B6084">
        <w:rPr>
          <w:rStyle w:val="Rimandonotaapidipagina"/>
        </w:rPr>
        <w:footnoteRef/>
      </w:r>
      <w:r w:rsidRPr="005B6084">
        <w:t xml:space="preserve"> Mary Ellen O’Connell, ‘Evidence of Terror’, </w:t>
      </w:r>
      <w:r w:rsidRPr="005B6084">
        <w:rPr>
          <w:i/>
        </w:rPr>
        <w:t xml:space="preserve">Journal of Conflict and Security Law </w:t>
      </w:r>
      <w:r w:rsidRPr="005B6084">
        <w:t>7 (2002), at 21.</w:t>
      </w:r>
    </w:p>
  </w:footnote>
  <w:footnote w:id="53">
    <w:p w14:paraId="180A11C9" w14:textId="39714D2A" w:rsidR="007F624B" w:rsidRPr="005B6084" w:rsidRDefault="007F624B" w:rsidP="005B6084">
      <w:pPr>
        <w:pStyle w:val="Testonotaapidipagina"/>
        <w:jc w:val="both"/>
      </w:pPr>
      <w:r w:rsidRPr="005B6084">
        <w:rPr>
          <w:rStyle w:val="Rimandonotaapidipagina"/>
        </w:rPr>
        <w:footnoteRef/>
      </w:r>
      <w:r w:rsidRPr="005B6084">
        <w:t xml:space="preserve"> Green, </w:t>
      </w:r>
      <w:r w:rsidRPr="005B6084">
        <w:rPr>
          <w:i/>
        </w:rPr>
        <w:t>supra</w:t>
      </w:r>
      <w:r w:rsidRPr="005B6084">
        <w:t xml:space="preserve"> note </w:t>
      </w:r>
      <w:r w:rsidRPr="005B6084">
        <w:fldChar w:fldCharType="begin"/>
      </w:r>
      <w:r w:rsidRPr="005B6084">
        <w:instrText xml:space="preserve"> NOTEREF _Ref389211489 \h  \* MERGEFORMAT </w:instrText>
      </w:r>
      <w:r w:rsidRPr="005B6084">
        <w:fldChar w:fldCharType="separate"/>
      </w:r>
      <w:r w:rsidR="005B6084">
        <w:t>40</w:t>
      </w:r>
      <w:r w:rsidRPr="005B6084">
        <w:fldChar w:fldCharType="end"/>
      </w:r>
      <w:r w:rsidRPr="005B6084">
        <w:t>, at 165.</w:t>
      </w:r>
    </w:p>
  </w:footnote>
  <w:footnote w:id="54">
    <w:p w14:paraId="55591479" w14:textId="18D876C6"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Military and Paramilitary Activities in and against Nicaragua (Nicaragua v. United States of America),</w:t>
      </w:r>
      <w:r w:rsidR="0020595D" w:rsidRPr="005B6084">
        <w:t xml:space="preserve"> Jurisdiction [1984] ICJ Rep.</w:t>
      </w:r>
      <w:r w:rsidRPr="005B6084">
        <w:t>, para. 101.</w:t>
      </w:r>
    </w:p>
  </w:footnote>
  <w:footnote w:id="55">
    <w:p w14:paraId="55735899" w14:textId="77777777" w:rsidR="007F624B" w:rsidRPr="005B6084" w:rsidRDefault="007F624B" w:rsidP="005B6084">
      <w:pPr>
        <w:pStyle w:val="Testonotaapidipagina"/>
        <w:jc w:val="both"/>
      </w:pPr>
      <w:r w:rsidRPr="005B6084">
        <w:rPr>
          <w:rStyle w:val="Rimandonotaapidipagina"/>
        </w:rPr>
        <w:footnoteRef/>
      </w:r>
      <w:r w:rsidRPr="005B6084">
        <w:t xml:space="preserve"> Ruth </w:t>
      </w:r>
      <w:proofErr w:type="spellStart"/>
      <w:r w:rsidRPr="005B6084">
        <w:t>Teitelbaum</w:t>
      </w:r>
      <w:proofErr w:type="spellEnd"/>
      <w:r w:rsidRPr="005B6084">
        <w:t xml:space="preserve">, ‘Recent Fact-Finding Developments at the International Court of Justice’, </w:t>
      </w:r>
      <w:proofErr w:type="gramStart"/>
      <w:r w:rsidRPr="005B6084">
        <w:rPr>
          <w:i/>
        </w:rPr>
        <w:t>The</w:t>
      </w:r>
      <w:proofErr w:type="gramEnd"/>
      <w:r w:rsidRPr="005B6084">
        <w:rPr>
          <w:i/>
        </w:rPr>
        <w:t xml:space="preserve"> Law and Practice of International Courts and Tribunals</w:t>
      </w:r>
      <w:r w:rsidRPr="005B6084">
        <w:t xml:space="preserve"> 6 (2007), at 121.</w:t>
      </w:r>
    </w:p>
  </w:footnote>
  <w:footnote w:id="56">
    <w:p w14:paraId="451ABBF9" w14:textId="43514F04"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Pulp Mills on the River Uruguay (Argentina v. Uruguay)</w:t>
      </w:r>
      <w:r w:rsidRPr="005B6084">
        <w:t xml:space="preserve"> [2010] ICJ Rep</w:t>
      </w:r>
      <w:r w:rsidR="0020595D" w:rsidRPr="005B6084">
        <w:t>.</w:t>
      </w:r>
      <w:r w:rsidRPr="005B6084">
        <w:t>, para. 162.</w:t>
      </w:r>
    </w:p>
  </w:footnote>
  <w:footnote w:id="57">
    <w:p w14:paraId="2DAA29DB" w14:textId="77777777" w:rsidR="007F624B" w:rsidRPr="005B6084" w:rsidRDefault="007F624B" w:rsidP="005B6084">
      <w:pPr>
        <w:pStyle w:val="Testonotaapidipagina"/>
        <w:jc w:val="both"/>
      </w:pPr>
      <w:r w:rsidRPr="005B6084">
        <w:rPr>
          <w:rStyle w:val="Rimandonotaapidipagina"/>
        </w:rPr>
        <w:footnoteRef/>
      </w:r>
      <w:r w:rsidRPr="005B6084">
        <w:rPr>
          <w:lang w:val="fr-FR"/>
        </w:rPr>
        <w:t xml:space="preserve"> </w:t>
      </w:r>
      <w:r w:rsidRPr="005B6084">
        <w:rPr>
          <w:i/>
          <w:lang w:val="fr-FR"/>
        </w:rPr>
        <w:t>Nicaragua</w:t>
      </w:r>
      <w:r w:rsidRPr="005B6084">
        <w:rPr>
          <w:lang w:val="fr-FR"/>
        </w:rPr>
        <w:t xml:space="preserve">, </w:t>
      </w:r>
      <w:proofErr w:type="spellStart"/>
      <w:r w:rsidRPr="005B6084">
        <w:rPr>
          <w:lang w:val="fr-FR"/>
        </w:rPr>
        <w:t>Jurisdiction</w:t>
      </w:r>
      <w:proofErr w:type="spellEnd"/>
      <w:r w:rsidRPr="005B6084">
        <w:rPr>
          <w:lang w:val="fr-FR"/>
        </w:rPr>
        <w:t xml:space="preserve">, </w:t>
      </w:r>
      <w:r w:rsidRPr="005B6084">
        <w:rPr>
          <w:i/>
          <w:lang w:val="fr-FR"/>
        </w:rPr>
        <w:t>supra</w:t>
      </w:r>
      <w:r w:rsidRPr="005B6084">
        <w:rPr>
          <w:lang w:val="fr-FR"/>
        </w:rPr>
        <w:t xml:space="preserve"> note</w:t>
      </w:r>
      <w:r w:rsidRPr="005B6084">
        <w:t xml:space="preserve"> </w:t>
      </w:r>
      <w:r w:rsidRPr="005B6084">
        <w:fldChar w:fldCharType="begin"/>
      </w:r>
      <w:r w:rsidRPr="005B6084">
        <w:instrText xml:space="preserve"> NOTEREF _Ref383705089 \h  \* MERGEFORMAT </w:instrText>
      </w:r>
      <w:r w:rsidRPr="005B6084">
        <w:fldChar w:fldCharType="separate"/>
      </w:r>
      <w:r w:rsidR="005B6084">
        <w:t>53</w:t>
      </w:r>
      <w:r w:rsidRPr="005B6084">
        <w:fldChar w:fldCharType="end"/>
      </w:r>
      <w:r w:rsidRPr="005B6084">
        <w:rPr>
          <w:lang w:val="fr-FR"/>
        </w:rPr>
        <w:t xml:space="preserve">, para. </w:t>
      </w:r>
      <w:r w:rsidRPr="005B6084">
        <w:t>101.</w:t>
      </w:r>
    </w:p>
  </w:footnote>
  <w:footnote w:id="58">
    <w:p w14:paraId="74148DB3" w14:textId="77777777" w:rsidR="007F624B" w:rsidRPr="005B6084" w:rsidRDefault="007F624B" w:rsidP="005B6084">
      <w:pPr>
        <w:pStyle w:val="Testonotaapidipagina"/>
        <w:jc w:val="both"/>
      </w:pPr>
      <w:r w:rsidRPr="005B6084">
        <w:rPr>
          <w:rStyle w:val="Rimandonotaapidipagina"/>
        </w:rPr>
        <w:footnoteRef/>
      </w:r>
      <w:r w:rsidRPr="005B6084">
        <w:t xml:space="preserve"> According to </w:t>
      </w:r>
      <w:proofErr w:type="spellStart"/>
      <w:r w:rsidRPr="005B6084">
        <w:t>Rosenne</w:t>
      </w:r>
      <w:proofErr w:type="spellEnd"/>
      <w:r w:rsidRPr="005B6084">
        <w:t xml:space="preserve">, ‘the tendency of the Court is to separate the different issues arising in a case, treating each one separately, applying the rule </w:t>
      </w:r>
      <w:proofErr w:type="spellStart"/>
      <w:r w:rsidRPr="005B6084">
        <w:rPr>
          <w:i/>
        </w:rPr>
        <w:t>actori</w:t>
      </w:r>
      <w:proofErr w:type="spellEnd"/>
      <w:r w:rsidRPr="005B6084">
        <w:rPr>
          <w:i/>
        </w:rPr>
        <w:t xml:space="preserve"> </w:t>
      </w:r>
      <w:proofErr w:type="spellStart"/>
      <w:r w:rsidRPr="005B6084">
        <w:rPr>
          <w:i/>
        </w:rPr>
        <w:t>incumbit</w:t>
      </w:r>
      <w:proofErr w:type="spellEnd"/>
      <w:r w:rsidRPr="005B6084">
        <w:rPr>
          <w:i/>
        </w:rPr>
        <w:t xml:space="preserve"> </w:t>
      </w:r>
      <w:proofErr w:type="spellStart"/>
      <w:r w:rsidRPr="005B6084">
        <w:rPr>
          <w:i/>
        </w:rPr>
        <w:t>probatio</w:t>
      </w:r>
      <w:proofErr w:type="spellEnd"/>
      <w:r w:rsidRPr="005B6084">
        <w:t>, requiring the party that advances a particular contention to establish it in fact and in law. The result is that each State putting forward a claim is under the general duty to establish its case, without there being any implication that such State is “plaintiff” or “applicant” in the sense in which internal litigation uses those terms’ (</w:t>
      </w:r>
      <w:proofErr w:type="spellStart"/>
      <w:r w:rsidRPr="005B6084">
        <w:t>Shabtai</w:t>
      </w:r>
      <w:proofErr w:type="spellEnd"/>
      <w:r w:rsidRPr="005B6084">
        <w:t xml:space="preserve"> </w:t>
      </w:r>
      <w:proofErr w:type="spellStart"/>
      <w:r w:rsidRPr="005B6084">
        <w:t>Rosenne</w:t>
      </w:r>
      <w:proofErr w:type="spellEnd"/>
      <w:r w:rsidRPr="005B6084">
        <w:t xml:space="preserve">, </w:t>
      </w:r>
      <w:r w:rsidRPr="005B6084">
        <w:rPr>
          <w:i/>
        </w:rPr>
        <w:t>The Law and Practice of the International Court, 1920-2005</w:t>
      </w:r>
      <w:r w:rsidRPr="005B6084">
        <w:t xml:space="preserve"> (Leiden/Boston: </w:t>
      </w:r>
      <w:proofErr w:type="spellStart"/>
      <w:r w:rsidRPr="005B6084">
        <w:t>Nijhoff</w:t>
      </w:r>
      <w:proofErr w:type="spellEnd"/>
      <w:r w:rsidRPr="005B6084">
        <w:t xml:space="preserve">, 2006), </w:t>
      </w:r>
      <w:proofErr w:type="spellStart"/>
      <w:r w:rsidRPr="005B6084">
        <w:t>vol</w:t>
      </w:r>
      <w:proofErr w:type="spellEnd"/>
      <w:r w:rsidRPr="005B6084">
        <w:t xml:space="preserve"> III, at 1200-01).</w:t>
      </w:r>
    </w:p>
  </w:footnote>
  <w:footnote w:id="59">
    <w:p w14:paraId="538CEF62" w14:textId="21512911"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Oil Platforms</w:t>
      </w:r>
      <w:r w:rsidRPr="005B6084">
        <w:rPr>
          <w:bCs/>
          <w:i/>
        </w:rPr>
        <w:t xml:space="preserve"> (Islamic Republic of Iran </w:t>
      </w:r>
      <w:r w:rsidRPr="005B6084">
        <w:rPr>
          <w:bCs/>
          <w:i/>
          <w:iCs/>
        </w:rPr>
        <w:t>v.</w:t>
      </w:r>
      <w:r w:rsidRPr="005B6084">
        <w:rPr>
          <w:bCs/>
          <w:i/>
        </w:rPr>
        <w:t xml:space="preserve"> United States of America), </w:t>
      </w:r>
      <w:r w:rsidRPr="005B6084">
        <w:rPr>
          <w:bCs/>
        </w:rPr>
        <w:t>Merits, [2003]</w:t>
      </w:r>
      <w:r w:rsidRPr="005B6084">
        <w:t xml:space="preserve"> ICJ Rep</w:t>
      </w:r>
      <w:r w:rsidR="0020595D" w:rsidRPr="005B6084">
        <w:t>.</w:t>
      </w:r>
      <w:r w:rsidRPr="005B6084">
        <w:t xml:space="preserve">, para. 57. See Riddell and </w:t>
      </w:r>
      <w:proofErr w:type="gramStart"/>
      <w:r w:rsidRPr="005B6084">
        <w:t>Plant,</w:t>
      </w:r>
      <w:proofErr w:type="gramEnd"/>
      <w:r w:rsidRPr="005B6084">
        <w:t xml:space="preserve">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87.</w:t>
      </w:r>
    </w:p>
  </w:footnote>
  <w:footnote w:id="60">
    <w:p w14:paraId="60C8570B" w14:textId="77777777" w:rsidR="007F624B" w:rsidRPr="005B6084" w:rsidRDefault="007F624B" w:rsidP="005B6084">
      <w:pPr>
        <w:pStyle w:val="Testonotaapidipagina"/>
        <w:jc w:val="both"/>
      </w:pPr>
      <w:r w:rsidRPr="005B6084">
        <w:rPr>
          <w:rStyle w:val="Rimandonotaapidipagina"/>
        </w:rPr>
        <w:footnoteRef/>
      </w:r>
      <w:r w:rsidRPr="005B6084">
        <w:t xml:space="preserve"> Andrés Aguilar </w:t>
      </w:r>
      <w:proofErr w:type="spellStart"/>
      <w:r w:rsidRPr="005B6084">
        <w:t>Mawdsley</w:t>
      </w:r>
      <w:proofErr w:type="spellEnd"/>
      <w:r w:rsidRPr="005B6084">
        <w:t xml:space="preserve">, ‘Evidence Before the International Court of Justice’, in Ronald St. John Macdonald (ed.), </w:t>
      </w:r>
      <w:r w:rsidRPr="005B6084">
        <w:rPr>
          <w:i/>
        </w:rPr>
        <w:t xml:space="preserve">Essays in Honour of Wang </w:t>
      </w:r>
      <w:proofErr w:type="spellStart"/>
      <w:r w:rsidRPr="005B6084">
        <w:rPr>
          <w:i/>
        </w:rPr>
        <w:t>Tieya</w:t>
      </w:r>
      <w:proofErr w:type="spellEnd"/>
      <w:r w:rsidRPr="005B6084">
        <w:t xml:space="preserve"> (Dordrecht/Boston/London: </w:t>
      </w:r>
      <w:proofErr w:type="spellStart"/>
      <w:r w:rsidRPr="005B6084">
        <w:t>Nijhoff</w:t>
      </w:r>
      <w:proofErr w:type="spellEnd"/>
      <w:r w:rsidRPr="005B6084">
        <w:t>, 1994), at 538</w:t>
      </w:r>
    </w:p>
  </w:footnote>
  <w:footnote w:id="61">
    <w:p w14:paraId="00C0360A" w14:textId="7B9393C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lang w:val="it-IT"/>
        </w:rPr>
        <w:t>Wolfrum</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_Ref389204857 \h  \* MERGEFORMAT </w:instrText>
      </w:r>
      <w:r w:rsidRPr="005B6084">
        <w:rPr>
          <w:lang w:val="it-IT"/>
        </w:rPr>
      </w:r>
      <w:r w:rsidRPr="005B6084">
        <w:rPr>
          <w:lang w:val="it-IT"/>
        </w:rPr>
        <w:fldChar w:fldCharType="separate"/>
      </w:r>
      <w:r w:rsidR="005B6084">
        <w:rPr>
          <w:lang w:val="it-IT"/>
        </w:rPr>
        <w:t>31</w:t>
      </w:r>
      <w:r w:rsidRPr="005B6084">
        <w:rPr>
          <w:lang w:val="it-IT"/>
        </w:rPr>
        <w:fldChar w:fldCharType="end"/>
      </w:r>
      <w:r w:rsidRPr="005B6084">
        <w:rPr>
          <w:lang w:val="it-IT"/>
        </w:rPr>
        <w:t>, 563.</w:t>
      </w:r>
    </w:p>
  </w:footnote>
  <w:footnote w:id="62">
    <w:p w14:paraId="68E5C677" w14:textId="77777777" w:rsidR="007F624B" w:rsidRPr="005B6084" w:rsidRDefault="007F624B" w:rsidP="005B6084">
      <w:pPr>
        <w:pStyle w:val="Testonotaapidipagina"/>
        <w:jc w:val="both"/>
      </w:pPr>
      <w:r w:rsidRPr="005B6084">
        <w:rPr>
          <w:rStyle w:val="Rimandonotaapidipagina"/>
        </w:rPr>
        <w:footnoteRef/>
      </w:r>
      <w:r w:rsidRPr="005B6084">
        <w:rPr>
          <w:lang w:val="it-IT"/>
        </w:rPr>
        <w:t xml:space="preserve"> </w:t>
      </w:r>
      <w:proofErr w:type="spellStart"/>
      <w:r w:rsidRPr="005B6084">
        <w:rPr>
          <w:lang w:val="it-IT"/>
        </w:rPr>
        <w:t>See</w:t>
      </w:r>
      <w:proofErr w:type="spellEnd"/>
      <w:r w:rsidRPr="005B6084">
        <w:rPr>
          <w:lang w:val="it-IT"/>
        </w:rPr>
        <w:t xml:space="preserve">, e.g., </w:t>
      </w:r>
      <w:r w:rsidRPr="005B6084">
        <w:rPr>
          <w:i/>
          <w:lang w:val="it-IT"/>
        </w:rPr>
        <w:t>Nicaragua</w:t>
      </w:r>
      <w:r w:rsidRPr="005B6084">
        <w:rPr>
          <w:lang w:val="it-IT"/>
        </w:rPr>
        <w:t xml:space="preserve">, </w:t>
      </w:r>
      <w:proofErr w:type="spellStart"/>
      <w:r w:rsidRPr="005B6084">
        <w:rPr>
          <w:lang w:val="it-IT"/>
        </w:rPr>
        <w:t>Merits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r w:rsidRPr="005B6084">
        <w:t>92. Judicial notice has been frequently invoked by international criminal tribunals (</w:t>
      </w:r>
      <w:proofErr w:type="spellStart"/>
      <w:r w:rsidRPr="005B6084">
        <w:t>Teitelbaum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_Ref389205025 \h  \* MERGEFORMAT </w:instrText>
      </w:r>
      <w:r w:rsidRPr="005B6084">
        <w:fldChar w:fldCharType="separate"/>
      </w:r>
      <w:r w:rsidR="005B6084">
        <w:t>54</w:t>
      </w:r>
      <w:r w:rsidRPr="005B6084">
        <w:fldChar w:fldCharType="end"/>
      </w:r>
      <w:r w:rsidRPr="005B6084">
        <w:t>, at 144-45).</w:t>
      </w:r>
    </w:p>
  </w:footnote>
  <w:footnote w:id="63">
    <w:p w14:paraId="51FBC335" w14:textId="77777777" w:rsidR="007F624B" w:rsidRPr="005B6084" w:rsidRDefault="007F624B" w:rsidP="005B6084">
      <w:pPr>
        <w:pStyle w:val="Testonotaapidipagina"/>
        <w:jc w:val="both"/>
      </w:pPr>
      <w:r w:rsidRPr="005B6084">
        <w:rPr>
          <w:rStyle w:val="Rimandonotaapidipagina"/>
        </w:rPr>
        <w:footnoteRef/>
      </w:r>
      <w:r w:rsidRPr="005B6084">
        <w:rPr>
          <w:lang w:val="it-IT"/>
        </w:rPr>
        <w:t xml:space="preserve"> </w:t>
      </w:r>
      <w:r w:rsidRPr="005B6084">
        <w:rPr>
          <w:i/>
          <w:lang w:val="it-IT"/>
        </w:rPr>
        <w:t xml:space="preserve">Nicaragua, </w:t>
      </w:r>
      <w:proofErr w:type="spellStart"/>
      <w:r w:rsidRPr="005B6084">
        <w:rPr>
          <w:lang w:val="it-IT"/>
        </w:rPr>
        <w:t>Merits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r w:rsidRPr="005B6084">
        <w:t>92.</w:t>
      </w:r>
    </w:p>
  </w:footnote>
  <w:footnote w:id="64">
    <w:p w14:paraId="427CB6D9" w14:textId="679926FC" w:rsidR="007F624B" w:rsidRPr="005B6084" w:rsidRDefault="007F624B" w:rsidP="005B6084">
      <w:pPr>
        <w:pStyle w:val="Testonotaapidipagina"/>
        <w:jc w:val="both"/>
      </w:pPr>
      <w:r w:rsidRPr="005B6084">
        <w:rPr>
          <w:rStyle w:val="Rimandonotaapidipagina"/>
        </w:rPr>
        <w:footnoteRef/>
      </w:r>
      <w:r w:rsidRPr="005B6084">
        <w:t xml:space="preserve">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142-43.</w:t>
      </w:r>
    </w:p>
  </w:footnote>
  <w:footnote w:id="65">
    <w:p w14:paraId="457F8091" w14:textId="77777777" w:rsidR="007F624B" w:rsidRPr="005B6084" w:rsidRDefault="007F624B" w:rsidP="005B6084">
      <w:pPr>
        <w:pStyle w:val="Testonotaapidipagina"/>
        <w:jc w:val="both"/>
      </w:pPr>
      <w:r w:rsidRPr="005B6084">
        <w:rPr>
          <w:rStyle w:val="Rimandonotaapidipagina"/>
        </w:rPr>
        <w:footnoteRef/>
      </w:r>
      <w:r w:rsidRPr="005B6084">
        <w:rPr>
          <w:lang w:val="en-US"/>
        </w:rPr>
        <w:t xml:space="preserve"> </w:t>
      </w:r>
      <w:r w:rsidRPr="005B6084">
        <w:rPr>
          <w:i/>
          <w:lang w:val="en-US"/>
        </w:rPr>
        <w:t>Nicaragua,</w:t>
      </w:r>
      <w:r w:rsidRPr="005B6084">
        <w:rPr>
          <w:lang w:val="en-US"/>
        </w:rPr>
        <w:t xml:space="preserve"> Merits, </w:t>
      </w:r>
      <w:r w:rsidRPr="005B6084">
        <w:rPr>
          <w:i/>
          <w:lang w:val="en-US"/>
        </w:rPr>
        <w:t>supra</w:t>
      </w:r>
      <w:r w:rsidRPr="005B6084">
        <w:rPr>
          <w:lang w:val="en-US"/>
        </w:rPr>
        <w:t xml:space="preserve"> note </w:t>
      </w:r>
      <w:r w:rsidRPr="005B6084">
        <w:fldChar w:fldCharType="begin"/>
      </w:r>
      <w:r w:rsidRPr="005B6084">
        <w:rPr>
          <w:lang w:val="en-US"/>
        </w:rPr>
        <w:instrText xml:space="preserve"> NOTEREF _Ref383511825 \h  \* MERGEFORMAT </w:instrText>
      </w:r>
      <w:r w:rsidRPr="005B6084">
        <w:fldChar w:fldCharType="separate"/>
      </w:r>
      <w:proofErr w:type="gramStart"/>
      <w:r w:rsidR="005B6084">
        <w:rPr>
          <w:lang w:val="en-US"/>
        </w:rPr>
        <w:t>3</w:t>
      </w:r>
      <w:proofErr w:type="gramEnd"/>
      <w:r w:rsidRPr="005B6084">
        <w:fldChar w:fldCharType="end"/>
      </w:r>
      <w:r w:rsidRPr="005B6084">
        <w:rPr>
          <w:lang w:val="en-US"/>
        </w:rPr>
        <w:t>, para. 63.</w:t>
      </w:r>
    </w:p>
  </w:footnote>
  <w:footnote w:id="66">
    <w:p w14:paraId="47741D6E" w14:textId="41A13822"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United States Diplomatic and Consular Staff in Tehran (United States of America v. Iran)</w:t>
      </w:r>
      <w:r w:rsidR="008A2494" w:rsidRPr="005B6084">
        <w:t xml:space="preserve"> [1980]</w:t>
      </w:r>
      <w:r w:rsidRPr="005B6084">
        <w:t xml:space="preserve"> ICJ Rep</w:t>
      </w:r>
      <w:r w:rsidR="0020595D" w:rsidRPr="005B6084">
        <w:t>.</w:t>
      </w:r>
      <w:r w:rsidRPr="005B6084">
        <w:t>, para. 13.</w:t>
      </w:r>
    </w:p>
  </w:footnote>
  <w:footnote w:id="67">
    <w:p w14:paraId="4C99EE3C" w14:textId="79798EC0"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Wolfrum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_Ref389204857 \h  \* MERGEFORMAT </w:instrText>
      </w:r>
      <w:r w:rsidRPr="005B6084">
        <w:fldChar w:fldCharType="separate"/>
      </w:r>
      <w:r w:rsidR="005B6084">
        <w:t>31</w:t>
      </w:r>
      <w:r w:rsidRPr="005B6084">
        <w:fldChar w:fldCharType="end"/>
      </w:r>
      <w:r w:rsidRPr="005B6084">
        <w:t>, 557.</w:t>
      </w:r>
    </w:p>
  </w:footnote>
  <w:footnote w:id="68">
    <w:p w14:paraId="48555581" w14:textId="70862A91"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Asylum Case (Colombia/Peru)</w:t>
      </w:r>
      <w:r w:rsidRPr="005B6084">
        <w:t>, Merits [1950], ICJ Rep</w:t>
      </w:r>
      <w:r w:rsidR="0020595D" w:rsidRPr="005B6084">
        <w:t>.</w:t>
      </w:r>
      <w:r w:rsidRPr="005B6084">
        <w:t xml:space="preserve">, at 276-77; </w:t>
      </w:r>
      <w:r w:rsidRPr="005B6084">
        <w:rPr>
          <w:i/>
        </w:rPr>
        <w:t>Rights of Nationals of the United States of America in Morocco (France v. United States of America)</w:t>
      </w:r>
      <w:r w:rsidR="008A2494" w:rsidRPr="005B6084">
        <w:t>, Merits [1952]</w:t>
      </w:r>
      <w:r w:rsidRPr="005B6084">
        <w:t xml:space="preserve"> ICJ Rep</w:t>
      </w:r>
      <w:r w:rsidR="0020595D" w:rsidRPr="005B6084">
        <w:t>.</w:t>
      </w:r>
      <w:r w:rsidRPr="005B6084">
        <w:t>, 200.</w:t>
      </w:r>
    </w:p>
  </w:footnote>
  <w:footnote w:id="69">
    <w:p w14:paraId="0CBE0A50" w14:textId="77777777" w:rsidR="007F624B" w:rsidRPr="005B6084" w:rsidRDefault="007F624B" w:rsidP="005B6084">
      <w:pPr>
        <w:pStyle w:val="Testonotaapidipagina"/>
        <w:jc w:val="both"/>
      </w:pPr>
      <w:r w:rsidRPr="005B6084">
        <w:rPr>
          <w:rStyle w:val="Rimandonotaapidipagina"/>
        </w:rPr>
        <w:footnoteRef/>
      </w:r>
      <w:r w:rsidRPr="005B6084">
        <w:t xml:space="preserve"> Richard A Clarke and Robert K </w:t>
      </w:r>
      <w:proofErr w:type="spellStart"/>
      <w:r w:rsidRPr="005B6084">
        <w:t>Knake</w:t>
      </w:r>
      <w:proofErr w:type="spellEnd"/>
      <w:r w:rsidRPr="005B6084">
        <w:t xml:space="preserve">, </w:t>
      </w:r>
      <w:r w:rsidRPr="005B6084">
        <w:rPr>
          <w:i/>
        </w:rPr>
        <w:t xml:space="preserve">Cyber War: The Next Threat to National Security and What to Do </w:t>
      </w:r>
      <w:proofErr w:type="gramStart"/>
      <w:r w:rsidRPr="005B6084">
        <w:rPr>
          <w:i/>
        </w:rPr>
        <w:t>About</w:t>
      </w:r>
      <w:proofErr w:type="gramEnd"/>
      <w:r w:rsidRPr="005B6084">
        <w:rPr>
          <w:i/>
        </w:rPr>
        <w:t xml:space="preserve"> It</w:t>
      </w:r>
      <w:r w:rsidRPr="005B6084">
        <w:t xml:space="preserve"> (HarperCollins 2012), at 249.</w:t>
      </w:r>
    </w:p>
  </w:footnote>
  <w:footnote w:id="70">
    <w:p w14:paraId="6024FD13" w14:textId="77777777" w:rsidR="007F624B" w:rsidRPr="005B6084" w:rsidRDefault="007F624B" w:rsidP="005B6084">
      <w:pPr>
        <w:pStyle w:val="Testonotaapidipagina"/>
        <w:jc w:val="both"/>
      </w:pPr>
      <w:r w:rsidRPr="005B6084">
        <w:rPr>
          <w:rStyle w:val="Rimandonotaapidipagina"/>
        </w:rPr>
        <w:footnoteRef/>
      </w:r>
      <w:r w:rsidRPr="005B6084">
        <w:t xml:space="preserve"> Daniel J Ryan, Maeve Dion, </w:t>
      </w:r>
      <w:proofErr w:type="spellStart"/>
      <w:r w:rsidRPr="005B6084">
        <w:t>Eneken</w:t>
      </w:r>
      <w:proofErr w:type="spellEnd"/>
      <w:r w:rsidRPr="005B6084">
        <w:t xml:space="preserve"> </w:t>
      </w:r>
      <w:proofErr w:type="spellStart"/>
      <w:r w:rsidRPr="005B6084">
        <w:t>Tikk</w:t>
      </w:r>
      <w:proofErr w:type="spellEnd"/>
      <w:r w:rsidRPr="005B6084">
        <w:t xml:space="preserve"> and Julie J Ryan, ‘International </w:t>
      </w:r>
      <w:proofErr w:type="spellStart"/>
      <w:r w:rsidRPr="005B6084">
        <w:t>Cyberlaw</w:t>
      </w:r>
      <w:proofErr w:type="spellEnd"/>
      <w:r w:rsidRPr="005B6084">
        <w:t xml:space="preserve">: A Normative Approach’ </w:t>
      </w:r>
      <w:r w:rsidRPr="005B6084">
        <w:rPr>
          <w:i/>
        </w:rPr>
        <w:t>Georgetown Journal of International Law</w:t>
      </w:r>
      <w:r w:rsidRPr="005B6084">
        <w:t xml:space="preserve"> 42(4) (2011), at 1185 (emphasis in the original).</w:t>
      </w:r>
    </w:p>
  </w:footnote>
  <w:footnote w:id="71">
    <w:p w14:paraId="060D9B98" w14:textId="661BDF94"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 xml:space="preserve">Corfu Channel Case (UK v. Albania) </w:t>
      </w:r>
      <w:r w:rsidRPr="005B6084">
        <w:t>[1949] ICJ Rep</w:t>
      </w:r>
      <w:r w:rsidR="0020595D" w:rsidRPr="005B6084">
        <w:t>.</w:t>
      </w:r>
      <w:r w:rsidRPr="005B6084">
        <w:t>, at 18.</w:t>
      </w:r>
    </w:p>
  </w:footnote>
  <w:footnote w:id="72">
    <w:p w14:paraId="5316D9F4"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Ibid.</w:t>
      </w:r>
    </w:p>
  </w:footnote>
  <w:footnote w:id="73">
    <w:p w14:paraId="2EB44746"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lang w:val="en-US"/>
        </w:rPr>
        <w:t>See below, Section 6.</w:t>
      </w:r>
    </w:p>
  </w:footnote>
  <w:footnote w:id="74">
    <w:p w14:paraId="551F15E8" w14:textId="565D27FA" w:rsidR="007F624B" w:rsidRPr="005B6084" w:rsidRDefault="007F624B" w:rsidP="005B6084">
      <w:pPr>
        <w:pStyle w:val="Testonotaapidipagina"/>
        <w:jc w:val="both"/>
      </w:pPr>
      <w:r w:rsidRPr="005B6084">
        <w:rPr>
          <w:rStyle w:val="Rimandonotaapidipagina"/>
        </w:rPr>
        <w:footnoteRef/>
      </w:r>
      <w:r w:rsidRPr="005B6084">
        <w:rPr>
          <w:lang w:val="en-US"/>
        </w:rPr>
        <w:t xml:space="preserve"> </w:t>
      </w:r>
      <w:r w:rsidRPr="005B6084">
        <w:rPr>
          <w:i/>
        </w:rPr>
        <w:t>Armed Activities on the Territory of the Congo (Democratic Republic of the Congo v. Uganda)</w:t>
      </w:r>
      <w:r w:rsidR="008A2494" w:rsidRPr="005B6084">
        <w:t xml:space="preserve"> [2005]</w:t>
      </w:r>
      <w:r w:rsidRPr="005B6084">
        <w:t xml:space="preserve"> ICJ Rep</w:t>
      </w:r>
      <w:r w:rsidR="0020595D" w:rsidRPr="005B6084">
        <w:t>.</w:t>
      </w:r>
      <w:r w:rsidRPr="005B6084">
        <w:rPr>
          <w:lang w:val="en-US"/>
        </w:rPr>
        <w:t xml:space="preserve">, para. </w:t>
      </w:r>
      <w:proofErr w:type="gramStart"/>
      <w:r w:rsidRPr="005B6084">
        <w:t xml:space="preserve">301. Judge </w:t>
      </w:r>
      <w:proofErr w:type="spellStart"/>
      <w:r w:rsidRPr="005B6084">
        <w:t>Kooijmans</w:t>
      </w:r>
      <w:proofErr w:type="spellEnd"/>
      <w:r w:rsidRPr="005B6084">
        <w:t xml:space="preserve"> dissented and argued that ‘[</w:t>
      </w:r>
      <w:proofErr w:type="spellStart"/>
      <w:r w:rsidRPr="005B6084">
        <w:t>i</w:t>
      </w:r>
      <w:proofErr w:type="spellEnd"/>
      <w:r w:rsidRPr="005B6084">
        <w:t xml:space="preserve">]t is for the State under a duty of vigilance to show what efforts it has made to </w:t>
      </w:r>
      <w:proofErr w:type="spellStart"/>
      <w:r w:rsidRPr="005B6084">
        <w:t>fulfill</w:t>
      </w:r>
      <w:proofErr w:type="spellEnd"/>
      <w:r w:rsidRPr="005B6084">
        <w:t xml:space="preserve"> that duty and what difficulties it has met’ and concluded that the DRC had not provided evidence to show that it had adopted ‘credible measures’ to prevent </w:t>
      </w:r>
      <w:proofErr w:type="spellStart"/>
      <w:r w:rsidRPr="005B6084">
        <w:t>transborder</w:t>
      </w:r>
      <w:proofErr w:type="spellEnd"/>
      <w:r w:rsidRPr="005B6084">
        <w:t xml:space="preserve"> attacks (Separate Opinion of Judge </w:t>
      </w:r>
      <w:proofErr w:type="spellStart"/>
      <w:r w:rsidRPr="005B6084">
        <w:t>Kooijmans</w:t>
      </w:r>
      <w:proofErr w:type="spellEnd"/>
      <w:r w:rsidRPr="005B6084">
        <w:t xml:space="preserve">, </w:t>
      </w:r>
      <w:r w:rsidRPr="005B6084">
        <w:rPr>
          <w:i/>
        </w:rPr>
        <w:t>ibid.,</w:t>
      </w:r>
      <w:r w:rsidR="008A2494" w:rsidRPr="005B6084">
        <w:t xml:space="preserve"> para. 82).</w:t>
      </w:r>
      <w:proofErr w:type="gramEnd"/>
    </w:p>
  </w:footnote>
  <w:footnote w:id="75">
    <w:p w14:paraId="24983814" w14:textId="77777777" w:rsidR="007F624B" w:rsidRPr="005B6084" w:rsidRDefault="007F624B" w:rsidP="005B6084">
      <w:pPr>
        <w:autoSpaceDE w:val="0"/>
        <w:autoSpaceDN w:val="0"/>
        <w:adjustRightInd w:val="0"/>
        <w:spacing w:after="0" w:line="240" w:lineRule="auto"/>
        <w:jc w:val="both"/>
        <w:rPr>
          <w:rFonts w:ascii="Times New Roman" w:hAnsi="Times New Roman"/>
          <w:sz w:val="20"/>
          <w:szCs w:val="20"/>
        </w:rPr>
      </w:pPr>
      <w:r w:rsidRPr="005B6084">
        <w:rPr>
          <w:rStyle w:val="Rimandonotaapidipagina"/>
          <w:rFonts w:ascii="Times New Roman" w:hAnsi="Times New Roman"/>
          <w:sz w:val="20"/>
          <w:szCs w:val="20"/>
        </w:rPr>
        <w:footnoteRef/>
      </w:r>
      <w:r w:rsidRPr="005B6084">
        <w:rPr>
          <w:rFonts w:ascii="Times New Roman" w:hAnsi="Times New Roman"/>
          <w:sz w:val="20"/>
          <w:szCs w:val="20"/>
        </w:rPr>
        <w:t xml:space="preserve"> </w:t>
      </w:r>
      <w:proofErr w:type="gramStart"/>
      <w:r w:rsidRPr="005B6084">
        <w:rPr>
          <w:rFonts w:ascii="Times New Roman" w:hAnsi="Times New Roman"/>
          <w:sz w:val="20"/>
          <w:szCs w:val="20"/>
        </w:rPr>
        <w:t xml:space="preserve">It should not be forgotten that cyberspace consists of a physical and syntactic (or logical) layer: the former includes the physical infrastructure through which the data travel wired or wireless, including servers, routers, satellites, cables, wires, and the computers, while the latter includes the protocols that allow data to be routed and understood, as well as the software used and the data (David J Betz and Tim Stevens, ‘Analogical Reasoning and Cyber Security’, </w:t>
      </w:r>
      <w:r w:rsidRPr="005B6084">
        <w:rPr>
          <w:rFonts w:ascii="Times New Roman" w:hAnsi="Times New Roman"/>
          <w:i/>
          <w:sz w:val="20"/>
          <w:szCs w:val="20"/>
        </w:rPr>
        <w:t>Security Dialogue</w:t>
      </w:r>
      <w:r w:rsidRPr="005B6084">
        <w:rPr>
          <w:rFonts w:ascii="Times New Roman" w:hAnsi="Times New Roman"/>
          <w:sz w:val="20"/>
          <w:szCs w:val="20"/>
        </w:rPr>
        <w:t xml:space="preserve"> 44 (2013), at 151).</w:t>
      </w:r>
      <w:proofErr w:type="gramEnd"/>
      <w:r w:rsidRPr="005B6084">
        <w:rPr>
          <w:rFonts w:ascii="Times New Roman" w:hAnsi="Times New Roman"/>
          <w:sz w:val="20"/>
          <w:szCs w:val="20"/>
        </w:rPr>
        <w:t xml:space="preserve"> Cyber operations can then be seen as ‘the reduction of information to electronic format and the actual movement of that information between physical elements of cyber infrastructure’ (Nils Melzer, </w:t>
      </w:r>
      <w:proofErr w:type="spellStart"/>
      <w:r w:rsidRPr="005B6084">
        <w:rPr>
          <w:rFonts w:ascii="Times New Roman" w:hAnsi="Times New Roman"/>
          <w:i/>
          <w:sz w:val="20"/>
          <w:szCs w:val="20"/>
        </w:rPr>
        <w:t>Cyberwarfare</w:t>
      </w:r>
      <w:proofErr w:type="spellEnd"/>
      <w:r w:rsidRPr="005B6084">
        <w:rPr>
          <w:rFonts w:ascii="Times New Roman" w:hAnsi="Times New Roman"/>
          <w:i/>
          <w:sz w:val="20"/>
          <w:szCs w:val="20"/>
        </w:rPr>
        <w:t xml:space="preserve"> and International Law</w:t>
      </w:r>
      <w:r w:rsidRPr="005B6084">
        <w:rPr>
          <w:rFonts w:ascii="Times New Roman" w:hAnsi="Times New Roman"/>
          <w:sz w:val="20"/>
          <w:szCs w:val="20"/>
        </w:rPr>
        <w:t xml:space="preserve"> (UNIDIR, 2011), at </w:t>
      </w:r>
      <w:proofErr w:type="gramStart"/>
      <w:r w:rsidRPr="005B6084">
        <w:rPr>
          <w:rFonts w:ascii="Times New Roman" w:hAnsi="Times New Roman"/>
          <w:sz w:val="20"/>
          <w:szCs w:val="20"/>
        </w:rPr>
        <w:t>5</w:t>
      </w:r>
      <w:proofErr w:type="gramEnd"/>
      <w:r w:rsidRPr="005B6084">
        <w:rPr>
          <w:rFonts w:ascii="Times New Roman" w:hAnsi="Times New Roman"/>
          <w:sz w:val="20"/>
          <w:szCs w:val="20"/>
        </w:rPr>
        <w:t>, &lt;http://www.isn.ethz.ch/Digital-Library/Publications/Detail/?lng=en&amp;id=134218&gt;). In its 2013 Report, the Group of Governmental Experts established by the UN General Assembly confirmed that ‘State sovereignty and international norms and principles that flow from sovereignty apply to State conduct of ICT-related activities, and to their jurisdiction over ICT infrastructure within their territory’ (</w:t>
      </w:r>
      <w:r w:rsidRPr="005B6084">
        <w:rPr>
          <w:rFonts w:ascii="Times New Roman" w:hAnsi="Times New Roman"/>
          <w:sz w:val="20"/>
          <w:szCs w:val="20"/>
          <w:lang w:val="en-US"/>
        </w:rPr>
        <w:t>UN Doc A/68/98, 24 June 2013, at 8).</w:t>
      </w:r>
    </w:p>
  </w:footnote>
  <w:footnote w:id="76">
    <w:p w14:paraId="7EAC2616"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rPr>
          <w:i/>
        </w:rPr>
        <w:t>Avena</w:t>
      </w:r>
      <w:proofErr w:type="spellEnd"/>
      <w:r w:rsidRPr="005B6084">
        <w:rPr>
          <w:i/>
        </w:rPr>
        <w:t xml:space="preserve"> and Other Mexican Nationals (Mexico v. United States of America)</w:t>
      </w:r>
      <w:r w:rsidRPr="005B6084">
        <w:t xml:space="preserve"> [2004] ICJ Rep 2004, para. 57.</w:t>
      </w:r>
    </w:p>
  </w:footnote>
  <w:footnote w:id="77">
    <w:p w14:paraId="2D3E1D7E"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Nicaragua</w:t>
      </w:r>
      <w:r w:rsidRPr="005B6084">
        <w:t xml:space="preserve">, Jurisdiction, </w:t>
      </w:r>
      <w:r w:rsidRPr="005B6084">
        <w:rPr>
          <w:i/>
        </w:rPr>
        <w:t>supra</w:t>
      </w:r>
      <w:r w:rsidRPr="005B6084">
        <w:t xml:space="preserve"> note </w:t>
      </w:r>
      <w:r w:rsidRPr="005B6084">
        <w:fldChar w:fldCharType="begin"/>
      </w:r>
      <w:r w:rsidRPr="005B6084">
        <w:instrText xml:space="preserve"> NOTEREF _Ref383705089 \h  \* MERGEFORMAT </w:instrText>
      </w:r>
      <w:r w:rsidRPr="005B6084">
        <w:fldChar w:fldCharType="separate"/>
      </w:r>
      <w:r w:rsidR="005B6084">
        <w:t>53</w:t>
      </w:r>
      <w:r w:rsidRPr="005B6084">
        <w:fldChar w:fldCharType="end"/>
      </w:r>
      <w:r w:rsidRPr="005B6084">
        <w:t>, para. 101.</w:t>
      </w:r>
    </w:p>
  </w:footnote>
  <w:footnote w:id="78">
    <w:p w14:paraId="42FE3C38" w14:textId="77777777" w:rsidR="007F624B" w:rsidRPr="005B6084" w:rsidRDefault="007F624B" w:rsidP="005B6084">
      <w:pPr>
        <w:pStyle w:val="Testonotaapidipagina"/>
        <w:jc w:val="both"/>
      </w:pPr>
      <w:r w:rsidRPr="005B6084">
        <w:rPr>
          <w:rStyle w:val="Rimandonotaapidipagina"/>
        </w:rPr>
        <w:footnoteRef/>
      </w:r>
      <w:r w:rsidRPr="005B6084">
        <w:rPr>
          <w:i/>
        </w:rPr>
        <w:t xml:space="preserve"> Ibid.</w:t>
      </w:r>
    </w:p>
  </w:footnote>
  <w:footnote w:id="79">
    <w:p w14:paraId="2E591B31" w14:textId="4ED37B49"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Land, Island and Maritime Frontier Dispute (El Salvador/Honduras: Nicaragua intervening)</w:t>
      </w:r>
      <w:r w:rsidRPr="005B6084">
        <w:t xml:space="preserve"> [1992] ICJ Rep</w:t>
      </w:r>
      <w:r w:rsidR="0020595D" w:rsidRPr="005B6084">
        <w:t>.</w:t>
      </w:r>
      <w:r w:rsidRPr="005B6084">
        <w:t>, para. 63.</w:t>
      </w:r>
    </w:p>
  </w:footnote>
  <w:footnote w:id="80">
    <w:p w14:paraId="2B750164"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Oil Platforms</w:t>
      </w:r>
      <w:r w:rsidRPr="005B6084">
        <w:t xml:space="preserve">, </w:t>
      </w:r>
      <w:r w:rsidRPr="005B6084">
        <w:rPr>
          <w:i/>
        </w:rPr>
        <w:t>supra</w:t>
      </w:r>
      <w:r w:rsidRPr="005B6084">
        <w:t xml:space="preserve"> note </w:t>
      </w:r>
      <w:r w:rsidRPr="005B6084">
        <w:fldChar w:fldCharType="begin"/>
      </w:r>
      <w:r w:rsidRPr="005B6084">
        <w:instrText xml:space="preserve"> NOTEREF _Ref383515473 \h  \* MERGEFORMAT </w:instrText>
      </w:r>
      <w:r w:rsidRPr="005B6084">
        <w:fldChar w:fldCharType="separate"/>
      </w:r>
      <w:r w:rsidR="005B6084">
        <w:t>58</w:t>
      </w:r>
      <w:r w:rsidRPr="005B6084">
        <w:fldChar w:fldCharType="end"/>
      </w:r>
      <w:r w:rsidRPr="005B6084">
        <w:t xml:space="preserve">, Separate Opinion of Judge </w:t>
      </w:r>
      <w:proofErr w:type="spellStart"/>
      <w:r w:rsidRPr="005B6084">
        <w:t>Owada</w:t>
      </w:r>
      <w:proofErr w:type="spellEnd"/>
      <w:r w:rsidRPr="005B6084">
        <w:t>, para. 46.</w:t>
      </w:r>
    </w:p>
  </w:footnote>
  <w:footnote w:id="81">
    <w:p w14:paraId="42C323F5" w14:textId="77777777" w:rsidR="007F624B" w:rsidRPr="005B6084" w:rsidRDefault="007F624B" w:rsidP="005B6084">
      <w:pPr>
        <w:pStyle w:val="Testonotaapidipagina"/>
        <w:jc w:val="both"/>
        <w:rPr>
          <w:lang w:val="en-US"/>
        </w:rPr>
      </w:pPr>
      <w:r w:rsidRPr="005B6084">
        <w:rPr>
          <w:rStyle w:val="Rimandonotaapidipagina"/>
        </w:rPr>
        <w:footnoteRef/>
      </w:r>
      <w:r w:rsidRPr="005B6084">
        <w:t xml:space="preserve"> </w:t>
      </w:r>
      <w:proofErr w:type="gramStart"/>
      <w:r w:rsidRPr="005B6084">
        <w:rPr>
          <w:i/>
          <w:lang w:val="en-US"/>
        </w:rPr>
        <w:t>Ibid</w:t>
      </w:r>
      <w:r w:rsidRPr="005B6084">
        <w:rPr>
          <w:lang w:val="en-US"/>
        </w:rPr>
        <w:t>.,</w:t>
      </w:r>
      <w:proofErr w:type="gramEnd"/>
      <w:r w:rsidRPr="005B6084">
        <w:rPr>
          <w:lang w:val="en-US"/>
        </w:rPr>
        <w:t xml:space="preserve"> para. 47.</w:t>
      </w:r>
    </w:p>
  </w:footnote>
  <w:footnote w:id="82">
    <w:p w14:paraId="5347448C" w14:textId="77777777" w:rsidR="007F624B" w:rsidRPr="005B6084" w:rsidRDefault="007F624B" w:rsidP="005B6084">
      <w:pPr>
        <w:pStyle w:val="Testonotaapidipagina"/>
        <w:jc w:val="both"/>
      </w:pPr>
      <w:r w:rsidRPr="005B6084">
        <w:rPr>
          <w:rStyle w:val="Rimandonotaapidipagina"/>
        </w:rPr>
        <w:footnoteRef/>
      </w:r>
      <w:r w:rsidRPr="005B6084">
        <w:t xml:space="preserve"> See, critically, </w:t>
      </w:r>
      <w:proofErr w:type="spellStart"/>
      <w:r w:rsidRPr="005B6084">
        <w:t>Thilo</w:t>
      </w:r>
      <w:proofErr w:type="spellEnd"/>
      <w:r w:rsidRPr="005B6084">
        <w:t xml:space="preserve"> </w:t>
      </w:r>
      <w:proofErr w:type="spellStart"/>
      <w:r w:rsidRPr="005B6084">
        <w:t>Marahun</w:t>
      </w:r>
      <w:proofErr w:type="spellEnd"/>
      <w:r w:rsidRPr="005B6084">
        <w:t>, ‘Customary Rules of International Environmental Law – Can they Provide Guidance for Developing a Peacetime Regime for Cyberspace?</w:t>
      </w:r>
      <w:proofErr w:type="gramStart"/>
      <w:r w:rsidRPr="005B6084">
        <w:t>’,</w:t>
      </w:r>
      <w:proofErr w:type="gramEnd"/>
      <w:r w:rsidRPr="005B6084">
        <w:t xml:space="preserve"> in </w:t>
      </w:r>
      <w:proofErr w:type="spellStart"/>
      <w:r w:rsidRPr="005B6084">
        <w:t>Ziolkowski</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_Ref389204145 \h  \* MERGEFORMAT </w:instrText>
      </w:r>
      <w:r w:rsidRPr="005B6084">
        <w:fldChar w:fldCharType="separate"/>
      </w:r>
      <w:r w:rsidR="005B6084">
        <w:t>29</w:t>
      </w:r>
      <w:r w:rsidRPr="005B6084">
        <w:fldChar w:fldCharType="end"/>
      </w:r>
      <w:r w:rsidRPr="005B6084">
        <w:t>, at 475.</w:t>
      </w:r>
    </w:p>
  </w:footnote>
  <w:footnote w:id="83">
    <w:p w14:paraId="701D80D4"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Ziolkowski</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_Ref354996634 \h  \* MERGEFORMAT </w:instrText>
      </w:r>
      <w:r w:rsidRPr="005B6084">
        <w:fldChar w:fldCharType="separate"/>
      </w:r>
      <w:r w:rsidR="005B6084">
        <w:t>17</w:t>
      </w:r>
      <w:r w:rsidRPr="005B6084">
        <w:fldChar w:fldCharType="end"/>
      </w:r>
      <w:r w:rsidRPr="005B6084">
        <w:t>, at 169.</w:t>
      </w:r>
    </w:p>
  </w:footnote>
  <w:footnote w:id="84">
    <w:p w14:paraId="36E43A47"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Ibid</w:t>
      </w:r>
      <w:r w:rsidRPr="005B6084">
        <w:t>.</w:t>
      </w:r>
    </w:p>
  </w:footnote>
  <w:footnote w:id="85">
    <w:p w14:paraId="6C9C99F8"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Marauhn</w:t>
      </w:r>
      <w:proofErr w:type="spellEnd"/>
      <w:r w:rsidRPr="005B6084">
        <w:t xml:space="preserve"> doubts it (</w:t>
      </w:r>
      <w:proofErr w:type="spellStart"/>
      <w:r w:rsidRPr="005B6084">
        <w:t>Marauhn</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_Ref383515147 \h  \* MERGEFORMAT </w:instrText>
      </w:r>
      <w:r w:rsidRPr="005B6084">
        <w:fldChar w:fldCharType="separate"/>
      </w:r>
      <w:r w:rsidR="005B6084">
        <w:t>81</w:t>
      </w:r>
      <w:r w:rsidRPr="005B6084">
        <w:fldChar w:fldCharType="end"/>
      </w:r>
      <w:r w:rsidRPr="005B6084">
        <w:t>, at 475-76).</w:t>
      </w:r>
    </w:p>
  </w:footnote>
  <w:footnote w:id="86">
    <w:p w14:paraId="4ECBB9AD"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Pulp Mills</w:t>
      </w:r>
      <w:r w:rsidRPr="005B6084">
        <w:t xml:space="preserve">, </w:t>
      </w:r>
      <w:r w:rsidRPr="005B6084">
        <w:rPr>
          <w:i/>
        </w:rPr>
        <w:t>supra</w:t>
      </w:r>
      <w:r w:rsidRPr="005B6084">
        <w:t xml:space="preserve"> note </w:t>
      </w:r>
      <w:r w:rsidRPr="005B6084">
        <w:fldChar w:fldCharType="begin"/>
      </w:r>
      <w:r w:rsidRPr="005B6084">
        <w:instrText xml:space="preserve"> NOTEREF _Ref383515176 \h  \* MERGEFORMAT </w:instrText>
      </w:r>
      <w:r w:rsidRPr="005B6084">
        <w:fldChar w:fldCharType="separate"/>
      </w:r>
      <w:r w:rsidR="005B6084">
        <w:t>55</w:t>
      </w:r>
      <w:r w:rsidRPr="005B6084">
        <w:fldChar w:fldCharType="end"/>
      </w:r>
      <w:r w:rsidRPr="005B6084">
        <w:t>, para. 164.</w:t>
      </w:r>
    </w:p>
  </w:footnote>
  <w:footnote w:id="87">
    <w:p w14:paraId="789F01FA" w14:textId="77777777" w:rsidR="007F624B" w:rsidRPr="005B6084" w:rsidRDefault="007F624B" w:rsidP="005B6084">
      <w:pPr>
        <w:pStyle w:val="Testonotaapidipagina"/>
        <w:jc w:val="both"/>
        <w:rPr>
          <w:lang w:val="en-US"/>
        </w:rPr>
      </w:pPr>
      <w:r w:rsidRPr="005B6084">
        <w:rPr>
          <w:rStyle w:val="Rimandonotaapidipagina"/>
        </w:rPr>
        <w:footnoteRef/>
      </w:r>
      <w:r w:rsidRPr="005B6084">
        <w:t xml:space="preserve"> </w:t>
      </w:r>
      <w:proofErr w:type="spellStart"/>
      <w:r w:rsidRPr="005B6084">
        <w:rPr>
          <w:lang w:val="en-US"/>
        </w:rPr>
        <w:t>Benzing</w:t>
      </w:r>
      <w:proofErr w:type="spellEnd"/>
      <w:r w:rsidRPr="005B6084">
        <w:rPr>
          <w:lang w:val="en-US"/>
        </w:rPr>
        <w:t xml:space="preserve">, </w:t>
      </w:r>
      <w:r w:rsidRPr="005B6084">
        <w:rPr>
          <w:i/>
          <w:lang w:val="en-US"/>
        </w:rPr>
        <w:t>supra</w:t>
      </w:r>
      <w:r w:rsidRPr="005B6084">
        <w:rPr>
          <w:lang w:val="en-US"/>
        </w:rPr>
        <w:t xml:space="preserve"> note </w:t>
      </w:r>
      <w:r w:rsidRPr="005B6084">
        <w:rPr>
          <w:lang w:val="it-IT"/>
        </w:rPr>
        <w:fldChar w:fldCharType="begin"/>
      </w:r>
      <w:r w:rsidRPr="005B6084">
        <w:rPr>
          <w:lang w:val="en-US"/>
        </w:rPr>
        <w:instrText xml:space="preserve"> NOTEREF _Ref389656491 \h  \* MERGEFORMAT </w:instrText>
      </w:r>
      <w:r w:rsidRPr="005B6084">
        <w:rPr>
          <w:lang w:val="it-IT"/>
        </w:rPr>
      </w:r>
      <w:r w:rsidRPr="005B6084">
        <w:rPr>
          <w:lang w:val="it-IT"/>
        </w:rPr>
        <w:fldChar w:fldCharType="separate"/>
      </w:r>
      <w:r w:rsidR="005B6084">
        <w:rPr>
          <w:lang w:val="en-US"/>
        </w:rPr>
        <w:t>44</w:t>
      </w:r>
      <w:r w:rsidRPr="005B6084">
        <w:rPr>
          <w:lang w:val="it-IT"/>
        </w:rPr>
        <w:fldChar w:fldCharType="end"/>
      </w:r>
      <w:r w:rsidRPr="005B6084">
        <w:rPr>
          <w:lang w:val="en-US"/>
        </w:rPr>
        <w:t>, 1247.</w:t>
      </w:r>
    </w:p>
  </w:footnote>
  <w:footnote w:id="88">
    <w:p w14:paraId="071BD5C0" w14:textId="3A223126"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Geiß</w:t>
      </w:r>
      <w:proofErr w:type="spellEnd"/>
      <w:r w:rsidRPr="005B6084">
        <w:t xml:space="preserve"> and </w:t>
      </w:r>
      <w:proofErr w:type="spellStart"/>
      <w:r w:rsidRPr="005B6084">
        <w:t>Lahmann</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_Ref389211752 \h  \* MERGEFORMAT </w:instrText>
      </w:r>
      <w:r w:rsidRPr="005B6084">
        <w:fldChar w:fldCharType="separate"/>
      </w:r>
      <w:r w:rsidR="005B6084">
        <w:t>28</w:t>
      </w:r>
      <w:r w:rsidRPr="005B6084">
        <w:fldChar w:fldCharType="end"/>
      </w:r>
      <w:r w:rsidRPr="005B6084">
        <w:t>, at 628.</w:t>
      </w:r>
    </w:p>
  </w:footnote>
  <w:footnote w:id="89">
    <w:p w14:paraId="51E3D907" w14:textId="77777777" w:rsidR="007F624B" w:rsidRPr="005B6084" w:rsidRDefault="007F624B" w:rsidP="005B6084">
      <w:pPr>
        <w:pStyle w:val="Testonotaapidipagina"/>
        <w:jc w:val="both"/>
      </w:pPr>
      <w:r w:rsidRPr="005B6084">
        <w:rPr>
          <w:rStyle w:val="Rimandonotaapidipagina"/>
        </w:rPr>
        <w:footnoteRef/>
      </w:r>
      <w:r w:rsidRPr="005B6084">
        <w:t xml:space="preserve"> Owens, Dam, Lin, </w:t>
      </w:r>
      <w:r w:rsidRPr="005B6084">
        <w:rPr>
          <w:i/>
        </w:rPr>
        <w:t>supra</w:t>
      </w:r>
      <w:r w:rsidRPr="005B6084">
        <w:t xml:space="preserve"> note </w:t>
      </w:r>
      <w:r w:rsidRPr="005B6084">
        <w:fldChar w:fldCharType="begin"/>
      </w:r>
      <w:r w:rsidRPr="005B6084">
        <w:instrText xml:space="preserve"> NOTEREF _Ref383510798 \h  \* MERGEFORMAT </w:instrText>
      </w:r>
      <w:r w:rsidRPr="005B6084">
        <w:fldChar w:fldCharType="separate"/>
      </w:r>
      <w:proofErr w:type="gramStart"/>
      <w:r w:rsidR="005B6084">
        <w:t>7</w:t>
      </w:r>
      <w:proofErr w:type="gramEnd"/>
      <w:r w:rsidRPr="005B6084">
        <w:fldChar w:fldCharType="end"/>
      </w:r>
      <w:r w:rsidRPr="005B6084">
        <w:t xml:space="preserve">, at 173. </w:t>
      </w:r>
    </w:p>
  </w:footnote>
  <w:footnote w:id="90">
    <w:p w14:paraId="2D09B6D0" w14:textId="4CC44BFB" w:rsidR="007F624B" w:rsidRPr="005B6084" w:rsidRDefault="007F624B" w:rsidP="005B6084">
      <w:pPr>
        <w:pStyle w:val="Testonotaapidipagina"/>
        <w:jc w:val="both"/>
      </w:pPr>
      <w:r w:rsidRPr="005B6084">
        <w:rPr>
          <w:rStyle w:val="Rimandonotaapidipagina"/>
        </w:rPr>
        <w:footnoteRef/>
      </w:r>
      <w:r w:rsidRPr="005B6084">
        <w:t xml:space="preserve"> Mary Ellen O’Connell, ‘Rules of Evidence for the Use of Force in International Law’s New Era’, </w:t>
      </w:r>
      <w:r w:rsidRPr="005B6084">
        <w:rPr>
          <w:i/>
        </w:rPr>
        <w:t>America Society of International Law Proceedings</w:t>
      </w:r>
      <w:r w:rsidRPr="005B6084">
        <w:t xml:space="preserve"> 100 (2006), at 45; Marko </w:t>
      </w:r>
      <w:proofErr w:type="spellStart"/>
      <w:r w:rsidRPr="005B6084">
        <w:t>Milanović</w:t>
      </w:r>
      <w:proofErr w:type="spellEnd"/>
      <w:r w:rsidRPr="005B6084">
        <w:t xml:space="preserve">, ‘State Responsibility for Genocide’, </w:t>
      </w:r>
      <w:r w:rsidRPr="005B6084">
        <w:rPr>
          <w:i/>
        </w:rPr>
        <w:t>European Journal of International Law</w:t>
      </w:r>
      <w:r w:rsidRPr="005B6084">
        <w:t xml:space="preserve"> 17 (2006), at 594</w:t>
      </w:r>
      <w:proofErr w:type="gramStart"/>
      <w:r w:rsidRPr="005B6084">
        <w:t>;</w:t>
      </w:r>
      <w:proofErr w:type="gramEnd"/>
      <w:r w:rsidRPr="005B6084">
        <w:t xml:space="preserve"> Green, </w:t>
      </w:r>
      <w:r w:rsidRPr="005B6084">
        <w:rPr>
          <w:i/>
        </w:rPr>
        <w:t>supra</w:t>
      </w:r>
      <w:r w:rsidRPr="005B6084">
        <w:t xml:space="preserve"> note </w:t>
      </w:r>
      <w:r w:rsidRPr="005B6084">
        <w:fldChar w:fldCharType="begin"/>
      </w:r>
      <w:r w:rsidRPr="005B6084">
        <w:instrText xml:space="preserve"> NOTEREF _Ref389211489 \h  \* MERGEFORMAT </w:instrText>
      </w:r>
      <w:r w:rsidRPr="005B6084">
        <w:fldChar w:fldCharType="separate"/>
      </w:r>
      <w:r w:rsidR="005B6084">
        <w:t>40</w:t>
      </w:r>
      <w:r w:rsidRPr="005B6084">
        <w:fldChar w:fldCharType="end"/>
      </w:r>
      <w:r w:rsidRPr="005B6084">
        <w:t>, at 167.</w:t>
      </w:r>
    </w:p>
  </w:footnote>
  <w:footnote w:id="91">
    <w:p w14:paraId="68B71829" w14:textId="7C0BE641" w:rsidR="007F624B" w:rsidRPr="005B6084" w:rsidRDefault="007F624B" w:rsidP="005B6084">
      <w:pPr>
        <w:pStyle w:val="Testonotaapidipagina"/>
        <w:jc w:val="both"/>
      </w:pPr>
      <w:r w:rsidRPr="005B6084">
        <w:rPr>
          <w:rStyle w:val="Rimandonotaapidipagina"/>
        </w:rPr>
        <w:footnoteRef/>
      </w:r>
      <w:r w:rsidRPr="005B6084">
        <w:t xml:space="preserve"> Green,</w:t>
      </w:r>
      <w:r w:rsidRPr="005B6084">
        <w:rPr>
          <w:i/>
        </w:rPr>
        <w:t xml:space="preserve"> supra</w:t>
      </w:r>
      <w:r w:rsidRPr="005B6084">
        <w:t xml:space="preserve"> note </w:t>
      </w:r>
      <w:r w:rsidRPr="005B6084">
        <w:fldChar w:fldCharType="begin"/>
      </w:r>
      <w:r w:rsidRPr="005B6084">
        <w:instrText xml:space="preserve"> NOTEREF _Ref389211489 \h  \* MERGEFORMAT </w:instrText>
      </w:r>
      <w:r w:rsidRPr="005B6084">
        <w:fldChar w:fldCharType="separate"/>
      </w:r>
      <w:r w:rsidR="005B6084">
        <w:t>40</w:t>
      </w:r>
      <w:r w:rsidRPr="005B6084">
        <w:fldChar w:fldCharType="end"/>
      </w:r>
      <w:r w:rsidRPr="005B6084">
        <w:t xml:space="preserve">, at 166; </w:t>
      </w:r>
      <w:proofErr w:type="spellStart"/>
      <w:r w:rsidRPr="005B6084">
        <w:t>Geiß</w:t>
      </w:r>
      <w:proofErr w:type="spellEnd"/>
      <w:r w:rsidRPr="005B6084">
        <w:t xml:space="preserve"> and </w:t>
      </w:r>
      <w:proofErr w:type="spellStart"/>
      <w:r w:rsidRPr="005B6084">
        <w:t>Lahmann</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_Ref389211752 \h  \* MERGEFORMAT </w:instrText>
      </w:r>
      <w:r w:rsidRPr="005B6084">
        <w:fldChar w:fldCharType="separate"/>
      </w:r>
      <w:r w:rsidR="005B6084">
        <w:t>28</w:t>
      </w:r>
      <w:r w:rsidRPr="005B6084">
        <w:fldChar w:fldCharType="end"/>
      </w:r>
      <w:r w:rsidRPr="005B6084">
        <w:t>, at 624.</w:t>
      </w:r>
    </w:p>
  </w:footnote>
  <w:footnote w:id="92">
    <w:p w14:paraId="08976633" w14:textId="7BD207D3" w:rsidR="007F624B" w:rsidRPr="005B6084" w:rsidRDefault="007F624B" w:rsidP="005B6084">
      <w:pPr>
        <w:pStyle w:val="Testonotaapidipagina"/>
        <w:jc w:val="both"/>
      </w:pPr>
      <w:r w:rsidRPr="005B6084">
        <w:rPr>
          <w:rStyle w:val="Rimandonotaapidipagina"/>
        </w:rPr>
        <w:footnoteRef/>
      </w:r>
      <w:r w:rsidRPr="005B6084">
        <w:t xml:space="preserve"> That approach has been criticized by judges from common law countries (see, e.g., </w:t>
      </w:r>
      <w:r w:rsidRPr="005B6084">
        <w:rPr>
          <w:i/>
        </w:rPr>
        <w:t>Oil Platforms</w:t>
      </w:r>
      <w:r w:rsidRPr="005B6084">
        <w:t xml:space="preserve">, </w:t>
      </w:r>
      <w:r w:rsidRPr="005B6084">
        <w:rPr>
          <w:i/>
        </w:rPr>
        <w:t>supra</w:t>
      </w:r>
      <w:r w:rsidRPr="005B6084">
        <w:t xml:space="preserve"> note </w:t>
      </w:r>
      <w:r w:rsidRPr="005B6084">
        <w:fldChar w:fldCharType="begin"/>
      </w:r>
      <w:r w:rsidRPr="005B6084">
        <w:instrText xml:space="preserve"> NOTEREF _Ref383515473 \h  \* MERGEFORMAT </w:instrText>
      </w:r>
      <w:r w:rsidRPr="005B6084">
        <w:fldChar w:fldCharType="separate"/>
      </w:r>
      <w:r w:rsidR="005B6084">
        <w:t>58</w:t>
      </w:r>
      <w:r w:rsidRPr="005B6084">
        <w:fldChar w:fldCharType="end"/>
      </w:r>
      <w:r w:rsidRPr="005B6084">
        <w:t xml:space="preserve">, Separate Opinion of Judge </w:t>
      </w:r>
      <w:proofErr w:type="spellStart"/>
      <w:r w:rsidRPr="005B6084">
        <w:t>Buergenthal</w:t>
      </w:r>
      <w:proofErr w:type="spellEnd"/>
      <w:r w:rsidRPr="005B6084">
        <w:t xml:space="preserve">, para. 41–46; </w:t>
      </w:r>
      <w:r w:rsidRPr="005B6084">
        <w:rPr>
          <w:i/>
        </w:rPr>
        <w:t>ibid.,</w:t>
      </w:r>
      <w:r w:rsidRPr="005B6084">
        <w:t xml:space="preserve"> Separate Opinion of Judge Higgins, para. 30–39).</w:t>
      </w:r>
    </w:p>
  </w:footnote>
  <w:footnote w:id="93">
    <w:p w14:paraId="33387570"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Teitelbaum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_Ref389205025 \h  \* MERGEFORMAT </w:instrText>
      </w:r>
      <w:r w:rsidRPr="005B6084">
        <w:fldChar w:fldCharType="separate"/>
      </w:r>
      <w:r w:rsidR="005B6084">
        <w:t>54</w:t>
      </w:r>
      <w:r w:rsidRPr="005B6084">
        <w:fldChar w:fldCharType="end"/>
      </w:r>
      <w:r w:rsidRPr="005B6084">
        <w:t>, at 124. It has been suggested that ‘the Court might consider whether, either prior to the submission of written pleadings, after the first round of written pleadings, or prior to the oral hearings, it should ask the parties to meet a specific burden of proof for certain claims’ (</w:t>
      </w:r>
      <w:proofErr w:type="gramStart"/>
      <w:r w:rsidRPr="005B6084">
        <w:rPr>
          <w:i/>
        </w:rPr>
        <w:t>ibid.,</w:t>
      </w:r>
      <w:proofErr w:type="gramEnd"/>
      <w:r w:rsidRPr="005B6084">
        <w:t xml:space="preserve"> at 128).</w:t>
      </w:r>
    </w:p>
  </w:footnote>
  <w:footnote w:id="94">
    <w:p w14:paraId="19F1DE99" w14:textId="77777777" w:rsidR="00262768" w:rsidRPr="005B6084" w:rsidRDefault="00262768" w:rsidP="005B6084">
      <w:pPr>
        <w:pStyle w:val="Testonotaapidipagina"/>
        <w:jc w:val="both"/>
      </w:pPr>
      <w:r w:rsidRPr="005B6084">
        <w:rPr>
          <w:rStyle w:val="Rimandonotaapidipagina"/>
        </w:rPr>
        <w:footnoteRef/>
      </w:r>
      <w:r w:rsidRPr="005B6084">
        <w:rPr>
          <w:lang w:val="en-US"/>
        </w:rPr>
        <w:t xml:space="preserve"> </w:t>
      </w:r>
      <w:proofErr w:type="spellStart"/>
      <w:r w:rsidRPr="005B6084">
        <w:rPr>
          <w:lang w:val="en-US"/>
        </w:rPr>
        <w:t>Wolfrum</w:t>
      </w:r>
      <w:proofErr w:type="spellEnd"/>
      <w:r w:rsidRPr="005B6084">
        <w:rPr>
          <w:lang w:val="en-US"/>
        </w:rPr>
        <w:t xml:space="preserve">, </w:t>
      </w:r>
      <w:r w:rsidRPr="005B6084">
        <w:rPr>
          <w:i/>
          <w:lang w:val="en-US"/>
        </w:rPr>
        <w:t>supra</w:t>
      </w:r>
      <w:r w:rsidRPr="005B6084">
        <w:rPr>
          <w:lang w:val="en-US"/>
        </w:rPr>
        <w:t xml:space="preserve"> note </w:t>
      </w:r>
      <w:r w:rsidRPr="005B6084">
        <w:rPr>
          <w:lang w:val="en-US"/>
        </w:rPr>
        <w:fldChar w:fldCharType="begin"/>
      </w:r>
      <w:r w:rsidRPr="005B6084">
        <w:rPr>
          <w:lang w:val="en-US"/>
        </w:rPr>
        <w:instrText xml:space="preserve"> NOTEREF _Ref389204857 \h  \* MERGEFORMAT </w:instrText>
      </w:r>
      <w:r w:rsidRPr="005B6084">
        <w:rPr>
          <w:lang w:val="en-US"/>
        </w:rPr>
      </w:r>
      <w:r w:rsidRPr="005B6084">
        <w:rPr>
          <w:lang w:val="en-US"/>
        </w:rPr>
        <w:fldChar w:fldCharType="separate"/>
      </w:r>
      <w:r w:rsidR="005B6084">
        <w:rPr>
          <w:lang w:val="en-US"/>
        </w:rPr>
        <w:t>31</w:t>
      </w:r>
      <w:r w:rsidRPr="005B6084">
        <w:rPr>
          <w:lang w:val="en-US"/>
        </w:rPr>
        <w:fldChar w:fldCharType="end"/>
      </w:r>
      <w:r w:rsidRPr="005B6084">
        <w:rPr>
          <w:lang w:val="en-US"/>
        </w:rPr>
        <w:t>, 569.</w:t>
      </w:r>
    </w:p>
  </w:footnote>
  <w:footnote w:id="95">
    <w:p w14:paraId="6EF56028" w14:textId="77777777" w:rsidR="00262768" w:rsidRPr="005B6084" w:rsidRDefault="00262768" w:rsidP="005B6084">
      <w:pPr>
        <w:pStyle w:val="Testonotaapidipagina"/>
        <w:jc w:val="both"/>
      </w:pPr>
      <w:r w:rsidRPr="005B6084">
        <w:rPr>
          <w:rStyle w:val="Rimandonotaapidipagina"/>
        </w:rPr>
        <w:footnoteRef/>
      </w:r>
      <w:r w:rsidRPr="005B6084">
        <w:rPr>
          <w:lang w:val="en-US"/>
        </w:rPr>
        <w:t xml:space="preserve"> Waxman, </w:t>
      </w:r>
      <w:r w:rsidRPr="005B6084">
        <w:rPr>
          <w:i/>
          <w:lang w:val="en-US"/>
        </w:rPr>
        <w:t>supra</w:t>
      </w:r>
      <w:r w:rsidRPr="005B6084">
        <w:rPr>
          <w:lang w:val="en-US"/>
        </w:rPr>
        <w:t xml:space="preserve"> note</w:t>
      </w:r>
      <w:r w:rsidRPr="005B6084">
        <w:t xml:space="preserve"> </w:t>
      </w:r>
      <w:r w:rsidRPr="005B6084">
        <w:fldChar w:fldCharType="begin"/>
      </w:r>
      <w:r w:rsidRPr="005B6084">
        <w:instrText xml:space="preserve"> NOTEREF _Ref383697438 \h  \* MERGEFORMAT </w:instrText>
      </w:r>
      <w:r w:rsidRPr="005B6084">
        <w:fldChar w:fldCharType="separate"/>
      </w:r>
      <w:r w:rsidR="005B6084">
        <w:t>45</w:t>
      </w:r>
      <w:r w:rsidRPr="005B6084">
        <w:fldChar w:fldCharType="end"/>
      </w:r>
      <w:r w:rsidRPr="005B6084">
        <w:rPr>
          <w:lang w:val="en-US"/>
        </w:rPr>
        <w:t>, at 59.</w:t>
      </w:r>
    </w:p>
  </w:footnote>
  <w:footnote w:id="96">
    <w:p w14:paraId="17FE2B66"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Corfu Channel</w:t>
      </w:r>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xml:space="preserve">, Dissenting Opinion of Judge </w:t>
      </w:r>
      <w:proofErr w:type="spellStart"/>
      <w:r w:rsidRPr="005B6084">
        <w:t>Krylov</w:t>
      </w:r>
      <w:proofErr w:type="spellEnd"/>
      <w:r w:rsidRPr="005B6084">
        <w:t>, at 72.</w:t>
      </w:r>
    </w:p>
  </w:footnote>
  <w:footnote w:id="97">
    <w:p w14:paraId="0CD39624" w14:textId="175B0870"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Wolfrum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_Ref389204857 \h  \* MERGEFORMAT </w:instrText>
      </w:r>
      <w:r w:rsidRPr="005B6084">
        <w:fldChar w:fldCharType="separate"/>
      </w:r>
      <w:r w:rsidR="005B6084">
        <w:t>31</w:t>
      </w:r>
      <w:r w:rsidRPr="005B6084">
        <w:fldChar w:fldCharType="end"/>
      </w:r>
      <w:r w:rsidRPr="005B6084">
        <w:t>, 566.</w:t>
      </w:r>
    </w:p>
  </w:footnote>
  <w:footnote w:id="98">
    <w:p w14:paraId="2C338B64" w14:textId="1A5F78D9" w:rsidR="007F624B" w:rsidRPr="005B6084" w:rsidRDefault="007F624B" w:rsidP="005B6084">
      <w:pPr>
        <w:pStyle w:val="Testonotaapidipagina"/>
        <w:jc w:val="both"/>
      </w:pPr>
      <w:r w:rsidRPr="005B6084">
        <w:rPr>
          <w:rStyle w:val="Rimandonotaapidipagina"/>
        </w:rPr>
        <w:footnoteRef/>
      </w:r>
      <w:r w:rsidRPr="005B6084">
        <w:t xml:space="preserve">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133.</w:t>
      </w:r>
    </w:p>
  </w:footnote>
  <w:footnote w:id="99">
    <w:p w14:paraId="50774A87" w14:textId="5BABCD3C" w:rsidR="007F624B" w:rsidRPr="005B6084" w:rsidRDefault="007F624B" w:rsidP="005B6084">
      <w:pPr>
        <w:pStyle w:val="Testonotaapidipagina"/>
        <w:jc w:val="both"/>
        <w:rPr>
          <w:lang w:val="en-US"/>
        </w:rPr>
      </w:pPr>
      <w:r w:rsidRPr="005B6084">
        <w:rPr>
          <w:rStyle w:val="Rimandonotaapidipagina"/>
        </w:rPr>
        <w:footnoteRef/>
      </w:r>
      <w:r w:rsidRPr="005B6084">
        <w:t xml:space="preserve"> Green, </w:t>
      </w:r>
      <w:r w:rsidRPr="005B6084">
        <w:rPr>
          <w:i/>
        </w:rPr>
        <w:t>supra</w:t>
      </w:r>
      <w:r w:rsidRPr="005B6084">
        <w:t xml:space="preserve"> note </w:t>
      </w:r>
      <w:r w:rsidRPr="005B6084">
        <w:fldChar w:fldCharType="begin"/>
      </w:r>
      <w:r w:rsidRPr="005B6084">
        <w:instrText xml:space="preserve"> NOTEREF _Ref389211489 \h  \* MERGEFORMAT </w:instrText>
      </w:r>
      <w:r w:rsidRPr="005B6084">
        <w:fldChar w:fldCharType="separate"/>
      </w:r>
      <w:r w:rsidR="005B6084">
        <w:t>40</w:t>
      </w:r>
      <w:r w:rsidRPr="005B6084">
        <w:fldChar w:fldCharType="end"/>
      </w:r>
      <w:r w:rsidRPr="005B6084">
        <w:t>, at 167.</w:t>
      </w:r>
    </w:p>
  </w:footnote>
  <w:footnote w:id="100">
    <w:p w14:paraId="0B72F6A9" w14:textId="77777777" w:rsidR="007F624B" w:rsidRPr="005B6084" w:rsidRDefault="007F624B" w:rsidP="005B6084">
      <w:pPr>
        <w:pStyle w:val="Testonotaapidipagina"/>
        <w:jc w:val="both"/>
      </w:pPr>
      <w:r w:rsidRPr="005B6084">
        <w:rPr>
          <w:rStyle w:val="Rimandonotaapidipagina"/>
        </w:rPr>
        <w:footnoteRef/>
      </w:r>
      <w:r w:rsidRPr="005B6084">
        <w:t xml:space="preserve"> Sir Arthur Watts, ‘Burden of Proof, and Evidence before the ICJ’, in </w:t>
      </w:r>
      <w:proofErr w:type="spellStart"/>
      <w:r w:rsidRPr="005B6084">
        <w:t>Friedl</w:t>
      </w:r>
      <w:proofErr w:type="spellEnd"/>
      <w:r w:rsidRPr="005B6084">
        <w:t xml:space="preserve"> Weiss (ed.), </w:t>
      </w:r>
      <w:r w:rsidRPr="005B6084">
        <w:rPr>
          <w:i/>
        </w:rPr>
        <w:t>Improving WTO Dispute Settlement Procedures. Issues and Lessons from the Practice of Other International Courts and Tribunals</w:t>
      </w:r>
      <w:r w:rsidRPr="005B6084">
        <w:t xml:space="preserve"> (Cameron </w:t>
      </w:r>
      <w:proofErr w:type="gramStart"/>
      <w:r w:rsidRPr="005B6084">
        <w:t>May,</w:t>
      </w:r>
      <w:proofErr w:type="gramEnd"/>
      <w:r w:rsidRPr="005B6084">
        <w:t xml:space="preserve"> 2000), 289, at 294.</w:t>
      </w:r>
    </w:p>
  </w:footnote>
  <w:footnote w:id="101">
    <w:p w14:paraId="546D6E29" w14:textId="222D74B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Rosenne</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_Ref389205814 \h  \* MERGEFORMAT </w:instrText>
      </w:r>
      <w:r w:rsidRPr="005B6084">
        <w:fldChar w:fldCharType="separate"/>
      </w:r>
      <w:r w:rsidR="005B6084">
        <w:t>57</w:t>
      </w:r>
      <w:r w:rsidRPr="005B6084">
        <w:fldChar w:fldCharType="end"/>
      </w:r>
      <w:r w:rsidRPr="005B6084">
        <w:t xml:space="preserve">, at 1043. In </w:t>
      </w:r>
      <w:proofErr w:type="spellStart"/>
      <w:r w:rsidRPr="005B6084">
        <w:rPr>
          <w:i/>
        </w:rPr>
        <w:t>Ahmadou</w:t>
      </w:r>
      <w:proofErr w:type="spellEnd"/>
      <w:r w:rsidRPr="005B6084">
        <w:rPr>
          <w:i/>
        </w:rPr>
        <w:t xml:space="preserve"> </w:t>
      </w:r>
      <w:proofErr w:type="spellStart"/>
      <w:r w:rsidRPr="005B6084">
        <w:rPr>
          <w:i/>
        </w:rPr>
        <w:t>Sadio</w:t>
      </w:r>
      <w:proofErr w:type="spellEnd"/>
      <w:r w:rsidRPr="005B6084">
        <w:rPr>
          <w:i/>
        </w:rPr>
        <w:t xml:space="preserve"> Diallo (Republic of Guinea v. Democratic Republic of the Congo)</w:t>
      </w:r>
      <w:r w:rsidRPr="005B6084">
        <w:t xml:space="preserve"> [2010] ICJ Rep</w:t>
      </w:r>
      <w:r w:rsidR="0020595D" w:rsidRPr="005B6084">
        <w:t>.</w:t>
      </w:r>
      <w:r w:rsidRPr="005B6084">
        <w:t xml:space="preserve">, para. </w:t>
      </w:r>
      <w:proofErr w:type="gramStart"/>
      <w:r w:rsidRPr="005B6084">
        <w:t>54</w:t>
      </w:r>
      <w:proofErr w:type="gramEnd"/>
      <w:r w:rsidRPr="005B6084">
        <w:t xml:space="preserve">, the ICJ </w:t>
      </w:r>
      <w:proofErr w:type="spellStart"/>
      <w:r w:rsidRPr="005B6084">
        <w:t>mades</w:t>
      </w:r>
      <w:proofErr w:type="spellEnd"/>
      <w:r w:rsidRPr="005B6084">
        <w:t xml:space="preserve"> a similar point with regard to the burden of proof. </w:t>
      </w:r>
    </w:p>
  </w:footnote>
  <w:footnote w:id="102">
    <w:p w14:paraId="052800A7" w14:textId="68ED5DAC" w:rsidR="007F624B" w:rsidRPr="005B6084" w:rsidRDefault="007F624B" w:rsidP="005B6084">
      <w:pPr>
        <w:pStyle w:val="Testonotaapidipagina"/>
        <w:jc w:val="both"/>
      </w:pPr>
      <w:r w:rsidRPr="005B6084">
        <w:rPr>
          <w:rStyle w:val="Rimandonotaapidipagina"/>
        </w:rPr>
        <w:footnoteRef/>
      </w:r>
      <w:r w:rsidRPr="005B6084">
        <w:t xml:space="preserve"> Green, </w:t>
      </w:r>
      <w:r w:rsidRPr="005B6084">
        <w:rPr>
          <w:i/>
        </w:rPr>
        <w:t>supra</w:t>
      </w:r>
      <w:r w:rsidRPr="005B6084">
        <w:t xml:space="preserve"> note </w:t>
      </w:r>
      <w:r w:rsidRPr="005B6084">
        <w:fldChar w:fldCharType="begin"/>
      </w:r>
      <w:r w:rsidRPr="005B6084">
        <w:instrText xml:space="preserve"> NOTEREF _Ref389211489 \h  \* MERGEFORMAT </w:instrText>
      </w:r>
      <w:r w:rsidRPr="005B6084">
        <w:fldChar w:fldCharType="separate"/>
      </w:r>
      <w:r w:rsidR="005B6084">
        <w:t>40</w:t>
      </w:r>
      <w:r w:rsidRPr="005B6084">
        <w:fldChar w:fldCharType="end"/>
      </w:r>
      <w:r w:rsidRPr="005B6084">
        <w:t xml:space="preserve">, at 170-71. </w:t>
      </w:r>
      <w:r w:rsidRPr="005B6084">
        <w:rPr>
          <w:lang w:eastAsia="it-IT"/>
        </w:rPr>
        <w:t>The author suggests that one consistent standard should apply to all cases of self-defence (whatever magnitude the consequences of the violation of the prohibition of the use of force might have) and both to the objective and subjective elements of the internationally wrongful act (</w:t>
      </w:r>
      <w:r w:rsidRPr="005B6084">
        <w:rPr>
          <w:i/>
        </w:rPr>
        <w:t>ibid</w:t>
      </w:r>
      <w:r w:rsidRPr="005B6084">
        <w:t>.,</w:t>
      </w:r>
      <w:r w:rsidRPr="005B6084">
        <w:rPr>
          <w:i/>
        </w:rPr>
        <w:t xml:space="preserve"> </w:t>
      </w:r>
      <w:r w:rsidRPr="005B6084">
        <w:t>at 169).</w:t>
      </w:r>
    </w:p>
  </w:footnote>
  <w:footnote w:id="103">
    <w:p w14:paraId="6AADAD67" w14:textId="77777777" w:rsidR="007F624B" w:rsidRPr="005B6084" w:rsidRDefault="007F624B" w:rsidP="005B6084">
      <w:pPr>
        <w:pStyle w:val="Testonotaapidipagina"/>
        <w:jc w:val="both"/>
      </w:pPr>
      <w:r w:rsidRPr="005B6084">
        <w:rPr>
          <w:rStyle w:val="Rimandonotaapidipagina"/>
        </w:rPr>
        <w:footnoteRef/>
      </w:r>
      <w:r w:rsidRPr="005B6084">
        <w:t xml:space="preserve"> O’Connell, </w:t>
      </w:r>
      <w:r w:rsidRPr="005B6084">
        <w:rPr>
          <w:i/>
        </w:rPr>
        <w:t xml:space="preserve">supra </w:t>
      </w:r>
      <w:r w:rsidRPr="005B6084">
        <w:t xml:space="preserve">note </w:t>
      </w:r>
      <w:r w:rsidRPr="005B6084">
        <w:fldChar w:fldCharType="begin"/>
      </w:r>
      <w:r w:rsidRPr="005B6084">
        <w:instrText xml:space="preserve"> NOTEREF _Ref389206084 \h  \* MERGEFORMAT </w:instrText>
      </w:r>
      <w:r w:rsidRPr="005B6084">
        <w:fldChar w:fldCharType="separate"/>
      </w:r>
      <w:r w:rsidR="005B6084">
        <w:t>51</w:t>
      </w:r>
      <w:r w:rsidRPr="005B6084">
        <w:fldChar w:fldCharType="end"/>
      </w:r>
      <w:r w:rsidRPr="005B6084">
        <w:t xml:space="preserve">, at </w:t>
      </w:r>
      <w:proofErr w:type="gramStart"/>
      <w:r w:rsidRPr="005B6084">
        <w:t>22ff.;</w:t>
      </w:r>
      <w:proofErr w:type="gramEnd"/>
      <w:r w:rsidRPr="005B6084">
        <w:t xml:space="preserve"> </w:t>
      </w:r>
      <w:proofErr w:type="spellStart"/>
      <w:r w:rsidRPr="005B6084">
        <w:t>Teitelbaum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_Ref389205025 \h  \* MERGEFORMAT </w:instrText>
      </w:r>
      <w:r w:rsidRPr="005B6084">
        <w:fldChar w:fldCharType="separate"/>
      </w:r>
      <w:r w:rsidR="005B6084">
        <w:t>54</w:t>
      </w:r>
      <w:r w:rsidRPr="005B6084">
        <w:fldChar w:fldCharType="end"/>
      </w:r>
      <w:r w:rsidRPr="005B6084">
        <w:t>, at 125ff.</w:t>
      </w:r>
    </w:p>
  </w:footnote>
  <w:footnote w:id="104">
    <w:p w14:paraId="23E2451A" w14:textId="752F7862" w:rsidR="007F624B" w:rsidRPr="005B6084" w:rsidRDefault="007F624B" w:rsidP="005B6084">
      <w:pPr>
        <w:pStyle w:val="Testonotaapidipagina"/>
        <w:jc w:val="both"/>
      </w:pPr>
      <w:r w:rsidRPr="005B6084">
        <w:rPr>
          <w:rStyle w:val="Rimandonotaapidipagina"/>
        </w:rPr>
        <w:footnoteRef/>
      </w:r>
      <w:r w:rsidRPr="005B6084">
        <w:t xml:space="preserve"> Green,</w:t>
      </w:r>
      <w:r w:rsidRPr="005B6084">
        <w:rPr>
          <w:i/>
        </w:rPr>
        <w:t xml:space="preserve"> supra</w:t>
      </w:r>
      <w:r w:rsidRPr="005B6084">
        <w:t xml:space="preserve"> note </w:t>
      </w:r>
      <w:r w:rsidRPr="005B6084">
        <w:fldChar w:fldCharType="begin"/>
      </w:r>
      <w:r w:rsidRPr="005B6084">
        <w:instrText xml:space="preserve"> NOTEREF _Ref389211489 \h  \* MERGEFORMAT </w:instrText>
      </w:r>
      <w:r w:rsidRPr="005B6084">
        <w:fldChar w:fldCharType="separate"/>
      </w:r>
      <w:r w:rsidR="005B6084">
        <w:t>40</w:t>
      </w:r>
      <w:r w:rsidRPr="005B6084">
        <w:fldChar w:fldCharType="end"/>
      </w:r>
      <w:r w:rsidRPr="005B6084">
        <w:t xml:space="preserve">, at 172. See </w:t>
      </w:r>
      <w:r w:rsidRPr="005B6084">
        <w:rPr>
          <w:i/>
        </w:rPr>
        <w:t>Nicaragua</w:t>
      </w:r>
      <w:r w:rsidRPr="005B6084">
        <w:t xml:space="preserve">, Merits, </w:t>
      </w:r>
      <w:r w:rsidRPr="005B6084">
        <w:rPr>
          <w:i/>
        </w:rPr>
        <w:t>supra</w:t>
      </w:r>
      <w:r w:rsidRPr="005B6084">
        <w:t xml:space="preserve"> note </w:t>
      </w:r>
      <w:r w:rsidRPr="005B6084">
        <w:fldChar w:fldCharType="begin"/>
      </w:r>
      <w:r w:rsidRPr="005B6084">
        <w:instrText xml:space="preserve"> NOTEREF _Ref383511825 \h  \* MERGEFORMAT </w:instrText>
      </w:r>
      <w:r w:rsidRPr="005B6084">
        <w:fldChar w:fldCharType="separate"/>
      </w:r>
      <w:proofErr w:type="gramStart"/>
      <w:r w:rsidR="005B6084">
        <w:t>3</w:t>
      </w:r>
      <w:proofErr w:type="gramEnd"/>
      <w:r w:rsidRPr="005B6084">
        <w:fldChar w:fldCharType="end"/>
      </w:r>
      <w:r w:rsidRPr="005B6084">
        <w:t>, paras. 29, 109.</w:t>
      </w:r>
    </w:p>
  </w:footnote>
  <w:footnote w:id="105">
    <w:p w14:paraId="3A81B383" w14:textId="392A2CD5"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Oil Platforms</w:t>
      </w:r>
      <w:r w:rsidRPr="005B6084">
        <w:t xml:space="preserve">, </w:t>
      </w:r>
      <w:r w:rsidRPr="005B6084">
        <w:rPr>
          <w:i/>
        </w:rPr>
        <w:t>supra</w:t>
      </w:r>
      <w:r w:rsidRPr="005B6084">
        <w:t xml:space="preserve"> note </w:t>
      </w:r>
      <w:r w:rsidRPr="005B6084">
        <w:fldChar w:fldCharType="begin"/>
      </w:r>
      <w:r w:rsidRPr="005B6084">
        <w:instrText xml:space="preserve"> NOTEREF _Ref383515473 \h  \* MERGEFORMAT </w:instrText>
      </w:r>
      <w:r w:rsidRPr="005B6084">
        <w:fldChar w:fldCharType="separate"/>
      </w:r>
      <w:r w:rsidR="005B6084">
        <w:t>58</w:t>
      </w:r>
      <w:r w:rsidRPr="005B6084">
        <w:fldChar w:fldCharType="end"/>
      </w:r>
      <w:r w:rsidRPr="005B6084">
        <w:t>, para. 71, 61. See Green,</w:t>
      </w:r>
      <w:r w:rsidRPr="005B6084">
        <w:rPr>
          <w:i/>
        </w:rPr>
        <w:t xml:space="preserve"> supra</w:t>
      </w:r>
      <w:r w:rsidRPr="005B6084">
        <w:t xml:space="preserve"> note </w:t>
      </w:r>
      <w:r w:rsidRPr="005B6084">
        <w:fldChar w:fldCharType="begin"/>
      </w:r>
      <w:r w:rsidRPr="005B6084">
        <w:instrText xml:space="preserve"> NOTEREF _Ref389211489 \h  \* MERGEFORMAT </w:instrText>
      </w:r>
      <w:r w:rsidRPr="005B6084">
        <w:fldChar w:fldCharType="separate"/>
      </w:r>
      <w:r w:rsidR="005B6084">
        <w:t>40</w:t>
      </w:r>
      <w:r w:rsidRPr="005B6084">
        <w:fldChar w:fldCharType="end"/>
      </w:r>
      <w:r w:rsidRPr="005B6084">
        <w:t>, at 172–173</w:t>
      </w:r>
      <w:proofErr w:type="gramStart"/>
      <w:r w:rsidRPr="005B6084">
        <w:t>;</w:t>
      </w:r>
      <w:proofErr w:type="gramEnd"/>
      <w:r w:rsidRPr="005B6084">
        <w:t xml:space="preserve"> </w:t>
      </w:r>
      <w:proofErr w:type="spellStart"/>
      <w:r w:rsidRPr="005B6084">
        <w:t>Teitelbaum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_Ref389205025 \h  \* MERGEFORMAT </w:instrText>
      </w:r>
      <w:r w:rsidRPr="005B6084">
        <w:fldChar w:fldCharType="separate"/>
      </w:r>
      <w:r w:rsidR="005B6084">
        <w:t>54</w:t>
      </w:r>
      <w:r w:rsidRPr="005B6084">
        <w:fldChar w:fldCharType="end"/>
      </w:r>
      <w:r w:rsidRPr="005B6084">
        <w:t>, at 125-26.</w:t>
      </w:r>
    </w:p>
  </w:footnote>
  <w:footnote w:id="106">
    <w:p w14:paraId="1CD083DB" w14:textId="78CC2A1A" w:rsidR="007F624B" w:rsidRPr="005B6084" w:rsidRDefault="007F624B" w:rsidP="005B6084">
      <w:pPr>
        <w:pStyle w:val="Testonotaapidipagina"/>
        <w:jc w:val="both"/>
      </w:pPr>
      <w:r w:rsidRPr="005B6084">
        <w:rPr>
          <w:rStyle w:val="Rimandonotaapidipagina"/>
        </w:rPr>
        <w:footnoteRef/>
      </w:r>
      <w:r w:rsidRPr="005B6084">
        <w:rPr>
          <w:lang w:val="it-IT"/>
        </w:rPr>
        <w:t xml:space="preserve"> </w:t>
      </w:r>
      <w:r w:rsidRPr="005B6084">
        <w:rPr>
          <w:i/>
          <w:lang w:val="it-IT"/>
        </w:rPr>
        <w:t>DRC v. Uganda</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_Ref389662903 \h  \* MERGEFORMAT </w:instrText>
      </w:r>
      <w:r w:rsidRPr="005B6084">
        <w:rPr>
          <w:lang w:val="it-IT"/>
        </w:rPr>
      </w:r>
      <w:r w:rsidRPr="005B6084">
        <w:rPr>
          <w:lang w:val="it-IT"/>
        </w:rPr>
        <w:fldChar w:fldCharType="separate"/>
      </w:r>
      <w:r w:rsidR="005B6084">
        <w:rPr>
          <w:lang w:val="it-IT"/>
        </w:rPr>
        <w:t>73</w:t>
      </w:r>
      <w:r w:rsidRPr="005B6084">
        <w:rPr>
          <w:lang w:val="it-IT"/>
        </w:rPr>
        <w:fldChar w:fldCharType="end"/>
      </w:r>
      <w:r w:rsidRPr="005B6084">
        <w:rPr>
          <w:lang w:val="it-IT"/>
        </w:rPr>
        <w:t xml:space="preserve">, </w:t>
      </w:r>
      <w:proofErr w:type="spellStart"/>
      <w:r w:rsidRPr="005B6084">
        <w:rPr>
          <w:lang w:val="it-IT"/>
        </w:rPr>
        <w:t>paras</w:t>
      </w:r>
      <w:proofErr w:type="spellEnd"/>
      <w:r w:rsidRPr="005B6084">
        <w:rPr>
          <w:lang w:val="it-IT"/>
        </w:rPr>
        <w:t xml:space="preserve">. </w:t>
      </w:r>
      <w:r w:rsidRPr="005B6084">
        <w:t xml:space="preserve">72, 91, 136. </w:t>
      </w:r>
      <w:r w:rsidRPr="005B6084">
        <w:rPr>
          <w:lang w:eastAsia="it-IT"/>
        </w:rPr>
        <w:t xml:space="preserve">Confusingly, however, in other parts of the Judgment the Court seemed to employ a </w:t>
      </w:r>
      <w:r w:rsidRPr="005B6084">
        <w:rPr>
          <w:i/>
          <w:lang w:eastAsia="it-IT"/>
        </w:rPr>
        <w:t>prima facie</w:t>
      </w:r>
      <w:r w:rsidRPr="005B6084">
        <w:rPr>
          <w:lang w:eastAsia="it-IT"/>
        </w:rPr>
        <w:t xml:space="preserve"> or preponderance of evidence standard, in particular when it had to determine whether the conduct of armed groups against the DRC was attributable to Uganda (</w:t>
      </w:r>
      <w:r w:rsidRPr="005B6084">
        <w:t xml:space="preserve">Green, </w:t>
      </w:r>
      <w:r w:rsidRPr="005B6084">
        <w:rPr>
          <w:i/>
        </w:rPr>
        <w:t>supra</w:t>
      </w:r>
      <w:r w:rsidRPr="005B6084">
        <w:t xml:space="preserve"> note </w:t>
      </w:r>
      <w:r w:rsidRPr="005B6084">
        <w:fldChar w:fldCharType="begin"/>
      </w:r>
      <w:r w:rsidRPr="005B6084">
        <w:instrText xml:space="preserve"> NOTEREF _Ref389211489 \h  \* MERGEFORMAT </w:instrText>
      </w:r>
      <w:r w:rsidRPr="005B6084">
        <w:fldChar w:fldCharType="separate"/>
      </w:r>
      <w:r w:rsidR="005B6084">
        <w:t>40</w:t>
      </w:r>
      <w:r w:rsidRPr="005B6084">
        <w:fldChar w:fldCharType="end"/>
      </w:r>
      <w:r w:rsidRPr="005B6084">
        <w:t>, at 175–176).</w:t>
      </w:r>
    </w:p>
  </w:footnote>
  <w:footnote w:id="107">
    <w:p w14:paraId="065F252E" w14:textId="40EA676E" w:rsidR="007F624B" w:rsidRPr="005B6084" w:rsidRDefault="007F624B" w:rsidP="005B6084">
      <w:pPr>
        <w:pStyle w:val="Testonotaapidipagina"/>
        <w:jc w:val="both"/>
      </w:pPr>
      <w:r w:rsidRPr="005B6084">
        <w:rPr>
          <w:rStyle w:val="Rimandonotaapidipagina"/>
        </w:rPr>
        <w:footnoteRef/>
      </w:r>
      <w:r w:rsidRPr="005B6084">
        <w:t xml:space="preserve"> </w:t>
      </w:r>
      <w:r w:rsidR="00262768" w:rsidRPr="005B6084">
        <w:rPr>
          <w:i/>
        </w:rPr>
        <w:t>Jus Ad Bellum – Ethiopia’</w:t>
      </w:r>
      <w:r w:rsidRPr="005B6084">
        <w:rPr>
          <w:i/>
        </w:rPr>
        <w:t xml:space="preserve">s Claims 1-8 </w:t>
      </w:r>
      <w:r w:rsidRPr="005B6084">
        <w:t>[2005] Eritrea-Ethiopia Claims Commission</w:t>
      </w:r>
      <w:r w:rsidRPr="005B6084">
        <w:rPr>
          <w:i/>
        </w:rPr>
        <w:t xml:space="preserve">, </w:t>
      </w:r>
      <w:r w:rsidRPr="005B6084">
        <w:t>Partial Award,</w:t>
      </w:r>
      <w:r w:rsidRPr="005B6084">
        <w:rPr>
          <w:i/>
        </w:rPr>
        <w:t xml:space="preserve"> </w:t>
      </w:r>
      <w:r w:rsidRPr="005B6084">
        <w:t>Reports of International Arbitral Awards, XXVI</w:t>
      </w:r>
      <w:r w:rsidRPr="005B6084">
        <w:rPr>
          <w:i/>
        </w:rPr>
        <w:t xml:space="preserve">, </w:t>
      </w:r>
      <w:r w:rsidRPr="005B6084">
        <w:t xml:space="preserve">para. 12. See </w:t>
      </w:r>
      <w:proofErr w:type="gramStart"/>
      <w:r w:rsidRPr="005B6084">
        <w:t>O’Connell,</w:t>
      </w:r>
      <w:proofErr w:type="gramEnd"/>
      <w:r w:rsidRPr="005B6084">
        <w:t xml:space="preserve"> </w:t>
      </w:r>
      <w:r w:rsidRPr="005B6084">
        <w:rPr>
          <w:i/>
        </w:rPr>
        <w:t>supra</w:t>
      </w:r>
      <w:r w:rsidRPr="005B6084">
        <w:t xml:space="preserve"> note </w:t>
      </w:r>
      <w:r w:rsidRPr="005B6084">
        <w:fldChar w:fldCharType="begin"/>
      </w:r>
      <w:r w:rsidRPr="005B6084">
        <w:instrText xml:space="preserve"> NOTEREF _Ref389206061 \h  \* MERGEFORMAT </w:instrText>
      </w:r>
      <w:r w:rsidRPr="005B6084">
        <w:fldChar w:fldCharType="separate"/>
      </w:r>
      <w:r w:rsidR="005B6084">
        <w:t>89</w:t>
      </w:r>
      <w:r w:rsidRPr="005B6084">
        <w:fldChar w:fldCharType="end"/>
      </w:r>
      <w:r w:rsidRPr="005B6084">
        <w:t>, at 45.</w:t>
      </w:r>
    </w:p>
  </w:footnote>
  <w:footnote w:id="108">
    <w:p w14:paraId="0B22072B" w14:textId="77777777" w:rsidR="007F624B" w:rsidRPr="005B6084" w:rsidRDefault="007F624B" w:rsidP="005B6084">
      <w:pPr>
        <w:pStyle w:val="Testonotaapidipagina"/>
        <w:jc w:val="both"/>
      </w:pPr>
      <w:r w:rsidRPr="005B6084">
        <w:rPr>
          <w:rStyle w:val="Rimandonotaapidipagina"/>
        </w:rPr>
        <w:footnoteRef/>
      </w:r>
      <w:r w:rsidRPr="005B6084">
        <w:t xml:space="preserve"> Mary Ellen O’Connell, ‘Lawful Self-</w:t>
      </w:r>
      <w:proofErr w:type="spellStart"/>
      <w:r w:rsidRPr="005B6084">
        <w:t>Defense</w:t>
      </w:r>
      <w:proofErr w:type="spellEnd"/>
      <w:r w:rsidRPr="005B6084">
        <w:t xml:space="preserve"> to Terrorism’, </w:t>
      </w:r>
      <w:r w:rsidRPr="005B6084">
        <w:rPr>
          <w:i/>
        </w:rPr>
        <w:t>University of Pittsburgh Law Review</w:t>
      </w:r>
      <w:r w:rsidRPr="005B6084">
        <w:t xml:space="preserve"> 63 (2002), at 898.</w:t>
      </w:r>
    </w:p>
  </w:footnote>
  <w:footnote w:id="109">
    <w:p w14:paraId="3379AB9A" w14:textId="7B8EBCE6" w:rsidR="007F624B" w:rsidRPr="005B6084" w:rsidRDefault="007F624B" w:rsidP="005B6084">
      <w:pPr>
        <w:pStyle w:val="Testonotaapidipagina"/>
        <w:jc w:val="both"/>
      </w:pPr>
      <w:r w:rsidRPr="005B6084">
        <w:rPr>
          <w:rStyle w:val="Rimandonotaapidipagina"/>
        </w:rPr>
        <w:footnoteRef/>
      </w:r>
      <w:r w:rsidRPr="005B6084">
        <w:t xml:space="preserve"> Waxman, </w:t>
      </w:r>
      <w:r w:rsidRPr="005B6084">
        <w:rPr>
          <w:i/>
        </w:rPr>
        <w:t>supra</w:t>
      </w:r>
      <w:r w:rsidRPr="005B6084">
        <w:t xml:space="preserve"> note </w:t>
      </w:r>
      <w:r w:rsidRPr="005B6084">
        <w:fldChar w:fldCharType="begin"/>
      </w:r>
      <w:r w:rsidRPr="005B6084">
        <w:instrText xml:space="preserve"> NOTEREF _Ref383697438 \h  \* MERGEFORMAT </w:instrText>
      </w:r>
      <w:r w:rsidRPr="005B6084">
        <w:fldChar w:fldCharType="separate"/>
      </w:r>
      <w:r w:rsidR="005B6084">
        <w:t>45</w:t>
      </w:r>
      <w:r w:rsidRPr="005B6084">
        <w:fldChar w:fldCharType="end"/>
      </w:r>
      <w:r w:rsidRPr="005B6084">
        <w:t>, at 62. The author argues that ‘the required degree of certainty about capability ought to vary with certainty about intent’ (</w:t>
      </w:r>
      <w:r w:rsidRPr="005B6084">
        <w:rPr>
          <w:i/>
        </w:rPr>
        <w:t>ibid</w:t>
      </w:r>
      <w:r w:rsidRPr="005B6084">
        <w:t>., at 61): transposed in the cyber context, the higher the likelihood that an adversary will be able and willing to use cyber weapons, the lower the evidence required to prove it.</w:t>
      </w:r>
    </w:p>
  </w:footnote>
  <w:footnote w:id="110">
    <w:p w14:paraId="5DB90883"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Russia/Georgia Cyber War – Findings and Analysis</w:t>
      </w:r>
      <w:r w:rsidRPr="005B6084">
        <w:t>, Project Grey Goose: Phase I Report, 17 October 2008, &lt;http://www.scribd.com/doc/6967393/Project-Grey-Goose-Phase-I-Report&gt;.</w:t>
      </w:r>
    </w:p>
  </w:footnote>
  <w:footnote w:id="111">
    <w:p w14:paraId="1E887411" w14:textId="77777777" w:rsidR="007F624B" w:rsidRPr="005B6084" w:rsidRDefault="007F624B" w:rsidP="005B6084">
      <w:pPr>
        <w:pStyle w:val="Testonotaapidipagina"/>
        <w:jc w:val="both"/>
      </w:pPr>
      <w:r w:rsidRPr="005B6084">
        <w:rPr>
          <w:rStyle w:val="Rimandonotaapidipagina"/>
        </w:rPr>
        <w:footnoteRef/>
      </w:r>
      <w:r w:rsidRPr="005B6084">
        <w:t xml:space="preserve"> UN Doc A/66/152, 15 July 2011, at 16–17.</w:t>
      </w:r>
    </w:p>
  </w:footnote>
  <w:footnote w:id="112">
    <w:p w14:paraId="73D967EB" w14:textId="77777777" w:rsidR="007F624B" w:rsidRPr="005B6084" w:rsidRDefault="007F624B" w:rsidP="005B6084">
      <w:pPr>
        <w:pStyle w:val="Testonotaapidipagina"/>
        <w:jc w:val="both"/>
      </w:pPr>
      <w:r w:rsidRPr="005B6084">
        <w:rPr>
          <w:rStyle w:val="Rimandonotaapidipagina"/>
        </w:rPr>
        <w:footnoteRef/>
      </w:r>
      <w:r w:rsidRPr="005B6084">
        <w:t xml:space="preserve"> Responses to advance questions, Nomination of Lt Gen Keith Alexander for Commander, US Cyber Command, US Sen. Armed Serv. Committee, 15 April 2010,</w:t>
      </w:r>
      <w:r w:rsidRPr="005B6084">
        <w:rPr>
          <w:lang w:val="en-US"/>
        </w:rPr>
        <w:t xml:space="preserve"> at 12, &lt;http://armed-services.senate.gov/statemnt/2010/04%20April/Alexander%2004-15-10.pdf&gt;</w:t>
      </w:r>
      <w:r w:rsidRPr="005B6084">
        <w:t>.</w:t>
      </w:r>
    </w:p>
  </w:footnote>
  <w:footnote w:id="113">
    <w:p w14:paraId="7674A7F7" w14:textId="77777777" w:rsidR="007F624B" w:rsidRPr="005B6084" w:rsidRDefault="007F624B" w:rsidP="005B6084">
      <w:pPr>
        <w:pStyle w:val="Testonotaapidipagina"/>
        <w:jc w:val="both"/>
      </w:pPr>
      <w:r w:rsidRPr="005B6084">
        <w:rPr>
          <w:rStyle w:val="Rimandonotaapidipagina"/>
        </w:rPr>
        <w:footnoteRef/>
      </w:r>
      <w:r w:rsidRPr="005B6084">
        <w:t xml:space="preserve"> Advance questions for Vice Admiral Michael S. Rogers, USN, </w:t>
      </w:r>
      <w:proofErr w:type="gramStart"/>
      <w:r w:rsidRPr="005B6084">
        <w:t>Nominee</w:t>
      </w:r>
      <w:proofErr w:type="gramEnd"/>
      <w:r w:rsidRPr="005B6084">
        <w:t xml:space="preserve"> for Commander, United States Cyber Command, &lt;http://www.armed-services.senate.gov/imo/media/doc/Rogers_03-11-14.pdf&gt;.</w:t>
      </w:r>
    </w:p>
  </w:footnote>
  <w:footnote w:id="114">
    <w:p w14:paraId="745CA9D6"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lang w:val="en-US"/>
        </w:rPr>
        <w:t>Ibid</w:t>
      </w:r>
      <w:r w:rsidRPr="005B6084">
        <w:rPr>
          <w:lang w:val="en-US"/>
        </w:rPr>
        <w:t>.</w:t>
      </w:r>
    </w:p>
  </w:footnote>
  <w:footnote w:id="115">
    <w:p w14:paraId="21EC615E" w14:textId="77777777" w:rsidR="007F624B" w:rsidRPr="005B6084" w:rsidRDefault="007F624B" w:rsidP="005B6084">
      <w:pPr>
        <w:pStyle w:val="Testonotaapidipagina"/>
        <w:jc w:val="both"/>
      </w:pPr>
      <w:r w:rsidRPr="005B6084">
        <w:rPr>
          <w:rStyle w:val="Rimandonotaapidipagina"/>
        </w:rPr>
        <w:footnoteRef/>
      </w:r>
      <w:r w:rsidRPr="005B6084">
        <w:t xml:space="preserve"> See e.g. David E Graham, ‘Cyber Threats and the Law of War’, </w:t>
      </w:r>
      <w:r w:rsidRPr="005B6084">
        <w:rPr>
          <w:i/>
        </w:rPr>
        <w:t>Journal of National Security Law and Policy</w:t>
      </w:r>
      <w:r w:rsidRPr="005B6084">
        <w:t xml:space="preserve"> 4 (2010), at 93 (the author seems however to confuse attribution criteria and standards of evidence).</w:t>
      </w:r>
    </w:p>
  </w:footnote>
  <w:footnote w:id="116">
    <w:p w14:paraId="046018E9" w14:textId="77777777" w:rsidR="007F624B" w:rsidRPr="005B6084" w:rsidRDefault="007F624B" w:rsidP="005B6084">
      <w:pPr>
        <w:pStyle w:val="Testonotaapidipagina"/>
        <w:jc w:val="both"/>
      </w:pPr>
      <w:r w:rsidRPr="005B6084">
        <w:rPr>
          <w:rStyle w:val="Rimandonotaapidipagina"/>
        </w:rPr>
        <w:footnoteRef/>
      </w:r>
      <w:r w:rsidRPr="005B6084">
        <w:t xml:space="preserve"> United States Air Force, Cyberspace Operations: Air Force Doctrine Document 3-12 (2010), at 10, &lt;</w:t>
      </w:r>
      <w:hyperlink r:id="rId3" w:history="1">
        <w:r w:rsidRPr="005B6084">
          <w:t>http://static.e-publishing.af.mil/production/1/af_cv/publication/afdd3-12/afdd3-12.pdf</w:t>
        </w:r>
      </w:hyperlink>
      <w:r w:rsidRPr="005B6084">
        <w:t>&gt;.</w:t>
      </w:r>
    </w:p>
  </w:footnote>
  <w:footnote w:id="117">
    <w:p w14:paraId="75A85A3D"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Comitato Parlamentare per la Sicurezza della Repubblica (COPASIR), Relazione sulle possibili implicazioni e minacce per la sicurezza nazionale derivanti dall’utilizzo dello spazio cibernetico, Doc XXXIV, no 4, 7 </w:t>
      </w:r>
      <w:proofErr w:type="spellStart"/>
      <w:r w:rsidRPr="005B6084">
        <w:rPr>
          <w:lang w:val="it-IT"/>
        </w:rPr>
        <w:t>July</w:t>
      </w:r>
      <w:proofErr w:type="spellEnd"/>
      <w:r w:rsidRPr="005B6084">
        <w:rPr>
          <w:lang w:val="it-IT"/>
        </w:rPr>
        <w:t xml:space="preserve"> 2010, </w:t>
      </w:r>
      <w:proofErr w:type="spellStart"/>
      <w:r w:rsidRPr="005B6084">
        <w:rPr>
          <w:lang w:val="it-IT"/>
        </w:rPr>
        <w:t>at</w:t>
      </w:r>
      <w:proofErr w:type="spellEnd"/>
      <w:r w:rsidRPr="005B6084">
        <w:rPr>
          <w:lang w:val="it-IT"/>
        </w:rPr>
        <w:t xml:space="preserve"> 26, &lt;http://www.parlamento.it/documenti/repository/commissioni/bicamerali/COMITATO%20SICUREZZA/Doc_XXXIV_n_4.pdf&gt;.</w:t>
      </w:r>
    </w:p>
  </w:footnote>
  <w:footnote w:id="118">
    <w:p w14:paraId="569ACDD2" w14:textId="77777777" w:rsidR="007F624B" w:rsidRPr="005B6084" w:rsidRDefault="007F624B" w:rsidP="005B6084">
      <w:pPr>
        <w:pStyle w:val="Testonotaapidipagina"/>
        <w:jc w:val="both"/>
      </w:pPr>
      <w:r w:rsidRPr="005B6084">
        <w:rPr>
          <w:rStyle w:val="Rimandonotaapidipagina"/>
        </w:rPr>
        <w:footnoteRef/>
      </w:r>
      <w:r w:rsidRPr="005B6084">
        <w:rPr>
          <w:lang w:val="en-US"/>
        </w:rPr>
        <w:t xml:space="preserve"> </w:t>
      </w:r>
      <w:r w:rsidRPr="005B6084">
        <w:rPr>
          <w:i/>
          <w:lang w:val="en-US"/>
        </w:rPr>
        <w:t>Ibid</w:t>
      </w:r>
      <w:r w:rsidRPr="005B6084">
        <w:rPr>
          <w:lang w:val="en-US"/>
        </w:rPr>
        <w:t>.</w:t>
      </w:r>
    </w:p>
  </w:footnote>
  <w:footnote w:id="119">
    <w:p w14:paraId="0BD6CE47" w14:textId="77777777" w:rsidR="007F624B" w:rsidRPr="005B6084" w:rsidRDefault="007F624B" w:rsidP="005B6084">
      <w:pPr>
        <w:pStyle w:val="Testonotaapidipagina"/>
        <w:jc w:val="both"/>
      </w:pPr>
      <w:r w:rsidRPr="005B6084">
        <w:rPr>
          <w:rStyle w:val="Rimandonotaapidipagina"/>
        </w:rPr>
        <w:footnoteRef/>
      </w:r>
      <w:r w:rsidRPr="005B6084">
        <w:t xml:space="preserve"> Permanent Mission of the Federal Republic of Germany to the United Nations, ‘Note </w:t>
      </w:r>
      <w:proofErr w:type="spellStart"/>
      <w:r w:rsidRPr="005B6084">
        <w:t>Verbale</w:t>
      </w:r>
      <w:proofErr w:type="spellEnd"/>
      <w:r w:rsidRPr="005B6084">
        <w:t xml:space="preserve"> No. 516/2012’, 5 November 2015, at 1, &lt;http://www.un.org/disarmament/topics/informationsecurity/docs/Germany_Verbal_Note_516_UNODA.pdf&gt;. Laurie Blank also observes that ‘the victim State must tread carefully and seek as much clarity regarding the source of the attack as possible to avoid launching a </w:t>
      </w:r>
      <w:proofErr w:type="spellStart"/>
      <w:r w:rsidRPr="005B6084">
        <w:t>self-defense</w:t>
      </w:r>
      <w:proofErr w:type="spellEnd"/>
      <w:r w:rsidRPr="005B6084">
        <w:t xml:space="preserve"> response in the wrong direction’ (Laurie Blank, ‘International Law and Cyber Threats from Non-State Actors’ </w:t>
      </w:r>
      <w:r w:rsidRPr="005B6084">
        <w:rPr>
          <w:i/>
        </w:rPr>
        <w:t>Naval War College International Law Studies</w:t>
      </w:r>
      <w:r w:rsidRPr="005B6084">
        <w:t xml:space="preserve"> 89 (2013), at 417).</w:t>
      </w:r>
    </w:p>
  </w:footnote>
  <w:footnote w:id="120">
    <w:p w14:paraId="4AB43D3A" w14:textId="77777777" w:rsidR="007F624B" w:rsidRPr="005B6084" w:rsidRDefault="007F624B" w:rsidP="005B6084">
      <w:pPr>
        <w:pStyle w:val="Testonotaapidipagina"/>
        <w:jc w:val="both"/>
      </w:pPr>
      <w:r w:rsidRPr="005B6084">
        <w:rPr>
          <w:rStyle w:val="Rimandonotaapidipagina"/>
        </w:rPr>
        <w:footnoteRef/>
      </w:r>
      <w:r w:rsidRPr="005B6084">
        <w:t xml:space="preserve"> House of Lords, European Union Committee, ‘Protecting Europe against large-scale cyber-attacks’ (HL Paper 68, 5th Report of Session 2009–10), at 42, &lt;http://www.publications.parliament.uk/pa/ld200910/ldselect/ldeucom/68/68.pdf&gt;</w:t>
      </w:r>
      <w:r w:rsidRPr="005B6084">
        <w:rPr>
          <w:rStyle w:val="Collegamentoipertestuale"/>
          <w:color w:val="auto"/>
          <w:u w:val="none"/>
        </w:rPr>
        <w:t xml:space="preserve"> (emphasis added).</w:t>
      </w:r>
    </w:p>
  </w:footnote>
  <w:footnote w:id="121">
    <w:p w14:paraId="7F9DC630" w14:textId="77777777" w:rsidR="007F624B" w:rsidRPr="005B6084" w:rsidRDefault="007F624B" w:rsidP="005B6084">
      <w:pPr>
        <w:pStyle w:val="Testonotaapidipagina"/>
        <w:jc w:val="both"/>
      </w:pPr>
      <w:r w:rsidRPr="005B6084">
        <w:rPr>
          <w:rStyle w:val="Rimandonotaapidipagina"/>
        </w:rPr>
        <w:footnoteRef/>
      </w:r>
      <w:r w:rsidRPr="005B6084">
        <w:t xml:space="preserve"> Advisory Council on International Affairs and the Advisory Committee on Issues of Public International Law, ‘Cyber Warfare’, (No 77, AIV/No 22, CAVV December 2011), at 22, &lt;http://www.aiv-advies.nl/ContentSuite/upload/aiv/doc/webversie__AIV77CAVV_22_ENG.pdf&gt;.</w:t>
      </w:r>
    </w:p>
  </w:footnote>
  <w:footnote w:id="122">
    <w:p w14:paraId="62C923C2" w14:textId="77777777" w:rsidR="007F624B" w:rsidRPr="005B6084" w:rsidRDefault="007F624B" w:rsidP="005B6084">
      <w:pPr>
        <w:pStyle w:val="Testonotaapidipagina"/>
        <w:jc w:val="both"/>
      </w:pPr>
      <w:r w:rsidRPr="005B6084">
        <w:rPr>
          <w:rStyle w:val="Rimandonotaapidipagina"/>
        </w:rPr>
        <w:footnoteRef/>
      </w:r>
      <w:r w:rsidRPr="005B6084">
        <w:t xml:space="preserve"> Government of the Netherlands, Government response to the AIV/CAVV report on cyber warfare</w:t>
      </w:r>
      <w:r w:rsidRPr="005B6084">
        <w:rPr>
          <w:bCs/>
          <w:lang w:eastAsia="it-IT"/>
        </w:rPr>
        <w:t xml:space="preserve">, at </w:t>
      </w:r>
      <w:proofErr w:type="gramStart"/>
      <w:r w:rsidRPr="005B6084">
        <w:rPr>
          <w:bCs/>
          <w:lang w:eastAsia="it-IT"/>
        </w:rPr>
        <w:t>5</w:t>
      </w:r>
      <w:proofErr w:type="gramEnd"/>
      <w:r w:rsidRPr="005B6084">
        <w:rPr>
          <w:bCs/>
          <w:lang w:eastAsia="it-IT"/>
        </w:rPr>
        <w:t xml:space="preserve">, &lt;http://www.rijksoverheid.nl/bestanden/documenten-en-publicaties/rapporten/2012/04/26/cavv-advies-nr-22-bijlage-regeringsreactie-en/cavv-advies-22-bijlage-regeringsreactie-en.pdf&gt;. </w:t>
      </w:r>
      <w:r w:rsidRPr="005B6084">
        <w:rPr>
          <w:lang w:eastAsia="it-IT"/>
        </w:rPr>
        <w:t xml:space="preserve">The CCDCOE Report on Georgia also concludes that ‘there is no </w:t>
      </w:r>
      <w:r w:rsidRPr="005B6084">
        <w:rPr>
          <w:i/>
          <w:lang w:eastAsia="it-IT"/>
        </w:rPr>
        <w:t>conclusive</w:t>
      </w:r>
      <w:r w:rsidRPr="005B6084">
        <w:rPr>
          <w:lang w:eastAsia="it-IT"/>
        </w:rPr>
        <w:t xml:space="preserve"> proof of who is behind the DDOS attacks, even though finger pointing at Russia is prevalent by the media’ (</w:t>
      </w:r>
      <w:proofErr w:type="spellStart"/>
      <w:r w:rsidRPr="005B6084">
        <w:t>Eneken</w:t>
      </w:r>
      <w:proofErr w:type="spellEnd"/>
      <w:r w:rsidRPr="005B6084">
        <w:t xml:space="preserve"> </w:t>
      </w:r>
      <w:proofErr w:type="spellStart"/>
      <w:r w:rsidRPr="005B6084">
        <w:t>Tikk</w:t>
      </w:r>
      <w:proofErr w:type="spellEnd"/>
      <w:r w:rsidRPr="005B6084">
        <w:t xml:space="preserve">, </w:t>
      </w:r>
      <w:proofErr w:type="spellStart"/>
      <w:r w:rsidRPr="005B6084">
        <w:t>Kadri</w:t>
      </w:r>
      <w:proofErr w:type="spellEnd"/>
      <w:r w:rsidRPr="005B6084">
        <w:t xml:space="preserve"> </w:t>
      </w:r>
      <w:proofErr w:type="spellStart"/>
      <w:r w:rsidRPr="005B6084">
        <w:t>Kaska</w:t>
      </w:r>
      <w:proofErr w:type="spellEnd"/>
      <w:r w:rsidRPr="005B6084">
        <w:t xml:space="preserve">, </w:t>
      </w:r>
      <w:proofErr w:type="spellStart"/>
      <w:r w:rsidRPr="005B6084">
        <w:t>Kristel</w:t>
      </w:r>
      <w:proofErr w:type="spellEnd"/>
      <w:r w:rsidRPr="005B6084">
        <w:t xml:space="preserve"> </w:t>
      </w:r>
      <w:proofErr w:type="spellStart"/>
      <w:r w:rsidRPr="005B6084">
        <w:t>Rünnimeri</w:t>
      </w:r>
      <w:proofErr w:type="spellEnd"/>
      <w:r w:rsidRPr="005B6084">
        <w:t xml:space="preserve">, Mari </w:t>
      </w:r>
      <w:proofErr w:type="spellStart"/>
      <w:r w:rsidRPr="005B6084">
        <w:t>Kert</w:t>
      </w:r>
      <w:proofErr w:type="spellEnd"/>
      <w:r w:rsidRPr="005B6084">
        <w:t xml:space="preserve">, Anna-Maria </w:t>
      </w:r>
      <w:proofErr w:type="spellStart"/>
      <w:r w:rsidRPr="005B6084">
        <w:t>Talihärm</w:t>
      </w:r>
      <w:proofErr w:type="spellEnd"/>
      <w:r w:rsidRPr="005B6084">
        <w:t xml:space="preserve"> and </w:t>
      </w:r>
      <w:proofErr w:type="spellStart"/>
      <w:r w:rsidRPr="005B6084">
        <w:t>Liis</w:t>
      </w:r>
      <w:proofErr w:type="spellEnd"/>
      <w:r w:rsidRPr="005B6084">
        <w:t xml:space="preserve"> </w:t>
      </w:r>
      <w:proofErr w:type="spellStart"/>
      <w:r w:rsidRPr="005B6084">
        <w:t>Vihul</w:t>
      </w:r>
      <w:proofErr w:type="spellEnd"/>
      <w:r w:rsidRPr="005B6084">
        <w:t>, ‘Cyber Attacks Against Georgia: Legal Lessons Identified’, (CCDCOE, 2008), at 12 (emphasis added)).</w:t>
      </w:r>
    </w:p>
  </w:footnote>
  <w:footnote w:id="123">
    <w:p w14:paraId="596DC149" w14:textId="44E3581D"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Certain Norwegian Loans (France v. Norway)</w:t>
      </w:r>
      <w:r w:rsidRPr="005B6084">
        <w:t xml:space="preserve"> [1957] ICJ Rep</w:t>
      </w:r>
      <w:r w:rsidR="0020595D" w:rsidRPr="005B6084">
        <w:t>.</w:t>
      </w:r>
      <w:r w:rsidRPr="005B6084">
        <w:t xml:space="preserve">, Separate Opinion of Judge Sir </w:t>
      </w:r>
      <w:proofErr w:type="spellStart"/>
      <w:r w:rsidRPr="005B6084">
        <w:t>Hersch</w:t>
      </w:r>
      <w:proofErr w:type="spellEnd"/>
      <w:r w:rsidRPr="005B6084">
        <w:t xml:space="preserve"> </w:t>
      </w:r>
      <w:proofErr w:type="spellStart"/>
      <w:r w:rsidRPr="005B6084">
        <w:t>Lauterpacht</w:t>
      </w:r>
      <w:proofErr w:type="spellEnd"/>
      <w:r w:rsidRPr="005B6084">
        <w:t>, at 39.</w:t>
      </w:r>
    </w:p>
  </w:footnote>
  <w:footnote w:id="124">
    <w:p w14:paraId="629CF85E" w14:textId="77777777" w:rsidR="007F624B" w:rsidRPr="005B6084" w:rsidRDefault="007F624B" w:rsidP="005B6084">
      <w:pPr>
        <w:pStyle w:val="Testonotaapidipagina"/>
        <w:jc w:val="both"/>
      </w:pPr>
      <w:r w:rsidRPr="005B6084">
        <w:rPr>
          <w:rStyle w:val="Rimandonotaapidipagina"/>
        </w:rPr>
        <w:footnoteRef/>
      </w:r>
      <w:r w:rsidRPr="005B6084">
        <w:t xml:space="preserve"> Michael N Schmitt, ‘Cyber Operations and the </w:t>
      </w:r>
      <w:r w:rsidRPr="005B6084">
        <w:rPr>
          <w:i/>
        </w:rPr>
        <w:t>Jus ad Bellum</w:t>
      </w:r>
      <w:r w:rsidRPr="005B6084">
        <w:t xml:space="preserve"> Revisited’, </w:t>
      </w:r>
      <w:r w:rsidRPr="005B6084">
        <w:rPr>
          <w:i/>
        </w:rPr>
        <w:t>Villanova Law Review</w:t>
      </w:r>
      <w:r w:rsidRPr="005B6084">
        <w:t xml:space="preserve"> 56 (2011–2012), at 595.</w:t>
      </w:r>
    </w:p>
  </w:footnote>
  <w:footnote w:id="125">
    <w:p w14:paraId="3AF108BD" w14:textId="77777777" w:rsidR="007F624B" w:rsidRPr="005B6084" w:rsidRDefault="007F624B" w:rsidP="005B6084">
      <w:pPr>
        <w:pStyle w:val="Testonotaapidipagina"/>
        <w:jc w:val="both"/>
      </w:pPr>
      <w:r w:rsidRPr="005B6084">
        <w:rPr>
          <w:rStyle w:val="Rimandonotaapidipagina"/>
        </w:rPr>
        <w:footnoteRef/>
      </w:r>
      <w:r w:rsidRPr="005B6084">
        <w:t xml:space="preserve"> On the application of the doctrine of accumulation of events to cyber operations, see Roscini, </w:t>
      </w:r>
      <w:r w:rsidRPr="005B6084">
        <w:rPr>
          <w:i/>
        </w:rPr>
        <w:t>supra</w:t>
      </w:r>
      <w:r w:rsidRPr="005B6084">
        <w:t xml:space="preserve"> note </w:t>
      </w:r>
      <w:r w:rsidRPr="005B6084">
        <w:fldChar w:fldCharType="begin"/>
      </w:r>
      <w:r w:rsidRPr="005B6084">
        <w:instrText xml:space="preserve"> NOTEREF _Ref383511592 \h  \* MERGEFORMAT </w:instrText>
      </w:r>
      <w:r w:rsidRPr="005B6084">
        <w:fldChar w:fldCharType="separate"/>
      </w:r>
      <w:proofErr w:type="gramStart"/>
      <w:r w:rsidR="005B6084">
        <w:t>2</w:t>
      </w:r>
      <w:proofErr w:type="gramEnd"/>
      <w:r w:rsidRPr="005B6084">
        <w:fldChar w:fldCharType="end"/>
      </w:r>
      <w:r w:rsidRPr="005B6084">
        <w:t>, 108-110.</w:t>
      </w:r>
    </w:p>
  </w:footnote>
  <w:footnote w:id="126">
    <w:p w14:paraId="4BE9054A" w14:textId="1A5103A7" w:rsidR="007F624B" w:rsidRPr="005B6084" w:rsidRDefault="007F624B" w:rsidP="005B6084">
      <w:pPr>
        <w:pStyle w:val="Testonotaapidipagina"/>
        <w:jc w:val="both"/>
      </w:pPr>
      <w:r w:rsidRPr="005B6084">
        <w:rPr>
          <w:rStyle w:val="Rimandonotaapidipagina"/>
        </w:rPr>
        <w:footnoteRef/>
      </w:r>
      <w:r w:rsidRPr="005B6084">
        <w:t xml:space="preserve"> A similar reasoning is utilised, in relation to the identification of the state responsible for the </w:t>
      </w:r>
      <w:proofErr w:type="spellStart"/>
      <w:r w:rsidRPr="005B6084">
        <w:t>cyber attack</w:t>
      </w:r>
      <w:proofErr w:type="spellEnd"/>
      <w:r w:rsidRPr="005B6084">
        <w:t xml:space="preserve">, by </w:t>
      </w:r>
      <w:proofErr w:type="spellStart"/>
      <w:r w:rsidRPr="005B6084">
        <w:t>Yoram</w:t>
      </w:r>
      <w:proofErr w:type="spellEnd"/>
      <w:r w:rsidRPr="005B6084">
        <w:t xml:space="preserve"> </w:t>
      </w:r>
      <w:proofErr w:type="spellStart"/>
      <w:r w:rsidRPr="005B6084">
        <w:t>Dinstein</w:t>
      </w:r>
      <w:proofErr w:type="spellEnd"/>
      <w:r w:rsidRPr="005B6084">
        <w:t xml:space="preserve">, ‘Cyber War and International Law: Concluding Remarks at the 2012 Naval War College International Law Conference’ </w:t>
      </w:r>
      <w:r w:rsidRPr="005B6084">
        <w:rPr>
          <w:i/>
        </w:rPr>
        <w:t>Naval War College International Law Studies</w:t>
      </w:r>
      <w:r w:rsidRPr="005B6084">
        <w:t xml:space="preserve"> 89 (2013), at 282.</w:t>
      </w:r>
    </w:p>
  </w:footnote>
  <w:footnote w:id="127">
    <w:p w14:paraId="457CBE6D" w14:textId="5B4ED438"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Contra</w:t>
      </w:r>
      <w:r w:rsidRPr="005B6084">
        <w:t xml:space="preserve">, see </w:t>
      </w:r>
      <w:r w:rsidRPr="005B6084">
        <w:rPr>
          <w:i/>
        </w:rPr>
        <w:t xml:space="preserve">Prisoners of War - Eritrea’s Claim 17 </w:t>
      </w:r>
      <w:r w:rsidRPr="005B6084">
        <w:t xml:space="preserve">[2003] Eritrea-Ethiopia Claims Commission, Partial Award, Reports of International Arbitral Awards, XXVI, paras. 45-47. </w:t>
      </w:r>
    </w:p>
  </w:footnote>
  <w:footnote w:id="128">
    <w:p w14:paraId="5DA22D91"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Oil Platforms</w:t>
      </w:r>
      <w:r w:rsidRPr="005B6084">
        <w:t xml:space="preserve">, </w:t>
      </w:r>
      <w:r w:rsidRPr="005B6084">
        <w:rPr>
          <w:i/>
        </w:rPr>
        <w:t>supra</w:t>
      </w:r>
      <w:r w:rsidRPr="005B6084">
        <w:t xml:space="preserve"> note </w:t>
      </w:r>
      <w:r w:rsidRPr="005B6084">
        <w:fldChar w:fldCharType="begin"/>
      </w:r>
      <w:r w:rsidRPr="005B6084">
        <w:instrText xml:space="preserve"> NOTEREF _Ref383515473 \h  \* MERGEFORMAT </w:instrText>
      </w:r>
      <w:r w:rsidRPr="005B6084">
        <w:fldChar w:fldCharType="separate"/>
      </w:r>
      <w:r w:rsidR="005B6084">
        <w:t>58</w:t>
      </w:r>
      <w:r w:rsidRPr="005B6084">
        <w:fldChar w:fldCharType="end"/>
      </w:r>
      <w:r w:rsidRPr="005B6084">
        <w:t>, Separate Opinion of Judge Higgins, para. 33.</w:t>
      </w:r>
    </w:p>
  </w:footnote>
  <w:footnote w:id="129">
    <w:p w14:paraId="31BB08F1"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Corfu Channel</w:t>
      </w:r>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xml:space="preserve">, at 17. This interpretation of the Court’s judgment, however, is not uncontroversial: see Andrea </w:t>
      </w:r>
      <w:proofErr w:type="spellStart"/>
      <w:r w:rsidRPr="005B6084">
        <w:t>Gattini</w:t>
      </w:r>
      <w:proofErr w:type="spellEnd"/>
      <w:r w:rsidRPr="005B6084">
        <w:t xml:space="preserve">, ‘Evidentiary Issues in the ICJ’s Genocide Judgment’, </w:t>
      </w:r>
      <w:proofErr w:type="gramStart"/>
      <w:r w:rsidRPr="005B6084">
        <w:t>5</w:t>
      </w:r>
      <w:proofErr w:type="gramEnd"/>
      <w:r w:rsidRPr="005B6084">
        <w:t xml:space="preserve"> </w:t>
      </w:r>
      <w:r w:rsidRPr="005B6084">
        <w:rPr>
          <w:i/>
        </w:rPr>
        <w:t>Journal of International Criminal Justice</w:t>
      </w:r>
      <w:r w:rsidRPr="005B6084">
        <w:t xml:space="preserve"> (2007), 889, at 896.</w:t>
      </w:r>
    </w:p>
  </w:footnote>
  <w:footnote w:id="130">
    <w:p w14:paraId="6F52C34A" w14:textId="60B81CE3"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Application of the Convention on the Prevention and Punishment of the Crime of Genocide (Bosnia and Herzegovina v. Serbia and Montenegro)</w:t>
      </w:r>
      <w:r w:rsidR="00C03A66" w:rsidRPr="005B6084">
        <w:t>, Merits, [2007]</w:t>
      </w:r>
      <w:r w:rsidRPr="005B6084">
        <w:t xml:space="preserve"> ICJ Rep</w:t>
      </w:r>
      <w:r w:rsidR="0020595D" w:rsidRPr="005B6084">
        <w:t>.</w:t>
      </w:r>
      <w:r w:rsidRPr="005B6084">
        <w:t xml:space="preserve">, para. </w:t>
      </w:r>
      <w:proofErr w:type="gramStart"/>
      <w:r w:rsidRPr="005B6084">
        <w:t>209</w:t>
      </w:r>
      <w:proofErr w:type="gramEnd"/>
      <w:r w:rsidRPr="005B6084">
        <w:t xml:space="preserve"> (emphasis added). See also </w:t>
      </w:r>
      <w:r w:rsidRPr="005B6084">
        <w:rPr>
          <w:i/>
        </w:rPr>
        <w:t xml:space="preserve">Corfu </w:t>
      </w:r>
      <w:proofErr w:type="gramStart"/>
      <w:r w:rsidRPr="005B6084">
        <w:rPr>
          <w:i/>
        </w:rPr>
        <w:t>Channel</w:t>
      </w:r>
      <w:r w:rsidRPr="005B6084">
        <w:t>,</w:t>
      </w:r>
      <w:proofErr w:type="gramEnd"/>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xml:space="preserve">, at 17. </w:t>
      </w:r>
      <w:r w:rsidRPr="005B6084">
        <w:rPr>
          <w:lang w:eastAsia="it-IT"/>
        </w:rPr>
        <w:t>It is not entirely clear whether the Court linked the notion of gravity to the importance of the norm allegedly breached or the magnitude of the violation. It would seem more correct to refer to the gravity to the former, as, if the evidentiary standard depended on the latter, ‘some States could have a perverse incentive to sponsor more devastating attacks so as to raise the necessary burden of proof and potentially defeat accountability’ (</w:t>
      </w:r>
      <w:r w:rsidRPr="005B6084">
        <w:t xml:space="preserve">Shackelford and Andres, </w:t>
      </w:r>
      <w:r w:rsidRPr="005B6084">
        <w:rPr>
          <w:i/>
        </w:rPr>
        <w:t>supra</w:t>
      </w:r>
      <w:r w:rsidRPr="005B6084">
        <w:t xml:space="preserve"> note </w:t>
      </w:r>
      <w:r w:rsidRPr="005B6084">
        <w:fldChar w:fldCharType="begin"/>
      </w:r>
      <w:r w:rsidRPr="005B6084">
        <w:instrText xml:space="preserve"> NOTEREF _Ref389204145 \h  \* MERGEFORMAT </w:instrText>
      </w:r>
      <w:r w:rsidRPr="005B6084">
        <w:fldChar w:fldCharType="separate"/>
      </w:r>
      <w:r w:rsidR="005B6084">
        <w:t>29</w:t>
      </w:r>
      <w:r w:rsidRPr="005B6084">
        <w:fldChar w:fldCharType="end"/>
      </w:r>
      <w:r w:rsidRPr="005B6084">
        <w:t>, at 990).</w:t>
      </w:r>
    </w:p>
  </w:footnote>
  <w:footnote w:id="131">
    <w:p w14:paraId="551AE17F" w14:textId="746B51E4"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i/>
          <w:lang w:val="it-IT"/>
        </w:rPr>
        <w:t>Bosnian</w:t>
      </w:r>
      <w:proofErr w:type="spellEnd"/>
      <w:r w:rsidRPr="005B6084">
        <w:rPr>
          <w:i/>
          <w:lang w:val="it-IT"/>
        </w:rPr>
        <w:t xml:space="preserve"> Genocide</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_Ref383683542 \h  \* MERGEFORMAT </w:instrText>
      </w:r>
      <w:r w:rsidRPr="005B6084">
        <w:fldChar w:fldCharType="separate"/>
      </w:r>
      <w:r w:rsidR="005B6084">
        <w:rPr>
          <w:lang w:val="it-IT"/>
        </w:rPr>
        <w:t>129</w:t>
      </w:r>
      <w:r w:rsidRPr="005B6084">
        <w:fldChar w:fldCharType="end"/>
      </w:r>
      <w:r w:rsidRPr="005B6084">
        <w:rPr>
          <w:lang w:val="it-IT"/>
        </w:rPr>
        <w:t>, para. 422.</w:t>
      </w:r>
    </w:p>
  </w:footnote>
  <w:footnote w:id="132">
    <w:p w14:paraId="0349A978"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lang w:val="it-IT"/>
        </w:rPr>
        <w:t>Benzing</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_Ref389656491 \h  \* MERGEFORMAT </w:instrText>
      </w:r>
      <w:r w:rsidRPr="005B6084">
        <w:fldChar w:fldCharType="separate"/>
      </w:r>
      <w:r w:rsidR="005B6084">
        <w:rPr>
          <w:lang w:val="it-IT"/>
        </w:rPr>
        <w:t>44</w:t>
      </w:r>
      <w:r w:rsidRPr="005B6084">
        <w:fldChar w:fldCharType="end"/>
      </w:r>
      <w:r w:rsidRPr="005B6084">
        <w:rPr>
          <w:lang w:val="it-IT"/>
        </w:rPr>
        <w:t>, 1266.</w:t>
      </w:r>
    </w:p>
  </w:footnote>
  <w:footnote w:id="133">
    <w:p w14:paraId="3BF71C63" w14:textId="54318A9E"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i/>
          <w:lang w:val="it-IT"/>
        </w:rPr>
        <w:t>Bosnian</w:t>
      </w:r>
      <w:proofErr w:type="spellEnd"/>
      <w:r w:rsidRPr="005B6084">
        <w:rPr>
          <w:i/>
          <w:lang w:val="it-IT"/>
        </w:rPr>
        <w:t xml:space="preserve"> Genocide</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_Ref383683542 \h  \* MERGEFORMAT </w:instrText>
      </w:r>
      <w:r w:rsidRPr="005B6084">
        <w:fldChar w:fldCharType="separate"/>
      </w:r>
      <w:r w:rsidR="005B6084">
        <w:rPr>
          <w:lang w:val="it-IT"/>
        </w:rPr>
        <w:t>129</w:t>
      </w:r>
      <w:r w:rsidRPr="005B6084">
        <w:fldChar w:fldCharType="end"/>
      </w:r>
      <w:r w:rsidRPr="005B6084">
        <w:rPr>
          <w:lang w:val="it-IT"/>
        </w:rPr>
        <w:t>, para. 210.</w:t>
      </w:r>
    </w:p>
  </w:footnote>
  <w:footnote w:id="134">
    <w:p w14:paraId="1208D9DC"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lang w:val="it-IT"/>
        </w:rPr>
        <w:t>Benzing</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_Ref389656491 \h  \* MERGEFORMAT </w:instrText>
      </w:r>
      <w:r w:rsidRPr="005B6084">
        <w:fldChar w:fldCharType="separate"/>
      </w:r>
      <w:r w:rsidR="005B6084">
        <w:rPr>
          <w:lang w:val="it-IT"/>
        </w:rPr>
        <w:t>44</w:t>
      </w:r>
      <w:r w:rsidRPr="005B6084">
        <w:fldChar w:fldCharType="end"/>
      </w:r>
      <w:r w:rsidRPr="005B6084">
        <w:rPr>
          <w:lang w:val="it-IT"/>
        </w:rPr>
        <w:t>, 1266.</w:t>
      </w:r>
    </w:p>
  </w:footnote>
  <w:footnote w:id="135">
    <w:p w14:paraId="789A99DF" w14:textId="76FDCB82" w:rsidR="007F624B" w:rsidRPr="005B6084" w:rsidRDefault="007F624B" w:rsidP="005B6084">
      <w:pPr>
        <w:pStyle w:val="Testonotaapidipagina"/>
        <w:jc w:val="both"/>
        <w:rPr>
          <w:lang w:val="en-US"/>
        </w:rPr>
      </w:pPr>
      <w:r w:rsidRPr="005B6084">
        <w:rPr>
          <w:rStyle w:val="Rimandonotaapidipagina"/>
        </w:rPr>
        <w:footnoteRef/>
      </w:r>
      <w:r w:rsidRPr="005B6084">
        <w:rPr>
          <w:lang w:val="en-US"/>
        </w:rPr>
        <w:t xml:space="preserve"> </w:t>
      </w:r>
      <w:proofErr w:type="spellStart"/>
      <w:r w:rsidRPr="005B6084">
        <w:rPr>
          <w:lang w:val="en-US"/>
        </w:rPr>
        <w:t>Gattini</w:t>
      </w:r>
      <w:proofErr w:type="spellEnd"/>
      <w:r w:rsidRPr="005B6084">
        <w:rPr>
          <w:lang w:val="en-US"/>
        </w:rPr>
        <w:t xml:space="preserve">, </w:t>
      </w:r>
      <w:r w:rsidRPr="005B6084">
        <w:rPr>
          <w:i/>
          <w:lang w:val="en-US"/>
        </w:rPr>
        <w:t>supra</w:t>
      </w:r>
      <w:r w:rsidRPr="005B6084">
        <w:rPr>
          <w:lang w:val="en-US"/>
        </w:rPr>
        <w:t xml:space="preserve"> note </w:t>
      </w:r>
      <w:r w:rsidRPr="005B6084">
        <w:fldChar w:fldCharType="begin"/>
      </w:r>
      <w:r w:rsidRPr="005B6084">
        <w:rPr>
          <w:lang w:val="en-US"/>
        </w:rPr>
        <w:instrText xml:space="preserve"> NOTEREF _Ref389052669 \h  \* MERGEFORMAT </w:instrText>
      </w:r>
      <w:r w:rsidRPr="005B6084">
        <w:fldChar w:fldCharType="separate"/>
      </w:r>
      <w:r w:rsidR="005B6084">
        <w:rPr>
          <w:lang w:val="en-US"/>
        </w:rPr>
        <w:t>128</w:t>
      </w:r>
      <w:r w:rsidRPr="005B6084">
        <w:fldChar w:fldCharType="end"/>
      </w:r>
      <w:r w:rsidRPr="005B6084">
        <w:rPr>
          <w:lang w:val="en-US"/>
        </w:rPr>
        <w:t xml:space="preserve">, 899. </w:t>
      </w:r>
      <w:r w:rsidRPr="005B6084">
        <w:rPr>
          <w:lang w:val="en-US" w:eastAsia="it-IT"/>
        </w:rPr>
        <w:t xml:space="preserve">In </w:t>
      </w:r>
      <w:r w:rsidRPr="005B6084">
        <w:rPr>
          <w:i/>
          <w:lang w:val="en-US" w:eastAsia="it-IT"/>
        </w:rPr>
        <w:t>Nicaragua</w:t>
      </w:r>
      <w:r w:rsidRPr="005B6084">
        <w:rPr>
          <w:lang w:val="en-US" w:eastAsia="it-IT"/>
        </w:rPr>
        <w:t xml:space="preserve">, the Court had already found that the fact that Nicaragua had to prove a negative (the non-supply of arms to rebels in </w:t>
      </w:r>
      <w:proofErr w:type="spellStart"/>
      <w:r w:rsidRPr="005B6084">
        <w:rPr>
          <w:lang w:val="en-US" w:eastAsia="it-IT"/>
        </w:rPr>
        <w:t>neighbouring</w:t>
      </w:r>
      <w:proofErr w:type="spellEnd"/>
      <w:r w:rsidRPr="005B6084">
        <w:rPr>
          <w:lang w:val="en-US" w:eastAsia="it-IT"/>
        </w:rPr>
        <w:t xml:space="preserve"> countries) had to be ‘borne in mind’ </w:t>
      </w:r>
      <w:r w:rsidR="00C03A66" w:rsidRPr="005B6084">
        <w:rPr>
          <w:lang w:val="en-US" w:eastAsia="it-IT"/>
        </w:rPr>
        <w:t>when</w:t>
      </w:r>
      <w:r w:rsidRPr="005B6084">
        <w:rPr>
          <w:lang w:val="en-US" w:eastAsia="it-IT"/>
        </w:rPr>
        <w:t xml:space="preserve"> assessing the evidence (</w:t>
      </w:r>
      <w:r w:rsidRPr="005B6084">
        <w:rPr>
          <w:i/>
          <w:lang w:val="en-US" w:eastAsia="it-IT"/>
        </w:rPr>
        <w:t>Nicaragua</w:t>
      </w:r>
      <w:r w:rsidRPr="005B6084">
        <w:rPr>
          <w:lang w:val="en-US" w:eastAsia="it-IT"/>
        </w:rPr>
        <w:t xml:space="preserve">, </w:t>
      </w:r>
      <w:r w:rsidRPr="005B6084">
        <w:rPr>
          <w:i/>
          <w:lang w:val="en-US" w:eastAsia="it-IT"/>
        </w:rPr>
        <w:t>supra</w:t>
      </w:r>
      <w:r w:rsidRPr="005B6084">
        <w:rPr>
          <w:lang w:val="en-US" w:eastAsia="it-IT"/>
        </w:rPr>
        <w:t xml:space="preserve"> note </w:t>
      </w:r>
      <w:r w:rsidRPr="005B6084">
        <w:rPr>
          <w:lang w:val="en-US" w:eastAsia="it-IT"/>
        </w:rPr>
        <w:fldChar w:fldCharType="begin"/>
      </w:r>
      <w:r w:rsidRPr="005B6084">
        <w:rPr>
          <w:lang w:val="en-US" w:eastAsia="it-IT"/>
        </w:rPr>
        <w:instrText xml:space="preserve"> NOTEREF _Ref383511825 \h  \* MERGEFORMAT </w:instrText>
      </w:r>
      <w:r w:rsidRPr="005B6084">
        <w:rPr>
          <w:lang w:val="en-US" w:eastAsia="it-IT"/>
        </w:rPr>
      </w:r>
      <w:r w:rsidRPr="005B6084">
        <w:rPr>
          <w:lang w:val="en-US" w:eastAsia="it-IT"/>
        </w:rPr>
        <w:fldChar w:fldCharType="separate"/>
      </w:r>
      <w:proofErr w:type="gramStart"/>
      <w:r w:rsidR="005B6084">
        <w:rPr>
          <w:lang w:val="en-US" w:eastAsia="it-IT"/>
        </w:rPr>
        <w:t>3</w:t>
      </w:r>
      <w:proofErr w:type="gramEnd"/>
      <w:r w:rsidRPr="005B6084">
        <w:rPr>
          <w:lang w:val="en-US" w:eastAsia="it-IT"/>
        </w:rPr>
        <w:fldChar w:fldCharType="end"/>
      </w:r>
      <w:r w:rsidRPr="005B6084">
        <w:rPr>
          <w:lang w:val="en-US" w:eastAsia="it-IT"/>
        </w:rPr>
        <w:t>, para. 147).</w:t>
      </w:r>
    </w:p>
  </w:footnote>
  <w:footnote w:id="136">
    <w:p w14:paraId="5E0DEEC1"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Durward</w:t>
      </w:r>
      <w:proofErr w:type="spellEnd"/>
      <w:r w:rsidRPr="005B6084">
        <w:t xml:space="preserve"> V </w:t>
      </w:r>
      <w:proofErr w:type="spellStart"/>
      <w:r w:rsidRPr="005B6084">
        <w:t>Sandifer</w:t>
      </w:r>
      <w:proofErr w:type="spellEnd"/>
      <w:r w:rsidRPr="005B6084">
        <w:t xml:space="preserve">, </w:t>
      </w:r>
      <w:r w:rsidRPr="005B6084">
        <w:rPr>
          <w:i/>
        </w:rPr>
        <w:t xml:space="preserve">Evidence </w:t>
      </w:r>
      <w:proofErr w:type="gramStart"/>
      <w:r w:rsidRPr="005B6084">
        <w:rPr>
          <w:i/>
        </w:rPr>
        <w:t>Before</w:t>
      </w:r>
      <w:proofErr w:type="gramEnd"/>
      <w:r w:rsidRPr="005B6084">
        <w:rPr>
          <w:i/>
        </w:rPr>
        <w:t xml:space="preserve"> International Tribunals</w:t>
      </w:r>
      <w:r w:rsidRPr="005B6084">
        <w:t xml:space="preserve"> (University Press of Virginia, 1975), at 184.</w:t>
      </w:r>
    </w:p>
  </w:footnote>
  <w:footnote w:id="137">
    <w:p w14:paraId="578D4DEF" w14:textId="159844AB" w:rsidR="007F624B" w:rsidRPr="005B6084" w:rsidRDefault="007F624B" w:rsidP="005B6084">
      <w:pPr>
        <w:pStyle w:val="Testonotaapidipagina"/>
        <w:jc w:val="both"/>
      </w:pPr>
      <w:r w:rsidRPr="005B6084">
        <w:rPr>
          <w:rStyle w:val="Rimandonotaapidipagina"/>
        </w:rPr>
        <w:footnoteRef/>
      </w:r>
      <w:r w:rsidRPr="005B6084">
        <w:t xml:space="preserve"> Articles 49 and 50 of the ICJ Statute; Articles 62, 66, 67 and 69 of the Rules of Court.</w:t>
      </w:r>
    </w:p>
  </w:footnote>
  <w:footnote w:id="138">
    <w:p w14:paraId="62F3B246" w14:textId="0D8F1B62" w:rsidR="007F624B" w:rsidRPr="005B6084" w:rsidRDefault="007F624B" w:rsidP="005B6084">
      <w:pPr>
        <w:pStyle w:val="Testonotaapidipagina"/>
        <w:jc w:val="both"/>
      </w:pPr>
      <w:r w:rsidRPr="005B6084">
        <w:rPr>
          <w:rStyle w:val="Rimandonotaapidipagina"/>
        </w:rPr>
        <w:footnoteRef/>
      </w:r>
      <w:r w:rsidRPr="005B6084">
        <w:rPr>
          <w:lang w:val="it-IT"/>
        </w:rPr>
        <w:t xml:space="preserve"> </w:t>
      </w:r>
      <w:r w:rsidRPr="005B6084">
        <w:rPr>
          <w:i/>
          <w:lang w:val="it-IT"/>
        </w:rPr>
        <w:t>Nicaragua,</w:t>
      </w:r>
      <w:r w:rsidRPr="005B6084">
        <w:rPr>
          <w:lang w:val="it-IT"/>
        </w:rPr>
        <w:t xml:space="preserve"> </w:t>
      </w:r>
      <w:proofErr w:type="spellStart"/>
      <w:r w:rsidRPr="005B6084">
        <w:rPr>
          <w:lang w:val="it-IT"/>
        </w:rPr>
        <w:t>Merits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r w:rsidRPr="005B6084">
        <w:t xml:space="preserve">30. See Art. </w:t>
      </w:r>
      <w:proofErr w:type="gramStart"/>
      <w:r w:rsidRPr="005B6084">
        <w:t>49</w:t>
      </w:r>
      <w:proofErr w:type="gramEnd"/>
      <w:r w:rsidRPr="005B6084">
        <w:t xml:space="preserve"> of the ICJ Statute and Art. </w:t>
      </w:r>
      <w:proofErr w:type="gramStart"/>
      <w:r w:rsidRPr="005B6084">
        <w:t>62</w:t>
      </w:r>
      <w:proofErr w:type="gramEnd"/>
      <w:r w:rsidRPr="005B6084">
        <w:t xml:space="preserve"> of the Rules of Court.</w:t>
      </w:r>
    </w:p>
  </w:footnote>
  <w:footnote w:id="139">
    <w:p w14:paraId="3A0B0936" w14:textId="4B78173D" w:rsidR="007F624B" w:rsidRPr="005B6084" w:rsidRDefault="007F624B" w:rsidP="005B6084">
      <w:pPr>
        <w:pStyle w:val="Testonotaapidipagina"/>
        <w:jc w:val="both"/>
      </w:pPr>
      <w:r w:rsidRPr="005B6084">
        <w:rPr>
          <w:rStyle w:val="Rimandonotaapidipagina"/>
        </w:rPr>
        <w:footnoteRef/>
      </w:r>
      <w:r w:rsidRPr="005B6084">
        <w:rPr>
          <w:lang w:val="it-IT"/>
        </w:rPr>
        <w:t xml:space="preserve"> </w:t>
      </w:r>
      <w:r w:rsidRPr="005B6084">
        <w:rPr>
          <w:i/>
          <w:lang w:val="it-IT"/>
        </w:rPr>
        <w:t>Nicaragua</w:t>
      </w:r>
      <w:r w:rsidRPr="005B6084">
        <w:rPr>
          <w:lang w:val="it-IT"/>
        </w:rPr>
        <w:t xml:space="preserve">, </w:t>
      </w:r>
      <w:proofErr w:type="spellStart"/>
      <w:r w:rsidRPr="005B6084">
        <w:rPr>
          <w:lang w:val="it-IT"/>
        </w:rPr>
        <w:t>Merits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proofErr w:type="gramStart"/>
      <w:r w:rsidRPr="005B6084">
        <w:t xml:space="preserve">60. See also </w:t>
      </w:r>
      <w:r w:rsidRPr="005B6084">
        <w:rPr>
          <w:i/>
        </w:rPr>
        <w:t>DRC v. Uganda</w:t>
      </w:r>
      <w:proofErr w:type="gramEnd"/>
      <w:r w:rsidRPr="005B6084">
        <w:rPr>
          <w:i/>
        </w:rPr>
        <w:t xml:space="preserve">, </w:t>
      </w:r>
      <w:proofErr w:type="gramStart"/>
      <w:r w:rsidRPr="005B6084">
        <w:rPr>
          <w:i/>
        </w:rPr>
        <w:t xml:space="preserve">supra </w:t>
      </w:r>
      <w:r w:rsidRPr="005B6084">
        <w:t xml:space="preserve">note </w:t>
      </w:r>
      <w:r w:rsidRPr="005B6084">
        <w:fldChar w:fldCharType="begin"/>
      </w:r>
      <w:r w:rsidRPr="005B6084">
        <w:instrText xml:space="preserve"> NOTEREF _Ref389662903 \h  \* MERGEFORMAT </w:instrText>
      </w:r>
      <w:r w:rsidRPr="005B6084">
        <w:fldChar w:fldCharType="separate"/>
      </w:r>
      <w:r w:rsidR="005B6084">
        <w:t>73</w:t>
      </w:r>
      <w:r w:rsidRPr="005B6084">
        <w:fldChar w:fldCharType="end"/>
      </w:r>
      <w:r w:rsidRPr="005B6084">
        <w:t>, para</w:t>
      </w:r>
      <w:proofErr w:type="gramEnd"/>
      <w:r w:rsidRPr="005B6084">
        <w:t>. 59.</w:t>
      </w:r>
    </w:p>
  </w:footnote>
  <w:footnote w:id="140">
    <w:p w14:paraId="546D3807" w14:textId="1A275F77" w:rsidR="007F624B" w:rsidRPr="005B6084" w:rsidRDefault="007F624B" w:rsidP="005B6084">
      <w:pPr>
        <w:pStyle w:val="Testonotaapidipagina"/>
        <w:jc w:val="both"/>
      </w:pPr>
      <w:r w:rsidRPr="005B6084">
        <w:rPr>
          <w:rStyle w:val="Rimandonotaapidipagina"/>
        </w:rPr>
        <w:footnoteRef/>
      </w:r>
      <w:r w:rsidRPr="005B6084">
        <w:t xml:space="preserve">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xml:space="preserve">, at 232; Aguilar </w:t>
      </w:r>
      <w:proofErr w:type="spellStart"/>
      <w:r w:rsidRPr="005B6084">
        <w:t>Mawdsley</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_Ref389207412 \h  \* MERGEFORMAT </w:instrText>
      </w:r>
      <w:r w:rsidRPr="005B6084">
        <w:fldChar w:fldCharType="separate"/>
      </w:r>
      <w:r w:rsidR="005B6084">
        <w:t>59</w:t>
      </w:r>
      <w:r w:rsidRPr="005B6084">
        <w:fldChar w:fldCharType="end"/>
      </w:r>
      <w:r w:rsidRPr="005B6084">
        <w:t>, at 543.</w:t>
      </w:r>
    </w:p>
  </w:footnote>
  <w:footnote w:id="141">
    <w:p w14:paraId="7D0B5575" w14:textId="73860E2D"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Wolfrum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_Ref389204857 \h  \* MERGEFORMAT </w:instrText>
      </w:r>
      <w:r w:rsidRPr="005B6084">
        <w:fldChar w:fldCharType="separate"/>
      </w:r>
      <w:r w:rsidR="005B6084">
        <w:t>31</w:t>
      </w:r>
      <w:r w:rsidRPr="005B6084">
        <w:fldChar w:fldCharType="end"/>
      </w:r>
      <w:r w:rsidRPr="005B6084">
        <w:t>, 558.</w:t>
      </w:r>
    </w:p>
  </w:footnote>
  <w:footnote w:id="142">
    <w:p w14:paraId="36DA5F71" w14:textId="5920594C" w:rsidR="007F624B" w:rsidRPr="005B6084" w:rsidRDefault="007F624B" w:rsidP="005B6084">
      <w:pPr>
        <w:spacing w:after="0" w:line="240" w:lineRule="auto"/>
        <w:jc w:val="both"/>
        <w:rPr>
          <w:rFonts w:ascii="Times New Roman" w:hAnsi="Times New Roman"/>
          <w:sz w:val="20"/>
          <w:szCs w:val="20"/>
        </w:rPr>
      </w:pPr>
      <w:r w:rsidRPr="005B6084">
        <w:rPr>
          <w:rStyle w:val="Rimandonotaapidipagina"/>
          <w:rFonts w:ascii="Times New Roman" w:hAnsi="Times New Roman"/>
          <w:sz w:val="20"/>
          <w:szCs w:val="20"/>
        </w:rPr>
        <w:footnoteRef/>
      </w:r>
      <w:r w:rsidRPr="005B6084">
        <w:rPr>
          <w:rFonts w:ascii="Times New Roman" w:hAnsi="Times New Roman"/>
          <w:sz w:val="20"/>
          <w:szCs w:val="20"/>
        </w:rPr>
        <w:t xml:space="preserve"> </w:t>
      </w:r>
      <w:proofErr w:type="spellStart"/>
      <w:r w:rsidRPr="005B6084">
        <w:rPr>
          <w:rFonts w:ascii="Times New Roman" w:hAnsi="Times New Roman"/>
          <w:sz w:val="20"/>
          <w:szCs w:val="20"/>
        </w:rPr>
        <w:t>Rosenne</w:t>
      </w:r>
      <w:proofErr w:type="spellEnd"/>
      <w:r w:rsidRPr="005B6084">
        <w:rPr>
          <w:rFonts w:ascii="Times New Roman" w:hAnsi="Times New Roman"/>
          <w:sz w:val="20"/>
          <w:szCs w:val="20"/>
        </w:rPr>
        <w:t xml:space="preserve">, </w:t>
      </w:r>
      <w:r w:rsidRPr="005B6084">
        <w:rPr>
          <w:rFonts w:ascii="Times New Roman" w:hAnsi="Times New Roman"/>
          <w:i/>
          <w:sz w:val="20"/>
          <w:szCs w:val="20"/>
        </w:rPr>
        <w:t>supra</w:t>
      </w:r>
      <w:r w:rsidRPr="005B6084">
        <w:rPr>
          <w:rFonts w:ascii="Times New Roman" w:hAnsi="Times New Roman"/>
          <w:sz w:val="20"/>
          <w:szCs w:val="20"/>
        </w:rPr>
        <w:t xml:space="preserve"> note </w:t>
      </w:r>
      <w:r w:rsidRPr="005B6084">
        <w:rPr>
          <w:rFonts w:ascii="Times New Roman" w:hAnsi="Times New Roman"/>
          <w:sz w:val="20"/>
          <w:szCs w:val="20"/>
        </w:rPr>
        <w:fldChar w:fldCharType="begin"/>
      </w:r>
      <w:r w:rsidRPr="005B6084">
        <w:rPr>
          <w:rFonts w:ascii="Times New Roman" w:hAnsi="Times New Roman"/>
          <w:sz w:val="20"/>
          <w:szCs w:val="20"/>
        </w:rPr>
        <w:instrText xml:space="preserve"> NOTEREF _Ref389205814 \h  \* MERGEFORMAT </w:instrText>
      </w:r>
      <w:r w:rsidRPr="005B6084">
        <w:rPr>
          <w:rFonts w:ascii="Times New Roman" w:hAnsi="Times New Roman"/>
          <w:sz w:val="20"/>
          <w:szCs w:val="20"/>
        </w:rPr>
      </w:r>
      <w:r w:rsidRPr="005B6084">
        <w:rPr>
          <w:rFonts w:ascii="Times New Roman" w:hAnsi="Times New Roman"/>
          <w:sz w:val="20"/>
          <w:szCs w:val="20"/>
        </w:rPr>
        <w:fldChar w:fldCharType="separate"/>
      </w:r>
      <w:r w:rsidR="005B6084">
        <w:rPr>
          <w:rFonts w:ascii="Times New Roman" w:hAnsi="Times New Roman"/>
          <w:sz w:val="20"/>
          <w:szCs w:val="20"/>
        </w:rPr>
        <w:t>57</w:t>
      </w:r>
      <w:r w:rsidRPr="005B6084">
        <w:rPr>
          <w:rFonts w:ascii="Times New Roman" w:hAnsi="Times New Roman"/>
          <w:sz w:val="20"/>
          <w:szCs w:val="20"/>
        </w:rPr>
        <w:fldChar w:fldCharType="end"/>
      </w:r>
      <w:r w:rsidRPr="005B6084">
        <w:rPr>
          <w:rFonts w:ascii="Times New Roman" w:hAnsi="Times New Roman"/>
          <w:sz w:val="20"/>
          <w:szCs w:val="20"/>
        </w:rPr>
        <w:t xml:space="preserve">, at 1246 (footnotes omitted). </w:t>
      </w:r>
      <w:proofErr w:type="gramStart"/>
      <w:r w:rsidRPr="005B6084">
        <w:rPr>
          <w:rFonts w:ascii="Times New Roman" w:hAnsi="Times New Roman"/>
          <w:sz w:val="20"/>
          <w:szCs w:val="20"/>
        </w:rPr>
        <w:t xml:space="preserve">In the </w:t>
      </w:r>
      <w:r w:rsidRPr="005B6084">
        <w:rPr>
          <w:rFonts w:ascii="Times New Roman" w:hAnsi="Times New Roman"/>
          <w:i/>
          <w:sz w:val="20"/>
          <w:szCs w:val="20"/>
        </w:rPr>
        <w:t xml:space="preserve">Bosnian Genocide </w:t>
      </w:r>
      <w:r w:rsidRPr="005B6084">
        <w:rPr>
          <w:rFonts w:ascii="Times New Roman" w:hAnsi="Times New Roman"/>
          <w:sz w:val="20"/>
          <w:szCs w:val="20"/>
        </w:rPr>
        <w:t>Judgment, the Court noted that the parties had produced ‘re</w:t>
      </w:r>
      <w:r w:rsidRPr="005B6084">
        <w:rPr>
          <w:rFonts w:ascii="Times New Roman" w:hAnsi="Times New Roman"/>
          <w:sz w:val="20"/>
          <w:szCs w:val="20"/>
          <w:lang w:eastAsia="it-IT"/>
        </w:rPr>
        <w:t>ports, resolutions and findings by various United Nations organs, including the Secretary-General, the General Assembly, the Security Council and its Commission of Experts, and the Commission on Human Rights, the Sub-Commission on the Prevention of Discrimination and Protection of Minorities and the Special Rapporteur on Human Rights in the former Yugoslavia; documents from other inter-governmental organizations such as the Conference for Security and Co-operation in Europe; documents, evidence and decisions from the ICTY; publications from governments; documents from non-governmental organizations; media reports, articles and books’ (</w:t>
      </w:r>
      <w:r w:rsidRPr="005B6084">
        <w:rPr>
          <w:rFonts w:ascii="Times New Roman" w:hAnsi="Times New Roman"/>
          <w:i/>
          <w:sz w:val="20"/>
          <w:szCs w:val="20"/>
          <w:lang w:eastAsia="it-IT"/>
        </w:rPr>
        <w:t>Bosnian Genocide</w:t>
      </w:r>
      <w:r w:rsidRPr="005B6084">
        <w:rPr>
          <w:rFonts w:ascii="Times New Roman" w:hAnsi="Times New Roman"/>
          <w:sz w:val="20"/>
          <w:szCs w:val="20"/>
          <w:lang w:eastAsia="it-IT"/>
        </w:rPr>
        <w:t xml:space="preserve">, </w:t>
      </w:r>
      <w:r w:rsidRPr="005B6084">
        <w:rPr>
          <w:rFonts w:ascii="Times New Roman" w:hAnsi="Times New Roman"/>
          <w:i/>
          <w:sz w:val="20"/>
          <w:szCs w:val="20"/>
          <w:lang w:val="en-US"/>
        </w:rPr>
        <w:t>supra</w:t>
      </w:r>
      <w:r w:rsidRPr="005B6084">
        <w:rPr>
          <w:rFonts w:ascii="Times New Roman" w:hAnsi="Times New Roman"/>
          <w:sz w:val="20"/>
          <w:szCs w:val="20"/>
          <w:lang w:val="en-US"/>
        </w:rPr>
        <w:t xml:space="preserve"> note</w:t>
      </w:r>
      <w:r w:rsidRPr="005B6084">
        <w:rPr>
          <w:rFonts w:ascii="Times New Roman" w:hAnsi="Times New Roman"/>
          <w:sz w:val="20"/>
          <w:szCs w:val="20"/>
        </w:rPr>
        <w:t xml:space="preserve"> </w:t>
      </w:r>
      <w:r w:rsidRPr="005B6084">
        <w:rPr>
          <w:rFonts w:ascii="Times New Roman" w:hAnsi="Times New Roman"/>
          <w:sz w:val="20"/>
          <w:szCs w:val="20"/>
        </w:rPr>
        <w:fldChar w:fldCharType="begin"/>
      </w:r>
      <w:r w:rsidRPr="005B6084">
        <w:rPr>
          <w:rFonts w:ascii="Times New Roman" w:hAnsi="Times New Roman"/>
          <w:sz w:val="20"/>
          <w:szCs w:val="20"/>
        </w:rPr>
        <w:instrText xml:space="preserve"> NOTEREF _Ref383683542 \h  \* MERGEFORMAT </w:instrText>
      </w:r>
      <w:r w:rsidRPr="005B6084">
        <w:rPr>
          <w:rFonts w:ascii="Times New Roman" w:hAnsi="Times New Roman"/>
          <w:sz w:val="20"/>
          <w:szCs w:val="20"/>
        </w:rPr>
      </w:r>
      <w:r w:rsidRPr="005B6084">
        <w:rPr>
          <w:rFonts w:ascii="Times New Roman" w:hAnsi="Times New Roman"/>
          <w:sz w:val="20"/>
          <w:szCs w:val="20"/>
        </w:rPr>
        <w:fldChar w:fldCharType="separate"/>
      </w:r>
      <w:r w:rsidR="005B6084">
        <w:rPr>
          <w:rFonts w:ascii="Times New Roman" w:hAnsi="Times New Roman"/>
          <w:sz w:val="20"/>
          <w:szCs w:val="20"/>
        </w:rPr>
        <w:t>129</w:t>
      </w:r>
      <w:r w:rsidRPr="005B6084">
        <w:rPr>
          <w:rFonts w:ascii="Times New Roman" w:hAnsi="Times New Roman"/>
          <w:sz w:val="20"/>
          <w:szCs w:val="20"/>
        </w:rPr>
        <w:fldChar w:fldCharType="end"/>
      </w:r>
      <w:r w:rsidRPr="005B6084">
        <w:rPr>
          <w:rFonts w:ascii="Times New Roman" w:hAnsi="Times New Roman"/>
          <w:sz w:val="20"/>
          <w:szCs w:val="20"/>
          <w:lang w:val="en-US"/>
        </w:rPr>
        <w:t xml:space="preserve">, </w:t>
      </w:r>
      <w:r w:rsidRPr="005B6084">
        <w:rPr>
          <w:rFonts w:ascii="Times New Roman" w:hAnsi="Times New Roman"/>
          <w:sz w:val="20"/>
          <w:szCs w:val="20"/>
          <w:lang w:eastAsia="it-IT"/>
        </w:rPr>
        <w:t>para. 211).</w:t>
      </w:r>
      <w:proofErr w:type="gramEnd"/>
      <w:r w:rsidRPr="005B6084">
        <w:rPr>
          <w:rFonts w:ascii="Times New Roman" w:hAnsi="Times New Roman"/>
          <w:sz w:val="20"/>
          <w:szCs w:val="20"/>
          <w:lang w:eastAsia="it-IT"/>
        </w:rPr>
        <w:t xml:space="preserve"> </w:t>
      </w:r>
      <w:proofErr w:type="gramStart"/>
      <w:r w:rsidRPr="005B6084">
        <w:rPr>
          <w:rFonts w:ascii="Times New Roman" w:hAnsi="Times New Roman"/>
          <w:sz w:val="20"/>
          <w:szCs w:val="20"/>
          <w:lang w:eastAsia="it-IT"/>
        </w:rPr>
        <w:t xml:space="preserve">See also </w:t>
      </w:r>
      <w:r w:rsidRPr="005B6084">
        <w:rPr>
          <w:rFonts w:ascii="Times New Roman" w:hAnsi="Times New Roman"/>
          <w:i/>
          <w:sz w:val="20"/>
          <w:szCs w:val="20"/>
          <w:lang w:eastAsia="it-IT"/>
        </w:rPr>
        <w:t>DRC v. Uganda</w:t>
      </w:r>
      <w:proofErr w:type="gramEnd"/>
      <w:r w:rsidRPr="005B6084">
        <w:rPr>
          <w:rFonts w:ascii="Times New Roman" w:hAnsi="Times New Roman"/>
          <w:sz w:val="20"/>
          <w:szCs w:val="20"/>
          <w:lang w:eastAsia="it-IT"/>
        </w:rPr>
        <w:t xml:space="preserve">, </w:t>
      </w:r>
      <w:proofErr w:type="gramStart"/>
      <w:r w:rsidRPr="005B6084">
        <w:rPr>
          <w:rFonts w:ascii="Times New Roman" w:hAnsi="Times New Roman"/>
          <w:i/>
          <w:sz w:val="20"/>
          <w:szCs w:val="20"/>
          <w:lang w:eastAsia="it-IT"/>
        </w:rPr>
        <w:t>supra</w:t>
      </w:r>
      <w:r w:rsidRPr="005B6084">
        <w:rPr>
          <w:rFonts w:ascii="Times New Roman" w:hAnsi="Times New Roman"/>
          <w:sz w:val="20"/>
          <w:szCs w:val="20"/>
          <w:lang w:eastAsia="it-IT"/>
        </w:rPr>
        <w:t xml:space="preserve"> note</w:t>
      </w:r>
      <w:r w:rsidRPr="005B6084">
        <w:rPr>
          <w:rFonts w:ascii="Times New Roman" w:hAnsi="Times New Roman"/>
          <w:sz w:val="20"/>
          <w:szCs w:val="20"/>
        </w:rPr>
        <w:t xml:space="preserve"> </w:t>
      </w:r>
      <w:r w:rsidRPr="005B6084">
        <w:rPr>
          <w:rFonts w:ascii="Times New Roman" w:hAnsi="Times New Roman"/>
          <w:sz w:val="20"/>
          <w:szCs w:val="20"/>
        </w:rPr>
        <w:fldChar w:fldCharType="begin"/>
      </w:r>
      <w:r w:rsidRPr="005B6084">
        <w:rPr>
          <w:rFonts w:ascii="Times New Roman" w:hAnsi="Times New Roman"/>
          <w:sz w:val="20"/>
          <w:szCs w:val="20"/>
        </w:rPr>
        <w:instrText xml:space="preserve"> NOTEREF _Ref389662903 \h  \* MERGEFORMAT </w:instrText>
      </w:r>
      <w:r w:rsidRPr="005B6084">
        <w:rPr>
          <w:rFonts w:ascii="Times New Roman" w:hAnsi="Times New Roman"/>
          <w:sz w:val="20"/>
          <w:szCs w:val="20"/>
        </w:rPr>
      </w:r>
      <w:r w:rsidRPr="005B6084">
        <w:rPr>
          <w:rFonts w:ascii="Times New Roman" w:hAnsi="Times New Roman"/>
          <w:sz w:val="20"/>
          <w:szCs w:val="20"/>
        </w:rPr>
        <w:fldChar w:fldCharType="separate"/>
      </w:r>
      <w:r w:rsidR="005B6084">
        <w:rPr>
          <w:rFonts w:ascii="Times New Roman" w:hAnsi="Times New Roman"/>
          <w:sz w:val="20"/>
          <w:szCs w:val="20"/>
        </w:rPr>
        <w:t>73</w:t>
      </w:r>
      <w:r w:rsidRPr="005B6084">
        <w:rPr>
          <w:rFonts w:ascii="Times New Roman" w:hAnsi="Times New Roman"/>
          <w:sz w:val="20"/>
          <w:szCs w:val="20"/>
        </w:rPr>
        <w:fldChar w:fldCharType="end"/>
      </w:r>
      <w:r w:rsidRPr="005B6084">
        <w:rPr>
          <w:rFonts w:ascii="Times New Roman" w:hAnsi="Times New Roman"/>
          <w:sz w:val="20"/>
          <w:szCs w:val="20"/>
          <w:lang w:eastAsia="it-IT"/>
        </w:rPr>
        <w:t>, para</w:t>
      </w:r>
      <w:proofErr w:type="gramEnd"/>
      <w:r w:rsidRPr="005B6084">
        <w:rPr>
          <w:rFonts w:ascii="Times New Roman" w:hAnsi="Times New Roman"/>
          <w:sz w:val="20"/>
          <w:szCs w:val="20"/>
          <w:lang w:eastAsia="it-IT"/>
        </w:rPr>
        <w:t>. 60.</w:t>
      </w:r>
    </w:p>
  </w:footnote>
  <w:footnote w:id="143">
    <w:p w14:paraId="728C484A" w14:textId="77777777" w:rsidR="007F624B" w:rsidRPr="005B6084" w:rsidRDefault="007F624B" w:rsidP="005B6084">
      <w:pPr>
        <w:pStyle w:val="Testonotaapidipagina"/>
        <w:jc w:val="both"/>
      </w:pPr>
      <w:r w:rsidRPr="005B6084">
        <w:rPr>
          <w:rStyle w:val="Rimandonotaapidipagina"/>
        </w:rPr>
        <w:footnoteRef/>
      </w:r>
      <w:r w:rsidRPr="005B6084">
        <w:t xml:space="preserve"> Practice Direction</w:t>
      </w:r>
      <w:r w:rsidRPr="005B6084">
        <w:rPr>
          <w:i/>
        </w:rPr>
        <w:t xml:space="preserve"> </w:t>
      </w:r>
      <w:r w:rsidRPr="005B6084">
        <w:t xml:space="preserve">IX </w:t>
      </w:r>
      <w:proofErr w:type="spellStart"/>
      <w:r w:rsidRPr="005B6084">
        <w:t>bis</w:t>
      </w:r>
      <w:proofErr w:type="spellEnd"/>
      <w:r w:rsidRPr="005B6084">
        <w:t xml:space="preserve"> (2</w:t>
      </w:r>
      <w:proofErr w:type="gramStart"/>
      <w:r w:rsidRPr="005B6084">
        <w:t>)(</w:t>
      </w:r>
      <w:proofErr w:type="spellStart"/>
      <w:proofErr w:type="gramEnd"/>
      <w:r w:rsidRPr="005B6084">
        <w:t>i</w:t>
      </w:r>
      <w:proofErr w:type="spellEnd"/>
      <w:r w:rsidRPr="005B6084">
        <w:t>) and (ii).</w:t>
      </w:r>
    </w:p>
  </w:footnote>
  <w:footnote w:id="144">
    <w:p w14:paraId="0ABE41B6" w14:textId="77777777" w:rsidR="007F624B" w:rsidRPr="005B6084" w:rsidRDefault="007F624B" w:rsidP="005B6084">
      <w:pPr>
        <w:pStyle w:val="Testonotaapidipagina"/>
        <w:jc w:val="both"/>
        <w:rPr>
          <w:lang w:val="en-US"/>
        </w:rPr>
      </w:pPr>
      <w:r w:rsidRPr="005B6084">
        <w:rPr>
          <w:rStyle w:val="Rimandonotaapidipagina"/>
        </w:rPr>
        <w:footnoteRef/>
      </w:r>
      <w:r w:rsidRPr="005B6084">
        <w:t xml:space="preserve"> Practice Direction</w:t>
      </w:r>
      <w:r w:rsidRPr="005B6084">
        <w:rPr>
          <w:i/>
        </w:rPr>
        <w:t xml:space="preserve"> </w:t>
      </w:r>
      <w:r w:rsidRPr="005B6084">
        <w:t xml:space="preserve">IX </w:t>
      </w:r>
      <w:proofErr w:type="spellStart"/>
      <w:r w:rsidRPr="005B6084">
        <w:t>bis</w:t>
      </w:r>
      <w:proofErr w:type="spellEnd"/>
      <w:r w:rsidRPr="005B6084">
        <w:t xml:space="preserve"> (2</w:t>
      </w:r>
      <w:proofErr w:type="gramStart"/>
      <w:r w:rsidRPr="005B6084">
        <w:t>)(</w:t>
      </w:r>
      <w:proofErr w:type="spellStart"/>
      <w:proofErr w:type="gramEnd"/>
      <w:r w:rsidRPr="005B6084">
        <w:t>i</w:t>
      </w:r>
      <w:proofErr w:type="spellEnd"/>
      <w:r w:rsidRPr="005B6084">
        <w:t>)(ii).</w:t>
      </w:r>
    </w:p>
  </w:footnote>
  <w:footnote w:id="145">
    <w:p w14:paraId="3FEB9C4A"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lang w:val="it-IT"/>
        </w:rPr>
        <w:t>Benzing</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_Ref389656491 \h  \* MERGEFORMAT </w:instrText>
      </w:r>
      <w:r w:rsidRPr="005B6084">
        <w:rPr>
          <w:lang w:val="it-IT"/>
        </w:rPr>
      </w:r>
      <w:r w:rsidRPr="005B6084">
        <w:rPr>
          <w:lang w:val="it-IT"/>
        </w:rPr>
        <w:fldChar w:fldCharType="separate"/>
      </w:r>
      <w:r w:rsidR="005B6084">
        <w:rPr>
          <w:lang w:val="it-IT"/>
        </w:rPr>
        <w:t>44</w:t>
      </w:r>
      <w:r w:rsidRPr="005B6084">
        <w:rPr>
          <w:lang w:val="it-IT"/>
        </w:rPr>
        <w:fldChar w:fldCharType="end"/>
      </w:r>
      <w:r w:rsidRPr="005B6084">
        <w:rPr>
          <w:lang w:val="it-IT"/>
        </w:rPr>
        <w:t xml:space="preserve">, </w:t>
      </w:r>
      <w:proofErr w:type="spellStart"/>
      <w:r w:rsidRPr="005B6084">
        <w:rPr>
          <w:lang w:val="it-IT"/>
        </w:rPr>
        <w:t>at</w:t>
      </w:r>
      <w:proofErr w:type="spellEnd"/>
      <w:r w:rsidRPr="005B6084">
        <w:rPr>
          <w:lang w:val="it-IT"/>
        </w:rPr>
        <w:t xml:space="preserve"> 1241.</w:t>
      </w:r>
    </w:p>
  </w:footnote>
  <w:footnote w:id="146">
    <w:p w14:paraId="4CD78D10"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r w:rsidRPr="005B6084">
        <w:rPr>
          <w:i/>
          <w:lang w:val="it-IT"/>
        </w:rPr>
        <w:t>Nicaragua</w:t>
      </w:r>
      <w:r w:rsidRPr="005B6084">
        <w:rPr>
          <w:lang w:val="it-IT"/>
        </w:rPr>
        <w:t xml:space="preserve">, </w:t>
      </w:r>
      <w:proofErr w:type="spellStart"/>
      <w:r w:rsidRPr="005B6084">
        <w:rPr>
          <w:lang w:val="it-IT"/>
        </w:rPr>
        <w:t>Merits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r w:rsidRPr="005B6084">
        <w:rPr>
          <w:lang w:val="fr-FR"/>
        </w:rPr>
        <w:t>256.</w:t>
      </w:r>
    </w:p>
  </w:footnote>
  <w:footnote w:id="147">
    <w:p w14:paraId="044B71E9" w14:textId="4FC387FC" w:rsidR="007F624B" w:rsidRPr="005B6084" w:rsidRDefault="007F624B" w:rsidP="005B6084">
      <w:pPr>
        <w:pStyle w:val="Testonotaapidipagina"/>
        <w:jc w:val="both"/>
        <w:rPr>
          <w:lang w:val="en-US"/>
        </w:rPr>
      </w:pPr>
      <w:r w:rsidRPr="005B6084">
        <w:rPr>
          <w:rStyle w:val="Rimandonotaapidipagina"/>
        </w:rPr>
        <w:footnoteRef/>
      </w:r>
      <w:r w:rsidRPr="005B6084">
        <w:rPr>
          <w:lang w:val="it-IT"/>
        </w:rPr>
        <w:t xml:space="preserve"> </w:t>
      </w:r>
      <w:r w:rsidRPr="005B6084">
        <w:rPr>
          <w:i/>
          <w:lang w:val="it-IT"/>
        </w:rPr>
        <w:t xml:space="preserve"> DRC v. Uganda</w:t>
      </w:r>
      <w:r w:rsidRPr="005B6084">
        <w:rPr>
          <w:lang w:val="it-IT"/>
        </w:rPr>
        <w:t xml:space="preserve">, </w:t>
      </w:r>
      <w:proofErr w:type="spellStart"/>
      <w:r w:rsidRPr="005B6084">
        <w:rPr>
          <w:i/>
          <w:lang w:val="it-IT"/>
        </w:rPr>
        <w:t>supra</w:t>
      </w:r>
      <w:proofErr w:type="spellEnd"/>
      <w:r w:rsidRPr="005B6084">
        <w:rPr>
          <w:lang w:val="it-IT"/>
        </w:rPr>
        <w:t xml:space="preserve"> note</w:t>
      </w:r>
      <w:r w:rsidR="003B0497" w:rsidRPr="005B6084">
        <w:rPr>
          <w:lang w:val="it-IT"/>
        </w:rPr>
        <w:t xml:space="preserve"> </w:t>
      </w:r>
      <w:r w:rsidRPr="005B6084">
        <w:rPr>
          <w:lang w:val="it-IT"/>
        </w:rPr>
        <w:fldChar w:fldCharType="begin"/>
      </w:r>
      <w:r w:rsidRPr="005B6084">
        <w:rPr>
          <w:lang w:val="it-IT"/>
        </w:rPr>
        <w:instrText xml:space="preserve"> NOTEREF _Ref389662903 \h  \* MERGEFORMAT </w:instrText>
      </w:r>
      <w:r w:rsidRPr="005B6084">
        <w:rPr>
          <w:lang w:val="it-IT"/>
        </w:rPr>
      </w:r>
      <w:r w:rsidRPr="005B6084">
        <w:rPr>
          <w:lang w:val="it-IT"/>
        </w:rPr>
        <w:fldChar w:fldCharType="separate"/>
      </w:r>
      <w:r w:rsidR="005B6084">
        <w:rPr>
          <w:lang w:val="it-IT"/>
        </w:rPr>
        <w:t>73</w:t>
      </w:r>
      <w:r w:rsidRPr="005B6084">
        <w:rPr>
          <w:lang w:val="it-IT"/>
        </w:rPr>
        <w:fldChar w:fldCharType="end"/>
      </w:r>
      <w:r w:rsidRPr="005B6084">
        <w:rPr>
          <w:lang w:val="it-IT"/>
        </w:rPr>
        <w:t xml:space="preserve">, </w:t>
      </w:r>
      <w:proofErr w:type="spellStart"/>
      <w:r w:rsidRPr="005B6084">
        <w:rPr>
          <w:lang w:val="it-IT"/>
        </w:rPr>
        <w:t>paras</w:t>
      </w:r>
      <w:proofErr w:type="spellEnd"/>
      <w:r w:rsidRPr="005B6084">
        <w:rPr>
          <w:lang w:val="it-IT"/>
        </w:rPr>
        <w:t xml:space="preserve">. </w:t>
      </w:r>
      <w:r w:rsidRPr="005B6084">
        <w:rPr>
          <w:lang w:val="en-US"/>
        </w:rPr>
        <w:t>125, 127, 128, 133, 134, 137.</w:t>
      </w:r>
    </w:p>
  </w:footnote>
  <w:footnote w:id="148">
    <w:p w14:paraId="5D5DBBFA" w14:textId="583D9110" w:rsidR="007F624B" w:rsidRPr="005B6084" w:rsidRDefault="007F624B" w:rsidP="005B6084">
      <w:pPr>
        <w:pStyle w:val="Testonotaapidipagina"/>
        <w:jc w:val="both"/>
      </w:pPr>
      <w:r w:rsidRPr="005B6084">
        <w:rPr>
          <w:rStyle w:val="Rimandonotaapidipagina"/>
        </w:rPr>
        <w:footnoteRef/>
      </w:r>
      <w:r w:rsidRPr="005B6084">
        <w:t xml:space="preserve"> One of the problems with applying the doctrine of privilege in inter-state litigation is that international courts are unlikely to be able to verify whether state security interests </w:t>
      </w:r>
      <w:proofErr w:type="gramStart"/>
      <w:r w:rsidRPr="005B6084">
        <w:t>are genuinely jeopardized</w:t>
      </w:r>
      <w:proofErr w:type="gramEnd"/>
      <w:r w:rsidRPr="005B6084">
        <w:t xml:space="preserve"> by the document disclosure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208).</w:t>
      </w:r>
    </w:p>
  </w:footnote>
  <w:footnote w:id="149">
    <w:p w14:paraId="700158D5" w14:textId="77777777" w:rsidR="007F624B" w:rsidRPr="005B6084" w:rsidRDefault="007F624B" w:rsidP="005B6084">
      <w:pPr>
        <w:pStyle w:val="Testonotaapidipagina"/>
        <w:jc w:val="both"/>
      </w:pPr>
      <w:r w:rsidRPr="005B6084">
        <w:rPr>
          <w:rStyle w:val="Rimandonotaapidipagina"/>
        </w:rPr>
        <w:footnoteRef/>
      </w:r>
      <w:r w:rsidRPr="005B6084">
        <w:t xml:space="preserve"> It </w:t>
      </w:r>
      <w:proofErr w:type="gramStart"/>
      <w:r w:rsidRPr="005B6084">
        <w:t>has been observed</w:t>
      </w:r>
      <w:proofErr w:type="gramEnd"/>
      <w:r w:rsidRPr="005B6084">
        <w:t xml:space="preserve"> that ‘when a State becomes a party to the Statute of the ICJ, it necessarily accepts the obligation to produce before the Court all evidence available to it in any case it contests’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49).</w:t>
      </w:r>
    </w:p>
  </w:footnote>
  <w:footnote w:id="150">
    <w:p w14:paraId="7EB9DC9C" w14:textId="77777777" w:rsidR="007F624B" w:rsidRPr="005B6084" w:rsidRDefault="007F624B" w:rsidP="005B6084">
      <w:pPr>
        <w:pStyle w:val="Testonotaapidipagina"/>
        <w:jc w:val="both"/>
      </w:pPr>
      <w:r w:rsidRPr="005B6084">
        <w:rPr>
          <w:rStyle w:val="Rimandonotaapidipagina"/>
        </w:rPr>
        <w:footnoteRef/>
      </w:r>
      <w:r w:rsidRPr="005B6084">
        <w:t xml:space="preserve"> Emphasis added.</w:t>
      </w:r>
    </w:p>
  </w:footnote>
  <w:footnote w:id="151">
    <w:p w14:paraId="3B5148FB"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rPr>
          <w:i/>
        </w:rPr>
        <w:t>Blaškić</w:t>
      </w:r>
      <w:proofErr w:type="spellEnd"/>
      <w:r w:rsidRPr="005B6084">
        <w:rPr>
          <w:i/>
        </w:rPr>
        <w:t xml:space="preserve"> (</w:t>
      </w:r>
      <w:proofErr w:type="spellStart"/>
      <w:r w:rsidRPr="005B6084">
        <w:rPr>
          <w:i/>
        </w:rPr>
        <w:t>Lašva</w:t>
      </w:r>
      <w:proofErr w:type="spellEnd"/>
      <w:r w:rsidRPr="005B6084">
        <w:rPr>
          <w:i/>
        </w:rPr>
        <w:t xml:space="preserve"> Valley)</w:t>
      </w:r>
      <w:r w:rsidRPr="005B6084">
        <w:t xml:space="preserve"> [1997]</w:t>
      </w:r>
      <w:r w:rsidRPr="005B6084">
        <w:rPr>
          <w:i/>
        </w:rPr>
        <w:t xml:space="preserve"> </w:t>
      </w:r>
      <w:r w:rsidRPr="005B6084">
        <w:t>Case IT-95-14, Judgment on the Request of the Republic of Croatia for Review of the Decision of Trial Chamber II of 18 July 1997, 29 October 1997, para. 65.</w:t>
      </w:r>
    </w:p>
  </w:footnote>
  <w:footnote w:id="152">
    <w:p w14:paraId="386985D9" w14:textId="77777777" w:rsidR="007F624B" w:rsidRPr="005B6084" w:rsidRDefault="007F624B" w:rsidP="005B6084">
      <w:pPr>
        <w:pStyle w:val="Testonotaapidipagina"/>
        <w:jc w:val="both"/>
      </w:pPr>
      <w:r w:rsidRPr="005B6084">
        <w:rPr>
          <w:rStyle w:val="Rimandonotaapidipagina"/>
        </w:rPr>
        <w:footnoteRef/>
      </w:r>
      <w:r w:rsidRPr="005B6084">
        <w:t xml:space="preserve"> Anthony Carty, ‘The Corfu Channel Case and the Missing Admiralty Order’, </w:t>
      </w:r>
      <w:proofErr w:type="gramStart"/>
      <w:r w:rsidRPr="005B6084">
        <w:rPr>
          <w:i/>
        </w:rPr>
        <w:t>The</w:t>
      </w:r>
      <w:proofErr w:type="gramEnd"/>
      <w:r w:rsidRPr="005B6084">
        <w:rPr>
          <w:i/>
        </w:rPr>
        <w:t xml:space="preserve"> Law and Practice of International Courts and Tribunals</w:t>
      </w:r>
      <w:r w:rsidRPr="005B6084">
        <w:t xml:space="preserve"> 3 (2004), at 1.</w:t>
      </w:r>
    </w:p>
  </w:footnote>
  <w:footnote w:id="153">
    <w:p w14:paraId="4340A64E"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i/>
          <w:lang w:val="it-IT"/>
        </w:rPr>
        <w:t>Corfu</w:t>
      </w:r>
      <w:proofErr w:type="spellEnd"/>
      <w:r w:rsidRPr="005B6084">
        <w:rPr>
          <w:i/>
          <w:lang w:val="it-IT"/>
        </w:rPr>
        <w:t xml:space="preserve"> Channel</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_Ref383686385 \h  \* MERGEFORMAT </w:instrText>
      </w:r>
      <w:r w:rsidRPr="005B6084">
        <w:fldChar w:fldCharType="separate"/>
      </w:r>
      <w:r w:rsidR="005B6084">
        <w:rPr>
          <w:lang w:val="it-IT"/>
        </w:rPr>
        <w:t>70</w:t>
      </w:r>
      <w:r w:rsidRPr="005B6084">
        <w:fldChar w:fldCharType="end"/>
      </w:r>
      <w:r w:rsidRPr="005B6084">
        <w:rPr>
          <w:lang w:val="it-IT"/>
        </w:rPr>
        <w:t>, 32.</w:t>
      </w:r>
    </w:p>
  </w:footnote>
  <w:footnote w:id="154">
    <w:p w14:paraId="2238DB53" w14:textId="65CB9A05" w:rsidR="007F624B" w:rsidRPr="005B6084" w:rsidRDefault="007F624B" w:rsidP="005B6084">
      <w:pPr>
        <w:pStyle w:val="Testonotaapidipagina"/>
        <w:jc w:val="both"/>
      </w:pPr>
      <w:r w:rsidRPr="005B6084">
        <w:rPr>
          <w:rStyle w:val="Rimandonotaapidipagina"/>
        </w:rPr>
        <w:footnoteRef/>
      </w:r>
      <w:r w:rsidRPr="005B6084">
        <w:rPr>
          <w:lang w:val="it-IT"/>
        </w:rPr>
        <w:t xml:space="preserve"> </w:t>
      </w:r>
      <w:proofErr w:type="spellStart"/>
      <w:r w:rsidRPr="005B6084">
        <w:rPr>
          <w:i/>
          <w:lang w:val="it-IT"/>
        </w:rPr>
        <w:t>Bosnian</w:t>
      </w:r>
      <w:proofErr w:type="spellEnd"/>
      <w:r w:rsidRPr="005B6084">
        <w:rPr>
          <w:i/>
          <w:lang w:val="it-IT"/>
        </w:rPr>
        <w:t xml:space="preserve"> Genocide,</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_Ref383683542 \h  \* MERGEFORMAT </w:instrText>
      </w:r>
      <w:r w:rsidRPr="005B6084">
        <w:fldChar w:fldCharType="separate"/>
      </w:r>
      <w:r w:rsidR="005B6084">
        <w:rPr>
          <w:lang w:val="it-IT"/>
        </w:rPr>
        <w:t>129</w:t>
      </w:r>
      <w:r w:rsidRPr="005B6084">
        <w:fldChar w:fldCharType="end"/>
      </w:r>
      <w:r w:rsidRPr="005B6084">
        <w:rPr>
          <w:lang w:val="it-IT"/>
        </w:rPr>
        <w:t xml:space="preserve">, para. </w:t>
      </w:r>
      <w:r w:rsidRPr="005B6084">
        <w:rPr>
          <w:lang w:val="en-US"/>
        </w:rPr>
        <w:t>44.</w:t>
      </w:r>
    </w:p>
  </w:footnote>
  <w:footnote w:id="155">
    <w:p w14:paraId="7A42C296" w14:textId="77777777" w:rsidR="007F624B" w:rsidRPr="005B6084" w:rsidRDefault="007F624B" w:rsidP="005B6084">
      <w:pPr>
        <w:pStyle w:val="Testonotaapidipagina"/>
        <w:jc w:val="both"/>
      </w:pPr>
      <w:r w:rsidRPr="005B6084">
        <w:rPr>
          <w:rStyle w:val="Rimandonotaapidipagina"/>
        </w:rPr>
        <w:footnoteRef/>
      </w:r>
      <w:r w:rsidRPr="005B6084">
        <w:rPr>
          <w:lang w:val="en-US"/>
        </w:rPr>
        <w:t xml:space="preserve"> </w:t>
      </w:r>
      <w:proofErr w:type="gramStart"/>
      <w:r w:rsidRPr="005B6084">
        <w:rPr>
          <w:i/>
          <w:lang w:val="en-US"/>
        </w:rPr>
        <w:t>Ibid</w:t>
      </w:r>
      <w:r w:rsidRPr="005B6084">
        <w:rPr>
          <w:lang w:val="en-US"/>
        </w:rPr>
        <w:t>.</w:t>
      </w:r>
      <w:r w:rsidRPr="005B6084">
        <w:rPr>
          <w:i/>
          <w:lang w:val="en-US"/>
        </w:rPr>
        <w:t>,</w:t>
      </w:r>
      <w:proofErr w:type="gramEnd"/>
      <w:r w:rsidRPr="005B6084">
        <w:rPr>
          <w:lang w:val="en-US"/>
        </w:rPr>
        <w:t xml:space="preserve"> para. </w:t>
      </w:r>
      <w:r w:rsidRPr="005B6084">
        <w:t xml:space="preserve">206. See </w:t>
      </w:r>
      <w:proofErr w:type="spellStart"/>
      <w:proofErr w:type="gramStart"/>
      <w:r w:rsidRPr="005B6084">
        <w:t>Teitelbaum</w:t>
      </w:r>
      <w:proofErr w:type="spellEnd"/>
      <w:r w:rsidRPr="005B6084">
        <w:t>,</w:t>
      </w:r>
      <w:proofErr w:type="gramEnd"/>
      <w:r w:rsidRPr="005B6084">
        <w:t xml:space="preserve"> </w:t>
      </w:r>
      <w:r w:rsidRPr="005B6084">
        <w:rPr>
          <w:i/>
        </w:rPr>
        <w:t>supra</w:t>
      </w:r>
      <w:r w:rsidRPr="005B6084">
        <w:t xml:space="preserve"> note </w:t>
      </w:r>
      <w:r w:rsidRPr="005B6084">
        <w:fldChar w:fldCharType="begin"/>
      </w:r>
      <w:r w:rsidRPr="005B6084">
        <w:instrText xml:space="preserve"> NOTEREF _Ref389205025 \h  \* MERGEFORMAT </w:instrText>
      </w:r>
      <w:r w:rsidRPr="005B6084">
        <w:fldChar w:fldCharType="separate"/>
      </w:r>
      <w:r w:rsidR="005B6084">
        <w:t>54</w:t>
      </w:r>
      <w:r w:rsidRPr="005B6084">
        <w:fldChar w:fldCharType="end"/>
      </w:r>
      <w:r w:rsidRPr="005B6084">
        <w:t>, at 131.</w:t>
      </w:r>
    </w:p>
  </w:footnote>
  <w:footnote w:id="156">
    <w:p w14:paraId="6E2FE09C" w14:textId="4EE0B22B" w:rsidR="007F624B" w:rsidRPr="005B6084" w:rsidRDefault="007F624B" w:rsidP="005B6084">
      <w:pPr>
        <w:pStyle w:val="Testonotaapidipagina"/>
        <w:jc w:val="both"/>
      </w:pPr>
      <w:r w:rsidRPr="005B6084">
        <w:rPr>
          <w:rStyle w:val="Rimandonotaapidipagina"/>
        </w:rPr>
        <w:footnoteRef/>
      </w:r>
      <w:r w:rsidRPr="005B6084">
        <w:t xml:space="preserve">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214.</w:t>
      </w:r>
    </w:p>
  </w:footnote>
  <w:footnote w:id="157">
    <w:p w14:paraId="3DC8C512"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rPr>
          <w:i/>
        </w:rPr>
        <w:t>Ibid</w:t>
      </w:r>
      <w:r w:rsidRPr="005B6084">
        <w:t>.,</w:t>
      </w:r>
      <w:proofErr w:type="gramEnd"/>
      <w:r w:rsidRPr="005B6084">
        <w:t xml:space="preserve"> at 217.</w:t>
      </w:r>
    </w:p>
  </w:footnote>
  <w:footnote w:id="158">
    <w:p w14:paraId="5A3D1BE1"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rPr>
          <w:i/>
        </w:rPr>
        <w:t>Ibid</w:t>
      </w:r>
      <w:r w:rsidRPr="005B6084">
        <w:t>.,</w:t>
      </w:r>
      <w:proofErr w:type="gramEnd"/>
      <w:r w:rsidRPr="005B6084">
        <w:t xml:space="preserve"> at 218; </w:t>
      </w:r>
      <w:proofErr w:type="spellStart"/>
      <w:r w:rsidRPr="005B6084">
        <w:t>Benzing</w:t>
      </w:r>
      <w:proofErr w:type="spellEnd"/>
      <w:r w:rsidRPr="005B6084">
        <w:t xml:space="preserve">, </w:t>
      </w:r>
      <w:r w:rsidRPr="005B6084">
        <w:rPr>
          <w:i/>
          <w:lang w:val="en-US"/>
        </w:rPr>
        <w:t>supra</w:t>
      </w:r>
      <w:r w:rsidRPr="005B6084">
        <w:rPr>
          <w:lang w:val="en-US"/>
        </w:rPr>
        <w:t xml:space="preserve"> note</w:t>
      </w:r>
      <w:r w:rsidRPr="005B6084">
        <w:t xml:space="preserve"> </w:t>
      </w:r>
      <w:r w:rsidRPr="005B6084">
        <w:fldChar w:fldCharType="begin"/>
      </w:r>
      <w:r w:rsidRPr="005B6084">
        <w:instrText xml:space="preserve"> NOTEREF _Ref389656491 \h  \* MERGEFORMAT </w:instrText>
      </w:r>
      <w:r w:rsidRPr="005B6084">
        <w:fldChar w:fldCharType="separate"/>
      </w:r>
      <w:r w:rsidR="005B6084">
        <w:t>44</w:t>
      </w:r>
      <w:r w:rsidRPr="005B6084">
        <w:fldChar w:fldCharType="end"/>
      </w:r>
      <w:r w:rsidRPr="005B6084">
        <w:rPr>
          <w:lang w:val="en-US"/>
        </w:rPr>
        <w:t xml:space="preserve">, </w:t>
      </w:r>
      <w:r w:rsidRPr="005B6084">
        <w:t>at 1243.</w:t>
      </w:r>
    </w:p>
  </w:footnote>
  <w:footnote w:id="159">
    <w:p w14:paraId="7563667E"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lang w:val="it-IT"/>
        </w:rPr>
        <w:t>Teitelbaum</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_Ref389205025 \h  \* MERGEFORMAT </w:instrText>
      </w:r>
      <w:r w:rsidRPr="005B6084">
        <w:fldChar w:fldCharType="separate"/>
      </w:r>
      <w:r w:rsidR="005B6084">
        <w:rPr>
          <w:lang w:val="it-IT"/>
        </w:rPr>
        <w:t>54</w:t>
      </w:r>
      <w:r w:rsidRPr="005B6084">
        <w:fldChar w:fldCharType="end"/>
      </w:r>
      <w:r w:rsidRPr="005B6084">
        <w:rPr>
          <w:lang w:val="it-IT"/>
        </w:rPr>
        <w:t xml:space="preserve">, </w:t>
      </w:r>
      <w:proofErr w:type="spellStart"/>
      <w:r w:rsidRPr="005B6084">
        <w:rPr>
          <w:lang w:val="it-IT"/>
        </w:rPr>
        <w:t>at</w:t>
      </w:r>
      <w:proofErr w:type="spellEnd"/>
      <w:r w:rsidRPr="005B6084">
        <w:rPr>
          <w:lang w:val="it-IT"/>
        </w:rPr>
        <w:t xml:space="preserve"> 146.</w:t>
      </w:r>
    </w:p>
  </w:footnote>
  <w:footnote w:id="160">
    <w:p w14:paraId="015FF53A" w14:textId="3BB7CED3" w:rsidR="007F624B" w:rsidRPr="005B6084" w:rsidRDefault="007F624B" w:rsidP="005B6084">
      <w:pPr>
        <w:pStyle w:val="Testonotaapidipagina"/>
        <w:jc w:val="both"/>
        <w:rPr>
          <w:lang w:val="en-US"/>
        </w:rPr>
      </w:pPr>
      <w:r w:rsidRPr="005B6084">
        <w:rPr>
          <w:rStyle w:val="Rimandonotaapidipagina"/>
        </w:rPr>
        <w:footnoteRef/>
      </w:r>
      <w:r w:rsidRPr="005B6084">
        <w:rPr>
          <w:lang w:val="it-IT"/>
        </w:rPr>
        <w:t xml:space="preserve"> </w:t>
      </w:r>
      <w:proofErr w:type="spellStart"/>
      <w:r w:rsidRPr="005B6084">
        <w:rPr>
          <w:i/>
          <w:lang w:val="it-IT"/>
        </w:rPr>
        <w:t>Bosnian</w:t>
      </w:r>
      <w:proofErr w:type="spellEnd"/>
      <w:r w:rsidRPr="005B6084">
        <w:rPr>
          <w:i/>
          <w:lang w:val="it-IT"/>
        </w:rPr>
        <w:t xml:space="preserve"> Genocide</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_Ref383683542 \h  \* MERGEFORMAT </w:instrText>
      </w:r>
      <w:r w:rsidRPr="005B6084">
        <w:fldChar w:fldCharType="separate"/>
      </w:r>
      <w:r w:rsidR="005B6084">
        <w:rPr>
          <w:lang w:val="it-IT"/>
        </w:rPr>
        <w:t>129</w:t>
      </w:r>
      <w:r w:rsidRPr="005B6084">
        <w:fldChar w:fldCharType="end"/>
      </w:r>
      <w:r w:rsidRPr="005B6084">
        <w:rPr>
          <w:lang w:val="it-IT"/>
        </w:rPr>
        <w:t xml:space="preserve">, para. </w:t>
      </w:r>
      <w:proofErr w:type="gramStart"/>
      <w:r w:rsidRPr="005B6084">
        <w:t>227. In the case of the ‘Fall of Srebrenica’ Report of the Secretary-General pursuant to General Assembly resolution 53/35 (UN Doc A/54/549), the Court concluded that ‘the care taken in preparing the report, its comprehensive sources and the independence of those responsible for its preparation all lend considerable authority to it’ (</w:t>
      </w:r>
      <w:r w:rsidRPr="005B6084">
        <w:rPr>
          <w:i/>
        </w:rPr>
        <w:t>Bosnian Genocide,</w:t>
      </w:r>
      <w:r w:rsidRPr="005B6084">
        <w:t xml:space="preserve"> </w:t>
      </w:r>
      <w:r w:rsidRPr="005B6084">
        <w:rPr>
          <w:i/>
          <w:lang w:val="en-US"/>
        </w:rPr>
        <w:t>supra</w:t>
      </w:r>
      <w:r w:rsidRPr="005B6084">
        <w:rPr>
          <w:lang w:val="en-US"/>
        </w:rPr>
        <w:t xml:space="preserve"> note </w:t>
      </w:r>
      <w:r w:rsidRPr="005B6084">
        <w:fldChar w:fldCharType="begin"/>
      </w:r>
      <w:r w:rsidRPr="005B6084">
        <w:instrText xml:space="preserve"> NOTEREF _Ref383683542 \h  \* MERGEFORMAT </w:instrText>
      </w:r>
      <w:r w:rsidRPr="005B6084">
        <w:fldChar w:fldCharType="separate"/>
      </w:r>
      <w:r w:rsidR="005B6084" w:rsidRPr="005B6084">
        <w:rPr>
          <w:lang w:val="en-US"/>
        </w:rPr>
        <w:t>129</w:t>
      </w:r>
      <w:r w:rsidRPr="005B6084">
        <w:fldChar w:fldCharType="end"/>
      </w:r>
      <w:r w:rsidRPr="005B6084">
        <w:rPr>
          <w:lang w:val="en-US"/>
        </w:rPr>
        <w:t xml:space="preserve">, </w:t>
      </w:r>
      <w:r w:rsidRPr="005B6084">
        <w:t xml:space="preserve">para. </w:t>
      </w:r>
      <w:r w:rsidRPr="005B6084">
        <w:rPr>
          <w:lang w:val="en-US"/>
        </w:rPr>
        <w:t>230).</w:t>
      </w:r>
      <w:proofErr w:type="gramEnd"/>
    </w:p>
  </w:footnote>
  <w:footnote w:id="161">
    <w:p w14:paraId="594F5283" w14:textId="77777777" w:rsidR="007F624B" w:rsidRPr="005B6084" w:rsidRDefault="007F624B" w:rsidP="005B6084">
      <w:pPr>
        <w:pStyle w:val="Testonotaapidipagina"/>
        <w:jc w:val="both"/>
      </w:pPr>
      <w:r w:rsidRPr="005B6084">
        <w:rPr>
          <w:rStyle w:val="Rimandonotaapidipagina"/>
        </w:rPr>
        <w:footnoteRef/>
      </w:r>
      <w:r w:rsidRPr="005B6084">
        <w:t xml:space="preserve"> UN Doc A/65/201, 30 July 2010.</w:t>
      </w:r>
    </w:p>
  </w:footnote>
  <w:footnote w:id="162">
    <w:p w14:paraId="531D5E61" w14:textId="77777777" w:rsidR="007F624B" w:rsidRPr="005B6084" w:rsidRDefault="007F624B" w:rsidP="005B6084">
      <w:pPr>
        <w:pStyle w:val="Testonotaapidipagina"/>
        <w:jc w:val="both"/>
      </w:pPr>
      <w:r w:rsidRPr="005B6084">
        <w:rPr>
          <w:rStyle w:val="Rimandonotaapidipagina"/>
        </w:rPr>
        <w:footnoteRef/>
      </w:r>
      <w:r w:rsidRPr="005B6084">
        <w:t xml:space="preserve"> UN Doc A/68/98, 24 June 2013.</w:t>
      </w:r>
    </w:p>
  </w:footnote>
  <w:footnote w:id="163">
    <w:p w14:paraId="28BA9F08" w14:textId="77777777" w:rsidR="007F624B" w:rsidRPr="005B6084" w:rsidRDefault="007F624B" w:rsidP="005B6084">
      <w:pPr>
        <w:pStyle w:val="Testonotaapidipagina"/>
        <w:jc w:val="both"/>
      </w:pPr>
      <w:r w:rsidRPr="005B6084">
        <w:rPr>
          <w:rStyle w:val="Rimandonotaapidipagina"/>
        </w:rPr>
        <w:footnoteRef/>
      </w:r>
      <w:r w:rsidRPr="005B6084">
        <w:t xml:space="preserve"> United Nations Office for Disarmament Affairs, Developments in the Field of Information and Telecommunications in the Context of International Security, &lt;http://www.un.org/disarmament/topics/informationsecurity&gt;.</w:t>
      </w:r>
    </w:p>
  </w:footnote>
  <w:footnote w:id="164">
    <w:p w14:paraId="1A73D00C"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lang w:val="it-IT"/>
        </w:rPr>
        <w:t>Teitelbaum</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_Ref389205025 \h  \* MERGEFORMAT </w:instrText>
      </w:r>
      <w:r w:rsidRPr="005B6084">
        <w:rPr>
          <w:lang w:val="it-IT"/>
        </w:rPr>
      </w:r>
      <w:r w:rsidRPr="005B6084">
        <w:rPr>
          <w:lang w:val="it-IT"/>
        </w:rPr>
        <w:fldChar w:fldCharType="separate"/>
      </w:r>
      <w:r w:rsidR="005B6084">
        <w:rPr>
          <w:lang w:val="it-IT"/>
        </w:rPr>
        <w:t>54</w:t>
      </w:r>
      <w:r w:rsidRPr="005B6084">
        <w:rPr>
          <w:lang w:val="it-IT"/>
        </w:rPr>
        <w:fldChar w:fldCharType="end"/>
      </w:r>
      <w:r w:rsidRPr="005B6084">
        <w:rPr>
          <w:lang w:val="it-IT"/>
        </w:rPr>
        <w:t xml:space="preserve">, </w:t>
      </w:r>
      <w:proofErr w:type="spellStart"/>
      <w:r w:rsidRPr="005B6084">
        <w:rPr>
          <w:lang w:val="it-IT"/>
        </w:rPr>
        <w:t>at</w:t>
      </w:r>
      <w:proofErr w:type="spellEnd"/>
      <w:r w:rsidRPr="005B6084">
        <w:rPr>
          <w:lang w:val="it-IT"/>
        </w:rPr>
        <w:t xml:space="preserve"> 152.</w:t>
      </w:r>
    </w:p>
  </w:footnote>
  <w:footnote w:id="165">
    <w:p w14:paraId="6801238A" w14:textId="52091570" w:rsidR="007F624B" w:rsidRPr="005B6084" w:rsidRDefault="007F624B" w:rsidP="005B6084">
      <w:pPr>
        <w:pStyle w:val="Testonotaapidipagina"/>
        <w:jc w:val="both"/>
        <w:rPr>
          <w:lang w:val="it-IT"/>
        </w:rPr>
      </w:pPr>
      <w:r w:rsidRPr="005B6084">
        <w:rPr>
          <w:rStyle w:val="Rimandonotaapidipagina"/>
        </w:rPr>
        <w:footnoteRef/>
      </w:r>
      <w:r w:rsidRPr="005B6084">
        <w:rPr>
          <w:i/>
          <w:lang w:val="it-IT"/>
        </w:rPr>
        <w:t xml:space="preserve"> DRC v. Uganda</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_Ref389662903 \h  \* MERGEFORMAT </w:instrText>
      </w:r>
      <w:r w:rsidRPr="005B6084">
        <w:rPr>
          <w:lang w:val="it-IT"/>
        </w:rPr>
      </w:r>
      <w:r w:rsidRPr="005B6084">
        <w:rPr>
          <w:lang w:val="it-IT"/>
        </w:rPr>
        <w:fldChar w:fldCharType="separate"/>
      </w:r>
      <w:r w:rsidR="005B6084">
        <w:rPr>
          <w:lang w:val="it-IT"/>
        </w:rPr>
        <w:t>73</w:t>
      </w:r>
      <w:r w:rsidRPr="005B6084">
        <w:rPr>
          <w:lang w:val="it-IT"/>
        </w:rPr>
        <w:fldChar w:fldCharType="end"/>
      </w:r>
      <w:r w:rsidRPr="005B6084">
        <w:rPr>
          <w:lang w:val="it-IT"/>
        </w:rPr>
        <w:t>, para. 60.</w:t>
      </w:r>
    </w:p>
  </w:footnote>
  <w:footnote w:id="166">
    <w:p w14:paraId="0EBD5468" w14:textId="41883969"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r w:rsidRPr="005B6084">
        <w:rPr>
          <w:i/>
          <w:lang w:val="it-IT"/>
        </w:rPr>
        <w:t>DRC v. Uganda</w:t>
      </w:r>
      <w:r w:rsidRPr="005B6084">
        <w:rPr>
          <w:lang w:val="it-IT"/>
        </w:rPr>
        <w:t xml:space="preserve">, </w:t>
      </w:r>
      <w:proofErr w:type="spellStart"/>
      <w:r w:rsidRPr="005B6084">
        <w:rPr>
          <w:i/>
          <w:lang w:val="it-IT"/>
        </w:rPr>
        <w:t>supra</w:t>
      </w:r>
      <w:proofErr w:type="spellEnd"/>
      <w:r w:rsidRPr="005B6084">
        <w:rPr>
          <w:lang w:val="it-IT"/>
        </w:rPr>
        <w:t xml:space="preserve"> note</w:t>
      </w:r>
      <w:r w:rsidRPr="005B6084">
        <w:rPr>
          <w:lang w:val="it-IT"/>
        </w:rPr>
        <w:fldChar w:fldCharType="begin"/>
      </w:r>
      <w:r w:rsidRPr="005B6084">
        <w:rPr>
          <w:lang w:val="it-IT"/>
        </w:rPr>
        <w:instrText xml:space="preserve"> NOTEREF _Ref389662903 \h  \* MERGEFORMAT </w:instrText>
      </w:r>
      <w:r w:rsidRPr="005B6084">
        <w:rPr>
          <w:lang w:val="it-IT"/>
        </w:rPr>
      </w:r>
      <w:r w:rsidRPr="005B6084">
        <w:rPr>
          <w:lang w:val="it-IT"/>
        </w:rPr>
        <w:fldChar w:fldCharType="separate"/>
      </w:r>
      <w:r w:rsidR="005B6084">
        <w:rPr>
          <w:lang w:val="it-IT"/>
        </w:rPr>
        <w:t>73</w:t>
      </w:r>
      <w:r w:rsidRPr="005B6084">
        <w:rPr>
          <w:lang w:val="it-IT"/>
        </w:rPr>
        <w:fldChar w:fldCharType="end"/>
      </w:r>
      <w:r w:rsidRPr="005B6084">
        <w:rPr>
          <w:lang w:val="it-IT"/>
        </w:rPr>
        <w:t>, para. 61.</w:t>
      </w:r>
    </w:p>
  </w:footnote>
  <w:footnote w:id="167">
    <w:p w14:paraId="105BC325"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lang w:val="it-IT"/>
        </w:rPr>
        <w:t>Teitelbaum</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_Ref389205025 \h  \* MERGEFORMAT </w:instrText>
      </w:r>
      <w:r w:rsidRPr="005B6084">
        <w:fldChar w:fldCharType="separate"/>
      </w:r>
      <w:r w:rsidR="005B6084">
        <w:rPr>
          <w:lang w:val="it-IT"/>
        </w:rPr>
        <w:t>54</w:t>
      </w:r>
      <w:r w:rsidRPr="005B6084">
        <w:fldChar w:fldCharType="end"/>
      </w:r>
      <w:r w:rsidRPr="005B6084">
        <w:rPr>
          <w:lang w:val="it-IT"/>
        </w:rPr>
        <w:t xml:space="preserve">, </w:t>
      </w:r>
      <w:proofErr w:type="spellStart"/>
      <w:r w:rsidRPr="005B6084">
        <w:rPr>
          <w:lang w:val="it-IT"/>
        </w:rPr>
        <w:t>at</w:t>
      </w:r>
      <w:proofErr w:type="spellEnd"/>
      <w:r w:rsidRPr="005B6084">
        <w:rPr>
          <w:lang w:val="it-IT"/>
        </w:rPr>
        <w:t xml:space="preserve"> 153.</w:t>
      </w:r>
    </w:p>
  </w:footnote>
  <w:footnote w:id="168">
    <w:p w14:paraId="2B5A201C" w14:textId="77777777" w:rsidR="007F624B" w:rsidRPr="005B6084" w:rsidRDefault="007F624B" w:rsidP="005B6084">
      <w:pPr>
        <w:pStyle w:val="Testonotaapidipagina"/>
        <w:jc w:val="both"/>
      </w:pPr>
      <w:r w:rsidRPr="005B6084">
        <w:rPr>
          <w:rStyle w:val="Rimandonotaapidipagina"/>
        </w:rPr>
        <w:footnoteRef/>
      </w:r>
      <w:r w:rsidRPr="005B6084">
        <w:t xml:space="preserve"> Report of the Independent Fact-Finding Mission on the Conflict in Georgia, September 2009, </w:t>
      </w:r>
      <w:proofErr w:type="spellStart"/>
      <w:r w:rsidRPr="005B6084">
        <w:t>vol</w:t>
      </w:r>
      <w:proofErr w:type="spellEnd"/>
      <w:r w:rsidRPr="005B6084">
        <w:t xml:space="preserve"> II, at 217-19, &lt;http://www.ceiig.ch/Report.html&gt;.</w:t>
      </w:r>
    </w:p>
  </w:footnote>
  <w:footnote w:id="169">
    <w:p w14:paraId="3B8E9875" w14:textId="0D4A3975" w:rsidR="007F624B" w:rsidRPr="005B6084" w:rsidRDefault="007F624B" w:rsidP="005B6084">
      <w:pPr>
        <w:pStyle w:val="Testonotaapidipagina"/>
        <w:jc w:val="both"/>
      </w:pPr>
      <w:r w:rsidRPr="005B6084">
        <w:rPr>
          <w:rStyle w:val="Rimandonotaapidipagina"/>
        </w:rPr>
        <w:footnoteRef/>
      </w:r>
      <w:r w:rsidRPr="005B6084">
        <w:t xml:space="preserve"> The CCDCOE is a think tank based in Tallinn that </w:t>
      </w:r>
      <w:proofErr w:type="gramStart"/>
      <w:r w:rsidRPr="005B6084">
        <w:t>was created</w:t>
      </w:r>
      <w:proofErr w:type="gramEnd"/>
      <w:r w:rsidRPr="005B6084">
        <w:t xml:space="preserve"> after the 2008 </w:t>
      </w:r>
      <w:proofErr w:type="spellStart"/>
      <w:r w:rsidRPr="005B6084">
        <w:t>DDoS</w:t>
      </w:r>
      <w:proofErr w:type="spellEnd"/>
      <w:r w:rsidRPr="005B6084">
        <w:t xml:space="preserve"> attacks against the Baltic state. It </w:t>
      </w:r>
      <w:proofErr w:type="gramStart"/>
      <w:r w:rsidRPr="005B6084">
        <w:t>is not integrated into NATO’s structure or funded by it</w:t>
      </w:r>
      <w:proofErr w:type="gramEnd"/>
      <w:r w:rsidRPr="005B6084">
        <w:t>.</w:t>
      </w:r>
      <w:r w:rsidR="00133040" w:rsidRPr="005B6084">
        <w:t xml:space="preserve"> Its reports </w:t>
      </w:r>
      <w:proofErr w:type="gramStart"/>
      <w:r w:rsidR="00133040" w:rsidRPr="005B6084">
        <w:t>can be accessed</w:t>
      </w:r>
      <w:proofErr w:type="gramEnd"/>
      <w:r w:rsidR="00133040" w:rsidRPr="005B6084">
        <w:t xml:space="preserve"> at &lt;https://www.ccdcoe.org/publications.html&gt;.</w:t>
      </w:r>
    </w:p>
  </w:footnote>
  <w:footnote w:id="170">
    <w:p w14:paraId="687B8283" w14:textId="3B0357E2"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Russia/Georgia Cyber War – Findings and Analysis</w:t>
      </w:r>
      <w:r w:rsidRPr="005B6084">
        <w:t xml:space="preserve">, </w:t>
      </w:r>
      <w:r w:rsidRPr="005B6084">
        <w:rPr>
          <w:i/>
        </w:rPr>
        <w:t>supra</w:t>
      </w:r>
      <w:r w:rsidRPr="005B6084">
        <w:t xml:space="preserve"> note </w:t>
      </w:r>
      <w:r w:rsidRPr="005B6084">
        <w:fldChar w:fldCharType="begin"/>
      </w:r>
      <w:r w:rsidRPr="005B6084">
        <w:instrText xml:space="preserve"> NOTEREF _Ref389207204 \h  \* MERGEFORMAT </w:instrText>
      </w:r>
      <w:r w:rsidRPr="005B6084">
        <w:fldChar w:fldCharType="separate"/>
      </w:r>
      <w:r w:rsidR="005B6084">
        <w:t>109</w:t>
      </w:r>
      <w:r w:rsidRPr="005B6084">
        <w:fldChar w:fldCharType="end"/>
      </w:r>
      <w:r w:rsidRPr="005B6084">
        <w:t xml:space="preserve">, at </w:t>
      </w:r>
      <w:proofErr w:type="gramStart"/>
      <w:r w:rsidRPr="005B6084">
        <w:t>3</w:t>
      </w:r>
      <w:proofErr w:type="gramEnd"/>
      <w:r w:rsidRPr="005B6084">
        <w:t>.</w:t>
      </w:r>
    </w:p>
  </w:footnote>
  <w:footnote w:id="171">
    <w:p w14:paraId="654ADCC4" w14:textId="0A4F4036" w:rsidR="007F624B" w:rsidRPr="005B6084" w:rsidRDefault="007F624B" w:rsidP="005B6084">
      <w:pPr>
        <w:spacing w:after="0" w:line="240" w:lineRule="auto"/>
        <w:jc w:val="both"/>
        <w:rPr>
          <w:rFonts w:ascii="Times New Roman" w:hAnsi="Times New Roman"/>
          <w:sz w:val="20"/>
          <w:szCs w:val="20"/>
        </w:rPr>
      </w:pPr>
      <w:r w:rsidRPr="005B6084">
        <w:rPr>
          <w:rStyle w:val="Rimandonotaapidipagina"/>
          <w:rFonts w:ascii="Times New Roman" w:hAnsi="Times New Roman"/>
          <w:sz w:val="20"/>
          <w:szCs w:val="20"/>
        </w:rPr>
        <w:footnoteRef/>
      </w:r>
      <w:r w:rsidRPr="005B6084">
        <w:rPr>
          <w:rFonts w:ascii="Times New Roman" w:hAnsi="Times New Roman"/>
          <w:sz w:val="20"/>
          <w:szCs w:val="20"/>
        </w:rPr>
        <w:t xml:space="preserve"> See, e.g., </w:t>
      </w:r>
      <w:proofErr w:type="spellStart"/>
      <w:r w:rsidRPr="005B6084">
        <w:rPr>
          <w:rFonts w:ascii="Times New Roman" w:hAnsi="Times New Roman"/>
          <w:sz w:val="20"/>
          <w:szCs w:val="20"/>
        </w:rPr>
        <w:t>Mandiant</w:t>
      </w:r>
      <w:proofErr w:type="spellEnd"/>
      <w:r w:rsidRPr="005B6084">
        <w:rPr>
          <w:rFonts w:ascii="Times New Roman" w:hAnsi="Times New Roman"/>
          <w:sz w:val="20"/>
          <w:szCs w:val="20"/>
        </w:rPr>
        <w:t xml:space="preserve"> Report, </w:t>
      </w:r>
      <w:r w:rsidRPr="005B6084">
        <w:rPr>
          <w:rFonts w:ascii="Times New Roman" w:hAnsi="Times New Roman"/>
          <w:i/>
          <w:sz w:val="20"/>
          <w:szCs w:val="20"/>
        </w:rPr>
        <w:t xml:space="preserve">supra </w:t>
      </w:r>
      <w:r w:rsidRPr="005B6084">
        <w:rPr>
          <w:rFonts w:ascii="Times New Roman" w:hAnsi="Times New Roman"/>
          <w:sz w:val="20"/>
          <w:szCs w:val="20"/>
        </w:rPr>
        <w:t xml:space="preserve">note </w:t>
      </w:r>
      <w:r w:rsidRPr="005B6084">
        <w:rPr>
          <w:rFonts w:ascii="Times New Roman" w:hAnsi="Times New Roman"/>
          <w:sz w:val="20"/>
          <w:szCs w:val="20"/>
        </w:rPr>
        <w:fldChar w:fldCharType="begin"/>
      </w:r>
      <w:r w:rsidRPr="005B6084">
        <w:rPr>
          <w:rFonts w:ascii="Times New Roman" w:hAnsi="Times New Roman"/>
          <w:sz w:val="20"/>
          <w:szCs w:val="20"/>
        </w:rPr>
        <w:instrText xml:space="preserve"> NOTEREF _Ref383685768 \h  \* MERGEFORMAT </w:instrText>
      </w:r>
      <w:r w:rsidRPr="005B6084">
        <w:rPr>
          <w:rFonts w:ascii="Times New Roman" w:hAnsi="Times New Roman"/>
          <w:sz w:val="20"/>
          <w:szCs w:val="20"/>
        </w:rPr>
      </w:r>
      <w:r w:rsidRPr="005B6084">
        <w:rPr>
          <w:rFonts w:ascii="Times New Roman" w:hAnsi="Times New Roman"/>
          <w:sz w:val="20"/>
          <w:szCs w:val="20"/>
        </w:rPr>
        <w:fldChar w:fldCharType="separate"/>
      </w:r>
      <w:r w:rsidR="005B6084">
        <w:rPr>
          <w:rFonts w:ascii="Times New Roman" w:hAnsi="Times New Roman"/>
          <w:sz w:val="20"/>
          <w:szCs w:val="20"/>
        </w:rPr>
        <w:t>25</w:t>
      </w:r>
      <w:r w:rsidRPr="005B6084">
        <w:rPr>
          <w:rFonts w:ascii="Times New Roman" w:hAnsi="Times New Roman"/>
          <w:sz w:val="20"/>
          <w:szCs w:val="20"/>
        </w:rPr>
        <w:fldChar w:fldCharType="end"/>
      </w:r>
      <w:r w:rsidRPr="005B6084">
        <w:rPr>
          <w:rFonts w:ascii="Times New Roman" w:hAnsi="Times New Roman"/>
          <w:sz w:val="20"/>
          <w:szCs w:val="20"/>
        </w:rPr>
        <w:t xml:space="preserve">. </w:t>
      </w:r>
      <w:proofErr w:type="spellStart"/>
      <w:r w:rsidRPr="005B6084">
        <w:rPr>
          <w:rFonts w:ascii="Times New Roman" w:hAnsi="Times New Roman"/>
          <w:sz w:val="20"/>
          <w:szCs w:val="20"/>
        </w:rPr>
        <w:t>Mandiant</w:t>
      </w:r>
      <w:proofErr w:type="spellEnd"/>
      <w:r w:rsidRPr="005B6084">
        <w:rPr>
          <w:rFonts w:ascii="Times New Roman" w:hAnsi="Times New Roman"/>
          <w:sz w:val="20"/>
          <w:szCs w:val="20"/>
        </w:rPr>
        <w:t xml:space="preserve"> is a US-based information security company.</w:t>
      </w:r>
    </w:p>
  </w:footnote>
  <w:footnote w:id="172">
    <w:p w14:paraId="04042ABE" w14:textId="1D5F198E" w:rsidR="007F624B" w:rsidRPr="005B6084" w:rsidRDefault="007F624B" w:rsidP="005B6084">
      <w:pPr>
        <w:pStyle w:val="Testonotaapidipagina"/>
        <w:jc w:val="both"/>
      </w:pPr>
      <w:r w:rsidRPr="005B6084">
        <w:rPr>
          <w:rStyle w:val="Rimandonotaapidipagina"/>
        </w:rPr>
        <w:footnoteRef/>
      </w:r>
      <w:r w:rsidRPr="005B6084">
        <w:t xml:space="preserve">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249.</w:t>
      </w:r>
    </w:p>
  </w:footnote>
  <w:footnote w:id="173">
    <w:p w14:paraId="2EE85ED7" w14:textId="220F552D"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r w:rsidRPr="005B6084">
        <w:rPr>
          <w:i/>
          <w:lang w:val="it-IT"/>
        </w:rPr>
        <w:t xml:space="preserve"> DRC v. Uganda</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_Ref389662903 \h  \* MERGEFORMAT </w:instrText>
      </w:r>
      <w:r w:rsidRPr="005B6084">
        <w:rPr>
          <w:lang w:val="it-IT"/>
        </w:rPr>
      </w:r>
      <w:r w:rsidRPr="005B6084">
        <w:rPr>
          <w:lang w:val="it-IT"/>
        </w:rPr>
        <w:fldChar w:fldCharType="separate"/>
      </w:r>
      <w:r w:rsidR="005B6084">
        <w:rPr>
          <w:lang w:val="it-IT"/>
        </w:rPr>
        <w:t>73</w:t>
      </w:r>
      <w:r w:rsidRPr="005B6084">
        <w:rPr>
          <w:lang w:val="it-IT"/>
        </w:rPr>
        <w:fldChar w:fldCharType="end"/>
      </w:r>
      <w:r w:rsidRPr="005B6084">
        <w:rPr>
          <w:lang w:val="it-IT"/>
        </w:rPr>
        <w:t>, para. 129.</w:t>
      </w:r>
    </w:p>
  </w:footnote>
  <w:footnote w:id="174">
    <w:p w14:paraId="238B3134"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i/>
          <w:lang w:val="it-IT"/>
        </w:rPr>
        <w:t>Oil</w:t>
      </w:r>
      <w:proofErr w:type="spellEnd"/>
      <w:r w:rsidRPr="005B6084">
        <w:rPr>
          <w:i/>
          <w:lang w:val="it-IT"/>
        </w:rPr>
        <w:t xml:space="preserve"> </w:t>
      </w:r>
      <w:proofErr w:type="spellStart"/>
      <w:r w:rsidRPr="005B6084">
        <w:rPr>
          <w:i/>
          <w:lang w:val="it-IT"/>
        </w:rPr>
        <w:t>Platforms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_Ref383515473 \h  \* MERGEFORMAT </w:instrText>
      </w:r>
      <w:r w:rsidRPr="005B6084">
        <w:fldChar w:fldCharType="separate"/>
      </w:r>
      <w:r w:rsidR="005B6084">
        <w:rPr>
          <w:lang w:val="it-IT"/>
        </w:rPr>
        <w:t>58</w:t>
      </w:r>
      <w:r w:rsidRPr="005B6084">
        <w:fldChar w:fldCharType="end"/>
      </w:r>
      <w:r w:rsidRPr="005B6084">
        <w:rPr>
          <w:lang w:val="it-IT"/>
        </w:rPr>
        <w:t>, para. 60.</w:t>
      </w:r>
    </w:p>
  </w:footnote>
  <w:footnote w:id="175">
    <w:p w14:paraId="2DEB5C3A" w14:textId="77777777"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lang w:val="en-US"/>
        </w:rPr>
        <w:t xml:space="preserve">Riddell and Plant, </w:t>
      </w:r>
      <w:r w:rsidRPr="005B6084">
        <w:rPr>
          <w:i/>
          <w:lang w:val="en-US"/>
        </w:rPr>
        <w:t>supra</w:t>
      </w:r>
      <w:r w:rsidRPr="005B6084">
        <w:rPr>
          <w:lang w:val="en-US"/>
        </w:rPr>
        <w:t xml:space="preserve"> note </w:t>
      </w:r>
      <w:r w:rsidRPr="005B6084">
        <w:rPr>
          <w:lang w:val="en-US"/>
        </w:rPr>
        <w:fldChar w:fldCharType="begin"/>
      </w:r>
      <w:r w:rsidRPr="005B6084">
        <w:rPr>
          <w:lang w:val="en-US"/>
        </w:rPr>
        <w:instrText xml:space="preserve"> NOTEREF _Ref389211532 \h  \* MERGEFORMAT </w:instrText>
      </w:r>
      <w:r w:rsidRPr="005B6084">
        <w:rPr>
          <w:lang w:val="en-US"/>
        </w:rPr>
      </w:r>
      <w:r w:rsidRPr="005B6084">
        <w:rPr>
          <w:lang w:val="en-US"/>
        </w:rPr>
        <w:fldChar w:fldCharType="separate"/>
      </w:r>
      <w:r w:rsidR="005B6084">
        <w:rPr>
          <w:lang w:val="en-US"/>
        </w:rPr>
        <w:t>43</w:t>
      </w:r>
      <w:r w:rsidRPr="005B6084">
        <w:rPr>
          <w:lang w:val="en-US"/>
        </w:rPr>
        <w:fldChar w:fldCharType="end"/>
      </w:r>
      <w:r w:rsidRPr="005B6084">
        <w:rPr>
          <w:lang w:val="en-US"/>
        </w:rPr>
        <w:t>, 250.</w:t>
      </w:r>
    </w:p>
  </w:footnote>
  <w:footnote w:id="176">
    <w:p w14:paraId="6B712A50" w14:textId="6BA87D41" w:rsidR="00133040" w:rsidRPr="005B6084" w:rsidRDefault="00133040" w:rsidP="005B6084">
      <w:pPr>
        <w:pStyle w:val="Testonotaapidipagina"/>
        <w:jc w:val="both"/>
        <w:rPr>
          <w:lang w:val="it-IT"/>
        </w:rPr>
      </w:pPr>
      <w:r w:rsidRPr="005B6084">
        <w:rPr>
          <w:rStyle w:val="Rimandonotaapidipagina"/>
        </w:rPr>
        <w:footnoteRef/>
      </w:r>
      <w:r w:rsidRPr="005B6084">
        <w:t xml:space="preserve"> </w:t>
      </w:r>
      <w:r w:rsidRPr="005B6084">
        <w:rPr>
          <w:i/>
          <w:lang w:val="it-IT"/>
        </w:rPr>
        <w:t>Supra</w:t>
      </w:r>
      <w:r w:rsidRPr="005B6084">
        <w:rPr>
          <w:lang w:val="it-IT"/>
        </w:rPr>
        <w:t xml:space="preserve">, notes </w:t>
      </w:r>
      <w:r w:rsidRPr="005B6084">
        <w:rPr>
          <w:lang w:val="it-IT"/>
        </w:rPr>
        <w:fldChar w:fldCharType="begin"/>
      </w:r>
      <w:r w:rsidRPr="005B6084">
        <w:rPr>
          <w:lang w:val="it-IT"/>
        </w:rPr>
        <w:instrText xml:space="preserve"> NOTEREF _Ref389211315 \h </w:instrText>
      </w:r>
      <w:r w:rsidR="005B6084" w:rsidRPr="005B6084">
        <w:rPr>
          <w:lang w:val="it-IT"/>
        </w:rPr>
        <w:instrText xml:space="preserve"> \* MERGEFORMAT </w:instrText>
      </w:r>
      <w:r w:rsidRPr="005B6084">
        <w:rPr>
          <w:lang w:val="it-IT"/>
        </w:rPr>
      </w:r>
      <w:r w:rsidRPr="005B6084">
        <w:rPr>
          <w:lang w:val="it-IT"/>
        </w:rPr>
        <w:fldChar w:fldCharType="separate"/>
      </w:r>
      <w:r w:rsidR="005B6084">
        <w:rPr>
          <w:lang w:val="it-IT"/>
        </w:rPr>
        <w:t>15</w:t>
      </w:r>
      <w:r w:rsidRPr="005B6084">
        <w:rPr>
          <w:lang w:val="it-IT"/>
        </w:rPr>
        <w:fldChar w:fldCharType="end"/>
      </w:r>
      <w:r w:rsidRPr="005B6084">
        <w:rPr>
          <w:lang w:val="it-IT"/>
        </w:rPr>
        <w:t xml:space="preserve">, </w:t>
      </w:r>
      <w:r w:rsidRPr="005B6084">
        <w:rPr>
          <w:lang w:val="it-IT"/>
        </w:rPr>
        <w:fldChar w:fldCharType="begin"/>
      </w:r>
      <w:r w:rsidRPr="005B6084">
        <w:rPr>
          <w:lang w:val="it-IT"/>
        </w:rPr>
        <w:instrText xml:space="preserve"> NOTEREF _Ref389203662 \h </w:instrText>
      </w:r>
      <w:r w:rsidR="005B6084" w:rsidRPr="005B6084">
        <w:rPr>
          <w:lang w:val="it-IT"/>
        </w:rPr>
        <w:instrText xml:space="preserve"> \* MERGEFORMAT </w:instrText>
      </w:r>
      <w:r w:rsidRPr="005B6084">
        <w:rPr>
          <w:lang w:val="it-IT"/>
        </w:rPr>
      </w:r>
      <w:r w:rsidRPr="005B6084">
        <w:rPr>
          <w:lang w:val="it-IT"/>
        </w:rPr>
        <w:fldChar w:fldCharType="separate"/>
      </w:r>
      <w:r w:rsidR="005B6084">
        <w:rPr>
          <w:lang w:val="it-IT"/>
        </w:rPr>
        <w:t>16</w:t>
      </w:r>
      <w:r w:rsidRPr="005B6084">
        <w:rPr>
          <w:lang w:val="it-IT"/>
        </w:rPr>
        <w:fldChar w:fldCharType="end"/>
      </w:r>
      <w:r w:rsidRPr="005B6084">
        <w:rPr>
          <w:lang w:val="it-IT"/>
        </w:rPr>
        <w:t xml:space="preserve"> and </w:t>
      </w:r>
      <w:r w:rsidRPr="005B6084">
        <w:rPr>
          <w:lang w:val="it-IT"/>
        </w:rPr>
        <w:fldChar w:fldCharType="begin"/>
      </w:r>
      <w:r w:rsidRPr="005B6084">
        <w:rPr>
          <w:lang w:val="it-IT"/>
        </w:rPr>
        <w:instrText xml:space="preserve"> NOTEREF _Ref354996634 \h </w:instrText>
      </w:r>
      <w:r w:rsidR="005B6084" w:rsidRPr="005B6084">
        <w:rPr>
          <w:lang w:val="it-IT"/>
        </w:rPr>
        <w:instrText xml:space="preserve"> \* MERGEFORMAT </w:instrText>
      </w:r>
      <w:r w:rsidRPr="005B6084">
        <w:rPr>
          <w:lang w:val="it-IT"/>
        </w:rPr>
      </w:r>
      <w:r w:rsidRPr="005B6084">
        <w:rPr>
          <w:lang w:val="it-IT"/>
        </w:rPr>
        <w:fldChar w:fldCharType="separate"/>
      </w:r>
      <w:r w:rsidR="005B6084">
        <w:rPr>
          <w:lang w:val="it-IT"/>
        </w:rPr>
        <w:t>17</w:t>
      </w:r>
      <w:r w:rsidRPr="005B6084">
        <w:rPr>
          <w:lang w:val="it-IT"/>
        </w:rPr>
        <w:fldChar w:fldCharType="end"/>
      </w:r>
      <w:r w:rsidRPr="005B6084">
        <w:rPr>
          <w:lang w:val="it-IT"/>
        </w:rPr>
        <w:t>.</w:t>
      </w:r>
    </w:p>
  </w:footnote>
  <w:footnote w:id="177">
    <w:p w14:paraId="393DE9B9"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r w:rsidRPr="005B6084">
        <w:rPr>
          <w:i/>
          <w:lang w:val="it-IT"/>
        </w:rPr>
        <w:t xml:space="preserve">Nicaragua, </w:t>
      </w:r>
      <w:proofErr w:type="spellStart"/>
      <w:r w:rsidRPr="005B6084">
        <w:rPr>
          <w:i/>
          <w:lang w:val="it-IT"/>
        </w:rPr>
        <w:t>Merits</w:t>
      </w:r>
      <w:proofErr w:type="spellEnd"/>
      <w:r w:rsidRPr="005B6084">
        <w:rPr>
          <w:i/>
          <w:lang w:val="it-IT"/>
        </w:rPr>
        <w:t>,</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para. 62.</w:t>
      </w:r>
    </w:p>
  </w:footnote>
  <w:footnote w:id="178">
    <w:p w14:paraId="173C3115" w14:textId="72A2CF9D"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r w:rsidRPr="005B6084">
        <w:rPr>
          <w:i/>
          <w:lang w:val="it-IT"/>
        </w:rPr>
        <w:t>DRC v. Uganda</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_Ref389662903 \h  \* MERGEFORMAT </w:instrText>
      </w:r>
      <w:r w:rsidRPr="005B6084">
        <w:rPr>
          <w:lang w:val="it-IT"/>
        </w:rPr>
      </w:r>
      <w:r w:rsidRPr="005B6084">
        <w:rPr>
          <w:lang w:val="it-IT"/>
        </w:rPr>
        <w:fldChar w:fldCharType="separate"/>
      </w:r>
      <w:r w:rsidR="005B6084">
        <w:rPr>
          <w:lang w:val="it-IT"/>
        </w:rPr>
        <w:t>73</w:t>
      </w:r>
      <w:r w:rsidRPr="005B6084">
        <w:rPr>
          <w:lang w:val="it-IT"/>
        </w:rPr>
        <w:fldChar w:fldCharType="end"/>
      </w:r>
      <w:r w:rsidRPr="005B6084">
        <w:rPr>
          <w:lang w:val="it-IT"/>
        </w:rPr>
        <w:t>, para. 68.</w:t>
      </w:r>
    </w:p>
  </w:footnote>
  <w:footnote w:id="179">
    <w:p w14:paraId="7B33A20E" w14:textId="6B03AA33"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i/>
          <w:lang w:val="it-IT"/>
        </w:rPr>
        <w:t>Bosnian</w:t>
      </w:r>
      <w:proofErr w:type="spellEnd"/>
      <w:r w:rsidRPr="005B6084">
        <w:rPr>
          <w:i/>
          <w:lang w:val="it-IT"/>
        </w:rPr>
        <w:t xml:space="preserve"> Genocide</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_Ref383683542 \h  \* MERGEFORMAT </w:instrText>
      </w:r>
      <w:r w:rsidRPr="005B6084">
        <w:fldChar w:fldCharType="separate"/>
      </w:r>
      <w:r w:rsidR="005B6084">
        <w:rPr>
          <w:lang w:val="it-IT"/>
        </w:rPr>
        <w:t>129</w:t>
      </w:r>
      <w:r w:rsidRPr="005B6084">
        <w:fldChar w:fldCharType="end"/>
      </w:r>
      <w:r w:rsidRPr="005B6084">
        <w:rPr>
          <w:lang w:val="it-IT"/>
        </w:rPr>
        <w:t>, para. 357.</w:t>
      </w:r>
    </w:p>
  </w:footnote>
  <w:footnote w:id="180">
    <w:p w14:paraId="06DCF278" w14:textId="77777777" w:rsidR="007F624B" w:rsidRPr="005B6084" w:rsidRDefault="007F624B" w:rsidP="005B6084">
      <w:pPr>
        <w:pStyle w:val="Testonotaapidipagina"/>
        <w:jc w:val="both"/>
      </w:pPr>
      <w:r w:rsidRPr="005B6084">
        <w:rPr>
          <w:rStyle w:val="Rimandonotaapidipagina"/>
        </w:rPr>
        <w:footnoteRef/>
      </w:r>
      <w:r w:rsidRPr="005B6084">
        <w:rPr>
          <w:lang w:val="it-IT"/>
        </w:rPr>
        <w:t xml:space="preserve"> </w:t>
      </w:r>
      <w:r w:rsidRPr="005B6084">
        <w:rPr>
          <w:i/>
          <w:lang w:val="it-IT"/>
        </w:rPr>
        <w:t xml:space="preserve">Nicaragua, </w:t>
      </w:r>
      <w:proofErr w:type="spellStart"/>
      <w:r w:rsidRPr="005B6084">
        <w:rPr>
          <w:i/>
          <w:lang w:val="it-IT"/>
        </w:rPr>
        <w:t>Merits</w:t>
      </w:r>
      <w:proofErr w:type="spellEnd"/>
      <w:r w:rsidRPr="005B6084">
        <w:rPr>
          <w:i/>
          <w:lang w:val="it-IT"/>
        </w:rPr>
        <w:t>,</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r w:rsidRPr="005B6084">
        <w:t>62.</w:t>
      </w:r>
    </w:p>
  </w:footnote>
  <w:footnote w:id="181">
    <w:p w14:paraId="654E90FA" w14:textId="215DAC04"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Ibid.</w:t>
      </w:r>
      <w:r w:rsidR="00285E53" w:rsidRPr="005B6084">
        <w:t xml:space="preserve"> (quoting </w:t>
      </w:r>
      <w:r w:rsidRPr="005B6084">
        <w:rPr>
          <w:i/>
        </w:rPr>
        <w:t>United States Diplomatic and Consular Staff in Tehran</w:t>
      </w:r>
      <w:r w:rsidRPr="005B6084">
        <w:t xml:space="preserve">, </w:t>
      </w:r>
      <w:r w:rsidRPr="005B6084">
        <w:rPr>
          <w:i/>
        </w:rPr>
        <w:t>supra</w:t>
      </w:r>
      <w:r w:rsidRPr="005B6084">
        <w:t xml:space="preserve"> note </w:t>
      </w:r>
      <w:r w:rsidRPr="005B6084">
        <w:fldChar w:fldCharType="begin"/>
      </w:r>
      <w:r w:rsidRPr="005B6084">
        <w:instrText xml:space="preserve"> NOTEREF _Ref383686640 \h  \* MERGEFORMAT </w:instrText>
      </w:r>
      <w:r w:rsidRPr="005B6084">
        <w:fldChar w:fldCharType="separate"/>
      </w:r>
      <w:r w:rsidR="005B6084">
        <w:t>65</w:t>
      </w:r>
      <w:r w:rsidRPr="005B6084">
        <w:fldChar w:fldCharType="end"/>
      </w:r>
      <w:r w:rsidRPr="005B6084">
        <w:t>, at 13</w:t>
      </w:r>
      <w:r w:rsidR="00285E53" w:rsidRPr="005B6084">
        <w:t xml:space="preserve">). See </w:t>
      </w:r>
      <w:proofErr w:type="gramStart"/>
      <w:r w:rsidR="00285E53" w:rsidRPr="005B6084">
        <w:t>also</w:t>
      </w:r>
      <w:r w:rsidRPr="005B6084">
        <w:t xml:space="preserve"> </w:t>
      </w:r>
      <w:r w:rsidRPr="005B6084">
        <w:rPr>
          <w:i/>
          <w:lang w:val="en-US"/>
        </w:rPr>
        <w:t xml:space="preserve"> DRC</w:t>
      </w:r>
      <w:proofErr w:type="gramEnd"/>
      <w:r w:rsidRPr="005B6084">
        <w:rPr>
          <w:i/>
          <w:lang w:val="en-US"/>
        </w:rPr>
        <w:t xml:space="preserve"> v. Uganda</w:t>
      </w:r>
      <w:r w:rsidRPr="005B6084">
        <w:rPr>
          <w:lang w:val="en-US"/>
        </w:rPr>
        <w:t xml:space="preserve">, </w:t>
      </w:r>
      <w:r w:rsidRPr="005B6084">
        <w:rPr>
          <w:i/>
          <w:lang w:val="en-US"/>
        </w:rPr>
        <w:t>supra</w:t>
      </w:r>
      <w:r w:rsidRPr="005B6084">
        <w:rPr>
          <w:lang w:val="en-US"/>
        </w:rPr>
        <w:t xml:space="preserve"> note </w:t>
      </w:r>
      <w:r w:rsidRPr="005B6084">
        <w:fldChar w:fldCharType="begin"/>
      </w:r>
      <w:r w:rsidRPr="005B6084">
        <w:instrText xml:space="preserve"> NOTEREF _Ref389662903 \h  \* MERGEFORMAT </w:instrText>
      </w:r>
      <w:r w:rsidRPr="005B6084">
        <w:fldChar w:fldCharType="separate"/>
      </w:r>
      <w:r w:rsidR="005B6084">
        <w:t>73</w:t>
      </w:r>
      <w:r w:rsidRPr="005B6084">
        <w:fldChar w:fldCharType="end"/>
      </w:r>
      <w:r w:rsidRPr="005B6084">
        <w:rPr>
          <w:lang w:val="en-US"/>
        </w:rPr>
        <w:t xml:space="preserve">, </w:t>
      </w:r>
      <w:r w:rsidRPr="005B6084">
        <w:t xml:space="preserve">para. </w:t>
      </w:r>
      <w:r w:rsidRPr="005B6084">
        <w:rPr>
          <w:lang w:val="en-US"/>
        </w:rPr>
        <w:t>68.</w:t>
      </w:r>
    </w:p>
  </w:footnote>
  <w:footnote w:id="182">
    <w:p w14:paraId="121CA72E" w14:textId="77777777" w:rsidR="007F624B" w:rsidRPr="005B6084" w:rsidRDefault="007F624B" w:rsidP="005B6084">
      <w:pPr>
        <w:pStyle w:val="Testonotaapidipagina"/>
        <w:jc w:val="both"/>
      </w:pPr>
      <w:r w:rsidRPr="005B6084">
        <w:rPr>
          <w:rStyle w:val="Rimandonotaapidipagina"/>
        </w:rPr>
        <w:footnoteRef/>
      </w:r>
      <w:r w:rsidRPr="005B6084">
        <w:rPr>
          <w:lang w:val="en-US"/>
        </w:rPr>
        <w:t xml:space="preserve"> </w:t>
      </w:r>
      <w:proofErr w:type="spellStart"/>
      <w:r w:rsidRPr="005B6084">
        <w:rPr>
          <w:lang w:val="en-US"/>
        </w:rPr>
        <w:t>Teitelbaum</w:t>
      </w:r>
      <w:proofErr w:type="spellEnd"/>
      <w:r w:rsidRPr="005B6084">
        <w:rPr>
          <w:lang w:val="en-US"/>
        </w:rPr>
        <w:t xml:space="preserve">, </w:t>
      </w:r>
      <w:r w:rsidRPr="005B6084">
        <w:rPr>
          <w:i/>
          <w:lang w:val="en-US"/>
        </w:rPr>
        <w:t>supra</w:t>
      </w:r>
      <w:r w:rsidRPr="005B6084">
        <w:rPr>
          <w:lang w:val="en-US"/>
        </w:rPr>
        <w:t xml:space="preserve"> note </w:t>
      </w:r>
      <w:r w:rsidRPr="005B6084">
        <w:rPr>
          <w:lang w:val="en-US"/>
        </w:rPr>
        <w:fldChar w:fldCharType="begin"/>
      </w:r>
      <w:r w:rsidRPr="005B6084">
        <w:rPr>
          <w:lang w:val="en-US"/>
        </w:rPr>
        <w:instrText xml:space="preserve"> NOTEREF _Ref389205025 \h  \* MERGEFORMAT </w:instrText>
      </w:r>
      <w:r w:rsidRPr="005B6084">
        <w:rPr>
          <w:lang w:val="en-US"/>
        </w:rPr>
      </w:r>
      <w:r w:rsidRPr="005B6084">
        <w:rPr>
          <w:lang w:val="en-US"/>
        </w:rPr>
        <w:fldChar w:fldCharType="separate"/>
      </w:r>
      <w:r w:rsidR="005B6084">
        <w:rPr>
          <w:lang w:val="en-US"/>
        </w:rPr>
        <w:t>54</w:t>
      </w:r>
      <w:r w:rsidRPr="005B6084">
        <w:rPr>
          <w:lang w:val="en-US"/>
        </w:rPr>
        <w:fldChar w:fldCharType="end"/>
      </w:r>
      <w:r w:rsidRPr="005B6084">
        <w:rPr>
          <w:lang w:val="en-US"/>
        </w:rPr>
        <w:t>, at 140.</w:t>
      </w:r>
    </w:p>
  </w:footnote>
  <w:footnote w:id="183">
    <w:p w14:paraId="704659D0" w14:textId="77777777" w:rsidR="007F624B" w:rsidRPr="005B6084" w:rsidRDefault="007F624B" w:rsidP="005B6084">
      <w:pPr>
        <w:pStyle w:val="Testonotaapidipagina"/>
        <w:jc w:val="both"/>
      </w:pPr>
      <w:r w:rsidRPr="005B6084">
        <w:rPr>
          <w:rStyle w:val="Rimandonotaapidipagina"/>
        </w:rPr>
        <w:footnoteRef/>
      </w:r>
      <w:r w:rsidRPr="005B6084">
        <w:rPr>
          <w:lang w:val="en-US"/>
        </w:rPr>
        <w:t xml:space="preserve"> </w:t>
      </w:r>
      <w:r w:rsidRPr="005B6084">
        <w:rPr>
          <w:i/>
          <w:lang w:val="en-US"/>
        </w:rPr>
        <w:t>Nicaragua</w:t>
      </w:r>
      <w:r w:rsidRPr="005B6084">
        <w:rPr>
          <w:lang w:val="en-US"/>
        </w:rPr>
        <w:t xml:space="preserve">, Merits, </w:t>
      </w:r>
      <w:r w:rsidRPr="005B6084">
        <w:rPr>
          <w:i/>
          <w:lang w:val="en-US"/>
        </w:rPr>
        <w:t>supra</w:t>
      </w:r>
      <w:r w:rsidRPr="005B6084">
        <w:rPr>
          <w:lang w:val="en-US"/>
        </w:rPr>
        <w:t xml:space="preserve"> note </w:t>
      </w:r>
      <w:r w:rsidRPr="005B6084">
        <w:fldChar w:fldCharType="begin"/>
      </w:r>
      <w:r w:rsidRPr="005B6084">
        <w:instrText xml:space="preserve"> NOTEREF _Ref383511825 \h  \* MERGEFORMAT </w:instrText>
      </w:r>
      <w:r w:rsidRPr="005B6084">
        <w:fldChar w:fldCharType="separate"/>
      </w:r>
      <w:proofErr w:type="gramStart"/>
      <w:r w:rsidR="005B6084">
        <w:t>3</w:t>
      </w:r>
      <w:proofErr w:type="gramEnd"/>
      <w:r w:rsidRPr="005B6084">
        <w:fldChar w:fldCharType="end"/>
      </w:r>
      <w:r w:rsidRPr="005B6084">
        <w:rPr>
          <w:lang w:val="en-US"/>
        </w:rPr>
        <w:t xml:space="preserve">, para. </w:t>
      </w:r>
      <w:r w:rsidRPr="005B6084">
        <w:t>63.</w:t>
      </w:r>
    </w:p>
  </w:footnote>
  <w:footnote w:id="184">
    <w:p w14:paraId="55F0730D" w14:textId="77777777" w:rsidR="007F624B" w:rsidRPr="005B6084" w:rsidRDefault="007F624B" w:rsidP="005B6084">
      <w:pPr>
        <w:pStyle w:val="Testonotaapidipagina"/>
        <w:jc w:val="both"/>
      </w:pPr>
      <w:r w:rsidRPr="005B6084">
        <w:rPr>
          <w:rStyle w:val="Rimandonotaapidipagina"/>
        </w:rPr>
        <w:footnoteRef/>
      </w:r>
      <w:r w:rsidRPr="005B6084">
        <w:t xml:space="preserve"> Ellen Nakashima, Greg Miller and Julie Tate, ‘U.S., Israel developed Flame computer virus to slow Iranian nuclear efforts, officials say’, The Washington Post, 19 June 2012, &lt;http://www.washingtonpost.com/world/national-security/us-israel-developed-computer-virus-to-slow-iranian-nuclear-efforts-officials-say/2012/06/19/gJQA6xBPoV_story.html&gt;.</w:t>
      </w:r>
    </w:p>
  </w:footnote>
  <w:footnote w:id="185">
    <w:p w14:paraId="047AA88C" w14:textId="77777777" w:rsidR="007F624B" w:rsidRPr="005B6084" w:rsidRDefault="007F624B" w:rsidP="005B6084">
      <w:pPr>
        <w:pStyle w:val="Testonotaapidipagina"/>
        <w:jc w:val="both"/>
      </w:pPr>
      <w:r w:rsidRPr="005B6084">
        <w:rPr>
          <w:rStyle w:val="Rimandonotaapidipagina"/>
        </w:rPr>
        <w:footnoteRef/>
      </w:r>
      <w:r w:rsidRPr="005B6084">
        <w:rPr>
          <w:lang w:val="it-IT"/>
        </w:rPr>
        <w:t xml:space="preserve"> </w:t>
      </w:r>
      <w:r w:rsidRPr="005B6084">
        <w:rPr>
          <w:i/>
          <w:lang w:val="it-IT"/>
        </w:rPr>
        <w:t>Nicaragua,</w:t>
      </w:r>
      <w:r w:rsidRPr="005B6084">
        <w:rPr>
          <w:lang w:val="it-IT"/>
        </w:rPr>
        <w:t xml:space="preserve"> </w:t>
      </w:r>
      <w:proofErr w:type="spellStart"/>
      <w:r w:rsidRPr="005B6084">
        <w:rPr>
          <w:lang w:val="it-IT"/>
        </w:rPr>
        <w:t>Merits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r w:rsidRPr="005B6084">
        <w:rPr>
          <w:lang w:val="en-US"/>
        </w:rPr>
        <w:t>63.</w:t>
      </w:r>
    </w:p>
  </w:footnote>
  <w:footnote w:id="186">
    <w:p w14:paraId="70A0A8C5"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 xml:space="preserve">United States Diplomatic and Consular Staff in </w:t>
      </w:r>
      <w:proofErr w:type="gramStart"/>
      <w:r w:rsidRPr="005B6084">
        <w:rPr>
          <w:i/>
        </w:rPr>
        <w:t xml:space="preserve">Tehran </w:t>
      </w:r>
      <w:r w:rsidRPr="005B6084">
        <w:t>,</w:t>
      </w:r>
      <w:proofErr w:type="gramEnd"/>
      <w:r w:rsidRPr="005B6084">
        <w:t xml:space="preserve"> </w:t>
      </w:r>
      <w:r w:rsidRPr="005B6084">
        <w:rPr>
          <w:i/>
        </w:rPr>
        <w:t>supra</w:t>
      </w:r>
      <w:r w:rsidRPr="005B6084">
        <w:t xml:space="preserve"> note </w:t>
      </w:r>
      <w:r w:rsidRPr="005B6084">
        <w:fldChar w:fldCharType="begin"/>
      </w:r>
      <w:r w:rsidRPr="005B6084">
        <w:instrText xml:space="preserve"> NOTEREF _Ref383686640 \h  \* MERGEFORMAT </w:instrText>
      </w:r>
      <w:r w:rsidRPr="005B6084">
        <w:fldChar w:fldCharType="separate"/>
      </w:r>
      <w:r w:rsidR="005B6084">
        <w:t>65</w:t>
      </w:r>
      <w:r w:rsidRPr="005B6084">
        <w:fldChar w:fldCharType="end"/>
      </w:r>
      <w:r w:rsidRPr="005B6084">
        <w:t>, para. 13.</w:t>
      </w:r>
    </w:p>
  </w:footnote>
  <w:footnote w:id="187">
    <w:p w14:paraId="5E778A52" w14:textId="77777777" w:rsidR="007F624B" w:rsidRPr="005B6084" w:rsidRDefault="007F624B" w:rsidP="005B6084">
      <w:pPr>
        <w:pStyle w:val="Testonotaapidipagina"/>
        <w:jc w:val="both"/>
      </w:pPr>
      <w:r w:rsidRPr="005B6084">
        <w:rPr>
          <w:rStyle w:val="Rimandonotaapidipagina"/>
        </w:rPr>
        <w:footnoteRef/>
      </w:r>
      <w:r w:rsidRPr="005B6084">
        <w:rPr>
          <w:lang w:val="en-US"/>
        </w:rPr>
        <w:t xml:space="preserve"> </w:t>
      </w:r>
      <w:r w:rsidRPr="005B6084">
        <w:rPr>
          <w:i/>
          <w:lang w:val="en-US"/>
        </w:rPr>
        <w:t>Nicaragua</w:t>
      </w:r>
      <w:r w:rsidRPr="005B6084">
        <w:rPr>
          <w:lang w:val="en-US"/>
        </w:rPr>
        <w:t xml:space="preserve">, Merits, </w:t>
      </w:r>
      <w:r w:rsidRPr="005B6084">
        <w:rPr>
          <w:i/>
          <w:lang w:val="en-US"/>
        </w:rPr>
        <w:t>supra</w:t>
      </w:r>
      <w:r w:rsidRPr="005B6084">
        <w:rPr>
          <w:lang w:val="en-US"/>
        </w:rPr>
        <w:t xml:space="preserve"> note </w:t>
      </w:r>
      <w:r w:rsidRPr="005B6084">
        <w:fldChar w:fldCharType="begin"/>
      </w:r>
      <w:r w:rsidRPr="005B6084">
        <w:instrText xml:space="preserve"> NOTEREF _Ref383511825 \h  \* MERGEFORMAT </w:instrText>
      </w:r>
      <w:r w:rsidRPr="005B6084">
        <w:fldChar w:fldCharType="separate"/>
      </w:r>
      <w:proofErr w:type="gramStart"/>
      <w:r w:rsidR="005B6084">
        <w:t>3</w:t>
      </w:r>
      <w:proofErr w:type="gramEnd"/>
      <w:r w:rsidRPr="005B6084">
        <w:fldChar w:fldCharType="end"/>
      </w:r>
      <w:r w:rsidRPr="005B6084">
        <w:rPr>
          <w:lang w:val="en-US"/>
        </w:rPr>
        <w:t xml:space="preserve">, para. </w:t>
      </w:r>
      <w:r w:rsidRPr="005B6084">
        <w:t>64.</w:t>
      </w:r>
    </w:p>
  </w:footnote>
  <w:footnote w:id="188">
    <w:p w14:paraId="2B025644"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rPr>
          <w:i/>
        </w:rPr>
        <w:t>Ibid</w:t>
      </w:r>
      <w:r w:rsidRPr="005B6084">
        <w:t>.</w:t>
      </w:r>
      <w:r w:rsidRPr="005B6084">
        <w:rPr>
          <w:i/>
        </w:rPr>
        <w:t>,</w:t>
      </w:r>
      <w:proofErr w:type="gramEnd"/>
      <w:r w:rsidRPr="005B6084">
        <w:t xml:space="preserve"> para. 65.</w:t>
      </w:r>
    </w:p>
  </w:footnote>
  <w:footnote w:id="189">
    <w:p w14:paraId="13B42674" w14:textId="77777777" w:rsidR="007F624B" w:rsidRPr="005B6084" w:rsidRDefault="007F624B" w:rsidP="005B6084">
      <w:pPr>
        <w:pStyle w:val="Testonotaapidipagina"/>
        <w:jc w:val="both"/>
      </w:pPr>
      <w:r w:rsidRPr="005B6084">
        <w:rPr>
          <w:rStyle w:val="Rimandonotaapidipagina"/>
        </w:rPr>
        <w:footnoteRef/>
      </w:r>
      <w:r w:rsidRPr="005B6084">
        <w:t xml:space="preserve"> Department of </w:t>
      </w:r>
      <w:proofErr w:type="spellStart"/>
      <w:r w:rsidRPr="005B6084">
        <w:t>Defense</w:t>
      </w:r>
      <w:proofErr w:type="spellEnd"/>
      <w:r w:rsidRPr="005B6084">
        <w:t xml:space="preserve">, </w:t>
      </w:r>
      <w:r w:rsidRPr="005B6084">
        <w:rPr>
          <w:i/>
        </w:rPr>
        <w:t>An Assessment of International Legal Issues in Information Operations</w:t>
      </w:r>
      <w:r w:rsidRPr="005B6084">
        <w:t>, May 1999, at 21, &lt;http://www.au.af.mil/au/awc/awcgate/dod-io-legal/dod-io-legal.pdf&gt;.</w:t>
      </w:r>
    </w:p>
  </w:footnote>
  <w:footnote w:id="190">
    <w:p w14:paraId="0133E904" w14:textId="77777777"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lang w:val="en-US"/>
        </w:rPr>
        <w:t>See Section 6.</w:t>
      </w:r>
    </w:p>
  </w:footnote>
  <w:footnote w:id="191">
    <w:p w14:paraId="3F7EECC2" w14:textId="1DBD17F9"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lang w:val="en-US"/>
        </w:rPr>
        <w:t xml:space="preserve">Articles 62(2) and 63 of the Rules of Court. </w:t>
      </w:r>
      <w:r w:rsidRPr="005B6084">
        <w:t xml:space="preserve">It should be recalled that international courts and tribunals do not normally have the authority or the capability to issue </w:t>
      </w:r>
      <w:r w:rsidRPr="005B6084">
        <w:rPr>
          <w:i/>
        </w:rPr>
        <w:t>subpoena</w:t>
      </w:r>
      <w:r w:rsidRPr="005B6084">
        <w:t xml:space="preserve"> to coercively bring a witness before them (</w:t>
      </w:r>
      <w:proofErr w:type="spellStart"/>
      <w:r w:rsidRPr="005B6084">
        <w:t>Wolfrum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_Ref389204857 \h  \* MERGEFORMAT </w:instrText>
      </w:r>
      <w:r w:rsidRPr="005B6084">
        <w:fldChar w:fldCharType="separate"/>
      </w:r>
      <w:r w:rsidR="005B6084">
        <w:t>31</w:t>
      </w:r>
      <w:r w:rsidRPr="005B6084">
        <w:fldChar w:fldCharType="end"/>
      </w:r>
      <w:r w:rsidRPr="005B6084">
        <w:t>, 560).</w:t>
      </w:r>
    </w:p>
  </w:footnote>
  <w:footnote w:id="192">
    <w:p w14:paraId="034DB210" w14:textId="7481AC23"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lang w:val="en-US"/>
        </w:rPr>
        <w:t>Rule 65 of the Rules of Court.</w:t>
      </w:r>
    </w:p>
  </w:footnote>
  <w:footnote w:id="193">
    <w:p w14:paraId="56B4B7C0" w14:textId="77777777" w:rsidR="007F624B" w:rsidRPr="005B6084" w:rsidRDefault="007F624B" w:rsidP="005B6084">
      <w:pPr>
        <w:pStyle w:val="Testonotaapidipagina"/>
        <w:jc w:val="both"/>
      </w:pPr>
      <w:r w:rsidRPr="005B6084">
        <w:rPr>
          <w:rStyle w:val="Rimandonotaapidipagina"/>
        </w:rPr>
        <w:footnoteRef/>
      </w:r>
      <w:r w:rsidRPr="005B6084">
        <w:t xml:space="preserve"> See the cases in Aguilar </w:t>
      </w:r>
      <w:proofErr w:type="spellStart"/>
      <w:proofErr w:type="gramStart"/>
      <w:r w:rsidRPr="005B6084">
        <w:t>Mawdsley</w:t>
      </w:r>
      <w:proofErr w:type="spellEnd"/>
      <w:r w:rsidRPr="005B6084">
        <w:t>,</w:t>
      </w:r>
      <w:proofErr w:type="gramEnd"/>
      <w:r w:rsidRPr="005B6084">
        <w:rPr>
          <w:i/>
        </w:rPr>
        <w:t xml:space="preserve"> supra</w:t>
      </w:r>
      <w:r w:rsidRPr="005B6084">
        <w:t xml:space="preserve"> note </w:t>
      </w:r>
      <w:r w:rsidRPr="005B6084">
        <w:fldChar w:fldCharType="begin"/>
      </w:r>
      <w:r w:rsidRPr="005B6084">
        <w:instrText xml:space="preserve"> NOTEREF _Ref389207412 \h  \* MERGEFORMAT </w:instrText>
      </w:r>
      <w:r w:rsidRPr="005B6084">
        <w:fldChar w:fldCharType="separate"/>
      </w:r>
      <w:r w:rsidR="005B6084">
        <w:t>59</w:t>
      </w:r>
      <w:r w:rsidRPr="005B6084">
        <w:fldChar w:fldCharType="end"/>
      </w:r>
      <w:r w:rsidRPr="005B6084">
        <w:t>, at 543.</w:t>
      </w:r>
    </w:p>
  </w:footnote>
  <w:footnote w:id="194">
    <w:p w14:paraId="6DFA1378"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proofErr w:type="spellStart"/>
      <w:r w:rsidRPr="005B6084">
        <w:rPr>
          <w:i/>
          <w:lang w:val="it-IT"/>
        </w:rPr>
        <w:t>Corfu</w:t>
      </w:r>
      <w:proofErr w:type="spellEnd"/>
      <w:r w:rsidRPr="005B6084">
        <w:rPr>
          <w:i/>
          <w:lang w:val="it-IT"/>
        </w:rPr>
        <w:t xml:space="preserve"> </w:t>
      </w:r>
      <w:proofErr w:type="gramStart"/>
      <w:r w:rsidRPr="005B6084">
        <w:rPr>
          <w:i/>
          <w:lang w:val="it-IT"/>
        </w:rPr>
        <w:t xml:space="preserve">Channel </w:t>
      </w:r>
      <w:r w:rsidRPr="005B6084">
        <w:rPr>
          <w:lang w:val="it-IT"/>
        </w:rPr>
        <w:t>,</w:t>
      </w:r>
      <w:proofErr w:type="gram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_Ref383686385 \h  \* MERGEFORMAT </w:instrText>
      </w:r>
      <w:r w:rsidRPr="005B6084">
        <w:fldChar w:fldCharType="separate"/>
      </w:r>
      <w:r w:rsidR="005B6084">
        <w:rPr>
          <w:lang w:val="it-IT"/>
        </w:rPr>
        <w:t>70</w:t>
      </w:r>
      <w:r w:rsidRPr="005B6084">
        <w:fldChar w:fldCharType="end"/>
      </w:r>
      <w:r w:rsidRPr="005B6084">
        <w:rPr>
          <w:lang w:val="it-IT"/>
        </w:rPr>
        <w:t xml:space="preserve">, </w:t>
      </w:r>
      <w:proofErr w:type="spellStart"/>
      <w:r w:rsidRPr="005B6084">
        <w:rPr>
          <w:lang w:val="it-IT"/>
        </w:rPr>
        <w:t>at</w:t>
      </w:r>
      <w:proofErr w:type="spellEnd"/>
      <w:r w:rsidRPr="005B6084">
        <w:rPr>
          <w:lang w:val="it-IT"/>
        </w:rPr>
        <w:t xml:space="preserve"> 8.</w:t>
      </w:r>
    </w:p>
  </w:footnote>
  <w:footnote w:id="195">
    <w:p w14:paraId="2DC9E7D1" w14:textId="77777777" w:rsidR="007F624B" w:rsidRPr="005B6084" w:rsidRDefault="007F624B" w:rsidP="005B6084">
      <w:pPr>
        <w:pStyle w:val="Testonotaapidipagina"/>
        <w:jc w:val="both"/>
        <w:rPr>
          <w:lang w:val="it-IT"/>
        </w:rPr>
      </w:pPr>
      <w:r w:rsidRPr="005B6084">
        <w:rPr>
          <w:rStyle w:val="Rimandonotaapidipagina"/>
        </w:rPr>
        <w:footnoteRef/>
      </w:r>
      <w:r w:rsidRPr="005B6084">
        <w:rPr>
          <w:lang w:val="it-IT"/>
        </w:rPr>
        <w:t xml:space="preserve"> </w:t>
      </w:r>
      <w:r w:rsidRPr="005B6084">
        <w:rPr>
          <w:i/>
          <w:lang w:val="it-IT"/>
        </w:rPr>
        <w:t>Ibid.</w:t>
      </w:r>
    </w:p>
  </w:footnote>
  <w:footnote w:id="196">
    <w:p w14:paraId="35CF1544" w14:textId="77777777" w:rsidR="007F624B" w:rsidRPr="005B6084" w:rsidRDefault="007F624B" w:rsidP="005B6084">
      <w:pPr>
        <w:pStyle w:val="Testonotaapidipagina"/>
        <w:jc w:val="both"/>
      </w:pPr>
      <w:r w:rsidRPr="005B6084">
        <w:rPr>
          <w:rStyle w:val="Rimandonotaapidipagina"/>
        </w:rPr>
        <w:footnoteRef/>
      </w:r>
      <w:r w:rsidRPr="005B6084">
        <w:rPr>
          <w:lang w:val="it-IT"/>
        </w:rPr>
        <w:t xml:space="preserve"> </w:t>
      </w:r>
      <w:r w:rsidRPr="005B6084">
        <w:rPr>
          <w:i/>
          <w:lang w:val="it-IT"/>
        </w:rPr>
        <w:t>Nicaragua</w:t>
      </w:r>
      <w:r w:rsidRPr="005B6084">
        <w:rPr>
          <w:lang w:val="it-IT"/>
        </w:rPr>
        <w:t xml:space="preserve">, </w:t>
      </w:r>
      <w:proofErr w:type="spellStart"/>
      <w:r w:rsidRPr="005B6084">
        <w:rPr>
          <w:lang w:val="it-IT"/>
        </w:rPr>
        <w:t>Merits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_Ref383511825 \h  \* MERGEFORMAT </w:instrText>
      </w:r>
      <w:r w:rsidRPr="005B6084">
        <w:fldChar w:fldCharType="separate"/>
      </w:r>
      <w:r w:rsidR="005B6084">
        <w:rPr>
          <w:lang w:val="it-IT"/>
        </w:rPr>
        <w:t>3</w:t>
      </w:r>
      <w:r w:rsidRPr="005B6084">
        <w:fldChar w:fldCharType="end"/>
      </w:r>
      <w:r w:rsidRPr="005B6084">
        <w:rPr>
          <w:lang w:val="it-IT"/>
        </w:rPr>
        <w:t xml:space="preserve">, para. </w:t>
      </w:r>
      <w:r w:rsidRPr="005B6084">
        <w:t>13.</w:t>
      </w:r>
    </w:p>
  </w:footnote>
  <w:footnote w:id="197">
    <w:p w14:paraId="646FB176"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rPr>
          <w:i/>
        </w:rPr>
        <w:t>Ibid</w:t>
      </w:r>
      <w:r w:rsidRPr="005B6084">
        <w:t>.</w:t>
      </w:r>
      <w:r w:rsidRPr="005B6084">
        <w:rPr>
          <w:i/>
        </w:rPr>
        <w:t>,</w:t>
      </w:r>
      <w:proofErr w:type="gramEnd"/>
      <w:r w:rsidRPr="005B6084">
        <w:t xml:space="preserve"> para. 68.</w:t>
      </w:r>
    </w:p>
  </w:footnote>
  <w:footnote w:id="198">
    <w:p w14:paraId="4B90EE13" w14:textId="478C79C2" w:rsidR="007F624B" w:rsidRPr="005B6084" w:rsidRDefault="007F624B" w:rsidP="005B6084">
      <w:pPr>
        <w:pStyle w:val="Testonotaapidipagina"/>
        <w:jc w:val="both"/>
        <w:rPr>
          <w:lang w:val="it-IT"/>
        </w:rPr>
      </w:pPr>
      <w:r w:rsidRPr="005B6084">
        <w:rPr>
          <w:rStyle w:val="Rimandonotaapidipagina"/>
        </w:rPr>
        <w:footnoteRef/>
      </w:r>
      <w:r w:rsidRPr="005B6084">
        <w:t xml:space="preserve"> </w:t>
      </w:r>
      <w:r w:rsidRPr="005B6084">
        <w:rPr>
          <w:i/>
        </w:rPr>
        <w:t xml:space="preserve">Territorial and Maritime Dispute </w:t>
      </w:r>
      <w:proofErr w:type="gramStart"/>
      <w:r w:rsidRPr="005B6084">
        <w:rPr>
          <w:i/>
        </w:rPr>
        <w:t>Between</w:t>
      </w:r>
      <w:proofErr w:type="gramEnd"/>
      <w:r w:rsidRPr="005B6084">
        <w:rPr>
          <w:i/>
        </w:rPr>
        <w:t xml:space="preserve"> Nicaragua and Honduras in the Caribbean Sea (Nicaragua v. Honduras)</w:t>
      </w:r>
      <w:r w:rsidRPr="005B6084">
        <w:t xml:space="preserve">, </w:t>
      </w:r>
      <w:r w:rsidR="0020595D" w:rsidRPr="005B6084">
        <w:t>[2007] ICJ Rep.</w:t>
      </w:r>
      <w:r w:rsidRPr="005B6084">
        <w:t>, para. 244.</w:t>
      </w:r>
    </w:p>
  </w:footnote>
  <w:footnote w:id="199">
    <w:p w14:paraId="3625C229" w14:textId="519EB9DD" w:rsidR="007F624B" w:rsidRPr="005B6084" w:rsidRDefault="007F624B" w:rsidP="005B6084">
      <w:pPr>
        <w:pStyle w:val="Testonotaapidipagina"/>
        <w:jc w:val="both"/>
        <w:rPr>
          <w:lang w:val="it-IT"/>
        </w:rPr>
      </w:pPr>
      <w:r w:rsidRPr="005B6084">
        <w:rPr>
          <w:rStyle w:val="Rimandonotaapidipagina"/>
        </w:rPr>
        <w:footnoteRef/>
      </w:r>
      <w:r w:rsidRPr="005B6084">
        <w:t xml:space="preserve"> </w:t>
      </w:r>
      <w:r w:rsidRPr="005B6084">
        <w:rPr>
          <w:lang w:val="it-IT"/>
        </w:rPr>
        <w:t xml:space="preserve">Riddell and </w:t>
      </w:r>
      <w:proofErr w:type="spellStart"/>
      <w:r w:rsidRPr="005B6084">
        <w:rPr>
          <w:lang w:val="it-IT"/>
        </w:rPr>
        <w:t>Plant</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_Ref389211532 \h  \* MERGEFORMAT </w:instrText>
      </w:r>
      <w:r w:rsidRPr="005B6084">
        <w:rPr>
          <w:lang w:val="it-IT"/>
        </w:rPr>
      </w:r>
      <w:r w:rsidRPr="005B6084">
        <w:rPr>
          <w:lang w:val="it-IT"/>
        </w:rPr>
        <w:fldChar w:fldCharType="separate"/>
      </w:r>
      <w:r w:rsidR="005B6084">
        <w:rPr>
          <w:lang w:val="it-IT"/>
        </w:rPr>
        <w:t>43</w:t>
      </w:r>
      <w:r w:rsidRPr="005B6084">
        <w:rPr>
          <w:lang w:val="it-IT"/>
        </w:rPr>
        <w:fldChar w:fldCharType="end"/>
      </w:r>
      <w:r w:rsidRPr="005B6084">
        <w:rPr>
          <w:lang w:val="it-IT"/>
        </w:rPr>
        <w:t>, 280-281.</w:t>
      </w:r>
    </w:p>
  </w:footnote>
  <w:footnote w:id="200">
    <w:p w14:paraId="3983C102" w14:textId="514D2E19" w:rsidR="007F624B" w:rsidRPr="005B6084" w:rsidRDefault="007F624B" w:rsidP="005B6084">
      <w:pPr>
        <w:pStyle w:val="Testonotaapidipagina"/>
        <w:jc w:val="both"/>
        <w:rPr>
          <w:lang w:val="it-IT"/>
        </w:rPr>
      </w:pPr>
      <w:r w:rsidRPr="005B6084">
        <w:rPr>
          <w:rStyle w:val="Rimandonotaapidipagina"/>
        </w:rPr>
        <w:footnoteRef/>
      </w:r>
      <w:r w:rsidRPr="005B6084">
        <w:t xml:space="preserve"> </w:t>
      </w:r>
      <w:r w:rsidRPr="005B6084">
        <w:rPr>
          <w:i/>
          <w:lang w:val="it-IT"/>
        </w:rPr>
        <w:t>Nicaragua v. Honduras</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_Ref392242533 \h  \* MERGEFORMAT </w:instrText>
      </w:r>
      <w:r w:rsidRPr="005B6084">
        <w:rPr>
          <w:lang w:val="it-IT"/>
        </w:rPr>
      </w:r>
      <w:r w:rsidRPr="005B6084">
        <w:rPr>
          <w:lang w:val="it-IT"/>
        </w:rPr>
        <w:fldChar w:fldCharType="separate"/>
      </w:r>
      <w:r w:rsidR="005B6084">
        <w:rPr>
          <w:lang w:val="it-IT"/>
        </w:rPr>
        <w:t>197</w:t>
      </w:r>
      <w:r w:rsidRPr="005B6084">
        <w:rPr>
          <w:lang w:val="it-IT"/>
        </w:rPr>
        <w:fldChar w:fldCharType="end"/>
      </w:r>
      <w:r w:rsidRPr="005B6084">
        <w:rPr>
          <w:lang w:val="it-IT"/>
        </w:rPr>
        <w:t>, para. 244.</w:t>
      </w:r>
    </w:p>
  </w:footnote>
  <w:footnote w:id="201">
    <w:p w14:paraId="5E97895F" w14:textId="2DB59F1F"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lang w:val="en-US"/>
        </w:rPr>
        <w:t xml:space="preserve">See also Art. </w:t>
      </w:r>
      <w:proofErr w:type="gramStart"/>
      <w:r w:rsidRPr="005B6084">
        <w:rPr>
          <w:lang w:val="en-US"/>
        </w:rPr>
        <w:t>67</w:t>
      </w:r>
      <w:proofErr w:type="gramEnd"/>
      <w:r w:rsidRPr="005B6084">
        <w:rPr>
          <w:lang w:val="en-US"/>
        </w:rPr>
        <w:t xml:space="preserve"> of the Rules of Court.</w:t>
      </w:r>
    </w:p>
  </w:footnote>
  <w:footnote w:id="202">
    <w:p w14:paraId="767DED55" w14:textId="218385AC"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Benzing</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_Ref389656491 \h  \* MERGEFORMAT </w:instrText>
      </w:r>
      <w:r w:rsidRPr="005B6084">
        <w:fldChar w:fldCharType="separate"/>
      </w:r>
      <w:r w:rsidR="005B6084">
        <w:t>44</w:t>
      </w:r>
      <w:r w:rsidRPr="005B6084">
        <w:fldChar w:fldCharType="end"/>
      </w:r>
      <w:r w:rsidRPr="005B6084">
        <w:t>, at 1259. For criticism of this practice, see Daniel Joyce, ‘Fact-Finding and Evidence at the International Court of Justice: Systemic Crisis, Change or More of the Same?</w:t>
      </w:r>
      <w:proofErr w:type="gramStart"/>
      <w:r w:rsidRPr="005B6084">
        <w:t>’,</w:t>
      </w:r>
      <w:proofErr w:type="gramEnd"/>
      <w:r w:rsidRPr="005B6084">
        <w:t xml:space="preserve"> </w:t>
      </w:r>
      <w:r w:rsidRPr="005B6084">
        <w:rPr>
          <w:i/>
        </w:rPr>
        <w:t>Finnish Yearbook of International Law</w:t>
      </w:r>
      <w:r w:rsidRPr="005B6084">
        <w:t xml:space="preserve"> </w:t>
      </w:r>
      <w:r w:rsidR="00133040" w:rsidRPr="005B6084">
        <w:t xml:space="preserve">XVIII </w:t>
      </w:r>
      <w:r w:rsidRPr="005B6084">
        <w:t>(2007), 283-306.</w:t>
      </w:r>
    </w:p>
  </w:footnote>
  <w:footnote w:id="203">
    <w:p w14:paraId="3A43AB6E" w14:textId="178006D1" w:rsidR="007F624B" w:rsidRPr="005B6084" w:rsidRDefault="007F624B" w:rsidP="005B6084">
      <w:pPr>
        <w:pStyle w:val="Testonotaapidipagina"/>
        <w:jc w:val="both"/>
        <w:rPr>
          <w:lang w:val="it-IT"/>
        </w:rPr>
      </w:pPr>
      <w:r w:rsidRPr="005B6084">
        <w:rPr>
          <w:rStyle w:val="Rimandonotaapidipagina"/>
        </w:rPr>
        <w:footnoteRef/>
      </w:r>
      <w:r w:rsidRPr="005B6084">
        <w:t xml:space="preserve"> In the </w:t>
      </w:r>
      <w:r w:rsidRPr="005B6084">
        <w:rPr>
          <w:i/>
        </w:rPr>
        <w:t>Corfu Channel</w:t>
      </w:r>
      <w:r w:rsidRPr="005B6084">
        <w:t xml:space="preserve"> Case, the Court appointed a Committee of Experts because of the insurmountable differences of opinion between the parties on certain facts (</w:t>
      </w:r>
      <w:r w:rsidRPr="005B6084">
        <w:rPr>
          <w:i/>
        </w:rPr>
        <w:t>Corfu Channel, 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at 9).</w:t>
      </w:r>
    </w:p>
  </w:footnote>
  <w:footnote w:id="204">
    <w:p w14:paraId="5806BE54" w14:textId="64BE6768" w:rsidR="007F624B" w:rsidRPr="005B6084" w:rsidRDefault="007F624B" w:rsidP="005B6084">
      <w:pPr>
        <w:pStyle w:val="Testonotaapidipagina"/>
        <w:jc w:val="both"/>
      </w:pPr>
      <w:r w:rsidRPr="005B6084">
        <w:rPr>
          <w:rStyle w:val="Rimandonotaapidipagina"/>
        </w:rPr>
        <w:footnoteRef/>
      </w:r>
      <w:r w:rsidRPr="005B6084">
        <w:t xml:space="preserve"> Rules of Court, Art. 63.</w:t>
      </w:r>
    </w:p>
  </w:footnote>
  <w:footnote w:id="205">
    <w:p w14:paraId="47F966C7" w14:textId="18EE549E" w:rsidR="007F624B" w:rsidRPr="005B6084" w:rsidRDefault="007F624B" w:rsidP="005B6084">
      <w:pPr>
        <w:pStyle w:val="Testonotaapidipagina"/>
        <w:jc w:val="both"/>
        <w:rPr>
          <w:lang w:val="it-IT"/>
        </w:rPr>
      </w:pPr>
      <w:r w:rsidRPr="005B6084">
        <w:rPr>
          <w:rStyle w:val="Rimandonotaapidipagina"/>
        </w:rPr>
        <w:footnoteRef/>
      </w:r>
      <w:r w:rsidRPr="005B6084">
        <w:t xml:space="preserve"> </w:t>
      </w:r>
      <w:r w:rsidRPr="005B6084">
        <w:rPr>
          <w:i/>
          <w:lang w:val="it-IT"/>
        </w:rPr>
        <w:t xml:space="preserve">Pulp </w:t>
      </w:r>
      <w:proofErr w:type="spellStart"/>
      <w:r w:rsidRPr="005B6084">
        <w:rPr>
          <w:i/>
          <w:lang w:val="it-IT"/>
        </w:rPr>
        <w:t>Mills</w:t>
      </w:r>
      <w:proofErr w:type="spellEnd"/>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_Ref383515176 \h  \* MERGEFORMAT </w:instrText>
      </w:r>
      <w:r w:rsidRPr="005B6084">
        <w:rPr>
          <w:lang w:val="it-IT"/>
        </w:rPr>
      </w:r>
      <w:r w:rsidRPr="005B6084">
        <w:rPr>
          <w:lang w:val="it-IT"/>
        </w:rPr>
        <w:fldChar w:fldCharType="separate"/>
      </w:r>
      <w:r w:rsidR="005B6084">
        <w:rPr>
          <w:lang w:val="it-IT"/>
        </w:rPr>
        <w:t>55</w:t>
      </w:r>
      <w:r w:rsidRPr="005B6084">
        <w:rPr>
          <w:lang w:val="it-IT"/>
        </w:rPr>
        <w:fldChar w:fldCharType="end"/>
      </w:r>
      <w:r w:rsidRPr="005B6084">
        <w:rPr>
          <w:lang w:val="it-IT"/>
        </w:rPr>
        <w:t>, para. 167.</w:t>
      </w:r>
    </w:p>
  </w:footnote>
  <w:footnote w:id="206">
    <w:p w14:paraId="5A08ABED" w14:textId="3F40D3F0" w:rsidR="007F624B" w:rsidRPr="005B6084" w:rsidRDefault="007F624B" w:rsidP="005B6084">
      <w:pPr>
        <w:pStyle w:val="Testonotaapidipagina"/>
        <w:jc w:val="both"/>
        <w:rPr>
          <w:lang w:val="it-IT"/>
        </w:rPr>
      </w:pPr>
      <w:r w:rsidRPr="005B6084">
        <w:rPr>
          <w:rStyle w:val="Rimandonotaapidipagina"/>
        </w:rPr>
        <w:footnoteRef/>
      </w:r>
      <w:r w:rsidRPr="005B6084">
        <w:t xml:space="preserve"> </w:t>
      </w:r>
      <w:r w:rsidRPr="005B6084">
        <w:rPr>
          <w:i/>
        </w:rPr>
        <w:t>Whaling in the Antarctic (Australia v. Japan: New Zealand Intervening)</w:t>
      </w:r>
      <w:r w:rsidRPr="005B6084">
        <w:t>, Judgment, 31 March 2014, paras. 20-21, &lt;http://www.icj-cij.org/docket/files/148/18136.pdf&gt;.</w:t>
      </w:r>
    </w:p>
  </w:footnote>
  <w:footnote w:id="207">
    <w:p w14:paraId="520A0B73" w14:textId="25D7D3A3"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rPr>
          <w:i/>
        </w:rPr>
        <w:t>Ibid.</w:t>
      </w:r>
      <w:r w:rsidRPr="005B6084">
        <w:t>,</w:t>
      </w:r>
      <w:proofErr w:type="gramEnd"/>
      <w:r w:rsidRPr="005B6084">
        <w:t xml:space="preserve"> para. 227.</w:t>
      </w:r>
    </w:p>
  </w:footnote>
  <w:footnote w:id="208">
    <w:p w14:paraId="1ECE67D8" w14:textId="77777777" w:rsidR="007F624B" w:rsidRPr="005B6084" w:rsidRDefault="007F624B" w:rsidP="005B6084">
      <w:pPr>
        <w:pStyle w:val="Testonotaapidipagina"/>
        <w:jc w:val="both"/>
      </w:pPr>
      <w:r w:rsidRPr="005B6084">
        <w:rPr>
          <w:rStyle w:val="Rimandonotaapidipagina"/>
        </w:rPr>
        <w:footnoteRef/>
      </w:r>
      <w:r w:rsidRPr="005B6084">
        <w:t xml:space="preserve"> Italy’s Presidency of the Council of Ministers, ‘National Strategy Framework for Cyberspace Security’, December 2013, at 42, &lt;http://www.sicurezzanazionale.gov.it/sisr.nsf/wp-content/uploads/2014/02/italian-national-strategic-framework-for-cyberspace-security.pdf&gt;.</w:t>
      </w:r>
    </w:p>
  </w:footnote>
  <w:footnote w:id="209">
    <w:p w14:paraId="6F729525" w14:textId="0F233A9F" w:rsidR="007F624B" w:rsidRPr="005B6084" w:rsidRDefault="007F624B" w:rsidP="005B6084">
      <w:pPr>
        <w:pStyle w:val="P"/>
        <w:spacing w:line="240" w:lineRule="auto"/>
        <w:jc w:val="both"/>
        <w:rPr>
          <w:sz w:val="20"/>
          <w:szCs w:val="20"/>
        </w:rPr>
      </w:pPr>
      <w:r w:rsidRPr="005B6084">
        <w:rPr>
          <w:rStyle w:val="Rimandonotaapidipagina"/>
          <w:sz w:val="20"/>
          <w:szCs w:val="20"/>
          <w:lang w:val="en-GB"/>
        </w:rPr>
        <w:footnoteRef/>
      </w:r>
      <w:r w:rsidRPr="005B6084">
        <w:rPr>
          <w:sz w:val="20"/>
          <w:szCs w:val="20"/>
          <w:lang w:val="en-GB"/>
        </w:rPr>
        <w:t xml:space="preserve"> See the </w:t>
      </w:r>
      <w:proofErr w:type="spellStart"/>
      <w:r w:rsidRPr="005B6084">
        <w:rPr>
          <w:sz w:val="20"/>
          <w:szCs w:val="20"/>
          <w:lang w:val="en-GB"/>
        </w:rPr>
        <w:t>traceback</w:t>
      </w:r>
      <w:proofErr w:type="spellEnd"/>
      <w:r w:rsidRPr="005B6084">
        <w:rPr>
          <w:sz w:val="20"/>
          <w:szCs w:val="20"/>
          <w:lang w:val="en-GB"/>
        </w:rPr>
        <w:t xml:space="preserve"> technology described in Jay P </w:t>
      </w:r>
      <w:proofErr w:type="spellStart"/>
      <w:r w:rsidRPr="005B6084">
        <w:rPr>
          <w:sz w:val="20"/>
          <w:szCs w:val="20"/>
          <w:lang w:val="en-GB"/>
        </w:rPr>
        <w:t>Kesan</w:t>
      </w:r>
      <w:proofErr w:type="spellEnd"/>
      <w:r w:rsidRPr="005B6084">
        <w:rPr>
          <w:sz w:val="20"/>
          <w:szCs w:val="20"/>
          <w:lang w:val="en-GB"/>
        </w:rPr>
        <w:t xml:space="preserve"> and Carol M Hayes, ‘</w:t>
      </w:r>
      <w:proofErr w:type="spellStart"/>
      <w:r w:rsidRPr="005B6084">
        <w:rPr>
          <w:sz w:val="20"/>
          <w:szCs w:val="20"/>
          <w:lang w:val="en-GB"/>
        </w:rPr>
        <w:t>Mitigative</w:t>
      </w:r>
      <w:proofErr w:type="spellEnd"/>
      <w:r w:rsidRPr="005B6084">
        <w:rPr>
          <w:sz w:val="20"/>
          <w:szCs w:val="20"/>
          <w:lang w:val="en-GB"/>
        </w:rPr>
        <w:t xml:space="preserve"> </w:t>
      </w:r>
      <w:proofErr w:type="spellStart"/>
      <w:r w:rsidRPr="005B6084">
        <w:rPr>
          <w:sz w:val="20"/>
          <w:szCs w:val="20"/>
          <w:lang w:val="en-GB"/>
        </w:rPr>
        <w:t>Counterstriking</w:t>
      </w:r>
      <w:proofErr w:type="spellEnd"/>
      <w:r w:rsidRPr="005B6084">
        <w:rPr>
          <w:sz w:val="20"/>
          <w:szCs w:val="20"/>
          <w:lang w:val="en-GB"/>
        </w:rPr>
        <w:t>: Self-</w:t>
      </w:r>
      <w:proofErr w:type="spellStart"/>
      <w:r w:rsidRPr="005B6084">
        <w:rPr>
          <w:sz w:val="20"/>
          <w:szCs w:val="20"/>
          <w:lang w:val="en-GB"/>
        </w:rPr>
        <w:t>Defense</w:t>
      </w:r>
      <w:proofErr w:type="spellEnd"/>
      <w:r w:rsidRPr="005B6084">
        <w:rPr>
          <w:sz w:val="20"/>
          <w:szCs w:val="20"/>
          <w:lang w:val="en-GB"/>
        </w:rPr>
        <w:t xml:space="preserve"> and Deterrence in Cyberspace’, </w:t>
      </w:r>
      <w:r w:rsidRPr="005B6084">
        <w:rPr>
          <w:i/>
          <w:sz w:val="20"/>
          <w:szCs w:val="20"/>
          <w:lang w:val="en-GB"/>
        </w:rPr>
        <w:t>Harvard Journal of Law and Technology</w:t>
      </w:r>
      <w:r w:rsidRPr="005B6084">
        <w:rPr>
          <w:sz w:val="20"/>
          <w:szCs w:val="20"/>
          <w:lang w:val="en-GB"/>
        </w:rPr>
        <w:t xml:space="preserve"> 25 (2011–12), 482ff. The US Department of </w:t>
      </w:r>
      <w:proofErr w:type="spellStart"/>
      <w:r w:rsidRPr="005B6084">
        <w:rPr>
          <w:sz w:val="20"/>
          <w:szCs w:val="20"/>
          <w:lang w:val="en-GB"/>
        </w:rPr>
        <w:t>Defense</w:t>
      </w:r>
      <w:proofErr w:type="spellEnd"/>
      <w:r w:rsidRPr="005B6084">
        <w:rPr>
          <w:sz w:val="20"/>
          <w:szCs w:val="20"/>
          <w:lang w:val="en-GB"/>
        </w:rPr>
        <w:t xml:space="preserve"> is apparently seeking to improve attribution capabilities through behaviour-based algorithms (US Department of </w:t>
      </w:r>
      <w:proofErr w:type="spellStart"/>
      <w:r w:rsidRPr="005B6084">
        <w:rPr>
          <w:sz w:val="20"/>
          <w:szCs w:val="20"/>
          <w:lang w:val="en-GB"/>
        </w:rPr>
        <w:t>Defense</w:t>
      </w:r>
      <w:proofErr w:type="spellEnd"/>
      <w:r w:rsidRPr="005B6084">
        <w:rPr>
          <w:sz w:val="20"/>
          <w:szCs w:val="20"/>
          <w:lang w:val="en-GB"/>
        </w:rPr>
        <w:t xml:space="preserve">, Cyberspace Policy Report - A Report to Congress Pursuant to the National </w:t>
      </w:r>
      <w:proofErr w:type="spellStart"/>
      <w:r w:rsidRPr="005B6084">
        <w:rPr>
          <w:sz w:val="20"/>
          <w:szCs w:val="20"/>
          <w:lang w:val="en-GB"/>
        </w:rPr>
        <w:t>Defense</w:t>
      </w:r>
      <w:proofErr w:type="spellEnd"/>
      <w:r w:rsidRPr="005B6084">
        <w:rPr>
          <w:sz w:val="20"/>
          <w:szCs w:val="20"/>
          <w:lang w:val="en-GB"/>
        </w:rPr>
        <w:t xml:space="preserve"> Authorization Act for Fiscal Year 2011, Section 934 (November 2011) at 4</w:t>
      </w:r>
      <w:r w:rsidR="000D0B00" w:rsidRPr="005B6084">
        <w:rPr>
          <w:sz w:val="20"/>
          <w:szCs w:val="20"/>
          <w:lang w:val="en-GB"/>
        </w:rPr>
        <w:t>, &lt;http://www.defense.gov/home/features/2011/0411_cyberstrategy/docs/NDAA%20Section%20934%20Report_For%20webpage.pdf&gt;</w:t>
      </w:r>
      <w:r w:rsidRPr="005B6084">
        <w:rPr>
          <w:sz w:val="20"/>
          <w:szCs w:val="20"/>
          <w:lang w:val="en-GB"/>
        </w:rPr>
        <w:t>).</w:t>
      </w:r>
    </w:p>
  </w:footnote>
  <w:footnote w:id="210">
    <w:p w14:paraId="19D097D1" w14:textId="77777777" w:rsidR="007F624B" w:rsidRPr="005B6084" w:rsidRDefault="007F624B" w:rsidP="005B6084">
      <w:pPr>
        <w:pStyle w:val="Testonotaapidipagina"/>
        <w:jc w:val="both"/>
      </w:pPr>
      <w:r w:rsidRPr="005B6084">
        <w:rPr>
          <w:rStyle w:val="Rimandonotaapidipagina"/>
        </w:rPr>
        <w:footnoteRef/>
      </w:r>
      <w:r w:rsidRPr="005B6084">
        <w:t xml:space="preserve"> United Nations Office on Drugs and Crime, Comprehensive Study on Cybercrime (February 2013), at XXIV, &lt;http://www.unodc.org/documents/organized-crime/UNODC_CCPCJ_EG.4_2013/CYBERCRIME_STUDY_210213.pdf&gt;.</w:t>
      </w:r>
    </w:p>
  </w:footnote>
  <w:footnote w:id="211">
    <w:p w14:paraId="3F87D458" w14:textId="77777777" w:rsidR="007F624B" w:rsidRPr="005B6084" w:rsidRDefault="007F624B" w:rsidP="005B6084">
      <w:pPr>
        <w:pStyle w:val="Testonotaapidipagina"/>
        <w:jc w:val="both"/>
      </w:pPr>
      <w:r w:rsidRPr="005B6084">
        <w:rPr>
          <w:rStyle w:val="Rimandonotaapidipagina"/>
        </w:rPr>
        <w:footnoteRef/>
      </w:r>
      <w:r w:rsidRPr="005B6084">
        <w:t xml:space="preserve"> Fred </w:t>
      </w:r>
      <w:proofErr w:type="spellStart"/>
      <w:r w:rsidRPr="005B6084">
        <w:t>Schreier</w:t>
      </w:r>
      <w:proofErr w:type="spellEnd"/>
      <w:r w:rsidRPr="005B6084">
        <w:t xml:space="preserve">, ‘On </w:t>
      </w:r>
      <w:proofErr w:type="spellStart"/>
      <w:r w:rsidRPr="005B6084">
        <w:t>Cyberwarfare</w:t>
      </w:r>
      <w:proofErr w:type="spellEnd"/>
      <w:r w:rsidRPr="005B6084">
        <w:t xml:space="preserve">’, </w:t>
      </w:r>
      <w:proofErr w:type="gramStart"/>
      <w:r w:rsidRPr="005B6084">
        <w:t>The</w:t>
      </w:r>
      <w:proofErr w:type="gramEnd"/>
      <w:r w:rsidRPr="005B6084">
        <w:t xml:space="preserve"> Geneva Centre for the Democratic Control of Armed Forces, DCAF Horizon 2015 Working Paper No. 7, 2012, at 65.</w:t>
      </w:r>
    </w:p>
  </w:footnote>
  <w:footnote w:id="212">
    <w:p w14:paraId="1F235328" w14:textId="39DA0F37" w:rsidR="007F624B" w:rsidRPr="005B6084" w:rsidRDefault="007F624B" w:rsidP="005B6084">
      <w:pPr>
        <w:pStyle w:val="Testonotaapidipagina"/>
        <w:jc w:val="both"/>
        <w:rPr>
          <w:lang w:val="it-IT"/>
        </w:rPr>
      </w:pPr>
      <w:r w:rsidRPr="005B6084">
        <w:rPr>
          <w:rStyle w:val="Rimandonotaapidipagina"/>
        </w:rPr>
        <w:footnoteRef/>
      </w:r>
      <w:r w:rsidRPr="005B6084">
        <w:t xml:space="preserve"> </w:t>
      </w:r>
      <w:r w:rsidR="00C34B7F" w:rsidRPr="005B6084">
        <w:t xml:space="preserve">In this sense, </w:t>
      </w:r>
      <w:proofErr w:type="spellStart"/>
      <w:r w:rsidR="00C34B7F" w:rsidRPr="005B6084">
        <w:rPr>
          <w:lang w:val="it-IT"/>
        </w:rPr>
        <w:t>c</w:t>
      </w:r>
      <w:r w:rsidRPr="005B6084">
        <w:rPr>
          <w:lang w:val="it-IT"/>
        </w:rPr>
        <w:t>f</w:t>
      </w:r>
      <w:proofErr w:type="spellEnd"/>
      <w:r w:rsidRPr="005B6084">
        <w:rPr>
          <w:lang w:val="it-IT"/>
        </w:rPr>
        <w:t xml:space="preserve">. </w:t>
      </w:r>
      <w:r w:rsidRPr="005B6084">
        <w:t xml:space="preserve">Rules 7 and 8 of the </w:t>
      </w:r>
      <w:r w:rsidRPr="005B6084">
        <w:rPr>
          <w:i/>
        </w:rPr>
        <w:t xml:space="preserve">Tallinn </w:t>
      </w:r>
      <w:proofErr w:type="gramStart"/>
      <w:r w:rsidRPr="005B6084">
        <w:rPr>
          <w:i/>
        </w:rPr>
        <w:t>Manual</w:t>
      </w:r>
      <w:r w:rsidR="00C34B7F" w:rsidRPr="005B6084">
        <w:t>,</w:t>
      </w:r>
      <w:proofErr w:type="gramEnd"/>
      <w:r w:rsidR="00C34B7F" w:rsidRPr="005B6084">
        <w:t xml:space="preserve"> </w:t>
      </w:r>
      <w:r w:rsidR="00C34B7F" w:rsidRPr="005B6084">
        <w:rPr>
          <w:i/>
        </w:rPr>
        <w:t>supra</w:t>
      </w:r>
      <w:r w:rsidR="00C34B7F" w:rsidRPr="005B6084">
        <w:t xml:space="preserve"> note </w:t>
      </w:r>
      <w:r w:rsidR="00C34B7F" w:rsidRPr="005B6084">
        <w:fldChar w:fldCharType="begin"/>
      </w:r>
      <w:r w:rsidR="00C34B7F" w:rsidRPr="005B6084">
        <w:instrText xml:space="preserve"> NOTEREF _Ref383511592 \h </w:instrText>
      </w:r>
      <w:r w:rsidR="005B6084" w:rsidRPr="005B6084">
        <w:instrText xml:space="preserve"> \* MERGEFORMAT </w:instrText>
      </w:r>
      <w:r w:rsidR="00C34B7F" w:rsidRPr="005B6084">
        <w:fldChar w:fldCharType="separate"/>
      </w:r>
      <w:r w:rsidR="005B6084">
        <w:t>2</w:t>
      </w:r>
      <w:r w:rsidR="00C34B7F" w:rsidRPr="005B6084">
        <w:fldChar w:fldCharType="end"/>
      </w:r>
      <w:r w:rsidR="00C34B7F" w:rsidRPr="005B6084">
        <w:t>, 34, 36</w:t>
      </w:r>
      <w:r w:rsidRPr="005B6084">
        <w:t>.</w:t>
      </w:r>
    </w:p>
  </w:footnote>
  <w:footnote w:id="213">
    <w:p w14:paraId="58EA141A" w14:textId="3C30E003"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 xml:space="preserve">Sovereignty over </w:t>
      </w:r>
      <w:proofErr w:type="spellStart"/>
      <w:r w:rsidRPr="005B6084">
        <w:rPr>
          <w:i/>
        </w:rPr>
        <w:t>Pulau</w:t>
      </w:r>
      <w:proofErr w:type="spellEnd"/>
      <w:r w:rsidRPr="005B6084">
        <w:rPr>
          <w:i/>
        </w:rPr>
        <w:t xml:space="preserve"> </w:t>
      </w:r>
      <w:proofErr w:type="spellStart"/>
      <w:r w:rsidRPr="005B6084">
        <w:rPr>
          <w:i/>
        </w:rPr>
        <w:t>Ligitan</w:t>
      </w:r>
      <w:proofErr w:type="spellEnd"/>
      <w:r w:rsidRPr="005B6084">
        <w:rPr>
          <w:i/>
        </w:rPr>
        <w:t xml:space="preserve"> and </w:t>
      </w:r>
      <w:proofErr w:type="spellStart"/>
      <w:r w:rsidRPr="005B6084">
        <w:rPr>
          <w:i/>
        </w:rPr>
        <w:t>Pulau</w:t>
      </w:r>
      <w:proofErr w:type="spellEnd"/>
      <w:r w:rsidRPr="005B6084">
        <w:rPr>
          <w:i/>
        </w:rPr>
        <w:t xml:space="preserve"> </w:t>
      </w:r>
      <w:proofErr w:type="spellStart"/>
      <w:r w:rsidRPr="005B6084">
        <w:rPr>
          <w:i/>
        </w:rPr>
        <w:t>Sipadan</w:t>
      </w:r>
      <w:proofErr w:type="spellEnd"/>
      <w:r w:rsidRPr="005B6084">
        <w:rPr>
          <w:i/>
        </w:rPr>
        <w:t xml:space="preserve"> (Indonesia/Malaysia)</w:t>
      </w:r>
      <w:r w:rsidRPr="005B6084">
        <w:t xml:space="preserve"> [2001] ICJ Rep., Dissenting Opinion of Judge ad hoc Franck, para. 11.</w:t>
      </w:r>
    </w:p>
  </w:footnote>
  <w:footnote w:id="214">
    <w:p w14:paraId="27120502" w14:textId="77777777"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i/>
          <w:lang w:val="en-US"/>
        </w:rPr>
        <w:t>Corfu Channel</w:t>
      </w:r>
      <w:r w:rsidRPr="005B6084">
        <w:rPr>
          <w:lang w:val="en-US"/>
        </w:rPr>
        <w:t xml:space="preserve">, </w:t>
      </w:r>
      <w:r w:rsidRPr="005B6084">
        <w:rPr>
          <w:i/>
          <w:lang w:val="en-US"/>
        </w:rPr>
        <w:t>supra</w:t>
      </w:r>
      <w:r w:rsidRPr="005B6084">
        <w:rPr>
          <w:lang w:val="en-US"/>
        </w:rPr>
        <w:t xml:space="preserve"> note </w:t>
      </w:r>
      <w:r w:rsidRPr="005B6084">
        <w:rPr>
          <w:lang w:val="it-IT"/>
        </w:rPr>
        <w:fldChar w:fldCharType="begin"/>
      </w:r>
      <w:r w:rsidRPr="005B6084">
        <w:rPr>
          <w:lang w:val="en-US"/>
        </w:rPr>
        <w:instrText xml:space="preserve"> NOTEREF _Ref383686385 \h  \* MERGEFORMAT </w:instrText>
      </w:r>
      <w:r w:rsidRPr="005B6084">
        <w:rPr>
          <w:lang w:val="it-IT"/>
        </w:rPr>
      </w:r>
      <w:r w:rsidRPr="005B6084">
        <w:rPr>
          <w:lang w:val="it-IT"/>
        </w:rPr>
        <w:fldChar w:fldCharType="separate"/>
      </w:r>
      <w:r w:rsidR="005B6084">
        <w:rPr>
          <w:lang w:val="en-US"/>
        </w:rPr>
        <w:t>70</w:t>
      </w:r>
      <w:r w:rsidRPr="005B6084">
        <w:rPr>
          <w:lang w:val="it-IT"/>
        </w:rPr>
        <w:fldChar w:fldCharType="end"/>
      </w:r>
      <w:r w:rsidRPr="005B6084">
        <w:rPr>
          <w:lang w:val="en-US"/>
        </w:rPr>
        <w:t xml:space="preserve">, Dissenting Opinion of Judge </w:t>
      </w:r>
      <w:proofErr w:type="spellStart"/>
      <w:r w:rsidRPr="005B6084">
        <w:rPr>
          <w:lang w:val="en-US"/>
        </w:rPr>
        <w:t>Azevedo</w:t>
      </w:r>
      <w:proofErr w:type="spellEnd"/>
      <w:r w:rsidRPr="005B6084">
        <w:rPr>
          <w:lang w:val="en-US"/>
        </w:rPr>
        <w:t>, 90-91.</w:t>
      </w:r>
    </w:p>
  </w:footnote>
  <w:footnote w:id="215">
    <w:p w14:paraId="7956F637" w14:textId="6DF07AE3"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Chittharanjan</w:t>
      </w:r>
      <w:proofErr w:type="spellEnd"/>
      <w:r w:rsidRPr="005B6084">
        <w:t xml:space="preserve"> F </w:t>
      </w:r>
      <w:proofErr w:type="spellStart"/>
      <w:r w:rsidRPr="005B6084">
        <w:t>Amerasinghe</w:t>
      </w:r>
      <w:proofErr w:type="spellEnd"/>
      <w:r w:rsidRPr="005B6084">
        <w:t xml:space="preserve">, ‘Presumptions and Inferences in Evidence in International Litigation’, </w:t>
      </w:r>
      <w:proofErr w:type="gramStart"/>
      <w:r w:rsidRPr="005B6084">
        <w:rPr>
          <w:i/>
        </w:rPr>
        <w:t>The</w:t>
      </w:r>
      <w:proofErr w:type="gramEnd"/>
      <w:r w:rsidRPr="005B6084">
        <w:rPr>
          <w:i/>
        </w:rPr>
        <w:t xml:space="preserve"> Law and Practice of International Courts and Tribunals, </w:t>
      </w:r>
      <w:r w:rsidRPr="005B6084">
        <w:t>3 (2004), at 395.</w:t>
      </w:r>
      <w:r w:rsidR="00C34B7F" w:rsidRPr="005B6084">
        <w:t xml:space="preserve"> </w:t>
      </w:r>
      <w:proofErr w:type="spellStart"/>
      <w:r w:rsidR="00C34B7F" w:rsidRPr="005B6084">
        <w:t>Irrebuttable</w:t>
      </w:r>
      <w:proofErr w:type="spellEnd"/>
      <w:r w:rsidR="00C34B7F" w:rsidRPr="005B6084">
        <w:t xml:space="preserve"> presumptions (</w:t>
      </w:r>
      <w:r w:rsidR="00C34B7F" w:rsidRPr="005B6084">
        <w:rPr>
          <w:i/>
        </w:rPr>
        <w:t>juris et de jure</w:t>
      </w:r>
      <w:r w:rsidR="00C34B7F" w:rsidRPr="005B6084">
        <w:t>) must be distinguished from rebuttable ones (</w:t>
      </w:r>
      <w:r w:rsidR="00C34B7F" w:rsidRPr="005B6084">
        <w:rPr>
          <w:i/>
        </w:rPr>
        <w:t xml:space="preserve">juris </w:t>
      </w:r>
      <w:proofErr w:type="spellStart"/>
      <w:r w:rsidR="00C34B7F" w:rsidRPr="005B6084">
        <w:rPr>
          <w:i/>
        </w:rPr>
        <w:t>tantum</w:t>
      </w:r>
      <w:proofErr w:type="spellEnd"/>
      <w:r w:rsidR="00C34B7F" w:rsidRPr="005B6084">
        <w:t>): the former are immune to evidence proving facts that contradict them, while the latter shift the burden of demonstrating the opposite to the other litigant.</w:t>
      </w:r>
    </w:p>
  </w:footnote>
  <w:footnote w:id="216">
    <w:p w14:paraId="183089AE" w14:textId="77777777" w:rsidR="007F624B" w:rsidRPr="005B6084" w:rsidRDefault="007F624B" w:rsidP="005B6084">
      <w:pPr>
        <w:pStyle w:val="Testonotaapidipagina"/>
        <w:jc w:val="both"/>
      </w:pPr>
      <w:r w:rsidRPr="005B6084">
        <w:rPr>
          <w:rStyle w:val="Rimandonotaapidipagina"/>
        </w:rPr>
        <w:footnoteRef/>
      </w:r>
      <w:r w:rsidRPr="005B6084">
        <w:t xml:space="preserve"> Thomas M Franck and Peter Prows, ‘The Role of Presumptions in International Tribunals’, </w:t>
      </w:r>
      <w:proofErr w:type="gramStart"/>
      <w:r w:rsidRPr="005B6084">
        <w:rPr>
          <w:i/>
        </w:rPr>
        <w:t>The</w:t>
      </w:r>
      <w:proofErr w:type="gramEnd"/>
      <w:r w:rsidRPr="005B6084">
        <w:rPr>
          <w:i/>
        </w:rPr>
        <w:t xml:space="preserve"> Law and Practice of International Courts and Tribunals,</w:t>
      </w:r>
      <w:r w:rsidRPr="005B6084">
        <w:t xml:space="preserve"> 4 (2005), 197, at 203.</w:t>
      </w:r>
    </w:p>
  </w:footnote>
  <w:footnote w:id="217">
    <w:p w14:paraId="191E88B1"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Mojtaba</w:t>
      </w:r>
      <w:proofErr w:type="spellEnd"/>
      <w:r w:rsidRPr="005B6084">
        <w:t xml:space="preserve"> </w:t>
      </w:r>
      <w:proofErr w:type="spellStart"/>
      <w:r w:rsidRPr="005B6084">
        <w:t>Kazazi</w:t>
      </w:r>
      <w:proofErr w:type="spellEnd"/>
      <w:r w:rsidRPr="005B6084">
        <w:t xml:space="preserve">, </w:t>
      </w:r>
      <w:r w:rsidRPr="005B6084">
        <w:rPr>
          <w:i/>
        </w:rPr>
        <w:t xml:space="preserve">Burden of Proof and Related Issues. A Study on Evidence </w:t>
      </w:r>
      <w:proofErr w:type="gramStart"/>
      <w:r w:rsidRPr="005B6084">
        <w:rPr>
          <w:i/>
        </w:rPr>
        <w:t>Before</w:t>
      </w:r>
      <w:proofErr w:type="gramEnd"/>
      <w:r w:rsidRPr="005B6084">
        <w:rPr>
          <w:i/>
        </w:rPr>
        <w:t xml:space="preserve"> International Tribunals</w:t>
      </w:r>
      <w:r w:rsidRPr="005B6084">
        <w:t xml:space="preserve"> (Kluwer, 1996) at 245.</w:t>
      </w:r>
    </w:p>
  </w:footnote>
  <w:footnote w:id="218">
    <w:p w14:paraId="79F78478" w14:textId="0A30FB95"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Whaling in the Antarctic, supra</w:t>
      </w:r>
      <w:r w:rsidRPr="005B6084">
        <w:t xml:space="preserve"> note </w:t>
      </w:r>
      <w:r w:rsidRPr="005B6084">
        <w:fldChar w:fldCharType="begin"/>
      </w:r>
      <w:r w:rsidRPr="005B6084">
        <w:instrText xml:space="preserve"> NOTEREF _Ref392252598 \h  \* MERGEFORMAT </w:instrText>
      </w:r>
      <w:r w:rsidRPr="005B6084">
        <w:fldChar w:fldCharType="separate"/>
      </w:r>
      <w:r w:rsidR="005B6084">
        <w:t>205</w:t>
      </w:r>
      <w:r w:rsidRPr="005B6084">
        <w:fldChar w:fldCharType="end"/>
      </w:r>
      <w:r w:rsidRPr="005B6084">
        <w:t xml:space="preserve">, Dissenting Opinion of Judge </w:t>
      </w:r>
      <w:proofErr w:type="spellStart"/>
      <w:r w:rsidRPr="005B6084">
        <w:t>Owada</w:t>
      </w:r>
      <w:proofErr w:type="spellEnd"/>
      <w:r w:rsidRPr="005B6084">
        <w:t>, para. 21.</w:t>
      </w:r>
    </w:p>
  </w:footnote>
  <w:footnote w:id="219">
    <w:p w14:paraId="0F0AEDEE" w14:textId="12390DD4" w:rsidR="007F624B" w:rsidRPr="005B6084" w:rsidRDefault="007F624B" w:rsidP="005B6084">
      <w:pPr>
        <w:pStyle w:val="Testonotaapidipagina"/>
        <w:jc w:val="both"/>
      </w:pPr>
      <w:r w:rsidRPr="005B6084">
        <w:rPr>
          <w:rStyle w:val="Rimandonotaapidipagina"/>
        </w:rPr>
        <w:footnoteRef/>
      </w:r>
      <w:r w:rsidRPr="005B6084">
        <w:t xml:space="preserve"> Riddell and Plant, </w:t>
      </w:r>
      <w:r w:rsidRPr="005B6084">
        <w:rPr>
          <w:i/>
        </w:rPr>
        <w:t>supra</w:t>
      </w:r>
      <w:r w:rsidRPr="005B6084">
        <w:t xml:space="preserve"> note 42, at 113. According to Judge Bustamante’s Separate Opinion in the </w:t>
      </w:r>
      <w:r w:rsidRPr="005B6084">
        <w:rPr>
          <w:i/>
        </w:rPr>
        <w:t xml:space="preserve">Barcelona Traction </w:t>
      </w:r>
      <w:r w:rsidRPr="005B6084">
        <w:t>case, it is ‘possible to arrive at a conclusion on the basis merely on inferences or deductions forming part of a logical process’ (</w:t>
      </w:r>
      <w:r w:rsidRPr="005B6084">
        <w:rPr>
          <w:i/>
        </w:rPr>
        <w:t xml:space="preserve">Barcelona Traction, Light and Power Company, Limited (Belgium v. Spain), </w:t>
      </w:r>
      <w:r w:rsidRPr="005B6084">
        <w:t>Preliminary Objections,</w:t>
      </w:r>
      <w:r w:rsidRPr="005B6084">
        <w:rPr>
          <w:i/>
        </w:rPr>
        <w:t xml:space="preserve"> </w:t>
      </w:r>
      <w:r w:rsidR="00C34B7F" w:rsidRPr="005B6084">
        <w:t>[1964]</w:t>
      </w:r>
      <w:r w:rsidRPr="005B6084">
        <w:t xml:space="preserve"> ICJ Rep</w:t>
      </w:r>
      <w:r w:rsidR="0020595D" w:rsidRPr="005B6084">
        <w:t>.</w:t>
      </w:r>
      <w:r w:rsidRPr="005B6084">
        <w:t>, Judge Bustamante’s Separate Opinion, at 84).</w:t>
      </w:r>
    </w:p>
  </w:footnote>
  <w:footnote w:id="220">
    <w:p w14:paraId="315682A0"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Corfu Channel, 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xml:space="preserve">, Dissenting Opinion of Judge </w:t>
      </w:r>
      <w:proofErr w:type="spellStart"/>
      <w:r w:rsidRPr="005B6084">
        <w:t>Badawi</w:t>
      </w:r>
      <w:proofErr w:type="spellEnd"/>
      <w:r w:rsidRPr="005B6084">
        <w:t xml:space="preserve"> Pasha, at 59</w:t>
      </w:r>
    </w:p>
  </w:footnote>
  <w:footnote w:id="221">
    <w:p w14:paraId="5EDE12AF" w14:textId="0F80DA66"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Assessment of International Legal Issues</w:t>
      </w:r>
      <w:r w:rsidRPr="005B6084">
        <w:t xml:space="preserve">, </w:t>
      </w:r>
      <w:r w:rsidRPr="005B6084">
        <w:rPr>
          <w:i/>
        </w:rPr>
        <w:t>supra</w:t>
      </w:r>
      <w:r w:rsidRPr="005B6084">
        <w:t xml:space="preserve"> note </w:t>
      </w:r>
      <w:r w:rsidRPr="005B6084">
        <w:fldChar w:fldCharType="begin"/>
      </w:r>
      <w:r w:rsidRPr="005B6084">
        <w:instrText xml:space="preserve"> NOTEREF _Ref389207798 \h  \* MERGEFORMAT </w:instrText>
      </w:r>
      <w:r w:rsidRPr="005B6084">
        <w:fldChar w:fldCharType="separate"/>
      </w:r>
      <w:r w:rsidR="005B6084">
        <w:t>188</w:t>
      </w:r>
      <w:r w:rsidRPr="005B6084">
        <w:fldChar w:fldCharType="end"/>
      </w:r>
      <w:r w:rsidRPr="005B6084">
        <w:t>, at 21. For a critique of the use of the sophistication criterion to establish attribution,</w:t>
      </w:r>
      <w:r w:rsidR="005B6084" w:rsidRPr="005B6084">
        <w:t xml:space="preserve"> see Clement </w:t>
      </w:r>
      <w:proofErr w:type="spellStart"/>
      <w:r w:rsidR="005B6084" w:rsidRPr="005B6084">
        <w:t>Guitton</w:t>
      </w:r>
      <w:proofErr w:type="spellEnd"/>
      <w:r w:rsidR="005B6084" w:rsidRPr="005B6084">
        <w:t xml:space="preserve"> and Elaine </w:t>
      </w:r>
      <w:proofErr w:type="spellStart"/>
      <w:r w:rsidRPr="005B6084">
        <w:t>Korzak</w:t>
      </w:r>
      <w:proofErr w:type="spellEnd"/>
      <w:r w:rsidRPr="005B6084">
        <w:t xml:space="preserve">, ‘The Sophistication Criterion for Attribution. Identifying the Perpetrators of Cyber-Attacks’, 158(4) </w:t>
      </w:r>
      <w:r w:rsidRPr="005B6084">
        <w:rPr>
          <w:i/>
        </w:rPr>
        <w:t xml:space="preserve">RUSI Journal </w:t>
      </w:r>
      <w:r w:rsidRPr="005B6084">
        <w:t>(2013), 62-68.</w:t>
      </w:r>
    </w:p>
  </w:footnote>
  <w:footnote w:id="222">
    <w:p w14:paraId="087FA642" w14:textId="77777777" w:rsidR="007F624B" w:rsidRPr="005B6084" w:rsidRDefault="007F624B" w:rsidP="005B6084">
      <w:pPr>
        <w:pStyle w:val="Testonotaapidipagina"/>
        <w:jc w:val="both"/>
      </w:pPr>
      <w:r w:rsidRPr="005B6084">
        <w:rPr>
          <w:rStyle w:val="Rimandonotaapidipagina"/>
        </w:rPr>
        <w:footnoteRef/>
      </w:r>
      <w:r w:rsidRPr="005B6084">
        <w:t xml:space="preserve"> UN Doc A/66/152, 15 July 2011, at 16–17. See the almost identical words in Government of India, Ministry of Communications and Information Technology, ‘Discussion draft on National Cyber Security Policy’ (draft v1.0, 2011), at 4, &lt;</w:t>
      </w:r>
      <w:hyperlink r:id="rId4" w:history="1">
        <w:r w:rsidRPr="005B6084">
          <w:t>http://deity.gov.in/sites/upload_files/dit/files/ncsp_060411.pdf</w:t>
        </w:r>
      </w:hyperlink>
      <w:r w:rsidRPr="005B6084">
        <w:t>&gt;.</w:t>
      </w:r>
    </w:p>
  </w:footnote>
  <w:footnote w:id="223">
    <w:p w14:paraId="2419EDEC"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Tallinn Manual</w:t>
      </w:r>
      <w:r w:rsidRPr="005B6084">
        <w:t xml:space="preserve">, </w:t>
      </w:r>
      <w:r w:rsidRPr="005B6084">
        <w:rPr>
          <w:i/>
        </w:rPr>
        <w:t>supra</w:t>
      </w:r>
      <w:r w:rsidRPr="005B6084">
        <w:t xml:space="preserve"> note </w:t>
      </w:r>
      <w:r w:rsidRPr="005B6084">
        <w:fldChar w:fldCharType="begin"/>
      </w:r>
      <w:r w:rsidRPr="005B6084">
        <w:instrText xml:space="preserve"> NOTEREF _Ref383511592 \h  \* MERGEFORMAT </w:instrText>
      </w:r>
      <w:r w:rsidRPr="005B6084">
        <w:fldChar w:fldCharType="separate"/>
      </w:r>
      <w:proofErr w:type="gramStart"/>
      <w:r w:rsidR="005B6084">
        <w:t>2</w:t>
      </w:r>
      <w:proofErr w:type="gramEnd"/>
      <w:r w:rsidRPr="005B6084">
        <w:fldChar w:fldCharType="end"/>
      </w:r>
      <w:r w:rsidRPr="005B6084">
        <w:t>, at 51-52.</w:t>
      </w:r>
    </w:p>
  </w:footnote>
  <w:footnote w:id="224">
    <w:p w14:paraId="11C93634"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Teitelbaum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_Ref389205025 \h  \* MERGEFORMAT </w:instrText>
      </w:r>
      <w:r w:rsidRPr="005B6084">
        <w:fldChar w:fldCharType="separate"/>
      </w:r>
      <w:r w:rsidR="005B6084">
        <w:t>54</w:t>
      </w:r>
      <w:r w:rsidRPr="005B6084">
        <w:fldChar w:fldCharType="end"/>
      </w:r>
      <w:r w:rsidRPr="005B6084">
        <w:t>, at 157.</w:t>
      </w:r>
    </w:p>
  </w:footnote>
  <w:footnote w:id="225">
    <w:p w14:paraId="6F311698" w14:textId="2F97BCEE" w:rsidR="007F624B" w:rsidRPr="005B6084" w:rsidRDefault="007F624B" w:rsidP="005B6084">
      <w:pPr>
        <w:pStyle w:val="Testonotaapidipagina"/>
        <w:jc w:val="both"/>
      </w:pPr>
      <w:r w:rsidRPr="005B6084">
        <w:rPr>
          <w:rStyle w:val="Rimandonotaapidipagina"/>
        </w:rPr>
        <w:footnoteRef/>
      </w:r>
      <w:r w:rsidRPr="005B6084">
        <w:t xml:space="preserve">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413.</w:t>
      </w:r>
    </w:p>
  </w:footnote>
  <w:footnote w:id="226">
    <w:p w14:paraId="3A495F2C" w14:textId="77777777" w:rsidR="007F624B" w:rsidRPr="005B6084" w:rsidRDefault="007F624B" w:rsidP="005B6084">
      <w:pPr>
        <w:pStyle w:val="Testonotaapidipagina"/>
        <w:jc w:val="both"/>
      </w:pPr>
      <w:r w:rsidRPr="005B6084">
        <w:rPr>
          <w:rStyle w:val="Rimandonotaapidipagina"/>
        </w:rPr>
        <w:footnoteRef/>
      </w:r>
      <w:r w:rsidRPr="005B6084">
        <w:t xml:space="preserve"> Waxman has highlighted the need to use ‘propensity inferences’, which are based on the past behaviour of a regime and its inclination to undertake certain actions (Waxman, </w:t>
      </w:r>
      <w:r w:rsidRPr="005B6084">
        <w:rPr>
          <w:i/>
        </w:rPr>
        <w:t>supra</w:t>
      </w:r>
      <w:r w:rsidRPr="005B6084">
        <w:t xml:space="preserve"> note </w:t>
      </w:r>
      <w:r w:rsidRPr="005B6084">
        <w:fldChar w:fldCharType="begin"/>
      </w:r>
      <w:r w:rsidRPr="005B6084">
        <w:instrText xml:space="preserve"> NOTEREF _Ref383697438 \h  \* MERGEFORMAT </w:instrText>
      </w:r>
      <w:r w:rsidRPr="005B6084">
        <w:fldChar w:fldCharType="separate"/>
      </w:r>
      <w:r w:rsidR="005B6084">
        <w:t>45</w:t>
      </w:r>
      <w:r w:rsidRPr="005B6084">
        <w:fldChar w:fldCharType="end"/>
      </w:r>
      <w:r w:rsidRPr="005B6084">
        <w:t>, at 66). He concludes that ‘there is no escaping some reliance on propensity inferences because of the limits of forensic evidence’ (</w:t>
      </w:r>
      <w:r w:rsidRPr="005B6084">
        <w:rPr>
          <w:i/>
        </w:rPr>
        <w:t>ibid</w:t>
      </w:r>
      <w:r w:rsidRPr="005B6084">
        <w:t>.). As the author himself points out, however, previous conduct can be misleading when the regime in question bluffs about its capabilities to intimidate or deter, as in the case of Saddam Hussein’s Iraq (</w:t>
      </w:r>
      <w:proofErr w:type="gramStart"/>
      <w:r w:rsidRPr="005B6084">
        <w:rPr>
          <w:i/>
        </w:rPr>
        <w:t>ibid</w:t>
      </w:r>
      <w:r w:rsidRPr="005B6084">
        <w:t>.,</w:t>
      </w:r>
      <w:proofErr w:type="gramEnd"/>
      <w:r w:rsidRPr="005B6084">
        <w:t xml:space="preserve"> at 68).</w:t>
      </w:r>
    </w:p>
  </w:footnote>
  <w:footnote w:id="227">
    <w:p w14:paraId="2BD4F9B2" w14:textId="77777777" w:rsidR="007F624B" w:rsidRPr="005B6084" w:rsidRDefault="007F624B" w:rsidP="005B6084">
      <w:pPr>
        <w:pStyle w:val="Testonotaapidipagina"/>
        <w:jc w:val="both"/>
      </w:pPr>
      <w:r w:rsidRPr="005B6084">
        <w:rPr>
          <w:rStyle w:val="Rimandonotaapidipagina"/>
        </w:rPr>
        <w:footnoteRef/>
      </w:r>
      <w:r w:rsidRPr="005B6084">
        <w:t xml:space="preserve"> Nicole </w:t>
      </w:r>
      <w:proofErr w:type="spellStart"/>
      <w:r w:rsidRPr="005B6084">
        <w:t>Perlroth</w:t>
      </w:r>
      <w:proofErr w:type="spellEnd"/>
      <w:r w:rsidRPr="005B6084">
        <w:t xml:space="preserve"> and David E Sanger, ‘New Computer Attacks Traced to Iran, Officials Say’, The New York Times, 24 May 2013, &lt;http://www.nytimes.com/2013/05/25/world/middleeast/new-computer-attacks-come-from-iran-officials-say.html?_r=0&gt;.</w:t>
      </w:r>
    </w:p>
  </w:footnote>
  <w:footnote w:id="228">
    <w:p w14:paraId="247BEBEC" w14:textId="6B37B121"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Assessment of International Legal Issues</w:t>
      </w:r>
      <w:r w:rsidRPr="005B6084">
        <w:t xml:space="preserve">, </w:t>
      </w:r>
      <w:r w:rsidRPr="005B6084">
        <w:rPr>
          <w:i/>
        </w:rPr>
        <w:t>supra</w:t>
      </w:r>
      <w:r w:rsidRPr="005B6084">
        <w:t xml:space="preserve"> note </w:t>
      </w:r>
      <w:r w:rsidRPr="005B6084">
        <w:fldChar w:fldCharType="begin"/>
      </w:r>
      <w:r w:rsidRPr="005B6084">
        <w:instrText xml:space="preserve"> NOTEREF _Ref389207798 \h  \* MERGEFORMAT </w:instrText>
      </w:r>
      <w:r w:rsidRPr="005B6084">
        <w:fldChar w:fldCharType="separate"/>
      </w:r>
      <w:r w:rsidR="005B6084">
        <w:t>188</w:t>
      </w:r>
      <w:r w:rsidRPr="005B6084">
        <w:fldChar w:fldCharType="end"/>
      </w:r>
      <w:r w:rsidRPr="005B6084">
        <w:t>, at 21.</w:t>
      </w:r>
    </w:p>
  </w:footnote>
  <w:footnote w:id="229">
    <w:p w14:paraId="4116706F" w14:textId="36F3C2D2"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lang w:val="en-US"/>
        </w:rPr>
        <w:t xml:space="preserve">Richard Garnett and Paul Clarke, ‘Cyberterrorism: A New Challenge for International Law’, in </w:t>
      </w:r>
      <w:r w:rsidRPr="005B6084">
        <w:rPr>
          <w:i/>
          <w:lang w:val="en-US"/>
        </w:rPr>
        <w:t xml:space="preserve">Enforcing International Law Norms </w:t>
      </w:r>
      <w:proofErr w:type="gramStart"/>
      <w:r w:rsidRPr="005B6084">
        <w:rPr>
          <w:i/>
          <w:lang w:val="en-US"/>
        </w:rPr>
        <w:t>Against</w:t>
      </w:r>
      <w:proofErr w:type="gramEnd"/>
      <w:r w:rsidRPr="005B6084">
        <w:rPr>
          <w:i/>
          <w:lang w:val="en-US"/>
        </w:rPr>
        <w:t xml:space="preserve"> Terrorism</w:t>
      </w:r>
      <w:r w:rsidRPr="005B6084">
        <w:rPr>
          <w:lang w:val="en-US"/>
        </w:rPr>
        <w:t>, edited by Andrea Bianchi (Oxf</w:t>
      </w:r>
      <w:r w:rsidR="00C34B7F" w:rsidRPr="005B6084">
        <w:rPr>
          <w:lang w:val="en-US"/>
        </w:rPr>
        <w:t>ord–Portland: Hart, 2004),</w:t>
      </w:r>
      <w:r w:rsidRPr="005B6084">
        <w:rPr>
          <w:lang w:val="en-US"/>
        </w:rPr>
        <w:t xml:space="preserve"> 479.</w:t>
      </w:r>
    </w:p>
  </w:footnote>
  <w:footnote w:id="230">
    <w:p w14:paraId="14E438E7" w14:textId="77777777" w:rsidR="007F624B" w:rsidRPr="005B6084" w:rsidRDefault="007F624B" w:rsidP="005B6084">
      <w:pPr>
        <w:pStyle w:val="Testonotaapidipagina"/>
        <w:jc w:val="both"/>
      </w:pPr>
      <w:r w:rsidRPr="005B6084">
        <w:rPr>
          <w:rStyle w:val="Rimandonotaapidipagina"/>
        </w:rPr>
        <w:footnoteRef/>
      </w:r>
      <w:r w:rsidRPr="005B6084">
        <w:t xml:space="preserve"> Owens, Dam, Lin, </w:t>
      </w:r>
      <w:r w:rsidRPr="005B6084">
        <w:rPr>
          <w:i/>
        </w:rPr>
        <w:t>supra</w:t>
      </w:r>
      <w:r w:rsidRPr="005B6084">
        <w:t xml:space="preserve"> note </w:t>
      </w:r>
      <w:r w:rsidRPr="005B6084">
        <w:fldChar w:fldCharType="begin"/>
      </w:r>
      <w:r w:rsidRPr="005B6084">
        <w:instrText xml:space="preserve"> NOTEREF _Ref383510798 \h  \* MERGEFORMAT </w:instrText>
      </w:r>
      <w:r w:rsidRPr="005B6084">
        <w:fldChar w:fldCharType="separate"/>
      </w:r>
      <w:proofErr w:type="gramStart"/>
      <w:r w:rsidR="005B6084">
        <w:t>7</w:t>
      </w:r>
      <w:proofErr w:type="gramEnd"/>
      <w:r w:rsidRPr="005B6084">
        <w:fldChar w:fldCharType="end"/>
      </w:r>
      <w:r w:rsidRPr="005B6084">
        <w:t xml:space="preserve">, at 173; </w:t>
      </w:r>
      <w:proofErr w:type="spellStart"/>
      <w:r w:rsidRPr="005B6084">
        <w:t>Tikk</w:t>
      </w:r>
      <w:proofErr w:type="spellEnd"/>
      <w:r w:rsidRPr="005B6084">
        <w:t xml:space="preserve">, </w:t>
      </w:r>
      <w:proofErr w:type="spellStart"/>
      <w:r w:rsidRPr="005B6084">
        <w:t>Kaska</w:t>
      </w:r>
      <w:proofErr w:type="spellEnd"/>
      <w:r w:rsidRPr="005B6084">
        <w:t xml:space="preserve">, and </w:t>
      </w:r>
      <w:proofErr w:type="spellStart"/>
      <w:r w:rsidRPr="005B6084">
        <w:t>Vihul</w:t>
      </w:r>
      <w:proofErr w:type="spellEnd"/>
      <w:r w:rsidRPr="005B6084">
        <w:t xml:space="preserve">, supra note </w:t>
      </w:r>
      <w:r w:rsidRPr="005B6084">
        <w:fldChar w:fldCharType="begin"/>
      </w:r>
      <w:r w:rsidRPr="005B6084">
        <w:instrText xml:space="preserve"> NOTEREF _Ref383685687 \h  \* MERGEFORMAT </w:instrText>
      </w:r>
      <w:r w:rsidRPr="005B6084">
        <w:fldChar w:fldCharType="separate"/>
      </w:r>
      <w:r w:rsidR="005B6084">
        <w:t>11</w:t>
      </w:r>
      <w:r w:rsidRPr="005B6084">
        <w:fldChar w:fldCharType="end"/>
      </w:r>
      <w:r w:rsidRPr="005B6084">
        <w:t>, at 75.</w:t>
      </w:r>
    </w:p>
  </w:footnote>
  <w:footnote w:id="231">
    <w:p w14:paraId="1267C2F3" w14:textId="52932171"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Mandiant</w:t>
      </w:r>
      <w:proofErr w:type="spellEnd"/>
      <w:r w:rsidRPr="005B6084">
        <w:t xml:space="preserve"> Report, </w:t>
      </w:r>
      <w:r w:rsidRPr="005B6084">
        <w:rPr>
          <w:i/>
        </w:rPr>
        <w:t>supra</w:t>
      </w:r>
      <w:r w:rsidRPr="005B6084">
        <w:t xml:space="preserve"> note </w:t>
      </w:r>
      <w:r w:rsidRPr="005B6084">
        <w:fldChar w:fldCharType="begin"/>
      </w:r>
      <w:r w:rsidRPr="005B6084">
        <w:instrText xml:space="preserve"> NOTEREF _Ref383685768 \h  \* MERGEFORMAT </w:instrText>
      </w:r>
      <w:r w:rsidRPr="005B6084">
        <w:fldChar w:fldCharType="separate"/>
      </w:r>
      <w:r w:rsidR="005B6084">
        <w:t>25</w:t>
      </w:r>
      <w:r w:rsidRPr="005B6084">
        <w:fldChar w:fldCharType="end"/>
      </w:r>
      <w:r w:rsidRPr="005B6084">
        <w:t xml:space="preserve">, at </w:t>
      </w:r>
      <w:proofErr w:type="gramStart"/>
      <w:r w:rsidRPr="005B6084">
        <w:t>4</w:t>
      </w:r>
      <w:proofErr w:type="gramEnd"/>
      <w:r w:rsidRPr="005B6084">
        <w:t>.</w:t>
      </w:r>
    </w:p>
  </w:footnote>
  <w:footnote w:id="232">
    <w:p w14:paraId="31AE8D44"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Corfu Channel</w:t>
      </w:r>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xml:space="preserve">, at 18. See </w:t>
      </w:r>
      <w:r w:rsidRPr="005B6084">
        <w:rPr>
          <w:i/>
        </w:rPr>
        <w:t>contra</w:t>
      </w:r>
      <w:r w:rsidRPr="005B6084">
        <w:t xml:space="preserve"> the Independent Opinion of Judge Alvarez, according to whom ‘every State is considered as having known, or as having a duty to have known, of prejudicial acts committed in parts of its territory where local authorities are installed’ (</w:t>
      </w:r>
      <w:r w:rsidRPr="005B6084">
        <w:rPr>
          <w:i/>
        </w:rPr>
        <w:t>ibid</w:t>
      </w:r>
      <w:r w:rsidRPr="005B6084">
        <w:t>., Independent Opinion of Judge Alvarez, at 44).</w:t>
      </w:r>
    </w:p>
  </w:footnote>
  <w:footnote w:id="233">
    <w:p w14:paraId="0BF718AD" w14:textId="1AD44934" w:rsidR="007F624B" w:rsidRPr="005B6084" w:rsidRDefault="007F624B" w:rsidP="005B6084">
      <w:pPr>
        <w:pStyle w:val="Testonotaapidipagina"/>
        <w:jc w:val="both"/>
        <w:rPr>
          <w:lang w:val="it-IT"/>
        </w:rPr>
      </w:pPr>
      <w:r w:rsidRPr="005B6084">
        <w:rPr>
          <w:rStyle w:val="Rimandonotaapidipagina"/>
        </w:rPr>
        <w:footnoteRef/>
      </w:r>
      <w:r w:rsidRPr="005B6084">
        <w:t xml:space="preserve"> </w:t>
      </w:r>
      <w:r w:rsidRPr="005B6084">
        <w:rPr>
          <w:i/>
        </w:rPr>
        <w:t>Corfu Channel</w:t>
      </w:r>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at 22.</w:t>
      </w:r>
    </w:p>
  </w:footnote>
  <w:footnote w:id="234">
    <w:p w14:paraId="106E2AE5"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Oil Platforms</w:t>
      </w:r>
      <w:r w:rsidRPr="005B6084">
        <w:t xml:space="preserve">, </w:t>
      </w:r>
      <w:r w:rsidRPr="005B6084">
        <w:rPr>
          <w:i/>
        </w:rPr>
        <w:t>supra</w:t>
      </w:r>
      <w:r w:rsidRPr="005B6084">
        <w:t xml:space="preserve"> note </w:t>
      </w:r>
      <w:r w:rsidRPr="005B6084">
        <w:fldChar w:fldCharType="begin"/>
      </w:r>
      <w:r w:rsidRPr="005B6084">
        <w:instrText xml:space="preserve"> NOTEREF _Ref383515473 \h  \* MERGEFORMAT </w:instrText>
      </w:r>
      <w:r w:rsidRPr="005B6084">
        <w:fldChar w:fldCharType="separate"/>
      </w:r>
      <w:r w:rsidR="005B6084">
        <w:t>58</w:t>
      </w:r>
      <w:r w:rsidRPr="005B6084">
        <w:fldChar w:fldCharType="end"/>
      </w:r>
      <w:r w:rsidRPr="005B6084">
        <w:t>, para. 61.</w:t>
      </w:r>
    </w:p>
  </w:footnote>
  <w:footnote w:id="235">
    <w:p w14:paraId="6D7047B7"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Tallinn Manual,</w:t>
      </w:r>
      <w:r w:rsidRPr="005B6084">
        <w:t xml:space="preserve"> </w:t>
      </w:r>
      <w:r w:rsidRPr="005B6084">
        <w:rPr>
          <w:i/>
        </w:rPr>
        <w:t>supra</w:t>
      </w:r>
      <w:r w:rsidRPr="005B6084">
        <w:t xml:space="preserve"> note </w:t>
      </w:r>
      <w:r w:rsidRPr="005B6084">
        <w:fldChar w:fldCharType="begin"/>
      </w:r>
      <w:r w:rsidRPr="005B6084">
        <w:instrText xml:space="preserve"> NOTEREF _Ref383511592 \h  \* MERGEFORMAT </w:instrText>
      </w:r>
      <w:r w:rsidRPr="005B6084">
        <w:fldChar w:fldCharType="separate"/>
      </w:r>
      <w:proofErr w:type="gramStart"/>
      <w:r w:rsidR="005B6084">
        <w:t>2</w:t>
      </w:r>
      <w:proofErr w:type="gramEnd"/>
      <w:r w:rsidRPr="005B6084">
        <w:fldChar w:fldCharType="end"/>
      </w:r>
      <w:r w:rsidRPr="005B6084">
        <w:t>, at 34–36.</w:t>
      </w:r>
    </w:p>
  </w:footnote>
  <w:footnote w:id="236">
    <w:p w14:paraId="077C1DFC"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Corfu Channel</w:t>
      </w:r>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at 18.</w:t>
      </w:r>
    </w:p>
  </w:footnote>
  <w:footnote w:id="237">
    <w:p w14:paraId="3F97129B"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Ibid.</w:t>
      </w:r>
      <w:r w:rsidRPr="005B6084">
        <w:t xml:space="preserve"> (emphasis added). </w:t>
      </w:r>
    </w:p>
  </w:footnote>
  <w:footnote w:id="238">
    <w:p w14:paraId="21B197C8" w14:textId="31DF1BBA"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Corfu Channel</w:t>
      </w:r>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xml:space="preserve">, at 18. This may for instance be the case when a large number of cyber operations originate from the </w:t>
      </w:r>
      <w:r w:rsidR="006E51C1" w:rsidRPr="005B6084">
        <w:t xml:space="preserve">governmental </w:t>
      </w:r>
      <w:r w:rsidRPr="005B6084">
        <w:t>cyber infrastructure of the same country.</w:t>
      </w:r>
    </w:p>
  </w:footnote>
  <w:footnote w:id="239">
    <w:p w14:paraId="35189478"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Corfu Channel</w:t>
      </w:r>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xml:space="preserve">, 22. </w:t>
      </w:r>
      <w:proofErr w:type="gramStart"/>
      <w:r w:rsidRPr="005B6084">
        <w:t xml:space="preserve">In the </w:t>
      </w:r>
      <w:r w:rsidRPr="005B6084">
        <w:rPr>
          <w:i/>
        </w:rPr>
        <w:t>United States Diplomatic and Consular Staff in Tehran Case</w:t>
      </w:r>
      <w:r w:rsidRPr="005B6084">
        <w:t>, the Court also found that ‘[</w:t>
      </w:r>
      <w:proofErr w:type="spellStart"/>
      <w:r w:rsidRPr="005B6084">
        <w:t>i</w:t>
      </w:r>
      <w:proofErr w:type="spellEnd"/>
      <w:r w:rsidRPr="005B6084">
        <w:t>]n the governing circumstances …, in which the United States is unable to gain access to its diplomatic and consular representatives in Iran, or to its Embassy and consular premises in Iran and to the files which they contain, the Court will appreciate that certain factual details, particularly those relating to the current condition of United States personnel in Tehran, are unavailable to the United States Government at this time’ (</w:t>
      </w:r>
      <w:r w:rsidRPr="005B6084">
        <w:rPr>
          <w:i/>
        </w:rPr>
        <w:t>United States Diplomatic and Consular Staff in Tehran, supra</w:t>
      </w:r>
      <w:r w:rsidRPr="005B6084">
        <w:t xml:space="preserve"> note </w:t>
      </w:r>
      <w:r w:rsidRPr="005B6084">
        <w:fldChar w:fldCharType="begin"/>
      </w:r>
      <w:r w:rsidRPr="005B6084">
        <w:instrText xml:space="preserve"> NOTEREF _Ref383686640 \h  \* MERGEFORMAT </w:instrText>
      </w:r>
      <w:r w:rsidRPr="005B6084">
        <w:fldChar w:fldCharType="separate"/>
      </w:r>
      <w:r w:rsidR="005B6084">
        <w:t>65</w:t>
      </w:r>
      <w:r w:rsidRPr="005B6084">
        <w:fldChar w:fldCharType="end"/>
      </w:r>
      <w:r w:rsidRPr="005B6084">
        <w:t>, at 125).</w:t>
      </w:r>
      <w:proofErr w:type="gramEnd"/>
    </w:p>
  </w:footnote>
  <w:footnote w:id="240">
    <w:p w14:paraId="0B049E02"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Corfu Channel</w:t>
      </w:r>
      <w:r w:rsidRPr="005B6084">
        <w:t xml:space="preserve">, </w:t>
      </w:r>
      <w:r w:rsidRPr="005B6084">
        <w:rPr>
          <w:i/>
        </w:rPr>
        <w:t>supra</w:t>
      </w:r>
      <w:r w:rsidRPr="005B6084">
        <w:t xml:space="preserve"> note </w:t>
      </w:r>
      <w:r w:rsidRPr="005B6084">
        <w:fldChar w:fldCharType="begin"/>
      </w:r>
      <w:r w:rsidRPr="005B6084">
        <w:instrText xml:space="preserve"> NOTEREF _Ref383686385 \h  \* MERGEFORMAT </w:instrText>
      </w:r>
      <w:r w:rsidRPr="005B6084">
        <w:fldChar w:fldCharType="separate"/>
      </w:r>
      <w:r w:rsidR="005B6084">
        <w:t>70</w:t>
      </w:r>
      <w:r w:rsidRPr="005B6084">
        <w:fldChar w:fldCharType="end"/>
      </w:r>
      <w:r w:rsidRPr="005B6084">
        <w:t>, at 18. Emphasis in the original.</w:t>
      </w:r>
    </w:p>
  </w:footnote>
  <w:footnote w:id="241">
    <w:p w14:paraId="4B2E611B" w14:textId="7176DFF6" w:rsidR="007F624B" w:rsidRPr="005B6084" w:rsidRDefault="007F624B" w:rsidP="005B6084">
      <w:pPr>
        <w:pStyle w:val="Testonotaapidipagina"/>
        <w:jc w:val="both"/>
      </w:pPr>
      <w:r w:rsidRPr="005B6084">
        <w:rPr>
          <w:rStyle w:val="Rimandonotaapidipagina"/>
        </w:rPr>
        <w:footnoteRef/>
      </w:r>
      <w:r w:rsidRPr="005B6084">
        <w:rPr>
          <w:lang w:val="it-IT"/>
        </w:rPr>
        <w:t xml:space="preserve"> </w:t>
      </w:r>
      <w:proofErr w:type="spellStart"/>
      <w:r w:rsidRPr="005B6084">
        <w:rPr>
          <w:i/>
          <w:lang w:val="it-IT"/>
        </w:rPr>
        <w:t>Bosnian</w:t>
      </w:r>
      <w:proofErr w:type="spellEnd"/>
      <w:r w:rsidRPr="005B6084">
        <w:rPr>
          <w:i/>
          <w:lang w:val="it-IT"/>
        </w:rPr>
        <w:t xml:space="preserve"> Genocide</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fldChar w:fldCharType="begin"/>
      </w:r>
      <w:r w:rsidRPr="005B6084">
        <w:rPr>
          <w:lang w:val="it-IT"/>
        </w:rPr>
        <w:instrText xml:space="preserve"> NOTEREF _Ref383683542 \h  \* MERGEFORMAT </w:instrText>
      </w:r>
      <w:r w:rsidRPr="005B6084">
        <w:fldChar w:fldCharType="separate"/>
      </w:r>
      <w:r w:rsidR="005B6084">
        <w:rPr>
          <w:lang w:val="it-IT"/>
        </w:rPr>
        <w:t>129</w:t>
      </w:r>
      <w:r w:rsidRPr="005B6084">
        <w:fldChar w:fldCharType="end"/>
      </w:r>
      <w:r w:rsidRPr="005B6084">
        <w:rPr>
          <w:lang w:val="it-IT"/>
        </w:rPr>
        <w:t xml:space="preserve">, para. </w:t>
      </w:r>
      <w:r w:rsidRPr="005B6084">
        <w:t>373.</w:t>
      </w:r>
    </w:p>
  </w:footnote>
  <w:footnote w:id="242">
    <w:p w14:paraId="4D50335B" w14:textId="2F32239D"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i/>
        </w:rPr>
        <w:t xml:space="preserve">Case Concerning the Temple of </w:t>
      </w:r>
      <w:proofErr w:type="spellStart"/>
      <w:r w:rsidRPr="005B6084">
        <w:rPr>
          <w:i/>
        </w:rPr>
        <w:t>Preah</w:t>
      </w:r>
      <w:proofErr w:type="spellEnd"/>
      <w:r w:rsidRPr="005B6084">
        <w:rPr>
          <w:i/>
        </w:rPr>
        <w:t xml:space="preserve"> </w:t>
      </w:r>
      <w:proofErr w:type="spellStart"/>
      <w:r w:rsidRPr="005B6084">
        <w:rPr>
          <w:i/>
        </w:rPr>
        <w:t>Vihear</w:t>
      </w:r>
      <w:proofErr w:type="spellEnd"/>
      <w:r w:rsidRPr="005B6084">
        <w:rPr>
          <w:i/>
        </w:rPr>
        <w:t xml:space="preserve"> (Cambodia v. Thailand)</w:t>
      </w:r>
      <w:r w:rsidRPr="005B6084">
        <w:t xml:space="preserve">, Merits, [1962] ICJ Rep., </w:t>
      </w:r>
      <w:r w:rsidR="006E51C1" w:rsidRPr="005B6084">
        <w:t xml:space="preserve">Dissenting Opinion of Sir Percy Spender, </w:t>
      </w:r>
      <w:r w:rsidRPr="005B6084">
        <w:t>at 109.</w:t>
      </w:r>
    </w:p>
  </w:footnote>
  <w:footnote w:id="243">
    <w:p w14:paraId="18CF0F24"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Teitelbaum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_Ref389205025 \h  \* MERGEFORMAT </w:instrText>
      </w:r>
      <w:r w:rsidRPr="005B6084">
        <w:fldChar w:fldCharType="separate"/>
      </w:r>
      <w:r w:rsidR="005B6084">
        <w:t>54</w:t>
      </w:r>
      <w:r w:rsidRPr="005B6084">
        <w:fldChar w:fldCharType="end"/>
      </w:r>
      <w:r w:rsidRPr="005B6084">
        <w:t>, at 136.</w:t>
      </w:r>
    </w:p>
  </w:footnote>
  <w:footnote w:id="244">
    <w:p w14:paraId="5A848CD4" w14:textId="77777777" w:rsidR="007F624B" w:rsidRPr="005B6084" w:rsidRDefault="007F624B" w:rsidP="005B6084">
      <w:pPr>
        <w:pStyle w:val="Testonotaapidipagina"/>
        <w:jc w:val="both"/>
        <w:rPr>
          <w:lang w:val="en-US"/>
        </w:rPr>
      </w:pPr>
      <w:r w:rsidRPr="005B6084">
        <w:rPr>
          <w:rStyle w:val="Rimandonotaapidipagina"/>
        </w:rPr>
        <w:footnoteRef/>
      </w:r>
      <w:r w:rsidRPr="005B6084">
        <w:t xml:space="preserve"> </w:t>
      </w:r>
      <w:r w:rsidRPr="005B6084">
        <w:rPr>
          <w:lang w:val="en-US"/>
        </w:rPr>
        <w:t xml:space="preserve">See </w:t>
      </w:r>
      <w:proofErr w:type="gramStart"/>
      <w:r w:rsidRPr="005B6084">
        <w:rPr>
          <w:lang w:val="en-US"/>
        </w:rPr>
        <w:t>Roscini,</w:t>
      </w:r>
      <w:proofErr w:type="gramEnd"/>
      <w:r w:rsidRPr="005B6084">
        <w:rPr>
          <w:lang w:val="en-US"/>
        </w:rPr>
        <w:t xml:space="preserve"> </w:t>
      </w:r>
      <w:r w:rsidRPr="005B6084">
        <w:rPr>
          <w:i/>
          <w:lang w:val="en-US"/>
        </w:rPr>
        <w:t>supra</w:t>
      </w:r>
      <w:r w:rsidRPr="005B6084">
        <w:rPr>
          <w:lang w:val="en-US"/>
        </w:rPr>
        <w:t xml:space="preserve"> note </w:t>
      </w:r>
      <w:r w:rsidRPr="005B6084">
        <w:rPr>
          <w:lang w:val="it-IT"/>
        </w:rPr>
        <w:fldChar w:fldCharType="begin"/>
      </w:r>
      <w:r w:rsidRPr="005B6084">
        <w:rPr>
          <w:lang w:val="en-US"/>
        </w:rPr>
        <w:instrText xml:space="preserve"> NOTEREF _Ref383511592 \h </w:instrText>
      </w:r>
      <w:r w:rsidRPr="005B6084">
        <w:rPr>
          <w:lang w:val="it-IT"/>
        </w:rPr>
        <w:instrText xml:space="preserve"> \* MERGEFORMAT </w:instrText>
      </w:r>
      <w:r w:rsidRPr="005B6084">
        <w:rPr>
          <w:lang w:val="it-IT"/>
        </w:rPr>
      </w:r>
      <w:r w:rsidRPr="005B6084">
        <w:rPr>
          <w:lang w:val="it-IT"/>
        </w:rPr>
        <w:fldChar w:fldCharType="separate"/>
      </w:r>
      <w:r w:rsidR="005B6084">
        <w:rPr>
          <w:lang w:val="en-US"/>
        </w:rPr>
        <w:t>2</w:t>
      </w:r>
      <w:r w:rsidRPr="005B6084">
        <w:rPr>
          <w:lang w:val="it-IT"/>
        </w:rPr>
        <w:fldChar w:fldCharType="end"/>
      </w:r>
      <w:r w:rsidRPr="005B6084">
        <w:rPr>
          <w:lang w:val="en-US"/>
        </w:rPr>
        <w:t>, 23-24.</w:t>
      </w:r>
    </w:p>
  </w:footnote>
  <w:footnote w:id="245">
    <w:p w14:paraId="2A1B7610"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Tallinn Manual</w:t>
      </w:r>
      <w:r w:rsidRPr="005B6084">
        <w:t xml:space="preserve">, </w:t>
      </w:r>
      <w:r w:rsidRPr="005B6084">
        <w:rPr>
          <w:i/>
        </w:rPr>
        <w:t>supra</w:t>
      </w:r>
      <w:r w:rsidRPr="005B6084">
        <w:t xml:space="preserve"> note </w:t>
      </w:r>
      <w:r w:rsidRPr="005B6084">
        <w:fldChar w:fldCharType="begin"/>
      </w:r>
      <w:r w:rsidRPr="005B6084">
        <w:instrText xml:space="preserve"> NOTEREF _Ref383511592 \h  \* MERGEFORMAT </w:instrText>
      </w:r>
      <w:r w:rsidRPr="005B6084">
        <w:fldChar w:fldCharType="separate"/>
      </w:r>
      <w:r w:rsidR="005B6084">
        <w:t>2</w:t>
      </w:r>
      <w:r w:rsidRPr="005B6084">
        <w:fldChar w:fldCharType="end"/>
      </w:r>
      <w:r w:rsidRPr="005B6084">
        <w:t>, 15.</w:t>
      </w:r>
    </w:p>
  </w:footnote>
  <w:footnote w:id="246">
    <w:p w14:paraId="7A8CFD81" w14:textId="787AE07E"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Bosnian Genocide</w:t>
      </w:r>
      <w:r w:rsidRPr="005B6084">
        <w:t xml:space="preserve">, </w:t>
      </w:r>
      <w:r w:rsidRPr="005B6084">
        <w:rPr>
          <w:i/>
          <w:lang w:val="en-US"/>
        </w:rPr>
        <w:t>supra</w:t>
      </w:r>
      <w:r w:rsidRPr="005B6084">
        <w:rPr>
          <w:lang w:val="en-US"/>
        </w:rPr>
        <w:t xml:space="preserve"> note</w:t>
      </w:r>
      <w:r w:rsidRPr="005B6084">
        <w:t xml:space="preserve"> </w:t>
      </w:r>
      <w:r w:rsidRPr="005B6084">
        <w:fldChar w:fldCharType="begin"/>
      </w:r>
      <w:r w:rsidRPr="005B6084">
        <w:instrText xml:space="preserve"> NOTEREF _Ref383683542 \h  \* MERGEFORMAT </w:instrText>
      </w:r>
      <w:r w:rsidRPr="005B6084">
        <w:fldChar w:fldCharType="separate"/>
      </w:r>
      <w:r w:rsidR="005B6084">
        <w:t>129</w:t>
      </w:r>
      <w:r w:rsidRPr="005B6084">
        <w:fldChar w:fldCharType="end"/>
      </w:r>
      <w:r w:rsidRPr="005B6084">
        <w:rPr>
          <w:lang w:val="en-US"/>
        </w:rPr>
        <w:t xml:space="preserve">, </w:t>
      </w:r>
      <w:r w:rsidRPr="005B6084">
        <w:t>Reply of Bosnia and Herzegovina, 23 April 1998, at 839, &lt;http://www.icj-cij.org/docket/files/91/10505.pdf&gt;.</w:t>
      </w:r>
    </w:p>
  </w:footnote>
  <w:footnote w:id="247">
    <w:p w14:paraId="0DE638D3" w14:textId="1D0332FE"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Teitelbaum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_Ref389205025 \h  \* MERGEFORMAT </w:instrText>
      </w:r>
      <w:r w:rsidRPr="005B6084">
        <w:fldChar w:fldCharType="separate"/>
      </w:r>
      <w:r w:rsidR="005B6084">
        <w:t>54</w:t>
      </w:r>
      <w:r w:rsidRPr="005B6084">
        <w:fldChar w:fldCharType="end"/>
      </w:r>
      <w:r w:rsidRPr="005B6084">
        <w:t xml:space="preserve">, at 138-39. For critical comments on the ICJ’s reliance on ICTY evidence, see </w:t>
      </w:r>
      <w:proofErr w:type="gramStart"/>
      <w:r w:rsidRPr="005B6084">
        <w:t>Joyce,</w:t>
      </w:r>
      <w:proofErr w:type="gramEnd"/>
      <w:r w:rsidRPr="005B6084">
        <w:t xml:space="preserve"> </w:t>
      </w:r>
      <w:r w:rsidRPr="005B6084">
        <w:rPr>
          <w:i/>
        </w:rPr>
        <w:t>supra</w:t>
      </w:r>
      <w:r w:rsidRPr="005B6084">
        <w:t xml:space="preserve"> note </w:t>
      </w:r>
      <w:r w:rsidRPr="005B6084">
        <w:fldChar w:fldCharType="begin"/>
      </w:r>
      <w:r w:rsidRPr="005B6084">
        <w:instrText xml:space="preserve"> NOTEREF _Ref389224238 \h  \* MERGEFORMAT </w:instrText>
      </w:r>
      <w:r w:rsidRPr="005B6084">
        <w:fldChar w:fldCharType="separate"/>
      </w:r>
      <w:r w:rsidR="005B6084">
        <w:t>201</w:t>
      </w:r>
      <w:r w:rsidRPr="005B6084">
        <w:fldChar w:fldCharType="end"/>
      </w:r>
      <w:r w:rsidRPr="005B6084">
        <w:t>, 298-305.</w:t>
      </w:r>
    </w:p>
  </w:footnote>
  <w:footnote w:id="248">
    <w:p w14:paraId="541EACF9" w14:textId="77777777" w:rsidR="007F624B" w:rsidRPr="005B6084" w:rsidRDefault="007F624B" w:rsidP="005B6084">
      <w:pPr>
        <w:pStyle w:val="Testonotaapidipagina"/>
        <w:jc w:val="both"/>
      </w:pPr>
      <w:r w:rsidRPr="005B6084">
        <w:rPr>
          <w:rStyle w:val="Rimandonotaapidipagina"/>
        </w:rPr>
        <w:footnoteRef/>
      </w:r>
      <w:r w:rsidRPr="005B6084">
        <w:t xml:space="preserve"> Text at &lt;http://www.oas.org/en/iachr/mandate/Basics/rulesiachr.asp&gt;.</w:t>
      </w:r>
    </w:p>
  </w:footnote>
  <w:footnote w:id="249">
    <w:p w14:paraId="37DEC0BF" w14:textId="1EC7FF6F" w:rsidR="007F624B" w:rsidRPr="005B6084" w:rsidRDefault="007F624B" w:rsidP="005B6084">
      <w:pPr>
        <w:pStyle w:val="Testonotaapidipagina"/>
        <w:jc w:val="both"/>
      </w:pPr>
      <w:r w:rsidRPr="005B6084">
        <w:rPr>
          <w:rStyle w:val="Rimandonotaapidipagina"/>
        </w:rPr>
        <w:footnoteRef/>
      </w:r>
      <w:r w:rsidRPr="005B6084">
        <w:t xml:space="preserve"> Riddell and Plant, </w:t>
      </w:r>
      <w:r w:rsidRPr="005B6084">
        <w:rPr>
          <w:i/>
        </w:rPr>
        <w:t>supra</w:t>
      </w:r>
      <w:r w:rsidRPr="005B6084">
        <w:t xml:space="preserve"> note </w:t>
      </w:r>
      <w:r w:rsidRPr="005B6084">
        <w:fldChar w:fldCharType="begin"/>
      </w:r>
      <w:r w:rsidRPr="005B6084">
        <w:instrText xml:space="preserve"> NOTEREF _Ref389211532 \h  \* MERGEFORMAT </w:instrText>
      </w:r>
      <w:r w:rsidRPr="005B6084">
        <w:fldChar w:fldCharType="separate"/>
      </w:r>
      <w:r w:rsidR="005B6084">
        <w:t>43</w:t>
      </w:r>
      <w:r w:rsidRPr="005B6084">
        <w:fldChar w:fldCharType="end"/>
      </w:r>
      <w:r w:rsidRPr="005B6084">
        <w:t>, at 205.</w:t>
      </w:r>
    </w:p>
  </w:footnote>
  <w:footnote w:id="250">
    <w:p w14:paraId="05515FBF" w14:textId="77777777" w:rsidR="007F624B" w:rsidRPr="005B6084" w:rsidRDefault="007F624B" w:rsidP="005B6084">
      <w:pPr>
        <w:pStyle w:val="Testonotaapidipagina"/>
        <w:jc w:val="both"/>
      </w:pPr>
      <w:r w:rsidRPr="005B6084">
        <w:rPr>
          <w:rStyle w:val="Rimandonotaapidipagina"/>
        </w:rPr>
        <w:footnoteRef/>
      </w:r>
      <w:r w:rsidRPr="005B6084">
        <w:t xml:space="preserve"> Keith </w:t>
      </w:r>
      <w:proofErr w:type="spellStart"/>
      <w:r w:rsidRPr="005B6084">
        <w:t>Highet</w:t>
      </w:r>
      <w:proofErr w:type="spellEnd"/>
      <w:r w:rsidRPr="005B6084">
        <w:t xml:space="preserve">, ‘Evidence, the Court, and the Nicaragua Case’, </w:t>
      </w:r>
      <w:r w:rsidRPr="005B6084">
        <w:rPr>
          <w:i/>
        </w:rPr>
        <w:t>AJIL</w:t>
      </w:r>
      <w:r w:rsidRPr="005B6084">
        <w:t xml:space="preserve"> 81 (1987), </w:t>
      </w:r>
      <w:proofErr w:type="gramStart"/>
      <w:r w:rsidRPr="005B6084">
        <w:t>1</w:t>
      </w:r>
      <w:proofErr w:type="gramEnd"/>
      <w:r w:rsidRPr="005B6084">
        <w:t>, at 13.</w:t>
      </w:r>
    </w:p>
  </w:footnote>
  <w:footnote w:id="251">
    <w:p w14:paraId="1DD2CF1F" w14:textId="011281CC" w:rsidR="007F624B" w:rsidRPr="005B6084" w:rsidRDefault="007F624B" w:rsidP="005B6084">
      <w:pPr>
        <w:pStyle w:val="Testonotaapidipagina"/>
        <w:jc w:val="both"/>
      </w:pPr>
      <w:r w:rsidRPr="005B6084">
        <w:rPr>
          <w:rStyle w:val="Rimandonotaapidipagina"/>
        </w:rPr>
        <w:footnoteRef/>
      </w:r>
      <w:r w:rsidRPr="005B6084">
        <w:t xml:space="preserve"> See Art. </w:t>
      </w:r>
      <w:proofErr w:type="gramStart"/>
      <w:r w:rsidRPr="005B6084">
        <w:t>52</w:t>
      </w:r>
      <w:proofErr w:type="gramEnd"/>
      <w:r w:rsidRPr="005B6084">
        <w:t xml:space="preserve"> of the ICJ Statute. L</w:t>
      </w:r>
      <w:r w:rsidR="0020595D" w:rsidRPr="005B6084">
        <w:t xml:space="preserve">ate evidence may be admissible </w:t>
      </w:r>
      <w:r w:rsidRPr="005B6084">
        <w:t xml:space="preserve">if the other litigant consents to it or if the Court does not reject it (Christian J Tams, ‘Article 52’, in Zimmermann, </w:t>
      </w:r>
      <w:proofErr w:type="spellStart"/>
      <w:r w:rsidRPr="005B6084">
        <w:t>Oellers-Frahm</w:t>
      </w:r>
      <w:proofErr w:type="spellEnd"/>
      <w:r w:rsidRPr="005B6084">
        <w:t xml:space="preserve">, </w:t>
      </w:r>
      <w:proofErr w:type="spellStart"/>
      <w:r w:rsidRPr="005B6084">
        <w:t>Tomuschat</w:t>
      </w:r>
      <w:proofErr w:type="spellEnd"/>
      <w:r w:rsidRPr="005B6084">
        <w:t xml:space="preserve"> and Tams, </w:t>
      </w:r>
      <w:r w:rsidRPr="005B6084">
        <w:rPr>
          <w:i/>
        </w:rPr>
        <w:t>The Statute</w:t>
      </w:r>
      <w:r w:rsidRPr="005B6084">
        <w:t xml:space="preserve">, </w:t>
      </w:r>
      <w:r w:rsidRPr="005B6084">
        <w:rPr>
          <w:i/>
        </w:rPr>
        <w:t>supra</w:t>
      </w:r>
      <w:r w:rsidRPr="005B6084">
        <w:t xml:space="preserve"> note </w:t>
      </w:r>
      <w:r w:rsidRPr="005B6084">
        <w:fldChar w:fldCharType="begin"/>
      </w:r>
      <w:r w:rsidRPr="005B6084">
        <w:instrText xml:space="preserve"> NOTEREF _Ref389656491 \h  \* MERGEFORMAT </w:instrText>
      </w:r>
      <w:r w:rsidRPr="005B6084">
        <w:fldChar w:fldCharType="separate"/>
      </w:r>
      <w:r w:rsidR="005B6084">
        <w:t>44</w:t>
      </w:r>
      <w:r w:rsidRPr="005B6084">
        <w:fldChar w:fldCharType="end"/>
      </w:r>
      <w:r w:rsidRPr="005B6084">
        <w:t>, 1312, at 1316).</w:t>
      </w:r>
    </w:p>
  </w:footnote>
  <w:footnote w:id="252">
    <w:p w14:paraId="3B609C99" w14:textId="3658AAFA"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 xml:space="preserve">Factory at </w:t>
      </w:r>
      <w:proofErr w:type="spellStart"/>
      <w:r w:rsidRPr="005B6084">
        <w:rPr>
          <w:i/>
        </w:rPr>
        <w:t>Chorzów</w:t>
      </w:r>
      <w:proofErr w:type="spellEnd"/>
      <w:r w:rsidRPr="005B6084">
        <w:t xml:space="preserve"> (Jurisdiction) [1927] P.C.I.J. (Ser. A, No. 09), at 19. The ICJ referred to this limit in </w:t>
      </w:r>
      <w:r w:rsidRPr="005B6084">
        <w:rPr>
          <w:i/>
        </w:rPr>
        <w:t>Frontier Dispute (Burkina Faso/Republic of Mali)</w:t>
      </w:r>
      <w:r w:rsidRPr="005B6084">
        <w:t xml:space="preserve"> [1986] ICJ Rep</w:t>
      </w:r>
      <w:r w:rsidR="0020595D" w:rsidRPr="005B6084">
        <w:t>.</w:t>
      </w:r>
      <w:r w:rsidRPr="005B6084">
        <w:t xml:space="preserve">, para. 147, and </w:t>
      </w:r>
      <w:r w:rsidRPr="005B6084">
        <w:rPr>
          <w:i/>
        </w:rPr>
        <w:t xml:space="preserve">Maritime Delimitation and Territorial Questions between Qatar and Bahrain (Qatar v. Bahrain), </w:t>
      </w:r>
      <w:r w:rsidRPr="005B6084">
        <w:t>Jurisdiction, [1994] ICJ Rep</w:t>
      </w:r>
      <w:r w:rsidR="0020595D" w:rsidRPr="005B6084">
        <w:t>.</w:t>
      </w:r>
      <w:r w:rsidRPr="005B6084">
        <w:t>, para. 40.</w:t>
      </w:r>
    </w:p>
  </w:footnote>
  <w:footnote w:id="253">
    <w:p w14:paraId="0464663D"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Benzing</w:t>
      </w:r>
      <w:proofErr w:type="spellEnd"/>
      <w:r w:rsidRPr="005B6084">
        <w:t xml:space="preserve">, </w:t>
      </w:r>
      <w:r w:rsidRPr="005B6084">
        <w:rPr>
          <w:i/>
          <w:lang w:val="en-US"/>
        </w:rPr>
        <w:t>supra</w:t>
      </w:r>
      <w:r w:rsidRPr="005B6084">
        <w:rPr>
          <w:lang w:val="en-US"/>
        </w:rPr>
        <w:t xml:space="preserve"> note</w:t>
      </w:r>
      <w:r w:rsidRPr="005B6084">
        <w:t xml:space="preserve"> </w:t>
      </w:r>
      <w:r w:rsidRPr="005B6084">
        <w:fldChar w:fldCharType="begin"/>
      </w:r>
      <w:r w:rsidRPr="005B6084">
        <w:instrText xml:space="preserve"> NOTEREF _Ref389656491 \h  \* MERGEFORMAT </w:instrText>
      </w:r>
      <w:r w:rsidRPr="005B6084">
        <w:fldChar w:fldCharType="separate"/>
      </w:r>
      <w:r w:rsidR="005B6084">
        <w:t>44</w:t>
      </w:r>
      <w:r w:rsidRPr="005B6084">
        <w:fldChar w:fldCharType="end"/>
      </w:r>
      <w:r w:rsidRPr="005B6084">
        <w:rPr>
          <w:lang w:val="en-US"/>
        </w:rPr>
        <w:t xml:space="preserve">, </w:t>
      </w:r>
      <w:r w:rsidRPr="005B6084">
        <w:t>at 1242.</w:t>
      </w:r>
    </w:p>
  </w:footnote>
  <w:footnote w:id="254">
    <w:p w14:paraId="1AB2DEAC" w14:textId="77777777" w:rsidR="007F624B" w:rsidRPr="005B6084" w:rsidRDefault="007F624B" w:rsidP="005B6084">
      <w:pPr>
        <w:pStyle w:val="FN"/>
        <w:spacing w:line="240" w:lineRule="auto"/>
        <w:jc w:val="both"/>
        <w:rPr>
          <w:sz w:val="20"/>
          <w:szCs w:val="20"/>
        </w:rPr>
      </w:pPr>
      <w:r w:rsidRPr="005B6084">
        <w:rPr>
          <w:sz w:val="20"/>
          <w:szCs w:val="20"/>
          <w:vertAlign w:val="superscript"/>
          <w:lang w:val="en-GB"/>
        </w:rPr>
        <w:footnoteRef/>
      </w:r>
      <w:r w:rsidRPr="005B6084">
        <w:rPr>
          <w:sz w:val="20"/>
          <w:szCs w:val="20"/>
          <w:lang w:val="en-GB"/>
        </w:rPr>
        <w:t xml:space="preserve"> Nicholas </w:t>
      </w:r>
      <w:proofErr w:type="spellStart"/>
      <w:r w:rsidRPr="005B6084">
        <w:rPr>
          <w:sz w:val="20"/>
          <w:szCs w:val="20"/>
          <w:lang w:val="en-GB"/>
        </w:rPr>
        <w:t>Tsagourias</w:t>
      </w:r>
      <w:proofErr w:type="spellEnd"/>
      <w:r w:rsidRPr="005B6084">
        <w:rPr>
          <w:sz w:val="20"/>
          <w:szCs w:val="20"/>
          <w:lang w:val="en-GB"/>
        </w:rPr>
        <w:t xml:space="preserve">, ‘Cyber Attacks, Self-Defence and the Problem of Attribution’, </w:t>
      </w:r>
      <w:r w:rsidRPr="005B6084">
        <w:rPr>
          <w:i/>
          <w:sz w:val="20"/>
          <w:szCs w:val="20"/>
          <w:lang w:val="en-GB"/>
        </w:rPr>
        <w:t>Journal of Conflict and Security Law</w:t>
      </w:r>
      <w:r w:rsidRPr="005B6084">
        <w:rPr>
          <w:sz w:val="20"/>
          <w:szCs w:val="20"/>
          <w:lang w:val="en-GB"/>
        </w:rPr>
        <w:t xml:space="preserve"> 17 (2012), at 234; </w:t>
      </w:r>
      <w:r w:rsidRPr="005B6084">
        <w:rPr>
          <w:sz w:val="20"/>
          <w:szCs w:val="20"/>
        </w:rPr>
        <w:t xml:space="preserve">Owens, Dam, Lin, </w:t>
      </w:r>
      <w:r w:rsidRPr="005B6084">
        <w:rPr>
          <w:i/>
          <w:sz w:val="20"/>
          <w:szCs w:val="20"/>
        </w:rPr>
        <w:t>supra</w:t>
      </w:r>
      <w:r w:rsidRPr="005B6084">
        <w:rPr>
          <w:sz w:val="20"/>
          <w:szCs w:val="20"/>
        </w:rPr>
        <w:t xml:space="preserve"> note </w:t>
      </w:r>
      <w:r w:rsidRPr="005B6084">
        <w:rPr>
          <w:sz w:val="20"/>
          <w:szCs w:val="20"/>
        </w:rPr>
        <w:fldChar w:fldCharType="begin"/>
      </w:r>
      <w:r w:rsidRPr="005B6084">
        <w:rPr>
          <w:sz w:val="20"/>
          <w:szCs w:val="20"/>
        </w:rPr>
        <w:instrText xml:space="preserve"> NOTEREF _Ref383510798 \h  \* MERGEFORMAT </w:instrText>
      </w:r>
      <w:r w:rsidRPr="005B6084">
        <w:rPr>
          <w:sz w:val="20"/>
          <w:szCs w:val="20"/>
        </w:rPr>
      </w:r>
      <w:r w:rsidRPr="005B6084">
        <w:rPr>
          <w:sz w:val="20"/>
          <w:szCs w:val="20"/>
        </w:rPr>
        <w:fldChar w:fldCharType="separate"/>
      </w:r>
      <w:proofErr w:type="gramStart"/>
      <w:r w:rsidR="005B6084">
        <w:rPr>
          <w:sz w:val="20"/>
          <w:szCs w:val="20"/>
        </w:rPr>
        <w:t>7</w:t>
      </w:r>
      <w:proofErr w:type="gramEnd"/>
      <w:r w:rsidRPr="005B6084">
        <w:rPr>
          <w:sz w:val="20"/>
          <w:szCs w:val="20"/>
        </w:rPr>
        <w:fldChar w:fldCharType="end"/>
      </w:r>
      <w:r w:rsidRPr="005B6084">
        <w:rPr>
          <w:sz w:val="20"/>
          <w:szCs w:val="20"/>
        </w:rPr>
        <w:t xml:space="preserve">, </w:t>
      </w:r>
      <w:r w:rsidRPr="005B6084">
        <w:rPr>
          <w:sz w:val="20"/>
          <w:szCs w:val="20"/>
          <w:lang w:val="en-GB"/>
        </w:rPr>
        <w:t>at 140–41.</w:t>
      </w:r>
    </w:p>
  </w:footnote>
  <w:footnote w:id="255">
    <w:p w14:paraId="5B151BEA" w14:textId="77777777" w:rsidR="007F624B" w:rsidRPr="005B6084" w:rsidRDefault="007F624B" w:rsidP="005B6084">
      <w:pPr>
        <w:pStyle w:val="Testonotaapidipagina"/>
        <w:jc w:val="both"/>
      </w:pPr>
      <w:r w:rsidRPr="005B6084">
        <w:rPr>
          <w:rStyle w:val="Rimandonotaapidipagina"/>
        </w:rPr>
        <w:footnoteRef/>
      </w:r>
      <w:r w:rsidRPr="005B6084">
        <w:t xml:space="preserve"> </w:t>
      </w:r>
      <w:r w:rsidRPr="005B6084">
        <w:rPr>
          <w:i/>
        </w:rPr>
        <w:t>Government of India, Ministry of Communications and Information Technology</w:t>
      </w:r>
      <w:r w:rsidRPr="005B6084">
        <w:t xml:space="preserve">, </w:t>
      </w:r>
      <w:r w:rsidRPr="005B6084">
        <w:rPr>
          <w:i/>
        </w:rPr>
        <w:t>supra</w:t>
      </w:r>
      <w:r w:rsidRPr="005B6084">
        <w:t xml:space="preserve"> note 213, at </w:t>
      </w:r>
      <w:proofErr w:type="gramStart"/>
      <w:r w:rsidRPr="005B6084">
        <w:rPr>
          <w:rStyle w:val="Collegamentoipertestuale"/>
          <w:color w:val="auto"/>
          <w:u w:val="none"/>
        </w:rPr>
        <w:t>4</w:t>
      </w:r>
      <w:proofErr w:type="gramEnd"/>
      <w:r w:rsidRPr="005B6084">
        <w:rPr>
          <w:rStyle w:val="Collegamentoipertestuale"/>
          <w:color w:val="auto"/>
          <w:u w:val="none"/>
        </w:rPr>
        <w:t>.</w:t>
      </w:r>
    </w:p>
  </w:footnote>
  <w:footnote w:id="256">
    <w:p w14:paraId="53DCB906" w14:textId="631F4F7C"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t xml:space="preserve">Wolff </w:t>
      </w:r>
      <w:proofErr w:type="spellStart"/>
      <w:r w:rsidRPr="005B6084">
        <w:t>Heintschel</w:t>
      </w:r>
      <w:proofErr w:type="spellEnd"/>
      <w:r w:rsidRPr="005B6084">
        <w:t xml:space="preserve"> von </w:t>
      </w:r>
      <w:proofErr w:type="spellStart"/>
      <w:r w:rsidRPr="005B6084">
        <w:t>Heinegg</w:t>
      </w:r>
      <w:proofErr w:type="spellEnd"/>
      <w:r w:rsidRPr="005B6084">
        <w:t xml:space="preserve">, ‘Territorial Sovereignty and Neutrality in Cyberspace’ </w:t>
      </w:r>
      <w:r w:rsidRPr="005B6084">
        <w:rPr>
          <w:i/>
        </w:rPr>
        <w:t>Naval War College International Law Studies</w:t>
      </w:r>
      <w:r w:rsidRPr="005B6084">
        <w:t xml:space="preserve"> 89 (2013), at 129 (‘It could be argued … that damage is irrelevant and the mere fact that a State has intruded into the cyber infrastructure of another State should be considered an exercise of jurisdiction on foreign territory, which always constitutes a violation of the principle of territorial sovereignty</w:t>
      </w:r>
      <w:r w:rsidR="0020595D" w:rsidRPr="005B6084">
        <w:t>’</w:t>
      </w:r>
      <w:r w:rsidRPr="005B6084">
        <w:t>).</w:t>
      </w:r>
      <w:proofErr w:type="gramEnd"/>
      <w:r w:rsidRPr="005B6084">
        <w:t xml:space="preserve"> More cautiously, an early study of the US Department of </w:t>
      </w:r>
      <w:proofErr w:type="spellStart"/>
      <w:r w:rsidRPr="005B6084">
        <w:t>Defense</w:t>
      </w:r>
      <w:proofErr w:type="spellEnd"/>
      <w:r w:rsidRPr="005B6084">
        <w:t xml:space="preserve"> concluded that </w:t>
      </w:r>
      <w:r w:rsidRPr="005B6084">
        <w:rPr>
          <w:rFonts w:eastAsia="Times New Roman"/>
          <w:lang w:eastAsia="it-IT"/>
        </w:rPr>
        <w:t xml:space="preserve">‘[a]n unauthorized electronic intrusion into another nation’s computer systems may very well end up being regarded as a violation of the victim’s sovereignty. It </w:t>
      </w:r>
      <w:proofErr w:type="gramStart"/>
      <w:r w:rsidRPr="005B6084">
        <w:rPr>
          <w:rFonts w:eastAsia="Times New Roman"/>
          <w:lang w:eastAsia="it-IT"/>
        </w:rPr>
        <w:t>may even be regarded</w:t>
      </w:r>
      <w:proofErr w:type="gramEnd"/>
      <w:r w:rsidRPr="005B6084">
        <w:rPr>
          <w:rFonts w:eastAsia="Times New Roman"/>
          <w:lang w:eastAsia="it-IT"/>
        </w:rPr>
        <w:t xml:space="preserve"> as equivalent to a physical trespass into a nation’s territory, but such issues have yet to be addressed in the international</w:t>
      </w:r>
      <w:r w:rsidRPr="005B6084">
        <w:t xml:space="preserve"> community. … </w:t>
      </w:r>
      <w:r w:rsidRPr="005B6084">
        <w:rPr>
          <w:rFonts w:eastAsia="Times New Roman"/>
          <w:lang w:eastAsia="it-IT"/>
        </w:rPr>
        <w:t>If an unauthorized computer intrusion can be reliably characterized as intentional and it can be attributed to the agents of another nation, the victim nation will at least have the right to protest, probably with some confidence of obtaining a sympathetic hearing in the world community’</w:t>
      </w:r>
      <w:r w:rsidRPr="005B6084">
        <w:t xml:space="preserve"> (</w:t>
      </w:r>
      <w:r w:rsidRPr="005B6084">
        <w:rPr>
          <w:i/>
        </w:rPr>
        <w:t>An Assessment of International Legal Issues</w:t>
      </w:r>
      <w:r w:rsidRPr="005B6084">
        <w:t xml:space="preserve">, </w:t>
      </w:r>
      <w:r w:rsidRPr="005B6084">
        <w:rPr>
          <w:i/>
        </w:rPr>
        <w:t>supra</w:t>
      </w:r>
      <w:r w:rsidRPr="005B6084">
        <w:t xml:space="preserve"> note </w:t>
      </w:r>
      <w:r w:rsidRPr="005B6084">
        <w:fldChar w:fldCharType="begin"/>
      </w:r>
      <w:r w:rsidRPr="005B6084">
        <w:instrText xml:space="preserve"> NOTEREF _Ref389207798 \h  \* MERGEFORMAT </w:instrText>
      </w:r>
      <w:r w:rsidRPr="005B6084">
        <w:fldChar w:fldCharType="separate"/>
      </w:r>
      <w:r w:rsidR="005B6084">
        <w:t>188</w:t>
      </w:r>
      <w:r w:rsidRPr="005B6084">
        <w:fldChar w:fldCharType="end"/>
      </w:r>
      <w:r w:rsidRPr="005B6084">
        <w:t xml:space="preserve">, at 19-20). On the other hand, </w:t>
      </w:r>
      <w:proofErr w:type="spellStart"/>
      <w:r w:rsidRPr="005B6084">
        <w:t>Doswald</w:t>
      </w:r>
      <w:proofErr w:type="spellEnd"/>
      <w:r w:rsidRPr="005B6084">
        <w:t xml:space="preserve">-Beck argues that, when the individual conducts intelligence gathering from outside the adversary’s territory through cyber exploitation, ‘the situation should be no different from someone gathering data from a spy satellite’ (Louise </w:t>
      </w:r>
      <w:proofErr w:type="spellStart"/>
      <w:r w:rsidRPr="005B6084">
        <w:t>Doswald</w:t>
      </w:r>
      <w:proofErr w:type="spellEnd"/>
      <w:r w:rsidRPr="005B6084">
        <w:t xml:space="preserve">-Beck, ‘Some Thoughts on Computer Network Attack and the International Law of Armed Conflict’ </w:t>
      </w:r>
      <w:r w:rsidRPr="005B6084">
        <w:rPr>
          <w:i/>
        </w:rPr>
        <w:t xml:space="preserve">Naval War College International Law Studies </w:t>
      </w:r>
      <w:r w:rsidRPr="005B6084">
        <w:t>76</w:t>
      </w:r>
      <w:r w:rsidRPr="005B6084">
        <w:rPr>
          <w:i/>
        </w:rPr>
        <w:t xml:space="preserve"> </w:t>
      </w:r>
      <w:r w:rsidRPr="005B6084">
        <w:t>(2002), at 172).</w:t>
      </w:r>
    </w:p>
  </w:footnote>
  <w:footnote w:id="257">
    <w:p w14:paraId="55B2ECED" w14:textId="77777777"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Jann</w:t>
      </w:r>
      <w:proofErr w:type="spellEnd"/>
      <w:r w:rsidRPr="005B6084">
        <w:t xml:space="preserve"> K </w:t>
      </w:r>
      <w:proofErr w:type="spellStart"/>
      <w:r w:rsidRPr="005B6084">
        <w:rPr>
          <w:bCs/>
        </w:rPr>
        <w:t>Kleffner</w:t>
      </w:r>
      <w:proofErr w:type="spellEnd"/>
      <w:r w:rsidRPr="005B6084">
        <w:t xml:space="preserve"> and Heather A </w:t>
      </w:r>
      <w:r w:rsidRPr="005B6084">
        <w:rPr>
          <w:bCs/>
        </w:rPr>
        <w:t xml:space="preserve">Harrison </w:t>
      </w:r>
      <w:proofErr w:type="spellStart"/>
      <w:r w:rsidRPr="005B6084">
        <w:rPr>
          <w:bCs/>
        </w:rPr>
        <w:t>Dinniss</w:t>
      </w:r>
      <w:proofErr w:type="spellEnd"/>
      <w:r w:rsidRPr="005B6084">
        <w:rPr>
          <w:bCs/>
        </w:rPr>
        <w:t>,</w:t>
      </w:r>
      <w:r w:rsidRPr="005B6084">
        <w:t xml:space="preserve"> ‘Keeping the Cyber Peace: International Legal Aspects of Cyber Activities in Peace Operations’, </w:t>
      </w:r>
      <w:r w:rsidRPr="005B6084">
        <w:rPr>
          <w:i/>
        </w:rPr>
        <w:t>Naval War College International Law Studies</w:t>
      </w:r>
      <w:r w:rsidRPr="005B6084">
        <w:t xml:space="preserve"> 89 (2013), at 512.</w:t>
      </w:r>
    </w:p>
  </w:footnote>
  <w:footnote w:id="258">
    <w:p w14:paraId="2041F29C" w14:textId="667E96D1" w:rsidR="007F624B" w:rsidRPr="005B6084" w:rsidRDefault="007F624B" w:rsidP="005B6084">
      <w:pPr>
        <w:pStyle w:val="Testonotaapidipagina"/>
        <w:jc w:val="both"/>
      </w:pPr>
      <w:r w:rsidRPr="005B6084">
        <w:rPr>
          <w:rStyle w:val="Rimandonotaapidipagina"/>
        </w:rPr>
        <w:footnoteRef/>
      </w:r>
      <w:r w:rsidRPr="005B6084">
        <w:t xml:space="preserve"> Hugh </w:t>
      </w:r>
      <w:proofErr w:type="spellStart"/>
      <w:r w:rsidRPr="005B6084">
        <w:t>Thirlway</w:t>
      </w:r>
      <w:proofErr w:type="spellEnd"/>
      <w:r w:rsidRPr="005B6084">
        <w:t xml:space="preserve">, ‘Dilemma or Chimera? – Admissibility of Illegally Obtained Evidence in International Adjudication’, 78 </w:t>
      </w:r>
      <w:r w:rsidRPr="005B6084">
        <w:rPr>
          <w:i/>
        </w:rPr>
        <w:t>AJIL</w:t>
      </w:r>
      <w:r w:rsidRPr="005B6084">
        <w:t xml:space="preserve"> (1984), 622, at 627-28</w:t>
      </w:r>
      <w:proofErr w:type="gramStart"/>
      <w:r w:rsidRPr="005B6084">
        <w:t>;</w:t>
      </w:r>
      <w:proofErr w:type="gramEnd"/>
      <w:r w:rsidRPr="005B6084">
        <w:t xml:space="preserve"> </w:t>
      </w:r>
      <w:proofErr w:type="spellStart"/>
      <w:r w:rsidRPr="005B6084">
        <w:rPr>
          <w:lang w:val="en-US"/>
        </w:rPr>
        <w:t>Nasim</w:t>
      </w:r>
      <w:proofErr w:type="spellEnd"/>
      <w:r w:rsidRPr="005B6084">
        <w:rPr>
          <w:lang w:val="en-US"/>
        </w:rPr>
        <w:t xml:space="preserve"> Hasan Shah, ‘Discovery by Intervention: The Right of a State to Seize Evidence Located Within the Territory of the Respondent State’, 53 </w:t>
      </w:r>
      <w:r w:rsidRPr="005B6084">
        <w:rPr>
          <w:i/>
          <w:lang w:val="en-US"/>
        </w:rPr>
        <w:t>AJIL</w:t>
      </w:r>
      <w:r w:rsidRPr="005B6084">
        <w:rPr>
          <w:lang w:val="en-US"/>
        </w:rPr>
        <w:t xml:space="preserve"> (1959), 595, 607-609</w:t>
      </w:r>
      <w:r w:rsidRPr="005B6084">
        <w:t xml:space="preserve">. See </w:t>
      </w:r>
      <w:r w:rsidRPr="005B6084">
        <w:rPr>
          <w:i/>
        </w:rPr>
        <w:t>contra</w:t>
      </w:r>
      <w:r w:rsidRPr="005B6084">
        <w:t xml:space="preserve"> </w:t>
      </w:r>
      <w:proofErr w:type="spellStart"/>
      <w:r w:rsidRPr="005B6084">
        <w:t>Wolfrum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_Ref389204857 \h  \* MERGEFORMAT </w:instrText>
      </w:r>
      <w:r w:rsidRPr="005B6084">
        <w:fldChar w:fldCharType="separate"/>
      </w:r>
      <w:r w:rsidR="005B6084">
        <w:t>31</w:t>
      </w:r>
      <w:r w:rsidRPr="005B6084">
        <w:fldChar w:fldCharType="end"/>
      </w:r>
      <w:r w:rsidRPr="005B6084">
        <w:t>, 563.</w:t>
      </w:r>
    </w:p>
  </w:footnote>
  <w:footnote w:id="259">
    <w:p w14:paraId="1D0516CD" w14:textId="216CD048"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Thirlway</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_Ref389050635 \h  \* MERGEFORMAT </w:instrText>
      </w:r>
      <w:r w:rsidRPr="005B6084">
        <w:fldChar w:fldCharType="separate"/>
      </w:r>
      <w:r w:rsidR="005B6084">
        <w:t>257</w:t>
      </w:r>
      <w:r w:rsidRPr="005B6084">
        <w:fldChar w:fldCharType="end"/>
      </w:r>
      <w:r w:rsidRPr="005B6084">
        <w:rPr>
          <w:i/>
        </w:rPr>
        <w:t>,</w:t>
      </w:r>
      <w:r w:rsidRPr="005B6084">
        <w:t xml:space="preserve"> at 628-29.</w:t>
      </w:r>
    </w:p>
  </w:footnote>
  <w:footnote w:id="260">
    <w:p w14:paraId="67487EED" w14:textId="667F1366" w:rsidR="007F624B" w:rsidRPr="005B6084" w:rsidRDefault="007F624B" w:rsidP="005B6084">
      <w:pPr>
        <w:pStyle w:val="Testonotaapidipagina"/>
        <w:jc w:val="both"/>
      </w:pPr>
      <w:r w:rsidRPr="005B6084">
        <w:rPr>
          <w:rStyle w:val="Rimandonotaapidipagina"/>
        </w:rPr>
        <w:footnoteRef/>
      </w:r>
      <w:r w:rsidRPr="005B6084">
        <w:t xml:space="preserve"> </w:t>
      </w:r>
      <w:r w:rsidRPr="005B6084">
        <w:rPr>
          <w:lang w:val="en-US"/>
        </w:rPr>
        <w:t xml:space="preserve">Shah, </w:t>
      </w:r>
      <w:r w:rsidRPr="005B6084">
        <w:rPr>
          <w:i/>
          <w:lang w:val="en-US"/>
        </w:rPr>
        <w:t>supra</w:t>
      </w:r>
      <w:r w:rsidRPr="005B6084">
        <w:rPr>
          <w:lang w:val="en-US"/>
        </w:rPr>
        <w:t xml:space="preserve"> note</w:t>
      </w:r>
      <w:r w:rsidRPr="005B6084">
        <w:t xml:space="preserve"> </w:t>
      </w:r>
      <w:r w:rsidRPr="005B6084">
        <w:fldChar w:fldCharType="begin"/>
      </w:r>
      <w:r w:rsidRPr="005B6084">
        <w:instrText xml:space="preserve"> NOTEREF _Ref389050635 \h  \* MERGEFORMAT </w:instrText>
      </w:r>
      <w:r w:rsidRPr="005B6084">
        <w:fldChar w:fldCharType="separate"/>
      </w:r>
      <w:r w:rsidR="005B6084">
        <w:t>257</w:t>
      </w:r>
      <w:r w:rsidRPr="005B6084">
        <w:fldChar w:fldCharType="end"/>
      </w:r>
      <w:r w:rsidRPr="005B6084">
        <w:rPr>
          <w:lang w:val="en-US"/>
        </w:rPr>
        <w:t>, 606-607.</w:t>
      </w:r>
    </w:p>
  </w:footnote>
  <w:footnote w:id="261">
    <w:p w14:paraId="633A3CBC" w14:textId="34182791" w:rsidR="007F624B" w:rsidRPr="005B6084" w:rsidRDefault="007F624B" w:rsidP="005B6084">
      <w:pPr>
        <w:pStyle w:val="Testonotaapidipagina"/>
        <w:jc w:val="both"/>
      </w:pPr>
      <w:r w:rsidRPr="005B6084">
        <w:rPr>
          <w:rStyle w:val="Rimandonotaapidipagina"/>
        </w:rPr>
        <w:footnoteRef/>
      </w:r>
      <w:r w:rsidRPr="005B6084">
        <w:t xml:space="preserve"> </w:t>
      </w:r>
      <w:proofErr w:type="spellStart"/>
      <w:r w:rsidRPr="005B6084">
        <w:t>Thirlway</w:t>
      </w:r>
      <w:proofErr w:type="spellEnd"/>
      <w:r w:rsidRPr="005B6084">
        <w:rPr>
          <w:i/>
        </w:rPr>
        <w:t xml:space="preserve">, supra </w:t>
      </w:r>
      <w:r w:rsidRPr="005B6084">
        <w:t xml:space="preserve">note </w:t>
      </w:r>
      <w:r w:rsidRPr="005B6084">
        <w:fldChar w:fldCharType="begin"/>
      </w:r>
      <w:r w:rsidRPr="005B6084">
        <w:instrText xml:space="preserve"> NOTEREF _Ref389050635 \h  \* MERGEFORMAT </w:instrText>
      </w:r>
      <w:r w:rsidRPr="005B6084">
        <w:fldChar w:fldCharType="separate"/>
      </w:r>
      <w:r w:rsidR="005B6084">
        <w:t>257</w:t>
      </w:r>
      <w:r w:rsidRPr="005B6084">
        <w:fldChar w:fldCharType="end"/>
      </w:r>
      <w:r w:rsidRPr="005B6084">
        <w:rPr>
          <w:i/>
        </w:rPr>
        <w:t>,</w:t>
      </w:r>
      <w:r w:rsidRPr="005B6084">
        <w:t xml:space="preserve"> at 632.</w:t>
      </w:r>
    </w:p>
  </w:footnote>
  <w:footnote w:id="262">
    <w:p w14:paraId="05CF655C" w14:textId="7D867A55" w:rsidR="0020595D" w:rsidRPr="005B6084" w:rsidRDefault="0020595D" w:rsidP="005B6084">
      <w:pPr>
        <w:pStyle w:val="Testonotaapidipagina"/>
        <w:jc w:val="both"/>
        <w:rPr>
          <w:lang w:val="it-IT"/>
        </w:rPr>
      </w:pPr>
      <w:r w:rsidRPr="005B6084">
        <w:rPr>
          <w:rStyle w:val="Rimandonotaapidipagina"/>
        </w:rPr>
        <w:footnoteRef/>
      </w:r>
      <w:r w:rsidRPr="005B6084">
        <w:t xml:space="preserve"> </w:t>
      </w:r>
      <w:proofErr w:type="spellStart"/>
      <w:r w:rsidRPr="005B6084">
        <w:rPr>
          <w:i/>
          <w:lang w:val="it-IT"/>
        </w:rPr>
        <w:t>Corfu</w:t>
      </w:r>
      <w:proofErr w:type="spellEnd"/>
      <w:r w:rsidRPr="005B6084">
        <w:rPr>
          <w:i/>
          <w:lang w:val="it-IT"/>
        </w:rPr>
        <w:t xml:space="preserve"> Channel</w:t>
      </w:r>
      <w:r w:rsidRPr="005B6084">
        <w:rPr>
          <w:lang w:val="it-IT"/>
        </w:rPr>
        <w:t xml:space="preserve">, </w:t>
      </w:r>
      <w:proofErr w:type="spellStart"/>
      <w:r w:rsidRPr="005B6084">
        <w:rPr>
          <w:i/>
          <w:lang w:val="it-IT"/>
        </w:rPr>
        <w:t>supra</w:t>
      </w:r>
      <w:proofErr w:type="spellEnd"/>
      <w:r w:rsidRPr="005B6084">
        <w:rPr>
          <w:lang w:val="it-IT"/>
        </w:rPr>
        <w:t xml:space="preserve"> note </w:t>
      </w:r>
      <w:r w:rsidRPr="005B6084">
        <w:rPr>
          <w:lang w:val="it-IT"/>
        </w:rPr>
        <w:fldChar w:fldCharType="begin"/>
      </w:r>
      <w:r w:rsidRPr="005B6084">
        <w:rPr>
          <w:lang w:val="it-IT"/>
        </w:rPr>
        <w:instrText xml:space="preserve"> NOTEREF _Ref383686385 \h </w:instrText>
      </w:r>
      <w:r w:rsidR="005B6084" w:rsidRPr="005B6084">
        <w:rPr>
          <w:lang w:val="it-IT"/>
        </w:rPr>
        <w:instrText xml:space="preserve"> \* MERGEFORMAT </w:instrText>
      </w:r>
      <w:r w:rsidRPr="005B6084">
        <w:rPr>
          <w:lang w:val="it-IT"/>
        </w:rPr>
      </w:r>
      <w:r w:rsidRPr="005B6084">
        <w:rPr>
          <w:lang w:val="it-IT"/>
        </w:rPr>
        <w:fldChar w:fldCharType="separate"/>
      </w:r>
      <w:r w:rsidR="005B6084">
        <w:rPr>
          <w:lang w:val="it-IT"/>
        </w:rPr>
        <w:t>70</w:t>
      </w:r>
      <w:r w:rsidRPr="005B6084">
        <w:rPr>
          <w:lang w:val="it-IT"/>
        </w:rPr>
        <w:fldChar w:fldCharType="end"/>
      </w:r>
      <w:r w:rsidRPr="005B6084">
        <w:rPr>
          <w:lang w:val="it-IT"/>
        </w:rPr>
        <w:t>, 34-35.</w:t>
      </w:r>
    </w:p>
  </w:footnote>
  <w:footnote w:id="263">
    <w:p w14:paraId="4C38F50D" w14:textId="1DB2B4A7" w:rsidR="007F624B" w:rsidRPr="005B6084" w:rsidRDefault="007F624B" w:rsidP="005B6084">
      <w:pPr>
        <w:pStyle w:val="Testonotaapidipagina"/>
        <w:jc w:val="both"/>
      </w:pPr>
      <w:r w:rsidRPr="005B6084">
        <w:rPr>
          <w:rStyle w:val="Rimandonotaapidipagina"/>
        </w:rPr>
        <w:footnoteRef/>
      </w:r>
      <w:r w:rsidRPr="005B6084">
        <w:t xml:space="preserve"> </w:t>
      </w:r>
      <w:proofErr w:type="gramStart"/>
      <w:r w:rsidRPr="005B6084">
        <w:rPr>
          <w:i/>
        </w:rPr>
        <w:t>Ibid</w:t>
      </w:r>
      <w:r w:rsidRPr="005B6084">
        <w:t>.,</w:t>
      </w:r>
      <w:proofErr w:type="gramEnd"/>
      <w:r w:rsidRPr="005B6084">
        <w:t xml:space="preserve"> at 641. It has been argued, however, that evidence obtained through a</w:t>
      </w:r>
      <w:r w:rsidRPr="005B6084">
        <w:rPr>
          <w:i/>
        </w:rPr>
        <w:t xml:space="preserve"> jus </w:t>
      </w:r>
      <w:proofErr w:type="spellStart"/>
      <w:r w:rsidRPr="005B6084">
        <w:rPr>
          <w:i/>
        </w:rPr>
        <w:t>cogens</w:t>
      </w:r>
      <w:proofErr w:type="spellEnd"/>
      <w:r w:rsidRPr="005B6084">
        <w:t xml:space="preserve"> violation, for instance torture, should be deemed inadmissible (</w:t>
      </w:r>
      <w:proofErr w:type="spellStart"/>
      <w:r w:rsidRPr="005B6084">
        <w:t>Wolfrum</w:t>
      </w:r>
      <w:proofErr w:type="spellEnd"/>
      <w:r w:rsidRPr="005B6084">
        <w:t xml:space="preserve">, </w:t>
      </w:r>
      <w:r w:rsidRPr="005B6084">
        <w:rPr>
          <w:i/>
        </w:rPr>
        <w:t>supra</w:t>
      </w:r>
      <w:r w:rsidRPr="005B6084">
        <w:t xml:space="preserve"> note </w:t>
      </w:r>
      <w:r w:rsidRPr="005B6084">
        <w:fldChar w:fldCharType="begin"/>
      </w:r>
      <w:r w:rsidRPr="005B6084">
        <w:instrText xml:space="preserve"> NOTEREF _Ref389204857 \h  \* MERGEFORMAT </w:instrText>
      </w:r>
      <w:r w:rsidRPr="005B6084">
        <w:fldChar w:fldCharType="separate"/>
      </w:r>
      <w:r w:rsidR="005B6084">
        <w:t>31</w:t>
      </w:r>
      <w:r w:rsidRPr="005B6084">
        <w:fldChar w:fldCharType="end"/>
      </w:r>
      <w:r w:rsidRPr="005B6084">
        <w:t>, 563).</w:t>
      </w:r>
    </w:p>
  </w:footnote>
  <w:footnote w:id="264">
    <w:p w14:paraId="085B412C" w14:textId="74261B7D" w:rsidR="0020595D" w:rsidRPr="005B6084" w:rsidRDefault="0020595D" w:rsidP="005B6084">
      <w:pPr>
        <w:pStyle w:val="Testonotaapidipagina"/>
        <w:jc w:val="both"/>
        <w:rPr>
          <w:lang w:val="it-IT"/>
        </w:rPr>
      </w:pPr>
      <w:r w:rsidRPr="005B6084">
        <w:rPr>
          <w:rStyle w:val="Rimandonotaapidipagina"/>
        </w:rPr>
        <w:footnoteRef/>
      </w:r>
      <w:r w:rsidRPr="005B6084">
        <w:t xml:space="preserve"> </w:t>
      </w:r>
      <w:r w:rsidR="00285E53" w:rsidRPr="005B6084">
        <w:rPr>
          <w:i/>
        </w:rPr>
        <w:t>United States Diplomatic and Consular Staff in Tehran</w:t>
      </w:r>
      <w:r w:rsidR="00285E53" w:rsidRPr="005B6084">
        <w:t xml:space="preserve">, </w:t>
      </w:r>
      <w:r w:rsidR="00285E53" w:rsidRPr="005B6084">
        <w:rPr>
          <w:i/>
        </w:rPr>
        <w:t>supra</w:t>
      </w:r>
      <w:r w:rsidR="00285E53" w:rsidRPr="005B6084">
        <w:t xml:space="preserve"> note </w:t>
      </w:r>
      <w:r w:rsidR="00285E53" w:rsidRPr="005B6084">
        <w:fldChar w:fldCharType="begin"/>
      </w:r>
      <w:r w:rsidR="00285E53" w:rsidRPr="005B6084">
        <w:instrText xml:space="preserve"> NOTEREF _Ref383686640 \h  \* MERGEFORMAT </w:instrText>
      </w:r>
      <w:r w:rsidR="00285E53" w:rsidRPr="005B6084">
        <w:fldChar w:fldCharType="separate"/>
      </w:r>
      <w:r w:rsidR="005B6084">
        <w:t>65</w:t>
      </w:r>
      <w:r w:rsidR="00285E53" w:rsidRPr="005B6084">
        <w:fldChar w:fldCharType="end"/>
      </w:r>
      <w:r w:rsidR="00285E53" w:rsidRPr="005B6084">
        <w:t>, at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B6FAF"/>
    <w:multiLevelType w:val="hybridMultilevel"/>
    <w:tmpl w:val="DD28D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4C7D3B"/>
    <w:multiLevelType w:val="hybridMultilevel"/>
    <w:tmpl w:val="4BFEAEE0"/>
    <w:lvl w:ilvl="0" w:tplc="53A6987A">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6E64D2"/>
    <w:multiLevelType w:val="hybridMultilevel"/>
    <w:tmpl w:val="531CE71E"/>
    <w:lvl w:ilvl="0" w:tplc="E252F3FA">
      <w:numFmt w:val="bullet"/>
      <w:lvlText w:val="-"/>
      <w:lvlJc w:val="left"/>
      <w:pPr>
        <w:ind w:left="927" w:hanging="360"/>
      </w:pPr>
      <w:rPr>
        <w:rFonts w:ascii="Times New Roman" w:eastAsia="Times New Roman" w:hAnsi="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D6"/>
    <w:rsid w:val="00005550"/>
    <w:rsid w:val="00006452"/>
    <w:rsid w:val="00007D00"/>
    <w:rsid w:val="00013220"/>
    <w:rsid w:val="0001583F"/>
    <w:rsid w:val="00015E68"/>
    <w:rsid w:val="000200C5"/>
    <w:rsid w:val="00020241"/>
    <w:rsid w:val="0002025D"/>
    <w:rsid w:val="00022960"/>
    <w:rsid w:val="00026C78"/>
    <w:rsid w:val="00031315"/>
    <w:rsid w:val="0003670E"/>
    <w:rsid w:val="000376AF"/>
    <w:rsid w:val="00040755"/>
    <w:rsid w:val="00042B86"/>
    <w:rsid w:val="00042CE4"/>
    <w:rsid w:val="00046F15"/>
    <w:rsid w:val="00050BE1"/>
    <w:rsid w:val="00053D53"/>
    <w:rsid w:val="00054FB1"/>
    <w:rsid w:val="00060891"/>
    <w:rsid w:val="000618DA"/>
    <w:rsid w:val="00061A87"/>
    <w:rsid w:val="0006263C"/>
    <w:rsid w:val="000645F5"/>
    <w:rsid w:val="00067643"/>
    <w:rsid w:val="00070559"/>
    <w:rsid w:val="00070672"/>
    <w:rsid w:val="00076746"/>
    <w:rsid w:val="000828F3"/>
    <w:rsid w:val="00085676"/>
    <w:rsid w:val="0008591D"/>
    <w:rsid w:val="00091834"/>
    <w:rsid w:val="0009258C"/>
    <w:rsid w:val="000938AA"/>
    <w:rsid w:val="00093B56"/>
    <w:rsid w:val="00093D3C"/>
    <w:rsid w:val="00094E90"/>
    <w:rsid w:val="000A21DF"/>
    <w:rsid w:val="000A243A"/>
    <w:rsid w:val="000A3232"/>
    <w:rsid w:val="000A324F"/>
    <w:rsid w:val="000A7D75"/>
    <w:rsid w:val="000B1A5C"/>
    <w:rsid w:val="000B521C"/>
    <w:rsid w:val="000B5357"/>
    <w:rsid w:val="000C0737"/>
    <w:rsid w:val="000C0E3F"/>
    <w:rsid w:val="000C4F2C"/>
    <w:rsid w:val="000C6A14"/>
    <w:rsid w:val="000C717A"/>
    <w:rsid w:val="000D0B00"/>
    <w:rsid w:val="000D1DF1"/>
    <w:rsid w:val="000D3ABC"/>
    <w:rsid w:val="000E19CF"/>
    <w:rsid w:val="000E3B89"/>
    <w:rsid w:val="000E516F"/>
    <w:rsid w:val="000E5B90"/>
    <w:rsid w:val="000E7753"/>
    <w:rsid w:val="000F1036"/>
    <w:rsid w:val="000F31A5"/>
    <w:rsid w:val="000F3D2F"/>
    <w:rsid w:val="000F6038"/>
    <w:rsid w:val="000F6456"/>
    <w:rsid w:val="000F6B3B"/>
    <w:rsid w:val="00100832"/>
    <w:rsid w:val="00101B8F"/>
    <w:rsid w:val="00107637"/>
    <w:rsid w:val="00110ED6"/>
    <w:rsid w:val="00111CCC"/>
    <w:rsid w:val="001128CA"/>
    <w:rsid w:val="0011639E"/>
    <w:rsid w:val="00117506"/>
    <w:rsid w:val="00122E39"/>
    <w:rsid w:val="0012337C"/>
    <w:rsid w:val="00123A0E"/>
    <w:rsid w:val="0012592E"/>
    <w:rsid w:val="0013057D"/>
    <w:rsid w:val="00130E0F"/>
    <w:rsid w:val="00133040"/>
    <w:rsid w:val="00134411"/>
    <w:rsid w:val="00134A03"/>
    <w:rsid w:val="00134B2A"/>
    <w:rsid w:val="00136EBC"/>
    <w:rsid w:val="0013709B"/>
    <w:rsid w:val="00137654"/>
    <w:rsid w:val="00142B88"/>
    <w:rsid w:val="00144E09"/>
    <w:rsid w:val="00144F16"/>
    <w:rsid w:val="00146010"/>
    <w:rsid w:val="0014747A"/>
    <w:rsid w:val="0015029B"/>
    <w:rsid w:val="00154B87"/>
    <w:rsid w:val="001630FB"/>
    <w:rsid w:val="00165799"/>
    <w:rsid w:val="00165B11"/>
    <w:rsid w:val="00175B73"/>
    <w:rsid w:val="001769DA"/>
    <w:rsid w:val="00176D40"/>
    <w:rsid w:val="00181DD1"/>
    <w:rsid w:val="00183D96"/>
    <w:rsid w:val="001853E3"/>
    <w:rsid w:val="001867DA"/>
    <w:rsid w:val="0018739B"/>
    <w:rsid w:val="0019054C"/>
    <w:rsid w:val="001917D0"/>
    <w:rsid w:val="00194256"/>
    <w:rsid w:val="00195E73"/>
    <w:rsid w:val="001A7A3E"/>
    <w:rsid w:val="001B0399"/>
    <w:rsid w:val="001B1FED"/>
    <w:rsid w:val="001B7789"/>
    <w:rsid w:val="001C07B4"/>
    <w:rsid w:val="001C144F"/>
    <w:rsid w:val="001C1E7B"/>
    <w:rsid w:val="001C37D4"/>
    <w:rsid w:val="001D152A"/>
    <w:rsid w:val="001D32A6"/>
    <w:rsid w:val="001D3444"/>
    <w:rsid w:val="001D4E44"/>
    <w:rsid w:val="001D59A8"/>
    <w:rsid w:val="001D6150"/>
    <w:rsid w:val="001D69BE"/>
    <w:rsid w:val="001D74CF"/>
    <w:rsid w:val="001D7522"/>
    <w:rsid w:val="001E24F7"/>
    <w:rsid w:val="001E3A8D"/>
    <w:rsid w:val="001E4F06"/>
    <w:rsid w:val="001E73B6"/>
    <w:rsid w:val="001F1769"/>
    <w:rsid w:val="001F32A4"/>
    <w:rsid w:val="001F4EE1"/>
    <w:rsid w:val="001F4F5C"/>
    <w:rsid w:val="001F59A9"/>
    <w:rsid w:val="001F7F68"/>
    <w:rsid w:val="002019F2"/>
    <w:rsid w:val="00201CA2"/>
    <w:rsid w:val="002025F1"/>
    <w:rsid w:val="002056E9"/>
    <w:rsid w:val="0020595D"/>
    <w:rsid w:val="00207AFC"/>
    <w:rsid w:val="00210299"/>
    <w:rsid w:val="00217E18"/>
    <w:rsid w:val="0022149C"/>
    <w:rsid w:val="002219A7"/>
    <w:rsid w:val="00222130"/>
    <w:rsid w:val="002304E6"/>
    <w:rsid w:val="0023097B"/>
    <w:rsid w:val="00236055"/>
    <w:rsid w:val="0024045D"/>
    <w:rsid w:val="00243CCA"/>
    <w:rsid w:val="00244B64"/>
    <w:rsid w:val="00244E36"/>
    <w:rsid w:val="0025053B"/>
    <w:rsid w:val="0025206D"/>
    <w:rsid w:val="002534A1"/>
    <w:rsid w:val="00253A35"/>
    <w:rsid w:val="0025445E"/>
    <w:rsid w:val="002567F5"/>
    <w:rsid w:val="002568BF"/>
    <w:rsid w:val="00260D23"/>
    <w:rsid w:val="00262768"/>
    <w:rsid w:val="002645C8"/>
    <w:rsid w:val="00267A64"/>
    <w:rsid w:val="00270015"/>
    <w:rsid w:val="00270057"/>
    <w:rsid w:val="00274F79"/>
    <w:rsid w:val="00275F5E"/>
    <w:rsid w:val="0027662B"/>
    <w:rsid w:val="00276F7D"/>
    <w:rsid w:val="00280A6E"/>
    <w:rsid w:val="00281643"/>
    <w:rsid w:val="00282517"/>
    <w:rsid w:val="002838A8"/>
    <w:rsid w:val="002840D1"/>
    <w:rsid w:val="00285E53"/>
    <w:rsid w:val="00286825"/>
    <w:rsid w:val="00286A84"/>
    <w:rsid w:val="00287AAA"/>
    <w:rsid w:val="00293F4C"/>
    <w:rsid w:val="002944E2"/>
    <w:rsid w:val="00297995"/>
    <w:rsid w:val="002A3A17"/>
    <w:rsid w:val="002A60CC"/>
    <w:rsid w:val="002A7CE5"/>
    <w:rsid w:val="002B4FCC"/>
    <w:rsid w:val="002B5C1A"/>
    <w:rsid w:val="002C198F"/>
    <w:rsid w:val="002C3FA9"/>
    <w:rsid w:val="002C6F39"/>
    <w:rsid w:val="002C77A0"/>
    <w:rsid w:val="002D3428"/>
    <w:rsid w:val="002D361A"/>
    <w:rsid w:val="002D5ADA"/>
    <w:rsid w:val="002E215A"/>
    <w:rsid w:val="002E2495"/>
    <w:rsid w:val="002E3DBD"/>
    <w:rsid w:val="002E4401"/>
    <w:rsid w:val="002E4AD1"/>
    <w:rsid w:val="002E54BA"/>
    <w:rsid w:val="002E77D8"/>
    <w:rsid w:val="002F569B"/>
    <w:rsid w:val="00300393"/>
    <w:rsid w:val="00301AE9"/>
    <w:rsid w:val="003023A4"/>
    <w:rsid w:val="00305C6F"/>
    <w:rsid w:val="003069A7"/>
    <w:rsid w:val="00315356"/>
    <w:rsid w:val="0031577D"/>
    <w:rsid w:val="00315D2C"/>
    <w:rsid w:val="003212A2"/>
    <w:rsid w:val="00322E2F"/>
    <w:rsid w:val="003235DE"/>
    <w:rsid w:val="00327A4F"/>
    <w:rsid w:val="00330C3B"/>
    <w:rsid w:val="00331FD3"/>
    <w:rsid w:val="00333A7F"/>
    <w:rsid w:val="00340749"/>
    <w:rsid w:val="00341237"/>
    <w:rsid w:val="00342335"/>
    <w:rsid w:val="00345ADE"/>
    <w:rsid w:val="00352042"/>
    <w:rsid w:val="00353D92"/>
    <w:rsid w:val="00353E18"/>
    <w:rsid w:val="00357E87"/>
    <w:rsid w:val="00364DDE"/>
    <w:rsid w:val="00365485"/>
    <w:rsid w:val="00373012"/>
    <w:rsid w:val="00373788"/>
    <w:rsid w:val="00375490"/>
    <w:rsid w:val="003774EE"/>
    <w:rsid w:val="00377B09"/>
    <w:rsid w:val="00380081"/>
    <w:rsid w:val="003838DC"/>
    <w:rsid w:val="00383D69"/>
    <w:rsid w:val="003859CB"/>
    <w:rsid w:val="0039030F"/>
    <w:rsid w:val="00394351"/>
    <w:rsid w:val="003951B5"/>
    <w:rsid w:val="003A12B7"/>
    <w:rsid w:val="003A144E"/>
    <w:rsid w:val="003A2B65"/>
    <w:rsid w:val="003A5901"/>
    <w:rsid w:val="003A5FFE"/>
    <w:rsid w:val="003B0497"/>
    <w:rsid w:val="003B0D5D"/>
    <w:rsid w:val="003B5921"/>
    <w:rsid w:val="003B5D17"/>
    <w:rsid w:val="003B5DCC"/>
    <w:rsid w:val="003B75E7"/>
    <w:rsid w:val="003C0F7F"/>
    <w:rsid w:val="003C101D"/>
    <w:rsid w:val="003C141E"/>
    <w:rsid w:val="003C290E"/>
    <w:rsid w:val="003C2CA7"/>
    <w:rsid w:val="003C2F1C"/>
    <w:rsid w:val="003C4D50"/>
    <w:rsid w:val="003C5A1A"/>
    <w:rsid w:val="003C749D"/>
    <w:rsid w:val="003C7B8B"/>
    <w:rsid w:val="003D0C41"/>
    <w:rsid w:val="003D0CBE"/>
    <w:rsid w:val="003D1761"/>
    <w:rsid w:val="003D3F99"/>
    <w:rsid w:val="003D608A"/>
    <w:rsid w:val="003D707D"/>
    <w:rsid w:val="003D72AA"/>
    <w:rsid w:val="003E2B2F"/>
    <w:rsid w:val="003E302A"/>
    <w:rsid w:val="003E3C12"/>
    <w:rsid w:val="003E4B91"/>
    <w:rsid w:val="003F336E"/>
    <w:rsid w:val="003F4B77"/>
    <w:rsid w:val="003F4B83"/>
    <w:rsid w:val="003F615E"/>
    <w:rsid w:val="003F66E6"/>
    <w:rsid w:val="0040243A"/>
    <w:rsid w:val="0040374E"/>
    <w:rsid w:val="00404301"/>
    <w:rsid w:val="00404E7D"/>
    <w:rsid w:val="004050BA"/>
    <w:rsid w:val="00406569"/>
    <w:rsid w:val="00407B1D"/>
    <w:rsid w:val="00410B07"/>
    <w:rsid w:val="004136D1"/>
    <w:rsid w:val="00420AE3"/>
    <w:rsid w:val="00421A29"/>
    <w:rsid w:val="004256B4"/>
    <w:rsid w:val="00431C80"/>
    <w:rsid w:val="00432126"/>
    <w:rsid w:val="00433155"/>
    <w:rsid w:val="00434479"/>
    <w:rsid w:val="00441A65"/>
    <w:rsid w:val="00445206"/>
    <w:rsid w:val="0044651B"/>
    <w:rsid w:val="00447DD0"/>
    <w:rsid w:val="00450442"/>
    <w:rsid w:val="0045655E"/>
    <w:rsid w:val="00456956"/>
    <w:rsid w:val="004615C2"/>
    <w:rsid w:val="00467E90"/>
    <w:rsid w:val="0047178F"/>
    <w:rsid w:val="00471F96"/>
    <w:rsid w:val="00480AE4"/>
    <w:rsid w:val="00482A7D"/>
    <w:rsid w:val="00485ACA"/>
    <w:rsid w:val="00491140"/>
    <w:rsid w:val="00494E24"/>
    <w:rsid w:val="00495D0B"/>
    <w:rsid w:val="004A108E"/>
    <w:rsid w:val="004A3C29"/>
    <w:rsid w:val="004A3E26"/>
    <w:rsid w:val="004A4997"/>
    <w:rsid w:val="004A6E95"/>
    <w:rsid w:val="004B08ED"/>
    <w:rsid w:val="004B3AE8"/>
    <w:rsid w:val="004C11C5"/>
    <w:rsid w:val="004C78AF"/>
    <w:rsid w:val="004D096B"/>
    <w:rsid w:val="004D1AAF"/>
    <w:rsid w:val="004D31C6"/>
    <w:rsid w:val="004D6331"/>
    <w:rsid w:val="004D6AE9"/>
    <w:rsid w:val="004E2D5F"/>
    <w:rsid w:val="004E3EE2"/>
    <w:rsid w:val="004E476C"/>
    <w:rsid w:val="004E528C"/>
    <w:rsid w:val="004E611C"/>
    <w:rsid w:val="004E7706"/>
    <w:rsid w:val="004F0CEE"/>
    <w:rsid w:val="004F30C0"/>
    <w:rsid w:val="004F59DF"/>
    <w:rsid w:val="00500336"/>
    <w:rsid w:val="00501290"/>
    <w:rsid w:val="00503E3B"/>
    <w:rsid w:val="00504966"/>
    <w:rsid w:val="005060E1"/>
    <w:rsid w:val="00507AC5"/>
    <w:rsid w:val="00510ADD"/>
    <w:rsid w:val="005216DA"/>
    <w:rsid w:val="00523520"/>
    <w:rsid w:val="00524B44"/>
    <w:rsid w:val="00526AA6"/>
    <w:rsid w:val="005302F7"/>
    <w:rsid w:val="00531B01"/>
    <w:rsid w:val="005322B6"/>
    <w:rsid w:val="00535F3E"/>
    <w:rsid w:val="00535F8C"/>
    <w:rsid w:val="00540E9A"/>
    <w:rsid w:val="0054239A"/>
    <w:rsid w:val="00542F8F"/>
    <w:rsid w:val="00543C53"/>
    <w:rsid w:val="00543C57"/>
    <w:rsid w:val="005452A4"/>
    <w:rsid w:val="00547839"/>
    <w:rsid w:val="005513B3"/>
    <w:rsid w:val="00552119"/>
    <w:rsid w:val="005524D3"/>
    <w:rsid w:val="00554D20"/>
    <w:rsid w:val="005552B6"/>
    <w:rsid w:val="00556930"/>
    <w:rsid w:val="005570A5"/>
    <w:rsid w:val="0056048B"/>
    <w:rsid w:val="00560FB1"/>
    <w:rsid w:val="00561771"/>
    <w:rsid w:val="00562367"/>
    <w:rsid w:val="0056480D"/>
    <w:rsid w:val="00564B5C"/>
    <w:rsid w:val="00565A3A"/>
    <w:rsid w:val="0056649C"/>
    <w:rsid w:val="005722A6"/>
    <w:rsid w:val="00576251"/>
    <w:rsid w:val="00577C86"/>
    <w:rsid w:val="005841DD"/>
    <w:rsid w:val="0058601F"/>
    <w:rsid w:val="00586367"/>
    <w:rsid w:val="00591BD9"/>
    <w:rsid w:val="00595632"/>
    <w:rsid w:val="005A15CF"/>
    <w:rsid w:val="005A172E"/>
    <w:rsid w:val="005A1BD3"/>
    <w:rsid w:val="005A21FC"/>
    <w:rsid w:val="005A3F93"/>
    <w:rsid w:val="005A3FA1"/>
    <w:rsid w:val="005A62A6"/>
    <w:rsid w:val="005A682F"/>
    <w:rsid w:val="005B1331"/>
    <w:rsid w:val="005B2E90"/>
    <w:rsid w:val="005B4A16"/>
    <w:rsid w:val="005B6084"/>
    <w:rsid w:val="005C24C4"/>
    <w:rsid w:val="005C4620"/>
    <w:rsid w:val="005D0A66"/>
    <w:rsid w:val="005D2381"/>
    <w:rsid w:val="005D2FF6"/>
    <w:rsid w:val="005D3F35"/>
    <w:rsid w:val="005D4286"/>
    <w:rsid w:val="005D5584"/>
    <w:rsid w:val="005D72B7"/>
    <w:rsid w:val="005E0EBF"/>
    <w:rsid w:val="005E58E5"/>
    <w:rsid w:val="005E7A5C"/>
    <w:rsid w:val="005F0918"/>
    <w:rsid w:val="005F181C"/>
    <w:rsid w:val="005F62C7"/>
    <w:rsid w:val="005F66C5"/>
    <w:rsid w:val="005F7A2E"/>
    <w:rsid w:val="0060254A"/>
    <w:rsid w:val="00607AA7"/>
    <w:rsid w:val="00607B15"/>
    <w:rsid w:val="00610792"/>
    <w:rsid w:val="00614B86"/>
    <w:rsid w:val="00614CA0"/>
    <w:rsid w:val="00615FFE"/>
    <w:rsid w:val="006165DD"/>
    <w:rsid w:val="006176FC"/>
    <w:rsid w:val="006220EA"/>
    <w:rsid w:val="006230F5"/>
    <w:rsid w:val="00624A18"/>
    <w:rsid w:val="00625C10"/>
    <w:rsid w:val="00626ADC"/>
    <w:rsid w:val="00631CBE"/>
    <w:rsid w:val="00635780"/>
    <w:rsid w:val="00636E67"/>
    <w:rsid w:val="006413B4"/>
    <w:rsid w:val="006427A2"/>
    <w:rsid w:val="00643548"/>
    <w:rsid w:val="00643AA8"/>
    <w:rsid w:val="006441B1"/>
    <w:rsid w:val="006450D4"/>
    <w:rsid w:val="00645313"/>
    <w:rsid w:val="0065185A"/>
    <w:rsid w:val="006602F7"/>
    <w:rsid w:val="00660BE2"/>
    <w:rsid w:val="00660C63"/>
    <w:rsid w:val="00662513"/>
    <w:rsid w:val="00662CC9"/>
    <w:rsid w:val="00665953"/>
    <w:rsid w:val="00667F81"/>
    <w:rsid w:val="006700EF"/>
    <w:rsid w:val="00671DEF"/>
    <w:rsid w:val="006753C5"/>
    <w:rsid w:val="00685C29"/>
    <w:rsid w:val="00692703"/>
    <w:rsid w:val="00693BF4"/>
    <w:rsid w:val="00697316"/>
    <w:rsid w:val="00697C8B"/>
    <w:rsid w:val="006A19FC"/>
    <w:rsid w:val="006A4180"/>
    <w:rsid w:val="006A4281"/>
    <w:rsid w:val="006A4DD8"/>
    <w:rsid w:val="006A508D"/>
    <w:rsid w:val="006A5FA8"/>
    <w:rsid w:val="006A5FDB"/>
    <w:rsid w:val="006A6BAA"/>
    <w:rsid w:val="006A7EB8"/>
    <w:rsid w:val="006B0519"/>
    <w:rsid w:val="006B0572"/>
    <w:rsid w:val="006B3DFA"/>
    <w:rsid w:val="006B5BCA"/>
    <w:rsid w:val="006B6D5A"/>
    <w:rsid w:val="006C0191"/>
    <w:rsid w:val="006C17AB"/>
    <w:rsid w:val="006C1D22"/>
    <w:rsid w:val="006C2B53"/>
    <w:rsid w:val="006C2F6B"/>
    <w:rsid w:val="006C6E96"/>
    <w:rsid w:val="006D07D9"/>
    <w:rsid w:val="006D435A"/>
    <w:rsid w:val="006E2616"/>
    <w:rsid w:val="006E3FC2"/>
    <w:rsid w:val="006E51C1"/>
    <w:rsid w:val="006F4838"/>
    <w:rsid w:val="00700012"/>
    <w:rsid w:val="0070005C"/>
    <w:rsid w:val="00701269"/>
    <w:rsid w:val="00701950"/>
    <w:rsid w:val="00702E13"/>
    <w:rsid w:val="007031AC"/>
    <w:rsid w:val="00711176"/>
    <w:rsid w:val="0071499B"/>
    <w:rsid w:val="0071695C"/>
    <w:rsid w:val="00721255"/>
    <w:rsid w:val="00721A3D"/>
    <w:rsid w:val="0072516C"/>
    <w:rsid w:val="0072579C"/>
    <w:rsid w:val="00735A42"/>
    <w:rsid w:val="0073653A"/>
    <w:rsid w:val="00737079"/>
    <w:rsid w:val="007370CA"/>
    <w:rsid w:val="0074080B"/>
    <w:rsid w:val="00740B92"/>
    <w:rsid w:val="00742282"/>
    <w:rsid w:val="00746897"/>
    <w:rsid w:val="00754933"/>
    <w:rsid w:val="00762B46"/>
    <w:rsid w:val="00764AED"/>
    <w:rsid w:val="007667CD"/>
    <w:rsid w:val="007707DD"/>
    <w:rsid w:val="007742AB"/>
    <w:rsid w:val="00775637"/>
    <w:rsid w:val="00783C7C"/>
    <w:rsid w:val="00786627"/>
    <w:rsid w:val="00787580"/>
    <w:rsid w:val="0079077A"/>
    <w:rsid w:val="00794ED2"/>
    <w:rsid w:val="007963A4"/>
    <w:rsid w:val="00797238"/>
    <w:rsid w:val="007B604B"/>
    <w:rsid w:val="007B65B6"/>
    <w:rsid w:val="007B731C"/>
    <w:rsid w:val="007C1D03"/>
    <w:rsid w:val="007C3266"/>
    <w:rsid w:val="007C6412"/>
    <w:rsid w:val="007D098A"/>
    <w:rsid w:val="007D27E1"/>
    <w:rsid w:val="007D3AEC"/>
    <w:rsid w:val="007D5988"/>
    <w:rsid w:val="007D6370"/>
    <w:rsid w:val="007E1E49"/>
    <w:rsid w:val="007E3E23"/>
    <w:rsid w:val="007E57EC"/>
    <w:rsid w:val="007E5ECD"/>
    <w:rsid w:val="007E7967"/>
    <w:rsid w:val="007E7F99"/>
    <w:rsid w:val="007F15CA"/>
    <w:rsid w:val="007F2EE9"/>
    <w:rsid w:val="007F3132"/>
    <w:rsid w:val="007F3EAE"/>
    <w:rsid w:val="007F624B"/>
    <w:rsid w:val="007F6288"/>
    <w:rsid w:val="008049C3"/>
    <w:rsid w:val="00805927"/>
    <w:rsid w:val="0080745E"/>
    <w:rsid w:val="008103AF"/>
    <w:rsid w:val="0081669A"/>
    <w:rsid w:val="0081753F"/>
    <w:rsid w:val="008179B7"/>
    <w:rsid w:val="0082339A"/>
    <w:rsid w:val="008259DF"/>
    <w:rsid w:val="00827EE8"/>
    <w:rsid w:val="00830F34"/>
    <w:rsid w:val="0083195D"/>
    <w:rsid w:val="00831CFC"/>
    <w:rsid w:val="008322FB"/>
    <w:rsid w:val="00837B27"/>
    <w:rsid w:val="008403AA"/>
    <w:rsid w:val="00842F5E"/>
    <w:rsid w:val="00847B20"/>
    <w:rsid w:val="00850BC8"/>
    <w:rsid w:val="008557C0"/>
    <w:rsid w:val="00857CB1"/>
    <w:rsid w:val="00862B91"/>
    <w:rsid w:val="00864967"/>
    <w:rsid w:val="00864E7E"/>
    <w:rsid w:val="008658FE"/>
    <w:rsid w:val="00866764"/>
    <w:rsid w:val="0086754D"/>
    <w:rsid w:val="00867EAC"/>
    <w:rsid w:val="008720BA"/>
    <w:rsid w:val="00872693"/>
    <w:rsid w:val="008737AA"/>
    <w:rsid w:val="00874CE4"/>
    <w:rsid w:val="00876DD8"/>
    <w:rsid w:val="00883699"/>
    <w:rsid w:val="008856C0"/>
    <w:rsid w:val="00890BBA"/>
    <w:rsid w:val="00891478"/>
    <w:rsid w:val="008936CE"/>
    <w:rsid w:val="008A2494"/>
    <w:rsid w:val="008A39C2"/>
    <w:rsid w:val="008A4019"/>
    <w:rsid w:val="008A4098"/>
    <w:rsid w:val="008A640A"/>
    <w:rsid w:val="008B3EED"/>
    <w:rsid w:val="008B65A3"/>
    <w:rsid w:val="008B6C4A"/>
    <w:rsid w:val="008C5A96"/>
    <w:rsid w:val="008D1910"/>
    <w:rsid w:val="008D749D"/>
    <w:rsid w:val="008D7DD3"/>
    <w:rsid w:val="008E0D6B"/>
    <w:rsid w:val="008E34E7"/>
    <w:rsid w:val="008E5588"/>
    <w:rsid w:val="008E5643"/>
    <w:rsid w:val="008E5E8F"/>
    <w:rsid w:val="008E655B"/>
    <w:rsid w:val="008F041E"/>
    <w:rsid w:val="008F0C3E"/>
    <w:rsid w:val="008F33D9"/>
    <w:rsid w:val="008F4F83"/>
    <w:rsid w:val="008F6DAE"/>
    <w:rsid w:val="008F6DC0"/>
    <w:rsid w:val="008F7FFE"/>
    <w:rsid w:val="009028FC"/>
    <w:rsid w:val="009068AC"/>
    <w:rsid w:val="0090768D"/>
    <w:rsid w:val="009100B8"/>
    <w:rsid w:val="009108E5"/>
    <w:rsid w:val="0091280A"/>
    <w:rsid w:val="009153B8"/>
    <w:rsid w:val="00915EA5"/>
    <w:rsid w:val="00916EC1"/>
    <w:rsid w:val="009218FE"/>
    <w:rsid w:val="00923778"/>
    <w:rsid w:val="009240D9"/>
    <w:rsid w:val="00925B53"/>
    <w:rsid w:val="00926A13"/>
    <w:rsid w:val="0093032D"/>
    <w:rsid w:val="00930944"/>
    <w:rsid w:val="00931D6F"/>
    <w:rsid w:val="00934F02"/>
    <w:rsid w:val="00935A18"/>
    <w:rsid w:val="009410B8"/>
    <w:rsid w:val="00941180"/>
    <w:rsid w:val="009437B1"/>
    <w:rsid w:val="00943A1D"/>
    <w:rsid w:val="009515B4"/>
    <w:rsid w:val="00952674"/>
    <w:rsid w:val="00956B8B"/>
    <w:rsid w:val="0095722B"/>
    <w:rsid w:val="00957BB7"/>
    <w:rsid w:val="00962A57"/>
    <w:rsid w:val="00963974"/>
    <w:rsid w:val="00966609"/>
    <w:rsid w:val="00971AB4"/>
    <w:rsid w:val="00971AF8"/>
    <w:rsid w:val="0097414E"/>
    <w:rsid w:val="009825C1"/>
    <w:rsid w:val="0098411E"/>
    <w:rsid w:val="00984CC3"/>
    <w:rsid w:val="00991585"/>
    <w:rsid w:val="009A742D"/>
    <w:rsid w:val="009A77C6"/>
    <w:rsid w:val="009B2955"/>
    <w:rsid w:val="009B5F3A"/>
    <w:rsid w:val="009C2744"/>
    <w:rsid w:val="009C28D3"/>
    <w:rsid w:val="009C4460"/>
    <w:rsid w:val="009C5BA1"/>
    <w:rsid w:val="009C5F94"/>
    <w:rsid w:val="009D00FB"/>
    <w:rsid w:val="009D37CA"/>
    <w:rsid w:val="009D4A06"/>
    <w:rsid w:val="009D573A"/>
    <w:rsid w:val="009D7C72"/>
    <w:rsid w:val="009E434F"/>
    <w:rsid w:val="009E5C48"/>
    <w:rsid w:val="009E68F0"/>
    <w:rsid w:val="009E6D6F"/>
    <w:rsid w:val="009F0CD6"/>
    <w:rsid w:val="009F4F77"/>
    <w:rsid w:val="009F4FD7"/>
    <w:rsid w:val="009F75D3"/>
    <w:rsid w:val="009F788B"/>
    <w:rsid w:val="00A00367"/>
    <w:rsid w:val="00A00497"/>
    <w:rsid w:val="00A012E9"/>
    <w:rsid w:val="00A047B2"/>
    <w:rsid w:val="00A04F2C"/>
    <w:rsid w:val="00A104F6"/>
    <w:rsid w:val="00A1090E"/>
    <w:rsid w:val="00A11BD2"/>
    <w:rsid w:val="00A14E3C"/>
    <w:rsid w:val="00A160BD"/>
    <w:rsid w:val="00A16386"/>
    <w:rsid w:val="00A16C8B"/>
    <w:rsid w:val="00A23E34"/>
    <w:rsid w:val="00A2739D"/>
    <w:rsid w:val="00A3050D"/>
    <w:rsid w:val="00A3111D"/>
    <w:rsid w:val="00A32520"/>
    <w:rsid w:val="00A35725"/>
    <w:rsid w:val="00A35F5B"/>
    <w:rsid w:val="00A447FD"/>
    <w:rsid w:val="00A51F37"/>
    <w:rsid w:val="00A529B2"/>
    <w:rsid w:val="00A52D56"/>
    <w:rsid w:val="00A54848"/>
    <w:rsid w:val="00A56291"/>
    <w:rsid w:val="00A60670"/>
    <w:rsid w:val="00A63DD6"/>
    <w:rsid w:val="00A64B9B"/>
    <w:rsid w:val="00A65018"/>
    <w:rsid w:val="00A65E80"/>
    <w:rsid w:val="00A65F2D"/>
    <w:rsid w:val="00A67DCF"/>
    <w:rsid w:val="00A72503"/>
    <w:rsid w:val="00A72856"/>
    <w:rsid w:val="00A73732"/>
    <w:rsid w:val="00A7534D"/>
    <w:rsid w:val="00A81150"/>
    <w:rsid w:val="00A85DDD"/>
    <w:rsid w:val="00A862A7"/>
    <w:rsid w:val="00A873EE"/>
    <w:rsid w:val="00A931A2"/>
    <w:rsid w:val="00A95993"/>
    <w:rsid w:val="00AA04EF"/>
    <w:rsid w:val="00AA0833"/>
    <w:rsid w:val="00AA101A"/>
    <w:rsid w:val="00AA4E61"/>
    <w:rsid w:val="00AA50D6"/>
    <w:rsid w:val="00AA6826"/>
    <w:rsid w:val="00AA69A5"/>
    <w:rsid w:val="00AA6A40"/>
    <w:rsid w:val="00AB0718"/>
    <w:rsid w:val="00AB180C"/>
    <w:rsid w:val="00AB1A3A"/>
    <w:rsid w:val="00AB2094"/>
    <w:rsid w:val="00AB643A"/>
    <w:rsid w:val="00AB7C47"/>
    <w:rsid w:val="00AB7EAC"/>
    <w:rsid w:val="00AC1C8F"/>
    <w:rsid w:val="00AC379B"/>
    <w:rsid w:val="00AC4945"/>
    <w:rsid w:val="00AD6534"/>
    <w:rsid w:val="00AD675B"/>
    <w:rsid w:val="00AE1EC0"/>
    <w:rsid w:val="00AE2F81"/>
    <w:rsid w:val="00AE5434"/>
    <w:rsid w:val="00AE5855"/>
    <w:rsid w:val="00AE7403"/>
    <w:rsid w:val="00AF0E55"/>
    <w:rsid w:val="00AF0F2C"/>
    <w:rsid w:val="00AF719F"/>
    <w:rsid w:val="00AF743F"/>
    <w:rsid w:val="00B0117D"/>
    <w:rsid w:val="00B0174A"/>
    <w:rsid w:val="00B04DF3"/>
    <w:rsid w:val="00B06521"/>
    <w:rsid w:val="00B06A3E"/>
    <w:rsid w:val="00B109B2"/>
    <w:rsid w:val="00B12DC4"/>
    <w:rsid w:val="00B13C30"/>
    <w:rsid w:val="00B17179"/>
    <w:rsid w:val="00B2103A"/>
    <w:rsid w:val="00B21206"/>
    <w:rsid w:val="00B21F1D"/>
    <w:rsid w:val="00B251FE"/>
    <w:rsid w:val="00B3444D"/>
    <w:rsid w:val="00B36AD8"/>
    <w:rsid w:val="00B516E5"/>
    <w:rsid w:val="00B52C7B"/>
    <w:rsid w:val="00B53202"/>
    <w:rsid w:val="00B54202"/>
    <w:rsid w:val="00B545CC"/>
    <w:rsid w:val="00B5650A"/>
    <w:rsid w:val="00B5689F"/>
    <w:rsid w:val="00B56BBF"/>
    <w:rsid w:val="00B600EF"/>
    <w:rsid w:val="00B609DC"/>
    <w:rsid w:val="00B60B9B"/>
    <w:rsid w:val="00B6647C"/>
    <w:rsid w:val="00B669D4"/>
    <w:rsid w:val="00B671EE"/>
    <w:rsid w:val="00B7368F"/>
    <w:rsid w:val="00B77D10"/>
    <w:rsid w:val="00B81415"/>
    <w:rsid w:val="00B82551"/>
    <w:rsid w:val="00B85F43"/>
    <w:rsid w:val="00B85FCA"/>
    <w:rsid w:val="00B8651A"/>
    <w:rsid w:val="00B9140D"/>
    <w:rsid w:val="00B9145B"/>
    <w:rsid w:val="00B91892"/>
    <w:rsid w:val="00B91E21"/>
    <w:rsid w:val="00B922A6"/>
    <w:rsid w:val="00B93DC4"/>
    <w:rsid w:val="00B974F9"/>
    <w:rsid w:val="00B97CF9"/>
    <w:rsid w:val="00BA2142"/>
    <w:rsid w:val="00BA309B"/>
    <w:rsid w:val="00BA37B4"/>
    <w:rsid w:val="00BA44D5"/>
    <w:rsid w:val="00BB0B7F"/>
    <w:rsid w:val="00BB2CD2"/>
    <w:rsid w:val="00BB4B54"/>
    <w:rsid w:val="00BB5E97"/>
    <w:rsid w:val="00BB6EE9"/>
    <w:rsid w:val="00BC07B4"/>
    <w:rsid w:val="00BC07BD"/>
    <w:rsid w:val="00BC371A"/>
    <w:rsid w:val="00BC4188"/>
    <w:rsid w:val="00BC4752"/>
    <w:rsid w:val="00BC7504"/>
    <w:rsid w:val="00BD2126"/>
    <w:rsid w:val="00BD212B"/>
    <w:rsid w:val="00BD356E"/>
    <w:rsid w:val="00BE027C"/>
    <w:rsid w:val="00BE0B6A"/>
    <w:rsid w:val="00BE22E3"/>
    <w:rsid w:val="00BE269D"/>
    <w:rsid w:val="00BE4F47"/>
    <w:rsid w:val="00BE567A"/>
    <w:rsid w:val="00BE6B4B"/>
    <w:rsid w:val="00BF2B01"/>
    <w:rsid w:val="00BF345C"/>
    <w:rsid w:val="00BF4A75"/>
    <w:rsid w:val="00BF7A43"/>
    <w:rsid w:val="00C00017"/>
    <w:rsid w:val="00C008D9"/>
    <w:rsid w:val="00C01F01"/>
    <w:rsid w:val="00C03A66"/>
    <w:rsid w:val="00C05750"/>
    <w:rsid w:val="00C1035A"/>
    <w:rsid w:val="00C12AD9"/>
    <w:rsid w:val="00C13E79"/>
    <w:rsid w:val="00C2475F"/>
    <w:rsid w:val="00C24A43"/>
    <w:rsid w:val="00C25B66"/>
    <w:rsid w:val="00C25D24"/>
    <w:rsid w:val="00C313EB"/>
    <w:rsid w:val="00C324A1"/>
    <w:rsid w:val="00C32BF9"/>
    <w:rsid w:val="00C34B7F"/>
    <w:rsid w:val="00C41890"/>
    <w:rsid w:val="00C43727"/>
    <w:rsid w:val="00C4480E"/>
    <w:rsid w:val="00C44F53"/>
    <w:rsid w:val="00C51366"/>
    <w:rsid w:val="00C525B5"/>
    <w:rsid w:val="00C60217"/>
    <w:rsid w:val="00C63C6A"/>
    <w:rsid w:val="00C67EE5"/>
    <w:rsid w:val="00C71387"/>
    <w:rsid w:val="00C7551A"/>
    <w:rsid w:val="00C835C3"/>
    <w:rsid w:val="00C85D70"/>
    <w:rsid w:val="00C87A14"/>
    <w:rsid w:val="00C87F35"/>
    <w:rsid w:val="00C925C7"/>
    <w:rsid w:val="00C9788B"/>
    <w:rsid w:val="00CA0E37"/>
    <w:rsid w:val="00CA1240"/>
    <w:rsid w:val="00CA43FA"/>
    <w:rsid w:val="00CA6E7E"/>
    <w:rsid w:val="00CB0545"/>
    <w:rsid w:val="00CB3117"/>
    <w:rsid w:val="00CB38C8"/>
    <w:rsid w:val="00CB6024"/>
    <w:rsid w:val="00CC0A97"/>
    <w:rsid w:val="00CC12E0"/>
    <w:rsid w:val="00CC35CE"/>
    <w:rsid w:val="00CC4879"/>
    <w:rsid w:val="00CD2311"/>
    <w:rsid w:val="00CD2F99"/>
    <w:rsid w:val="00CD3B95"/>
    <w:rsid w:val="00CD3C58"/>
    <w:rsid w:val="00CD59B9"/>
    <w:rsid w:val="00CE26AA"/>
    <w:rsid w:val="00CE3BFF"/>
    <w:rsid w:val="00CE3CB6"/>
    <w:rsid w:val="00CE3D52"/>
    <w:rsid w:val="00CE4E91"/>
    <w:rsid w:val="00CE54B7"/>
    <w:rsid w:val="00CE7E29"/>
    <w:rsid w:val="00CF3192"/>
    <w:rsid w:val="00CF4223"/>
    <w:rsid w:val="00CF4C76"/>
    <w:rsid w:val="00CF5EAF"/>
    <w:rsid w:val="00CF73EE"/>
    <w:rsid w:val="00D01661"/>
    <w:rsid w:val="00D1127A"/>
    <w:rsid w:val="00D12DB5"/>
    <w:rsid w:val="00D13735"/>
    <w:rsid w:val="00D143B3"/>
    <w:rsid w:val="00D1451D"/>
    <w:rsid w:val="00D169E2"/>
    <w:rsid w:val="00D1728D"/>
    <w:rsid w:val="00D203E4"/>
    <w:rsid w:val="00D22E62"/>
    <w:rsid w:val="00D25717"/>
    <w:rsid w:val="00D25F25"/>
    <w:rsid w:val="00D30FFC"/>
    <w:rsid w:val="00D36BA2"/>
    <w:rsid w:val="00D40B89"/>
    <w:rsid w:val="00D429A9"/>
    <w:rsid w:val="00D471A0"/>
    <w:rsid w:val="00D50443"/>
    <w:rsid w:val="00D5079E"/>
    <w:rsid w:val="00D50A53"/>
    <w:rsid w:val="00D51D47"/>
    <w:rsid w:val="00D5223A"/>
    <w:rsid w:val="00D53859"/>
    <w:rsid w:val="00D53A52"/>
    <w:rsid w:val="00D53C59"/>
    <w:rsid w:val="00D53F86"/>
    <w:rsid w:val="00D547BE"/>
    <w:rsid w:val="00D56BBA"/>
    <w:rsid w:val="00D60520"/>
    <w:rsid w:val="00D611A9"/>
    <w:rsid w:val="00D64113"/>
    <w:rsid w:val="00D67DEE"/>
    <w:rsid w:val="00D706BD"/>
    <w:rsid w:val="00D71E3D"/>
    <w:rsid w:val="00D76E17"/>
    <w:rsid w:val="00D76E29"/>
    <w:rsid w:val="00D771A7"/>
    <w:rsid w:val="00D77F1F"/>
    <w:rsid w:val="00D80E24"/>
    <w:rsid w:val="00D83A9D"/>
    <w:rsid w:val="00D84EAF"/>
    <w:rsid w:val="00D908B0"/>
    <w:rsid w:val="00D92B7F"/>
    <w:rsid w:val="00DA027C"/>
    <w:rsid w:val="00DA0746"/>
    <w:rsid w:val="00DA27A7"/>
    <w:rsid w:val="00DA5337"/>
    <w:rsid w:val="00DA6703"/>
    <w:rsid w:val="00DA71B2"/>
    <w:rsid w:val="00DB0F60"/>
    <w:rsid w:val="00DB200B"/>
    <w:rsid w:val="00DB2CC9"/>
    <w:rsid w:val="00DB7370"/>
    <w:rsid w:val="00DB75D5"/>
    <w:rsid w:val="00DC0E73"/>
    <w:rsid w:val="00DC4B03"/>
    <w:rsid w:val="00DC529F"/>
    <w:rsid w:val="00DD1136"/>
    <w:rsid w:val="00DD1EA0"/>
    <w:rsid w:val="00DD2880"/>
    <w:rsid w:val="00DD38AD"/>
    <w:rsid w:val="00DD561A"/>
    <w:rsid w:val="00DD5B6D"/>
    <w:rsid w:val="00DD61B3"/>
    <w:rsid w:val="00DD62C6"/>
    <w:rsid w:val="00DD7A3B"/>
    <w:rsid w:val="00DE4688"/>
    <w:rsid w:val="00DE5F56"/>
    <w:rsid w:val="00DE65C7"/>
    <w:rsid w:val="00DF1EC0"/>
    <w:rsid w:val="00DF234D"/>
    <w:rsid w:val="00DF28E0"/>
    <w:rsid w:val="00DF2C0F"/>
    <w:rsid w:val="00DF3BB6"/>
    <w:rsid w:val="00DF6A90"/>
    <w:rsid w:val="00E00F7C"/>
    <w:rsid w:val="00E0606F"/>
    <w:rsid w:val="00E07C4E"/>
    <w:rsid w:val="00E110C1"/>
    <w:rsid w:val="00E14714"/>
    <w:rsid w:val="00E16CCE"/>
    <w:rsid w:val="00E174FB"/>
    <w:rsid w:val="00E2012D"/>
    <w:rsid w:val="00E21099"/>
    <w:rsid w:val="00E241BB"/>
    <w:rsid w:val="00E25C97"/>
    <w:rsid w:val="00E26BBB"/>
    <w:rsid w:val="00E27983"/>
    <w:rsid w:val="00E3079F"/>
    <w:rsid w:val="00E3416C"/>
    <w:rsid w:val="00E42ECE"/>
    <w:rsid w:val="00E43AAB"/>
    <w:rsid w:val="00E43AB8"/>
    <w:rsid w:val="00E4511A"/>
    <w:rsid w:val="00E46FB6"/>
    <w:rsid w:val="00E47CED"/>
    <w:rsid w:val="00E513F0"/>
    <w:rsid w:val="00E520F7"/>
    <w:rsid w:val="00E6205B"/>
    <w:rsid w:val="00E72774"/>
    <w:rsid w:val="00E72CB9"/>
    <w:rsid w:val="00E730DF"/>
    <w:rsid w:val="00E805B1"/>
    <w:rsid w:val="00E80A7E"/>
    <w:rsid w:val="00E80E1F"/>
    <w:rsid w:val="00E83BC6"/>
    <w:rsid w:val="00E84400"/>
    <w:rsid w:val="00E87497"/>
    <w:rsid w:val="00E96746"/>
    <w:rsid w:val="00E976D3"/>
    <w:rsid w:val="00E978C4"/>
    <w:rsid w:val="00EA00F3"/>
    <w:rsid w:val="00EA09C7"/>
    <w:rsid w:val="00EA346E"/>
    <w:rsid w:val="00EA3B40"/>
    <w:rsid w:val="00EA6E45"/>
    <w:rsid w:val="00EA6E9A"/>
    <w:rsid w:val="00EB0A9A"/>
    <w:rsid w:val="00EC3285"/>
    <w:rsid w:val="00EC4453"/>
    <w:rsid w:val="00EC5CD0"/>
    <w:rsid w:val="00EC617E"/>
    <w:rsid w:val="00EC7A4E"/>
    <w:rsid w:val="00ED113F"/>
    <w:rsid w:val="00ED1CC9"/>
    <w:rsid w:val="00ED2754"/>
    <w:rsid w:val="00ED440B"/>
    <w:rsid w:val="00ED58B6"/>
    <w:rsid w:val="00EE032E"/>
    <w:rsid w:val="00EE0F1D"/>
    <w:rsid w:val="00EE4CB9"/>
    <w:rsid w:val="00EE4DAB"/>
    <w:rsid w:val="00EE5965"/>
    <w:rsid w:val="00EF0178"/>
    <w:rsid w:val="00EF0A0A"/>
    <w:rsid w:val="00EF3F9C"/>
    <w:rsid w:val="00EF4515"/>
    <w:rsid w:val="00EF78D4"/>
    <w:rsid w:val="00F002A0"/>
    <w:rsid w:val="00F03165"/>
    <w:rsid w:val="00F04920"/>
    <w:rsid w:val="00F04EB0"/>
    <w:rsid w:val="00F11C34"/>
    <w:rsid w:val="00F12611"/>
    <w:rsid w:val="00F12B19"/>
    <w:rsid w:val="00F17C9D"/>
    <w:rsid w:val="00F231CF"/>
    <w:rsid w:val="00F25DB3"/>
    <w:rsid w:val="00F25EFD"/>
    <w:rsid w:val="00F30615"/>
    <w:rsid w:val="00F31857"/>
    <w:rsid w:val="00F33F9E"/>
    <w:rsid w:val="00F37619"/>
    <w:rsid w:val="00F37993"/>
    <w:rsid w:val="00F475DA"/>
    <w:rsid w:val="00F50DD9"/>
    <w:rsid w:val="00F53615"/>
    <w:rsid w:val="00F53BEE"/>
    <w:rsid w:val="00F5794C"/>
    <w:rsid w:val="00F608C2"/>
    <w:rsid w:val="00F61010"/>
    <w:rsid w:val="00F6405E"/>
    <w:rsid w:val="00F65B61"/>
    <w:rsid w:val="00F66351"/>
    <w:rsid w:val="00F677CA"/>
    <w:rsid w:val="00F70924"/>
    <w:rsid w:val="00F7233D"/>
    <w:rsid w:val="00F75E6D"/>
    <w:rsid w:val="00F82041"/>
    <w:rsid w:val="00F904B7"/>
    <w:rsid w:val="00F91A4C"/>
    <w:rsid w:val="00F91D70"/>
    <w:rsid w:val="00F925F1"/>
    <w:rsid w:val="00F94C1E"/>
    <w:rsid w:val="00FA1969"/>
    <w:rsid w:val="00FA2ADF"/>
    <w:rsid w:val="00FA43D6"/>
    <w:rsid w:val="00FA4D8E"/>
    <w:rsid w:val="00FA4EAA"/>
    <w:rsid w:val="00FC1915"/>
    <w:rsid w:val="00FC1C75"/>
    <w:rsid w:val="00FC23AE"/>
    <w:rsid w:val="00FC252C"/>
    <w:rsid w:val="00FC3934"/>
    <w:rsid w:val="00FC6383"/>
    <w:rsid w:val="00FC7831"/>
    <w:rsid w:val="00FD008E"/>
    <w:rsid w:val="00FD2401"/>
    <w:rsid w:val="00FD5432"/>
    <w:rsid w:val="00FD680C"/>
    <w:rsid w:val="00FD6BF6"/>
    <w:rsid w:val="00FD7BE7"/>
    <w:rsid w:val="00FE0086"/>
    <w:rsid w:val="00FE19F7"/>
    <w:rsid w:val="00FE2A5A"/>
    <w:rsid w:val="00FE3049"/>
    <w:rsid w:val="00FE5C1C"/>
    <w:rsid w:val="00FF0641"/>
    <w:rsid w:val="00FF1C32"/>
    <w:rsid w:val="00FF5EDE"/>
    <w:rsid w:val="00FF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37ACC7"/>
  <w15:docId w15:val="{91D127AB-D338-4917-ACDE-6BF9EA86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0520"/>
    <w:pPr>
      <w:spacing w:after="160" w:line="259" w:lineRule="auto"/>
    </w:pPr>
    <w:rPr>
      <w:lang w:eastAsia="en-US"/>
    </w:rPr>
  </w:style>
  <w:style w:type="paragraph" w:styleId="Titolo2">
    <w:name w:val="heading 2"/>
    <w:basedOn w:val="Normale"/>
    <w:next w:val="Normale"/>
    <w:link w:val="Titolo2Carattere"/>
    <w:uiPriority w:val="99"/>
    <w:qFormat/>
    <w:rsid w:val="00137654"/>
    <w:pPr>
      <w:keepNext/>
      <w:keepLines/>
      <w:spacing w:before="200" w:after="0" w:line="276" w:lineRule="auto"/>
      <w:outlineLvl w:val="1"/>
    </w:pPr>
    <w:rPr>
      <w:rFonts w:ascii="Times New Roman" w:eastAsia="Times New Roman" w:hAnsi="Times New Roman"/>
      <w:b/>
      <w:sz w:val="24"/>
      <w:szCs w:val="20"/>
      <w:u w:val="single"/>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137654"/>
    <w:rPr>
      <w:rFonts w:ascii="Times New Roman" w:hAnsi="Times New Roman" w:cs="Times New Roman"/>
      <w:b/>
      <w:sz w:val="20"/>
      <w:szCs w:val="20"/>
      <w:u w:val="single"/>
      <w:lang w:val="en-US"/>
    </w:rPr>
  </w:style>
  <w:style w:type="paragraph" w:styleId="NormaleWeb">
    <w:name w:val="Normal (Web)"/>
    <w:basedOn w:val="Normale"/>
    <w:uiPriority w:val="99"/>
    <w:rsid w:val="001D152A"/>
    <w:pPr>
      <w:spacing w:before="100" w:beforeAutospacing="1" w:after="100" w:afterAutospacing="1" w:line="240" w:lineRule="auto"/>
    </w:pPr>
    <w:rPr>
      <w:rFonts w:ascii="Times New Roman" w:eastAsia="SimSun" w:hAnsi="Times New Roman"/>
      <w:color w:val="000000"/>
      <w:sz w:val="24"/>
      <w:szCs w:val="24"/>
      <w:lang w:eastAsia="zh-CN"/>
    </w:rPr>
  </w:style>
  <w:style w:type="character" w:styleId="Rimandonotaapidipagina">
    <w:name w:val="footnote reference"/>
    <w:basedOn w:val="Carpredefinitoparagrafo"/>
    <w:uiPriority w:val="99"/>
    <w:rsid w:val="001D152A"/>
    <w:rPr>
      <w:rFonts w:cs="Times New Roman"/>
      <w:vertAlign w:val="superscript"/>
    </w:rPr>
  </w:style>
  <w:style w:type="paragraph" w:styleId="Testonotaapidipagina">
    <w:name w:val="footnote text"/>
    <w:basedOn w:val="Normale"/>
    <w:link w:val="TestonotaapidipaginaCarattere"/>
    <w:uiPriority w:val="99"/>
    <w:rsid w:val="001D152A"/>
    <w:pPr>
      <w:spacing w:after="0" w:line="240" w:lineRule="auto"/>
    </w:pPr>
    <w:rPr>
      <w:rFonts w:ascii="Times New Roman" w:eastAsia="SimSu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locked/>
    <w:rsid w:val="001D152A"/>
    <w:rPr>
      <w:rFonts w:ascii="Times New Roman" w:eastAsia="SimSun" w:hAnsi="Times New Roman" w:cs="Times New Roman"/>
      <w:sz w:val="20"/>
      <w:szCs w:val="20"/>
      <w:lang w:val="en-GB" w:eastAsia="zh-CN"/>
    </w:rPr>
  </w:style>
  <w:style w:type="paragraph" w:customStyle="1" w:styleId="FN">
    <w:name w:val="FN"/>
    <w:uiPriority w:val="99"/>
    <w:rsid w:val="007E3E23"/>
    <w:pPr>
      <w:spacing w:line="480" w:lineRule="auto"/>
    </w:pPr>
    <w:rPr>
      <w:rFonts w:ascii="Times New Roman" w:eastAsia="Times New Roman" w:hAnsi="Times New Roman"/>
      <w:sz w:val="24"/>
      <w:szCs w:val="24"/>
      <w:lang w:val="en-US" w:eastAsia="en-US"/>
    </w:rPr>
  </w:style>
  <w:style w:type="paragraph" w:customStyle="1" w:styleId="P">
    <w:name w:val="P"/>
    <w:uiPriority w:val="99"/>
    <w:rsid w:val="007E3E23"/>
    <w:pPr>
      <w:spacing w:line="480" w:lineRule="auto"/>
    </w:pPr>
    <w:rPr>
      <w:rFonts w:ascii="Times New Roman" w:eastAsia="Times New Roman" w:hAnsi="Times New Roman"/>
      <w:sz w:val="24"/>
      <w:szCs w:val="24"/>
      <w:lang w:val="en-US" w:eastAsia="en-US"/>
    </w:rPr>
  </w:style>
  <w:style w:type="paragraph" w:customStyle="1" w:styleId="PI">
    <w:name w:val="PI"/>
    <w:uiPriority w:val="99"/>
    <w:rsid w:val="007E3E23"/>
    <w:pPr>
      <w:spacing w:line="480" w:lineRule="auto"/>
      <w:ind w:firstLine="720"/>
    </w:pPr>
    <w:rPr>
      <w:rFonts w:ascii="Times New Roman" w:eastAsia="Times New Roman" w:hAnsi="Times New Roman"/>
      <w:sz w:val="24"/>
      <w:szCs w:val="24"/>
      <w:lang w:val="en-US" w:eastAsia="en-US"/>
    </w:rPr>
  </w:style>
  <w:style w:type="character" w:customStyle="1" w:styleId="URL">
    <w:name w:val="URL"/>
    <w:uiPriority w:val="99"/>
    <w:rsid w:val="007E3E23"/>
    <w:rPr>
      <w:color w:val="0000FF"/>
      <w:bdr w:val="single" w:sz="4" w:space="0" w:color="993366"/>
    </w:rPr>
  </w:style>
  <w:style w:type="paragraph" w:styleId="Intestazione">
    <w:name w:val="header"/>
    <w:basedOn w:val="Normale"/>
    <w:link w:val="IntestazioneCarattere"/>
    <w:uiPriority w:val="99"/>
    <w:rsid w:val="009240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240D9"/>
    <w:rPr>
      <w:rFonts w:cs="Times New Roman"/>
      <w:lang w:val="en-GB"/>
    </w:rPr>
  </w:style>
  <w:style w:type="paragraph" w:styleId="Pidipagina">
    <w:name w:val="footer"/>
    <w:basedOn w:val="Normale"/>
    <w:link w:val="PidipaginaCarattere"/>
    <w:uiPriority w:val="99"/>
    <w:rsid w:val="009240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240D9"/>
    <w:rPr>
      <w:rFonts w:cs="Times New Roman"/>
      <w:lang w:val="en-GB"/>
    </w:rPr>
  </w:style>
  <w:style w:type="character" w:styleId="Collegamentoipertestuale">
    <w:name w:val="Hyperlink"/>
    <w:basedOn w:val="Carpredefinitoparagrafo"/>
    <w:uiPriority w:val="99"/>
    <w:rsid w:val="00535F3E"/>
    <w:rPr>
      <w:rFonts w:cs="Times New Roman"/>
      <w:color w:val="0563C1"/>
      <w:u w:val="single"/>
    </w:rPr>
  </w:style>
  <w:style w:type="paragraph" w:customStyle="1" w:styleId="listi">
    <w:name w:val="listi"/>
    <w:basedOn w:val="Normale"/>
    <w:uiPriority w:val="99"/>
    <w:rsid w:val="005B1331"/>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a">
    <w:name w:val="a"/>
    <w:basedOn w:val="Carpredefinitoparagrafo"/>
    <w:uiPriority w:val="99"/>
    <w:rsid w:val="008557C0"/>
    <w:rPr>
      <w:rFonts w:cs="Times New Roman"/>
    </w:rPr>
  </w:style>
  <w:style w:type="character" w:styleId="Collegamentovisitato">
    <w:name w:val="FollowedHyperlink"/>
    <w:basedOn w:val="Carpredefinitoparagrafo"/>
    <w:uiPriority w:val="99"/>
    <w:semiHidden/>
    <w:rsid w:val="00D471A0"/>
    <w:rPr>
      <w:rFonts w:cs="Times New Roman"/>
      <w:color w:val="954F72"/>
      <w:u w:val="single"/>
    </w:rPr>
  </w:style>
  <w:style w:type="paragraph" w:customStyle="1" w:styleId="Default">
    <w:name w:val="Default"/>
    <w:uiPriority w:val="99"/>
    <w:rsid w:val="00D471A0"/>
    <w:pPr>
      <w:autoSpaceDE w:val="0"/>
      <w:autoSpaceDN w:val="0"/>
      <w:adjustRightInd w:val="0"/>
    </w:pPr>
    <w:rPr>
      <w:rFonts w:ascii="Arial" w:hAnsi="Arial" w:cs="Arial"/>
      <w:color w:val="000000"/>
      <w:sz w:val="24"/>
      <w:szCs w:val="24"/>
      <w:lang w:eastAsia="en-US"/>
    </w:rPr>
  </w:style>
  <w:style w:type="paragraph" w:styleId="Testofumetto">
    <w:name w:val="Balloon Text"/>
    <w:basedOn w:val="Normale"/>
    <w:link w:val="TestofumettoCarattere"/>
    <w:uiPriority w:val="99"/>
    <w:semiHidden/>
    <w:rsid w:val="00122E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2E39"/>
    <w:rPr>
      <w:rFonts w:ascii="Tahoma" w:hAnsi="Tahoma" w:cs="Tahoma"/>
      <w:sz w:val="16"/>
      <w:szCs w:val="16"/>
      <w:lang w:val="en-GB"/>
    </w:rPr>
  </w:style>
  <w:style w:type="paragraph" w:styleId="Revisione">
    <w:name w:val="Revision"/>
    <w:hidden/>
    <w:uiPriority w:val="99"/>
    <w:semiHidden/>
    <w:rsid w:val="002D361A"/>
    <w:rPr>
      <w:lang w:eastAsia="en-US"/>
    </w:rPr>
  </w:style>
  <w:style w:type="character" w:styleId="Enfasigrassetto">
    <w:name w:val="Strong"/>
    <w:basedOn w:val="Carpredefinitoparagrafo"/>
    <w:uiPriority w:val="99"/>
    <w:qFormat/>
    <w:rsid w:val="00471F96"/>
    <w:rPr>
      <w:rFonts w:cs="Times New Roman"/>
      <w:b/>
      <w:bCs/>
    </w:rPr>
  </w:style>
  <w:style w:type="character" w:styleId="Rimandocommento">
    <w:name w:val="annotation reference"/>
    <w:basedOn w:val="Carpredefinitoparagrafo"/>
    <w:uiPriority w:val="99"/>
    <w:semiHidden/>
    <w:unhideWhenUsed/>
    <w:rsid w:val="00404E7D"/>
    <w:rPr>
      <w:sz w:val="16"/>
      <w:szCs w:val="16"/>
    </w:rPr>
  </w:style>
  <w:style w:type="paragraph" w:styleId="Testocommento">
    <w:name w:val="annotation text"/>
    <w:basedOn w:val="Normale"/>
    <w:link w:val="TestocommentoCarattere"/>
    <w:uiPriority w:val="99"/>
    <w:semiHidden/>
    <w:unhideWhenUsed/>
    <w:rsid w:val="00404E7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4E7D"/>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404E7D"/>
    <w:rPr>
      <w:b/>
      <w:bCs/>
    </w:rPr>
  </w:style>
  <w:style w:type="character" w:customStyle="1" w:styleId="SoggettocommentoCarattere">
    <w:name w:val="Soggetto commento Carattere"/>
    <w:basedOn w:val="TestocommentoCarattere"/>
    <w:link w:val="Soggettocommento"/>
    <w:uiPriority w:val="99"/>
    <w:semiHidden/>
    <w:rsid w:val="00404E7D"/>
    <w:rPr>
      <w:b/>
      <w:bCs/>
      <w:sz w:val="20"/>
      <w:szCs w:val="20"/>
      <w:lang w:eastAsia="en-US"/>
    </w:rPr>
  </w:style>
  <w:style w:type="paragraph" w:styleId="Paragrafoelenco">
    <w:name w:val="List Paragraph"/>
    <w:basedOn w:val="Normale"/>
    <w:uiPriority w:val="34"/>
    <w:qFormat/>
    <w:rsid w:val="003E4B91"/>
    <w:pPr>
      <w:spacing w:after="0" w:line="240" w:lineRule="atLeast"/>
      <w:ind w:left="720"/>
      <w:contextualSpacing/>
    </w:pPr>
    <w:rPr>
      <w:rFonts w:ascii="Arial" w:eastAsia="SimSun" w:hAnsi="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638">
      <w:marLeft w:val="0"/>
      <w:marRight w:val="0"/>
      <w:marTop w:val="0"/>
      <w:marBottom w:val="0"/>
      <w:divBdr>
        <w:top w:val="none" w:sz="0" w:space="0" w:color="auto"/>
        <w:left w:val="none" w:sz="0" w:space="0" w:color="auto"/>
        <w:bottom w:val="none" w:sz="0" w:space="0" w:color="auto"/>
        <w:right w:val="none" w:sz="0" w:space="0" w:color="auto"/>
      </w:divBdr>
      <w:divsChild>
        <w:div w:id="8214640">
          <w:marLeft w:val="0"/>
          <w:marRight w:val="0"/>
          <w:marTop w:val="0"/>
          <w:marBottom w:val="0"/>
          <w:divBdr>
            <w:top w:val="none" w:sz="0" w:space="0" w:color="auto"/>
            <w:left w:val="none" w:sz="0" w:space="0" w:color="auto"/>
            <w:bottom w:val="none" w:sz="0" w:space="0" w:color="auto"/>
            <w:right w:val="none" w:sz="0" w:space="0" w:color="auto"/>
          </w:divBdr>
        </w:div>
        <w:div w:id="8214656">
          <w:marLeft w:val="0"/>
          <w:marRight w:val="0"/>
          <w:marTop w:val="0"/>
          <w:marBottom w:val="0"/>
          <w:divBdr>
            <w:top w:val="none" w:sz="0" w:space="0" w:color="auto"/>
            <w:left w:val="none" w:sz="0" w:space="0" w:color="auto"/>
            <w:bottom w:val="none" w:sz="0" w:space="0" w:color="auto"/>
            <w:right w:val="none" w:sz="0" w:space="0" w:color="auto"/>
          </w:divBdr>
        </w:div>
        <w:div w:id="8214670">
          <w:marLeft w:val="0"/>
          <w:marRight w:val="0"/>
          <w:marTop w:val="0"/>
          <w:marBottom w:val="0"/>
          <w:divBdr>
            <w:top w:val="none" w:sz="0" w:space="0" w:color="auto"/>
            <w:left w:val="none" w:sz="0" w:space="0" w:color="auto"/>
            <w:bottom w:val="none" w:sz="0" w:space="0" w:color="auto"/>
            <w:right w:val="none" w:sz="0" w:space="0" w:color="auto"/>
          </w:divBdr>
        </w:div>
        <w:div w:id="8214677">
          <w:marLeft w:val="0"/>
          <w:marRight w:val="0"/>
          <w:marTop w:val="0"/>
          <w:marBottom w:val="0"/>
          <w:divBdr>
            <w:top w:val="none" w:sz="0" w:space="0" w:color="auto"/>
            <w:left w:val="none" w:sz="0" w:space="0" w:color="auto"/>
            <w:bottom w:val="none" w:sz="0" w:space="0" w:color="auto"/>
            <w:right w:val="none" w:sz="0" w:space="0" w:color="auto"/>
          </w:divBdr>
        </w:div>
        <w:div w:id="8214683">
          <w:marLeft w:val="0"/>
          <w:marRight w:val="0"/>
          <w:marTop w:val="0"/>
          <w:marBottom w:val="0"/>
          <w:divBdr>
            <w:top w:val="none" w:sz="0" w:space="0" w:color="auto"/>
            <w:left w:val="none" w:sz="0" w:space="0" w:color="auto"/>
            <w:bottom w:val="none" w:sz="0" w:space="0" w:color="auto"/>
            <w:right w:val="none" w:sz="0" w:space="0" w:color="auto"/>
          </w:divBdr>
        </w:div>
        <w:div w:id="8214684">
          <w:marLeft w:val="0"/>
          <w:marRight w:val="0"/>
          <w:marTop w:val="0"/>
          <w:marBottom w:val="0"/>
          <w:divBdr>
            <w:top w:val="none" w:sz="0" w:space="0" w:color="auto"/>
            <w:left w:val="none" w:sz="0" w:space="0" w:color="auto"/>
            <w:bottom w:val="none" w:sz="0" w:space="0" w:color="auto"/>
            <w:right w:val="none" w:sz="0" w:space="0" w:color="auto"/>
          </w:divBdr>
        </w:div>
        <w:div w:id="8214692">
          <w:marLeft w:val="0"/>
          <w:marRight w:val="0"/>
          <w:marTop w:val="0"/>
          <w:marBottom w:val="0"/>
          <w:divBdr>
            <w:top w:val="none" w:sz="0" w:space="0" w:color="auto"/>
            <w:left w:val="none" w:sz="0" w:space="0" w:color="auto"/>
            <w:bottom w:val="none" w:sz="0" w:space="0" w:color="auto"/>
            <w:right w:val="none" w:sz="0" w:space="0" w:color="auto"/>
          </w:divBdr>
        </w:div>
        <w:div w:id="8214699">
          <w:marLeft w:val="0"/>
          <w:marRight w:val="0"/>
          <w:marTop w:val="0"/>
          <w:marBottom w:val="0"/>
          <w:divBdr>
            <w:top w:val="none" w:sz="0" w:space="0" w:color="auto"/>
            <w:left w:val="none" w:sz="0" w:space="0" w:color="auto"/>
            <w:bottom w:val="none" w:sz="0" w:space="0" w:color="auto"/>
            <w:right w:val="none" w:sz="0" w:space="0" w:color="auto"/>
          </w:divBdr>
        </w:div>
        <w:div w:id="8214710">
          <w:marLeft w:val="0"/>
          <w:marRight w:val="0"/>
          <w:marTop w:val="0"/>
          <w:marBottom w:val="0"/>
          <w:divBdr>
            <w:top w:val="none" w:sz="0" w:space="0" w:color="auto"/>
            <w:left w:val="none" w:sz="0" w:space="0" w:color="auto"/>
            <w:bottom w:val="none" w:sz="0" w:space="0" w:color="auto"/>
            <w:right w:val="none" w:sz="0" w:space="0" w:color="auto"/>
          </w:divBdr>
        </w:div>
        <w:div w:id="8214715">
          <w:marLeft w:val="0"/>
          <w:marRight w:val="0"/>
          <w:marTop w:val="0"/>
          <w:marBottom w:val="0"/>
          <w:divBdr>
            <w:top w:val="none" w:sz="0" w:space="0" w:color="auto"/>
            <w:left w:val="none" w:sz="0" w:space="0" w:color="auto"/>
            <w:bottom w:val="none" w:sz="0" w:space="0" w:color="auto"/>
            <w:right w:val="none" w:sz="0" w:space="0" w:color="auto"/>
          </w:divBdr>
        </w:div>
        <w:div w:id="8214722">
          <w:marLeft w:val="0"/>
          <w:marRight w:val="0"/>
          <w:marTop w:val="0"/>
          <w:marBottom w:val="0"/>
          <w:divBdr>
            <w:top w:val="none" w:sz="0" w:space="0" w:color="auto"/>
            <w:left w:val="none" w:sz="0" w:space="0" w:color="auto"/>
            <w:bottom w:val="none" w:sz="0" w:space="0" w:color="auto"/>
            <w:right w:val="none" w:sz="0" w:space="0" w:color="auto"/>
          </w:divBdr>
        </w:div>
      </w:divsChild>
    </w:div>
    <w:div w:id="8214650">
      <w:marLeft w:val="0"/>
      <w:marRight w:val="0"/>
      <w:marTop w:val="0"/>
      <w:marBottom w:val="0"/>
      <w:divBdr>
        <w:top w:val="none" w:sz="0" w:space="0" w:color="auto"/>
        <w:left w:val="none" w:sz="0" w:space="0" w:color="auto"/>
        <w:bottom w:val="none" w:sz="0" w:space="0" w:color="auto"/>
        <w:right w:val="none" w:sz="0" w:space="0" w:color="auto"/>
      </w:divBdr>
      <w:divsChild>
        <w:div w:id="8214644">
          <w:marLeft w:val="0"/>
          <w:marRight w:val="0"/>
          <w:marTop w:val="0"/>
          <w:marBottom w:val="0"/>
          <w:divBdr>
            <w:top w:val="none" w:sz="0" w:space="0" w:color="auto"/>
            <w:left w:val="none" w:sz="0" w:space="0" w:color="auto"/>
            <w:bottom w:val="none" w:sz="0" w:space="0" w:color="auto"/>
            <w:right w:val="none" w:sz="0" w:space="0" w:color="auto"/>
          </w:divBdr>
        </w:div>
        <w:div w:id="8214660">
          <w:marLeft w:val="0"/>
          <w:marRight w:val="0"/>
          <w:marTop w:val="0"/>
          <w:marBottom w:val="0"/>
          <w:divBdr>
            <w:top w:val="none" w:sz="0" w:space="0" w:color="auto"/>
            <w:left w:val="none" w:sz="0" w:space="0" w:color="auto"/>
            <w:bottom w:val="none" w:sz="0" w:space="0" w:color="auto"/>
            <w:right w:val="none" w:sz="0" w:space="0" w:color="auto"/>
          </w:divBdr>
        </w:div>
        <w:div w:id="8214703">
          <w:marLeft w:val="0"/>
          <w:marRight w:val="0"/>
          <w:marTop w:val="0"/>
          <w:marBottom w:val="0"/>
          <w:divBdr>
            <w:top w:val="none" w:sz="0" w:space="0" w:color="auto"/>
            <w:left w:val="none" w:sz="0" w:space="0" w:color="auto"/>
            <w:bottom w:val="none" w:sz="0" w:space="0" w:color="auto"/>
            <w:right w:val="none" w:sz="0" w:space="0" w:color="auto"/>
          </w:divBdr>
        </w:div>
        <w:div w:id="8214729">
          <w:marLeft w:val="0"/>
          <w:marRight w:val="0"/>
          <w:marTop w:val="0"/>
          <w:marBottom w:val="0"/>
          <w:divBdr>
            <w:top w:val="none" w:sz="0" w:space="0" w:color="auto"/>
            <w:left w:val="none" w:sz="0" w:space="0" w:color="auto"/>
            <w:bottom w:val="none" w:sz="0" w:space="0" w:color="auto"/>
            <w:right w:val="none" w:sz="0" w:space="0" w:color="auto"/>
          </w:divBdr>
        </w:div>
      </w:divsChild>
    </w:div>
    <w:div w:id="8214661">
      <w:marLeft w:val="0"/>
      <w:marRight w:val="0"/>
      <w:marTop w:val="0"/>
      <w:marBottom w:val="0"/>
      <w:divBdr>
        <w:top w:val="none" w:sz="0" w:space="0" w:color="auto"/>
        <w:left w:val="none" w:sz="0" w:space="0" w:color="auto"/>
        <w:bottom w:val="none" w:sz="0" w:space="0" w:color="auto"/>
        <w:right w:val="none" w:sz="0" w:space="0" w:color="auto"/>
      </w:divBdr>
      <w:divsChild>
        <w:div w:id="8214645">
          <w:marLeft w:val="0"/>
          <w:marRight w:val="0"/>
          <w:marTop w:val="0"/>
          <w:marBottom w:val="0"/>
          <w:divBdr>
            <w:top w:val="none" w:sz="0" w:space="0" w:color="auto"/>
            <w:left w:val="none" w:sz="0" w:space="0" w:color="auto"/>
            <w:bottom w:val="none" w:sz="0" w:space="0" w:color="auto"/>
            <w:right w:val="none" w:sz="0" w:space="0" w:color="auto"/>
          </w:divBdr>
        </w:div>
        <w:div w:id="8214649">
          <w:marLeft w:val="0"/>
          <w:marRight w:val="0"/>
          <w:marTop w:val="0"/>
          <w:marBottom w:val="0"/>
          <w:divBdr>
            <w:top w:val="none" w:sz="0" w:space="0" w:color="auto"/>
            <w:left w:val="none" w:sz="0" w:space="0" w:color="auto"/>
            <w:bottom w:val="none" w:sz="0" w:space="0" w:color="auto"/>
            <w:right w:val="none" w:sz="0" w:space="0" w:color="auto"/>
          </w:divBdr>
        </w:div>
        <w:div w:id="8214680">
          <w:marLeft w:val="0"/>
          <w:marRight w:val="0"/>
          <w:marTop w:val="0"/>
          <w:marBottom w:val="0"/>
          <w:divBdr>
            <w:top w:val="none" w:sz="0" w:space="0" w:color="auto"/>
            <w:left w:val="none" w:sz="0" w:space="0" w:color="auto"/>
            <w:bottom w:val="none" w:sz="0" w:space="0" w:color="auto"/>
            <w:right w:val="none" w:sz="0" w:space="0" w:color="auto"/>
          </w:divBdr>
        </w:div>
        <w:div w:id="8214681">
          <w:marLeft w:val="0"/>
          <w:marRight w:val="0"/>
          <w:marTop w:val="0"/>
          <w:marBottom w:val="0"/>
          <w:divBdr>
            <w:top w:val="none" w:sz="0" w:space="0" w:color="auto"/>
            <w:left w:val="none" w:sz="0" w:space="0" w:color="auto"/>
            <w:bottom w:val="none" w:sz="0" w:space="0" w:color="auto"/>
            <w:right w:val="none" w:sz="0" w:space="0" w:color="auto"/>
          </w:divBdr>
        </w:div>
        <w:div w:id="8214695">
          <w:marLeft w:val="0"/>
          <w:marRight w:val="0"/>
          <w:marTop w:val="0"/>
          <w:marBottom w:val="0"/>
          <w:divBdr>
            <w:top w:val="none" w:sz="0" w:space="0" w:color="auto"/>
            <w:left w:val="none" w:sz="0" w:space="0" w:color="auto"/>
            <w:bottom w:val="none" w:sz="0" w:space="0" w:color="auto"/>
            <w:right w:val="none" w:sz="0" w:space="0" w:color="auto"/>
          </w:divBdr>
        </w:div>
        <w:div w:id="8214702">
          <w:marLeft w:val="0"/>
          <w:marRight w:val="0"/>
          <w:marTop w:val="0"/>
          <w:marBottom w:val="0"/>
          <w:divBdr>
            <w:top w:val="none" w:sz="0" w:space="0" w:color="auto"/>
            <w:left w:val="none" w:sz="0" w:space="0" w:color="auto"/>
            <w:bottom w:val="none" w:sz="0" w:space="0" w:color="auto"/>
            <w:right w:val="none" w:sz="0" w:space="0" w:color="auto"/>
          </w:divBdr>
        </w:div>
        <w:div w:id="8214708">
          <w:marLeft w:val="0"/>
          <w:marRight w:val="0"/>
          <w:marTop w:val="0"/>
          <w:marBottom w:val="0"/>
          <w:divBdr>
            <w:top w:val="none" w:sz="0" w:space="0" w:color="auto"/>
            <w:left w:val="none" w:sz="0" w:space="0" w:color="auto"/>
            <w:bottom w:val="none" w:sz="0" w:space="0" w:color="auto"/>
            <w:right w:val="none" w:sz="0" w:space="0" w:color="auto"/>
          </w:divBdr>
        </w:div>
        <w:div w:id="8214727">
          <w:marLeft w:val="0"/>
          <w:marRight w:val="0"/>
          <w:marTop w:val="0"/>
          <w:marBottom w:val="0"/>
          <w:divBdr>
            <w:top w:val="none" w:sz="0" w:space="0" w:color="auto"/>
            <w:left w:val="none" w:sz="0" w:space="0" w:color="auto"/>
            <w:bottom w:val="none" w:sz="0" w:space="0" w:color="auto"/>
            <w:right w:val="none" w:sz="0" w:space="0" w:color="auto"/>
          </w:divBdr>
        </w:div>
      </w:divsChild>
    </w:div>
    <w:div w:id="8214665">
      <w:marLeft w:val="0"/>
      <w:marRight w:val="0"/>
      <w:marTop w:val="0"/>
      <w:marBottom w:val="0"/>
      <w:divBdr>
        <w:top w:val="none" w:sz="0" w:space="0" w:color="auto"/>
        <w:left w:val="none" w:sz="0" w:space="0" w:color="auto"/>
        <w:bottom w:val="none" w:sz="0" w:space="0" w:color="auto"/>
        <w:right w:val="none" w:sz="0" w:space="0" w:color="auto"/>
      </w:divBdr>
      <w:divsChild>
        <w:div w:id="8214654">
          <w:marLeft w:val="0"/>
          <w:marRight w:val="0"/>
          <w:marTop w:val="0"/>
          <w:marBottom w:val="0"/>
          <w:divBdr>
            <w:top w:val="none" w:sz="0" w:space="0" w:color="auto"/>
            <w:left w:val="none" w:sz="0" w:space="0" w:color="auto"/>
            <w:bottom w:val="none" w:sz="0" w:space="0" w:color="auto"/>
            <w:right w:val="none" w:sz="0" w:space="0" w:color="auto"/>
          </w:divBdr>
        </w:div>
        <w:div w:id="8214698">
          <w:marLeft w:val="0"/>
          <w:marRight w:val="0"/>
          <w:marTop w:val="0"/>
          <w:marBottom w:val="0"/>
          <w:divBdr>
            <w:top w:val="none" w:sz="0" w:space="0" w:color="auto"/>
            <w:left w:val="none" w:sz="0" w:space="0" w:color="auto"/>
            <w:bottom w:val="none" w:sz="0" w:space="0" w:color="auto"/>
            <w:right w:val="none" w:sz="0" w:space="0" w:color="auto"/>
          </w:divBdr>
        </w:div>
        <w:div w:id="8214734">
          <w:marLeft w:val="0"/>
          <w:marRight w:val="0"/>
          <w:marTop w:val="0"/>
          <w:marBottom w:val="0"/>
          <w:divBdr>
            <w:top w:val="none" w:sz="0" w:space="0" w:color="auto"/>
            <w:left w:val="none" w:sz="0" w:space="0" w:color="auto"/>
            <w:bottom w:val="none" w:sz="0" w:space="0" w:color="auto"/>
            <w:right w:val="none" w:sz="0" w:space="0" w:color="auto"/>
          </w:divBdr>
        </w:div>
      </w:divsChild>
    </w:div>
    <w:div w:id="8214685">
      <w:marLeft w:val="0"/>
      <w:marRight w:val="0"/>
      <w:marTop w:val="0"/>
      <w:marBottom w:val="0"/>
      <w:divBdr>
        <w:top w:val="none" w:sz="0" w:space="0" w:color="auto"/>
        <w:left w:val="none" w:sz="0" w:space="0" w:color="auto"/>
        <w:bottom w:val="none" w:sz="0" w:space="0" w:color="auto"/>
        <w:right w:val="none" w:sz="0" w:space="0" w:color="auto"/>
      </w:divBdr>
      <w:divsChild>
        <w:div w:id="8214648">
          <w:marLeft w:val="0"/>
          <w:marRight w:val="0"/>
          <w:marTop w:val="0"/>
          <w:marBottom w:val="0"/>
          <w:divBdr>
            <w:top w:val="none" w:sz="0" w:space="0" w:color="auto"/>
            <w:left w:val="none" w:sz="0" w:space="0" w:color="auto"/>
            <w:bottom w:val="none" w:sz="0" w:space="0" w:color="auto"/>
            <w:right w:val="none" w:sz="0" w:space="0" w:color="auto"/>
          </w:divBdr>
        </w:div>
        <w:div w:id="8214655">
          <w:marLeft w:val="0"/>
          <w:marRight w:val="0"/>
          <w:marTop w:val="0"/>
          <w:marBottom w:val="0"/>
          <w:divBdr>
            <w:top w:val="none" w:sz="0" w:space="0" w:color="auto"/>
            <w:left w:val="none" w:sz="0" w:space="0" w:color="auto"/>
            <w:bottom w:val="none" w:sz="0" w:space="0" w:color="auto"/>
            <w:right w:val="none" w:sz="0" w:space="0" w:color="auto"/>
          </w:divBdr>
        </w:div>
        <w:div w:id="8214657">
          <w:marLeft w:val="0"/>
          <w:marRight w:val="0"/>
          <w:marTop w:val="0"/>
          <w:marBottom w:val="0"/>
          <w:divBdr>
            <w:top w:val="none" w:sz="0" w:space="0" w:color="auto"/>
            <w:left w:val="none" w:sz="0" w:space="0" w:color="auto"/>
            <w:bottom w:val="none" w:sz="0" w:space="0" w:color="auto"/>
            <w:right w:val="none" w:sz="0" w:space="0" w:color="auto"/>
          </w:divBdr>
        </w:div>
        <w:div w:id="8214664">
          <w:marLeft w:val="0"/>
          <w:marRight w:val="0"/>
          <w:marTop w:val="0"/>
          <w:marBottom w:val="0"/>
          <w:divBdr>
            <w:top w:val="none" w:sz="0" w:space="0" w:color="auto"/>
            <w:left w:val="none" w:sz="0" w:space="0" w:color="auto"/>
            <w:bottom w:val="none" w:sz="0" w:space="0" w:color="auto"/>
            <w:right w:val="none" w:sz="0" w:space="0" w:color="auto"/>
          </w:divBdr>
        </w:div>
        <w:div w:id="8214666">
          <w:marLeft w:val="0"/>
          <w:marRight w:val="0"/>
          <w:marTop w:val="0"/>
          <w:marBottom w:val="0"/>
          <w:divBdr>
            <w:top w:val="none" w:sz="0" w:space="0" w:color="auto"/>
            <w:left w:val="none" w:sz="0" w:space="0" w:color="auto"/>
            <w:bottom w:val="none" w:sz="0" w:space="0" w:color="auto"/>
            <w:right w:val="none" w:sz="0" w:space="0" w:color="auto"/>
          </w:divBdr>
        </w:div>
        <w:div w:id="8214675">
          <w:marLeft w:val="0"/>
          <w:marRight w:val="0"/>
          <w:marTop w:val="0"/>
          <w:marBottom w:val="0"/>
          <w:divBdr>
            <w:top w:val="none" w:sz="0" w:space="0" w:color="auto"/>
            <w:left w:val="none" w:sz="0" w:space="0" w:color="auto"/>
            <w:bottom w:val="none" w:sz="0" w:space="0" w:color="auto"/>
            <w:right w:val="none" w:sz="0" w:space="0" w:color="auto"/>
          </w:divBdr>
        </w:div>
        <w:div w:id="8214691">
          <w:marLeft w:val="0"/>
          <w:marRight w:val="0"/>
          <w:marTop w:val="0"/>
          <w:marBottom w:val="0"/>
          <w:divBdr>
            <w:top w:val="none" w:sz="0" w:space="0" w:color="auto"/>
            <w:left w:val="none" w:sz="0" w:space="0" w:color="auto"/>
            <w:bottom w:val="none" w:sz="0" w:space="0" w:color="auto"/>
            <w:right w:val="none" w:sz="0" w:space="0" w:color="auto"/>
          </w:divBdr>
        </w:div>
        <w:div w:id="8214701">
          <w:marLeft w:val="0"/>
          <w:marRight w:val="0"/>
          <w:marTop w:val="0"/>
          <w:marBottom w:val="0"/>
          <w:divBdr>
            <w:top w:val="none" w:sz="0" w:space="0" w:color="auto"/>
            <w:left w:val="none" w:sz="0" w:space="0" w:color="auto"/>
            <w:bottom w:val="none" w:sz="0" w:space="0" w:color="auto"/>
            <w:right w:val="none" w:sz="0" w:space="0" w:color="auto"/>
          </w:divBdr>
        </w:div>
        <w:div w:id="8214725">
          <w:marLeft w:val="0"/>
          <w:marRight w:val="0"/>
          <w:marTop w:val="0"/>
          <w:marBottom w:val="0"/>
          <w:divBdr>
            <w:top w:val="none" w:sz="0" w:space="0" w:color="auto"/>
            <w:left w:val="none" w:sz="0" w:space="0" w:color="auto"/>
            <w:bottom w:val="none" w:sz="0" w:space="0" w:color="auto"/>
            <w:right w:val="none" w:sz="0" w:space="0" w:color="auto"/>
          </w:divBdr>
        </w:div>
        <w:div w:id="8214732">
          <w:marLeft w:val="0"/>
          <w:marRight w:val="0"/>
          <w:marTop w:val="0"/>
          <w:marBottom w:val="0"/>
          <w:divBdr>
            <w:top w:val="none" w:sz="0" w:space="0" w:color="auto"/>
            <w:left w:val="none" w:sz="0" w:space="0" w:color="auto"/>
            <w:bottom w:val="none" w:sz="0" w:space="0" w:color="auto"/>
            <w:right w:val="none" w:sz="0" w:space="0" w:color="auto"/>
          </w:divBdr>
        </w:div>
      </w:divsChild>
    </w:div>
    <w:div w:id="8214696">
      <w:marLeft w:val="0"/>
      <w:marRight w:val="0"/>
      <w:marTop w:val="0"/>
      <w:marBottom w:val="0"/>
      <w:divBdr>
        <w:top w:val="none" w:sz="0" w:space="0" w:color="auto"/>
        <w:left w:val="none" w:sz="0" w:space="0" w:color="auto"/>
        <w:bottom w:val="none" w:sz="0" w:space="0" w:color="auto"/>
        <w:right w:val="none" w:sz="0" w:space="0" w:color="auto"/>
      </w:divBdr>
      <w:divsChild>
        <w:div w:id="8214673">
          <w:marLeft w:val="0"/>
          <w:marRight w:val="0"/>
          <w:marTop w:val="0"/>
          <w:marBottom w:val="0"/>
          <w:divBdr>
            <w:top w:val="none" w:sz="0" w:space="0" w:color="auto"/>
            <w:left w:val="none" w:sz="0" w:space="0" w:color="auto"/>
            <w:bottom w:val="none" w:sz="0" w:space="0" w:color="auto"/>
            <w:right w:val="none" w:sz="0" w:space="0" w:color="auto"/>
          </w:divBdr>
        </w:div>
        <w:div w:id="8214689">
          <w:marLeft w:val="0"/>
          <w:marRight w:val="0"/>
          <w:marTop w:val="0"/>
          <w:marBottom w:val="0"/>
          <w:divBdr>
            <w:top w:val="none" w:sz="0" w:space="0" w:color="auto"/>
            <w:left w:val="none" w:sz="0" w:space="0" w:color="auto"/>
            <w:bottom w:val="none" w:sz="0" w:space="0" w:color="auto"/>
            <w:right w:val="none" w:sz="0" w:space="0" w:color="auto"/>
          </w:divBdr>
        </w:div>
      </w:divsChild>
    </w:div>
    <w:div w:id="8214712">
      <w:marLeft w:val="0"/>
      <w:marRight w:val="0"/>
      <w:marTop w:val="0"/>
      <w:marBottom w:val="0"/>
      <w:divBdr>
        <w:top w:val="none" w:sz="0" w:space="0" w:color="auto"/>
        <w:left w:val="none" w:sz="0" w:space="0" w:color="auto"/>
        <w:bottom w:val="none" w:sz="0" w:space="0" w:color="auto"/>
        <w:right w:val="none" w:sz="0" w:space="0" w:color="auto"/>
      </w:divBdr>
      <w:divsChild>
        <w:div w:id="8214639">
          <w:marLeft w:val="0"/>
          <w:marRight w:val="0"/>
          <w:marTop w:val="0"/>
          <w:marBottom w:val="0"/>
          <w:divBdr>
            <w:top w:val="none" w:sz="0" w:space="0" w:color="auto"/>
            <w:left w:val="none" w:sz="0" w:space="0" w:color="auto"/>
            <w:bottom w:val="none" w:sz="0" w:space="0" w:color="auto"/>
            <w:right w:val="none" w:sz="0" w:space="0" w:color="auto"/>
          </w:divBdr>
        </w:div>
        <w:div w:id="8214641">
          <w:marLeft w:val="0"/>
          <w:marRight w:val="0"/>
          <w:marTop w:val="0"/>
          <w:marBottom w:val="0"/>
          <w:divBdr>
            <w:top w:val="none" w:sz="0" w:space="0" w:color="auto"/>
            <w:left w:val="none" w:sz="0" w:space="0" w:color="auto"/>
            <w:bottom w:val="none" w:sz="0" w:space="0" w:color="auto"/>
            <w:right w:val="none" w:sz="0" w:space="0" w:color="auto"/>
          </w:divBdr>
        </w:div>
        <w:div w:id="8214642">
          <w:marLeft w:val="0"/>
          <w:marRight w:val="0"/>
          <w:marTop w:val="0"/>
          <w:marBottom w:val="0"/>
          <w:divBdr>
            <w:top w:val="none" w:sz="0" w:space="0" w:color="auto"/>
            <w:left w:val="none" w:sz="0" w:space="0" w:color="auto"/>
            <w:bottom w:val="none" w:sz="0" w:space="0" w:color="auto"/>
            <w:right w:val="none" w:sz="0" w:space="0" w:color="auto"/>
          </w:divBdr>
        </w:div>
        <w:div w:id="8214643">
          <w:marLeft w:val="0"/>
          <w:marRight w:val="0"/>
          <w:marTop w:val="0"/>
          <w:marBottom w:val="0"/>
          <w:divBdr>
            <w:top w:val="none" w:sz="0" w:space="0" w:color="auto"/>
            <w:left w:val="none" w:sz="0" w:space="0" w:color="auto"/>
            <w:bottom w:val="none" w:sz="0" w:space="0" w:color="auto"/>
            <w:right w:val="none" w:sz="0" w:space="0" w:color="auto"/>
          </w:divBdr>
        </w:div>
        <w:div w:id="8214646">
          <w:marLeft w:val="0"/>
          <w:marRight w:val="0"/>
          <w:marTop w:val="0"/>
          <w:marBottom w:val="0"/>
          <w:divBdr>
            <w:top w:val="none" w:sz="0" w:space="0" w:color="auto"/>
            <w:left w:val="none" w:sz="0" w:space="0" w:color="auto"/>
            <w:bottom w:val="none" w:sz="0" w:space="0" w:color="auto"/>
            <w:right w:val="none" w:sz="0" w:space="0" w:color="auto"/>
          </w:divBdr>
        </w:div>
        <w:div w:id="8214647">
          <w:marLeft w:val="0"/>
          <w:marRight w:val="0"/>
          <w:marTop w:val="0"/>
          <w:marBottom w:val="0"/>
          <w:divBdr>
            <w:top w:val="none" w:sz="0" w:space="0" w:color="auto"/>
            <w:left w:val="none" w:sz="0" w:space="0" w:color="auto"/>
            <w:bottom w:val="none" w:sz="0" w:space="0" w:color="auto"/>
            <w:right w:val="none" w:sz="0" w:space="0" w:color="auto"/>
          </w:divBdr>
        </w:div>
        <w:div w:id="8214651">
          <w:marLeft w:val="0"/>
          <w:marRight w:val="0"/>
          <w:marTop w:val="0"/>
          <w:marBottom w:val="0"/>
          <w:divBdr>
            <w:top w:val="none" w:sz="0" w:space="0" w:color="auto"/>
            <w:left w:val="none" w:sz="0" w:space="0" w:color="auto"/>
            <w:bottom w:val="none" w:sz="0" w:space="0" w:color="auto"/>
            <w:right w:val="none" w:sz="0" w:space="0" w:color="auto"/>
          </w:divBdr>
        </w:div>
        <w:div w:id="8214652">
          <w:marLeft w:val="0"/>
          <w:marRight w:val="0"/>
          <w:marTop w:val="0"/>
          <w:marBottom w:val="0"/>
          <w:divBdr>
            <w:top w:val="none" w:sz="0" w:space="0" w:color="auto"/>
            <w:left w:val="none" w:sz="0" w:space="0" w:color="auto"/>
            <w:bottom w:val="none" w:sz="0" w:space="0" w:color="auto"/>
            <w:right w:val="none" w:sz="0" w:space="0" w:color="auto"/>
          </w:divBdr>
        </w:div>
        <w:div w:id="8214653">
          <w:marLeft w:val="0"/>
          <w:marRight w:val="0"/>
          <w:marTop w:val="0"/>
          <w:marBottom w:val="0"/>
          <w:divBdr>
            <w:top w:val="none" w:sz="0" w:space="0" w:color="auto"/>
            <w:left w:val="none" w:sz="0" w:space="0" w:color="auto"/>
            <w:bottom w:val="none" w:sz="0" w:space="0" w:color="auto"/>
            <w:right w:val="none" w:sz="0" w:space="0" w:color="auto"/>
          </w:divBdr>
        </w:div>
        <w:div w:id="8214658">
          <w:marLeft w:val="0"/>
          <w:marRight w:val="0"/>
          <w:marTop w:val="0"/>
          <w:marBottom w:val="0"/>
          <w:divBdr>
            <w:top w:val="none" w:sz="0" w:space="0" w:color="auto"/>
            <w:left w:val="none" w:sz="0" w:space="0" w:color="auto"/>
            <w:bottom w:val="none" w:sz="0" w:space="0" w:color="auto"/>
            <w:right w:val="none" w:sz="0" w:space="0" w:color="auto"/>
          </w:divBdr>
        </w:div>
        <w:div w:id="8214659">
          <w:marLeft w:val="0"/>
          <w:marRight w:val="0"/>
          <w:marTop w:val="0"/>
          <w:marBottom w:val="0"/>
          <w:divBdr>
            <w:top w:val="none" w:sz="0" w:space="0" w:color="auto"/>
            <w:left w:val="none" w:sz="0" w:space="0" w:color="auto"/>
            <w:bottom w:val="none" w:sz="0" w:space="0" w:color="auto"/>
            <w:right w:val="none" w:sz="0" w:space="0" w:color="auto"/>
          </w:divBdr>
        </w:div>
        <w:div w:id="8214663">
          <w:marLeft w:val="0"/>
          <w:marRight w:val="0"/>
          <w:marTop w:val="0"/>
          <w:marBottom w:val="0"/>
          <w:divBdr>
            <w:top w:val="none" w:sz="0" w:space="0" w:color="auto"/>
            <w:left w:val="none" w:sz="0" w:space="0" w:color="auto"/>
            <w:bottom w:val="none" w:sz="0" w:space="0" w:color="auto"/>
            <w:right w:val="none" w:sz="0" w:space="0" w:color="auto"/>
          </w:divBdr>
        </w:div>
        <w:div w:id="8214667">
          <w:marLeft w:val="0"/>
          <w:marRight w:val="0"/>
          <w:marTop w:val="0"/>
          <w:marBottom w:val="0"/>
          <w:divBdr>
            <w:top w:val="none" w:sz="0" w:space="0" w:color="auto"/>
            <w:left w:val="none" w:sz="0" w:space="0" w:color="auto"/>
            <w:bottom w:val="none" w:sz="0" w:space="0" w:color="auto"/>
            <w:right w:val="none" w:sz="0" w:space="0" w:color="auto"/>
          </w:divBdr>
        </w:div>
        <w:div w:id="8214669">
          <w:marLeft w:val="0"/>
          <w:marRight w:val="0"/>
          <w:marTop w:val="0"/>
          <w:marBottom w:val="0"/>
          <w:divBdr>
            <w:top w:val="none" w:sz="0" w:space="0" w:color="auto"/>
            <w:left w:val="none" w:sz="0" w:space="0" w:color="auto"/>
            <w:bottom w:val="none" w:sz="0" w:space="0" w:color="auto"/>
            <w:right w:val="none" w:sz="0" w:space="0" w:color="auto"/>
          </w:divBdr>
        </w:div>
        <w:div w:id="8214671">
          <w:marLeft w:val="0"/>
          <w:marRight w:val="0"/>
          <w:marTop w:val="0"/>
          <w:marBottom w:val="0"/>
          <w:divBdr>
            <w:top w:val="none" w:sz="0" w:space="0" w:color="auto"/>
            <w:left w:val="none" w:sz="0" w:space="0" w:color="auto"/>
            <w:bottom w:val="none" w:sz="0" w:space="0" w:color="auto"/>
            <w:right w:val="none" w:sz="0" w:space="0" w:color="auto"/>
          </w:divBdr>
        </w:div>
        <w:div w:id="8214672">
          <w:marLeft w:val="0"/>
          <w:marRight w:val="0"/>
          <w:marTop w:val="0"/>
          <w:marBottom w:val="0"/>
          <w:divBdr>
            <w:top w:val="none" w:sz="0" w:space="0" w:color="auto"/>
            <w:left w:val="none" w:sz="0" w:space="0" w:color="auto"/>
            <w:bottom w:val="none" w:sz="0" w:space="0" w:color="auto"/>
            <w:right w:val="none" w:sz="0" w:space="0" w:color="auto"/>
          </w:divBdr>
        </w:div>
        <w:div w:id="8214674">
          <w:marLeft w:val="0"/>
          <w:marRight w:val="0"/>
          <w:marTop w:val="0"/>
          <w:marBottom w:val="0"/>
          <w:divBdr>
            <w:top w:val="none" w:sz="0" w:space="0" w:color="auto"/>
            <w:left w:val="none" w:sz="0" w:space="0" w:color="auto"/>
            <w:bottom w:val="none" w:sz="0" w:space="0" w:color="auto"/>
            <w:right w:val="none" w:sz="0" w:space="0" w:color="auto"/>
          </w:divBdr>
        </w:div>
        <w:div w:id="8214676">
          <w:marLeft w:val="0"/>
          <w:marRight w:val="0"/>
          <w:marTop w:val="0"/>
          <w:marBottom w:val="0"/>
          <w:divBdr>
            <w:top w:val="none" w:sz="0" w:space="0" w:color="auto"/>
            <w:left w:val="none" w:sz="0" w:space="0" w:color="auto"/>
            <w:bottom w:val="none" w:sz="0" w:space="0" w:color="auto"/>
            <w:right w:val="none" w:sz="0" w:space="0" w:color="auto"/>
          </w:divBdr>
        </w:div>
        <w:div w:id="8214678">
          <w:marLeft w:val="0"/>
          <w:marRight w:val="0"/>
          <w:marTop w:val="0"/>
          <w:marBottom w:val="0"/>
          <w:divBdr>
            <w:top w:val="none" w:sz="0" w:space="0" w:color="auto"/>
            <w:left w:val="none" w:sz="0" w:space="0" w:color="auto"/>
            <w:bottom w:val="none" w:sz="0" w:space="0" w:color="auto"/>
            <w:right w:val="none" w:sz="0" w:space="0" w:color="auto"/>
          </w:divBdr>
        </w:div>
        <w:div w:id="8214679">
          <w:marLeft w:val="0"/>
          <w:marRight w:val="0"/>
          <w:marTop w:val="0"/>
          <w:marBottom w:val="0"/>
          <w:divBdr>
            <w:top w:val="none" w:sz="0" w:space="0" w:color="auto"/>
            <w:left w:val="none" w:sz="0" w:space="0" w:color="auto"/>
            <w:bottom w:val="none" w:sz="0" w:space="0" w:color="auto"/>
            <w:right w:val="none" w:sz="0" w:space="0" w:color="auto"/>
          </w:divBdr>
        </w:div>
        <w:div w:id="8214682">
          <w:marLeft w:val="0"/>
          <w:marRight w:val="0"/>
          <w:marTop w:val="0"/>
          <w:marBottom w:val="0"/>
          <w:divBdr>
            <w:top w:val="none" w:sz="0" w:space="0" w:color="auto"/>
            <w:left w:val="none" w:sz="0" w:space="0" w:color="auto"/>
            <w:bottom w:val="none" w:sz="0" w:space="0" w:color="auto"/>
            <w:right w:val="none" w:sz="0" w:space="0" w:color="auto"/>
          </w:divBdr>
        </w:div>
        <w:div w:id="8214686">
          <w:marLeft w:val="0"/>
          <w:marRight w:val="0"/>
          <w:marTop w:val="0"/>
          <w:marBottom w:val="0"/>
          <w:divBdr>
            <w:top w:val="none" w:sz="0" w:space="0" w:color="auto"/>
            <w:left w:val="none" w:sz="0" w:space="0" w:color="auto"/>
            <w:bottom w:val="none" w:sz="0" w:space="0" w:color="auto"/>
            <w:right w:val="none" w:sz="0" w:space="0" w:color="auto"/>
          </w:divBdr>
        </w:div>
        <w:div w:id="8214687">
          <w:marLeft w:val="0"/>
          <w:marRight w:val="0"/>
          <w:marTop w:val="0"/>
          <w:marBottom w:val="0"/>
          <w:divBdr>
            <w:top w:val="none" w:sz="0" w:space="0" w:color="auto"/>
            <w:left w:val="none" w:sz="0" w:space="0" w:color="auto"/>
            <w:bottom w:val="none" w:sz="0" w:space="0" w:color="auto"/>
            <w:right w:val="none" w:sz="0" w:space="0" w:color="auto"/>
          </w:divBdr>
        </w:div>
        <w:div w:id="8214688">
          <w:marLeft w:val="0"/>
          <w:marRight w:val="0"/>
          <w:marTop w:val="0"/>
          <w:marBottom w:val="0"/>
          <w:divBdr>
            <w:top w:val="none" w:sz="0" w:space="0" w:color="auto"/>
            <w:left w:val="none" w:sz="0" w:space="0" w:color="auto"/>
            <w:bottom w:val="none" w:sz="0" w:space="0" w:color="auto"/>
            <w:right w:val="none" w:sz="0" w:space="0" w:color="auto"/>
          </w:divBdr>
        </w:div>
        <w:div w:id="8214690">
          <w:marLeft w:val="0"/>
          <w:marRight w:val="0"/>
          <w:marTop w:val="0"/>
          <w:marBottom w:val="0"/>
          <w:divBdr>
            <w:top w:val="none" w:sz="0" w:space="0" w:color="auto"/>
            <w:left w:val="none" w:sz="0" w:space="0" w:color="auto"/>
            <w:bottom w:val="none" w:sz="0" w:space="0" w:color="auto"/>
            <w:right w:val="none" w:sz="0" w:space="0" w:color="auto"/>
          </w:divBdr>
        </w:div>
        <w:div w:id="8214693">
          <w:marLeft w:val="0"/>
          <w:marRight w:val="0"/>
          <w:marTop w:val="0"/>
          <w:marBottom w:val="0"/>
          <w:divBdr>
            <w:top w:val="none" w:sz="0" w:space="0" w:color="auto"/>
            <w:left w:val="none" w:sz="0" w:space="0" w:color="auto"/>
            <w:bottom w:val="none" w:sz="0" w:space="0" w:color="auto"/>
            <w:right w:val="none" w:sz="0" w:space="0" w:color="auto"/>
          </w:divBdr>
        </w:div>
        <w:div w:id="8214694">
          <w:marLeft w:val="0"/>
          <w:marRight w:val="0"/>
          <w:marTop w:val="0"/>
          <w:marBottom w:val="0"/>
          <w:divBdr>
            <w:top w:val="none" w:sz="0" w:space="0" w:color="auto"/>
            <w:left w:val="none" w:sz="0" w:space="0" w:color="auto"/>
            <w:bottom w:val="none" w:sz="0" w:space="0" w:color="auto"/>
            <w:right w:val="none" w:sz="0" w:space="0" w:color="auto"/>
          </w:divBdr>
        </w:div>
        <w:div w:id="8214697">
          <w:marLeft w:val="0"/>
          <w:marRight w:val="0"/>
          <w:marTop w:val="0"/>
          <w:marBottom w:val="0"/>
          <w:divBdr>
            <w:top w:val="none" w:sz="0" w:space="0" w:color="auto"/>
            <w:left w:val="none" w:sz="0" w:space="0" w:color="auto"/>
            <w:bottom w:val="none" w:sz="0" w:space="0" w:color="auto"/>
            <w:right w:val="none" w:sz="0" w:space="0" w:color="auto"/>
          </w:divBdr>
        </w:div>
        <w:div w:id="8214700">
          <w:marLeft w:val="0"/>
          <w:marRight w:val="0"/>
          <w:marTop w:val="0"/>
          <w:marBottom w:val="0"/>
          <w:divBdr>
            <w:top w:val="none" w:sz="0" w:space="0" w:color="auto"/>
            <w:left w:val="none" w:sz="0" w:space="0" w:color="auto"/>
            <w:bottom w:val="none" w:sz="0" w:space="0" w:color="auto"/>
            <w:right w:val="none" w:sz="0" w:space="0" w:color="auto"/>
          </w:divBdr>
        </w:div>
        <w:div w:id="8214704">
          <w:marLeft w:val="0"/>
          <w:marRight w:val="0"/>
          <w:marTop w:val="0"/>
          <w:marBottom w:val="0"/>
          <w:divBdr>
            <w:top w:val="none" w:sz="0" w:space="0" w:color="auto"/>
            <w:left w:val="none" w:sz="0" w:space="0" w:color="auto"/>
            <w:bottom w:val="none" w:sz="0" w:space="0" w:color="auto"/>
            <w:right w:val="none" w:sz="0" w:space="0" w:color="auto"/>
          </w:divBdr>
        </w:div>
        <w:div w:id="8214705">
          <w:marLeft w:val="0"/>
          <w:marRight w:val="0"/>
          <w:marTop w:val="0"/>
          <w:marBottom w:val="0"/>
          <w:divBdr>
            <w:top w:val="none" w:sz="0" w:space="0" w:color="auto"/>
            <w:left w:val="none" w:sz="0" w:space="0" w:color="auto"/>
            <w:bottom w:val="none" w:sz="0" w:space="0" w:color="auto"/>
            <w:right w:val="none" w:sz="0" w:space="0" w:color="auto"/>
          </w:divBdr>
        </w:div>
        <w:div w:id="8214706">
          <w:marLeft w:val="0"/>
          <w:marRight w:val="0"/>
          <w:marTop w:val="0"/>
          <w:marBottom w:val="0"/>
          <w:divBdr>
            <w:top w:val="none" w:sz="0" w:space="0" w:color="auto"/>
            <w:left w:val="none" w:sz="0" w:space="0" w:color="auto"/>
            <w:bottom w:val="none" w:sz="0" w:space="0" w:color="auto"/>
            <w:right w:val="none" w:sz="0" w:space="0" w:color="auto"/>
          </w:divBdr>
        </w:div>
        <w:div w:id="8214707">
          <w:marLeft w:val="0"/>
          <w:marRight w:val="0"/>
          <w:marTop w:val="0"/>
          <w:marBottom w:val="0"/>
          <w:divBdr>
            <w:top w:val="none" w:sz="0" w:space="0" w:color="auto"/>
            <w:left w:val="none" w:sz="0" w:space="0" w:color="auto"/>
            <w:bottom w:val="none" w:sz="0" w:space="0" w:color="auto"/>
            <w:right w:val="none" w:sz="0" w:space="0" w:color="auto"/>
          </w:divBdr>
        </w:div>
        <w:div w:id="8214709">
          <w:marLeft w:val="0"/>
          <w:marRight w:val="0"/>
          <w:marTop w:val="0"/>
          <w:marBottom w:val="0"/>
          <w:divBdr>
            <w:top w:val="none" w:sz="0" w:space="0" w:color="auto"/>
            <w:left w:val="none" w:sz="0" w:space="0" w:color="auto"/>
            <w:bottom w:val="none" w:sz="0" w:space="0" w:color="auto"/>
            <w:right w:val="none" w:sz="0" w:space="0" w:color="auto"/>
          </w:divBdr>
        </w:div>
        <w:div w:id="8214711">
          <w:marLeft w:val="0"/>
          <w:marRight w:val="0"/>
          <w:marTop w:val="0"/>
          <w:marBottom w:val="0"/>
          <w:divBdr>
            <w:top w:val="none" w:sz="0" w:space="0" w:color="auto"/>
            <w:left w:val="none" w:sz="0" w:space="0" w:color="auto"/>
            <w:bottom w:val="none" w:sz="0" w:space="0" w:color="auto"/>
            <w:right w:val="none" w:sz="0" w:space="0" w:color="auto"/>
          </w:divBdr>
        </w:div>
        <w:div w:id="8214713">
          <w:marLeft w:val="0"/>
          <w:marRight w:val="0"/>
          <w:marTop w:val="0"/>
          <w:marBottom w:val="0"/>
          <w:divBdr>
            <w:top w:val="none" w:sz="0" w:space="0" w:color="auto"/>
            <w:left w:val="none" w:sz="0" w:space="0" w:color="auto"/>
            <w:bottom w:val="none" w:sz="0" w:space="0" w:color="auto"/>
            <w:right w:val="none" w:sz="0" w:space="0" w:color="auto"/>
          </w:divBdr>
        </w:div>
        <w:div w:id="8214714">
          <w:marLeft w:val="0"/>
          <w:marRight w:val="0"/>
          <w:marTop w:val="0"/>
          <w:marBottom w:val="0"/>
          <w:divBdr>
            <w:top w:val="none" w:sz="0" w:space="0" w:color="auto"/>
            <w:left w:val="none" w:sz="0" w:space="0" w:color="auto"/>
            <w:bottom w:val="none" w:sz="0" w:space="0" w:color="auto"/>
            <w:right w:val="none" w:sz="0" w:space="0" w:color="auto"/>
          </w:divBdr>
        </w:div>
        <w:div w:id="8214716">
          <w:marLeft w:val="0"/>
          <w:marRight w:val="0"/>
          <w:marTop w:val="0"/>
          <w:marBottom w:val="0"/>
          <w:divBdr>
            <w:top w:val="none" w:sz="0" w:space="0" w:color="auto"/>
            <w:left w:val="none" w:sz="0" w:space="0" w:color="auto"/>
            <w:bottom w:val="none" w:sz="0" w:space="0" w:color="auto"/>
            <w:right w:val="none" w:sz="0" w:space="0" w:color="auto"/>
          </w:divBdr>
        </w:div>
        <w:div w:id="8214717">
          <w:marLeft w:val="0"/>
          <w:marRight w:val="0"/>
          <w:marTop w:val="0"/>
          <w:marBottom w:val="0"/>
          <w:divBdr>
            <w:top w:val="none" w:sz="0" w:space="0" w:color="auto"/>
            <w:left w:val="none" w:sz="0" w:space="0" w:color="auto"/>
            <w:bottom w:val="none" w:sz="0" w:space="0" w:color="auto"/>
            <w:right w:val="none" w:sz="0" w:space="0" w:color="auto"/>
          </w:divBdr>
        </w:div>
        <w:div w:id="8214718">
          <w:marLeft w:val="0"/>
          <w:marRight w:val="0"/>
          <w:marTop w:val="0"/>
          <w:marBottom w:val="0"/>
          <w:divBdr>
            <w:top w:val="none" w:sz="0" w:space="0" w:color="auto"/>
            <w:left w:val="none" w:sz="0" w:space="0" w:color="auto"/>
            <w:bottom w:val="none" w:sz="0" w:space="0" w:color="auto"/>
            <w:right w:val="none" w:sz="0" w:space="0" w:color="auto"/>
          </w:divBdr>
        </w:div>
        <w:div w:id="8214719">
          <w:marLeft w:val="0"/>
          <w:marRight w:val="0"/>
          <w:marTop w:val="0"/>
          <w:marBottom w:val="0"/>
          <w:divBdr>
            <w:top w:val="none" w:sz="0" w:space="0" w:color="auto"/>
            <w:left w:val="none" w:sz="0" w:space="0" w:color="auto"/>
            <w:bottom w:val="none" w:sz="0" w:space="0" w:color="auto"/>
            <w:right w:val="none" w:sz="0" w:space="0" w:color="auto"/>
          </w:divBdr>
        </w:div>
        <w:div w:id="8214720">
          <w:marLeft w:val="0"/>
          <w:marRight w:val="0"/>
          <w:marTop w:val="0"/>
          <w:marBottom w:val="0"/>
          <w:divBdr>
            <w:top w:val="none" w:sz="0" w:space="0" w:color="auto"/>
            <w:left w:val="none" w:sz="0" w:space="0" w:color="auto"/>
            <w:bottom w:val="none" w:sz="0" w:space="0" w:color="auto"/>
            <w:right w:val="none" w:sz="0" w:space="0" w:color="auto"/>
          </w:divBdr>
        </w:div>
        <w:div w:id="8214721">
          <w:marLeft w:val="0"/>
          <w:marRight w:val="0"/>
          <w:marTop w:val="0"/>
          <w:marBottom w:val="0"/>
          <w:divBdr>
            <w:top w:val="none" w:sz="0" w:space="0" w:color="auto"/>
            <w:left w:val="none" w:sz="0" w:space="0" w:color="auto"/>
            <w:bottom w:val="none" w:sz="0" w:space="0" w:color="auto"/>
            <w:right w:val="none" w:sz="0" w:space="0" w:color="auto"/>
          </w:divBdr>
        </w:div>
        <w:div w:id="8214723">
          <w:marLeft w:val="0"/>
          <w:marRight w:val="0"/>
          <w:marTop w:val="0"/>
          <w:marBottom w:val="0"/>
          <w:divBdr>
            <w:top w:val="none" w:sz="0" w:space="0" w:color="auto"/>
            <w:left w:val="none" w:sz="0" w:space="0" w:color="auto"/>
            <w:bottom w:val="none" w:sz="0" w:space="0" w:color="auto"/>
            <w:right w:val="none" w:sz="0" w:space="0" w:color="auto"/>
          </w:divBdr>
        </w:div>
        <w:div w:id="8214726">
          <w:marLeft w:val="0"/>
          <w:marRight w:val="0"/>
          <w:marTop w:val="0"/>
          <w:marBottom w:val="0"/>
          <w:divBdr>
            <w:top w:val="none" w:sz="0" w:space="0" w:color="auto"/>
            <w:left w:val="none" w:sz="0" w:space="0" w:color="auto"/>
            <w:bottom w:val="none" w:sz="0" w:space="0" w:color="auto"/>
            <w:right w:val="none" w:sz="0" w:space="0" w:color="auto"/>
          </w:divBdr>
        </w:div>
        <w:div w:id="8214730">
          <w:marLeft w:val="0"/>
          <w:marRight w:val="0"/>
          <w:marTop w:val="0"/>
          <w:marBottom w:val="0"/>
          <w:divBdr>
            <w:top w:val="none" w:sz="0" w:space="0" w:color="auto"/>
            <w:left w:val="none" w:sz="0" w:space="0" w:color="auto"/>
            <w:bottom w:val="none" w:sz="0" w:space="0" w:color="auto"/>
            <w:right w:val="none" w:sz="0" w:space="0" w:color="auto"/>
          </w:divBdr>
        </w:div>
        <w:div w:id="8214731">
          <w:marLeft w:val="0"/>
          <w:marRight w:val="0"/>
          <w:marTop w:val="0"/>
          <w:marBottom w:val="0"/>
          <w:divBdr>
            <w:top w:val="none" w:sz="0" w:space="0" w:color="auto"/>
            <w:left w:val="none" w:sz="0" w:space="0" w:color="auto"/>
            <w:bottom w:val="none" w:sz="0" w:space="0" w:color="auto"/>
            <w:right w:val="none" w:sz="0" w:space="0" w:color="auto"/>
          </w:divBdr>
        </w:div>
        <w:div w:id="8214733">
          <w:marLeft w:val="0"/>
          <w:marRight w:val="0"/>
          <w:marTop w:val="0"/>
          <w:marBottom w:val="0"/>
          <w:divBdr>
            <w:top w:val="none" w:sz="0" w:space="0" w:color="auto"/>
            <w:left w:val="none" w:sz="0" w:space="0" w:color="auto"/>
            <w:bottom w:val="none" w:sz="0" w:space="0" w:color="auto"/>
            <w:right w:val="none" w:sz="0" w:space="0" w:color="auto"/>
          </w:divBdr>
        </w:div>
      </w:divsChild>
    </w:div>
    <w:div w:id="8214724">
      <w:marLeft w:val="0"/>
      <w:marRight w:val="0"/>
      <w:marTop w:val="0"/>
      <w:marBottom w:val="0"/>
      <w:divBdr>
        <w:top w:val="none" w:sz="0" w:space="0" w:color="auto"/>
        <w:left w:val="none" w:sz="0" w:space="0" w:color="auto"/>
        <w:bottom w:val="none" w:sz="0" w:space="0" w:color="auto"/>
        <w:right w:val="none" w:sz="0" w:space="0" w:color="auto"/>
      </w:divBdr>
      <w:divsChild>
        <w:div w:id="8214662">
          <w:marLeft w:val="0"/>
          <w:marRight w:val="0"/>
          <w:marTop w:val="0"/>
          <w:marBottom w:val="0"/>
          <w:divBdr>
            <w:top w:val="none" w:sz="0" w:space="0" w:color="auto"/>
            <w:left w:val="none" w:sz="0" w:space="0" w:color="auto"/>
            <w:bottom w:val="none" w:sz="0" w:space="0" w:color="auto"/>
            <w:right w:val="none" w:sz="0" w:space="0" w:color="auto"/>
          </w:divBdr>
        </w:div>
        <w:div w:id="8214668">
          <w:marLeft w:val="0"/>
          <w:marRight w:val="0"/>
          <w:marTop w:val="0"/>
          <w:marBottom w:val="0"/>
          <w:divBdr>
            <w:top w:val="none" w:sz="0" w:space="0" w:color="auto"/>
            <w:left w:val="none" w:sz="0" w:space="0" w:color="auto"/>
            <w:bottom w:val="none" w:sz="0" w:space="0" w:color="auto"/>
            <w:right w:val="none" w:sz="0" w:space="0" w:color="auto"/>
          </w:divBdr>
        </w:div>
      </w:divsChild>
    </w:div>
    <w:div w:id="8214728">
      <w:marLeft w:val="0"/>
      <w:marRight w:val="0"/>
      <w:marTop w:val="0"/>
      <w:marBottom w:val="0"/>
      <w:divBdr>
        <w:top w:val="none" w:sz="0" w:space="0" w:color="auto"/>
        <w:left w:val="none" w:sz="0" w:space="0" w:color="auto"/>
        <w:bottom w:val="none" w:sz="0" w:space="0" w:color="auto"/>
        <w:right w:val="none" w:sz="0" w:space="0" w:color="auto"/>
      </w:divBdr>
    </w:div>
    <w:div w:id="1815171506">
      <w:bodyDiv w:val="1"/>
      <w:marLeft w:val="0"/>
      <w:marRight w:val="0"/>
      <w:marTop w:val="0"/>
      <w:marBottom w:val="0"/>
      <w:divBdr>
        <w:top w:val="none" w:sz="0" w:space="0" w:color="auto"/>
        <w:left w:val="none" w:sz="0" w:space="0" w:color="auto"/>
        <w:bottom w:val="none" w:sz="0" w:space="0" w:color="auto"/>
        <w:right w:val="none" w:sz="0" w:space="0" w:color="auto"/>
      </w:divBdr>
      <w:divsChild>
        <w:div w:id="1002125343">
          <w:marLeft w:val="0"/>
          <w:marRight w:val="0"/>
          <w:marTop w:val="0"/>
          <w:marBottom w:val="0"/>
          <w:divBdr>
            <w:top w:val="none" w:sz="0" w:space="0" w:color="auto"/>
            <w:left w:val="none" w:sz="0" w:space="0" w:color="auto"/>
            <w:bottom w:val="none" w:sz="0" w:space="0" w:color="auto"/>
            <w:right w:val="none" w:sz="0" w:space="0" w:color="auto"/>
          </w:divBdr>
        </w:div>
        <w:div w:id="584415705">
          <w:marLeft w:val="0"/>
          <w:marRight w:val="0"/>
          <w:marTop w:val="0"/>
          <w:marBottom w:val="0"/>
          <w:divBdr>
            <w:top w:val="none" w:sz="0" w:space="0" w:color="auto"/>
            <w:left w:val="none" w:sz="0" w:space="0" w:color="auto"/>
            <w:bottom w:val="none" w:sz="0" w:space="0" w:color="auto"/>
            <w:right w:val="none" w:sz="0" w:space="0" w:color="auto"/>
          </w:divBdr>
        </w:div>
        <w:div w:id="745415033">
          <w:marLeft w:val="0"/>
          <w:marRight w:val="0"/>
          <w:marTop w:val="0"/>
          <w:marBottom w:val="0"/>
          <w:divBdr>
            <w:top w:val="none" w:sz="0" w:space="0" w:color="auto"/>
            <w:left w:val="none" w:sz="0" w:space="0" w:color="auto"/>
            <w:bottom w:val="none" w:sz="0" w:space="0" w:color="auto"/>
            <w:right w:val="none" w:sz="0" w:space="0" w:color="auto"/>
          </w:divBdr>
        </w:div>
        <w:div w:id="756174658">
          <w:marLeft w:val="0"/>
          <w:marRight w:val="0"/>
          <w:marTop w:val="0"/>
          <w:marBottom w:val="0"/>
          <w:divBdr>
            <w:top w:val="none" w:sz="0" w:space="0" w:color="auto"/>
            <w:left w:val="none" w:sz="0" w:space="0" w:color="auto"/>
            <w:bottom w:val="none" w:sz="0" w:space="0" w:color="auto"/>
            <w:right w:val="none" w:sz="0" w:space="0" w:color="auto"/>
          </w:divBdr>
        </w:div>
        <w:div w:id="1099715238">
          <w:marLeft w:val="0"/>
          <w:marRight w:val="0"/>
          <w:marTop w:val="0"/>
          <w:marBottom w:val="0"/>
          <w:divBdr>
            <w:top w:val="none" w:sz="0" w:space="0" w:color="auto"/>
            <w:left w:val="none" w:sz="0" w:space="0" w:color="auto"/>
            <w:bottom w:val="none" w:sz="0" w:space="0" w:color="auto"/>
            <w:right w:val="none" w:sz="0" w:space="0" w:color="auto"/>
          </w:divBdr>
        </w:div>
        <w:div w:id="958023384">
          <w:marLeft w:val="0"/>
          <w:marRight w:val="0"/>
          <w:marTop w:val="0"/>
          <w:marBottom w:val="0"/>
          <w:divBdr>
            <w:top w:val="none" w:sz="0" w:space="0" w:color="auto"/>
            <w:left w:val="none" w:sz="0" w:space="0" w:color="auto"/>
            <w:bottom w:val="none" w:sz="0" w:space="0" w:color="auto"/>
            <w:right w:val="none" w:sz="0" w:space="0" w:color="auto"/>
          </w:divBdr>
        </w:div>
        <w:div w:id="1675378431">
          <w:marLeft w:val="0"/>
          <w:marRight w:val="0"/>
          <w:marTop w:val="0"/>
          <w:marBottom w:val="0"/>
          <w:divBdr>
            <w:top w:val="none" w:sz="0" w:space="0" w:color="auto"/>
            <w:left w:val="none" w:sz="0" w:space="0" w:color="auto"/>
            <w:bottom w:val="none" w:sz="0" w:space="0" w:color="auto"/>
            <w:right w:val="none" w:sz="0" w:space="0" w:color="auto"/>
          </w:divBdr>
        </w:div>
        <w:div w:id="1381006526">
          <w:marLeft w:val="0"/>
          <w:marRight w:val="0"/>
          <w:marTop w:val="0"/>
          <w:marBottom w:val="0"/>
          <w:divBdr>
            <w:top w:val="none" w:sz="0" w:space="0" w:color="auto"/>
            <w:left w:val="none" w:sz="0" w:space="0" w:color="auto"/>
            <w:bottom w:val="none" w:sz="0" w:space="0" w:color="auto"/>
            <w:right w:val="none" w:sz="0" w:space="0" w:color="auto"/>
          </w:divBdr>
        </w:div>
        <w:div w:id="865870910">
          <w:marLeft w:val="0"/>
          <w:marRight w:val="0"/>
          <w:marTop w:val="0"/>
          <w:marBottom w:val="0"/>
          <w:divBdr>
            <w:top w:val="none" w:sz="0" w:space="0" w:color="auto"/>
            <w:left w:val="none" w:sz="0" w:space="0" w:color="auto"/>
            <w:bottom w:val="none" w:sz="0" w:space="0" w:color="auto"/>
            <w:right w:val="none" w:sz="0" w:space="0" w:color="auto"/>
          </w:divBdr>
        </w:div>
        <w:div w:id="70585971">
          <w:marLeft w:val="0"/>
          <w:marRight w:val="0"/>
          <w:marTop w:val="0"/>
          <w:marBottom w:val="0"/>
          <w:divBdr>
            <w:top w:val="none" w:sz="0" w:space="0" w:color="auto"/>
            <w:left w:val="none" w:sz="0" w:space="0" w:color="auto"/>
            <w:bottom w:val="none" w:sz="0" w:space="0" w:color="auto"/>
            <w:right w:val="none" w:sz="0" w:space="0" w:color="auto"/>
          </w:divBdr>
        </w:div>
        <w:div w:id="146685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Daily_Telegra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Georgia_(coun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Open_sour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Gabi_Ashkenazi" TargetMode="External"/><Relationship Id="rId4" Type="http://schemas.openxmlformats.org/officeDocument/2006/relationships/settings" Target="settings.xml"/><Relationship Id="rId9" Type="http://schemas.openxmlformats.org/officeDocument/2006/relationships/hyperlink" Target="http://en.wikipedia.org/wiki/Israel_Defense_Forc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tic.e-publishing.af.mil/production/1/af_cv/publication/afdd3-12/afdd3-12.pdf" TargetMode="External"/><Relationship Id="rId2" Type="http://schemas.openxmlformats.org/officeDocument/2006/relationships/hyperlink" Target="http://www.telegraph.co.uk/news/worldnews/middleeast/israel/8326387/Israel-video-shows-Stuxnet-as-one-of-its-successes.html" TargetMode="External"/><Relationship Id="rId1" Type="http://schemas.openxmlformats.org/officeDocument/2006/relationships/hyperlink" Target="http://www.un.org/disarmament/HomePage/ODAPublications/DisarmamentStudySeries/" TargetMode="External"/><Relationship Id="rId4" Type="http://schemas.openxmlformats.org/officeDocument/2006/relationships/hyperlink" Target="http://deity.gov.in/sites/upload_files/dit/files/ncsp_060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DDDE-33B4-4F9C-9146-0148F7F8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42</Pages>
  <Words>12208</Words>
  <Characters>69587</Characters>
  <Application>Microsoft Office Word</Application>
  <DocSecurity>0</DocSecurity>
  <Lines>579</Lines>
  <Paragraphs>163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Roscini</cp:lastModifiedBy>
  <cp:revision>2</cp:revision>
  <cp:lastPrinted>2014-07-07T14:51:00Z</cp:lastPrinted>
  <dcterms:created xsi:type="dcterms:W3CDTF">2014-07-04T09:13:00Z</dcterms:created>
  <dcterms:modified xsi:type="dcterms:W3CDTF">2015-02-03T15:08:00Z</dcterms:modified>
</cp:coreProperties>
</file>