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D6BF12" w14:textId="7FFB9AA2" w:rsidR="005736CD" w:rsidRPr="009C7D07" w:rsidRDefault="005736CD" w:rsidP="00796965">
      <w:pPr>
        <w:spacing w:line="480" w:lineRule="auto"/>
        <w:rPr>
          <w:b/>
          <w:color w:val="000000" w:themeColor="text1"/>
          <w:lang w:val="en-US"/>
        </w:rPr>
      </w:pPr>
      <w:r w:rsidRPr="009C7D07">
        <w:rPr>
          <w:b/>
          <w:color w:val="000000" w:themeColor="text1"/>
          <w:lang w:val="en-US"/>
        </w:rPr>
        <w:t>Acute alcohol tissue damage: Protective properties of betaine</w:t>
      </w:r>
    </w:p>
    <w:p w14:paraId="246CD082" w14:textId="13856B0A" w:rsidR="005736CD" w:rsidRPr="009C7D07" w:rsidRDefault="00423D7E" w:rsidP="00796965">
      <w:pPr>
        <w:spacing w:line="480" w:lineRule="auto"/>
        <w:rPr>
          <w:color w:val="000000" w:themeColor="text1"/>
          <w:lang w:val="en-US"/>
        </w:rPr>
      </w:pPr>
      <w:r w:rsidRPr="009C7D07">
        <w:rPr>
          <w:color w:val="000000" w:themeColor="text1"/>
          <w:lang w:val="en-US"/>
        </w:rPr>
        <w:t>Petagine, L</w:t>
      </w:r>
      <w:r w:rsidRPr="009C7D07">
        <w:rPr>
          <w:color w:val="000000" w:themeColor="text1"/>
          <w:vertAlign w:val="superscript"/>
          <w:lang w:val="en-US"/>
        </w:rPr>
        <w:t>1</w:t>
      </w:r>
      <w:r w:rsidRPr="009C7D07">
        <w:rPr>
          <w:color w:val="000000" w:themeColor="text1"/>
          <w:lang w:val="en-US"/>
        </w:rPr>
        <w:t xml:space="preserve">, </w:t>
      </w:r>
      <w:r w:rsidR="005736CD" w:rsidRPr="009C7D07">
        <w:rPr>
          <w:color w:val="000000" w:themeColor="text1"/>
          <w:lang w:val="en-US"/>
        </w:rPr>
        <w:t>Everitt, H</w:t>
      </w:r>
      <w:r w:rsidR="005736CD" w:rsidRPr="009C7D07">
        <w:rPr>
          <w:color w:val="000000" w:themeColor="text1"/>
          <w:vertAlign w:val="superscript"/>
          <w:lang w:val="en-US"/>
        </w:rPr>
        <w:t>1</w:t>
      </w:r>
      <w:r w:rsidR="005736CD" w:rsidRPr="009C7D07">
        <w:rPr>
          <w:color w:val="000000" w:themeColor="text1"/>
          <w:lang w:val="en-US"/>
        </w:rPr>
        <w:t>, Preedy V. R</w:t>
      </w:r>
      <w:r w:rsidR="005736CD" w:rsidRPr="009C7D07">
        <w:rPr>
          <w:color w:val="000000" w:themeColor="text1"/>
          <w:vertAlign w:val="superscript"/>
          <w:lang w:val="en-US"/>
        </w:rPr>
        <w:t>2</w:t>
      </w:r>
      <w:r w:rsidR="005736CD" w:rsidRPr="009C7D07">
        <w:rPr>
          <w:color w:val="000000" w:themeColor="text1"/>
          <w:lang w:val="en-US"/>
        </w:rPr>
        <w:t>, Sherwood, R. A</w:t>
      </w:r>
      <w:r w:rsidR="005736CD" w:rsidRPr="009C7D07">
        <w:rPr>
          <w:color w:val="000000" w:themeColor="text1"/>
          <w:vertAlign w:val="superscript"/>
          <w:lang w:val="en-US"/>
        </w:rPr>
        <w:t>3</w:t>
      </w:r>
      <w:r w:rsidR="005736CD" w:rsidRPr="009C7D07">
        <w:rPr>
          <w:color w:val="000000" w:themeColor="text1"/>
          <w:lang w:val="en-US"/>
        </w:rPr>
        <w:t>, Patel V. B</w:t>
      </w:r>
      <w:r w:rsidR="005736CD" w:rsidRPr="009C7D07">
        <w:rPr>
          <w:color w:val="000000" w:themeColor="text1"/>
          <w:vertAlign w:val="superscript"/>
          <w:lang w:val="en-US"/>
        </w:rPr>
        <w:t>1,2*</w:t>
      </w:r>
    </w:p>
    <w:p w14:paraId="6123B214" w14:textId="77777777" w:rsidR="005736CD" w:rsidRPr="009C7D07" w:rsidRDefault="005736CD" w:rsidP="00796965">
      <w:pPr>
        <w:spacing w:line="480" w:lineRule="auto"/>
        <w:rPr>
          <w:color w:val="000000" w:themeColor="text1"/>
          <w:lang w:val="en-US"/>
        </w:rPr>
      </w:pPr>
    </w:p>
    <w:p w14:paraId="54A18A3E" w14:textId="79A8B680" w:rsidR="005736CD" w:rsidRPr="009C7D07" w:rsidRDefault="005736CD" w:rsidP="00796965">
      <w:pPr>
        <w:autoSpaceDE w:val="0"/>
        <w:autoSpaceDN w:val="0"/>
        <w:adjustRightInd w:val="0"/>
        <w:spacing w:line="480" w:lineRule="auto"/>
        <w:jc w:val="both"/>
        <w:rPr>
          <w:color w:val="000000" w:themeColor="text1"/>
          <w:lang w:val="en-US"/>
        </w:rPr>
      </w:pPr>
      <w:r w:rsidRPr="009C7D07">
        <w:rPr>
          <w:color w:val="000000" w:themeColor="text1"/>
          <w:vertAlign w:val="superscript"/>
          <w:lang w:val="en-US"/>
        </w:rPr>
        <w:t>1</w:t>
      </w:r>
      <w:r w:rsidRPr="009C7D07">
        <w:rPr>
          <w:color w:val="000000" w:themeColor="text1"/>
          <w:lang w:val="en-US"/>
        </w:rPr>
        <w:t xml:space="preserve">School of Life Sciences, University of Westminster, 115 New Cavendish Street, London, W1W 6UW; </w:t>
      </w:r>
      <w:r w:rsidRPr="009C7D07">
        <w:rPr>
          <w:color w:val="000000" w:themeColor="text1"/>
          <w:vertAlign w:val="superscript"/>
          <w:lang w:val="en-US"/>
        </w:rPr>
        <w:t>2</w:t>
      </w:r>
      <w:r w:rsidRPr="009C7D07">
        <w:rPr>
          <w:color w:val="000000" w:themeColor="text1"/>
          <w:lang w:val="en-US"/>
        </w:rPr>
        <w:t xml:space="preserve">Nutrition and Dietetics, King’s College London, Franklin-Wilkins Building, 150 Stamford Street, London, SE1 9NN; </w:t>
      </w:r>
      <w:r w:rsidRPr="009C7D07">
        <w:rPr>
          <w:color w:val="000000" w:themeColor="text1"/>
          <w:vertAlign w:val="superscript"/>
          <w:lang w:val="en-US"/>
        </w:rPr>
        <w:t>3</w:t>
      </w:r>
      <w:r w:rsidRPr="009C7D07">
        <w:rPr>
          <w:color w:val="000000" w:themeColor="text1"/>
          <w:lang w:val="en-US"/>
        </w:rPr>
        <w:t xml:space="preserve">Department of Clinical Biochemistry, King’s College Hospital, London, SE5 9PJ </w:t>
      </w:r>
    </w:p>
    <w:p w14:paraId="687C7C91" w14:textId="77777777" w:rsidR="00E90A2D" w:rsidRPr="009C7D07" w:rsidRDefault="00E90A2D" w:rsidP="00796965">
      <w:pPr>
        <w:spacing w:line="480" w:lineRule="auto"/>
        <w:rPr>
          <w:color w:val="000000" w:themeColor="text1"/>
          <w:lang w:val="en-US"/>
        </w:rPr>
      </w:pPr>
    </w:p>
    <w:p w14:paraId="4B2496A1" w14:textId="23D77A75" w:rsidR="005736CD" w:rsidRPr="009C7D07" w:rsidRDefault="005736CD" w:rsidP="00796965">
      <w:pPr>
        <w:spacing w:line="480" w:lineRule="auto"/>
        <w:rPr>
          <w:color w:val="000000" w:themeColor="text1"/>
          <w:lang w:val="en-US"/>
        </w:rPr>
      </w:pPr>
      <w:r w:rsidRPr="009C7D07">
        <w:rPr>
          <w:color w:val="000000" w:themeColor="text1"/>
          <w:lang w:val="en-US"/>
        </w:rPr>
        <w:t>*Address for correspondence:</w:t>
      </w:r>
    </w:p>
    <w:p w14:paraId="55B37B53" w14:textId="77777777" w:rsidR="005736CD" w:rsidRPr="009C7D07" w:rsidRDefault="005736CD" w:rsidP="00796965">
      <w:pPr>
        <w:spacing w:line="480" w:lineRule="auto"/>
        <w:rPr>
          <w:color w:val="000000" w:themeColor="text1"/>
          <w:lang w:val="en-US"/>
        </w:rPr>
      </w:pPr>
      <w:r w:rsidRPr="009C7D07">
        <w:rPr>
          <w:color w:val="000000" w:themeColor="text1"/>
          <w:lang w:val="en-US"/>
        </w:rPr>
        <w:t>Dr. Vinood Patel</w:t>
      </w:r>
    </w:p>
    <w:p w14:paraId="45409674" w14:textId="77777777" w:rsidR="005736CD" w:rsidRPr="009C7D07" w:rsidRDefault="005736CD" w:rsidP="00796965">
      <w:pPr>
        <w:spacing w:line="480" w:lineRule="auto"/>
        <w:rPr>
          <w:color w:val="000000" w:themeColor="text1"/>
          <w:lang w:val="en-US"/>
        </w:rPr>
      </w:pPr>
      <w:r w:rsidRPr="009C7D07">
        <w:rPr>
          <w:color w:val="000000" w:themeColor="text1"/>
          <w:lang w:val="en-US"/>
        </w:rPr>
        <w:t>School of Life Sciences,</w:t>
      </w:r>
    </w:p>
    <w:p w14:paraId="59D8BD5A" w14:textId="77777777" w:rsidR="005736CD" w:rsidRPr="009C7D07" w:rsidRDefault="005736CD" w:rsidP="00796965">
      <w:pPr>
        <w:spacing w:line="480" w:lineRule="auto"/>
        <w:rPr>
          <w:color w:val="000000" w:themeColor="text1"/>
          <w:lang w:val="en-US"/>
        </w:rPr>
      </w:pPr>
      <w:r w:rsidRPr="009C7D07">
        <w:rPr>
          <w:color w:val="000000" w:themeColor="text1"/>
          <w:lang w:val="en-US"/>
        </w:rPr>
        <w:t>University of Westminster,</w:t>
      </w:r>
    </w:p>
    <w:p w14:paraId="6AE4FE09" w14:textId="7101A2C1" w:rsidR="005736CD" w:rsidRPr="009C7D07" w:rsidRDefault="005736CD" w:rsidP="00796965">
      <w:pPr>
        <w:spacing w:line="480" w:lineRule="auto"/>
        <w:rPr>
          <w:color w:val="000000" w:themeColor="text1"/>
          <w:lang w:val="en-US"/>
        </w:rPr>
      </w:pPr>
      <w:r w:rsidRPr="009C7D07">
        <w:rPr>
          <w:color w:val="000000" w:themeColor="text1"/>
          <w:lang w:val="en-US"/>
        </w:rPr>
        <w:t>115 New Cavendish Street,</w:t>
      </w:r>
    </w:p>
    <w:p w14:paraId="56714BBE" w14:textId="77777777" w:rsidR="009F2150" w:rsidRPr="009C7D07" w:rsidRDefault="005736CD" w:rsidP="00796965">
      <w:pPr>
        <w:spacing w:line="480" w:lineRule="auto"/>
        <w:rPr>
          <w:color w:val="000000" w:themeColor="text1"/>
          <w:lang w:val="en-US"/>
        </w:rPr>
      </w:pPr>
      <w:r w:rsidRPr="009C7D07">
        <w:rPr>
          <w:color w:val="000000" w:themeColor="text1"/>
          <w:lang w:val="en-US"/>
        </w:rPr>
        <w:t xml:space="preserve">London, </w:t>
      </w:r>
    </w:p>
    <w:p w14:paraId="0B000EC8" w14:textId="0B8D2E3D" w:rsidR="005736CD" w:rsidRPr="009C7D07" w:rsidRDefault="005736CD" w:rsidP="00796965">
      <w:pPr>
        <w:spacing w:line="480" w:lineRule="auto"/>
        <w:rPr>
          <w:color w:val="000000" w:themeColor="text1"/>
          <w:lang w:val="en-US"/>
        </w:rPr>
      </w:pPr>
      <w:r w:rsidRPr="009C7D07">
        <w:rPr>
          <w:color w:val="000000" w:themeColor="text1"/>
          <w:lang w:val="en-US"/>
        </w:rPr>
        <w:t>W1W 6UW</w:t>
      </w:r>
    </w:p>
    <w:p w14:paraId="1C43BD0A" w14:textId="64FB03BB" w:rsidR="005736CD" w:rsidRPr="009C7D07" w:rsidRDefault="005736CD" w:rsidP="00796965">
      <w:pPr>
        <w:spacing w:line="480" w:lineRule="auto"/>
        <w:rPr>
          <w:color w:val="000000" w:themeColor="text1"/>
          <w:lang w:val="en-US"/>
        </w:rPr>
      </w:pPr>
      <w:r w:rsidRPr="009C7D07">
        <w:rPr>
          <w:color w:val="000000" w:themeColor="text1"/>
          <w:lang w:val="en-US"/>
        </w:rPr>
        <w:t>Tel: (+44) (0) 20</w:t>
      </w:r>
      <w:r w:rsidR="003A37F6" w:rsidRPr="009C7D07">
        <w:rPr>
          <w:color w:val="000000" w:themeColor="text1"/>
          <w:lang w:val="en-US"/>
        </w:rPr>
        <w:t xml:space="preserve"> 350 64138</w:t>
      </w:r>
    </w:p>
    <w:p w14:paraId="6DB7ECD1" w14:textId="77777777" w:rsidR="005736CD" w:rsidRPr="009C7D07" w:rsidRDefault="005736CD" w:rsidP="00796965">
      <w:pPr>
        <w:spacing w:line="480" w:lineRule="auto"/>
        <w:rPr>
          <w:color w:val="000000" w:themeColor="text1"/>
          <w:lang w:val="en-US"/>
        </w:rPr>
      </w:pPr>
      <w:r w:rsidRPr="009C7D07">
        <w:rPr>
          <w:color w:val="000000" w:themeColor="text1"/>
          <w:lang w:val="en-US"/>
        </w:rPr>
        <w:t>Fax: (+44) (0) 207 911 5087</w:t>
      </w:r>
    </w:p>
    <w:p w14:paraId="4404F301" w14:textId="258566DC" w:rsidR="005736CD" w:rsidRPr="009C7D07" w:rsidRDefault="005736CD" w:rsidP="00796965">
      <w:pPr>
        <w:spacing w:line="480" w:lineRule="auto"/>
        <w:rPr>
          <w:lang w:val="en-US"/>
        </w:rPr>
      </w:pPr>
      <w:r w:rsidRPr="009C7D07">
        <w:rPr>
          <w:color w:val="000000" w:themeColor="text1"/>
          <w:lang w:val="en-US"/>
        </w:rPr>
        <w:t>E-mail:</w:t>
      </w:r>
      <w:r w:rsidR="009C019B" w:rsidRPr="009C7D07">
        <w:rPr>
          <w:color w:val="000000" w:themeColor="text1"/>
          <w:lang w:val="en-US"/>
        </w:rPr>
        <w:t xml:space="preserve"> </w:t>
      </w:r>
      <w:r w:rsidR="009C019B" w:rsidRPr="009C7D07">
        <w:rPr>
          <w:color w:val="000000" w:themeColor="text1"/>
          <w:u w:val="single"/>
          <w:shd w:val="clear" w:color="auto" w:fill="FFFFFF"/>
          <w:lang w:val="en-US"/>
        </w:rPr>
        <w:t>v.b.patel@westminster.ac.uk</w:t>
      </w:r>
    </w:p>
    <w:p w14:paraId="48486C69" w14:textId="77777777" w:rsidR="006C1E56" w:rsidRPr="009C7D07" w:rsidRDefault="006C1E56" w:rsidP="006C1E56">
      <w:pPr>
        <w:spacing w:line="480" w:lineRule="auto"/>
        <w:rPr>
          <w:b/>
          <w:bCs/>
          <w:color w:val="000000" w:themeColor="text1"/>
          <w:lang w:val="en-US"/>
        </w:rPr>
      </w:pPr>
    </w:p>
    <w:p w14:paraId="7F2BE3A3" w14:textId="51C8EAEF" w:rsidR="006C1E56" w:rsidRPr="009C7D07" w:rsidRDefault="006C1E56" w:rsidP="006C1E56">
      <w:pPr>
        <w:spacing w:line="480" w:lineRule="auto"/>
        <w:rPr>
          <w:color w:val="000000" w:themeColor="text1"/>
          <w:lang w:val="en-US"/>
        </w:rPr>
      </w:pPr>
    </w:p>
    <w:p w14:paraId="5832F8D8" w14:textId="36814D76" w:rsidR="006C1E56" w:rsidRPr="009C7D07" w:rsidRDefault="006C1E56" w:rsidP="006C1E56">
      <w:pPr>
        <w:spacing w:line="480" w:lineRule="auto"/>
        <w:rPr>
          <w:b/>
          <w:bCs/>
          <w:color w:val="000000" w:themeColor="text1"/>
          <w:lang w:val="en-US"/>
        </w:rPr>
      </w:pPr>
    </w:p>
    <w:p w14:paraId="0CEB488E" w14:textId="77777777" w:rsidR="005736CD" w:rsidRPr="009C7D07" w:rsidRDefault="005736CD" w:rsidP="00796965">
      <w:pPr>
        <w:spacing w:line="480" w:lineRule="auto"/>
        <w:rPr>
          <w:color w:val="000000" w:themeColor="text1"/>
          <w:lang w:val="en-US"/>
        </w:rPr>
      </w:pPr>
    </w:p>
    <w:p w14:paraId="1933EB22" w14:textId="1A2236DC" w:rsidR="001816CD" w:rsidRPr="009C7D07" w:rsidRDefault="005736CD" w:rsidP="00796965">
      <w:pPr>
        <w:pStyle w:val="Heading1"/>
        <w:rPr>
          <w:rFonts w:cs="Times New Roman"/>
          <w:szCs w:val="24"/>
          <w:lang w:val="en-US"/>
        </w:rPr>
      </w:pPr>
      <w:r w:rsidRPr="009C7D07">
        <w:rPr>
          <w:rFonts w:cs="Times New Roman"/>
          <w:szCs w:val="24"/>
          <w:lang w:val="en-US"/>
        </w:rPr>
        <w:br w:type="page"/>
      </w:r>
      <w:r w:rsidR="00823AE8" w:rsidRPr="009C7D07">
        <w:rPr>
          <w:rFonts w:cs="Times New Roman"/>
          <w:szCs w:val="24"/>
          <w:lang w:val="en-US"/>
        </w:rPr>
        <w:lastRenderedPageBreak/>
        <w:t>Abstract</w:t>
      </w:r>
    </w:p>
    <w:p w14:paraId="61A142DA" w14:textId="31C85016" w:rsidR="009D77E2" w:rsidRPr="009C7D07" w:rsidRDefault="00BC4A44" w:rsidP="00823AE8">
      <w:pPr>
        <w:pStyle w:val="NormalWeb"/>
        <w:shd w:val="clear" w:color="auto" w:fill="FFFFFF"/>
        <w:spacing w:line="480" w:lineRule="auto"/>
        <w:jc w:val="both"/>
        <w:textAlignment w:val="baseline"/>
        <w:rPr>
          <w:bCs/>
          <w:iCs/>
          <w:color w:val="000000" w:themeColor="text1"/>
          <w:lang w:val="en-US"/>
        </w:rPr>
      </w:pPr>
      <w:r w:rsidRPr="009C7D07">
        <w:rPr>
          <w:bCs/>
          <w:color w:val="000000" w:themeColor="text1"/>
          <w:lang w:val="en-US"/>
        </w:rPr>
        <w:t>Alcohol t</w:t>
      </w:r>
      <w:r w:rsidR="00470929" w:rsidRPr="009C7D07">
        <w:rPr>
          <w:bCs/>
          <w:color w:val="000000" w:themeColor="text1"/>
          <w:lang w:val="en-US"/>
        </w:rPr>
        <w:t>eenage binge drinking is a major health issue</w:t>
      </w:r>
      <w:r w:rsidR="003C1A80" w:rsidRPr="009C7D07">
        <w:rPr>
          <w:bCs/>
          <w:color w:val="000000" w:themeColor="text1"/>
          <w:lang w:val="en-US"/>
        </w:rPr>
        <w:t>, h</w:t>
      </w:r>
      <w:r w:rsidR="001816CD" w:rsidRPr="009C7D07">
        <w:rPr>
          <w:bCs/>
          <w:color w:val="000000" w:themeColor="text1"/>
          <w:lang w:val="en-US"/>
        </w:rPr>
        <w:t xml:space="preserve">owever, </w:t>
      </w:r>
      <w:r w:rsidR="00470929" w:rsidRPr="009C7D07">
        <w:rPr>
          <w:bCs/>
          <w:color w:val="000000" w:themeColor="text1"/>
          <w:lang w:val="en-US"/>
        </w:rPr>
        <w:t xml:space="preserve">there is a paucity of data on liver injury. </w:t>
      </w:r>
      <w:r w:rsidR="00396A29" w:rsidRPr="009C7D07">
        <w:rPr>
          <w:bCs/>
          <w:color w:val="000000" w:themeColor="text1"/>
          <w:lang w:val="en-US"/>
        </w:rPr>
        <w:t>Herein, we</w:t>
      </w:r>
      <w:r w:rsidR="00C705CB" w:rsidRPr="009C7D07">
        <w:rPr>
          <w:bCs/>
          <w:color w:val="000000" w:themeColor="text1"/>
          <w:lang w:val="en-US"/>
        </w:rPr>
        <w:t xml:space="preserve"> </w:t>
      </w:r>
      <w:r w:rsidR="001816CD" w:rsidRPr="009C7D07">
        <w:rPr>
          <w:bCs/>
          <w:color w:val="000000" w:themeColor="text1"/>
          <w:lang w:val="en-US"/>
        </w:rPr>
        <w:t>investigated how acute ethanol affects juvenile hepatic cells through changes in oxidative stress, apoptosis and liver function</w:t>
      </w:r>
      <w:r w:rsidR="005C2D33" w:rsidRPr="009C7D07">
        <w:rPr>
          <w:bCs/>
          <w:color w:val="000000" w:themeColor="text1"/>
          <w:lang w:val="en-US"/>
        </w:rPr>
        <w:t xml:space="preserve">, </w:t>
      </w:r>
      <w:r w:rsidR="001816CD" w:rsidRPr="009C7D07">
        <w:rPr>
          <w:bCs/>
          <w:color w:val="000000" w:themeColor="text1"/>
          <w:lang w:val="en-US"/>
        </w:rPr>
        <w:t>as well as the ability of betaine</w:t>
      </w:r>
      <w:r w:rsidR="00470929" w:rsidRPr="009C7D07">
        <w:rPr>
          <w:bCs/>
          <w:color w:val="000000" w:themeColor="text1"/>
          <w:lang w:val="en-US"/>
        </w:rPr>
        <w:t xml:space="preserve">, which </w:t>
      </w:r>
      <w:r w:rsidR="004433C7" w:rsidRPr="009C7D07">
        <w:rPr>
          <w:bCs/>
          <w:color w:val="000000" w:themeColor="text1"/>
          <w:lang w:val="en-US"/>
        </w:rPr>
        <w:t>can</w:t>
      </w:r>
      <w:r w:rsidR="00470929" w:rsidRPr="009C7D07">
        <w:rPr>
          <w:bCs/>
          <w:color w:val="000000" w:themeColor="text1"/>
          <w:lang w:val="en-US"/>
        </w:rPr>
        <w:t xml:space="preserve"> replenish </w:t>
      </w:r>
      <w:r w:rsidR="004433C7" w:rsidRPr="009C7D07">
        <w:rPr>
          <w:bCs/>
          <w:color w:val="000000" w:themeColor="text1"/>
          <w:lang w:val="en-US"/>
        </w:rPr>
        <w:t xml:space="preserve">the antioxidant </w:t>
      </w:r>
      <w:r w:rsidR="00470929" w:rsidRPr="009C7D07">
        <w:rPr>
          <w:bCs/>
          <w:color w:val="000000" w:themeColor="text1"/>
          <w:lang w:val="en-US"/>
        </w:rPr>
        <w:t>glutathione,</w:t>
      </w:r>
      <w:r w:rsidR="001816CD" w:rsidRPr="009C7D07">
        <w:rPr>
          <w:bCs/>
          <w:color w:val="000000" w:themeColor="text1"/>
          <w:lang w:val="en-US"/>
        </w:rPr>
        <w:t xml:space="preserve"> m</w:t>
      </w:r>
      <w:r w:rsidR="00470929" w:rsidRPr="009C7D07">
        <w:rPr>
          <w:bCs/>
          <w:color w:val="000000" w:themeColor="text1"/>
          <w:lang w:val="en-US"/>
        </w:rPr>
        <w:t xml:space="preserve">itigate </w:t>
      </w:r>
      <w:r w:rsidR="001816CD" w:rsidRPr="009C7D07">
        <w:rPr>
          <w:bCs/>
          <w:color w:val="000000" w:themeColor="text1"/>
          <w:lang w:val="en-US"/>
        </w:rPr>
        <w:t xml:space="preserve">oxidative </w:t>
      </w:r>
      <w:r w:rsidR="00470929" w:rsidRPr="009C7D07">
        <w:rPr>
          <w:bCs/>
          <w:color w:val="000000" w:themeColor="text1"/>
          <w:lang w:val="en-US"/>
        </w:rPr>
        <w:t>injury</w:t>
      </w:r>
      <w:r w:rsidR="001816CD" w:rsidRPr="009C7D07">
        <w:rPr>
          <w:bCs/>
          <w:color w:val="000000" w:themeColor="text1"/>
          <w:lang w:val="en-US"/>
        </w:rPr>
        <w:t>.</w:t>
      </w:r>
      <w:r w:rsidR="001816CD" w:rsidRPr="009C7D07">
        <w:rPr>
          <w:bCs/>
          <w:iCs/>
          <w:color w:val="000000" w:themeColor="text1"/>
          <w:lang w:val="en-US"/>
        </w:rPr>
        <w:t xml:space="preserve"> </w:t>
      </w:r>
      <w:r w:rsidR="00823AE8" w:rsidRPr="009C7D07">
        <w:rPr>
          <w:bCs/>
          <w:iCs/>
          <w:color w:val="000000" w:themeColor="text1"/>
          <w:lang w:val="en-US"/>
        </w:rPr>
        <w:t xml:space="preserve"> </w:t>
      </w:r>
      <w:r w:rsidR="001C681E" w:rsidRPr="009C7D07">
        <w:rPr>
          <w:bCs/>
          <w:iCs/>
          <w:color w:val="000000" w:themeColor="text1"/>
          <w:lang w:val="en-US"/>
        </w:rPr>
        <w:t>J</w:t>
      </w:r>
      <w:r w:rsidR="001816CD" w:rsidRPr="009C7D07">
        <w:rPr>
          <w:bCs/>
          <w:iCs/>
          <w:color w:val="000000" w:themeColor="text1"/>
          <w:lang w:val="en-US"/>
        </w:rPr>
        <w:t>uvenile male Wist</w:t>
      </w:r>
      <w:r w:rsidR="001C681E" w:rsidRPr="009C7D07">
        <w:rPr>
          <w:bCs/>
          <w:iCs/>
          <w:color w:val="000000" w:themeColor="text1"/>
          <w:lang w:val="en-US"/>
        </w:rPr>
        <w:t>a</w:t>
      </w:r>
      <w:r w:rsidR="001816CD" w:rsidRPr="009C7D07">
        <w:rPr>
          <w:bCs/>
          <w:iCs/>
          <w:color w:val="000000" w:themeColor="text1"/>
          <w:lang w:val="en-US"/>
        </w:rPr>
        <w:t xml:space="preserve">r rats were given </w:t>
      </w:r>
      <w:r w:rsidR="00697F76" w:rsidRPr="009C7D07">
        <w:rPr>
          <w:bCs/>
          <w:iCs/>
          <w:color w:val="000000" w:themeColor="text1"/>
          <w:lang w:val="en-US"/>
        </w:rPr>
        <w:t xml:space="preserve">either water or </w:t>
      </w:r>
      <w:r w:rsidR="001816CD" w:rsidRPr="009C7D07">
        <w:rPr>
          <w:bCs/>
          <w:iCs/>
          <w:color w:val="000000" w:themeColor="text1"/>
          <w:lang w:val="en-US"/>
        </w:rPr>
        <w:t xml:space="preserve">betaine </w:t>
      </w:r>
      <w:r w:rsidR="001816CD" w:rsidRPr="009C7D07">
        <w:rPr>
          <w:bCs/>
          <w:color w:val="000000"/>
          <w:lang w:val="en-US"/>
        </w:rPr>
        <w:t xml:space="preserve">(2% w/v) </w:t>
      </w:r>
      <w:r w:rsidR="00697F76" w:rsidRPr="009C7D07">
        <w:rPr>
          <w:bCs/>
          <w:color w:val="000000"/>
          <w:lang w:val="en-US"/>
        </w:rPr>
        <w:t xml:space="preserve">for 6 days and treated </w:t>
      </w:r>
      <w:r w:rsidR="004433C7" w:rsidRPr="009C7D07">
        <w:rPr>
          <w:bCs/>
          <w:color w:val="000000"/>
          <w:lang w:val="en-US"/>
        </w:rPr>
        <w:t xml:space="preserve">with either saline </w:t>
      </w:r>
      <w:r w:rsidR="00C31F3E" w:rsidRPr="009C7D07">
        <w:rPr>
          <w:bCs/>
          <w:color w:val="000000"/>
          <w:lang w:val="en-US"/>
        </w:rPr>
        <w:t>0.15 mol/L NaCl</w:t>
      </w:r>
      <w:r w:rsidR="004433C7" w:rsidRPr="009C7D07">
        <w:rPr>
          <w:bCs/>
          <w:color w:val="000000"/>
          <w:lang w:val="en-US"/>
        </w:rPr>
        <w:t xml:space="preserve"> or e</w:t>
      </w:r>
      <w:r w:rsidR="00C31F3E" w:rsidRPr="009C7D07">
        <w:rPr>
          <w:bCs/>
          <w:color w:val="000000"/>
          <w:lang w:val="en-US"/>
        </w:rPr>
        <w:t>thanol</w:t>
      </w:r>
      <w:r w:rsidR="004433C7" w:rsidRPr="009C7D07">
        <w:rPr>
          <w:bCs/>
          <w:color w:val="000000"/>
          <w:lang w:val="en-US"/>
        </w:rPr>
        <w:t xml:space="preserve"> </w:t>
      </w:r>
      <w:r w:rsidR="00C31F3E" w:rsidRPr="009C7D07">
        <w:rPr>
          <w:bCs/>
          <w:color w:val="000000"/>
          <w:lang w:val="en-US"/>
        </w:rPr>
        <w:t>(75 mmol/kg bodyweight)</w:t>
      </w:r>
      <w:r w:rsidR="004433C7" w:rsidRPr="009C7D07">
        <w:rPr>
          <w:bCs/>
          <w:color w:val="000000"/>
          <w:lang w:val="en-US"/>
        </w:rPr>
        <w:t xml:space="preserve">. </w:t>
      </w:r>
      <w:r w:rsidR="001E1B4C" w:rsidRPr="009C7D07">
        <w:rPr>
          <w:bCs/>
          <w:color w:val="000000"/>
          <w:lang w:val="en-US"/>
        </w:rPr>
        <w:t>After 24 h</w:t>
      </w:r>
      <w:r w:rsidR="008F23BE" w:rsidRPr="009C7D07">
        <w:rPr>
          <w:bCs/>
          <w:color w:val="000000"/>
          <w:lang w:val="en-US"/>
        </w:rPr>
        <w:t>ours</w:t>
      </w:r>
      <w:r w:rsidR="001E1B4C" w:rsidRPr="009C7D07">
        <w:rPr>
          <w:bCs/>
          <w:color w:val="000000"/>
          <w:lang w:val="en-US"/>
        </w:rPr>
        <w:t>, l</w:t>
      </w:r>
      <w:r w:rsidR="001816CD" w:rsidRPr="009C7D07">
        <w:rPr>
          <w:bCs/>
          <w:color w:val="000000" w:themeColor="text1"/>
          <w:lang w:val="en-US"/>
        </w:rPr>
        <w:t xml:space="preserve">iver </w:t>
      </w:r>
      <w:r w:rsidR="00697F76" w:rsidRPr="009C7D07">
        <w:rPr>
          <w:bCs/>
          <w:color w:val="000000" w:themeColor="text1"/>
          <w:lang w:val="en-US"/>
        </w:rPr>
        <w:t>enzymes</w:t>
      </w:r>
      <w:r w:rsidR="00144C85" w:rsidRPr="009C7D07">
        <w:rPr>
          <w:bCs/>
          <w:color w:val="000000" w:themeColor="text1"/>
          <w:lang w:val="en-US"/>
        </w:rPr>
        <w:t>,</w:t>
      </w:r>
      <w:r w:rsidR="001816CD" w:rsidRPr="009C7D07">
        <w:rPr>
          <w:bCs/>
          <w:color w:val="000000" w:themeColor="text1"/>
          <w:lang w:val="en-US"/>
        </w:rPr>
        <w:t xml:space="preserve"> oxidative damage, apoptosis and antioxidant </w:t>
      </w:r>
      <w:r w:rsidR="00BC10E8" w:rsidRPr="009C7D07">
        <w:rPr>
          <w:bCs/>
          <w:color w:val="000000" w:themeColor="text1"/>
          <w:lang w:val="en-US"/>
        </w:rPr>
        <w:t xml:space="preserve">enzyme </w:t>
      </w:r>
      <w:r w:rsidR="001816CD" w:rsidRPr="009C7D07">
        <w:rPr>
          <w:bCs/>
          <w:color w:val="000000" w:themeColor="text1"/>
          <w:lang w:val="en-US"/>
        </w:rPr>
        <w:t>activity</w:t>
      </w:r>
      <w:r w:rsidR="001C681E" w:rsidRPr="009C7D07">
        <w:rPr>
          <w:bCs/>
          <w:color w:val="000000" w:themeColor="text1"/>
          <w:lang w:val="en-US"/>
        </w:rPr>
        <w:t xml:space="preserve"> parameters</w:t>
      </w:r>
      <w:r w:rsidR="001816CD" w:rsidRPr="009C7D07">
        <w:rPr>
          <w:bCs/>
          <w:color w:val="4472C4" w:themeColor="accent1"/>
          <w:lang w:val="en-US"/>
        </w:rPr>
        <w:t xml:space="preserve"> </w:t>
      </w:r>
      <w:r w:rsidR="00697F76" w:rsidRPr="009C7D07">
        <w:rPr>
          <w:bCs/>
          <w:color w:val="000000" w:themeColor="text1"/>
          <w:lang w:val="en-US"/>
        </w:rPr>
        <w:t>w</w:t>
      </w:r>
      <w:r w:rsidR="008F23BE" w:rsidRPr="009C7D07">
        <w:rPr>
          <w:bCs/>
          <w:color w:val="000000" w:themeColor="text1"/>
          <w:lang w:val="en-US"/>
        </w:rPr>
        <w:t>ere</w:t>
      </w:r>
      <w:r w:rsidR="00697F76" w:rsidRPr="009C7D07">
        <w:rPr>
          <w:bCs/>
          <w:color w:val="000000" w:themeColor="text1"/>
          <w:lang w:val="en-US"/>
        </w:rPr>
        <w:t xml:space="preserve"> examined.</w:t>
      </w:r>
      <w:r w:rsidR="00823AE8" w:rsidRPr="009C7D07">
        <w:rPr>
          <w:bCs/>
          <w:iCs/>
          <w:color w:val="000000" w:themeColor="text1"/>
          <w:lang w:val="en-US"/>
        </w:rPr>
        <w:t xml:space="preserve"> </w:t>
      </w:r>
      <w:r w:rsidR="001816CD" w:rsidRPr="009C7D07">
        <w:rPr>
          <w:bCs/>
          <w:color w:val="000000" w:themeColor="text1"/>
          <w:lang w:val="en-US"/>
        </w:rPr>
        <w:t xml:space="preserve">Acute ethanol </w:t>
      </w:r>
      <w:r w:rsidR="001E1B4C" w:rsidRPr="009C7D07">
        <w:rPr>
          <w:bCs/>
          <w:color w:val="000000" w:themeColor="text1"/>
          <w:lang w:val="en-US"/>
        </w:rPr>
        <w:t>increased</w:t>
      </w:r>
      <w:r w:rsidR="001816CD" w:rsidRPr="009C7D07">
        <w:rPr>
          <w:bCs/>
          <w:color w:val="000000" w:themeColor="text1"/>
          <w:lang w:val="en-US"/>
        </w:rPr>
        <w:t xml:space="preserve"> hepatic enzymes </w:t>
      </w:r>
      <w:r w:rsidR="001E1B4C" w:rsidRPr="009C7D07">
        <w:rPr>
          <w:bCs/>
          <w:color w:val="000000" w:themeColor="text1"/>
          <w:lang w:val="en-US"/>
        </w:rPr>
        <w:t xml:space="preserve">(99%, </w:t>
      </w:r>
      <w:r w:rsidR="001E1B4C" w:rsidRPr="009C7D07">
        <w:rPr>
          <w:bCs/>
          <w:i/>
          <w:iCs/>
          <w:color w:val="000000" w:themeColor="text1"/>
          <w:lang w:val="en-US"/>
        </w:rPr>
        <w:t>p</w:t>
      </w:r>
      <w:r w:rsidR="00C705CB" w:rsidRPr="009C7D07">
        <w:rPr>
          <w:bCs/>
          <w:color w:val="000000" w:themeColor="text1"/>
          <w:lang w:val="en-US"/>
        </w:rPr>
        <w:t>&lt;</w:t>
      </w:r>
      <w:r w:rsidR="001E1B4C" w:rsidRPr="009C7D07">
        <w:rPr>
          <w:bCs/>
          <w:color w:val="000000" w:themeColor="text1"/>
          <w:lang w:val="en-US"/>
        </w:rPr>
        <w:t>0.05).</w:t>
      </w:r>
      <w:r w:rsidR="00BB4F66" w:rsidRPr="009C7D07">
        <w:rPr>
          <w:bCs/>
          <w:color w:val="000000" w:themeColor="text1"/>
          <w:lang w:val="en-US"/>
        </w:rPr>
        <w:t xml:space="preserve"> Total protein and albumin levels were reduced by 14% and 18% (</w:t>
      </w:r>
      <w:r w:rsidR="001F793D" w:rsidRPr="009C7D07">
        <w:rPr>
          <w:bCs/>
          <w:i/>
          <w:iCs/>
          <w:color w:val="000000" w:themeColor="text1"/>
          <w:lang w:val="en-US"/>
        </w:rPr>
        <w:t>p</w:t>
      </w:r>
      <w:r w:rsidR="001F793D" w:rsidRPr="009C7D07">
        <w:rPr>
          <w:bCs/>
          <w:color w:val="000000" w:themeColor="text1"/>
          <w:lang w:val="en-US"/>
        </w:rPr>
        <w:t>&lt;</w:t>
      </w:r>
      <w:r w:rsidR="00BB4F66" w:rsidRPr="009C7D07">
        <w:rPr>
          <w:bCs/>
          <w:color w:val="000000" w:themeColor="text1"/>
          <w:lang w:val="en-US"/>
        </w:rPr>
        <w:t>0.001), respectively</w:t>
      </w:r>
      <w:r w:rsidR="00A9459C" w:rsidRPr="009C7D07">
        <w:rPr>
          <w:bCs/>
          <w:color w:val="000000" w:themeColor="text1"/>
          <w:lang w:val="en-US"/>
        </w:rPr>
        <w:t>, which was prevented by betaine treatment</w:t>
      </w:r>
      <w:r w:rsidR="00BB4F66" w:rsidRPr="009C7D07">
        <w:rPr>
          <w:bCs/>
          <w:color w:val="000000" w:themeColor="text1"/>
          <w:lang w:val="en-US"/>
        </w:rPr>
        <w:t xml:space="preserve">. </w:t>
      </w:r>
      <w:r w:rsidR="001E1B4C" w:rsidRPr="009C7D07">
        <w:rPr>
          <w:bCs/>
          <w:color w:val="000000" w:themeColor="text1"/>
          <w:lang w:val="en-US"/>
        </w:rPr>
        <w:t xml:space="preserve">Cytosolic </w:t>
      </w:r>
      <w:r w:rsidR="008F23BE" w:rsidRPr="009C7D07">
        <w:rPr>
          <w:bCs/>
          <w:color w:val="000000" w:themeColor="text1"/>
          <w:lang w:val="en-US"/>
        </w:rPr>
        <w:t>c</w:t>
      </w:r>
      <w:r w:rsidR="00BB4F66" w:rsidRPr="009C7D07">
        <w:rPr>
          <w:bCs/>
          <w:color w:val="000000" w:themeColor="text1"/>
          <w:lang w:val="en-US"/>
        </w:rPr>
        <w:t>ytochrome c increased by 59% (</w:t>
      </w:r>
      <w:r w:rsidR="00C705CB" w:rsidRPr="009C7D07">
        <w:rPr>
          <w:bCs/>
          <w:i/>
          <w:iCs/>
          <w:color w:val="000000" w:themeColor="text1"/>
          <w:lang w:val="en-US"/>
        </w:rPr>
        <w:t>p</w:t>
      </w:r>
      <w:r w:rsidR="00C705CB" w:rsidRPr="009C7D07">
        <w:rPr>
          <w:bCs/>
          <w:color w:val="000000" w:themeColor="text1"/>
          <w:lang w:val="en-US"/>
        </w:rPr>
        <w:t>&lt;</w:t>
      </w:r>
      <w:r w:rsidR="00BB4F66" w:rsidRPr="009C7D07">
        <w:rPr>
          <w:bCs/>
          <w:color w:val="000000" w:themeColor="text1"/>
          <w:lang w:val="en-US"/>
        </w:rPr>
        <w:t>0.05)</w:t>
      </w:r>
      <w:r w:rsidR="004433C7" w:rsidRPr="009C7D07">
        <w:rPr>
          <w:bCs/>
          <w:color w:val="000000" w:themeColor="text1"/>
          <w:lang w:val="en-US"/>
        </w:rPr>
        <w:t xml:space="preserve">, </w:t>
      </w:r>
      <w:r w:rsidR="00A9459C" w:rsidRPr="009C7D07">
        <w:rPr>
          <w:bCs/>
          <w:color w:val="000000" w:themeColor="text1"/>
          <w:lang w:val="en-US"/>
        </w:rPr>
        <w:t>correspond</w:t>
      </w:r>
      <w:r w:rsidR="004433C7" w:rsidRPr="009C7D07">
        <w:rPr>
          <w:bCs/>
          <w:color w:val="000000" w:themeColor="text1"/>
          <w:lang w:val="en-US"/>
        </w:rPr>
        <w:t>ing</w:t>
      </w:r>
      <w:r w:rsidR="00A9459C" w:rsidRPr="009C7D07">
        <w:rPr>
          <w:bCs/>
          <w:color w:val="000000" w:themeColor="text1"/>
          <w:lang w:val="en-US"/>
        </w:rPr>
        <w:t xml:space="preserve"> </w:t>
      </w:r>
      <w:r w:rsidR="001E1B4C" w:rsidRPr="009C7D07">
        <w:rPr>
          <w:bCs/>
          <w:color w:val="000000" w:themeColor="text1"/>
          <w:lang w:val="en-US"/>
        </w:rPr>
        <w:t>to</w:t>
      </w:r>
      <w:r w:rsidR="00A9459C" w:rsidRPr="009C7D07">
        <w:rPr>
          <w:bCs/>
          <w:color w:val="000000" w:themeColor="text1"/>
          <w:lang w:val="en-US"/>
        </w:rPr>
        <w:t xml:space="preserve"> a decrease in mitochondrial cytochrome c</w:t>
      </w:r>
      <w:r w:rsidR="00BB4F66" w:rsidRPr="009C7D07">
        <w:rPr>
          <w:bCs/>
          <w:color w:val="000000" w:themeColor="text1"/>
          <w:lang w:val="en-US"/>
        </w:rPr>
        <w:t xml:space="preserve"> </w:t>
      </w:r>
      <w:r w:rsidR="0085737D" w:rsidRPr="009C7D07">
        <w:rPr>
          <w:bCs/>
          <w:color w:val="000000" w:themeColor="text1"/>
          <w:lang w:val="en-US"/>
        </w:rPr>
        <w:t>content</w:t>
      </w:r>
      <w:r w:rsidR="004433C7" w:rsidRPr="009C7D07">
        <w:rPr>
          <w:bCs/>
          <w:color w:val="000000" w:themeColor="text1"/>
          <w:lang w:val="en-US"/>
        </w:rPr>
        <w:t xml:space="preserve">, </w:t>
      </w:r>
      <w:r w:rsidR="007C6C51" w:rsidRPr="009C7D07">
        <w:rPr>
          <w:bCs/>
          <w:color w:val="000000" w:themeColor="text1"/>
          <w:lang w:val="en-US"/>
        </w:rPr>
        <w:t>which</w:t>
      </w:r>
      <w:r w:rsidR="00A9459C" w:rsidRPr="009C7D07">
        <w:rPr>
          <w:bCs/>
          <w:color w:val="000000" w:themeColor="text1"/>
          <w:lang w:val="en-US"/>
        </w:rPr>
        <w:t xml:space="preserve"> </w:t>
      </w:r>
      <w:r w:rsidR="001961BE" w:rsidRPr="009C7D07">
        <w:rPr>
          <w:bCs/>
          <w:color w:val="000000" w:themeColor="text1"/>
          <w:lang w:val="en-US"/>
        </w:rPr>
        <w:t>was</w:t>
      </w:r>
      <w:r w:rsidR="00A9459C" w:rsidRPr="009C7D07">
        <w:rPr>
          <w:bCs/>
          <w:color w:val="000000" w:themeColor="text1"/>
          <w:lang w:val="en-US"/>
        </w:rPr>
        <w:t xml:space="preserve"> </w:t>
      </w:r>
      <w:r w:rsidR="00EF3E0C" w:rsidRPr="009C7D07">
        <w:rPr>
          <w:bCs/>
          <w:color w:val="000000" w:themeColor="text1"/>
          <w:lang w:val="en-US"/>
        </w:rPr>
        <w:t>ameliorated</w:t>
      </w:r>
      <w:r w:rsidR="00A9459C" w:rsidRPr="009C7D07">
        <w:rPr>
          <w:bCs/>
          <w:color w:val="000000" w:themeColor="text1"/>
          <w:lang w:val="en-US"/>
        </w:rPr>
        <w:t xml:space="preserve"> with betain</w:t>
      </w:r>
      <w:r w:rsidR="00EF3E0C" w:rsidRPr="009C7D07">
        <w:rPr>
          <w:bCs/>
          <w:color w:val="000000" w:themeColor="text1"/>
          <w:lang w:val="en-US"/>
        </w:rPr>
        <w:t>e</w:t>
      </w:r>
      <w:r w:rsidR="005514FF" w:rsidRPr="009C7D07">
        <w:rPr>
          <w:bCs/>
          <w:color w:val="000000" w:themeColor="text1"/>
          <w:lang w:val="en-US"/>
        </w:rPr>
        <w:t xml:space="preserve">. </w:t>
      </w:r>
      <w:r w:rsidR="00EF3E0C" w:rsidRPr="009C7D07">
        <w:rPr>
          <w:bCs/>
          <w:color w:val="000000" w:themeColor="text1"/>
          <w:lang w:val="en-US"/>
        </w:rPr>
        <w:t>Cytosolic g</w:t>
      </w:r>
      <w:r w:rsidR="001816CD" w:rsidRPr="009C7D07">
        <w:rPr>
          <w:bCs/>
          <w:color w:val="000000" w:themeColor="text1"/>
          <w:lang w:val="en-US"/>
        </w:rPr>
        <w:t xml:space="preserve">lutathione peroxidase </w:t>
      </w:r>
      <w:r w:rsidR="00EF3E0C" w:rsidRPr="009C7D07">
        <w:rPr>
          <w:bCs/>
          <w:color w:val="000000" w:themeColor="text1"/>
          <w:lang w:val="en-US"/>
        </w:rPr>
        <w:t xml:space="preserve">was reduced </w:t>
      </w:r>
      <w:r w:rsidR="001E1B4C" w:rsidRPr="009C7D07">
        <w:rPr>
          <w:bCs/>
          <w:color w:val="000000" w:themeColor="text1"/>
          <w:lang w:val="en-US"/>
        </w:rPr>
        <w:t xml:space="preserve">with </w:t>
      </w:r>
      <w:r w:rsidR="00EF3E0C" w:rsidRPr="009C7D07">
        <w:rPr>
          <w:bCs/>
          <w:color w:val="000000" w:themeColor="text1"/>
          <w:lang w:val="en-US"/>
        </w:rPr>
        <w:t xml:space="preserve">alcohol </w:t>
      </w:r>
      <w:r w:rsidR="00D03391" w:rsidRPr="009C7D07">
        <w:rPr>
          <w:bCs/>
          <w:color w:val="000000" w:themeColor="text1"/>
          <w:lang w:val="en-US"/>
        </w:rPr>
        <w:t>(</w:t>
      </w:r>
      <w:r w:rsidR="00C705CB" w:rsidRPr="009C7D07">
        <w:rPr>
          <w:bCs/>
          <w:i/>
          <w:iCs/>
          <w:color w:val="000000" w:themeColor="text1"/>
          <w:lang w:val="en-US"/>
        </w:rPr>
        <w:t>p</w:t>
      </w:r>
      <w:r w:rsidR="00C705CB" w:rsidRPr="009C7D07">
        <w:rPr>
          <w:bCs/>
          <w:color w:val="000000" w:themeColor="text1"/>
          <w:lang w:val="en-US"/>
        </w:rPr>
        <w:t>&lt;</w:t>
      </w:r>
      <w:r w:rsidR="00D03391" w:rsidRPr="009C7D07">
        <w:rPr>
          <w:bCs/>
          <w:color w:val="000000" w:themeColor="text1"/>
          <w:lang w:val="en-US"/>
        </w:rPr>
        <w:t xml:space="preserve">0.05) </w:t>
      </w:r>
      <w:r w:rsidR="00EF3E0C" w:rsidRPr="009C7D07">
        <w:rPr>
          <w:bCs/>
          <w:color w:val="000000" w:themeColor="text1"/>
          <w:lang w:val="en-US"/>
        </w:rPr>
        <w:t xml:space="preserve">and </w:t>
      </w:r>
      <w:r w:rsidR="008D341A" w:rsidRPr="009C7D07">
        <w:rPr>
          <w:bCs/>
          <w:color w:val="000000" w:themeColor="text1"/>
          <w:lang w:val="en-US"/>
        </w:rPr>
        <w:t xml:space="preserve">was </w:t>
      </w:r>
      <w:r w:rsidR="00D073F2" w:rsidRPr="009C7D07">
        <w:rPr>
          <w:bCs/>
          <w:color w:val="000000" w:themeColor="text1"/>
          <w:lang w:val="en-US"/>
        </w:rPr>
        <w:t>prevented with betaine</w:t>
      </w:r>
      <w:r w:rsidR="001961BE" w:rsidRPr="009C7D07">
        <w:rPr>
          <w:bCs/>
          <w:color w:val="000000" w:themeColor="text1"/>
          <w:lang w:val="en-US"/>
        </w:rPr>
        <w:t>.</w:t>
      </w:r>
      <w:r w:rsidR="001816CD" w:rsidRPr="009C7D07">
        <w:rPr>
          <w:bCs/>
          <w:color w:val="000000" w:themeColor="text1"/>
          <w:lang w:val="en-US"/>
        </w:rPr>
        <w:t xml:space="preserve"> </w:t>
      </w:r>
      <w:r w:rsidR="001E1B4C" w:rsidRPr="009C7D07">
        <w:rPr>
          <w:bCs/>
          <w:color w:val="000000" w:themeColor="text1"/>
          <w:lang w:val="en-US"/>
        </w:rPr>
        <w:t>Subtle</w:t>
      </w:r>
      <w:r w:rsidR="001816CD" w:rsidRPr="009C7D07">
        <w:rPr>
          <w:bCs/>
          <w:color w:val="000000" w:themeColor="text1"/>
          <w:shd w:val="clear" w:color="auto" w:fill="FFFFFF"/>
          <w:lang w:val="en-US"/>
        </w:rPr>
        <w:t xml:space="preserve"> change</w:t>
      </w:r>
      <w:r w:rsidR="001E1B4C" w:rsidRPr="009C7D07">
        <w:rPr>
          <w:bCs/>
          <w:color w:val="000000" w:themeColor="text1"/>
          <w:shd w:val="clear" w:color="auto" w:fill="FFFFFF"/>
          <w:lang w:val="en-US"/>
        </w:rPr>
        <w:t>s</w:t>
      </w:r>
      <w:r w:rsidR="001816CD" w:rsidRPr="009C7D07">
        <w:rPr>
          <w:bCs/>
          <w:color w:val="000000" w:themeColor="text1"/>
          <w:shd w:val="clear" w:color="auto" w:fill="FFFFFF"/>
          <w:lang w:val="en-US"/>
        </w:rPr>
        <w:t xml:space="preserve"> w</w:t>
      </w:r>
      <w:r w:rsidR="001E1B4C" w:rsidRPr="009C7D07">
        <w:rPr>
          <w:bCs/>
          <w:color w:val="000000" w:themeColor="text1"/>
          <w:shd w:val="clear" w:color="auto" w:fill="FFFFFF"/>
          <w:lang w:val="en-US"/>
        </w:rPr>
        <w:t>ere</w:t>
      </w:r>
      <w:r w:rsidR="001816CD" w:rsidRPr="009C7D07">
        <w:rPr>
          <w:bCs/>
          <w:color w:val="000000" w:themeColor="text1"/>
          <w:shd w:val="clear" w:color="auto" w:fill="FFFFFF"/>
          <w:lang w:val="en-US"/>
        </w:rPr>
        <w:t xml:space="preserve"> observed in </w:t>
      </w:r>
      <w:r w:rsidR="001E1B4C" w:rsidRPr="009C7D07">
        <w:rPr>
          <w:bCs/>
          <w:color w:val="000000" w:themeColor="text1"/>
          <w:shd w:val="clear" w:color="auto" w:fill="FFFFFF"/>
          <w:lang w:val="en-US"/>
        </w:rPr>
        <w:t xml:space="preserve">catalase, </w:t>
      </w:r>
      <w:r w:rsidR="008F6E72" w:rsidRPr="009C7D07">
        <w:rPr>
          <w:bCs/>
          <w:color w:val="000000" w:themeColor="text1"/>
          <w:lang w:val="en-US"/>
        </w:rPr>
        <w:t xml:space="preserve">superoxide dismutase, </w:t>
      </w:r>
      <w:r w:rsidR="001E1B4C" w:rsidRPr="009C7D07">
        <w:rPr>
          <w:bCs/>
          <w:color w:val="000000" w:themeColor="text1"/>
          <w:shd w:val="clear" w:color="auto" w:fill="FFFFFF"/>
          <w:lang w:val="en-US"/>
        </w:rPr>
        <w:t xml:space="preserve">glutathione reductase, </w:t>
      </w:r>
      <w:r w:rsidR="008F6E72" w:rsidRPr="009C7D07">
        <w:rPr>
          <w:bCs/>
          <w:color w:val="000000" w:themeColor="text1"/>
          <w:shd w:val="clear" w:color="auto" w:fill="FFFFFF"/>
          <w:lang w:val="en-US"/>
        </w:rPr>
        <w:t>and</w:t>
      </w:r>
      <w:r w:rsidR="001E1B4C" w:rsidRPr="009C7D07">
        <w:rPr>
          <w:bCs/>
          <w:color w:val="000000" w:themeColor="text1"/>
          <w:shd w:val="clear" w:color="auto" w:fill="FFFFFF"/>
          <w:lang w:val="en-US"/>
        </w:rPr>
        <w:t xml:space="preserve"> complex </w:t>
      </w:r>
      <w:r w:rsidR="008F23BE" w:rsidRPr="009C7D07">
        <w:rPr>
          <w:bCs/>
          <w:color w:val="000000" w:themeColor="text1"/>
          <w:shd w:val="clear" w:color="auto" w:fill="FFFFFF"/>
          <w:lang w:val="en-US"/>
        </w:rPr>
        <w:t>I</w:t>
      </w:r>
      <w:r w:rsidR="001E1B4C" w:rsidRPr="009C7D07">
        <w:rPr>
          <w:bCs/>
          <w:color w:val="000000" w:themeColor="text1"/>
          <w:shd w:val="clear" w:color="auto" w:fill="FFFFFF"/>
          <w:lang w:val="en-US"/>
        </w:rPr>
        <w:t xml:space="preserve"> activity a</w:t>
      </w:r>
      <w:r w:rsidR="001816CD" w:rsidRPr="009C7D07">
        <w:rPr>
          <w:bCs/>
          <w:color w:val="000000" w:themeColor="text1"/>
          <w:shd w:val="clear" w:color="auto" w:fill="FFFFFF"/>
          <w:lang w:val="en-US"/>
        </w:rPr>
        <w:t>fter ethanol treatment</w:t>
      </w:r>
      <w:r w:rsidR="001E1B4C" w:rsidRPr="009C7D07">
        <w:rPr>
          <w:bCs/>
          <w:color w:val="000000" w:themeColor="text1"/>
          <w:lang w:val="en-US"/>
        </w:rPr>
        <w:t>.</w:t>
      </w:r>
      <w:r w:rsidR="00823AE8" w:rsidRPr="009C7D07">
        <w:rPr>
          <w:bCs/>
          <w:color w:val="000000" w:themeColor="text1"/>
          <w:lang w:val="en-US"/>
        </w:rPr>
        <w:t xml:space="preserve"> </w:t>
      </w:r>
      <w:r w:rsidR="001816CD" w:rsidRPr="009C7D07">
        <w:rPr>
          <w:bCs/>
          <w:color w:val="000000" w:themeColor="text1"/>
          <w:lang w:val="en-US"/>
        </w:rPr>
        <w:t xml:space="preserve">In summary, </w:t>
      </w:r>
      <w:r w:rsidR="00D073F2" w:rsidRPr="009C7D07">
        <w:rPr>
          <w:bCs/>
          <w:color w:val="000000" w:themeColor="text1"/>
          <w:lang w:val="en-US"/>
        </w:rPr>
        <w:t xml:space="preserve">whilst juvenile </w:t>
      </w:r>
      <w:r w:rsidR="001E1B4C" w:rsidRPr="009C7D07">
        <w:rPr>
          <w:bCs/>
          <w:color w:val="000000" w:themeColor="text1"/>
          <w:lang w:val="en-US"/>
        </w:rPr>
        <w:t>animals</w:t>
      </w:r>
      <w:r w:rsidR="00D073F2" w:rsidRPr="009C7D07">
        <w:rPr>
          <w:bCs/>
          <w:color w:val="000000" w:themeColor="text1"/>
          <w:lang w:val="en-US"/>
        </w:rPr>
        <w:t xml:space="preserve"> appear to have higher basal levels of antioxidant enzymes, betaine was </w:t>
      </w:r>
      <w:r w:rsidR="004433C7" w:rsidRPr="009C7D07">
        <w:rPr>
          <w:bCs/>
          <w:color w:val="000000" w:themeColor="text1"/>
          <w:lang w:val="en-US"/>
        </w:rPr>
        <w:t>c</w:t>
      </w:r>
      <w:r w:rsidR="00D073F2" w:rsidRPr="009C7D07">
        <w:rPr>
          <w:bCs/>
          <w:color w:val="000000" w:themeColor="text1"/>
          <w:lang w:val="en-US"/>
        </w:rPr>
        <w:t>onfer</w:t>
      </w:r>
      <w:r w:rsidR="004433C7" w:rsidRPr="009C7D07">
        <w:rPr>
          <w:bCs/>
          <w:color w:val="000000" w:themeColor="text1"/>
          <w:lang w:val="en-US"/>
        </w:rPr>
        <w:t>red</w:t>
      </w:r>
      <w:r w:rsidR="00D073F2" w:rsidRPr="009C7D07">
        <w:rPr>
          <w:bCs/>
          <w:color w:val="000000" w:themeColor="text1"/>
          <w:lang w:val="en-US"/>
        </w:rPr>
        <w:t xml:space="preserve"> some protection against alcohol</w:t>
      </w:r>
      <w:r w:rsidR="008D341A" w:rsidRPr="009C7D07">
        <w:rPr>
          <w:bCs/>
          <w:color w:val="000000" w:themeColor="text1"/>
          <w:lang w:val="en-US"/>
        </w:rPr>
        <w:t>-</w:t>
      </w:r>
      <w:r w:rsidR="00D073F2" w:rsidRPr="009C7D07">
        <w:rPr>
          <w:bCs/>
          <w:color w:val="000000" w:themeColor="text1"/>
          <w:lang w:val="en-US"/>
        </w:rPr>
        <w:t xml:space="preserve">induced oxidative stress.  </w:t>
      </w:r>
    </w:p>
    <w:p w14:paraId="028E893B" w14:textId="7FC5553C" w:rsidR="009D77E2" w:rsidRPr="009C7D07" w:rsidRDefault="009D77E2" w:rsidP="009D77E2">
      <w:pPr>
        <w:spacing w:line="480" w:lineRule="auto"/>
        <w:rPr>
          <w:b/>
          <w:color w:val="000000" w:themeColor="text1"/>
          <w:lang w:val="en-US"/>
        </w:rPr>
      </w:pPr>
      <w:r w:rsidRPr="009C7D07">
        <w:rPr>
          <w:b/>
          <w:color w:val="000000" w:themeColor="text1"/>
          <w:lang w:val="en-US"/>
        </w:rPr>
        <w:t xml:space="preserve">Key words: </w:t>
      </w:r>
      <w:r w:rsidR="009C7D07" w:rsidRPr="009C7D07">
        <w:rPr>
          <w:b/>
          <w:color w:val="000000" w:themeColor="text1"/>
          <w:lang w:val="en-US"/>
        </w:rPr>
        <w:t>adolescents; antioxidants; binge</w:t>
      </w:r>
      <w:r w:rsidR="005D4DEE">
        <w:rPr>
          <w:b/>
          <w:color w:val="000000" w:themeColor="text1"/>
          <w:lang w:val="en-US"/>
        </w:rPr>
        <w:t xml:space="preserve"> </w:t>
      </w:r>
      <w:r w:rsidR="009C7D07" w:rsidRPr="009C7D07">
        <w:rPr>
          <w:b/>
          <w:color w:val="000000" w:themeColor="text1"/>
          <w:lang w:val="en-US"/>
        </w:rPr>
        <w:t xml:space="preserve">drinking; </w:t>
      </w:r>
      <w:r w:rsidR="005E6B5C">
        <w:rPr>
          <w:b/>
          <w:color w:val="000000" w:themeColor="text1"/>
          <w:lang w:val="en-US"/>
        </w:rPr>
        <w:t>liver</w:t>
      </w:r>
      <w:r w:rsidR="009C7D07" w:rsidRPr="009C7D07">
        <w:rPr>
          <w:b/>
          <w:color w:val="000000" w:themeColor="text1"/>
          <w:lang w:val="en-US"/>
        </w:rPr>
        <w:t>;</w:t>
      </w:r>
      <w:r w:rsidRPr="009C7D07">
        <w:rPr>
          <w:b/>
          <w:color w:val="000000" w:themeColor="text1"/>
          <w:lang w:val="en-US"/>
        </w:rPr>
        <w:t xml:space="preserve"> oxidative stress</w:t>
      </w:r>
    </w:p>
    <w:p w14:paraId="45FCE4DC" w14:textId="77777777" w:rsidR="00A34F6C" w:rsidRPr="009C7D07" w:rsidRDefault="00A34F6C">
      <w:pPr>
        <w:rPr>
          <w:rFonts w:eastAsiaTheme="majorEastAsia"/>
          <w:b/>
          <w:color w:val="000000" w:themeColor="text1"/>
          <w:lang w:val="en-US" w:eastAsia="en-US"/>
        </w:rPr>
      </w:pPr>
      <w:r w:rsidRPr="009C7D07">
        <w:rPr>
          <w:lang w:val="en-US"/>
        </w:rPr>
        <w:br w:type="page"/>
      </w:r>
    </w:p>
    <w:p w14:paraId="2E20BF1B" w14:textId="7F179004" w:rsidR="00455C85" w:rsidRPr="009C7D07" w:rsidRDefault="00455C85" w:rsidP="00796965">
      <w:pPr>
        <w:pStyle w:val="Heading1"/>
        <w:rPr>
          <w:rFonts w:cs="Times New Roman"/>
          <w:szCs w:val="24"/>
          <w:lang w:val="en-US"/>
        </w:rPr>
      </w:pPr>
      <w:r w:rsidRPr="009C7D07">
        <w:rPr>
          <w:rFonts w:cs="Times New Roman"/>
          <w:szCs w:val="24"/>
          <w:lang w:val="en-US"/>
        </w:rPr>
        <w:t xml:space="preserve">Introduction </w:t>
      </w:r>
    </w:p>
    <w:p w14:paraId="55B2947D" w14:textId="0A919059" w:rsidR="00455C85" w:rsidRPr="009C7D07" w:rsidRDefault="00455C85" w:rsidP="00796965">
      <w:pPr>
        <w:spacing w:line="480" w:lineRule="auto"/>
        <w:jc w:val="both"/>
        <w:rPr>
          <w:bCs/>
          <w:color w:val="000000"/>
          <w:lang w:val="en-US"/>
        </w:rPr>
      </w:pPr>
      <w:r w:rsidRPr="009C7D07">
        <w:rPr>
          <w:lang w:val="en-US"/>
        </w:rPr>
        <w:t xml:space="preserve">Worldwide, alcoholic liver disease (ALD) is a major cause of chronic liver disease which develops due to excessive, prolonged consumption of </w:t>
      </w:r>
      <w:r w:rsidR="00D85454" w:rsidRPr="009C7D07">
        <w:rPr>
          <w:lang w:val="en-US"/>
        </w:rPr>
        <w:t>alcoho</w:t>
      </w:r>
      <w:r w:rsidRPr="009C7D07">
        <w:rPr>
          <w:lang w:val="en-US"/>
        </w:rPr>
        <w:t xml:space="preserve">l. This results in the formation of fatty liver which can develop to </w:t>
      </w:r>
      <w:r w:rsidRPr="009C7D07">
        <w:rPr>
          <w:shd w:val="clear" w:color="auto" w:fill="FFFFFF"/>
          <w:lang w:val="en-US"/>
        </w:rPr>
        <w:t>steatohepatitis</w:t>
      </w:r>
      <w:r w:rsidR="00A522BC" w:rsidRPr="009C7D07">
        <w:rPr>
          <w:shd w:val="clear" w:color="auto" w:fill="FFFFFF"/>
          <w:lang w:val="en-US"/>
        </w:rPr>
        <w:t>,</w:t>
      </w:r>
      <w:r w:rsidRPr="009C7D07">
        <w:rPr>
          <w:shd w:val="clear" w:color="auto" w:fill="FFFFFF"/>
          <w:lang w:val="en-US"/>
        </w:rPr>
        <w:t xml:space="preserve"> cirrhosis/fibrosis and lastly hepatocellular cancer </w:t>
      </w:r>
      <w:r w:rsidRPr="009C7D07">
        <w:rPr>
          <w:shd w:val="clear" w:color="auto" w:fill="FFFFFF"/>
          <w:lang w:val="en-US"/>
        </w:rPr>
        <w:fldChar w:fldCharType="begin" w:fldLock="1"/>
      </w:r>
      <w:r w:rsidR="00CB53A3">
        <w:rPr>
          <w:shd w:val="clear" w:color="auto" w:fill="FFFFFF"/>
          <w:lang w:val="en-US"/>
        </w:rPr>
        <w:instrText>ADDIN CSL_CITATION {"citationItems":[{"id":"ITEM-1","itemData":{"DOI":"10.1016/j.jhep.2012.04.004","ISSN":"01688278","abstract":"We recently introduced an algorithm for spherical parametrization and remesh- ing, which allows resampling of a genus-zero surface onto a regular 2D grid, a spherical geometry image. These geometry images offer several advantages for shape compression. First, simple extension rules extend the square im- age domain to cover the infinite plane, thereby providing a globally smooth surface parametrization. The 2D grid structure permits use of ordinary im- age wavelets, including higher-order wavelets with polynomial precision. The coarsest wavelets span the entire surface and thus encode the lowest frequen- cies of the shape. Finally, the compression and decompression algorithms op- erate on ordinary 2D arrays, and are thus ideally suited for hardware ac- celeration. In this paper, we detail two wavelet-based approaches for shape compression using spherical geometry images, and provide comparisons with previous compression schemes.","author":[{"dropping-particle":"","family":"Mathurin","given":"Philippe","non-dropping-particle":"","parse-names":false,"suffix":""},{"dropping-particle":"","family":"Hadengue","given":"Antoine","non-dropping-particle":"","parse-names":false,"suffix":""},{"dropping-particle":"","family":"Bataller","given":"Ramon","non-dropping-particle":"","parse-names":false,"suffix":""},{"dropping-particle":"","family":"Addolorato","given":"Giovanni","non-dropping-particle":"","parse-names":false,"suffix":""},{"dropping-particle":"","family":"Burra","given":"Patrizia","non-dropping-particle":"","parse-names":false,"suffix":""},{"dropping-particle":"","family":"Burt","given":"Alastair","non-dropping-particle":"","parse-names":false,"suffix":""},{"dropping-particle":"","family":"Caballeria","given":"Juan","non-dropping-particle":"","parse-names":false,"suffix":""},{"dropping-particle":"","family":"Cortez-Pinto","given":"Helena","non-dropping-particle":"","parse-names":false,"suffix":""},{"dropping-particle":"","family":"Day","given":"Chris P.","non-dropping-particle":"","parse-names":false,"suffix":""},{"dropping-particle":"","family":"Forrest","given":"Ewan H.","non-dropping-particle":"","parse-names":false,"suffix":""},{"dropping-particle":"","family":"Gual","given":"Antoni","non-dropping-particle":"","parse-names":false,"suffix":""},{"dropping-particle":"","family":"Leon","given":"David A.","non-dropping-particle":"","parse-names":false,"suffix":""},{"dropping-particle":"","family":"Lligoña","given":"Anna","non-dropping-particle":"","parse-names":false,"suffix":""},{"dropping-particle":"","family":"Jepsen","given":"Peter","non-dropping-particle":"","parse-names":false,"suffix":""},{"dropping-particle":"","family":"Mueller","given":"Sebastian","non-dropping-particle":"","parse-names":false,"suffix":""},{"dropping-particle":"","family":"Pageaux","given":"Georges Philippe","non-dropping-particle":"","parse-names":false,"suffix":""},{"dropping-particle":"","family":"Roskams","given":"Tania","non-dropping-particle":"","parse-names":false,"suffix":""},{"dropping-particle":"","family":"Seitz","given":"Helmut K.","non-dropping-particle":"","parse-names":false,"suffix":""},{"dropping-particle":"","family":"Stickel","given":"Felix","non-dropping-particle":"","parse-names":false,"suffix":""},{"dropping-particle":"","family":"Thursz","given":"Mark","non-dropping-particle":"","parse-names":false,"suffix":""},{"dropping-particle":"","family":"Naveau","given":"Sylvie","non-dropping-particle":"","parse-names":false,"suffix":""},{"dropping-particle":"","family":"Morgan","given":"Tim","non-dropping-particle":"","parse-names":false,"suffix":""},{"dropping-particle":"","family":"Nevens","given":"Frederik","non-dropping-particle":"","parse-names":false,"suffix":""}],"container-title":"Journal of Hepatology","id":"ITEM-1","issue":"2","issued":{"date-parts":[["2012","8","1"]]},"page":"399-420","publisher":"Elsevier B.V.","title":"EASL clinical practical guidelines: Management of alcoholic liver disease","type":"article-journal","volume":"57"},"uris":["http://www.mendeley.com/documents/?uuid=eb472b43-392b-32f6-8786-d4cd534885ea"]}],"mendeley":{"formattedCitation":"&lt;span style=\"baseline\"&gt;(1)&lt;/span&gt;","plainTextFormattedCitation":"(1)","previouslyFormattedCitation":"&lt;sup&gt;1&lt;/sup&gt;"},"properties":{"noteIndex":0},"schema":"https://github.com/citation-style-language/schema/raw/master/csl-citation.json"}</w:instrText>
      </w:r>
      <w:r w:rsidRPr="009C7D07">
        <w:rPr>
          <w:shd w:val="clear" w:color="auto" w:fill="FFFFFF"/>
          <w:lang w:val="en-US"/>
        </w:rPr>
        <w:fldChar w:fldCharType="separate"/>
      </w:r>
      <w:r w:rsidR="00CB53A3" w:rsidRPr="00CB53A3">
        <w:rPr>
          <w:noProof/>
          <w:shd w:val="clear" w:color="auto" w:fill="FFFFFF"/>
          <w:lang w:val="en-US"/>
        </w:rPr>
        <w:t>(1)</w:t>
      </w:r>
      <w:r w:rsidRPr="009C7D07">
        <w:rPr>
          <w:shd w:val="clear" w:color="auto" w:fill="FFFFFF"/>
          <w:lang w:val="en-US"/>
        </w:rPr>
        <w:fldChar w:fldCharType="end"/>
      </w:r>
      <w:r w:rsidRPr="009C7D07">
        <w:rPr>
          <w:shd w:val="clear" w:color="auto" w:fill="FFFFFF"/>
          <w:lang w:val="en-US"/>
        </w:rPr>
        <w:t xml:space="preserve">.  </w:t>
      </w:r>
    </w:p>
    <w:p w14:paraId="3B8E0418" w14:textId="77777777" w:rsidR="00796965" w:rsidRPr="009C7D07" w:rsidRDefault="00796965" w:rsidP="00796965">
      <w:pPr>
        <w:spacing w:line="480" w:lineRule="auto"/>
        <w:jc w:val="both"/>
        <w:rPr>
          <w:rStyle w:val="Strong"/>
          <w:b w:val="0"/>
          <w:color w:val="000000"/>
          <w:lang w:val="en-US"/>
        </w:rPr>
      </w:pPr>
    </w:p>
    <w:p w14:paraId="3EF759A0" w14:textId="0FD3A78C" w:rsidR="00455C85" w:rsidRPr="009C7D07" w:rsidRDefault="00455C85" w:rsidP="00796965">
      <w:pPr>
        <w:spacing w:line="480" w:lineRule="auto"/>
        <w:jc w:val="both"/>
        <w:rPr>
          <w:color w:val="000000" w:themeColor="text1"/>
          <w:shd w:val="clear" w:color="auto" w:fill="FFFFFF"/>
          <w:lang w:val="en-US"/>
        </w:rPr>
      </w:pPr>
      <w:r w:rsidRPr="009C7D07">
        <w:rPr>
          <w:bCs/>
          <w:color w:val="000000" w:themeColor="text1"/>
          <w:lang w:val="en-US"/>
        </w:rPr>
        <w:t>ALD is traditionally associated with the adult population</w:t>
      </w:r>
      <w:r w:rsidR="005C2D33" w:rsidRPr="009C7D07">
        <w:rPr>
          <w:bCs/>
          <w:color w:val="000000" w:themeColor="text1"/>
          <w:lang w:val="en-US"/>
        </w:rPr>
        <w:t>, h</w:t>
      </w:r>
      <w:r w:rsidRPr="009C7D07">
        <w:rPr>
          <w:bCs/>
          <w:color w:val="000000" w:themeColor="text1"/>
          <w:lang w:val="en-US"/>
        </w:rPr>
        <w:t xml:space="preserve">owever, recent statistical reports have identified an alarming increase in the percentage of teenage binge drinking. </w:t>
      </w:r>
      <w:r w:rsidR="00A522BC" w:rsidRPr="009C7D07">
        <w:rPr>
          <w:color w:val="000000" w:themeColor="text1"/>
          <w:shd w:val="clear" w:color="auto" w:fill="FFFFFF"/>
          <w:lang w:val="en-US"/>
        </w:rPr>
        <w:t>T</w:t>
      </w:r>
      <w:r w:rsidRPr="009C7D07">
        <w:rPr>
          <w:color w:val="000000" w:themeColor="text1"/>
          <w:shd w:val="clear" w:color="auto" w:fill="FFFFFF"/>
          <w:lang w:val="en-US"/>
        </w:rPr>
        <w:t xml:space="preserve">he proportion of adolescents who binge drink remains high with a </w:t>
      </w:r>
      <w:r w:rsidRPr="009C7D07">
        <w:rPr>
          <w:bCs/>
          <w:color w:val="000000"/>
          <w:lang w:val="en-US"/>
        </w:rPr>
        <w:t xml:space="preserve">shift towards young people drinking more frequently with the </w:t>
      </w:r>
      <w:r w:rsidR="00D85454" w:rsidRPr="009C7D07">
        <w:rPr>
          <w:bCs/>
          <w:color w:val="000000"/>
          <w:lang w:val="en-US"/>
        </w:rPr>
        <w:t>intention</w:t>
      </w:r>
      <w:r w:rsidRPr="009C7D07">
        <w:rPr>
          <w:bCs/>
          <w:color w:val="000000"/>
          <w:lang w:val="en-US"/>
        </w:rPr>
        <w:t xml:space="preserve"> </w:t>
      </w:r>
      <w:r w:rsidR="00D85454" w:rsidRPr="009C7D07">
        <w:rPr>
          <w:bCs/>
          <w:color w:val="000000"/>
          <w:lang w:val="en-US"/>
        </w:rPr>
        <w:t>of</w:t>
      </w:r>
      <w:r w:rsidRPr="009C7D07">
        <w:rPr>
          <w:bCs/>
          <w:color w:val="000000"/>
          <w:lang w:val="en-US"/>
        </w:rPr>
        <w:t xml:space="preserve"> becoming intoxicated</w:t>
      </w:r>
      <w:r w:rsidRPr="009C7D07">
        <w:rPr>
          <w:color w:val="000000" w:themeColor="text1"/>
          <w:shd w:val="clear" w:color="auto" w:fill="FFFFFF"/>
          <w:lang w:val="en-US"/>
        </w:rPr>
        <w:t xml:space="preserve"> </w:t>
      </w:r>
      <w:r w:rsidRPr="009C7D07">
        <w:rPr>
          <w:color w:val="000000" w:themeColor="text1"/>
          <w:shd w:val="clear" w:color="auto" w:fill="FFFFFF"/>
          <w:lang w:val="en-US"/>
        </w:rPr>
        <w:fldChar w:fldCharType="begin" w:fldLock="1"/>
      </w:r>
      <w:r w:rsidR="00CB53A3">
        <w:rPr>
          <w:color w:val="000000" w:themeColor="text1"/>
          <w:shd w:val="clear" w:color="auto" w:fill="FFFFFF"/>
          <w:lang w:val="en-US"/>
        </w:rPr>
        <w:instrText>ADDIN CSL_CITATION {"citationItems":[{"id":"ITEM-1","itemData":{"ISSN":"21694796","PMID":"30557142","abstract":"Binge drinking, commonly defined as consuming five or more standard drinks per occasion for men and four or more drinks for women, typically begins in adolescence. Adolescents, although they may drink less often, tend to consume higher quantities of alcohol per occasion compared with adults. This developmental difference in pattern of alcohol consumption may result, in part, from maturational changes that involve an adolescent-specific sensitivity to certain alcohol effects and greater propensity for risk-taking behaviors, such as binge drinking. Adolescent binge drinking is associated with a range of acute alcohol-related harms, some of which may persist into adulthood. The prevalence of binge drinking, including high-intensity drinking (i.e., 10 or more and 15 or more drinks per occasion), has declined among adolescents in recent years. Overall, however, the proportion of youth who engage in binge drinking remains high. This article reviews the definition and prevalence of binge drinking in adolescence, trajectories of binge drinking and their correlates, and implications for prevention.","author":[{"dropping-particle":"","family":"Chung","given":"Tammy","non-dropping-particle":"","parse-names":false,"suffix":""},{"dropping-particle":"","family":"Creswell","given":"Kasey G.","non-dropping-particle":"","parse-names":false,"suffix":""},{"dropping-particle":"","family":"Bachrach","given":"Rachel","non-dropping-particle":"","parse-names":false,"suffix":""},{"dropping-particle":"","family":"Clark","given":"Duncan B.","non-dropping-particle":"","parse-names":false,"suffix":""},{"dropping-particle":"","family":"Martin","given":"Christopher S.","non-dropping-particle":"","parse-names":false,"suffix":""}],"container-title":"Alcohol research: current reviews","id":"ITEM-1","issue":"1","issued":{"date-parts":[["2018"]]},"page":"5-15","publisher":"NLM (Medline)","title":"Adolescent Binge Drinking","type":"article","volume":"39"},"uris":["http://www.mendeley.com/documents/?uuid=6cea630a-dbdb-3d77-8477-4bb2335026e5"]}],"mendeley":{"formattedCitation":"&lt;span style=\"baseline\"&gt;(2)&lt;/span&gt;","plainTextFormattedCitation":"(2)","previouslyFormattedCitation":"&lt;sup&gt;2&lt;/sup&gt;"},"properties":{"noteIndex":0},"schema":"https://github.com/citation-style-language/schema/raw/master/csl-citation.json"}</w:instrText>
      </w:r>
      <w:r w:rsidRPr="009C7D07">
        <w:rPr>
          <w:color w:val="000000" w:themeColor="text1"/>
          <w:shd w:val="clear" w:color="auto" w:fill="FFFFFF"/>
          <w:lang w:val="en-US"/>
        </w:rPr>
        <w:fldChar w:fldCharType="separate"/>
      </w:r>
      <w:r w:rsidR="00CB53A3" w:rsidRPr="00CB53A3">
        <w:rPr>
          <w:noProof/>
          <w:color w:val="000000" w:themeColor="text1"/>
          <w:shd w:val="clear" w:color="auto" w:fill="FFFFFF"/>
          <w:lang w:val="en-US"/>
        </w:rPr>
        <w:t>(2)</w:t>
      </w:r>
      <w:r w:rsidRPr="009C7D07">
        <w:rPr>
          <w:color w:val="000000" w:themeColor="text1"/>
          <w:shd w:val="clear" w:color="auto" w:fill="FFFFFF"/>
          <w:lang w:val="en-US"/>
        </w:rPr>
        <w:fldChar w:fldCharType="end"/>
      </w:r>
      <w:r w:rsidRPr="009C7D07">
        <w:rPr>
          <w:bCs/>
          <w:color w:val="000000"/>
          <w:lang w:val="en-US"/>
        </w:rPr>
        <w:t>. Adolescents are now exposing their livers to the damaging effects of ethanol more frequently and more seriously than at any time in the past. The</w:t>
      </w:r>
      <w:r w:rsidRPr="009C7D07">
        <w:rPr>
          <w:color w:val="000000"/>
          <w:lang w:val="en-US"/>
        </w:rPr>
        <w:t xml:space="preserve"> UK</w:t>
      </w:r>
      <w:r w:rsidR="008D341A" w:rsidRPr="009C7D07">
        <w:rPr>
          <w:color w:val="000000"/>
          <w:lang w:val="en-US"/>
        </w:rPr>
        <w:t>,</w:t>
      </w:r>
      <w:r w:rsidRPr="009C7D07">
        <w:rPr>
          <w:color w:val="000000"/>
          <w:lang w:val="en-US"/>
        </w:rPr>
        <w:t xml:space="preserve"> in particular</w:t>
      </w:r>
      <w:r w:rsidR="008D341A" w:rsidRPr="009C7D07">
        <w:rPr>
          <w:color w:val="000000"/>
          <w:lang w:val="en-US"/>
        </w:rPr>
        <w:t>,</w:t>
      </w:r>
      <w:r w:rsidRPr="009C7D07">
        <w:rPr>
          <w:color w:val="000000"/>
          <w:lang w:val="en-US"/>
        </w:rPr>
        <w:t xml:space="preserve"> is consistently </w:t>
      </w:r>
      <w:r w:rsidR="00EE04AC" w:rsidRPr="009C7D07">
        <w:rPr>
          <w:color w:val="000000"/>
          <w:lang w:val="en-US"/>
        </w:rPr>
        <w:t>categorized</w:t>
      </w:r>
      <w:r w:rsidRPr="009C7D07">
        <w:rPr>
          <w:color w:val="000000"/>
          <w:lang w:val="en-US"/>
        </w:rPr>
        <w:t xml:space="preserve"> as a high prevalence country for underage drinking </w:t>
      </w:r>
      <w:r w:rsidRPr="009C7D07">
        <w:rPr>
          <w:bCs/>
          <w:color w:val="000000"/>
          <w:lang w:val="en-US"/>
        </w:rPr>
        <w:fldChar w:fldCharType="begin" w:fldLock="1"/>
      </w:r>
      <w:r w:rsidR="00CB53A3">
        <w:rPr>
          <w:bCs/>
          <w:color w:val="000000"/>
          <w:lang w:val="en-US"/>
        </w:rPr>
        <w:instrText>ADDIN CSL_CITATION {"citationItems":[{"id":"ITEM-1","itemData":{"ISBN":"9789172782334","URL":"http://www.espad.org/sites/espad.org/files/The_2011_ESPAD_Report_FULL_2012_10_29.pdf","accessed":{"date-parts":[["2020","6","2"]]},"author":[{"dropping-particle":"","family":"Hibell","given":"Björn","non-dropping-particle":"","parse-names":false,"suffix":""},{"dropping-particle":"","family":"Stergar","given":"Eva.","non-dropping-particle":"","parse-names":false,"suffix":""},{"dropping-particle":"","family":"Dernovšček Hafner","given":"Nataša.","non-dropping-particle":"","parse-names":false,"suffix":""}],"id":"ITEM-1","issued":{"date-parts":[["2012"]]},"publisher":"The Swedish Council for Information on Alcohol and Other Drugs (CAN)","title":"The 2011 ESPAD Report : substance use among students in 36 European countries","type":"webpage"},"uris":["http://www.mendeley.com/documents/?uuid=0b9174ac-480e-35f9-9585-738f1dab1f49"]}],"mendeley":{"formattedCitation":"&lt;span style=\"baseline\"&gt;(3)&lt;/span&gt;","plainTextFormattedCitation":"(3)","previouslyFormattedCitation":"&lt;sup&gt;3&lt;/sup&gt;"},"properties":{"noteIndex":0},"schema":"https://github.com/citation-style-language/schema/raw/master/csl-citation.json"}</w:instrText>
      </w:r>
      <w:r w:rsidRPr="009C7D07">
        <w:rPr>
          <w:bCs/>
          <w:color w:val="000000"/>
          <w:lang w:val="en-US"/>
        </w:rPr>
        <w:fldChar w:fldCharType="separate"/>
      </w:r>
      <w:r w:rsidR="00CB53A3" w:rsidRPr="00CB53A3">
        <w:rPr>
          <w:bCs/>
          <w:noProof/>
          <w:color w:val="000000"/>
          <w:lang w:val="en-US"/>
        </w:rPr>
        <w:t>(3)</w:t>
      </w:r>
      <w:r w:rsidRPr="009C7D07">
        <w:rPr>
          <w:bCs/>
          <w:color w:val="000000"/>
          <w:lang w:val="en-US"/>
        </w:rPr>
        <w:fldChar w:fldCharType="end"/>
      </w:r>
      <w:r w:rsidRPr="009C7D07">
        <w:rPr>
          <w:bCs/>
          <w:color w:val="000000"/>
          <w:lang w:val="en-US"/>
        </w:rPr>
        <w:t xml:space="preserve">, with a third of British teenagers </w:t>
      </w:r>
      <w:r w:rsidR="00D85454" w:rsidRPr="009C7D07">
        <w:rPr>
          <w:bCs/>
          <w:color w:val="000000"/>
          <w:lang w:val="en-US"/>
        </w:rPr>
        <w:t>reporting intoxication</w:t>
      </w:r>
      <w:r w:rsidRPr="009C7D07">
        <w:rPr>
          <w:bCs/>
          <w:color w:val="000000"/>
          <w:lang w:val="en-US"/>
        </w:rPr>
        <w:t xml:space="preserve"> by the age of 13</w:t>
      </w:r>
      <w:r w:rsidR="00D03BF7" w:rsidRPr="009C7D07">
        <w:rPr>
          <w:bCs/>
          <w:color w:val="000000"/>
          <w:lang w:val="en-US"/>
        </w:rPr>
        <w:t xml:space="preserve"> </w:t>
      </w:r>
      <w:r w:rsidR="00D03BF7" w:rsidRPr="009C7D07">
        <w:rPr>
          <w:bCs/>
          <w:color w:val="000000"/>
          <w:lang w:val="en-US"/>
        </w:rPr>
        <w:fldChar w:fldCharType="begin" w:fldLock="1"/>
      </w:r>
      <w:r w:rsidR="00CB53A3">
        <w:rPr>
          <w:bCs/>
          <w:color w:val="000000"/>
          <w:lang w:val="en-US"/>
        </w:rPr>
        <w:instrText>ADDIN CSL_CITATION {"citationItems":[{"id":"ITEM-1","itemData":{"URL":"http://espad.org/sites/espad.org/files/The_2003_ESPAD_report.pdf","accessed":{"date-parts":[["2020","6","2"]]},"author":[{"dropping-particle":"","family":"Hibell","given":"Björn","non-dropping-particle":"","parse-names":false,"suffix":""},{"dropping-particle":"","family":"Andersson","given":"Barbro","non-dropping-particle":"","parse-names":false,"suffix":""},{"dropping-particle":"","family":"Bjarnason","given":"Thoruddur","non-dropping-particle":"","parse-names":false,"suffix":""},{"dropping-particle":"","family":"Ahlström","given":"Salme","non-dropping-particle":"","parse-names":false,"suffix":""},{"dropping-particle":"","family":"Balakireva","given":"Olga","non-dropping-particle":"","parse-names":false,"suffix":""},{"dropping-particle":"","family":"Kokkevi","given":"Anna","non-dropping-particle":"","parse-names":false,"suffix":""},{"dropping-particle":"","family":"Morgan","given":"Mark","non-dropping-particle":"","parse-names":false,"suffix":""}],"id":"ITEM-1","issued":{"date-parts":[["2004"]]},"publisher":"The Swedish Council for Information on Alcohol and Other Drugs (CAN), Council of Europe, Co-operation Group to Combat Drug Abuse and Illicit Trafficking in Drugs (Pompidou Group)","title":"The ESPAD Report 2003","type":"webpage"},"uris":["http://www.mendeley.com/documents/?uuid=ae6cc36e-f791-3631-b4c2-9672ec1c43ff"]}],"mendeley":{"formattedCitation":"&lt;span style=\"baseline\"&gt;(4)&lt;/span&gt;","plainTextFormattedCitation":"(4)","previouslyFormattedCitation":"&lt;sup&gt;4&lt;/sup&gt;"},"properties":{"noteIndex":0},"schema":"https://github.com/citation-style-language/schema/raw/master/csl-citation.json"}</w:instrText>
      </w:r>
      <w:r w:rsidR="00D03BF7" w:rsidRPr="009C7D07">
        <w:rPr>
          <w:bCs/>
          <w:color w:val="000000"/>
          <w:lang w:val="en-US"/>
        </w:rPr>
        <w:fldChar w:fldCharType="separate"/>
      </w:r>
      <w:r w:rsidR="00CB53A3" w:rsidRPr="00CB53A3">
        <w:rPr>
          <w:bCs/>
          <w:noProof/>
          <w:color w:val="000000"/>
          <w:lang w:val="en-US"/>
        </w:rPr>
        <w:t>(4)</w:t>
      </w:r>
      <w:r w:rsidR="00D03BF7" w:rsidRPr="009C7D07">
        <w:rPr>
          <w:bCs/>
          <w:color w:val="000000"/>
          <w:lang w:val="en-US"/>
        </w:rPr>
        <w:fldChar w:fldCharType="end"/>
      </w:r>
      <w:r w:rsidR="00D03BF7" w:rsidRPr="009C7D07">
        <w:rPr>
          <w:bCs/>
          <w:color w:val="000000"/>
          <w:lang w:val="en-US"/>
        </w:rPr>
        <w:t xml:space="preserve">. </w:t>
      </w:r>
      <w:r w:rsidR="00D85454" w:rsidRPr="009C7D07">
        <w:rPr>
          <w:bCs/>
          <w:color w:val="000000"/>
          <w:lang w:val="en-US"/>
        </w:rPr>
        <w:t xml:space="preserve">The </w:t>
      </w:r>
      <w:r w:rsidR="00D85454" w:rsidRPr="009C7D07">
        <w:rPr>
          <w:lang w:val="en-US"/>
        </w:rPr>
        <w:t>National Survey on Drug Use and Health has estimated that in the US 22% of adolescents used alcohol in 2016</w:t>
      </w:r>
      <w:r w:rsidR="00023B86" w:rsidRPr="009C7D07">
        <w:rPr>
          <w:lang w:val="en-US"/>
        </w:rPr>
        <w:t xml:space="preserve"> </w:t>
      </w:r>
      <w:r w:rsidR="00023B86" w:rsidRPr="009C7D07">
        <w:rPr>
          <w:lang w:val="en-US"/>
        </w:rPr>
        <w:fldChar w:fldCharType="begin" w:fldLock="1"/>
      </w:r>
      <w:r w:rsidR="00CB53A3">
        <w:rPr>
          <w:lang w:val="en-US"/>
        </w:rPr>
        <w:instrText>ADDIN CSL_CITATION {"citationItems":[{"id":"ITEM-1","itemData":{"DOI":"10.1016/j.drugalcdep.2019.02.034","ISSN":"18790046","abstract":"Background: Binge drinking accounts for several adverse health, social, legal, and academic outcomes among adolescents. Understanding trends and correlates of binge drinking and alcohol abstention has important implications for policy and programs and was the aim of this study. The current study examined trends in adolescent binge drinking and alcohol abstention by age, gender, and race/ethnicity over a 15-year period. Methods: Respondents between the ages of 12 and 17 years who participated in the National Survey on Drug Use and Health (NSDUH) between 2002 and 2016 were included in the sample of 258,309. Measures included binge drinking, alcohol abstention, and co-morbid factors (e.g., marijuana, other illicit drugs), and demographic factors. Results: Logistic regression analyses were conducted to examine the significance of trend changes by sub-groups while controlling for co-morbid and demographic factors. Findings indicated that binge drinking decreased substantially among adolescents in the US over the last 15 years. This decrease was shown among all age, gender, and racial/ethnic groups. In 2002, Year 1 of the study, 26% of 17-year-olds reported past-month binge drinking; in 2016, past-month binge drinking dropped to 12%. Findings also indicated comparable increases in the proportion of youth reporting abstention from alcohol consumption across all subgroups. Black youth reported substantially lower levels of binge alcohol use and higher levels of abstention, although the gap between Black, Hispanic and White youth narrowed substantially between 2002 and 2016. Conclusion: Study findings are consistent with those of other research showing declines in problem alcohol- use behavior among youth.","author":[{"dropping-particle":"","family":"Clark Goings","given":"Trenette","non-dropping-particle":"","parse-names":false,"suffix":""},{"dropping-particle":"","family":"Salas-Wright","given":"Christopher P.","non-dropping-particle":"","parse-names":false,"suffix":""},{"dropping-particle":"","family":"Belgrave","given":"Faye Z.","non-dropping-particle":"","parse-names":false,"suffix":""},{"dropping-particle":"","family":"Nelson","given":"Erik J.","non-dropping-particle":"","parse-names":false,"suffix":""},{"dropping-particle":"","family":"Harezlak","given":"Jaroslaw","non-dropping-particle":"","parse-names":false,"suffix":""},{"dropping-particle":"","family":"Vaughn","given":"Michael G.","non-dropping-particle":"","parse-names":false,"suffix":""}],"container-title":"Drug and Alcohol Dependence","id":"ITEM-1","issued":{"date-parts":[["2019","7","1"]]},"page":"115-123","publisher":"Elsevier Ireland Ltd","title":"Trends in binge drinking and alcohol abstention among adolescents in the US, 2002-2016","type":"article-journal","volume":"200"},"uris":["http://www.mendeley.com/documents/?uuid=c17019af-09d0-303a-8bc4-e7ec8b768421"]}],"mendeley":{"formattedCitation":"&lt;span style=\"baseline\"&gt;(5)&lt;/span&gt;","plainTextFormattedCitation":"(5)","previouslyFormattedCitation":"&lt;sup&gt;5&lt;/sup&gt;"},"properties":{"noteIndex":0},"schema":"https://github.com/citation-style-language/schema/raw/master/csl-citation.json"}</w:instrText>
      </w:r>
      <w:r w:rsidR="00023B86" w:rsidRPr="009C7D07">
        <w:rPr>
          <w:lang w:val="en-US"/>
        </w:rPr>
        <w:fldChar w:fldCharType="separate"/>
      </w:r>
      <w:r w:rsidR="00CB53A3" w:rsidRPr="00CB53A3">
        <w:rPr>
          <w:noProof/>
          <w:lang w:val="en-US"/>
        </w:rPr>
        <w:t>(5)</w:t>
      </w:r>
      <w:r w:rsidR="00023B86" w:rsidRPr="009C7D07">
        <w:rPr>
          <w:lang w:val="en-US"/>
        </w:rPr>
        <w:fldChar w:fldCharType="end"/>
      </w:r>
      <w:r w:rsidR="008F6E72" w:rsidRPr="009C7D07">
        <w:rPr>
          <w:lang w:val="en-US"/>
        </w:rPr>
        <w:t>, whereas</w:t>
      </w:r>
      <w:r w:rsidR="00667D92" w:rsidRPr="009C7D07">
        <w:rPr>
          <w:lang w:val="en-US"/>
        </w:rPr>
        <w:t xml:space="preserve"> </w:t>
      </w:r>
      <w:r w:rsidR="008F6E72" w:rsidRPr="009C7D07">
        <w:rPr>
          <w:bCs/>
          <w:color w:val="000000" w:themeColor="text1"/>
          <w:lang w:val="en-US"/>
        </w:rPr>
        <w:t>t</w:t>
      </w:r>
      <w:r w:rsidRPr="009C7D07">
        <w:rPr>
          <w:bCs/>
          <w:color w:val="000000" w:themeColor="text1"/>
          <w:lang w:val="en-US"/>
        </w:rPr>
        <w:t xml:space="preserve">he </w:t>
      </w:r>
      <w:r w:rsidR="00023B86" w:rsidRPr="009C7D07">
        <w:rPr>
          <w:bCs/>
          <w:color w:val="000000" w:themeColor="text1"/>
          <w:shd w:val="clear" w:color="auto" w:fill="FFFFFF"/>
          <w:lang w:val="en-US"/>
        </w:rPr>
        <w:t>European School</w:t>
      </w:r>
      <w:r w:rsidR="008F6E72" w:rsidRPr="009C7D07">
        <w:rPr>
          <w:bCs/>
          <w:color w:val="000000" w:themeColor="text1"/>
          <w:shd w:val="clear" w:color="auto" w:fill="FFFFFF"/>
          <w:lang w:val="en-US"/>
        </w:rPr>
        <w:t xml:space="preserve"> </w:t>
      </w:r>
      <w:r w:rsidR="00023B86" w:rsidRPr="009C7D07">
        <w:rPr>
          <w:rStyle w:val="Emphasis"/>
          <w:bCs/>
          <w:i w:val="0"/>
          <w:iCs w:val="0"/>
          <w:color w:val="000000" w:themeColor="text1"/>
          <w:shd w:val="clear" w:color="auto" w:fill="FFFFFF"/>
          <w:lang w:val="en-US"/>
        </w:rPr>
        <w:t>Survey</w:t>
      </w:r>
      <w:r w:rsidR="008F6E72" w:rsidRPr="009C7D07">
        <w:rPr>
          <w:bCs/>
          <w:color w:val="000000" w:themeColor="text1"/>
          <w:shd w:val="clear" w:color="auto" w:fill="FFFFFF"/>
          <w:lang w:val="en-US"/>
        </w:rPr>
        <w:t xml:space="preserve"> </w:t>
      </w:r>
      <w:r w:rsidR="00023B86" w:rsidRPr="009C7D07">
        <w:rPr>
          <w:bCs/>
          <w:color w:val="000000" w:themeColor="text1"/>
          <w:shd w:val="clear" w:color="auto" w:fill="FFFFFF"/>
          <w:lang w:val="en-US"/>
        </w:rPr>
        <w:t>Project on Alcohol and Other Drugs</w:t>
      </w:r>
      <w:r w:rsidR="00023B86" w:rsidRPr="009C7D07">
        <w:rPr>
          <w:color w:val="000000" w:themeColor="text1"/>
          <w:lang w:val="en-US"/>
        </w:rPr>
        <w:t xml:space="preserve"> </w:t>
      </w:r>
      <w:r w:rsidRPr="009C7D07">
        <w:rPr>
          <w:bCs/>
          <w:color w:val="000000"/>
          <w:lang w:val="en-US"/>
        </w:rPr>
        <w:t xml:space="preserve">survey has revealed that at least half of students in three-quarters of the countries surveyed had drunk an alcoholic beverage at age 13 or younger </w:t>
      </w:r>
      <w:r w:rsidRPr="009C7D07">
        <w:rPr>
          <w:bCs/>
          <w:color w:val="000000"/>
          <w:lang w:val="en-US"/>
        </w:rPr>
        <w:fldChar w:fldCharType="begin" w:fldLock="1"/>
      </w:r>
      <w:r w:rsidR="00CB53A3">
        <w:rPr>
          <w:bCs/>
          <w:color w:val="000000"/>
          <w:lang w:val="en-US"/>
        </w:rPr>
        <w:instrText>ADDIN CSL_CITATION {"citationItems":[{"id":"ITEM-1","itemData":{"ISBN":"9789172782334","URL":"http://www.espad.org/sites/espad.org/files/The_2011_ESPAD_Report_FULL_2012_10_29.pdf","accessed":{"date-parts":[["2020","6","2"]]},"author":[{"dropping-particle":"","family":"Hibell","given":"Björn","non-dropping-particle":"","parse-names":false,"suffix":""},{"dropping-particle":"","family":"Stergar","given":"Eva.","non-dropping-particle":"","parse-names":false,"suffix":""},{"dropping-particle":"","family":"Dernovšček Hafner","given":"Nataša.","non-dropping-particle":"","parse-names":false,"suffix":""}],"id":"ITEM-1","issued":{"date-parts":[["2012"]]},"publisher":"The Swedish Council for Information on Alcohol and Other Drugs (CAN)","title":"The 2011 ESPAD Report : substance use among students in 36 European countries","type":"webpage"},"uris":["http://www.mendeley.com/documents/?uuid=0b9174ac-480e-35f9-9585-738f1dab1f49"]},{"id":"ITEM-2","itemData":{"URL":"http://espad.org/sites/espad.org/files/The_2003_ESPAD_report.pdf","accessed":{"date-parts":[["2020","6","2"]]},"author":[{"dropping-particle":"","family":"Hibell","given":"Björn","non-dropping-particle":"","parse-names":false,"suffix":""},{"dropping-particle":"","family":"Andersson","given":"Barbro","non-dropping-particle":"","parse-names":false,"suffix":""},{"dropping-particle":"","family":"Bjarnason","given":"Thoruddur","non-dropping-particle":"","parse-names":false,"suffix":""},{"dropping-particle":"","family":"Ahlström","given":"Salme","non-dropping-particle":"","parse-names":false,"suffix":""},{"dropping-particle":"","family":"Balakireva","given":"Olga","non-dropping-particle":"","parse-names":false,"suffix":""},{"dropping-particle":"","family":"Kokkevi","given":"Anna","non-dropping-particle":"","parse-names":false,"suffix":""},{"dropping-particle":"","family":"Morgan","given":"Mark","non-dropping-particle":"","parse-names":false,"suffix":""}],"id":"ITEM-2","issued":{"date-parts":[["2004"]]},"publisher":"The Swedish Council for Information on Alcohol and Other Drugs (CAN), Council of Europe, Co-operation Group to Combat Drug Abuse and Illicit Trafficking in Drugs (Pompidou Group)","title":"The ESPAD Report 2003","type":"webpage"},"uris":["http://www.mendeley.com/documents/?uuid=ae6cc36e-f791-3631-b4c2-9672ec1c43ff"]}],"mendeley":{"formattedCitation":"&lt;span style=\"baseline\"&gt;(3,4)&lt;/span&gt;","plainTextFormattedCitation":"(3,4)","previouslyFormattedCitation":"&lt;sup&gt;3,4&lt;/sup&gt;"},"properties":{"noteIndex":0},"schema":"https://github.com/citation-style-language/schema/raw/master/csl-citation.json"}</w:instrText>
      </w:r>
      <w:r w:rsidRPr="009C7D07">
        <w:rPr>
          <w:bCs/>
          <w:color w:val="000000"/>
          <w:lang w:val="en-US"/>
        </w:rPr>
        <w:fldChar w:fldCharType="separate"/>
      </w:r>
      <w:r w:rsidR="00CB53A3" w:rsidRPr="00CB53A3">
        <w:rPr>
          <w:bCs/>
          <w:noProof/>
          <w:color w:val="000000"/>
          <w:lang w:val="en-US"/>
        </w:rPr>
        <w:t>(3,4)</w:t>
      </w:r>
      <w:r w:rsidRPr="009C7D07">
        <w:rPr>
          <w:bCs/>
          <w:color w:val="000000"/>
          <w:lang w:val="en-US"/>
        </w:rPr>
        <w:fldChar w:fldCharType="end"/>
      </w:r>
      <w:r w:rsidRPr="009C7D07">
        <w:rPr>
          <w:bCs/>
          <w:color w:val="000000"/>
          <w:lang w:val="en-US"/>
        </w:rPr>
        <w:t>.</w:t>
      </w:r>
      <w:r w:rsidRPr="009C7D07">
        <w:rPr>
          <w:bCs/>
          <w:color w:val="4472C4"/>
          <w:lang w:val="en-US"/>
        </w:rPr>
        <w:t xml:space="preserve"> </w:t>
      </w:r>
      <w:r w:rsidRPr="009C7D07">
        <w:rPr>
          <w:bCs/>
          <w:color w:val="000000"/>
          <w:lang w:val="en-US"/>
        </w:rPr>
        <w:t xml:space="preserve">Whilst the clinical consequences of ethanol intake have been studied in adults, it remains unclear whether adolescents are more susceptible to ethanol-mediated liver damage, or if their livers can </w:t>
      </w:r>
      <w:r w:rsidRPr="009C7D07">
        <w:rPr>
          <w:bCs/>
          <w:color w:val="000000" w:themeColor="text1"/>
          <w:lang w:val="en-US"/>
        </w:rPr>
        <w:t xml:space="preserve">withstand the effects better than adults. </w:t>
      </w:r>
      <w:r w:rsidRPr="009C7D07">
        <w:rPr>
          <w:color w:val="000000" w:themeColor="text1"/>
          <w:shd w:val="clear" w:color="auto" w:fill="FFFFFF"/>
          <w:lang w:val="en-US"/>
        </w:rPr>
        <w:t>Animal studies with binge ethanol treatment have shown to decrease</w:t>
      </w:r>
      <w:r w:rsidR="00415DE7" w:rsidRPr="009C7D07">
        <w:rPr>
          <w:color w:val="000000" w:themeColor="text1"/>
          <w:shd w:val="clear" w:color="auto" w:fill="FFFFFF"/>
          <w:lang w:val="en-US"/>
        </w:rPr>
        <w:t xml:space="preserve"> </w:t>
      </w:r>
      <w:r w:rsidRPr="009C7D07">
        <w:rPr>
          <w:color w:val="000000" w:themeColor="text1"/>
          <w:shd w:val="clear" w:color="auto" w:fill="FFFFFF"/>
          <w:lang w:val="en-US"/>
        </w:rPr>
        <w:t>ATP production as well as increas</w:t>
      </w:r>
      <w:r w:rsidR="005C2D33" w:rsidRPr="009C7D07">
        <w:rPr>
          <w:color w:val="000000" w:themeColor="text1"/>
          <w:shd w:val="clear" w:color="auto" w:fill="FFFFFF"/>
          <w:lang w:val="en-US"/>
        </w:rPr>
        <w:t>e</w:t>
      </w:r>
      <w:r w:rsidR="00CD4D57" w:rsidRPr="009C7D07">
        <w:rPr>
          <w:color w:val="000000" w:themeColor="text1"/>
          <w:shd w:val="clear" w:color="auto" w:fill="FFFFFF"/>
          <w:lang w:val="en-US"/>
        </w:rPr>
        <w:t xml:space="preserve"> reactive oxygen species</w:t>
      </w:r>
      <w:r w:rsidRPr="009C7D07">
        <w:rPr>
          <w:color w:val="000000" w:themeColor="text1"/>
          <w:shd w:val="clear" w:color="auto" w:fill="FFFFFF"/>
          <w:lang w:val="en-US"/>
        </w:rPr>
        <w:t xml:space="preserve"> </w:t>
      </w:r>
      <w:r w:rsidR="00CD4D57" w:rsidRPr="009C7D07">
        <w:rPr>
          <w:color w:val="000000" w:themeColor="text1"/>
          <w:shd w:val="clear" w:color="auto" w:fill="FFFFFF"/>
          <w:lang w:val="en-US"/>
        </w:rPr>
        <w:t>(</w:t>
      </w:r>
      <w:r w:rsidRPr="009C7D07">
        <w:rPr>
          <w:color w:val="000000" w:themeColor="text1"/>
          <w:shd w:val="clear" w:color="auto" w:fill="FFFFFF"/>
          <w:lang w:val="en-US"/>
        </w:rPr>
        <w:t>ROS</w:t>
      </w:r>
      <w:r w:rsidR="00CD4D57" w:rsidRPr="009C7D07">
        <w:rPr>
          <w:color w:val="000000" w:themeColor="text1"/>
          <w:shd w:val="clear" w:color="auto" w:fill="FFFFFF"/>
          <w:lang w:val="en-US"/>
        </w:rPr>
        <w:t>)</w:t>
      </w:r>
      <w:r w:rsidR="009C019B" w:rsidRPr="009C7D07">
        <w:rPr>
          <w:color w:val="000000" w:themeColor="text1"/>
          <w:shd w:val="clear" w:color="auto" w:fill="FFFFFF"/>
          <w:lang w:val="en-US"/>
        </w:rPr>
        <w:t xml:space="preserve"> </w:t>
      </w:r>
      <w:r w:rsidRPr="009C7D07">
        <w:rPr>
          <w:color w:val="000000" w:themeColor="text1"/>
          <w:shd w:val="clear" w:color="auto" w:fill="FFFFFF"/>
          <w:lang w:val="en-US"/>
        </w:rPr>
        <w:t xml:space="preserve">and mitochondrial dysfunction, thus altering the electron transport chain components resulting in mitochondrial failure </w:t>
      </w:r>
      <w:r w:rsidRPr="009C7D07">
        <w:rPr>
          <w:color w:val="000000" w:themeColor="text1"/>
          <w:shd w:val="clear" w:color="auto" w:fill="FFFFFF"/>
          <w:lang w:val="en-US"/>
        </w:rPr>
        <w:fldChar w:fldCharType="begin" w:fldLock="1"/>
      </w:r>
      <w:r w:rsidR="00CB53A3">
        <w:rPr>
          <w:color w:val="000000" w:themeColor="text1"/>
          <w:shd w:val="clear" w:color="auto" w:fill="FFFFFF"/>
          <w:lang w:val="en-US"/>
        </w:rPr>
        <w:instrText>ADDIN CSL_CITATION {"citationItems":[{"id":"ITEM-1","itemData":{"DOI":"10.1016/j.neuroscience.2019.03.018","ISSN":"18737544","abstract":"Binge alcohol drinking is a well characterized consumption pattern related with drinking five or more alcoholic beverages during a short period of time followed by a non-drinking period. Several studies showed that this pattern of alcohol intake is becoming very popular among adolescents. However, little is known about the cellular mechanisms involved in ethanol toxicity under these conditions and if these negative changes could be extending to the adulthood. We previously reported that adolescent binge-ethanol consumption impairs brain function acutely. More importantly, we found that animals exposed to this alcohol treatment showed a decrease in the ATP production that remain over time. Therefore, in the present study, we will evaluate the mitochondrial and oxidative alterations that could occur in the adult hippocampus of rats exposed to a unique binge-drinking episode during the adolescence. Our results indicate that adult hippocampus after one adolescent binge-drinking episode presents an increase in the reactive oxygen species production accompanied of mitochondrial dysfunction. Adolescent binge-like ethanol exposure reduced the expression of the mitochondrial respiration complexes, induced mitochondrial depolarization, increased mitochondrial calcium levels, and reduced ATP production in the adult hippocampus. Altogether, our results indicate that adolescence binge alcohol drinking affects the electron transport chain components expression resulting in mitochondrial failure and loss of calcium buffering in the adult hippocampus. Therefore, we reported for first time that adolescent binge-alcohol consumption has severe repercussions on mitochondrial bioenergetics during the adulthood; and that this is not a transitory change until the state of drunkenness disappears as previously believed.","author":[{"dropping-particle":"","family":"Tapia-Rojas","given":"Cheril","non-dropping-particle":"","parse-names":false,"suffix":""},{"dropping-particle":"","family":"Torres","given":"Angie K.","non-dropping-particle":"","parse-names":false,"suffix":""},{"dropping-particle":"","family":"Quintanilla","given":"Rodrigo A.","non-dropping-particle":"","parse-names":false,"suffix":""}],"container-title":"Neuroscience","id":"ITEM-1","issued":{"date-parts":[["2019","5","15"]]},"page":"356-368","publisher":"Elsevier Ltd","title":"Adolescence binge alcohol consumption induces hippocampal mitochondrial impairment that persists during the adulthood","type":"article-journal","volume":"406"},"uris":["http://www.mendeley.com/documents/?uuid=36daac90-b035-3d3d-9a09-ee8af7e18416"]},{"id":"ITEM-2","itemData":{"DOI":"10.1002/hep.510280521","ISSN":"02709139","abstract":"Although reactive oxygen species (ROS) have been implicated in the etiology of alcohol-induced liver disease, neither their relative contribution to cell death nor the cellular mechanisms mediating their formation are known. The purpose of this study was to test the hypothesis that acute and chronic ethanol exposure enhances the mitochondrial generation of ROS in fresh, isolated hepatocytes. Acute ethanol exposure stimulated ROS production, increased the cellular NADH/NAD+ ratio, and decreased hepatocyte viability slightly, which was prevented by pretreatment with 4- methylpyrazole (4-MP), an inhibitor of alcohol dehydrogenase. Similarly, xylitol, an NADH-generating compound, enhanced hepatocyte ROS production and decreased viability incubation with pyruvate, an NADH-oxidizing compound, and cyanamide, an inhibitor of aldehyde dehydrogenase, significantly decreased ROS levels in acute ethanol-treated hepatocytes. Chronic ethanol consumption produced a sixfold increase in hepatocyte ROS production compared with levels measured in controls. Hepatocytes from ethanol-fed rats were less viable compared with controls, e.g., viability was 68% ± 2% (ethanol) versus 83% ± 1% (control) after 60 minutes of incubation. Antimycin A increased ROS production and decreased cell viability; however, the toxic effect of antimycin A was more pronounced in ethanol-fed hepatocytes. These results suggest that acute and chronic ethanol exposure exacerbates mitochondrial ROS production, contributing to cell death.","author":[{"dropping-particle":"","family":"Bailey","given":"Shannon M.","non-dropping-particle":"","parse-names":false,"suffix":""},{"dropping-particle":"","family":"Cunningham","given":"Carol C.","non-dropping-particle":"","parse-names":false,"suffix":""}],"container-title":"Hepatology","id":"ITEM-2","issue":"5","issued":{"date-parts":[["1998","11","1"]]},"page":"1318-1326","publisher":"John Wiley &amp; Sons, Ltd","title":"Acute and chronic ethanol increases reactive oxygen species generation and decreases viability in fresh, isolated rat hepatocytes","type":"article-journal","volume":"28"},"uris":["http://www.mendeley.com/documents/?uuid=c88bc2be-1814-3e03-b7b8-dc33f8032b59"]},{"id":"ITEM-3","itemData":{"DOI":"10.1016/S0891-5849(99)00138-0","ISSN":"08915849","PMID":"10515594","abstract":"The aim of this study was to investigate the hepatocellular site of reactive oxygen species generation during acute ethanol metabolism. Reactive oxygen species production was detected using the 2',7'-dichlorofluorescein fluorescence assay and cell injury was determined by lactate dehydrogenase release. Incubation with 1 and 10 mM ethanol increased the production of reactive oxygen species by 72% and 151%, respectively, which was associated with mild decreases in cell viability. Antimycin, a mitochondrial complex III inhibitor, elicited a 17-fold increase in the levels of reactive oxygen species and markedly decreased hepatocyte viability and ATP levels. Ethanol increased reactive oxygen species production and the cytosolic NADH/NAD+ ratio in antimycin-treated cells. Rotenone, a mitochondrial complex I inhibitor that allows electron flow through the flavin mononucleotide (FMN), but prevents electron flow to complex III, significantly increased reactive oxygen species production in untreated cells, but decreased reactive oxygen species production in antimycin plus ethanol-treated cells. Diphenyliodonium, a mitochondrial complex I inhibitor that inhibits electron flow through FMN, attenuated reactive oxygen species generation in all groups. Fructose prevented cytotoxicity in all treatment groups. Though they do not eliminate the participation of other intracellular compartments, these results indicate that the NADH dehydrogenase complex, as well as complex III of mitochondria, are involved in ethanol-related production of reactive oxygen species. Copyright (C) 1999 Elsevier Science Inc.","author":[{"dropping-particle":"","family":"Bailey","given":"Shannon M.","non-dropping-particle":"","parse-names":false,"suffix":""},{"dropping-particle":"","family":"Pietsch","given":"E. Christine","non-dropping-particle":"","parse-names":false,"suffix":""},{"dropping-particle":"","family":"Cunningham","given":"Carol C.","non-dropping-particle":"","parse-names":false,"suffix":""}],"container-title":"Free Radical Biology and Medicine","id":"ITEM-3","issue":"7-8","issued":{"date-parts":[["1999","10"]]},"page":"891-900","publisher":"Free Radic Biol Med","title":"Ethanol stimulates the production of reactive oxygen species at mitochondrial complexes I and III","type":"article-journal","volume":"27"},"uris":["http://www.mendeley.com/documents/?uuid=f9743eba-2656-35db-99e2-b2d8067593f9"]}],"mendeley":{"formattedCitation":"&lt;span style=\"baseline\"&gt;(6–8)&lt;/span&gt;","plainTextFormattedCitation":"(6–8)","previouslyFormattedCitation":"&lt;sup&gt;6–8&lt;/sup&gt;"},"properties":{"noteIndex":0},"schema":"https://github.com/citation-style-language/schema/raw/master/csl-citation.json"}</w:instrText>
      </w:r>
      <w:r w:rsidRPr="009C7D07">
        <w:rPr>
          <w:color w:val="000000" w:themeColor="text1"/>
          <w:shd w:val="clear" w:color="auto" w:fill="FFFFFF"/>
          <w:lang w:val="en-US"/>
        </w:rPr>
        <w:fldChar w:fldCharType="separate"/>
      </w:r>
      <w:r w:rsidR="00CB53A3" w:rsidRPr="00CB53A3">
        <w:rPr>
          <w:noProof/>
          <w:color w:val="000000" w:themeColor="text1"/>
          <w:shd w:val="clear" w:color="auto" w:fill="FFFFFF"/>
          <w:lang w:val="en-US"/>
        </w:rPr>
        <w:t>(6–8)</w:t>
      </w:r>
      <w:r w:rsidRPr="009C7D07">
        <w:rPr>
          <w:color w:val="000000" w:themeColor="text1"/>
          <w:shd w:val="clear" w:color="auto" w:fill="FFFFFF"/>
          <w:lang w:val="en-US"/>
        </w:rPr>
        <w:fldChar w:fldCharType="end"/>
      </w:r>
      <w:r w:rsidRPr="009C7D07">
        <w:rPr>
          <w:color w:val="000000" w:themeColor="text1"/>
          <w:shd w:val="clear" w:color="auto" w:fill="FFFFFF"/>
          <w:lang w:val="en-US"/>
        </w:rPr>
        <w:t xml:space="preserve">. </w:t>
      </w:r>
    </w:p>
    <w:p w14:paraId="39ABAFD5" w14:textId="77777777" w:rsidR="0092783C" w:rsidRPr="009C7D07" w:rsidRDefault="0092783C" w:rsidP="00796965">
      <w:pPr>
        <w:spacing w:line="480" w:lineRule="auto"/>
        <w:jc w:val="both"/>
        <w:rPr>
          <w:bCs/>
          <w:color w:val="000000"/>
          <w:lang w:val="en-US"/>
        </w:rPr>
      </w:pPr>
    </w:p>
    <w:p w14:paraId="153DB745" w14:textId="0964C1C2" w:rsidR="00D542D5" w:rsidRPr="009C7D07" w:rsidRDefault="0092783C" w:rsidP="00796965">
      <w:pPr>
        <w:spacing w:line="480" w:lineRule="auto"/>
        <w:jc w:val="both"/>
        <w:rPr>
          <w:bCs/>
          <w:color w:val="000000"/>
          <w:lang w:val="en-US"/>
        </w:rPr>
      </w:pPr>
      <w:r w:rsidRPr="009C7D07">
        <w:rPr>
          <w:bCs/>
          <w:color w:val="000000"/>
          <w:lang w:val="en-US"/>
        </w:rPr>
        <w:t xml:space="preserve">Antioxidant enzymes are able to </w:t>
      </w:r>
      <w:r w:rsidR="007661E7" w:rsidRPr="009C7D07">
        <w:rPr>
          <w:bCs/>
          <w:color w:val="000000"/>
          <w:lang w:val="en-US"/>
        </w:rPr>
        <w:t>catalyze</w:t>
      </w:r>
      <w:r w:rsidRPr="009C7D07">
        <w:rPr>
          <w:bCs/>
          <w:color w:val="000000"/>
          <w:lang w:val="en-US"/>
        </w:rPr>
        <w:t xml:space="preserve"> the decomposition of ROS </w:t>
      </w:r>
      <w:r w:rsidRPr="009C7D07">
        <w:rPr>
          <w:bCs/>
          <w:color w:val="000000"/>
          <w:lang w:val="en-US"/>
        </w:rPr>
        <w:fldChar w:fldCharType="begin" w:fldLock="1"/>
      </w:r>
      <w:r w:rsidR="00CB53A3">
        <w:rPr>
          <w:bCs/>
          <w:color w:val="000000"/>
          <w:lang w:val="en-US"/>
        </w:rPr>
        <w:instrText>ADDIN CSL_CITATION {"citationItems":[{"id":"ITEM-1","itemData":{"DOI":"10.4103/1319-3767.61234","ISSN":"13193767","abstract":"Background/Aim: To study the oxidative stress status in children with cholestatic chronic liver disease by determining activities of glutathione peroxidase (GPx), superoxide dismutase (SOD) and catalase (CAT) in liver tissue. Materials and Methods: A total of 34 children suffering from cholestatic chronic liver disease were studied. They were selected from the Hepatology Clinic, Cairo University, and compared with seven children who happened to have incidental normal liver biopsy. The patients were divided into three groups: extrahepatic biliary atresia (n=13), neonatal hepatitis (n=15) and paucity of intrahepatic bile ducts (n=6); GPx, SOD and CAT levels were measured in fresh liver tissue using ELISA. Results: In the cholestatic patients, a significant increase was found in mean levels of SOD, GPx and CAT in hepatic tissue compared to control children. The three enzymes significantly increased in the extrahepatic biliary atresia group, whereas in the groups of neonatal hepatitis and paucity of intrahepatic bile ducts, only GPx and CAT enzymes were significantly increased. Conclusion: Oxidative stress could play a role in the pathogenesis of cholestatic chronic liver diseases. These preliminary results are encouraging to conduct more extensive clinical studies using adjuvant antioxidant therapy.","author":[{"dropping-particle":"","family":"Ismail","given":"Nagwa A.","non-dropping-particle":"","parse-names":false,"suffix":""},{"dropping-particle":"","family":"Okasha","given":"Sawsan H.","non-dropping-particle":"","parse-names":false,"suffix":""},{"dropping-particle":"","family":"Dhawan","given":"A.","non-dropping-particle":"","parse-names":false,"suffix":""},{"dropping-particle":"","family":"Abdel-Rahman","given":"Azza O.","non-dropping-particle":"","parse-names":false,"suffix":""},{"dropping-particle":"","family":"Shaker","given":"Olfat G.","non-dropping-particle":"","parse-names":false,"suffix":""},{"dropping-particle":"","family":"Sadik","given":"Nehal A.","non-dropping-particle":"","parse-names":false,"suffix":""}],"container-title":"Saudi Journal of Gastroenterology","id":"ITEM-1","issue":"2","issued":{"date-parts":[["2010","4","1"]]},"page":"90-94","publisher":"Wolters Kluwer -- Medknow Publications","title":"Antioxidant enzyme activities in hepatic tissue from children with chronic cholestatic liver disease","type":"article-journal","volume":"16"},"uris":["http://www.mendeley.com/documents/?uuid=8c926915-207b-3ff1-98ef-5c9be29e5f52"]}],"mendeley":{"formattedCitation":"&lt;span style=\"baseline\"&gt;(9)&lt;/span&gt;","plainTextFormattedCitation":"(9)","previouslyFormattedCitation":"&lt;sup&gt;9&lt;/sup&gt;"},"properties":{"noteIndex":0},"schema":"https://github.com/citation-style-language/schema/raw/master/csl-citation.json"}</w:instrText>
      </w:r>
      <w:r w:rsidRPr="009C7D07">
        <w:rPr>
          <w:bCs/>
          <w:color w:val="000000"/>
          <w:lang w:val="en-US"/>
        </w:rPr>
        <w:fldChar w:fldCharType="separate"/>
      </w:r>
      <w:r w:rsidR="00CB53A3" w:rsidRPr="00CB53A3">
        <w:rPr>
          <w:bCs/>
          <w:noProof/>
          <w:color w:val="000000"/>
          <w:lang w:val="en-US"/>
        </w:rPr>
        <w:t>(9)</w:t>
      </w:r>
      <w:r w:rsidRPr="009C7D07">
        <w:rPr>
          <w:bCs/>
          <w:color w:val="000000"/>
          <w:lang w:val="en-US"/>
        </w:rPr>
        <w:fldChar w:fldCharType="end"/>
      </w:r>
      <w:r w:rsidRPr="009C7D07">
        <w:rPr>
          <w:bCs/>
          <w:color w:val="000000"/>
          <w:lang w:val="en-US"/>
        </w:rPr>
        <w:t>. The three main antioxidant enzymes are</w:t>
      </w:r>
      <w:r w:rsidR="00D85454" w:rsidRPr="009C7D07">
        <w:rPr>
          <w:bCs/>
          <w:color w:val="000000"/>
          <w:lang w:val="en-US"/>
        </w:rPr>
        <w:t xml:space="preserve"> </w:t>
      </w:r>
      <w:r w:rsidRPr="009C7D07">
        <w:rPr>
          <w:color w:val="000000" w:themeColor="text1"/>
          <w:lang w:val="en-US"/>
        </w:rPr>
        <w:t>superoxide dismutase (SOD)</w:t>
      </w:r>
      <w:r w:rsidR="00D85454" w:rsidRPr="009C7D07">
        <w:rPr>
          <w:color w:val="000000" w:themeColor="text1"/>
          <w:lang w:val="en-US"/>
        </w:rPr>
        <w:t>,</w:t>
      </w:r>
      <w:r w:rsidRPr="009C7D07">
        <w:rPr>
          <w:color w:val="000000" w:themeColor="text1"/>
          <w:lang w:val="en-US"/>
        </w:rPr>
        <w:t xml:space="preserve"> which </w:t>
      </w:r>
      <w:r w:rsidR="008D341A" w:rsidRPr="009C7D07">
        <w:rPr>
          <w:color w:val="000000" w:themeColor="text1"/>
          <w:lang w:val="en-US"/>
        </w:rPr>
        <w:t>can</w:t>
      </w:r>
      <w:r w:rsidRPr="009C7D07">
        <w:rPr>
          <w:color w:val="000000" w:themeColor="text1"/>
          <w:lang w:val="en-US"/>
        </w:rPr>
        <w:t xml:space="preserve"> protect against toxic effects of superoxide radicals </w:t>
      </w:r>
      <w:r w:rsidRPr="009C7D07">
        <w:rPr>
          <w:color w:val="000000" w:themeColor="text1"/>
          <w:lang w:val="en-US"/>
        </w:rPr>
        <w:fldChar w:fldCharType="begin" w:fldLock="1"/>
      </w:r>
      <w:r w:rsidR="00CB53A3">
        <w:rPr>
          <w:color w:val="000000" w:themeColor="text1"/>
          <w:lang w:val="en-US"/>
        </w:rPr>
        <w:instrText>ADDIN CSL_CITATION {"citationItems":[{"id":"ITEM-1","itemData":{"ISSN":"1234-1010 (Print)","PMID":"11208397","abstract":"INTRODUCTION: The aim of the study was estimation of antioxidant defence state in  children with chronic viral hepatitis. MATERIAL AND METHODS: We examined 100 children with chronic viral hepatitis who have serological and molecular markers of HBV or HCV infection. In all patients catalase (CAT), superoxide dismutase (SOD) and glutathione peroxidase (GSH-Px) activities in erythrocytes were assayed. RESULTS: We observed statistically significant decrease of CAT and SOD activities and increase of GSH-Px activity in children with chronic hepatitis B and C. CONCLUSIONS: Our data suggest the possibility of insufficiency of antioxidant barrier in children with chronic viral hepatitis.","author":[{"dropping-particle":"","family":"Chrobot","given":"A M","non-dropping-particle":"","parse-names":false,"suffix":""},{"dropping-particle":"","family":"Szaflarska-Szczepanik","given":"A","non-dropping-particle":"","parse-names":false,"suffix":""},{"dropping-particle":"","family":"Drewa","given":"G","non-dropping-particle":"","parse-names":false,"suffix":""}],"container-title":"Medical science monitor : international medical journal of experimental and clinical  research","id":"ITEM-1","issue":"4","issued":{"date-parts":[["2000"]]},"language":"eng","page":"713-718","publisher-place":"United States","title":"Antioxidant defense in children with chronic viral hepatitis B and C.","type":"article-journal","volume":"6"},"uris":["http://www.mendeley.com/documents/?uuid=77c8e1a0-09b8-4091-9949-0f11e020870e"]}],"mendeley":{"formattedCitation":"&lt;span style=\"baseline\"&gt;(10)&lt;/span&gt;","plainTextFormattedCitation":"(10)","previouslyFormattedCitation":"&lt;sup&gt;10&lt;/sup&gt;"},"properties":{"noteIndex":0},"schema":"https://github.com/citation-style-language/schema/raw/master/csl-citation.json"}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(10)</w:t>
      </w:r>
      <w:r w:rsidRPr="009C7D07">
        <w:rPr>
          <w:color w:val="000000" w:themeColor="text1"/>
          <w:lang w:val="en-US"/>
        </w:rPr>
        <w:fldChar w:fldCharType="end"/>
      </w:r>
      <w:r w:rsidR="00D85454" w:rsidRPr="009C7D07">
        <w:rPr>
          <w:color w:val="000000" w:themeColor="text1"/>
          <w:lang w:val="en-US"/>
        </w:rPr>
        <w:t>:</w:t>
      </w:r>
      <w:r w:rsidRPr="009C7D07">
        <w:rPr>
          <w:color w:val="000000" w:themeColor="text1"/>
          <w:lang w:val="en-US"/>
        </w:rPr>
        <w:t xml:space="preserve"> glutathione peroxidase (</w:t>
      </w:r>
      <w:proofErr w:type="spellStart"/>
      <w:r w:rsidRPr="009C7D07">
        <w:rPr>
          <w:color w:val="000000" w:themeColor="text1"/>
          <w:lang w:val="en-US"/>
        </w:rPr>
        <w:t>GPx</w:t>
      </w:r>
      <w:proofErr w:type="spellEnd"/>
      <w:r w:rsidRPr="009C7D07">
        <w:rPr>
          <w:color w:val="000000" w:themeColor="text1"/>
          <w:lang w:val="en-US"/>
        </w:rPr>
        <w:t>)</w:t>
      </w:r>
      <w:r w:rsidR="00D85454" w:rsidRPr="009C7D07">
        <w:rPr>
          <w:color w:val="000000" w:themeColor="text1"/>
          <w:lang w:val="en-US"/>
        </w:rPr>
        <w:t>,</w:t>
      </w:r>
      <w:r w:rsidRPr="009C7D07">
        <w:rPr>
          <w:color w:val="000000" w:themeColor="text1"/>
          <w:lang w:val="en-US"/>
        </w:rPr>
        <w:t xml:space="preserve"> which protects against oxidative injury </w:t>
      </w:r>
      <w:r w:rsidRPr="009C7D07">
        <w:rPr>
          <w:color w:val="000000" w:themeColor="text1"/>
          <w:lang w:val="en-US"/>
        </w:rPr>
        <w:fldChar w:fldCharType="begin" w:fldLock="1"/>
      </w:r>
      <w:r w:rsidR="00CB53A3">
        <w:rPr>
          <w:color w:val="000000" w:themeColor="text1"/>
          <w:lang w:val="en-US"/>
        </w:rPr>
        <w:instrText>ADDIN CSL_CITATION {"citationItems":[{"id":"ITEM-1","itemData":{"DOI":"10.1016/j.toxicon.2004.11.001","ISSN":"00410101","PMID":"15733560","abstract":"The effect of acute exposure of intraperitoneal injection of microcystin-LR (MCLR) on antioxidant enzymes and lipid peroxidation has been studied in liver and kidney of rats. Rats were treated with two doses, i.e. 100 and 150 μg of pure MCLR/kg body weight or saline solution. The enzyme activities of glutathione peroxidase (GSH-Px), glutathione reductase (GR), superoxide dismutase (SOD) and catalase (CAT) in the liver were significantly decreased in MCLR-treated rats. The decrease of GR activity in the liver was 60%, followed by GSH-Px, SOD and CAT. Similarly, a decrease in the antioxidant enzymes was found in the kidney of MCLR-treated rats, such as GSH-Px (27-31%), GR (22%), SOD (42%) and CAT (25-28%). Concomitantly, significant increases in lipid peroxidation levels were recorded in liver (121 and 196% for 100 and 150 μg/kg, respectively) and kidney (48 and 58% for 100 and 150 μg/kg, respectively) from MCLR-treated rats. In conclusion, acute exposure to MCLR results in a decrease in the antioxidant enzymes and an increase in lipid peroxidation in liver and kidney rats, suggesting the oxidative stress as an important role in the pathogenesis of MCLR-induced toxicity. Antioxidant enzymes were significantly consumed in the liver and a minor decrease was found in kidney, confirming the organ-specific effects of MCLR. © 2004 Elsevier Ltd. All rights reserved.","author":[{"dropping-particle":"","family":"Moreno","given":"I.","non-dropping-particle":"","parse-names":false,"suffix":""},{"dropping-particle":"","family":"Pichardo","given":"S.","non-dropping-particle":"","parse-names":false,"suffix":""},{"dropping-particle":"","family":"Jos","given":"A.","non-dropping-particle":"","parse-names":false,"suffix":""},{"dropping-particle":"","family":"Gómez-Amores","given":"L.","non-dropping-particle":"","parse-names":false,"suffix":""},{"dropping-particle":"","family":"Mate","given":"A.","non-dropping-particle":"","parse-names":false,"suffix":""},{"dropping-particle":"","family":"Vazquez","given":"C. M.","non-dropping-particle":"","parse-names":false,"suffix":""},{"dropping-particle":"","family":"Cameán","given":"A. M.","non-dropping-particle":"","parse-names":false,"suffix":""}],"container-title":"Toxicon","id":"ITEM-1","issue":"4","issued":{"date-parts":[["2005","3","15"]]},"page":"395-402","publisher":"Elsevier Ltd","title":"Antioxidant enzyme activity and lipid peroxidation in liver and kidney of rats exposed to microcystin-LR administered intraperitoneally","type":"article-journal","volume":"45"},"uris":["http://www.mendeley.com/documents/?uuid=9f23b76f-3e49-3971-8770-44f1102d48c9"]}],"mendeley":{"formattedCitation":"&lt;span style=\"baseline\"&gt;(11)&lt;/span&gt;","plainTextFormattedCitation":"(11)","previouslyFormattedCitation":"&lt;sup&gt;11&lt;/sup&gt;"},"properties":{"noteIndex":0},"schema":"https://github.com/citation-style-language/schema/raw/master/csl-citation.json"}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(11)</w:t>
      </w:r>
      <w:r w:rsidRPr="009C7D07">
        <w:rPr>
          <w:color w:val="000000" w:themeColor="text1"/>
          <w:lang w:val="en-US"/>
        </w:rPr>
        <w:fldChar w:fldCharType="end"/>
      </w:r>
      <w:r w:rsidR="00D85454" w:rsidRPr="009C7D07">
        <w:rPr>
          <w:color w:val="000000" w:themeColor="text1"/>
          <w:lang w:val="en-US"/>
        </w:rPr>
        <w:t>;</w:t>
      </w:r>
      <w:r w:rsidRPr="009C7D07">
        <w:rPr>
          <w:color w:val="000000" w:themeColor="text1"/>
          <w:lang w:val="en-US"/>
        </w:rPr>
        <w:t xml:space="preserve"> and catalase</w:t>
      </w:r>
      <w:r w:rsidR="00D85454" w:rsidRPr="009C7D07">
        <w:rPr>
          <w:color w:val="000000" w:themeColor="text1"/>
          <w:lang w:val="en-US"/>
        </w:rPr>
        <w:t>,</w:t>
      </w:r>
      <w:r w:rsidRPr="009C7D07">
        <w:rPr>
          <w:color w:val="000000" w:themeColor="text1"/>
          <w:lang w:val="en-US"/>
        </w:rPr>
        <w:t xml:space="preserve"> which promotes the breakdown of </w:t>
      </w:r>
      <w:r w:rsidR="00415DE7" w:rsidRPr="009C7D07">
        <w:rPr>
          <w:color w:val="000000" w:themeColor="text1"/>
          <w:lang w:val="en-US"/>
        </w:rPr>
        <w:t xml:space="preserve">hydrogen peroxide </w:t>
      </w:r>
      <w:r w:rsidRPr="009C7D07">
        <w:rPr>
          <w:color w:val="000000" w:themeColor="text1"/>
          <w:lang w:val="en-US"/>
        </w:rPr>
        <w:t>H</w:t>
      </w:r>
      <w:r w:rsidRPr="009C7D07">
        <w:rPr>
          <w:color w:val="000000" w:themeColor="text1"/>
          <w:vertAlign w:val="subscript"/>
          <w:lang w:val="en-US"/>
        </w:rPr>
        <w:t>2</w:t>
      </w:r>
      <w:r w:rsidRPr="009C7D07">
        <w:rPr>
          <w:color w:val="000000" w:themeColor="text1"/>
          <w:lang w:val="en-US"/>
        </w:rPr>
        <w:t>O</w:t>
      </w:r>
      <w:r w:rsidRPr="009C7D07">
        <w:rPr>
          <w:color w:val="000000" w:themeColor="text1"/>
          <w:vertAlign w:val="subscript"/>
          <w:lang w:val="en-US"/>
        </w:rPr>
        <w:t>2</w:t>
      </w:r>
      <w:r w:rsidRPr="009C7D07">
        <w:rPr>
          <w:color w:val="000000" w:themeColor="text1"/>
          <w:lang w:val="en-US"/>
        </w:rPr>
        <w:t xml:space="preserve"> </w:t>
      </w:r>
      <w:r w:rsidRPr="009C7D07">
        <w:rPr>
          <w:color w:val="000000" w:themeColor="text1"/>
          <w:lang w:val="en-US"/>
        </w:rPr>
        <w:fldChar w:fldCharType="begin" w:fldLock="1"/>
      </w:r>
      <w:r w:rsidR="00CB53A3">
        <w:rPr>
          <w:color w:val="000000" w:themeColor="text1"/>
          <w:lang w:val="en-US"/>
        </w:rPr>
        <w:instrText>ADDIN CSL_CITATION {"citationItems":[{"id":"ITEM-1","itemData":{"DOI":"10.1016/j.toxicon.2004.11.001","ISSN":"00410101","PMID":"15733560","abstract":"The effect of acute exposure of intraperitoneal injection of microcystin-LR (MCLR) on antioxidant enzymes and lipid peroxidation has been studied in liver and kidney of rats. Rats were treated with two doses, i.e. 100 and 150 μg of pure MCLR/kg body weight or saline solution. The enzyme activities of glutathione peroxidase (GSH-Px), glutathione reductase (GR), superoxide dismutase (SOD) and catalase (CAT) in the liver were significantly decreased in MCLR-treated rats. The decrease of GR activity in the liver was 60%, followed by GSH-Px, SOD and CAT. Similarly, a decrease in the antioxidant enzymes was found in the kidney of MCLR-treated rats, such as GSH-Px (27-31%), GR (22%), SOD (42%) and CAT (25-28%). Concomitantly, significant increases in lipid peroxidation levels were recorded in liver (121 and 196% for 100 and 150 μg/kg, respectively) and kidney (48 and 58% for 100 and 150 μg/kg, respectively) from MCLR-treated rats. In conclusion, acute exposure to MCLR results in a decrease in the antioxidant enzymes and an increase in lipid peroxidation in liver and kidney rats, suggesting the oxidative stress as an important role in the pathogenesis of MCLR-induced toxicity. Antioxidant enzymes were significantly consumed in the liver and a minor decrease was found in kidney, confirming the organ-specific effects of MCLR. © 2004 Elsevier Ltd. All rights reserved.","author":[{"dropping-particle":"","family":"Moreno","given":"I.","non-dropping-particle":"","parse-names":false,"suffix":""},{"dropping-particle":"","family":"Pichardo","given":"S.","non-dropping-particle":"","parse-names":false,"suffix":""},{"dropping-particle":"","family":"Jos","given":"A.","non-dropping-particle":"","parse-names":false,"suffix":""},{"dropping-particle":"","family":"Gómez-Amores","given":"L.","non-dropping-particle":"","parse-names":false,"suffix":""},{"dropping-particle":"","family":"Mate","given":"A.","non-dropping-particle":"","parse-names":false,"suffix":""},{"dropping-particle":"","family":"Vazquez","given":"C. M.","non-dropping-particle":"","parse-names":false,"suffix":""},{"dropping-particle":"","family":"Cameán","given":"A. M.","non-dropping-particle":"","parse-names":false,"suffix":""}],"container-title":"Toxicon","id":"ITEM-1","issue":"4","issued":{"date-parts":[["2005","3","15"]]},"page":"395-402","publisher":"Elsevier Ltd","title":"Antioxidant enzyme activity and lipid peroxidation in liver and kidney of rats exposed to microcystin-LR administered intraperitoneally","type":"article-journal","volume":"45"},"uris":["http://www.mendeley.com/documents/?uuid=9f23b76f-3e49-3971-8770-44f1102d48c9"]}],"mendeley":{"formattedCitation":"&lt;span style=\"baseline\"&gt;(11)&lt;/span&gt;","plainTextFormattedCitation":"(11)","previouslyFormattedCitation":"&lt;sup&gt;11&lt;/sup&gt;"},"properties":{"noteIndex":0},"schema":"https://github.com/citation-style-language/schema/raw/master/csl-citation.json"}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(11)</w:t>
      </w:r>
      <w:r w:rsidRPr="009C7D07">
        <w:rPr>
          <w:color w:val="000000" w:themeColor="text1"/>
          <w:lang w:val="en-US"/>
        </w:rPr>
        <w:fldChar w:fldCharType="end"/>
      </w:r>
      <w:r w:rsidRPr="009C7D07">
        <w:rPr>
          <w:color w:val="000000" w:themeColor="text1"/>
          <w:lang w:val="en-US"/>
        </w:rPr>
        <w:t>.</w:t>
      </w:r>
    </w:p>
    <w:p w14:paraId="36ECB7DC" w14:textId="77777777" w:rsidR="00D542D5" w:rsidRPr="009C7D07" w:rsidRDefault="00D542D5" w:rsidP="00796965">
      <w:pPr>
        <w:spacing w:line="480" w:lineRule="auto"/>
        <w:jc w:val="both"/>
        <w:rPr>
          <w:iCs/>
          <w:color w:val="000000" w:themeColor="text1"/>
          <w:lang w:val="en-US"/>
        </w:rPr>
      </w:pPr>
    </w:p>
    <w:p w14:paraId="610DF193" w14:textId="1904DDD5" w:rsidR="00455C85" w:rsidRPr="009C7D07" w:rsidRDefault="00455C85" w:rsidP="00796965">
      <w:pPr>
        <w:spacing w:line="480" w:lineRule="auto"/>
        <w:jc w:val="both"/>
        <w:rPr>
          <w:bCs/>
          <w:color w:val="000000"/>
          <w:lang w:val="en-US"/>
        </w:rPr>
      </w:pPr>
      <w:r w:rsidRPr="009C7D07">
        <w:rPr>
          <w:iCs/>
          <w:color w:val="000000" w:themeColor="text1"/>
          <w:lang w:val="en-US"/>
        </w:rPr>
        <w:t xml:space="preserve">The use of antioxidants serves as a prospective therapeutic approach for the treatment of ALD. </w:t>
      </w:r>
      <w:r w:rsidRPr="009C7D07">
        <w:rPr>
          <w:bCs/>
          <w:color w:val="000000"/>
          <w:lang w:val="en-US"/>
        </w:rPr>
        <w:t xml:space="preserve">Glutathione (GSH) is an intracellular antioxidant which can </w:t>
      </w:r>
      <w:r w:rsidR="007661E7" w:rsidRPr="009C7D07">
        <w:rPr>
          <w:bCs/>
          <w:color w:val="000000"/>
          <w:lang w:val="en-US"/>
        </w:rPr>
        <w:t>neutralize</w:t>
      </w:r>
      <w:r w:rsidRPr="009C7D07">
        <w:rPr>
          <w:bCs/>
          <w:color w:val="000000"/>
          <w:lang w:val="en-US"/>
        </w:rPr>
        <w:t xml:space="preserve"> basal levels of ROS </w:t>
      </w:r>
      <w:r w:rsidRPr="009C7D07">
        <w:rPr>
          <w:bCs/>
          <w:color w:val="000000"/>
          <w:lang w:val="en-US"/>
        </w:rPr>
        <w:fldChar w:fldCharType="begin" w:fldLock="1"/>
      </w:r>
      <w:r w:rsidR="00CB53A3">
        <w:rPr>
          <w:bCs/>
          <w:color w:val="000000"/>
          <w:lang w:val="en-US"/>
        </w:rPr>
        <w:instrText>ADDIN CSL_CITATION {"citationItems":[{"id":"ITEM-1","itemData":{"DOI":"10.1186/s12937-016-0186-5","ISSN":"14752891","PMID":"27456681","abstract":"Remarkable interest has risen in the idea that oxidative/nitrosative stress is mediated in the etiology of numerous human diseases. Oxidative/Nitrosative stress is the result of an disequilibrium in oxidant/antioxidant which reveals from continuous increase of Reactive Oxygen and Reactive Nitrogen Species production. The aim of this review is to emphasize with current information the importance of antioxidants which play the role in cellular responce against oxidative/nitrosative stress, which would be helpful in enhancing the knowledge of any biochemist, pathophysiologist, or medical personnel regarding this important issue. Products of lipid peroxidation have commonly been used as biomarkers of oxidative/nitrosative stress damage. Lipid peroxidation generates a variety of relatively stable decomposition end products, mainly α, β-unsaturated reactive aldehydes, such as malondialdehyde, 4-hydroxy-2-nonenal, 2-propenal (acrolein) and isoprostanes, which can be measured in plasma and urine as an indirect index of oxidative/nitrosative stress. Antioxidants are exogenous or endogenous molecules that mitigate any form of oxidative/nitrosative stress or its consequences. They may act from directly scavenging free radicals to increasing antioxidative defences. Antioxidant deficiencies can develop as a result of decreased antioxidant intake, synthesis of endogenous enzymes or increased antioxidant utilization. Antioxidant supplementation has become an increasingly popular practice to maintain optimal body function. However, antoxidants exhibit pro-oxidant activity depending on the specific set of conditions. Of particular importance are their dosage and redox conditions in the cell.","author":[{"dropping-particle":"","family":"Kurutas","given":"Ergul Belge","non-dropping-particle":"","parse-names":false,"suffix":""}],"container-title":"Nutrition Journal","id":"ITEM-1","issue":"1","issued":{"date-parts":[["2016","7","25"]]},"publisher":"BioMed Central Ltd.","title":"The importance of antioxidants which play the role in cellular response against oxidative/nitrosative stress: Current state","type":"article-journal","volume":"15"},"uris":["http://www.mendeley.com/documents/?uuid=1898b56c-78a8-3b0d-99c9-7ccb8ad030d6"]}],"mendeley":{"formattedCitation":"&lt;span style=\"baseline\"&gt;(12)&lt;/span&gt;","plainTextFormattedCitation":"(12)","previouslyFormattedCitation":"&lt;sup&gt;12&lt;/sup&gt;"},"properties":{"noteIndex":0},"schema":"https://github.com/citation-style-language/schema/raw/master/csl-citation.json"}</w:instrText>
      </w:r>
      <w:r w:rsidRPr="009C7D07">
        <w:rPr>
          <w:bCs/>
          <w:color w:val="000000"/>
          <w:lang w:val="en-US"/>
        </w:rPr>
        <w:fldChar w:fldCharType="separate"/>
      </w:r>
      <w:r w:rsidR="00CB53A3" w:rsidRPr="00CB53A3">
        <w:rPr>
          <w:bCs/>
          <w:noProof/>
          <w:color w:val="000000"/>
          <w:lang w:val="en-US"/>
        </w:rPr>
        <w:t>(12)</w:t>
      </w:r>
      <w:r w:rsidRPr="009C7D07">
        <w:rPr>
          <w:bCs/>
          <w:color w:val="000000"/>
          <w:lang w:val="en-US"/>
        </w:rPr>
        <w:fldChar w:fldCharType="end"/>
      </w:r>
      <w:r w:rsidRPr="009C7D07">
        <w:rPr>
          <w:bCs/>
          <w:color w:val="000000"/>
          <w:lang w:val="en-US"/>
        </w:rPr>
        <w:t xml:space="preserve">. </w:t>
      </w:r>
      <w:r w:rsidRPr="009C7D07">
        <w:rPr>
          <w:bCs/>
          <w:color w:val="000000" w:themeColor="text1"/>
          <w:lang w:val="en-US"/>
        </w:rPr>
        <w:t xml:space="preserve">Other nutrients such as betaine play </w:t>
      </w:r>
      <w:r w:rsidRPr="009C7D07">
        <w:rPr>
          <w:bCs/>
          <w:color w:val="000000"/>
          <w:lang w:val="en-US"/>
        </w:rPr>
        <w:t xml:space="preserve">a role in the cysteine production pathway </w:t>
      </w:r>
      <w:r w:rsidRPr="009C7D07">
        <w:rPr>
          <w:bCs/>
          <w:color w:val="000000"/>
          <w:lang w:val="en-US"/>
        </w:rPr>
        <w:fldChar w:fldCharType="begin" w:fldLock="1"/>
      </w:r>
      <w:r w:rsidR="00CB53A3">
        <w:rPr>
          <w:bCs/>
          <w:color w:val="000000"/>
          <w:lang w:val="en-US"/>
        </w:rPr>
        <w:instrText>ADDIN CSL_CITATION {"citationItems":[{"id":"ITEM-1","itemData":{"DOI":"10.1093/ajcn/86.1.14","ISSN":"0002-9165","abstract":"This report is a summary of a symposium on the role of S-adenosylmethionine (SAM), betaine, and folate in the treatment of alcoholic liver disease (ALD), which was organized by the National Institute on Alcohol Abuse and Alcoholism in collaboration with the Office of Dietary Supplements and the National Center for Complementary and Alternative Medicine of the National Institutes of Health (Bethesda, MD) and held on 3 October 2005. SAM supplementation may attenuate ALD by decreasing oxidative stress through the up-regulation of glutathione synthesis, reducing inflammation via the down-regulation of tumor necrosis factor-α and the up-regulation of interleukin-10 synthesis, increasing the ratio of SAM to S-adenosylhomocysteine (SAH), and inhibiting the apoptosis of normal hepatocytes and stimulating the apoptosis of liver cancer cells. Folate deficiency may accelerate or promote ALD by increasing hepatic homocysteine and SAH concentrations; decreasing hepatic SAM and glutathione concentrations and the SAM-SAH ratio; increasing cytochrome P4502E1 activation and lipid peroxidation; up-regulating endoplasmic reticulum stress markers, including sterol regulatory element–binding protein-1, and proapoptotic gene caspase-12; and decreasing global DNA methylation. Betaine may attenuate ALD by increasing the synthesis of SAM and, eventually, glutathione, decreasing the hepatic concentrations of homocysteine and SAH, and increasing the SAM-SAH ratio, which can trigger a cascade of events that lead to the activation of phosphatidylethanolamine methyltransferase, increased phosphatidylcholine synthesis, and formation of VLDL for the export of triacylglycerol from the liver to the circulation. Additionally, decreased concentrations of homocysteine can down-regulate endoplasmic reticulum stress, which leads to the attenuation of apoptosis and fatty acid synthesis.","author":[{"dropping-particle":"","family":"Purohit","given":"Vishnudutt","non-dropping-particle":"","parse-names":false,"suffix":""},{"dropping-particle":"","family":"Abdelmalek","given":"Manal F","non-dropping-particle":"","parse-names":false,"suffix":""},{"dropping-particle":"","family":"Barve","given":"Shirish","non-dropping-particle":"","parse-names":false,"suffix":""},{"dropping-particle":"","family":"Benevenga","given":"Norlin J","non-dropping-particle":"","parse-names":false,"suffix":""},{"dropping-particle":"","family":"Halsted","given":"Charles H","non-dropping-particle":"","parse-names":false,"suffix":""},{"dropping-particle":"","family":"Kaplowitz","given":"Neil","non-dropping-particle":"","parse-names":false,"suffix":""},{"dropping-particle":"","family":"Kharbanda","given":"Kusum K","non-dropping-particle":"","parse-names":false,"suffix":""},{"dropping-particle":"","family":"Liu","given":"Qi-Ying","non-dropping-particle":"","parse-names":false,"suffix":""},{"dropping-particle":"","family":"Lu","given":"Shelly C","non-dropping-particle":"","parse-names":false,"suffix":""},{"dropping-particle":"","family":"McClain","given":"Craig J","non-dropping-particle":"","parse-names":false,"suffix":""},{"dropping-particle":"","family":"Swanson","given":"Christine","non-dropping-particle":"","parse-names":false,"suffix":""},{"dropping-particle":"","family":"Zakhari","given":"Samir","non-dropping-particle":"","parse-names":false,"suffix":""}],"container-title":"The American Journal of Clinical Nutrition","id":"ITEM-1","issue":"1","issued":{"date-parts":[["2007","7","1"]]},"page":"14-24","title":"Role of S-adenosylmethionine, folate, and betaine in the treatment of alcoholic liver disease: summary of a symposium","type":"article-journal","volume":"86"},"uris":["http://www.mendeley.com/documents/?uuid=7f3eab89-3fb8-469d-9ef4-c5a4dc0a78be"]}],"mendeley":{"formattedCitation":"&lt;span style=\"baseline\"&gt;(13)&lt;/span&gt;","plainTextFormattedCitation":"(13)","previouslyFormattedCitation":"&lt;sup&gt;13&lt;/sup&gt;"},"properties":{"noteIndex":0},"schema":"https://github.com/citation-style-language/schema/raw/master/csl-citation.json"}</w:instrText>
      </w:r>
      <w:r w:rsidRPr="009C7D07">
        <w:rPr>
          <w:bCs/>
          <w:color w:val="000000"/>
          <w:lang w:val="en-US"/>
        </w:rPr>
        <w:fldChar w:fldCharType="separate"/>
      </w:r>
      <w:r w:rsidR="00CB53A3" w:rsidRPr="00CB53A3">
        <w:rPr>
          <w:bCs/>
          <w:noProof/>
          <w:color w:val="000000"/>
          <w:lang w:val="en-US"/>
        </w:rPr>
        <w:t>(13)</w:t>
      </w:r>
      <w:r w:rsidRPr="009C7D07">
        <w:rPr>
          <w:bCs/>
          <w:color w:val="000000"/>
          <w:lang w:val="en-US"/>
        </w:rPr>
        <w:fldChar w:fldCharType="end"/>
      </w:r>
      <w:r w:rsidRPr="009C7D07">
        <w:rPr>
          <w:bCs/>
          <w:color w:val="000000"/>
          <w:lang w:val="en-US"/>
        </w:rPr>
        <w:t xml:space="preserve">, ultimately forming GSH. Recent chronic experimental studies have examined the protective effects of betaine </w:t>
      </w:r>
      <w:r w:rsidR="008F23BE" w:rsidRPr="009C7D07">
        <w:rPr>
          <w:bCs/>
          <w:color w:val="000000"/>
          <w:lang w:val="en-US"/>
        </w:rPr>
        <w:t xml:space="preserve">against alcohol-induced liver damage </w:t>
      </w:r>
      <w:r w:rsidRPr="009C7D07">
        <w:rPr>
          <w:bCs/>
          <w:color w:val="000000"/>
          <w:lang w:val="en-US"/>
        </w:rPr>
        <w:fldChar w:fldCharType="begin" w:fldLock="1"/>
      </w:r>
      <w:r w:rsidR="00CB53A3">
        <w:rPr>
          <w:bCs/>
          <w:color w:val="000000"/>
          <w:lang w:val="en-US"/>
        </w:rPr>
        <w:instrText>ADDIN CSL_CITATION {"citationItems":[{"id":"ITEM-1","itemData":{"DOI":"10.1016/0741-8329(96)00040-7","ISSN":"07418329","abstract":"Previous studies in this laboratory have shown that feeding of ethanol to rats produces prompt inhibition of methionine synthetase (MS) as well as a subsequent increase in activity of betaine homocysteine methyltransferase (BHMT). Further studies have shown that supplemental dietary betaine enhanced methionine metabolism and S-adenosylmethionine (SAM) generation in control and ethanol-fed rats. Because MS and BHMT are both involved in the formation of SAM. This study was conducted to determine early of effects of ethanol on hepatic SAM levels and the influence of betaine supplementation on parameters of methionine metabolism during the early periods of MS inhibition and enhanced BHMT activity. Results showed that ethanol feeding produced a significant loss in SAM in the first week with a return to normal SAM levels in the second week. Betaine feeding enhanced hepatic betaine pools in control as well as ethanol-fed animals. This feeding attenuated the early loss of SAM in ethanol fed animals, produced an early increase in BHMT activity, and generated increased levels of SAM in both control and ethanol-fed groups. Furthermore, betaine lowered significantly the accumulation of hepatic triglyceride produced by ethanol after 2 weeks of ingestion.","author":[{"dropping-particle":"","family":"Barak","given":"Anthony J.","non-dropping-particle":"","parse-names":false,"suffix":""},{"dropping-particle":"","family":"Beckenhauer","given":"Harriet C.","non-dropping-particle":"","parse-names":false,"suffix":""},{"dropping-particle":"","family":"Tuma","given":"Dean J.","non-dropping-particle":"","parse-names":false,"suffix":""}],"container-title":"Alcohol","id":"ITEM-1","issue":"5","issued":{"date-parts":[["1996","9","1"]]},"page":"483-486","publisher":"Elsevier Inc.","title":"Betaine effects on hepatic methionine metabolism elicited by short-term ethanol feeding","type":"article-journal","volume":"13"},"uris":["http://www.mendeley.com/documents/?uuid=377d5593-d0ea-3caa-b161-32bec71cf5d3"]},{"id":"ITEM-2","itemData":{"DOI":"10.1155/2012/962183","ISSN":"2090-3448","abstract":"&lt;italic&gt;Introduction&lt;/italic&gt;. Mitochondrial damage and disruption in oxidative phosphorylation contributes to the pathogenesis of alcoholic liver injury. Herein, we tested the hypothesis that the hepatoprotective actions of betaine against alcoholic liver injury occur at the level of the mitochondrial proteome. &lt;italic&gt;Methods&lt;/italic&gt;. Male Wister rats were pair-fed control or ethanol-containing liquid diets supplemented with or without betaine (10&amp;#x2009;mg/mL) for 4-5 wks. Liver was examined for triglyceride accumulation, levels of methionine cycle metabolites, and alterations in mitochondrial proteins. &lt;italic&gt;Results&lt;/italic&gt;. Chronic ethanol ingestion resulted in triglyceride accumulation which was attenuated in the ethanol plus betaine group. Blue native gel electrophoresis (BN-PAGE) revealed significant decreases in the content of the intact oxidative phosphorylation complexes in mitochondria from ethanol-fed animals. The alcohol-dependent loss in many of the low molecular weight oxidative phosphorylation proteins was prevented by betaine supplementation. This protection by betaine was associated with normalization of SAM&amp;#x2009;:&amp;#x2009;S-adenosylhomocysteine (SAH) ratios and the attenuation of the ethanol-induced increase in inducible nitric oxide synthase and nitric oxide generation in the liver. &lt;italic&gt;Discussion/Conclusion&lt;/italic&gt;. In summary, betaine attenuates alcoholic steatosis and alterations to the oxidative phosphorylation system. Therefore, preservation of mitochondrial function may be another key molecular mechanism responsible for betaine hepatoprotection.","author":[{"dropping-particle":"","family":"Kharbanda","given":"Kusum K","non-dropping-particle":"","parse-names":false,"suffix":""},{"dropping-particle":"","family":"Todero","given":"Sandra L","non-dropping-particle":"","parse-names":false,"suffix":""},{"dropping-particle":"","family":"King","given":"Adrienne L","non-dropping-particle":"","parse-names":false,"suffix":""},{"dropping-particle":"","family":"Osna","given":"Natalia A","non-dropping-particle":"","parse-names":false,"suffix":""},{"dropping-particle":"","family":"McVicker","given":"Benita L","non-dropping-particle":"","parse-names":false,"suffix":""},{"dropping-particle":"","family":"Tuma","given":"Dean J","non-dropping-particle":"","parse-names":false,"suffix":""},{"dropping-particle":"","family":"Wisecarver","given":"James L","non-dropping-particle":"","parse-names":false,"suffix":""},{"dropping-particle":"","family":"Bailey","given":"Shannon M","non-dropping-particle":"","parse-names":false,"suffix":""}],"container-title":"International Journal of Hepatology","editor":[{"dropping-particle":"","family":"Schrum","given":"Laura","non-dropping-particle":"","parse-names":false,"suffix":""}],"id":"ITEM-2","issued":{"date-parts":[["2012"]]},"page":"962183","publisher":"Hindawi Publishing Corporation","title":"Betaine Treatment Attenuates Chronic Ethanol-Induced Hepatic Steatosis and Alterations to the Mitochondrial Respiratory Chain Proteome","type":"article-journal","volume":"2012"},"uris":["http://www.mendeley.com/documents/?uuid=38b56347-fc7e-4123-a164-6220452fe770"]},{"id":"ITEM-3","itemData":{"DOI":"10.1093/jn/133.9.2845","ISSN":"0022-3166","abstract":"Previous studies showed that chronic ethanol administration inhibits methionine synthase activity, resulting in impaired homocysteine remethylation to form methionine. This defect in homocysteine remethylation was shown to increase plasma homocysteine and to interfere with the production of hepatic S-adenosylmethionine (SAM) in ethanol-fed rats. These changes were shown to be reversed by the administration of betaine, an alternative methylating agent. This study was undertaken to determine additional effects of ethanol on methionine metabolism and their functional consequences. The influences of methionine loading and betaine supplementation were also evaluated. Adult Wistar rats were fed ethanol or a control Lieber-DeCarli liquid diet for 4 wk, and metabolites of the methionine cycle were measured in vitro in isolated hepatocytes under basal and methionine-supplemented conditions. S-Adenosylhomocysteine (SAH) concentrations were elevated in hepatocytes isolated from ethanol-fed rats compared with controls and in hepatocytes from both groups when supplemented with methionine. The addition of betaine to the methionine-supplemented incubation media reduced the elevated SAH levels. The decrease in the intracellular SAH:SAM ratio due to ethanol consumption inhibited the activity of the liver-specific SAM-dependent methyltransferase, phosphatidylethanolamine methyltransferase. Our data indicate that betaine, by remethylating homocysteine and removing SAH, overcomes the detrimental effects of ethanol consumption on methionine metabolism and may be effective in correcting methylation defects and treating liver diseases.","author":[{"dropping-particle":"","family":"Barak","given":"Anthony J","non-dropping-particle":"","parse-names":false,"suffix":""},{"dropping-particle":"","family":"Beckenhauer","given":"Harriet C","non-dropping-particle":"","parse-names":false,"suffix":""},{"dropping-particle":"","family":"Mailliard","given":"Mark E","non-dropping-particle":"","parse-names":false,"suffix":""},{"dropping-particle":"","family":"Kharbanda","given":"Kusum K","non-dropping-particle":"","parse-names":false,"suffix":""},{"dropping-particle":"","family":"Tuma","given":"Dean J","non-dropping-particle":"","parse-names":false,"suffix":""}],"container-title":"The Journal of Nutrition","id":"ITEM-3","issue":"9","issued":{"date-parts":[["2003","9","1"]]},"page":"2845-2848","title":"Betaine Lowers Elevated S-Adenosylhomocysteine Levels in Hepatocytes from Ethanol-Fed Rats","type":"article-journal","volume":"133"},"uris":["http://www.mendeley.com/documents/?uuid=81bf4035-7c9c-4d5b-af35-022319eb9907"]},{"id":"ITEM-4","itemData":{"DOI":"10.1002/cbf.926","ISSN":"02636484","abstract":"The protective effects of betaine in ethanol hepatotoxicity were investigated in 24 female wistar albino rats. Animals were divided into three groups: control, ethanol and ethanol + betaine group. Animals were fed liquid diets and consumed approximately 60 diet per day. Rats were fed ethanol 8 kg-1 day-1. The ethanol + betaine group were fed ethanol plus betaine (0.5% w/v). All animal were fed for 2 months. Reduced glutathione, malondialdehyde and vitamin A were determined in the liver tissue. Alanine aminotransferase activities were also measured on intracardiac blood samples. GSH levels in the ethanol group were significantly lower than these in the control group (p &lt; 0.001). GSH was elevated in the betaine group as compared to the ethanol group (p &lt; 0.001). MDA in the ethanol group was significantly higher than that in the control group (p &lt; 0.05). MDA was decreased in the betaine group as compared to the ethanol group (p &lt; 0.05). Vitamin A in the ethanol group was significantly lower than that in the control group (p &lt; 0.01), but, in the ethanol + betaine group it was high compared with the ethanol group (p &lt; 0.01). ALT in the ethanol group was higher than that in the control group (p &lt; 0.05). Oxidative stress may play a major role in the ethanol-mediated hepatotoxicity. Betaine may protect liver against injury and it may prevent vitamin A depletion. Therefore, it may be a useful nutritional agent in the prevention of clinical problems dependent on ethanol-induced vitamin A depletion and peroxidative injury in liver. Copyright © 2001 John Wiley &amp; Sons, Ltd.","author":[{"dropping-particle":"","family":"Kanbak","given":"Güngör","non-dropping-particle":"","parse-names":false,"suffix":""},{"dropping-particle":"","family":"İnal","given":"Mine","non-dropping-particle":"","parse-names":false,"suffix":""},{"dropping-particle":"","family":"Bayçu","given":"Cengiz","non-dropping-particle":"","parse-names":false,"suffix":""}],"container-title":"Cell Biochemistry and Function","id":"ITEM-4","issue":"4","issued":{"date-parts":[["2001","12","1"]]},"page":"281-285","publisher":"John Wiley &amp; Sons, Ltd","title":"Ethanol-induced hepatotoxicity and protective effect of betaine","type":"article-journal","volume":"19"},"uris":["http://www.mendeley.com/documents/?uuid=71013ebb-2db1-3cfe-8aa9-3b0c38bd63e8"]},{"id":"ITEM-5","itemData":{"DOI":"10.1016/j.jhep.2006.08.024","ISSN":"01688278","abstract":"Background/Aims: Previous studies in our laboratory implicated ethanol-induced decreases in hepatocellular S-adenosylmethionine to S-adenosylhomocysteine (SAM:SAH) ratios in lowering the activity of phosphatidylethanolamine methyltransferase (PEMT), which is associated with the generation of steatosis. Further in vitro studies showed that betaine supplementation could correct these alterations in the ratio as well as attenuate alcoholic steatosis. Therefore, we sought to determine whether the protective effect of betaine is via its effect on PEMT activity. Methods: Male Wistar rats were fed the Lieber DeCarli control or ethanol diet with or without 1% betaine supplementation for 4 weeks. Results: We observed that ethanol feeding resulted in decreased phosphatidylcholine (PC) production by a PEMT-catalyzed reaction. Betaine supplementation corrected the ethanol-induced decrease in hepatic SAM:SAH ratios and by normalizing PC production via the PEMT-mediated pathway, significantly reduced fatty infiltration associated with ethanol consumption. This restoration of hepatocellular SAM:SAH ratio by betaine supplementation was associated with increases in the activity, enzyme mass and gene expression of the enzyme, betaine homocysteine methyltransferase (BHMT), that remethylates homocysteine. Conclusions: Betaine, by virtue of promoting an alternate remethylation pathway, restores SAM:SAH ratios that, in turn, correct the defective cellular methylation reaction catalyzed by PEMT resulting in protection against the generation of alcoholic steatosis. © 2006 European Association for the Study of the Liver.","author":[{"dropping-particle":"","family":"Kharbanda","given":"Kusum K.","non-dropping-particle":"","parse-names":false,"suffix":""},{"dropping-particle":"","family":"Mailliard","given":"Mark E.","non-dropping-particle":"","parse-names":false,"suffix":""},{"dropping-particle":"","family":"Baldwin","given":"Cheryl R.","non-dropping-particle":"","parse-names":false,"suffix":""},{"dropping-particle":"","family":"Beckenhauer","given":"Harriet C.","non-dropping-particle":"","parse-names":false,"suffix":""},{"dropping-particle":"","family":"Sorrell","given":"Michael F.","non-dropping-particle":"","parse-names":false,"suffix":""},{"dropping-particle":"","family":"Tuma","given":"Dean J.","non-dropping-particle":"","parse-names":false,"suffix":""}],"container-title":"Journal of Hepatology","id":"ITEM-5","issue":"2","issued":{"date-parts":[["2007","2","1"]]},"page":"314-321","publisher":"Elsevier","title":"Betaine attenuates alcoholic steatosis by restoring phosphatidylcholine generation via the phosphatidylethanolamine methyltransferase pathway","type":"article-journal","volume":"46"},"uris":["http://www.mendeley.com/documents/?uuid=028fba51-e92f-313f-9c26-f799a112efd5"]}],"mendeley":{"formattedCitation":"&lt;span style=\"baseline\"&gt;(14–18)&lt;/span&gt;","plainTextFormattedCitation":"(14–18)","previouslyFormattedCitation":"&lt;sup&gt;14–18&lt;/sup&gt;"},"properties":{"noteIndex":0},"schema":"https://github.com/citation-style-language/schema/raw/master/csl-citation.json"}</w:instrText>
      </w:r>
      <w:r w:rsidRPr="009C7D07">
        <w:rPr>
          <w:bCs/>
          <w:color w:val="000000"/>
          <w:lang w:val="en-US"/>
        </w:rPr>
        <w:fldChar w:fldCharType="separate"/>
      </w:r>
      <w:r w:rsidR="00CB53A3" w:rsidRPr="00CB53A3">
        <w:rPr>
          <w:bCs/>
          <w:noProof/>
          <w:color w:val="000000"/>
          <w:lang w:val="en-US"/>
        </w:rPr>
        <w:t>(14–18)</w:t>
      </w:r>
      <w:r w:rsidRPr="009C7D07">
        <w:rPr>
          <w:bCs/>
          <w:color w:val="000000"/>
          <w:lang w:val="en-US"/>
        </w:rPr>
        <w:fldChar w:fldCharType="end"/>
      </w:r>
      <w:r w:rsidRPr="009C7D07">
        <w:rPr>
          <w:bCs/>
          <w:color w:val="000000"/>
          <w:lang w:val="en-US"/>
        </w:rPr>
        <w:t xml:space="preserve">. In animal studies, dietary betaine has been shown to ameliorate the effects of acute </w:t>
      </w:r>
      <w:r w:rsidRPr="009C7D07">
        <w:rPr>
          <w:bCs/>
          <w:color w:val="000000"/>
          <w:lang w:val="en-US"/>
        </w:rPr>
        <w:fldChar w:fldCharType="begin" w:fldLock="1"/>
      </w:r>
      <w:r w:rsidR="00CB53A3">
        <w:rPr>
          <w:bCs/>
          <w:color w:val="000000"/>
          <w:lang w:val="en-US"/>
        </w:rPr>
        <w:instrText>ADDIN CSL_CITATION {"citationItems":[{"id":"ITEM-1","itemData":{"DOI":"10.1016/j.bbrc.2008.02.003","ISSN":"0006291X","abstract":"Oxidative stress is suggested to play a key role in the development of alcoholic liver injury. We investigated the induction of oxidative damage in association with changes in hepatic concentrations of sulfur-containing substances in mice challenged with binge-like ethanol administration. Also the protective effect of dietary betaine against ethanol-induced liver injury was determined. Serum alanine aminotransferase activity, TNFα level, and hepatic malondialdehyde level were increased significantly by ethanol administration. Hepatic Cyp2e1 was induced to 250% of control. Ethanol administration decreased hepatic S-adenosylmethionine, cysteine, and glutathione, but elevated hypotaurine and taurine levels. Betaine supplied in drinking water for 2 weeks attenuated the induction of alcoholic liver injury and Cyp2e1 significantly. Reduction of hepatic S-adenosylmethionine and glutathione was alleviated, and elevation of hypotaurine and taurine was depressed. The results suggest that betaine may protect the liver against ethanol-induced oxidative injury most probably via its effects on the sulfur-amino acid metabolism. © 2008 Elsevier Inc. All rights reserved.","author":[{"dropping-particle":"","family":"Kim","given":"Sun J.","non-dropping-particle":"","parse-names":false,"suffix":""},{"dropping-particle":"","family":"Jung","given":"Young S.","non-dropping-particle":"","parse-names":false,"suffix":""},{"dropping-particle":"","family":"Kwon","given":"Do Y.","non-dropping-particle":"","parse-names":false,"suffix":""},{"dropping-particle":"","family":"Kim","given":"Young C.","non-dropping-particle":"","parse-names":false,"suffix":""}],"container-title":"Biochemical and Biophysical Research Communications","id":"ITEM-1","issue":"4","issued":{"date-parts":[["2008","4","18"]]},"page":"893-898","publisher":"Academic Press","title":"Alleviation of acute ethanol-induced liver injury and impaired metabolomics of S-containing substances by betaine supplementation","type":"article-journal","volume":"368"},"uris":["http://www.mendeley.com/documents/?uuid=978db614-0f05-304b-96e9-1f6ffcecfb5d"]}],"mendeley":{"formattedCitation":"&lt;span style=\"baseline\"&gt;(19)&lt;/span&gt;","plainTextFormattedCitation":"(19)","previouslyFormattedCitation":"&lt;sup&gt;19&lt;/sup&gt;"},"properties":{"noteIndex":0},"schema":"https://github.com/citation-style-language/schema/raw/master/csl-citation.json"}</w:instrText>
      </w:r>
      <w:r w:rsidRPr="009C7D07">
        <w:rPr>
          <w:bCs/>
          <w:color w:val="000000"/>
          <w:lang w:val="en-US"/>
        </w:rPr>
        <w:fldChar w:fldCharType="separate"/>
      </w:r>
      <w:r w:rsidR="00CB53A3" w:rsidRPr="00CB53A3">
        <w:rPr>
          <w:bCs/>
          <w:noProof/>
          <w:color w:val="000000"/>
          <w:lang w:val="en-US"/>
        </w:rPr>
        <w:t>(19)</w:t>
      </w:r>
      <w:r w:rsidRPr="009C7D07">
        <w:rPr>
          <w:bCs/>
          <w:color w:val="000000"/>
          <w:lang w:val="en-US"/>
        </w:rPr>
        <w:fldChar w:fldCharType="end"/>
      </w:r>
      <w:r w:rsidRPr="009C7D07">
        <w:rPr>
          <w:bCs/>
          <w:color w:val="000000"/>
          <w:lang w:val="en-US"/>
        </w:rPr>
        <w:t xml:space="preserve">, and chronic ethanol </w:t>
      </w:r>
      <w:r w:rsidR="00D85454" w:rsidRPr="009C7D07">
        <w:rPr>
          <w:bCs/>
          <w:color w:val="000000"/>
          <w:lang w:val="en-US"/>
        </w:rPr>
        <w:t xml:space="preserve">dosing </w:t>
      </w:r>
      <w:r w:rsidRPr="009C7D07">
        <w:rPr>
          <w:bCs/>
          <w:color w:val="000000"/>
          <w:lang w:val="en-US"/>
        </w:rPr>
        <w:t xml:space="preserve">on liver steatosis and oxidative stress </w:t>
      </w:r>
      <w:r w:rsidRPr="009C7D07">
        <w:rPr>
          <w:bCs/>
          <w:color w:val="000000"/>
          <w:lang w:val="en-US"/>
        </w:rPr>
        <w:fldChar w:fldCharType="begin" w:fldLock="1"/>
      </w:r>
      <w:r w:rsidR="00CB53A3">
        <w:rPr>
          <w:bCs/>
          <w:color w:val="000000"/>
          <w:lang w:val="en-US"/>
        </w:rPr>
        <w:instrText xml:space="preserve">ADDIN CSL_CITATION {"citationItems":[{"id":"ITEM-1","itemData":{"DOI":"10.1078/0940-2993-00347","ISSN":"09402993","abstract":"We investigated the effect of betaine supplementation on ethanol induced steatosis and alterations in prooxidant and antioxidant status in the liver of guinea pigs. Animals were fed with normal chow or betaine containing chow (2% w/w) for 30 days. Ethanol (3 g/kg, i.p.) was given for the last 10 days. We found that ethanol treatment caused significant increases in plasma transaminase activities, hepatic triglyceride and lipid peroxide levels. Significant decreases in glutathione (GSH), α-tocopherol and total ascorbic acid (AA) levels were also observed, but hepatic superoxide dismutase, glutathione peroxidase and glutathione transferase activities remained unchanged as compared with those in controls. Betaine treatment together with ethanol in guinea pigs is found to decrease hepatic triglyceride, lipid peroxide levels and serum transaminase activities and to increase GSH levels. No changes in α-tocopherol and total AA levels and antioxidant enzyme activities were observed with betaine treatment in alcohol treated guinea pigs. In addition, histopathological assessment of guinea pigs showed that betaine reduced the alcoholic fat accumulation in the liver. Based on these data, betaine treatment has a restoring effect on the alterations in triglyceride, lipid peroxide and GSH levels following ethanol ingestion.","author":[{"dropping-particle":"","family":"Balkan","given":"Jale","non-dropping-particle":"","parse-names":false,"suffix":""},{"dropping-particle":"","family":"Öztezcan","given":"Serdar","non-dropping-particle":"","parse-names":false,"suffix":""},{"dropping-particle":"","family":"Küçük","given":"Mutlu","non-dropping-particle":"","parse-names":false,"suffix":""},{"dropping-particle":"","family":"Çevikbaş","given":"Uǧur","non-dropping-particle":"","parse-names":false,"suffix":""},{"dropping-particle":"","family":"Koçak-Toker","given":"Necla","non-dropping-particle":"","parse-names":false,"suffix":""},{"dropping-particle":"","family":"Uysal","given":"Müjdat","non-dropping-particle":"","parse-names":false,"suffix":""}],"container-title":"Experimental and Toxicologic Pathology","id":"ITEM-1","issue":"6","issued":{"date-parts":[["2004","1","1"]]},"page":"505-509","publisher":"Elsevier GmbH","title":"The effect of betaine treatment on triglyceride levels and oxidative stress in the liver of ethanol-treated guinea pigs","type":"article-journal","volume":"55"},"uris":["http://www.mendeley.com/documents/?uuid=56839303-ad87-38f0-a7bd-51646033b232"]},{"id":"ITEM-2","itemData":{"DOI":"10.1093/jn/135.3.519","ISSN":"0022-3166","abstract":"Previous studies showed that chronic ethanol administration alters methionine metabolism in the liver, resulting in increased intracellular S-adenosylhomocysteine (SAH) levels and increased homocysteine release into the plasma. We showed further that these changes appear to be reversed by betaine administration. This study compared the effects of betaine and S-adenosylmethionine (SAM), another methylating agent, on ethanol-induced changes of methionine metabolism and hepatic steatosis. Wistar rats were fed ethanol or control Lieber-Decarli liquid diet for 4 wk and metabolites of the methionine cycle were measured in isolated hepatocytes. Hepatocytes from ethanol-fed rats had a 50% lower intracellular SAM:SAH ratio and almost 2-fold greater homocysteine release into the media compared with controls. Supplementation of betaine or SAM in the incubation media increased this ratio in hepatocytes from both control and ethanol-fed rats and attenuated the ethanol-induced increased hepatocellular triglyceride levels by </w:instrText>
      </w:r>
      <w:r w:rsidR="00CB53A3">
        <w:rPr>
          <w:rFonts w:ascii="Cambria Math" w:hAnsi="Cambria Math" w:cs="Cambria Math"/>
          <w:bCs/>
          <w:color w:val="000000"/>
          <w:lang w:val="en-US"/>
        </w:rPr>
        <w:instrText>∼</w:instrText>
      </w:r>
      <w:r w:rsidR="00CB53A3">
        <w:rPr>
          <w:bCs/>
          <w:color w:val="000000"/>
          <w:lang w:val="en-US"/>
        </w:rPr>
        <w:instrText>20%. On the other hand, only betaine prevented the increase in generation of homocysteine in the incubation media under basal and methionine-loaded conditions. SAM can correct only the ratio and the methylation defects and may in fact be detrimental after prolonged use because of its propensity to increase homocysteine release. Both SAM and betaine are effective in increasing the SAM:SAH ratio in hepatocytes and in attenuating hepatic steatosis; however, only betaine can effectively methylate homocysteine and prevent increased homocysteine release by the liver.","author":[{"dropping-particle":"","family":"Kharbanda","given":"Kusum K","non-dropping-particle":"","parse-names":false,"suffix":""},{"dropping-particle":"","family":"Rogers  II","given":"David D","non-dropping-particle":"","parse-names":false,"suffix":""},{"dropping-particle":"","family":"Mailliard","given":"Mark E","non-dropping-particle":"","parse-names":false,"suffix":""},{"dropping-particle":"","family":"Siford","given":"Gerri L","non-dropping-particle":"","parse-names":false,"suffix":""},{"dropping-particle":"","family":"Barak","given":"Anthony J","non-dropping-particle":"","parse-names":false,"suffix":""},{"dropping-particle":"","family":"Beckenhauer","given":"Harriet C","non-dropping-particle":"","parse-names":false,"suffix":""},{"dropping-particle":"","family":"Sorrell","given":"Michael F","non-dropping-particle":"","parse-names":false,"suffix":""},{"dropping-particle":"","family":"Tuma","given":"Dean J","non-dropping-particle":"","parse-names":false,"suffix":""}],"container-title":"The Journal of Nutrition","id":"ITEM-2","issue":"3","issued":{"date-parts":[["2005","3","1"]]},"page":"519-524","title":"A Comparison of the Effects of Betaine and S-Adenosylmethionine on Ethanol-Induced Changes in Methionine Metabolism and Steatosis in Rat Hepatocytes","type":"article-journal","volume":"135"},"uris":["http://www.mendeley.com/documents/?uuid=eeecb79c-bc71-4319-a83a-6fddcea8a6e2"]},{"id":"ITEM-3","itemData":{"DOI":"10.1007/s11010-009-0044-2","ISSN":"03008177","abstract":"Our previous studies, demonstrating ethanol-induced alterations in phosphatidylcholine (PC) synthesis via the phosphatidylethanolamine methyltransferase (PEMT) pathway, implicated a defect in very low-density lipoprotein (VLDL) secretion in the pathogenesis of hepatic steatosis. The objective of this study was to determine whether VLDL secretion was reduced by chronic ethanol consumption and whether betaine supplementation, that restores PEMT activity and prevents the development of alcoholic steatosis, could normalize VLDL secretion. The VLDL secretion in rats fed with control, ethanol and the betaine supplemented diets was determined using Triton WR-1339 to inhibit plasma VLDL metabolism. We observed reduced VLDL production rates in chronic alcohol-fed rats compared to control animals. Supplementation of betaine in the ethanol diet increased VLDL production rate to values significantly higher than those observed in the control diet-fed rats. To conclude, chronic ethanol consumption impairs PC generation via the PEMT pathway resulting in diminished VLDL secretion which contributes to the development of hepatic steatosis. By increasing PEMT-mediated PC generation, betaine results in increased fat export from the liver and attenuates the development of alcoholic fatty liver. © Springer Science+Business Media, LLC. 2009.","author":[{"dropping-particle":"","family":"Kharbanda","given":"Kusum K.","non-dropping-particle":"","parse-names":false,"suffix":""},{"dropping-particle":"","family":"Todero","given":"Sandra L.","non-dropping-particle":"","parse-names":false,"suffix":""},{"dropping-particle":"","family":"Ward","given":"Brian W.","non-dropping-particle":"","parse-names":false,"suffix":""},{"dropping-particle":"","family":"Cannella","given":"John J.","non-dropping-particle":"","parse-names":false,"suffix":""},{"dropping-particle":"","family":"Tuma","given":"Dean J.","non-dropping-particle":"","parse-names":false,"suffix":""}],"container-title":"Molecular and Cellular Biochemistry","id":"ITEM-3","issue":"1-2","issued":{"date-parts":[["2009","2","15"]]},"page":"75-78","publisher":"Springer","title":"Betaine administration corrects ethanol-induced defective VLDL secretion","type":"article-journal","volume":"327"},"uris":["http://www.mendeley.com/documents/?uuid=9978d3cf-337e-3946-a34f-559428f61619"]},{"id":"ITEM-4","itemData":{"DOI":"10.1007/s13105-011-0107-1","ISSN":"18778755","abstract":"Oxidative stress is a hypothesis for the association of reactive oxygen species with cerebrovascular and neurodegenerative diseases. Thus, we examined whether oral betaine can act as a preventive agent in ethanol-induced oxidative stress on the cerebellum of rats. Thirty-two adult male Sprague-Dawley rats were divided into four equal groups (control, ethanol, betaine, and betaine plus ethanol) with different dietary regimens and were followed up for 1 month. Total homocysteine (tHcy) of plasma and cerebellum homogenate was determined by an Axis(®) homocysteine EIA kit, and antioxidant enzyme (glutathione peroxidase (GPx), SOD, and CAT) activities of cerebellum homogenate were measured chemically by a spectrophotometer. Lipid peroxidation of cerebellum was shown by the measurement of thiobarbituric reactive substances (TBARS) via a spectrophotometer. Ethanol-induced hyperhomocysteinemia was manifested by an increase in the concentrations of tHcy in the plasma and cerebellum homogenates of the ethanol group, while ethanol-induced oxidative stress was indicated via an increase in lipid peroxidation marker (TBARS) in cerebellum homogenates of ethanol-treated rats. In contrast, betaine prevented hyperhomocysteinemia and oxidative stress in the betaine plus ethanol group as well as the betaine group. The results of the present investigation indicated that the protective effect of betaine is probably related to its ability to strengthen the cerebellum membrane cells by enhancement of antioxidant enzyme activity principally GPx, while the methyl donor effect of betaine to reduce hyperhomocysteinemia has been explained previously and confirmed in the present study.","author":[{"dropping-particle":"","family":"Alirezaei","given":"Masoud","non-dropping-particle":"","parse-names":false,"suffix":""},{"dropping-particle":"","family":"Jelodar","given":"Gholamali","non-dropping-particle":"","parse-names":false,"suffix":""},{"dropping-particle":"","family":"Niknam","given":"Parvin","non-dropping-particle":"","parse-names":false,"suffix":""},{"dropping-particle":"","family":"Ghayemi","given":"Zeynab","non-dropping-particle":"","parse-names":false,"suffix":""},{"dropping-particle":"","family":"Nazifi","given":"Saeed","non-dropping-particle":"","parse-names":false,"suffix":""}],"container-title":"Journal of physiology and biochemistry","id":"ITEM-4","issue":"4","issued":{"date-parts":[["2011","6","23"]]},"page":"605-612","publisher":"Springer","title":"Betaine prevents ethanol-induced oxidative stress and reduces total homocysteine in the rat cerebellum.","type":"article-journal","volume":"67"},"uris":["http://www.mendeley.com/documents/?uuid=7c677380-ba3d-3da1-a887-f05fc9f9cdfb"]}],"mendeley":{"formattedCitation":"&lt;span style=\"baseline\"&gt;(20–23)&lt;/span&gt;","plainTextFormattedCitation":"(20–23)","previouslyFormattedCitation":"&lt;sup&gt;20–23&lt;/sup&gt;"},"properties":{"noteIndex":0},"schema":"https://github.com/citation-style-language/schema/raw/master/csl-citation.json"}</w:instrText>
      </w:r>
      <w:r w:rsidRPr="009C7D07">
        <w:rPr>
          <w:bCs/>
          <w:color w:val="000000"/>
          <w:lang w:val="en-US"/>
        </w:rPr>
        <w:fldChar w:fldCharType="separate"/>
      </w:r>
      <w:r w:rsidR="00CB53A3" w:rsidRPr="00CB53A3">
        <w:rPr>
          <w:bCs/>
          <w:noProof/>
          <w:color w:val="000000"/>
          <w:lang w:val="en-US"/>
        </w:rPr>
        <w:t>(20–23)</w:t>
      </w:r>
      <w:r w:rsidRPr="009C7D07">
        <w:rPr>
          <w:bCs/>
          <w:color w:val="000000"/>
          <w:lang w:val="en-US"/>
        </w:rPr>
        <w:fldChar w:fldCharType="end"/>
      </w:r>
      <w:r w:rsidRPr="009C7D07">
        <w:rPr>
          <w:bCs/>
          <w:color w:val="000000"/>
          <w:lang w:val="en-US"/>
        </w:rPr>
        <w:t xml:space="preserve">. </w:t>
      </w:r>
    </w:p>
    <w:p w14:paraId="6EF98ADD" w14:textId="77777777" w:rsidR="00455C85" w:rsidRPr="009C7D07" w:rsidRDefault="00455C85" w:rsidP="00796965">
      <w:pPr>
        <w:spacing w:line="480" w:lineRule="auto"/>
        <w:jc w:val="both"/>
        <w:rPr>
          <w:bCs/>
          <w:color w:val="000000"/>
          <w:lang w:val="en-US"/>
        </w:rPr>
      </w:pPr>
    </w:p>
    <w:p w14:paraId="200243DC" w14:textId="77777777" w:rsidR="00A34F6C" w:rsidRPr="009C7D07" w:rsidRDefault="00D85454" w:rsidP="00A34F6C">
      <w:pPr>
        <w:spacing w:line="480" w:lineRule="auto"/>
        <w:jc w:val="both"/>
        <w:rPr>
          <w:bCs/>
          <w:color w:val="000000" w:themeColor="text1"/>
          <w:lang w:val="en-US"/>
        </w:rPr>
      </w:pPr>
      <w:r w:rsidRPr="009C7D07">
        <w:rPr>
          <w:bCs/>
          <w:color w:val="000000" w:themeColor="text1"/>
          <w:lang w:val="en-US"/>
        </w:rPr>
        <w:t>However, t</w:t>
      </w:r>
      <w:r w:rsidR="00455C85" w:rsidRPr="009C7D07">
        <w:rPr>
          <w:bCs/>
          <w:color w:val="000000" w:themeColor="text1"/>
          <w:lang w:val="en-US"/>
        </w:rPr>
        <w:t xml:space="preserve">here are few studies </w:t>
      </w:r>
      <w:r w:rsidRPr="009C7D07">
        <w:rPr>
          <w:bCs/>
          <w:color w:val="000000" w:themeColor="text1"/>
          <w:lang w:val="en-US"/>
        </w:rPr>
        <w:t>exploring</w:t>
      </w:r>
      <w:r w:rsidR="00455C85" w:rsidRPr="009C7D07">
        <w:rPr>
          <w:bCs/>
          <w:color w:val="000000" w:themeColor="text1"/>
          <w:lang w:val="en-US"/>
        </w:rPr>
        <w:t xml:space="preserve"> the effect of ethanol intoxication in the teenage population.  Therefore, we aim</w:t>
      </w:r>
      <w:r w:rsidRPr="009C7D07">
        <w:rPr>
          <w:bCs/>
          <w:color w:val="000000" w:themeColor="text1"/>
          <w:lang w:val="en-US"/>
        </w:rPr>
        <w:t>ed</w:t>
      </w:r>
      <w:r w:rsidR="00455C85" w:rsidRPr="009C7D07">
        <w:rPr>
          <w:bCs/>
          <w:color w:val="000000" w:themeColor="text1"/>
          <w:lang w:val="en-US"/>
        </w:rPr>
        <w:t xml:space="preserve"> to investigate how ethanol</w:t>
      </w:r>
      <w:r w:rsidR="00F22F23" w:rsidRPr="009C7D07">
        <w:rPr>
          <w:bCs/>
          <w:color w:val="000000" w:themeColor="text1"/>
          <w:lang w:val="en-US"/>
        </w:rPr>
        <w:t xml:space="preserve"> </w:t>
      </w:r>
      <w:r w:rsidR="00455C85" w:rsidRPr="009C7D07">
        <w:rPr>
          <w:bCs/>
          <w:color w:val="000000" w:themeColor="text1"/>
          <w:lang w:val="en-US"/>
        </w:rPr>
        <w:t>affect</w:t>
      </w:r>
      <w:r w:rsidR="00F22F23" w:rsidRPr="009C7D07">
        <w:rPr>
          <w:bCs/>
          <w:color w:val="000000" w:themeColor="text1"/>
          <w:lang w:val="en-US"/>
        </w:rPr>
        <w:t>s</w:t>
      </w:r>
      <w:r w:rsidR="00455C85" w:rsidRPr="009C7D07">
        <w:rPr>
          <w:bCs/>
          <w:color w:val="000000" w:themeColor="text1"/>
          <w:lang w:val="en-US"/>
        </w:rPr>
        <w:t xml:space="preserve"> hepatic cells through changes in oxidative damage, apoptosis and liver function</w:t>
      </w:r>
      <w:r w:rsidRPr="009C7D07">
        <w:rPr>
          <w:bCs/>
          <w:color w:val="000000" w:themeColor="text1"/>
          <w:lang w:val="en-US"/>
        </w:rPr>
        <w:t xml:space="preserve"> in juvenile rats</w:t>
      </w:r>
      <w:r w:rsidR="00455C85" w:rsidRPr="009C7D07">
        <w:rPr>
          <w:bCs/>
          <w:color w:val="000000" w:themeColor="text1"/>
          <w:lang w:val="en-US"/>
        </w:rPr>
        <w:t xml:space="preserve">. The effects of betaine supplementation on ethanol-induced injury in very young </w:t>
      </w:r>
      <w:r w:rsidR="00A522BC" w:rsidRPr="009C7D07">
        <w:rPr>
          <w:bCs/>
          <w:color w:val="000000" w:themeColor="text1"/>
          <w:lang w:val="en-US"/>
        </w:rPr>
        <w:t xml:space="preserve">animal </w:t>
      </w:r>
      <w:r w:rsidR="00455C85" w:rsidRPr="009C7D07">
        <w:rPr>
          <w:bCs/>
          <w:color w:val="000000" w:themeColor="text1"/>
          <w:lang w:val="en-US"/>
        </w:rPr>
        <w:t xml:space="preserve">models </w:t>
      </w:r>
      <w:r w:rsidR="00A522BC" w:rsidRPr="009C7D07">
        <w:rPr>
          <w:bCs/>
          <w:color w:val="000000" w:themeColor="text1"/>
          <w:lang w:val="en-US"/>
        </w:rPr>
        <w:t xml:space="preserve">is </w:t>
      </w:r>
      <w:r w:rsidR="00455C85" w:rsidRPr="009C7D07">
        <w:rPr>
          <w:bCs/>
          <w:color w:val="000000" w:themeColor="text1"/>
          <w:lang w:val="en-US"/>
        </w:rPr>
        <w:t xml:space="preserve">also </w:t>
      </w:r>
      <w:r w:rsidR="00A522BC" w:rsidRPr="009C7D07">
        <w:rPr>
          <w:bCs/>
          <w:color w:val="000000" w:themeColor="text1"/>
          <w:lang w:val="en-US"/>
        </w:rPr>
        <w:t>limited</w:t>
      </w:r>
      <w:r w:rsidR="00455C85" w:rsidRPr="009C7D07">
        <w:rPr>
          <w:bCs/>
          <w:color w:val="000000" w:themeColor="text1"/>
          <w:lang w:val="en-US"/>
        </w:rPr>
        <w:t>. The use of betaine will determine if any such damage (and by extension, protection) is mediated through oxidative damage and the antioxidant capacity of the liver.</w:t>
      </w:r>
    </w:p>
    <w:p w14:paraId="07FC7231" w14:textId="77777777" w:rsidR="00A34F6C" w:rsidRPr="009C7D07" w:rsidRDefault="00A34F6C" w:rsidP="00A34F6C">
      <w:pPr>
        <w:spacing w:line="480" w:lineRule="auto"/>
        <w:jc w:val="both"/>
        <w:rPr>
          <w:bCs/>
          <w:color w:val="000000" w:themeColor="text1"/>
          <w:lang w:val="en-US"/>
        </w:rPr>
      </w:pPr>
    </w:p>
    <w:p w14:paraId="3C319FC8" w14:textId="77777777" w:rsidR="009C7D07" w:rsidRDefault="009C7D07">
      <w:pPr>
        <w:rPr>
          <w:rStyle w:val="Heading1Char"/>
          <w:rFonts w:cs="Times New Roman"/>
          <w:szCs w:val="24"/>
        </w:rPr>
      </w:pPr>
      <w:r>
        <w:rPr>
          <w:rStyle w:val="Heading1Char"/>
          <w:rFonts w:cs="Times New Roman"/>
          <w:szCs w:val="24"/>
        </w:rPr>
        <w:br w:type="page"/>
      </w:r>
    </w:p>
    <w:p w14:paraId="063A3782" w14:textId="5C336EE1" w:rsidR="005B5184" w:rsidRPr="009C7D07" w:rsidRDefault="005B5184" w:rsidP="00A34F6C">
      <w:pPr>
        <w:spacing w:line="480" w:lineRule="auto"/>
        <w:jc w:val="both"/>
        <w:rPr>
          <w:rStyle w:val="Heading1Char"/>
          <w:rFonts w:cs="Times New Roman"/>
          <w:szCs w:val="24"/>
        </w:rPr>
      </w:pPr>
      <w:r w:rsidRPr="009C7D07">
        <w:rPr>
          <w:rStyle w:val="Heading1Char"/>
          <w:rFonts w:cs="Times New Roman"/>
          <w:szCs w:val="24"/>
        </w:rPr>
        <w:t>Materials and Methods</w:t>
      </w:r>
    </w:p>
    <w:p w14:paraId="02703A7E" w14:textId="77777777" w:rsidR="005B5184" w:rsidRPr="009C7D07" w:rsidRDefault="005B5184" w:rsidP="00796965">
      <w:pPr>
        <w:spacing w:line="480" w:lineRule="auto"/>
        <w:rPr>
          <w:lang w:val="en-US"/>
        </w:rPr>
      </w:pPr>
    </w:p>
    <w:p w14:paraId="26809318" w14:textId="77777777" w:rsidR="000D1ABB" w:rsidRPr="009C7D07" w:rsidRDefault="005B5184" w:rsidP="00796965">
      <w:pPr>
        <w:spacing w:line="480" w:lineRule="auto"/>
        <w:jc w:val="both"/>
        <w:rPr>
          <w:b/>
          <w:color w:val="000000"/>
          <w:lang w:val="en-US"/>
        </w:rPr>
      </w:pPr>
      <w:r w:rsidRPr="009C7D07">
        <w:rPr>
          <w:b/>
          <w:color w:val="000000"/>
          <w:lang w:val="en-US"/>
        </w:rPr>
        <w:t>Animals</w:t>
      </w:r>
    </w:p>
    <w:p w14:paraId="2001E14D" w14:textId="35121302" w:rsidR="007661E7" w:rsidRPr="009C7D07" w:rsidRDefault="005B5184" w:rsidP="00796965">
      <w:pPr>
        <w:spacing w:line="480" w:lineRule="auto"/>
        <w:jc w:val="both"/>
        <w:rPr>
          <w:bCs/>
          <w:color w:val="4472C4"/>
          <w:lang w:val="en-US"/>
        </w:rPr>
      </w:pPr>
      <w:r w:rsidRPr="009C7D07">
        <w:rPr>
          <w:bCs/>
          <w:color w:val="000000"/>
          <w:lang w:val="en-US"/>
        </w:rPr>
        <w:t>Juvenile male Wistar rats (50-55 g) were obtained from Charles Rivers (Bicester, UK) and housed according to GLC guidelines at the Biological Services Unit at Kings College</w:t>
      </w:r>
      <w:r w:rsidR="00D137F7" w:rsidRPr="00D137F7">
        <w:rPr>
          <w:bCs/>
          <w:color w:val="000000"/>
          <w:lang w:val="en-US"/>
        </w:rPr>
        <w:t xml:space="preserve"> </w:t>
      </w:r>
      <w:r w:rsidR="00D137F7" w:rsidRPr="009C7D07">
        <w:rPr>
          <w:bCs/>
          <w:color w:val="000000"/>
          <w:lang w:val="en-US"/>
        </w:rPr>
        <w:t>London</w:t>
      </w:r>
      <w:r w:rsidR="00ED03CC" w:rsidRPr="009C7D07">
        <w:rPr>
          <w:bCs/>
          <w:color w:val="000000"/>
          <w:lang w:val="en-US"/>
        </w:rPr>
        <w:t xml:space="preserve">. </w:t>
      </w:r>
      <w:r w:rsidR="00D137F7" w:rsidRPr="00D137F7">
        <w:rPr>
          <w:bCs/>
          <w:color w:val="000000"/>
          <w:lang w:val="en-US"/>
        </w:rPr>
        <w:t xml:space="preserve">This </w:t>
      </w:r>
      <w:r w:rsidR="00D137F7">
        <w:rPr>
          <w:bCs/>
          <w:color w:val="000000"/>
          <w:lang w:val="en-US"/>
        </w:rPr>
        <w:t>study</w:t>
      </w:r>
      <w:r w:rsidR="00D137F7" w:rsidRPr="00D137F7">
        <w:rPr>
          <w:bCs/>
          <w:color w:val="000000"/>
          <w:lang w:val="en-US"/>
        </w:rPr>
        <w:t xml:space="preserve"> was been approved by the local Ethics Committee and has therefore been performed in accordance with the ethical standards laid down in the 1964 Declaration of Helsinki and its later amendments.</w:t>
      </w:r>
      <w:bookmarkStart w:id="0" w:name="_GoBack"/>
      <w:bookmarkEnd w:id="0"/>
      <w:r w:rsidRPr="009C7D07">
        <w:rPr>
          <w:bCs/>
          <w:color w:val="000000"/>
          <w:lang w:val="en-US"/>
        </w:rPr>
        <w:t xml:space="preserve"> </w:t>
      </w:r>
      <w:r w:rsidR="00EF3E0C" w:rsidRPr="009C7D07">
        <w:rPr>
          <w:bCs/>
          <w:color w:val="000000"/>
          <w:lang w:val="en-US"/>
        </w:rPr>
        <w:t xml:space="preserve">Animals were age and weight matched and divided into 4 groups; (1) Control, </w:t>
      </w:r>
      <w:proofErr w:type="spellStart"/>
      <w:r w:rsidR="00EF3E0C" w:rsidRPr="009C7D07">
        <w:rPr>
          <w:bCs/>
          <w:color w:val="000000"/>
          <w:lang w:val="en-US"/>
        </w:rPr>
        <w:t>i.p</w:t>
      </w:r>
      <w:proofErr w:type="spellEnd"/>
      <w:r w:rsidR="00EF3E0C" w:rsidRPr="009C7D07">
        <w:rPr>
          <w:bCs/>
          <w:color w:val="000000"/>
          <w:lang w:val="en-US"/>
        </w:rPr>
        <w:t xml:space="preserve"> treated 0.15 mol/L NaCl; (2) Ethanol, </w:t>
      </w:r>
      <w:proofErr w:type="spellStart"/>
      <w:r w:rsidR="00EF3E0C" w:rsidRPr="009C7D07">
        <w:rPr>
          <w:bCs/>
          <w:color w:val="000000"/>
          <w:lang w:val="en-US"/>
        </w:rPr>
        <w:t>i.p.</w:t>
      </w:r>
      <w:proofErr w:type="spellEnd"/>
      <w:r w:rsidR="00EF3E0C" w:rsidRPr="009C7D07">
        <w:rPr>
          <w:bCs/>
          <w:color w:val="000000"/>
          <w:lang w:val="en-US"/>
        </w:rPr>
        <w:t xml:space="preserve"> treated ethanol (75 mmol/kg bodyweight); (3), Betaine 2% (w/v) in drinking water and </w:t>
      </w:r>
      <w:proofErr w:type="spellStart"/>
      <w:r w:rsidR="00EF3E0C" w:rsidRPr="009C7D07">
        <w:rPr>
          <w:bCs/>
          <w:color w:val="000000"/>
          <w:lang w:val="en-US"/>
        </w:rPr>
        <w:t>i.p</w:t>
      </w:r>
      <w:proofErr w:type="spellEnd"/>
      <w:r w:rsidR="00EF3E0C" w:rsidRPr="009C7D07">
        <w:rPr>
          <w:bCs/>
          <w:color w:val="000000"/>
          <w:lang w:val="en-US"/>
        </w:rPr>
        <w:t xml:space="preserve"> treated 0.15 mol/L NaCl; (4) Betaine (2% w/v) in drinking water and </w:t>
      </w:r>
      <w:proofErr w:type="spellStart"/>
      <w:r w:rsidR="00EF3E0C" w:rsidRPr="009C7D07">
        <w:rPr>
          <w:bCs/>
          <w:color w:val="000000"/>
          <w:lang w:val="en-US"/>
        </w:rPr>
        <w:t>i.p.</w:t>
      </w:r>
      <w:proofErr w:type="spellEnd"/>
      <w:r w:rsidR="00EF3E0C" w:rsidRPr="009C7D07">
        <w:rPr>
          <w:bCs/>
          <w:color w:val="000000"/>
          <w:lang w:val="en-US"/>
        </w:rPr>
        <w:t xml:space="preserve"> treated ethanol (75 mmol/kg bodyweight).</w:t>
      </w:r>
      <w:r w:rsidR="008D341A" w:rsidRPr="009C7D07">
        <w:rPr>
          <w:bCs/>
          <w:color w:val="000000"/>
          <w:lang w:val="en-US"/>
        </w:rPr>
        <w:t xml:space="preserve"> </w:t>
      </w:r>
      <w:r w:rsidR="00EF3E0C" w:rsidRPr="009C7D07">
        <w:rPr>
          <w:bCs/>
          <w:color w:val="000000"/>
          <w:lang w:val="en-US"/>
        </w:rPr>
        <w:t xml:space="preserve">Groups 1 and 2 were given water for one week and groups </w:t>
      </w:r>
      <w:r w:rsidR="008D341A" w:rsidRPr="009C7D07">
        <w:rPr>
          <w:bCs/>
          <w:color w:val="000000"/>
          <w:lang w:val="en-US"/>
        </w:rPr>
        <w:t>3</w:t>
      </w:r>
      <w:r w:rsidR="00EF3E0C" w:rsidRPr="009C7D07">
        <w:rPr>
          <w:bCs/>
          <w:color w:val="000000"/>
          <w:lang w:val="en-US"/>
        </w:rPr>
        <w:t xml:space="preserve"> and </w:t>
      </w:r>
      <w:r w:rsidR="008D341A" w:rsidRPr="009C7D07">
        <w:rPr>
          <w:bCs/>
          <w:color w:val="000000"/>
          <w:lang w:val="en-US"/>
        </w:rPr>
        <w:t>4</w:t>
      </w:r>
      <w:r w:rsidR="00EF3E0C" w:rsidRPr="009C7D07">
        <w:rPr>
          <w:bCs/>
          <w:color w:val="000000"/>
          <w:lang w:val="en-US"/>
        </w:rPr>
        <w:t xml:space="preserve"> received free access to food and freshly prepared betaine (2% w/v) in the drinking water.  On the 7th day</w:t>
      </w:r>
      <w:r w:rsidR="00144C85" w:rsidRPr="009C7D07">
        <w:rPr>
          <w:bCs/>
          <w:color w:val="000000"/>
          <w:lang w:val="en-US"/>
        </w:rPr>
        <w:t>,</w:t>
      </w:r>
      <w:r w:rsidR="00EF3E0C" w:rsidRPr="009C7D07">
        <w:rPr>
          <w:bCs/>
          <w:color w:val="000000"/>
          <w:lang w:val="en-US"/>
        </w:rPr>
        <w:t xml:space="preserve"> animals were </w:t>
      </w:r>
      <w:proofErr w:type="spellStart"/>
      <w:r w:rsidR="00EF3E0C" w:rsidRPr="009C7D07">
        <w:rPr>
          <w:bCs/>
          <w:color w:val="000000"/>
          <w:lang w:val="en-US"/>
        </w:rPr>
        <w:t>i.p.</w:t>
      </w:r>
      <w:proofErr w:type="spellEnd"/>
      <w:r w:rsidR="00EF3E0C" w:rsidRPr="009C7D07">
        <w:rPr>
          <w:bCs/>
          <w:color w:val="000000"/>
          <w:lang w:val="en-US"/>
        </w:rPr>
        <w:t xml:space="preserve"> treated with either saline or ethanol.  </w:t>
      </w:r>
      <w:r w:rsidRPr="009C7D07">
        <w:rPr>
          <w:bCs/>
          <w:color w:val="000000"/>
          <w:lang w:val="en-US"/>
        </w:rPr>
        <w:t>Following treatment</w:t>
      </w:r>
      <w:r w:rsidR="00144C85" w:rsidRPr="009C7D07">
        <w:rPr>
          <w:bCs/>
          <w:color w:val="000000"/>
          <w:lang w:val="en-US"/>
        </w:rPr>
        <w:t>,</w:t>
      </w:r>
      <w:r w:rsidRPr="009C7D07">
        <w:rPr>
          <w:bCs/>
          <w:color w:val="000000"/>
          <w:lang w:val="en-US"/>
        </w:rPr>
        <w:t xml:space="preserve"> food was </w:t>
      </w:r>
      <w:r w:rsidR="00687B5D" w:rsidRPr="009C7D07">
        <w:rPr>
          <w:bCs/>
          <w:color w:val="000000"/>
          <w:lang w:val="en-US"/>
        </w:rPr>
        <w:t>removed,</w:t>
      </w:r>
      <w:r w:rsidRPr="009C7D07">
        <w:rPr>
          <w:bCs/>
          <w:color w:val="000000"/>
          <w:lang w:val="en-US"/>
        </w:rPr>
        <w:t xml:space="preserve"> and the rats were sacrificed 24 hours later.  Hepatic cytosol and mitochondria were prepared as previously described</w:t>
      </w:r>
      <w:r w:rsidR="001E4F3A" w:rsidRPr="009C7D07">
        <w:rPr>
          <w:bCs/>
          <w:color w:val="000000"/>
          <w:lang w:val="en-US"/>
        </w:rPr>
        <w:t xml:space="preserve"> </w:t>
      </w:r>
      <w:r w:rsidR="001E4F3A" w:rsidRPr="009C7D07">
        <w:rPr>
          <w:bCs/>
          <w:color w:val="000000"/>
          <w:lang w:val="en-US"/>
        </w:rPr>
        <w:fldChar w:fldCharType="begin" w:fldLock="1"/>
      </w:r>
      <w:r w:rsidR="00CB53A3">
        <w:rPr>
          <w:bCs/>
          <w:color w:val="000000"/>
          <w:lang w:val="en-US"/>
        </w:rPr>
        <w:instrText xml:space="preserve">ADDIN CSL_CITATION {"citationItems":[{"id":"ITEM-1","itemData":{"DOI":"10.1016/j.freeradbiomed.2007.08.004","ISSN":"08915849","abstract":"Chronic ethanol consumption causes increased production of reactive oxygen species in hepatic mitochondria accompanied by elevations in products of lipid peroxidation such as 4-hydroxynonenal (4-HNE). In the current study we investigated the effects of chronic ethanol consumption on a prominent protein-4-HNE adduct in liver mitochondria. Male Sprague-Dawley rats were fed a liquid diet for 31 days in which ethanol constituted 36% of total calories. Immunoblot analyses of liver mitochondria from ethanol-fed and control animals, using an antibody to a 4-HNE-protein adduct, demonstrated elevated 4-HNE binding (+ 50%) to a mitochondrial protein of </w:instrText>
      </w:r>
      <w:r w:rsidR="00CB53A3">
        <w:rPr>
          <w:rFonts w:ascii="Cambria Math" w:hAnsi="Cambria Math" w:cs="Cambria Math"/>
          <w:bCs/>
          <w:color w:val="000000"/>
          <w:lang w:val="en-US"/>
        </w:rPr>
        <w:instrText>∼</w:instrText>
      </w:r>
      <w:r w:rsidR="00CB53A3">
        <w:rPr>
          <w:bCs/>
          <w:color w:val="000000"/>
          <w:lang w:val="en-US"/>
        </w:rPr>
        <w:instrText xml:space="preserve"> 55 kDa due to chronic ethanol consumption. Analysis of this protein using AspN digestion and tandem mass spectrometry identified it as the mitochondrial form of 3-hydroxy-3-methylglutaryl-CoA (HMG-CoA) synthase. Activity of the activated form of this enzyme was unchanged in livers from ethanol-fed animals, but the protein level was elevated by 36%, which suggests a compensatory mechanism to maintain constant levels of synthase activity in the mitochondrion in the face of continuous inactivation by 4-HNE. Treatment of isolated mitochondria with 4-HNE demonstrated that the enzyme activity decreased as a function of 4-HNE concentration and with time of exposure. This study demonstrates that ethanol consumption increases the formation of a 4-HNE adduct with mitochondrial HMG-CoA synthase, which has the potential to inactivate the enzyme in situ. © 2007 Elsevier Inc. All rights reserved.","author":[{"dropping-particle":"","family":"Patel","given":"Vinood B.","non-dropping-particle":"","parse-names":false,"suffix":""},{"dropping-particle":"","family":"Spencer","given":"Christina H.","non-dropping-particle":"","parse-names":false,"suffix":""},{"dropping-particle":"","family":"Young","given":"Tracey A.","non-dropping-particle":"","parse-names":false,"suffix":""},{"dropping-particle":"","family":"Lively","given":"Mark O.","non-dropping-particle":"","parse-names":false,"suffix":""},{"dropping-particle":"","family":"Cunningham","given":"Carol C.","non-dropping-particle":"","parse-names":false,"suffix":""}],"container-title":"Free Radical Biology and Medicine","id":"ITEM-1","issue":"11","issued":{"date-parts":[["2007","12","1"]]},"page":"1499-1507","publisher":"NIH Public Access","title":"Effects of 4-hydroxynonenal on mitochondrial 3-hydroxy-3-methylglutaryl (HMG-CoA) synthase","type":"article-journal","volume":"43"},"uris":["http://www.mendeley.com/documents/?uuid=8f7009b2-3767-3d33-b0e2-59b424d3cd99"]}],"mendeley":{"formattedCitation":"&lt;span style=\"baseline\"&gt;(24)&lt;/span&gt;","plainTextFormattedCitation":"(24)","previouslyFormattedCitation":"&lt;sup&gt;24&lt;/sup&gt;"},"properties":{"noteIndex":0},"schema":"https://github.com/citation-style-language/schema/raw/master/csl-citation.json"}</w:instrText>
      </w:r>
      <w:r w:rsidR="001E4F3A" w:rsidRPr="009C7D07">
        <w:rPr>
          <w:bCs/>
          <w:color w:val="000000"/>
          <w:lang w:val="en-US"/>
        </w:rPr>
        <w:fldChar w:fldCharType="separate"/>
      </w:r>
      <w:r w:rsidR="00CB53A3" w:rsidRPr="00CB53A3">
        <w:rPr>
          <w:bCs/>
          <w:noProof/>
          <w:color w:val="000000"/>
          <w:lang w:val="en-US"/>
        </w:rPr>
        <w:t>(24)</w:t>
      </w:r>
      <w:r w:rsidR="001E4F3A" w:rsidRPr="009C7D07">
        <w:rPr>
          <w:bCs/>
          <w:color w:val="000000"/>
          <w:lang w:val="en-US"/>
        </w:rPr>
        <w:fldChar w:fldCharType="end"/>
      </w:r>
      <w:r w:rsidR="001E4F3A" w:rsidRPr="009C7D07">
        <w:rPr>
          <w:bCs/>
          <w:color w:val="000000"/>
          <w:lang w:val="en-US"/>
        </w:rPr>
        <w:t xml:space="preserve">. </w:t>
      </w:r>
      <w:r w:rsidRPr="009C7D07">
        <w:rPr>
          <w:bCs/>
          <w:color w:val="000000"/>
          <w:lang w:val="en-US"/>
        </w:rPr>
        <w:t>Blood serum was collected and stored for subsequent liver function test analysis.</w:t>
      </w:r>
      <w:r w:rsidR="00687B5D" w:rsidRPr="009C7D07">
        <w:rPr>
          <w:bCs/>
          <w:color w:val="000000"/>
          <w:lang w:val="en-US"/>
        </w:rPr>
        <w:t xml:space="preserve"> </w:t>
      </w:r>
      <w:r w:rsidRPr="009C7D07">
        <w:rPr>
          <w:bCs/>
          <w:color w:val="000000"/>
          <w:lang w:val="en-US"/>
        </w:rPr>
        <w:t xml:space="preserve">Liver </w:t>
      </w:r>
      <w:r w:rsidR="00A42DE6" w:rsidRPr="009C7D07">
        <w:rPr>
          <w:bCs/>
          <w:color w:val="000000"/>
          <w:lang w:val="en-US"/>
        </w:rPr>
        <w:t>f</w:t>
      </w:r>
      <w:r w:rsidRPr="009C7D07">
        <w:rPr>
          <w:bCs/>
          <w:color w:val="000000"/>
          <w:lang w:val="en-US"/>
        </w:rPr>
        <w:t xml:space="preserve">unction </w:t>
      </w:r>
      <w:r w:rsidR="00A42DE6" w:rsidRPr="009C7D07">
        <w:rPr>
          <w:bCs/>
          <w:color w:val="000000"/>
          <w:lang w:val="en-US"/>
        </w:rPr>
        <w:t>tests</w:t>
      </w:r>
      <w:r w:rsidRPr="009C7D07">
        <w:rPr>
          <w:bCs/>
          <w:color w:val="000000"/>
          <w:lang w:val="en-US"/>
        </w:rPr>
        <w:t xml:space="preserve"> were measured by standard laboratory diagnostic procedures as previously described</w:t>
      </w:r>
      <w:r w:rsidR="001E4F3A" w:rsidRPr="009C7D07">
        <w:rPr>
          <w:bCs/>
          <w:color w:val="000000"/>
          <w:lang w:val="en-US"/>
        </w:rPr>
        <w:t xml:space="preserve"> </w:t>
      </w:r>
      <w:r w:rsidR="001E4F3A" w:rsidRPr="009C7D07">
        <w:rPr>
          <w:bCs/>
          <w:color w:val="000000"/>
          <w:lang w:val="en-US"/>
        </w:rPr>
        <w:fldChar w:fldCharType="begin" w:fldLock="1"/>
      </w:r>
      <w:r w:rsidR="00CB53A3">
        <w:rPr>
          <w:bCs/>
          <w:color w:val="000000"/>
          <w:lang w:val="en-US"/>
        </w:rPr>
        <w:instrText>ADDIN CSL_CITATION {"citationItems":[{"id":"ITEM-1","itemData":{"DOI":"10.1093/oxfordjournals.alcalc.a045061","ISSN":"0735-0414","abstract":"(1) Liver cirrhosis was induced in male rats by treatment with carbon tetrachloride and phenobarbitone for 130-142 days. Detailed histological examination showed all livers from rats treated with carbon tetrachloride had annular fibrosis, necrosis, loss of normal hepatic architecture and other features that were consistent with an established micronodular cirrhosis. (2) Plasma biochemical analysis showed a significant reduction in total protein concentration (13%), which was due entirely to a reduction in plasma albumin (29%). There were also large increases in the plasma activities of alkaline phosphatase (110%) and aspartate aminotransferase (159%), when compared to phenobarbitone-treated controls. Plasma cholesterol was also increased (67%), but other plasma analytes were not significantly altered. (3) The soleus (Type I), plantaris (Type II) and gastrocnemius (Types I and II) muscles were dissected and examined for possible differential effects. There were minor reductions in all three muscle weights, but these changes did not reach statistical significance. The protein, RNA and DNA concentrations, total muscle content and content relative to body weight in cirrhotic rats were also not significantly altered in any of the muscles. Cirrhosis did not cause any perturbations in derived parameters, i.e. amount of synthetic apparatus per cell, RNA/DNA ratio, apparent cell size, protein/DNA ratio and the capacity for protein synthesis or RNA/protein ratio. (4) The gastrocnemius was fractionated into soluble, stromal and myofibrillar proteins. The concentrations and contents of all three proteins were unaltered in cirrhotic animals, compared to controls. (5) It is concluded that in this experimental model of cirrhosis there were no effects on those skeletal muscle variables which are strikingly altered by chronic alcohol feeding.(ABSTRACT TRUNCATED AT 250 WORDS)","author":[{"dropping-particle":"","family":"Preedy","given":"Victor R.","non-dropping-particle":"","parse-names":false,"suffix":""},{"dropping-particle":"","family":"Gove","given":"Christopher D.","non-dropping-particle":"","parse-names":false,"suffix":""},{"dropping-particle":"","family":"Panos","given":"Marios Z.","non-dropping-particle":"","parse-names":false,"suffix":""},{"dropping-particle":"","family":"Sherwood","given":"Roy","non-dropping-particle":"","parse-names":false,"suffix":""},{"dropping-particle":"","family":"Portmann","given":"Bernard","non-dropping-particle":"","parse-names":false,"suffix":""},{"dropping-particle":"","family":"Williams","given":"Roger","non-dropping-particle":"","parse-names":false,"suffix":""},{"dropping-particle":"","family":"Peters","given":"Timothy J.","non-dropping-particle":"","parse-names":false,"suffix":""}],"container-title":"Alcohol and Alcoholism","id":"ITEM-1","issue":"6","issued":{"date-parts":[["1990","1","1"]]},"page":"641-649","publisher":"Oxford University Press (OUP)","title":"Liver Histology, Blood Biochemistry and Rna, Dna and Subcellular Protein Composition of Various Skeletal Muscles of Rats With Experimental Cirrhosis: Implications for Alcoholic Muscle Disease","type":"article-journal","volume":"25"},"uris":["http://www.mendeley.com/documents/?uuid=a76f733c-215e-3b36-9718-f397ec94a442"]}],"mendeley":{"formattedCitation":"&lt;span style=\"baseline\"&gt;(25)&lt;/span&gt;","plainTextFormattedCitation":"(25)","previouslyFormattedCitation":"&lt;sup&gt;25&lt;/sup&gt;"},"properties":{"noteIndex":0},"schema":"https://github.com/citation-style-language/schema/raw/master/csl-citation.json"}</w:instrText>
      </w:r>
      <w:r w:rsidR="001E4F3A" w:rsidRPr="009C7D07">
        <w:rPr>
          <w:bCs/>
          <w:color w:val="000000"/>
          <w:lang w:val="en-US"/>
        </w:rPr>
        <w:fldChar w:fldCharType="separate"/>
      </w:r>
      <w:r w:rsidR="00CB53A3" w:rsidRPr="00CB53A3">
        <w:rPr>
          <w:bCs/>
          <w:noProof/>
          <w:color w:val="000000"/>
          <w:lang w:val="en-US"/>
        </w:rPr>
        <w:t>(25)</w:t>
      </w:r>
      <w:r w:rsidR="001E4F3A" w:rsidRPr="009C7D07">
        <w:rPr>
          <w:bCs/>
          <w:color w:val="000000"/>
          <w:lang w:val="en-US"/>
        </w:rPr>
        <w:fldChar w:fldCharType="end"/>
      </w:r>
      <w:r w:rsidR="001E4F3A" w:rsidRPr="009C7D07">
        <w:rPr>
          <w:bCs/>
          <w:color w:val="000000"/>
          <w:lang w:val="en-US"/>
        </w:rPr>
        <w:t>.</w:t>
      </w:r>
      <w:r w:rsidRPr="009C7D07">
        <w:rPr>
          <w:bCs/>
          <w:color w:val="4472C4"/>
          <w:lang w:val="en-US"/>
        </w:rPr>
        <w:t xml:space="preserve"> </w:t>
      </w:r>
    </w:p>
    <w:p w14:paraId="3514F08A" w14:textId="364113C5" w:rsidR="000D1ABB" w:rsidRPr="009C7D07" w:rsidRDefault="005B5184" w:rsidP="00796965">
      <w:pPr>
        <w:pStyle w:val="Heading2"/>
        <w:spacing w:line="480" w:lineRule="auto"/>
        <w:rPr>
          <w:rFonts w:cs="Times New Roman"/>
          <w:szCs w:val="24"/>
          <w:lang w:val="en-US"/>
        </w:rPr>
      </w:pPr>
      <w:r w:rsidRPr="009C7D07">
        <w:rPr>
          <w:rFonts w:cs="Times New Roman"/>
          <w:szCs w:val="24"/>
          <w:lang w:val="en-US"/>
        </w:rPr>
        <w:t xml:space="preserve">Glutathione </w:t>
      </w:r>
      <w:r w:rsidR="007661E7" w:rsidRPr="009C7D07">
        <w:rPr>
          <w:rFonts w:cs="Times New Roman"/>
          <w:szCs w:val="24"/>
          <w:lang w:val="en-US"/>
        </w:rPr>
        <w:t>L</w:t>
      </w:r>
      <w:r w:rsidRPr="009C7D07">
        <w:rPr>
          <w:rFonts w:cs="Times New Roman"/>
          <w:szCs w:val="24"/>
          <w:lang w:val="en-US"/>
        </w:rPr>
        <w:t>evels</w:t>
      </w:r>
    </w:p>
    <w:p w14:paraId="7F5CB199" w14:textId="093545B8" w:rsidR="005B5184" w:rsidRPr="009C7D07" w:rsidRDefault="005B155C" w:rsidP="00796965">
      <w:pPr>
        <w:spacing w:line="480" w:lineRule="auto"/>
        <w:jc w:val="both"/>
        <w:rPr>
          <w:bCs/>
          <w:color w:val="000000"/>
          <w:lang w:val="en-US"/>
        </w:rPr>
      </w:pPr>
      <w:r w:rsidRPr="009C7D07">
        <w:rPr>
          <w:bCs/>
          <w:color w:val="000000"/>
          <w:lang w:val="en-US"/>
        </w:rPr>
        <w:t>GSH</w:t>
      </w:r>
      <w:r w:rsidR="005B5184" w:rsidRPr="009C7D07">
        <w:rPr>
          <w:bCs/>
          <w:color w:val="000000"/>
          <w:lang w:val="en-US"/>
        </w:rPr>
        <w:t xml:space="preserve"> levels were determined using an assay adapted from Tietze </w:t>
      </w:r>
      <w:r w:rsidR="001E4F3A" w:rsidRPr="009C7D07">
        <w:rPr>
          <w:bCs/>
          <w:color w:val="000000"/>
          <w:lang w:val="en-US"/>
        </w:rPr>
        <w:fldChar w:fldCharType="begin" w:fldLock="1"/>
      </w:r>
      <w:r w:rsidR="00CB53A3">
        <w:rPr>
          <w:bCs/>
          <w:color w:val="000000"/>
          <w:lang w:val="en-US"/>
        </w:rPr>
        <w:instrText>ADDIN CSL_CITATION {"citationItems":[{"id":"ITEM-1","itemData":{"DOI":"10.1016/0003-2697(69)90064-5","ISSN":"10960309","abstract":"A method for the analysis of nanogram quantities of glutathione has been developed which is based on the catalytic action of GSH or GSSG in the reduction of Ellman reagent (DTNB) by a mixture of TPNH and yeast glutathione reductase. Unlike previous methods of analysis the procedure described here effectively measures the total glutathione (GSH + GSSG) content of unknown mixtures and is not subject to appreciable interference by the presence of other thiol components. It is suggested that the catalytic action of glutathione in this system resides in the continual enzymic regeneration of GSH, present initially or formed enzymically from GSSG, following its interaction with the sulfhydryl reagent. The sensitivity of the method is such as to permit the determination of total glutathione in extracellular tissue fluids such as plasma, saliva, and urine normally containing very low levels of this material, essentially without pretreatment of the sample. The same is true for glutathione determinations of whole blood, in which the preliminary procedure is confined to the preparation of a 1:100 hemolyzate from as little as 10 μl of sample. Following published procedures, the pretreatment of tissue extracts with NEM to form an enzymically inactive complex with free GSH allowed the determination of the low levels of oxidized glutathione normally present therein. The use of the foregoing analytical method in the determination of total and oxidized glutathione contents of rat blood, kidney, and liver gave values in good agreement with those obtained by previous investigators. © 1969.","author":[{"dropping-particle":"","family":"Tietze","given":"Frank","non-dropping-particle":"","parse-names":false,"suffix":""}],"container-title":"Analytical Biochemistry","id":"ITEM-1","issue":"3","issued":{"date-parts":[["1969"]]},"page":"502-522","publisher":"Anal Biochem","title":"Enzymic method for quantitative determination of nanogram amounts of total and oxidized glutathione: Applications to mammalian blood and other tissues","type":"article-journal","volume":"27"},"uris":["http://www.mendeley.com/documents/?uuid=4071621e-d956-3a2b-a9ce-1eb865b025f2"]}],"mendeley":{"formattedCitation":"&lt;span style=\"baseline\"&gt;(26)&lt;/span&gt;","plainTextFormattedCitation":"(26)","previouslyFormattedCitation":"&lt;sup&gt;26&lt;/sup&gt;"},"properties":{"noteIndex":0},"schema":"https://github.com/citation-style-language/schema/raw/master/csl-citation.json"}</w:instrText>
      </w:r>
      <w:r w:rsidR="001E4F3A" w:rsidRPr="009C7D07">
        <w:rPr>
          <w:bCs/>
          <w:color w:val="000000"/>
          <w:lang w:val="en-US"/>
        </w:rPr>
        <w:fldChar w:fldCharType="separate"/>
      </w:r>
      <w:r w:rsidR="00CB53A3" w:rsidRPr="00CB53A3">
        <w:rPr>
          <w:bCs/>
          <w:noProof/>
          <w:color w:val="000000"/>
          <w:lang w:val="en-US"/>
        </w:rPr>
        <w:t>(26)</w:t>
      </w:r>
      <w:r w:rsidR="001E4F3A" w:rsidRPr="009C7D07">
        <w:rPr>
          <w:bCs/>
          <w:color w:val="000000"/>
          <w:lang w:val="en-US"/>
        </w:rPr>
        <w:fldChar w:fldCharType="end"/>
      </w:r>
      <w:r w:rsidR="001E4F3A" w:rsidRPr="009C7D07">
        <w:rPr>
          <w:bCs/>
          <w:color w:val="000000"/>
          <w:lang w:val="en-US"/>
        </w:rPr>
        <w:t xml:space="preserve"> based </w:t>
      </w:r>
      <w:r w:rsidR="005B5184" w:rsidRPr="009C7D07">
        <w:rPr>
          <w:bCs/>
          <w:color w:val="000000"/>
          <w:lang w:val="en-US"/>
        </w:rPr>
        <w:t>on the conversion of 5’5’-dithio-bis-2-(nitrobenzoic acid)</w:t>
      </w:r>
      <w:r w:rsidR="00415DE7" w:rsidRPr="009C7D07">
        <w:rPr>
          <w:bCs/>
          <w:color w:val="000000"/>
          <w:lang w:val="en-US"/>
        </w:rPr>
        <w:t xml:space="preserve"> (DNTB) </w:t>
      </w:r>
      <w:r w:rsidR="005B5184" w:rsidRPr="009C7D07">
        <w:rPr>
          <w:bCs/>
          <w:color w:val="000000"/>
          <w:lang w:val="en-US"/>
        </w:rPr>
        <w:t>to 5-thio-2-nitrobenzoic acid</w:t>
      </w:r>
      <w:r w:rsidR="00415DE7" w:rsidRPr="009C7D07">
        <w:rPr>
          <w:bCs/>
          <w:color w:val="000000"/>
          <w:lang w:val="en-US"/>
        </w:rPr>
        <w:t xml:space="preserve"> (TNB)</w:t>
      </w:r>
      <w:r w:rsidR="005B5184" w:rsidRPr="009C7D07">
        <w:rPr>
          <w:bCs/>
          <w:color w:val="000000"/>
          <w:lang w:val="en-US"/>
        </w:rPr>
        <w:t xml:space="preserve"> by glutathione reductase (GR).  5 µL of cytosolic or mitochondrial protein was added to the reaction buffer (100 mM sodium phosphate, 1 mM EDTA, 0.5 mM DTNB, 0.175 mM NADPH, 1.7U/mL GR) and the absorbance measured at 412 nm for 25 minutes.  </w:t>
      </w:r>
    </w:p>
    <w:p w14:paraId="22164820" w14:textId="45BD688E" w:rsidR="000D1ABB" w:rsidRPr="009C7D07" w:rsidRDefault="005B5184" w:rsidP="00796965">
      <w:pPr>
        <w:pStyle w:val="Heading2"/>
        <w:spacing w:line="480" w:lineRule="auto"/>
        <w:rPr>
          <w:rFonts w:cs="Times New Roman"/>
          <w:szCs w:val="24"/>
          <w:lang w:val="en-US"/>
        </w:rPr>
      </w:pPr>
      <w:r w:rsidRPr="009C7D07">
        <w:rPr>
          <w:rFonts w:cs="Times New Roman"/>
          <w:szCs w:val="24"/>
          <w:lang w:val="en-US"/>
        </w:rPr>
        <w:t xml:space="preserve">Malondialdehyde </w:t>
      </w:r>
      <w:r w:rsidR="007661E7" w:rsidRPr="009C7D07">
        <w:rPr>
          <w:rFonts w:cs="Times New Roman"/>
          <w:szCs w:val="24"/>
          <w:lang w:val="en-US"/>
        </w:rPr>
        <w:t>L</w:t>
      </w:r>
      <w:r w:rsidRPr="009C7D07">
        <w:rPr>
          <w:rFonts w:cs="Times New Roman"/>
          <w:szCs w:val="24"/>
          <w:lang w:val="en-US"/>
        </w:rPr>
        <w:t>evels</w:t>
      </w:r>
    </w:p>
    <w:p w14:paraId="4BD9ABBF" w14:textId="46ABB6EE" w:rsidR="005B5184" w:rsidRPr="009C7D07" w:rsidRDefault="005B5184" w:rsidP="00796965">
      <w:pPr>
        <w:spacing w:line="480" w:lineRule="auto"/>
        <w:jc w:val="both"/>
        <w:rPr>
          <w:bCs/>
          <w:color w:val="000000"/>
          <w:lang w:val="en-US"/>
        </w:rPr>
      </w:pPr>
      <w:r w:rsidRPr="009C7D07">
        <w:rPr>
          <w:bCs/>
          <w:color w:val="000000"/>
          <w:lang w:val="en-US"/>
        </w:rPr>
        <w:t xml:space="preserve">Malondialdehyde (MDA) levels were detected using a colorimetric </w:t>
      </w:r>
      <w:proofErr w:type="spellStart"/>
      <w:r w:rsidRPr="009C7D07">
        <w:rPr>
          <w:bCs/>
          <w:color w:val="000000"/>
          <w:lang w:val="en-US"/>
        </w:rPr>
        <w:t>thiobarburitic</w:t>
      </w:r>
      <w:proofErr w:type="spellEnd"/>
      <w:r w:rsidRPr="009C7D07">
        <w:rPr>
          <w:bCs/>
          <w:color w:val="000000"/>
          <w:lang w:val="en-US"/>
        </w:rPr>
        <w:t xml:space="preserve"> acid reactive substances assay adapted from Bar-Or </w:t>
      </w:r>
      <w:r w:rsidRPr="009C7D07">
        <w:rPr>
          <w:bCs/>
          <w:i/>
          <w:iCs/>
          <w:color w:val="000000"/>
          <w:lang w:val="en-US"/>
        </w:rPr>
        <w:t>et al</w:t>
      </w:r>
      <w:r w:rsidR="001E4F3A" w:rsidRPr="009C7D07">
        <w:rPr>
          <w:bCs/>
          <w:color w:val="000000"/>
          <w:lang w:val="en-US"/>
        </w:rPr>
        <w:t xml:space="preserve"> </w:t>
      </w:r>
      <w:r w:rsidR="001E4F3A" w:rsidRPr="009C7D07">
        <w:rPr>
          <w:bCs/>
          <w:color w:val="000000"/>
          <w:lang w:val="en-US"/>
        </w:rPr>
        <w:fldChar w:fldCharType="begin" w:fldLock="1"/>
      </w:r>
      <w:r w:rsidR="00CB53A3">
        <w:rPr>
          <w:bCs/>
          <w:color w:val="000000"/>
          <w:lang w:val="en-US"/>
        </w:rPr>
        <w:instrText>ADDIN CSL_CITATION {"citationItems":[{"id":"ITEM-1","itemData":{"DOI":"10.1006/bbrc.2001.5042","ISSN":"0006291X","abstract":"Copper mobilization and redox activity form damaging reactive oxygen species (ROS) and are implicated in the pathogenesis of ischemia-reperfusion injury, chronic inflammation, Alzheimer's disease, aging, and cancer. Protein sequestration of Cu(II) ions has been shown to prevent ROS-generating reactions. The first four amino acids of the N-terminus of human albumin, Asp-Ala-His-Lys (DAHK), form a tight binding site for Cu(II) ions. We synthesized several analogs, including the enantiomer d-DAHK, to study their effects on copper-induced hydroxyl radical and superoxide formation in the presence of ascorbate. d-DAHK prevented thiobarbituric acid-reactive species (TBARS) formation within physiological and acidic pH ranges (7.5-6.5) and inhibited low-density lipoprotein lipid peroxidation. A d-DAHF/Cu complex exhibited superoxide dismutase-like activity by significantly inhibiting superoxide formation. These in vitro results suggest that d-DAHK may shift the Cu(II)-binding equilibrium from the exchangeable Cu(II) pool to the tightly-bound, nonexchangeable pool, prevent ROS formation, and potentially provide therapeutic benefit for ROS-related diseases. © 2001 Academic Press.","author":[{"dropping-particle":"","family":"Bar-Or","given":"David","non-dropping-particle":"","parse-names":false,"suffix":""},{"dropping-particle":"","family":"Rael","given":"Leonard T.","non-dropping-particle":"","parse-names":false,"suffix":""},{"dropping-particle":"","family":"Lau","given":"Edward P.","non-dropping-particle":"","parse-names":false,"suffix":""},{"dropping-particle":"","family":"Rao","given":"Nagaraja K.R.","non-dropping-particle":"","parse-names":false,"suffix":""},{"dropping-particle":"","family":"Thomas","given":"Gregory W.","non-dropping-particle":"","parse-names":false,"suffix":""},{"dropping-particle":"V.","family":"Winkler","given":"James","non-dropping-particle":"","parse-names":false,"suffix":""},{"dropping-particle":"","family":"Yukl","given":"Richard L.","non-dropping-particle":"","parse-names":false,"suffix":""},{"dropping-particle":"","family":"Kingston","given":"Robert G.","non-dropping-particle":"","parse-names":false,"suffix":""},{"dropping-particle":"","family":"Curtis","given":"C. Gerald","non-dropping-particle":"","parse-names":false,"suffix":""}],"container-title":"Biochemical and Biophysical Research Communications","id":"ITEM-1","issue":"3","issued":{"date-parts":[["2001"]]},"page":"856-862","publisher":"Academic Press Inc.","title":"An analog of the human albumin N-terminus (Asp-Ala-His-Lys) prevents formation of copper-induced reactive oxygen species","type":"article-journal","volume":"284"},"uris":["http://www.mendeley.com/documents/?uuid=23195eab-e089-3036-9b9d-05c7992f9cec"]}],"mendeley":{"formattedCitation":"&lt;span style=\"baseline\"&gt;(27)&lt;/span&gt;","plainTextFormattedCitation":"(27)","previouslyFormattedCitation":"&lt;sup&gt;27&lt;/sup&gt;"},"properties":{"noteIndex":0},"schema":"https://github.com/citation-style-language/schema/raw/master/csl-citation.json"}</w:instrText>
      </w:r>
      <w:r w:rsidR="001E4F3A" w:rsidRPr="009C7D07">
        <w:rPr>
          <w:bCs/>
          <w:color w:val="000000"/>
          <w:lang w:val="en-US"/>
        </w:rPr>
        <w:fldChar w:fldCharType="separate"/>
      </w:r>
      <w:r w:rsidR="00CB53A3" w:rsidRPr="00CB53A3">
        <w:rPr>
          <w:bCs/>
          <w:noProof/>
          <w:color w:val="000000"/>
          <w:lang w:val="en-US"/>
        </w:rPr>
        <w:t>(27)</w:t>
      </w:r>
      <w:r w:rsidR="001E4F3A" w:rsidRPr="009C7D07">
        <w:rPr>
          <w:bCs/>
          <w:color w:val="000000"/>
          <w:lang w:val="en-US"/>
        </w:rPr>
        <w:fldChar w:fldCharType="end"/>
      </w:r>
      <w:r w:rsidRPr="009C7D07">
        <w:rPr>
          <w:bCs/>
          <w:color w:val="000000"/>
          <w:lang w:val="en-US"/>
        </w:rPr>
        <w:t>.</w:t>
      </w:r>
      <w:r w:rsidR="001E4F3A" w:rsidRPr="009C7D07">
        <w:rPr>
          <w:bCs/>
          <w:color w:val="000000"/>
          <w:lang w:val="en-US"/>
        </w:rPr>
        <w:t xml:space="preserve"> </w:t>
      </w:r>
      <w:r w:rsidRPr="009C7D07">
        <w:rPr>
          <w:bCs/>
          <w:color w:val="000000"/>
          <w:lang w:val="en-US"/>
        </w:rPr>
        <w:t>500</w:t>
      </w:r>
      <w:r w:rsidR="00EF3E0C" w:rsidRPr="009C7D07">
        <w:rPr>
          <w:bCs/>
          <w:color w:val="000000"/>
          <w:lang w:val="en-US"/>
        </w:rPr>
        <w:t xml:space="preserve"> </w:t>
      </w:r>
      <w:r w:rsidRPr="009C7D07">
        <w:rPr>
          <w:bCs/>
          <w:color w:val="000000"/>
          <w:lang w:val="en-US"/>
        </w:rPr>
        <w:t>µg of protein was mixed with 400 µL of 20 mM phosphate buffer (pH 7.4) and 500 µL reaction buffer (5</w:t>
      </w:r>
      <w:r w:rsidR="00EF3E0C" w:rsidRPr="009C7D07">
        <w:rPr>
          <w:bCs/>
          <w:color w:val="000000"/>
          <w:lang w:val="en-US"/>
        </w:rPr>
        <w:t xml:space="preserve"> </w:t>
      </w:r>
      <w:r w:rsidRPr="009C7D07">
        <w:rPr>
          <w:bCs/>
          <w:color w:val="000000"/>
          <w:lang w:val="en-US"/>
        </w:rPr>
        <w:t xml:space="preserve">mg/mL </w:t>
      </w:r>
      <w:proofErr w:type="spellStart"/>
      <w:r w:rsidRPr="009C7D07">
        <w:rPr>
          <w:bCs/>
          <w:color w:val="000000"/>
          <w:lang w:val="en-US"/>
        </w:rPr>
        <w:t>thiobarburitic</w:t>
      </w:r>
      <w:proofErr w:type="spellEnd"/>
      <w:r w:rsidRPr="009C7D07">
        <w:rPr>
          <w:bCs/>
          <w:color w:val="000000"/>
          <w:lang w:val="en-US"/>
        </w:rPr>
        <w:t xml:space="preserve"> acid</w:t>
      </w:r>
      <w:r w:rsidR="00A34F6C" w:rsidRPr="009C7D07">
        <w:rPr>
          <w:bCs/>
          <w:color w:val="000000"/>
          <w:lang w:val="en-US"/>
        </w:rPr>
        <w:t xml:space="preserve">, </w:t>
      </w:r>
      <w:r w:rsidRPr="009C7D07">
        <w:rPr>
          <w:bCs/>
          <w:color w:val="000000"/>
          <w:lang w:val="en-US"/>
        </w:rPr>
        <w:t>25 mM NaOH, 50% glacial acetic acid).</w:t>
      </w:r>
      <w:r w:rsidR="001E4F3A" w:rsidRPr="009C7D07">
        <w:rPr>
          <w:bCs/>
          <w:color w:val="000000"/>
          <w:lang w:val="en-US"/>
        </w:rPr>
        <w:t xml:space="preserve"> </w:t>
      </w:r>
      <w:r w:rsidRPr="009C7D07">
        <w:rPr>
          <w:bCs/>
          <w:color w:val="000000"/>
          <w:lang w:val="en-US"/>
        </w:rPr>
        <w:t xml:space="preserve">Samples were tightly sealed and boiled for 1 hour, rested on ice for 10 minutes and the absorbance measured at 532 </w:t>
      </w:r>
      <w:proofErr w:type="spellStart"/>
      <w:r w:rsidRPr="009C7D07">
        <w:rPr>
          <w:bCs/>
          <w:color w:val="000000"/>
          <w:lang w:val="en-US"/>
        </w:rPr>
        <w:t>nM.</w:t>
      </w:r>
      <w:proofErr w:type="spellEnd"/>
      <w:r w:rsidRPr="009C7D07">
        <w:rPr>
          <w:bCs/>
          <w:color w:val="000000"/>
          <w:lang w:val="en-US"/>
        </w:rPr>
        <w:t xml:space="preserve">  </w:t>
      </w:r>
    </w:p>
    <w:p w14:paraId="1AE33BC2" w14:textId="5EF8D70A" w:rsidR="000D1ABB" w:rsidRPr="009C7D07" w:rsidRDefault="005B5184" w:rsidP="00796965">
      <w:pPr>
        <w:pStyle w:val="Heading2"/>
        <w:spacing w:line="480" w:lineRule="auto"/>
        <w:rPr>
          <w:rFonts w:cs="Times New Roman"/>
          <w:szCs w:val="24"/>
          <w:lang w:val="en-US"/>
        </w:rPr>
      </w:pPr>
      <w:r w:rsidRPr="009C7D07">
        <w:rPr>
          <w:rFonts w:cs="Times New Roman"/>
          <w:szCs w:val="24"/>
          <w:lang w:val="en-US"/>
        </w:rPr>
        <w:t xml:space="preserve">Cytochrome c </w:t>
      </w:r>
      <w:r w:rsidR="007661E7" w:rsidRPr="009C7D07">
        <w:rPr>
          <w:rFonts w:cs="Times New Roman"/>
          <w:szCs w:val="24"/>
          <w:lang w:val="en-US"/>
        </w:rPr>
        <w:t>L</w:t>
      </w:r>
      <w:r w:rsidRPr="009C7D07">
        <w:rPr>
          <w:rFonts w:cs="Times New Roman"/>
          <w:szCs w:val="24"/>
          <w:lang w:val="en-US"/>
        </w:rPr>
        <w:t>evels</w:t>
      </w:r>
    </w:p>
    <w:p w14:paraId="1A7839C0" w14:textId="674052C8" w:rsidR="005B5184" w:rsidRPr="009C7D07" w:rsidRDefault="00ED03CC" w:rsidP="00796965">
      <w:pPr>
        <w:tabs>
          <w:tab w:val="left" w:pos="615"/>
        </w:tabs>
        <w:spacing w:line="480" w:lineRule="auto"/>
        <w:jc w:val="both"/>
        <w:rPr>
          <w:color w:val="000000"/>
          <w:lang w:val="en-US"/>
        </w:rPr>
      </w:pPr>
      <w:r w:rsidRPr="009C7D07">
        <w:rPr>
          <w:bCs/>
          <w:color w:val="000000"/>
          <w:lang w:val="en-US"/>
        </w:rPr>
        <w:t xml:space="preserve">The expression of Cytochrome c protein was quantified by </w:t>
      </w:r>
      <w:r w:rsidR="009F2150" w:rsidRPr="009C7D07">
        <w:rPr>
          <w:bCs/>
          <w:color w:val="000000"/>
          <w:lang w:val="en-US"/>
        </w:rPr>
        <w:t xml:space="preserve">an </w:t>
      </w:r>
      <w:r w:rsidRPr="009C7D07">
        <w:rPr>
          <w:bCs/>
          <w:color w:val="000000"/>
          <w:lang w:val="en-US"/>
        </w:rPr>
        <w:t xml:space="preserve">immunoblotting technique. Protein (60 µg cytosol, or mitochondria 40 µg) was loaded onto gels and following transfer, the membranes were incubated with mouse anti-cytochrome c (1:1000) </w:t>
      </w:r>
      <w:r w:rsidR="00EF3E0C" w:rsidRPr="009C7D07">
        <w:rPr>
          <w:bCs/>
          <w:color w:val="000000"/>
          <w:lang w:val="en-US"/>
        </w:rPr>
        <w:t xml:space="preserve">overnight, followed by </w:t>
      </w:r>
      <w:r w:rsidR="005B5184" w:rsidRPr="009C7D07">
        <w:rPr>
          <w:bCs/>
          <w:color w:val="000000"/>
          <w:lang w:val="en-US"/>
        </w:rPr>
        <w:t>the secondary antibody</w:t>
      </w:r>
      <w:r w:rsidRPr="009C7D07">
        <w:rPr>
          <w:bCs/>
          <w:color w:val="000000"/>
          <w:lang w:val="en-US"/>
        </w:rPr>
        <w:t xml:space="preserve"> rabbit anti</w:t>
      </w:r>
      <w:r w:rsidR="00144C85" w:rsidRPr="009C7D07">
        <w:rPr>
          <w:bCs/>
          <w:color w:val="000000"/>
          <w:lang w:val="en-US"/>
        </w:rPr>
        <w:t>-</w:t>
      </w:r>
      <w:r w:rsidRPr="009C7D07">
        <w:rPr>
          <w:bCs/>
          <w:color w:val="000000"/>
          <w:lang w:val="en-US"/>
        </w:rPr>
        <w:t>mouse</w:t>
      </w:r>
      <w:r w:rsidR="005B5184" w:rsidRPr="009C7D07">
        <w:rPr>
          <w:bCs/>
          <w:color w:val="000000"/>
          <w:lang w:val="en-US"/>
        </w:rPr>
        <w:t xml:space="preserve"> </w:t>
      </w:r>
      <w:r w:rsidR="00EF3E0C" w:rsidRPr="009C7D07">
        <w:rPr>
          <w:bCs/>
          <w:color w:val="000000"/>
          <w:lang w:val="en-US"/>
        </w:rPr>
        <w:t>(</w:t>
      </w:r>
      <w:r w:rsidR="005B5184" w:rsidRPr="009C7D07">
        <w:rPr>
          <w:bCs/>
          <w:color w:val="000000"/>
          <w:lang w:val="en-US"/>
        </w:rPr>
        <w:t>1:10000).</w:t>
      </w:r>
      <w:r w:rsidR="00A02584" w:rsidRPr="009C7D07">
        <w:rPr>
          <w:bCs/>
          <w:color w:val="000000"/>
          <w:lang w:val="en-US"/>
        </w:rPr>
        <w:t xml:space="preserve"> Signals were detected using </w:t>
      </w:r>
      <w:r w:rsidR="00A42DE6" w:rsidRPr="009C7D07">
        <w:rPr>
          <w:bCs/>
          <w:color w:val="000000"/>
          <w:lang w:val="en-US"/>
        </w:rPr>
        <w:t xml:space="preserve">Pierce </w:t>
      </w:r>
      <w:r w:rsidR="00A02584" w:rsidRPr="009C7D07">
        <w:rPr>
          <w:bCs/>
          <w:color w:val="000000"/>
          <w:lang w:val="en-US"/>
        </w:rPr>
        <w:t>ECL</w:t>
      </w:r>
      <w:r w:rsidR="00AB0A6C" w:rsidRPr="009C7D07">
        <w:rPr>
          <w:bCs/>
          <w:color w:val="000000"/>
          <w:lang w:val="en-US"/>
        </w:rPr>
        <w:t xml:space="preserve"> </w:t>
      </w:r>
      <w:r w:rsidRPr="009C7D07">
        <w:rPr>
          <w:bCs/>
          <w:color w:val="000000"/>
          <w:lang w:val="en-US"/>
        </w:rPr>
        <w:t>reagent (</w:t>
      </w:r>
      <w:proofErr w:type="spellStart"/>
      <w:r w:rsidRPr="009C7D07">
        <w:rPr>
          <w:bCs/>
          <w:color w:val="000000"/>
          <w:lang w:val="en-US"/>
        </w:rPr>
        <w:t>Thermofisher</w:t>
      </w:r>
      <w:proofErr w:type="spellEnd"/>
      <w:r w:rsidRPr="009C7D07">
        <w:rPr>
          <w:bCs/>
          <w:color w:val="000000"/>
          <w:lang w:val="en-US"/>
        </w:rPr>
        <w:t>, UK)</w:t>
      </w:r>
      <w:r w:rsidR="009F2150" w:rsidRPr="009C7D07">
        <w:rPr>
          <w:bCs/>
          <w:color w:val="000000"/>
          <w:lang w:val="en-US"/>
        </w:rPr>
        <w:t>.</w:t>
      </w:r>
      <w:r w:rsidR="00A02584" w:rsidRPr="009C7D07">
        <w:rPr>
          <w:bCs/>
          <w:color w:val="000000"/>
          <w:lang w:val="en-US"/>
        </w:rPr>
        <w:t xml:space="preserve"> The resultant images were </w:t>
      </w:r>
      <w:r w:rsidR="007661E7" w:rsidRPr="009C7D07">
        <w:rPr>
          <w:bCs/>
          <w:color w:val="000000"/>
          <w:lang w:val="en-US"/>
        </w:rPr>
        <w:t>analyzed</w:t>
      </w:r>
      <w:r w:rsidR="00A02584" w:rsidRPr="009C7D07">
        <w:rPr>
          <w:bCs/>
          <w:color w:val="000000"/>
          <w:lang w:val="en-US"/>
        </w:rPr>
        <w:t xml:space="preserve"> using the </w:t>
      </w:r>
      <w:proofErr w:type="spellStart"/>
      <w:r w:rsidR="00A02584" w:rsidRPr="009C7D07">
        <w:rPr>
          <w:bCs/>
          <w:color w:val="000000"/>
          <w:lang w:val="en-US"/>
        </w:rPr>
        <w:t>Biorad</w:t>
      </w:r>
      <w:proofErr w:type="spellEnd"/>
      <w:r w:rsidR="00A02584" w:rsidRPr="009C7D07">
        <w:rPr>
          <w:bCs/>
          <w:color w:val="000000"/>
          <w:lang w:val="en-US"/>
        </w:rPr>
        <w:t xml:space="preserve"> GS-800 Calibrated Densitometer.</w:t>
      </w:r>
    </w:p>
    <w:p w14:paraId="114C3E0A" w14:textId="669D908E" w:rsidR="000D1ABB" w:rsidRPr="009C7D07" w:rsidRDefault="005B5184" w:rsidP="00796965">
      <w:pPr>
        <w:pStyle w:val="Heading2"/>
        <w:spacing w:line="480" w:lineRule="auto"/>
        <w:rPr>
          <w:rFonts w:cs="Times New Roman"/>
          <w:szCs w:val="24"/>
          <w:lang w:val="en-US"/>
        </w:rPr>
      </w:pPr>
      <w:r w:rsidRPr="009C7D07">
        <w:rPr>
          <w:rFonts w:cs="Times New Roman"/>
          <w:szCs w:val="24"/>
          <w:lang w:val="en-US"/>
        </w:rPr>
        <w:t xml:space="preserve">Caspase-3 </w:t>
      </w:r>
      <w:r w:rsidR="007661E7" w:rsidRPr="009C7D07">
        <w:rPr>
          <w:rFonts w:cs="Times New Roman"/>
          <w:szCs w:val="24"/>
          <w:lang w:val="en-US"/>
        </w:rPr>
        <w:t>A</w:t>
      </w:r>
      <w:r w:rsidRPr="009C7D07">
        <w:rPr>
          <w:rFonts w:cs="Times New Roman"/>
          <w:szCs w:val="24"/>
          <w:lang w:val="en-US"/>
        </w:rPr>
        <w:t>ctivity</w:t>
      </w:r>
    </w:p>
    <w:p w14:paraId="3A7B8D84" w14:textId="6EC785FD" w:rsidR="004E4505" w:rsidRPr="009C7D07" w:rsidRDefault="005B5184" w:rsidP="00796965">
      <w:pPr>
        <w:spacing w:line="480" w:lineRule="auto"/>
        <w:jc w:val="both"/>
        <w:rPr>
          <w:bCs/>
          <w:color w:val="000000"/>
          <w:lang w:val="en-US"/>
        </w:rPr>
      </w:pPr>
      <w:r w:rsidRPr="009C7D07">
        <w:rPr>
          <w:bCs/>
          <w:color w:val="000000"/>
          <w:lang w:val="en-US"/>
        </w:rPr>
        <w:t>Caspase-3 activity was evaluated by measuring the fluorescence of</w:t>
      </w:r>
      <w:r w:rsidR="00A34F6C" w:rsidRPr="009C7D07">
        <w:rPr>
          <w:bCs/>
          <w:color w:val="000000"/>
          <w:lang w:val="en-US"/>
        </w:rPr>
        <w:t xml:space="preserve"> N-Acetyl-Asp-Glu-Val-Asp-7-amido-4-trifluoromethylcoumarin </w:t>
      </w:r>
      <w:r w:rsidRPr="009C7D07">
        <w:rPr>
          <w:bCs/>
          <w:color w:val="000000"/>
          <w:lang w:val="en-US"/>
        </w:rPr>
        <w:t>(Ac-DEVD-AFC) after cleavage by caspase-3 to</w:t>
      </w:r>
      <w:r w:rsidR="00A34F6C" w:rsidRPr="009C7D07">
        <w:rPr>
          <w:bCs/>
          <w:color w:val="000000"/>
          <w:lang w:val="en-US"/>
        </w:rPr>
        <w:t xml:space="preserve"> 7-amino-4-trifluoromethyl-coumarin (</w:t>
      </w:r>
      <w:r w:rsidRPr="009C7D07">
        <w:rPr>
          <w:bCs/>
          <w:color w:val="000000"/>
          <w:lang w:val="en-US"/>
        </w:rPr>
        <w:t>AFC</w:t>
      </w:r>
      <w:r w:rsidR="00A34F6C" w:rsidRPr="009C7D07">
        <w:rPr>
          <w:bCs/>
          <w:color w:val="000000"/>
          <w:lang w:val="en-US"/>
        </w:rPr>
        <w:t>)</w:t>
      </w:r>
      <w:r w:rsidRPr="009C7D07">
        <w:rPr>
          <w:bCs/>
          <w:color w:val="000000"/>
          <w:lang w:val="en-US"/>
        </w:rPr>
        <w:t xml:space="preserve"> following incubation with 25 µg of protein. 10 </w:t>
      </w:r>
      <w:proofErr w:type="spellStart"/>
      <w:r w:rsidRPr="009C7D07">
        <w:rPr>
          <w:bCs/>
          <w:color w:val="000000"/>
          <w:lang w:val="en-US"/>
        </w:rPr>
        <w:t>μL</w:t>
      </w:r>
      <w:proofErr w:type="spellEnd"/>
      <w:r w:rsidRPr="009C7D07">
        <w:rPr>
          <w:bCs/>
          <w:color w:val="000000"/>
          <w:lang w:val="en-US"/>
        </w:rPr>
        <w:t xml:space="preserve"> samples were incubated in darkness with 100 </w:t>
      </w:r>
      <w:proofErr w:type="spellStart"/>
      <w:r w:rsidRPr="009C7D07">
        <w:rPr>
          <w:bCs/>
          <w:color w:val="000000"/>
          <w:lang w:val="en-US"/>
        </w:rPr>
        <w:t>μL</w:t>
      </w:r>
      <w:proofErr w:type="spellEnd"/>
      <w:r w:rsidRPr="009C7D07">
        <w:rPr>
          <w:bCs/>
          <w:color w:val="000000"/>
          <w:lang w:val="en-US"/>
        </w:rPr>
        <w:t xml:space="preserve"> of the substrate solution (10 µg/mL Ac-DEVD-AFC, 100 mM HEPES, 10 mM DTT) for 1 hour at 37°C. The fluorescence was measured using an excitation wavelength of 380 </w:t>
      </w:r>
      <w:proofErr w:type="spellStart"/>
      <w:r w:rsidRPr="009C7D07">
        <w:rPr>
          <w:bCs/>
          <w:color w:val="000000"/>
          <w:lang w:val="en-US"/>
        </w:rPr>
        <w:t>nM</w:t>
      </w:r>
      <w:proofErr w:type="spellEnd"/>
      <w:r w:rsidRPr="009C7D07">
        <w:rPr>
          <w:bCs/>
          <w:color w:val="000000"/>
          <w:lang w:val="en-US"/>
        </w:rPr>
        <w:t xml:space="preserve"> and emission wavelength of 520 </w:t>
      </w:r>
      <w:proofErr w:type="spellStart"/>
      <w:r w:rsidRPr="009C7D07">
        <w:rPr>
          <w:bCs/>
          <w:color w:val="000000"/>
          <w:lang w:val="en-US"/>
        </w:rPr>
        <w:t>nM</w:t>
      </w:r>
      <w:proofErr w:type="spellEnd"/>
      <w:r w:rsidRPr="009C7D07">
        <w:rPr>
          <w:bCs/>
          <w:color w:val="000000"/>
          <w:lang w:val="en-US"/>
        </w:rPr>
        <w:t xml:space="preserve"> </w:t>
      </w:r>
      <w:r w:rsidR="00857C31" w:rsidRPr="009C7D07">
        <w:rPr>
          <w:bCs/>
          <w:color w:val="000000"/>
          <w:lang w:val="en-US"/>
        </w:rPr>
        <w:fldChar w:fldCharType="begin" w:fldLock="1"/>
      </w:r>
      <w:r w:rsidR="00CB53A3">
        <w:rPr>
          <w:bCs/>
          <w:color w:val="000000"/>
          <w:lang w:val="en-US"/>
        </w:rPr>
        <w:instrText>ADDIN CSL_CITATION {"citationItems":[{"id":"ITEM-1","itemData":{"DOI":"10.1016/B978-0-12-391860-4.00013-6","ISSN":"15577988","abstract":"The current treatment of neurological and psychiatric diseases is far beyond being satisfactory. In addition to highly complex disease mechanisms, the blood-brain barrier (BBB) also remains as a challenge by limiting the delivery of the majority of currently available therapeutics to the central nervous system. Several approaches taking advantage of molecular and physicochemical characteristics of the BBB have been developed recently to improve drug delivery to the brain. Here, we introduce a nanomedicine that can efficiently transport BBB-impermeable peptides to the brain. This nanomedicine is made of chitosan nanoparticles into which considerable amounts of a peptide can be incorporated. The nanoparticle surface is modified with polyethylene glycol to enhance the plasma residence time by preventing their capture by the reticuloendothelial system. Monoclonal antibodies against the transferrin receptor (TfR), which is highly expressed on the brain capillary endothelium, are conjugated to nanoparticles via biotin-streptavidin bonds. The activation of TfR by the nanoparticle-antibody complex induces transcytosis and thus delivers the loaded drug to the brain. Penetration of nanoparticles to the brain can be illustrated in vivo by intravital microscopy as well as ex vivo by fluorescence or electron microscopy. N-Benzyloxycarbonyl-Asp(OMe)-Glu(OMe)-Val-Asp(OMe)-fluoromethyl ketone (Z-DEVD-FMK)-loaded nanoparticles rapidly release their contents within brain parenchyma, inhibit ischemia-induced caspase-3 activity, and thereby provide neuroprotection. © 2012 Elsevier Inc. All rights reserved.","author":[{"dropping-particle":"","family":"Yemişci","given":"Müge","non-dropping-particle":"","parse-names":false,"suffix":""},{"dropping-particle":"","family":"Gürsoy-Özdemir","given":"Yasemin","non-dropping-particle":"","parse-names":false,"suffix":""},{"dropping-particle":"","family":"Caban","given":"Seçil","non-dropping-particle":"","parse-names":false,"suffix":""},{"dropping-particle":"","family":"Bodur","given":"Ebru","non-dropping-particle":"","parse-names":false,"suffix":""},{"dropping-particle":"","family":"Çapan","given":"Yilmaz","non-dropping-particle":"","parse-names":false,"suffix":""},{"dropping-particle":"","family":"Dalkara","given":"Turgay","non-dropping-particle":"","parse-names":false,"suffix":""}],"container-title":"Methods in Enzymology","id":"ITEM-1","issued":{"date-parts":[["2012","1","1"]]},"page":"253-269","publisher":"Academic Press Inc.","title":"Transport of a caspase inhibitor across the blood-brain barrier by chitosan nanoparticles","type":"chapter","volume":"508"},"uris":["http://www.mendeley.com/documents/?uuid=5a047f0c-cddd-30d3-9924-822b0a9f96ae"]}],"mendeley":{"formattedCitation":"&lt;span style=\"baseline\"&gt;(28)&lt;/span&gt;","plainTextFormattedCitation":"(28)","previouslyFormattedCitation":"&lt;sup&gt;28&lt;/sup&gt;"},"properties":{"noteIndex":0},"schema":"https://github.com/citation-style-language/schema/raw/master/csl-citation.json"}</w:instrText>
      </w:r>
      <w:r w:rsidR="00857C31" w:rsidRPr="009C7D07">
        <w:rPr>
          <w:bCs/>
          <w:color w:val="000000"/>
          <w:lang w:val="en-US"/>
        </w:rPr>
        <w:fldChar w:fldCharType="separate"/>
      </w:r>
      <w:r w:rsidR="00CB53A3" w:rsidRPr="00CB53A3">
        <w:rPr>
          <w:bCs/>
          <w:noProof/>
          <w:color w:val="000000"/>
          <w:lang w:val="en-US"/>
        </w:rPr>
        <w:t>(28)</w:t>
      </w:r>
      <w:r w:rsidR="00857C31" w:rsidRPr="009C7D07">
        <w:rPr>
          <w:bCs/>
          <w:color w:val="000000"/>
          <w:lang w:val="en-US"/>
        </w:rPr>
        <w:fldChar w:fldCharType="end"/>
      </w:r>
      <w:r w:rsidR="00857C31" w:rsidRPr="009C7D07">
        <w:rPr>
          <w:bCs/>
          <w:color w:val="000000"/>
          <w:lang w:val="en-US"/>
        </w:rPr>
        <w:t>.</w:t>
      </w:r>
    </w:p>
    <w:p w14:paraId="30F0E4E9" w14:textId="1F6C5A4D" w:rsidR="004E4505" w:rsidRPr="009C7D07" w:rsidRDefault="004E4505" w:rsidP="00796965">
      <w:pPr>
        <w:pStyle w:val="Heading2"/>
        <w:spacing w:line="480" w:lineRule="auto"/>
        <w:rPr>
          <w:rFonts w:cs="Times New Roman"/>
          <w:szCs w:val="24"/>
          <w:shd w:val="clear" w:color="auto" w:fill="FFFFFF"/>
          <w:lang w:val="en-US"/>
        </w:rPr>
      </w:pPr>
      <w:r w:rsidRPr="009C7D07">
        <w:rPr>
          <w:rFonts w:cs="Times New Roman"/>
          <w:szCs w:val="24"/>
          <w:shd w:val="clear" w:color="auto" w:fill="FFFFFF"/>
          <w:lang w:val="en-US"/>
        </w:rPr>
        <w:t xml:space="preserve">Complex </w:t>
      </w:r>
      <w:r w:rsidR="007661E7" w:rsidRPr="009C7D07">
        <w:rPr>
          <w:rFonts w:cs="Times New Roman"/>
          <w:szCs w:val="24"/>
          <w:shd w:val="clear" w:color="auto" w:fill="FFFFFF"/>
          <w:lang w:val="en-US"/>
        </w:rPr>
        <w:t>I A</w:t>
      </w:r>
      <w:r w:rsidRPr="009C7D07">
        <w:rPr>
          <w:rFonts w:cs="Times New Roman"/>
          <w:szCs w:val="24"/>
          <w:shd w:val="clear" w:color="auto" w:fill="FFFFFF"/>
          <w:lang w:val="en-US"/>
        </w:rPr>
        <w:t>ctivity</w:t>
      </w:r>
    </w:p>
    <w:p w14:paraId="248A7DF6" w14:textId="6B6669EC" w:rsidR="004E4505" w:rsidRPr="009C7D07" w:rsidRDefault="009F0EF3" w:rsidP="00796965">
      <w:pPr>
        <w:spacing w:line="480" w:lineRule="auto"/>
        <w:jc w:val="both"/>
        <w:rPr>
          <w:color w:val="222222"/>
          <w:shd w:val="clear" w:color="auto" w:fill="FFFFFF"/>
          <w:lang w:val="en-US"/>
        </w:rPr>
      </w:pPr>
      <w:r w:rsidRPr="009C7D07">
        <w:rPr>
          <w:color w:val="000000"/>
          <w:lang w:val="en-US"/>
        </w:rPr>
        <w:t xml:space="preserve">The Complex I Enzyme Activity Microplate Assay Kit (Abcam, UK) </w:t>
      </w:r>
      <w:r w:rsidR="00E10883" w:rsidRPr="009C7D07">
        <w:rPr>
          <w:color w:val="000000"/>
          <w:lang w:val="en-US"/>
        </w:rPr>
        <w:t>was used t</w:t>
      </w:r>
      <w:r w:rsidRPr="009C7D07">
        <w:rPr>
          <w:color w:val="000000"/>
          <w:lang w:val="en-US"/>
        </w:rPr>
        <w:t xml:space="preserve">o determine the activity of </w:t>
      </w:r>
      <w:r w:rsidR="00E10883" w:rsidRPr="009C7D07">
        <w:rPr>
          <w:color w:val="222222"/>
          <w:shd w:val="clear" w:color="auto" w:fill="FFFFFF"/>
          <w:lang w:val="en-US"/>
        </w:rPr>
        <w:t>mitochondrial OXPHOS Complex I</w:t>
      </w:r>
      <w:r w:rsidRPr="009C7D07">
        <w:rPr>
          <w:color w:val="000000"/>
          <w:lang w:val="en-US"/>
        </w:rPr>
        <w:t xml:space="preserve"> in the electron transport chain. Assay solution will be prepared with 40 mM </w:t>
      </w:r>
      <w:r w:rsidRPr="009C7D07">
        <w:rPr>
          <w:lang w:val="en-US"/>
        </w:rPr>
        <w:t xml:space="preserve">NADH. </w:t>
      </w:r>
      <w:r w:rsidRPr="009C7D07">
        <w:rPr>
          <w:color w:val="000000"/>
          <w:lang w:val="en-US"/>
        </w:rPr>
        <w:t>This method will determine whether treatment of cells causes damage at complex I.</w:t>
      </w:r>
      <w:r w:rsidRPr="009C7D07">
        <w:rPr>
          <w:lang w:val="en-US"/>
        </w:rPr>
        <w:t xml:space="preserve"> Absorbance </w:t>
      </w:r>
      <w:r w:rsidR="00D85454" w:rsidRPr="009C7D07">
        <w:rPr>
          <w:lang w:val="en-US"/>
        </w:rPr>
        <w:t xml:space="preserve">was </w:t>
      </w:r>
      <w:r w:rsidRPr="009C7D07">
        <w:rPr>
          <w:lang w:val="en-US"/>
        </w:rPr>
        <w:t>read at OD 450 nm.</w:t>
      </w:r>
    </w:p>
    <w:p w14:paraId="700F0C7F" w14:textId="2C3CAE36" w:rsidR="004E4505" w:rsidRPr="009C7D07" w:rsidRDefault="00EF3E0C" w:rsidP="00796965">
      <w:pPr>
        <w:pStyle w:val="Heading2"/>
        <w:spacing w:line="480" w:lineRule="auto"/>
        <w:rPr>
          <w:rFonts w:cs="Times New Roman"/>
          <w:szCs w:val="24"/>
          <w:lang w:val="en-US" w:eastAsia="en-GB"/>
        </w:rPr>
      </w:pPr>
      <w:r w:rsidRPr="009C7D07">
        <w:rPr>
          <w:rFonts w:cs="Times New Roman"/>
          <w:szCs w:val="24"/>
          <w:shd w:val="clear" w:color="auto" w:fill="FFFFFF"/>
          <w:lang w:val="en-US"/>
        </w:rPr>
        <w:t xml:space="preserve">Antioxidant </w:t>
      </w:r>
      <w:r w:rsidR="007661E7" w:rsidRPr="009C7D07">
        <w:rPr>
          <w:rFonts w:cs="Times New Roman"/>
          <w:szCs w:val="24"/>
          <w:shd w:val="clear" w:color="auto" w:fill="FFFFFF"/>
          <w:lang w:val="en-US"/>
        </w:rPr>
        <w:t>E</w:t>
      </w:r>
      <w:r w:rsidRPr="009C7D07">
        <w:rPr>
          <w:rFonts w:cs="Times New Roman"/>
          <w:szCs w:val="24"/>
          <w:shd w:val="clear" w:color="auto" w:fill="FFFFFF"/>
          <w:lang w:val="en-US"/>
        </w:rPr>
        <w:t xml:space="preserve">nzyme </w:t>
      </w:r>
      <w:r w:rsidR="007661E7" w:rsidRPr="009C7D07">
        <w:rPr>
          <w:rFonts w:cs="Times New Roman"/>
          <w:szCs w:val="24"/>
          <w:shd w:val="clear" w:color="auto" w:fill="FFFFFF"/>
          <w:lang w:val="en-US"/>
        </w:rPr>
        <w:t>A</w:t>
      </w:r>
      <w:r w:rsidR="004E4505" w:rsidRPr="009C7D07">
        <w:rPr>
          <w:rFonts w:cs="Times New Roman"/>
          <w:szCs w:val="24"/>
          <w:shd w:val="clear" w:color="auto" w:fill="FFFFFF"/>
          <w:lang w:val="en-US"/>
        </w:rPr>
        <w:t>ctivity</w:t>
      </w:r>
    </w:p>
    <w:p w14:paraId="324745F5" w14:textId="33C8F003" w:rsidR="00F1412F" w:rsidRPr="009C7D07" w:rsidRDefault="00A00595" w:rsidP="00796965">
      <w:pPr>
        <w:spacing w:line="480" w:lineRule="auto"/>
        <w:jc w:val="both"/>
        <w:rPr>
          <w:color w:val="000000" w:themeColor="text1"/>
          <w:lang w:val="en-US"/>
        </w:rPr>
      </w:pPr>
      <w:r w:rsidRPr="009C7D07">
        <w:rPr>
          <w:color w:val="000000" w:themeColor="text1"/>
          <w:lang w:val="en-US"/>
        </w:rPr>
        <w:t>The Glutathione Peroxidase Cellular Activity Assay Kit (Sigma, UK) was</w:t>
      </w:r>
      <w:r w:rsidR="00E10883" w:rsidRPr="009C7D07">
        <w:rPr>
          <w:color w:val="000000" w:themeColor="text1"/>
          <w:lang w:val="en-US"/>
        </w:rPr>
        <w:t xml:space="preserve"> use</w:t>
      </w:r>
      <w:r w:rsidRPr="009C7D07">
        <w:rPr>
          <w:color w:val="000000" w:themeColor="text1"/>
          <w:lang w:val="en-US"/>
        </w:rPr>
        <w:t>d</w:t>
      </w:r>
      <w:r w:rsidR="00E10883" w:rsidRPr="009C7D07">
        <w:rPr>
          <w:color w:val="000000" w:themeColor="text1"/>
          <w:lang w:val="en-US"/>
        </w:rPr>
        <w:t xml:space="preserve"> </w:t>
      </w:r>
      <w:r w:rsidRPr="009C7D07">
        <w:rPr>
          <w:color w:val="000000" w:themeColor="text1"/>
          <w:lang w:val="en-US"/>
        </w:rPr>
        <w:t xml:space="preserve">as </w:t>
      </w:r>
      <w:r w:rsidR="00E10883" w:rsidRPr="009C7D07">
        <w:rPr>
          <w:color w:val="000000" w:themeColor="text1"/>
          <w:lang w:val="en-US"/>
        </w:rPr>
        <w:t>an indirect determination method</w:t>
      </w:r>
      <w:r w:rsidRPr="009C7D07">
        <w:rPr>
          <w:color w:val="000000" w:themeColor="text1"/>
          <w:lang w:val="en-US"/>
        </w:rPr>
        <w:t xml:space="preserve"> </w:t>
      </w:r>
      <w:r w:rsidR="00E10883" w:rsidRPr="009C7D07">
        <w:rPr>
          <w:color w:val="000000" w:themeColor="text1"/>
          <w:lang w:val="en-US"/>
        </w:rPr>
        <w:t xml:space="preserve">based on the oxidation of </w:t>
      </w:r>
      <w:r w:rsidRPr="009C7D07">
        <w:rPr>
          <w:color w:val="000000" w:themeColor="text1"/>
          <w:lang w:val="en-US"/>
        </w:rPr>
        <w:t xml:space="preserve">GSH to </w:t>
      </w:r>
      <w:r w:rsidR="00E10883" w:rsidRPr="009C7D07">
        <w:rPr>
          <w:color w:val="000000" w:themeColor="text1"/>
          <w:lang w:val="en-US"/>
        </w:rPr>
        <w:t>GSSG</w:t>
      </w:r>
      <w:r w:rsidRPr="009C7D07">
        <w:rPr>
          <w:color w:val="000000" w:themeColor="text1"/>
          <w:lang w:val="en-US"/>
        </w:rPr>
        <w:t xml:space="preserve">. </w:t>
      </w:r>
      <w:r w:rsidR="00E10883" w:rsidRPr="009C7D07">
        <w:rPr>
          <w:color w:val="000000" w:themeColor="text1"/>
          <w:lang w:val="en-US"/>
        </w:rPr>
        <w:t xml:space="preserve">The decrease in NADPH absorbance </w:t>
      </w:r>
      <w:r w:rsidRPr="009C7D07">
        <w:rPr>
          <w:color w:val="000000" w:themeColor="text1"/>
          <w:lang w:val="en-US"/>
        </w:rPr>
        <w:t xml:space="preserve">was </w:t>
      </w:r>
      <w:r w:rsidR="00E10883" w:rsidRPr="009C7D07">
        <w:rPr>
          <w:color w:val="000000" w:themeColor="text1"/>
          <w:lang w:val="en-US"/>
        </w:rPr>
        <w:t>measured at</w:t>
      </w:r>
      <w:r w:rsidRPr="009C7D07">
        <w:rPr>
          <w:color w:val="000000" w:themeColor="text1"/>
          <w:lang w:val="en-US"/>
        </w:rPr>
        <w:t xml:space="preserve"> </w:t>
      </w:r>
      <w:r w:rsidR="00E10883" w:rsidRPr="009C7D07">
        <w:rPr>
          <w:color w:val="000000" w:themeColor="text1"/>
          <w:lang w:val="en-US"/>
        </w:rPr>
        <w:t>340 nm</w:t>
      </w:r>
      <w:r w:rsidRPr="009C7D07">
        <w:rPr>
          <w:color w:val="000000" w:themeColor="text1"/>
          <w:lang w:val="en-US"/>
        </w:rPr>
        <w:t xml:space="preserve">, indicating </w:t>
      </w:r>
      <w:proofErr w:type="spellStart"/>
      <w:r w:rsidR="00E10883" w:rsidRPr="009C7D07">
        <w:rPr>
          <w:color w:val="000000" w:themeColor="text1"/>
          <w:lang w:val="en-US"/>
        </w:rPr>
        <w:t>GPx</w:t>
      </w:r>
      <w:proofErr w:type="spellEnd"/>
      <w:r w:rsidR="00E10883" w:rsidRPr="009C7D07">
        <w:rPr>
          <w:color w:val="000000" w:themeColor="text1"/>
          <w:lang w:val="en-US"/>
        </w:rPr>
        <w:t xml:space="preserve"> activity</w:t>
      </w:r>
      <w:r w:rsidRPr="009C7D07">
        <w:rPr>
          <w:color w:val="000000" w:themeColor="text1"/>
          <w:lang w:val="en-US"/>
        </w:rPr>
        <w:t xml:space="preserve">. </w:t>
      </w:r>
      <w:r w:rsidR="00E10883" w:rsidRPr="009C7D07">
        <w:rPr>
          <w:color w:val="000000" w:themeColor="text1"/>
          <w:lang w:val="en-US"/>
        </w:rPr>
        <w:t xml:space="preserve"> </w:t>
      </w:r>
      <w:r w:rsidR="00EF3E0C" w:rsidRPr="009C7D07">
        <w:rPr>
          <w:color w:val="000000" w:themeColor="text1"/>
          <w:shd w:val="clear" w:color="auto" w:fill="FFFFFF"/>
          <w:lang w:val="en-US"/>
        </w:rPr>
        <w:t xml:space="preserve">Glutathione Reductase Assay Kit (Sigma, UK) was used to measure the activity of GR, </w:t>
      </w:r>
      <w:r w:rsidR="007661E7" w:rsidRPr="009C7D07">
        <w:rPr>
          <w:color w:val="000000" w:themeColor="text1"/>
          <w:shd w:val="clear" w:color="auto" w:fill="FFFFFF"/>
          <w:lang w:val="en-US"/>
        </w:rPr>
        <w:t>analyzed</w:t>
      </w:r>
      <w:r w:rsidR="00EF3E0C" w:rsidRPr="009C7D07">
        <w:rPr>
          <w:color w:val="000000" w:themeColor="text1"/>
          <w:shd w:val="clear" w:color="auto" w:fill="FFFFFF"/>
          <w:lang w:val="en-US"/>
        </w:rPr>
        <w:t xml:space="preserve"> by spectrophotometric measurement. The activity was measured by any increases in absorbance caused by the reduction of DTNB at 412 nm.</w:t>
      </w:r>
      <w:r w:rsidR="006A46AE" w:rsidRPr="009C7D07">
        <w:rPr>
          <w:color w:val="000000" w:themeColor="text1"/>
          <w:lang w:val="en-US"/>
        </w:rPr>
        <w:t xml:space="preserve"> The Catalase Assay Kit (Abcam, UK) was used to measure catalase activity.</w:t>
      </w:r>
      <w:r w:rsidR="00304D87" w:rsidRPr="009C7D07">
        <w:rPr>
          <w:color w:val="000000" w:themeColor="text1"/>
          <w:lang w:val="en-US"/>
        </w:rPr>
        <w:t xml:space="preserve"> U</w:t>
      </w:r>
      <w:r w:rsidR="006A46AE" w:rsidRPr="009C7D07">
        <w:rPr>
          <w:color w:val="000000" w:themeColor="text1"/>
          <w:lang w:val="en-US"/>
        </w:rPr>
        <w:t>nconverted H</w:t>
      </w:r>
      <w:r w:rsidR="006A46AE" w:rsidRPr="009C7D07">
        <w:rPr>
          <w:color w:val="000000" w:themeColor="text1"/>
          <w:vertAlign w:val="subscript"/>
          <w:lang w:val="en-US"/>
        </w:rPr>
        <w:t>2</w:t>
      </w:r>
      <w:r w:rsidR="006A46AE" w:rsidRPr="009C7D07">
        <w:rPr>
          <w:color w:val="000000" w:themeColor="text1"/>
          <w:lang w:val="en-US"/>
        </w:rPr>
        <w:t>O</w:t>
      </w:r>
      <w:r w:rsidR="006A46AE" w:rsidRPr="009C7D07">
        <w:rPr>
          <w:color w:val="000000" w:themeColor="text1"/>
          <w:vertAlign w:val="subscript"/>
          <w:lang w:val="en-US"/>
        </w:rPr>
        <w:t>2</w:t>
      </w:r>
      <w:r w:rsidR="006A46AE" w:rsidRPr="009C7D07">
        <w:rPr>
          <w:color w:val="000000" w:themeColor="text1"/>
          <w:lang w:val="en-US"/>
        </w:rPr>
        <w:t xml:space="preserve"> reacts with</w:t>
      </w:r>
      <w:r w:rsidR="00304D87" w:rsidRPr="009C7D07">
        <w:rPr>
          <w:color w:val="000000" w:themeColor="text1"/>
          <w:lang w:val="en-US"/>
        </w:rPr>
        <w:t xml:space="preserve"> </w:t>
      </w:r>
      <w:proofErr w:type="spellStart"/>
      <w:r w:rsidR="006A46AE" w:rsidRPr="009C7D07">
        <w:rPr>
          <w:color w:val="000000" w:themeColor="text1"/>
          <w:lang w:val="en-US"/>
        </w:rPr>
        <w:t>OxiRedTM</w:t>
      </w:r>
      <w:proofErr w:type="spellEnd"/>
      <w:r w:rsidR="006A46AE" w:rsidRPr="009C7D07">
        <w:rPr>
          <w:color w:val="000000" w:themeColor="text1"/>
          <w:lang w:val="en-US"/>
        </w:rPr>
        <w:t xml:space="preserve"> probe which </w:t>
      </w:r>
      <w:r w:rsidR="00304D87" w:rsidRPr="009C7D07">
        <w:rPr>
          <w:color w:val="000000" w:themeColor="text1"/>
          <w:lang w:val="en-US"/>
        </w:rPr>
        <w:t xml:space="preserve">was </w:t>
      </w:r>
      <w:r w:rsidR="007661E7" w:rsidRPr="009C7D07">
        <w:rPr>
          <w:color w:val="000000" w:themeColor="text1"/>
          <w:shd w:val="clear" w:color="auto" w:fill="FFFFFF"/>
          <w:lang w:val="en-US"/>
        </w:rPr>
        <w:t>analyzed</w:t>
      </w:r>
      <w:r w:rsidR="00304D87" w:rsidRPr="009C7D07">
        <w:rPr>
          <w:color w:val="000000" w:themeColor="text1"/>
          <w:shd w:val="clear" w:color="auto" w:fill="FFFFFF"/>
          <w:lang w:val="en-US"/>
        </w:rPr>
        <w:t xml:space="preserve"> by spectrophotometric measurement</w:t>
      </w:r>
      <w:r w:rsidR="00304D87" w:rsidRPr="009C7D07">
        <w:rPr>
          <w:color w:val="000000" w:themeColor="text1"/>
          <w:lang w:val="en-US"/>
        </w:rPr>
        <w:t xml:space="preserve"> at </w:t>
      </w:r>
      <w:r w:rsidR="006A46AE" w:rsidRPr="009C7D07">
        <w:rPr>
          <w:color w:val="000000" w:themeColor="text1"/>
          <w:lang w:val="en-US"/>
        </w:rPr>
        <w:t>570 nm</w:t>
      </w:r>
      <w:r w:rsidR="00304D87" w:rsidRPr="009C7D07">
        <w:rPr>
          <w:color w:val="000000" w:themeColor="text1"/>
          <w:lang w:val="en-US"/>
        </w:rPr>
        <w:t>.</w:t>
      </w:r>
      <w:r w:rsidR="00EF3E0C" w:rsidRPr="009C7D07">
        <w:rPr>
          <w:color w:val="000000" w:themeColor="text1"/>
          <w:lang w:val="en-US"/>
        </w:rPr>
        <w:t xml:space="preserve"> </w:t>
      </w:r>
      <w:r w:rsidR="00F1412F" w:rsidRPr="009C7D07">
        <w:rPr>
          <w:bCs/>
          <w:color w:val="000000"/>
          <w:lang w:val="en-US"/>
        </w:rPr>
        <w:t>The</w:t>
      </w:r>
      <w:r w:rsidR="00EF3E0C" w:rsidRPr="009C7D07">
        <w:rPr>
          <w:bCs/>
          <w:color w:val="000000"/>
          <w:lang w:val="en-US"/>
        </w:rPr>
        <w:t xml:space="preserve"> </w:t>
      </w:r>
      <w:r w:rsidR="00304D87" w:rsidRPr="009C7D07">
        <w:rPr>
          <w:bCs/>
          <w:color w:val="000000"/>
          <w:lang w:val="en-US"/>
        </w:rPr>
        <w:t>SOD Assay Kit-WST (Sigma, UK)</w:t>
      </w:r>
      <w:r w:rsidR="00F1412F" w:rsidRPr="009C7D07">
        <w:rPr>
          <w:bCs/>
          <w:color w:val="000000"/>
          <w:lang w:val="en-US"/>
        </w:rPr>
        <w:t xml:space="preserve"> was used to measure the activity of SOD via the </w:t>
      </w:r>
      <w:r w:rsidR="00A34F6C" w:rsidRPr="009C7D07">
        <w:rPr>
          <w:bCs/>
          <w:color w:val="000000"/>
          <w:lang w:val="en-US"/>
        </w:rPr>
        <w:t>utilization</w:t>
      </w:r>
      <w:r w:rsidR="00F1412F" w:rsidRPr="009C7D07">
        <w:rPr>
          <w:bCs/>
          <w:color w:val="000000"/>
          <w:lang w:val="en-US"/>
        </w:rPr>
        <w:t xml:space="preserve"> of </w:t>
      </w:r>
      <w:proofErr w:type="spellStart"/>
      <w:r w:rsidR="00304D87" w:rsidRPr="009C7D07">
        <w:rPr>
          <w:bCs/>
          <w:color w:val="000000"/>
          <w:lang w:val="en-US"/>
        </w:rPr>
        <w:t>Dojindo’s</w:t>
      </w:r>
      <w:proofErr w:type="spellEnd"/>
      <w:r w:rsidR="00F1412F" w:rsidRPr="009C7D07">
        <w:rPr>
          <w:bCs/>
          <w:color w:val="000000"/>
          <w:lang w:val="en-US"/>
        </w:rPr>
        <w:t xml:space="preserve"> </w:t>
      </w:r>
      <w:r w:rsidR="00304D87" w:rsidRPr="009C7D07">
        <w:rPr>
          <w:bCs/>
          <w:color w:val="000000"/>
          <w:lang w:val="en-US"/>
        </w:rPr>
        <w:t>highly water-soluble tetrazolium salt, WST-1 (2-(4-Iodophenyl)- 3-(4-nitrophenyl)-5-(2,4-disulfophenyl)- 2H-</w:t>
      </w:r>
      <w:proofErr w:type="gramStart"/>
      <w:r w:rsidR="00304D87" w:rsidRPr="009C7D07">
        <w:rPr>
          <w:bCs/>
          <w:color w:val="000000"/>
          <w:lang w:val="en-US"/>
        </w:rPr>
        <w:t>tetrazolium,monosodium</w:t>
      </w:r>
      <w:proofErr w:type="gramEnd"/>
      <w:r w:rsidR="00304D87" w:rsidRPr="009C7D07">
        <w:rPr>
          <w:bCs/>
          <w:color w:val="000000"/>
          <w:lang w:val="en-US"/>
        </w:rPr>
        <w:t xml:space="preserve"> salt) that produces a water-soluble formazan dye upon reduction with a superoxide anion.</w:t>
      </w:r>
      <w:r w:rsidR="00F1412F" w:rsidRPr="009C7D07">
        <w:rPr>
          <w:bCs/>
          <w:color w:val="000000"/>
          <w:lang w:val="en-US"/>
        </w:rPr>
        <w:t xml:space="preserve"> </w:t>
      </w:r>
      <w:r w:rsidR="00F1412F" w:rsidRPr="009C7D07">
        <w:rPr>
          <w:color w:val="000000" w:themeColor="text1"/>
          <w:lang w:val="en-US"/>
        </w:rPr>
        <w:t>SOD activity was measured s</w:t>
      </w:r>
      <w:r w:rsidR="00F1412F" w:rsidRPr="009C7D07">
        <w:rPr>
          <w:color w:val="000000" w:themeColor="text1"/>
          <w:shd w:val="clear" w:color="auto" w:fill="FFFFFF"/>
          <w:lang w:val="en-US"/>
        </w:rPr>
        <w:t>pectrophotometrically</w:t>
      </w:r>
      <w:r w:rsidR="00F1412F" w:rsidRPr="009C7D07">
        <w:rPr>
          <w:color w:val="000000" w:themeColor="text1"/>
          <w:lang w:val="en-US"/>
        </w:rPr>
        <w:t xml:space="preserve"> at 440 nm. </w:t>
      </w:r>
    </w:p>
    <w:p w14:paraId="73538C1C" w14:textId="15FBC6F9" w:rsidR="000D1ABB" w:rsidRPr="009C7D07" w:rsidRDefault="005B5184" w:rsidP="00796965">
      <w:pPr>
        <w:pStyle w:val="Heading2"/>
        <w:spacing w:line="480" w:lineRule="auto"/>
        <w:rPr>
          <w:rFonts w:cs="Times New Roman"/>
          <w:szCs w:val="24"/>
          <w:lang w:val="en-US"/>
        </w:rPr>
      </w:pPr>
      <w:r w:rsidRPr="009C7D07">
        <w:rPr>
          <w:rFonts w:cs="Times New Roman"/>
          <w:szCs w:val="24"/>
          <w:lang w:val="en-US"/>
        </w:rPr>
        <w:t xml:space="preserve">Statistical </w:t>
      </w:r>
      <w:r w:rsidR="007661E7" w:rsidRPr="009C7D07">
        <w:rPr>
          <w:rFonts w:cs="Times New Roman"/>
          <w:szCs w:val="24"/>
          <w:lang w:val="en-US"/>
        </w:rPr>
        <w:t>A</w:t>
      </w:r>
      <w:r w:rsidRPr="009C7D07">
        <w:rPr>
          <w:rFonts w:cs="Times New Roman"/>
          <w:szCs w:val="24"/>
          <w:lang w:val="en-US"/>
        </w:rPr>
        <w:t xml:space="preserve">nalysis </w:t>
      </w:r>
    </w:p>
    <w:p w14:paraId="673312A5" w14:textId="378B7945" w:rsidR="005B5184" w:rsidRPr="009C7D07" w:rsidRDefault="005B5184" w:rsidP="00796965">
      <w:pPr>
        <w:spacing w:line="480" w:lineRule="auto"/>
        <w:jc w:val="both"/>
        <w:rPr>
          <w:bCs/>
          <w:color w:val="000000"/>
          <w:lang w:val="en-US"/>
        </w:rPr>
      </w:pPr>
      <w:r w:rsidRPr="009C7D07">
        <w:rPr>
          <w:bCs/>
          <w:color w:val="000000"/>
          <w:lang w:val="en-US"/>
        </w:rPr>
        <w:t xml:space="preserve">Results were </w:t>
      </w:r>
      <w:r w:rsidR="007661E7" w:rsidRPr="009C7D07">
        <w:rPr>
          <w:bCs/>
          <w:color w:val="000000"/>
          <w:lang w:val="en-US"/>
        </w:rPr>
        <w:t>analyzed</w:t>
      </w:r>
      <w:r w:rsidRPr="009C7D07">
        <w:rPr>
          <w:bCs/>
          <w:color w:val="000000"/>
          <w:lang w:val="en-US"/>
        </w:rPr>
        <w:t xml:space="preserve"> using a one-way ANOVA. Data are presented as mean + SEM (n = 3-8)</w:t>
      </w:r>
      <w:r w:rsidR="009C6F44" w:rsidRPr="009C7D07">
        <w:rPr>
          <w:bCs/>
          <w:color w:val="000000"/>
          <w:lang w:val="en-US"/>
        </w:rPr>
        <w:t xml:space="preserve"> and</w:t>
      </w:r>
      <w:r w:rsidR="00C359C0" w:rsidRPr="009C7D07">
        <w:rPr>
          <w:bCs/>
          <w:color w:val="000000"/>
          <w:lang w:val="en-US"/>
        </w:rPr>
        <w:t xml:space="preserve"> </w:t>
      </w:r>
      <w:r w:rsidR="009C6F44" w:rsidRPr="009C7D07">
        <w:rPr>
          <w:i/>
          <w:iCs/>
          <w:color w:val="000000" w:themeColor="text1"/>
          <w:lang w:val="en-US"/>
        </w:rPr>
        <w:t>p</w:t>
      </w:r>
      <w:r w:rsidR="009C6F44" w:rsidRPr="009C7D07">
        <w:rPr>
          <w:color w:val="000000" w:themeColor="text1"/>
          <w:lang w:val="en-US"/>
        </w:rPr>
        <w:t>&lt;</w:t>
      </w:r>
      <w:r w:rsidR="00C359C0" w:rsidRPr="009C7D07">
        <w:rPr>
          <w:bCs/>
          <w:color w:val="000000"/>
          <w:lang w:val="en-US"/>
        </w:rPr>
        <w:t>0.05 w</w:t>
      </w:r>
      <w:r w:rsidR="009C6F44" w:rsidRPr="009C7D07">
        <w:rPr>
          <w:bCs/>
          <w:color w:val="000000"/>
          <w:lang w:val="en-US"/>
        </w:rPr>
        <w:t>as</w:t>
      </w:r>
      <w:r w:rsidR="00C359C0" w:rsidRPr="009C7D07">
        <w:rPr>
          <w:bCs/>
          <w:color w:val="000000"/>
          <w:lang w:val="en-US"/>
        </w:rPr>
        <w:t xml:space="preserve"> considered statistically significant.</w:t>
      </w:r>
      <w:r w:rsidR="00D85454" w:rsidRPr="009C7D07">
        <w:rPr>
          <w:bCs/>
          <w:color w:val="000000"/>
          <w:lang w:val="en-US"/>
        </w:rPr>
        <w:t xml:space="preserve"> </w:t>
      </w:r>
    </w:p>
    <w:p w14:paraId="2D5F232D" w14:textId="3F0BFB1A" w:rsidR="007F7933" w:rsidRPr="009C7D07" w:rsidRDefault="005B5184" w:rsidP="00796965">
      <w:pPr>
        <w:pStyle w:val="Heading1"/>
        <w:rPr>
          <w:rFonts w:cs="Times New Roman"/>
          <w:szCs w:val="24"/>
          <w:lang w:val="en-US"/>
        </w:rPr>
      </w:pPr>
      <w:r w:rsidRPr="009C7D07">
        <w:rPr>
          <w:rFonts w:cs="Times New Roman"/>
          <w:szCs w:val="24"/>
          <w:lang w:val="en-US"/>
        </w:rPr>
        <w:t>Results</w:t>
      </w:r>
    </w:p>
    <w:p w14:paraId="35D54A04" w14:textId="77777777" w:rsidR="005B5184" w:rsidRPr="009C7D07" w:rsidRDefault="005B5184" w:rsidP="00796965">
      <w:pPr>
        <w:pStyle w:val="Heading2"/>
        <w:spacing w:line="480" w:lineRule="auto"/>
        <w:rPr>
          <w:rFonts w:cs="Times New Roman"/>
          <w:szCs w:val="24"/>
          <w:lang w:val="en-US"/>
        </w:rPr>
      </w:pPr>
      <w:r w:rsidRPr="009C7D07">
        <w:rPr>
          <w:rFonts w:cs="Times New Roman"/>
          <w:szCs w:val="24"/>
          <w:lang w:val="en-US"/>
        </w:rPr>
        <w:t>Food, Water and Body Parameters</w:t>
      </w:r>
    </w:p>
    <w:p w14:paraId="345A7C47" w14:textId="689D8361" w:rsidR="00D85454" w:rsidRPr="009C7D07" w:rsidRDefault="00D85454" w:rsidP="00796965">
      <w:pPr>
        <w:spacing w:line="480" w:lineRule="auto"/>
        <w:jc w:val="both"/>
        <w:rPr>
          <w:color w:val="000000" w:themeColor="text1"/>
          <w:lang w:val="en-US"/>
        </w:rPr>
      </w:pPr>
      <w:r w:rsidRPr="009C7D07">
        <w:rPr>
          <w:color w:val="000000"/>
          <w:lang w:val="en-US"/>
        </w:rPr>
        <w:t>For the period of betaine treatment, food, water consumption and body weights were recorded (Table 1).</w:t>
      </w:r>
      <w:r w:rsidRPr="009C7D07">
        <w:rPr>
          <w:color w:val="4472C4"/>
          <w:lang w:val="en-US"/>
        </w:rPr>
        <w:t xml:space="preserve">  </w:t>
      </w:r>
      <w:r w:rsidRPr="009C7D07">
        <w:rPr>
          <w:color w:val="000000"/>
          <w:lang w:val="en-US"/>
        </w:rPr>
        <w:t>Betaine had no effect on food or water intake in the 6 days preceding the ethanol treatment and body weights were also unchanged on the final day. On the other hand, liver weights were increased by 13 % and 17 % (</w:t>
      </w:r>
      <w:r w:rsidR="00C705CB" w:rsidRPr="009C7D07">
        <w:rPr>
          <w:i/>
          <w:iCs/>
          <w:color w:val="000000" w:themeColor="text1"/>
          <w:lang w:val="en-US"/>
        </w:rPr>
        <w:t>p</w:t>
      </w:r>
      <w:r w:rsidR="00C705CB" w:rsidRPr="009C7D07">
        <w:rPr>
          <w:color w:val="000000" w:themeColor="text1"/>
          <w:lang w:val="en-US"/>
        </w:rPr>
        <w:t>&lt;</w:t>
      </w:r>
      <w:r w:rsidRPr="009C7D07">
        <w:rPr>
          <w:color w:val="000000"/>
          <w:lang w:val="en-US"/>
        </w:rPr>
        <w:t>0.05) respectively</w:t>
      </w:r>
      <w:r w:rsidR="005C2D33" w:rsidRPr="009C7D07">
        <w:rPr>
          <w:color w:val="000000"/>
          <w:lang w:val="en-US"/>
        </w:rPr>
        <w:t>,</w:t>
      </w:r>
      <w:r w:rsidRPr="009C7D07">
        <w:rPr>
          <w:color w:val="000000"/>
          <w:lang w:val="en-US"/>
        </w:rPr>
        <w:t xml:space="preserve"> in the ethanol and betaine/ethanol</w:t>
      </w:r>
      <w:r w:rsidR="008D341A" w:rsidRPr="009C7D07">
        <w:rPr>
          <w:color w:val="000000"/>
          <w:lang w:val="en-US"/>
        </w:rPr>
        <w:t>-</w:t>
      </w:r>
      <w:r w:rsidRPr="009C7D07">
        <w:rPr>
          <w:color w:val="000000"/>
          <w:lang w:val="en-US"/>
        </w:rPr>
        <w:t>treated groups, when compared to their corresponding controls. The ratio of liver weight to body weight was used to account for any differences in individual rat weights and liver sizes. A slight increase was observed in the liver weight/body weight ratio in ethanol-treated animals when compared to their corresponding control. In the ethanol group</w:t>
      </w:r>
      <w:r w:rsidR="00144C85" w:rsidRPr="009C7D07">
        <w:rPr>
          <w:color w:val="000000"/>
          <w:lang w:val="en-US"/>
        </w:rPr>
        <w:t>,</w:t>
      </w:r>
      <w:r w:rsidRPr="009C7D07">
        <w:rPr>
          <w:color w:val="000000"/>
          <w:lang w:val="en-US"/>
        </w:rPr>
        <w:t xml:space="preserve"> a slight increase of 6% was observed, in the betaine plus ethanol group a 5% increase, with the latter significantly increasing by 12% when compared to control animals (</w:t>
      </w:r>
      <w:r w:rsidR="00C705CB" w:rsidRPr="009C7D07">
        <w:rPr>
          <w:i/>
          <w:iCs/>
          <w:color w:val="000000" w:themeColor="text1"/>
          <w:lang w:val="en-US"/>
        </w:rPr>
        <w:t>p</w:t>
      </w:r>
      <w:r w:rsidR="00C705CB" w:rsidRPr="009C7D07">
        <w:rPr>
          <w:color w:val="000000" w:themeColor="text1"/>
          <w:lang w:val="en-US"/>
        </w:rPr>
        <w:t>&lt;</w:t>
      </w:r>
      <w:r w:rsidRPr="009C7D07">
        <w:rPr>
          <w:color w:val="000000"/>
          <w:lang w:val="en-US"/>
        </w:rPr>
        <w:t>0.01) (Table 1).</w:t>
      </w:r>
    </w:p>
    <w:p w14:paraId="619B9F1B" w14:textId="1CE3836B" w:rsidR="005B5184" w:rsidRPr="009C7D07" w:rsidRDefault="005B5184" w:rsidP="00796965">
      <w:pPr>
        <w:pStyle w:val="Heading2"/>
        <w:spacing w:line="480" w:lineRule="auto"/>
        <w:rPr>
          <w:rFonts w:cs="Times New Roman"/>
          <w:bCs/>
          <w:iCs/>
          <w:szCs w:val="24"/>
          <w:lang w:val="en-US"/>
        </w:rPr>
      </w:pPr>
      <w:r w:rsidRPr="009C7D07">
        <w:rPr>
          <w:rFonts w:cs="Times New Roman"/>
          <w:bCs/>
          <w:iCs/>
          <w:szCs w:val="24"/>
          <w:lang w:val="en-US"/>
        </w:rPr>
        <w:t xml:space="preserve">Liver Function </w:t>
      </w:r>
    </w:p>
    <w:p w14:paraId="340B8F67" w14:textId="79DA787B" w:rsidR="00D85454" w:rsidRPr="009C7D07" w:rsidRDefault="00D85454" w:rsidP="00796965">
      <w:pPr>
        <w:spacing w:line="480" w:lineRule="auto"/>
        <w:jc w:val="both"/>
        <w:rPr>
          <w:color w:val="000000" w:themeColor="text1"/>
          <w:lang w:val="en-US"/>
        </w:rPr>
      </w:pPr>
      <w:r w:rsidRPr="009C7D07">
        <w:rPr>
          <w:color w:val="000000" w:themeColor="text1"/>
          <w:lang w:val="en-US"/>
        </w:rPr>
        <w:t>Following ethanol treatment</w:t>
      </w:r>
      <w:r w:rsidR="005C2D33" w:rsidRPr="009C7D07">
        <w:rPr>
          <w:color w:val="000000" w:themeColor="text1"/>
          <w:lang w:val="en-US"/>
        </w:rPr>
        <w:t>,</w:t>
      </w:r>
      <w:r w:rsidRPr="009C7D07">
        <w:rPr>
          <w:color w:val="000000" w:themeColor="text1"/>
          <w:lang w:val="en-US"/>
        </w:rPr>
        <w:t xml:space="preserve"> ALT levels increased by 99% (</w:t>
      </w:r>
      <w:r w:rsidR="00C705CB" w:rsidRPr="009C7D07">
        <w:rPr>
          <w:i/>
          <w:iCs/>
          <w:color w:val="000000" w:themeColor="text1"/>
          <w:lang w:val="en-US"/>
        </w:rPr>
        <w:t>p</w:t>
      </w:r>
      <w:r w:rsidR="00C705CB" w:rsidRPr="009C7D07">
        <w:rPr>
          <w:color w:val="000000" w:themeColor="text1"/>
          <w:lang w:val="en-US"/>
        </w:rPr>
        <w:t>&lt;</w:t>
      </w:r>
      <w:r w:rsidRPr="009C7D07">
        <w:rPr>
          <w:color w:val="000000" w:themeColor="text1"/>
          <w:lang w:val="en-US"/>
        </w:rPr>
        <w:t>0.05) and AST levels showed a</w:t>
      </w:r>
      <w:r w:rsidR="00857C31" w:rsidRPr="009C7D07">
        <w:rPr>
          <w:color w:val="000000" w:themeColor="text1"/>
          <w:lang w:val="en-US"/>
        </w:rPr>
        <w:t>n</w:t>
      </w:r>
      <w:r w:rsidRPr="009C7D07">
        <w:rPr>
          <w:color w:val="000000" w:themeColor="text1"/>
          <w:lang w:val="en-US"/>
        </w:rPr>
        <w:t xml:space="preserve"> increase of 10% (Table 2). Although betaine alone showed no effect, betaine followed by ethanol led to an increase of 160% (</w:t>
      </w:r>
      <w:r w:rsidR="00C705CB" w:rsidRPr="009C7D07">
        <w:rPr>
          <w:i/>
          <w:iCs/>
          <w:color w:val="000000" w:themeColor="text1"/>
          <w:lang w:val="en-US"/>
        </w:rPr>
        <w:t>p</w:t>
      </w:r>
      <w:r w:rsidR="00C705CB" w:rsidRPr="009C7D07">
        <w:rPr>
          <w:color w:val="000000" w:themeColor="text1"/>
          <w:lang w:val="en-US"/>
        </w:rPr>
        <w:t>&lt;</w:t>
      </w:r>
      <w:r w:rsidRPr="009C7D07">
        <w:rPr>
          <w:color w:val="000000" w:themeColor="text1"/>
          <w:lang w:val="en-US"/>
        </w:rPr>
        <w:t>0.001) in ALT levels and 82%</w:t>
      </w:r>
      <w:r w:rsidR="00561905" w:rsidRPr="009C7D07">
        <w:rPr>
          <w:color w:val="000000" w:themeColor="text1"/>
          <w:lang w:val="en-US"/>
        </w:rPr>
        <w:t xml:space="preserve"> (</w:t>
      </w:r>
      <w:r w:rsidR="00C705CB" w:rsidRPr="009C7D07">
        <w:rPr>
          <w:i/>
          <w:iCs/>
          <w:color w:val="000000" w:themeColor="text1"/>
          <w:lang w:val="en-US"/>
        </w:rPr>
        <w:t>p</w:t>
      </w:r>
      <w:r w:rsidR="00C705CB" w:rsidRPr="009C7D07">
        <w:rPr>
          <w:color w:val="000000" w:themeColor="text1"/>
          <w:lang w:val="en-US"/>
        </w:rPr>
        <w:t>&lt;</w:t>
      </w:r>
      <w:r w:rsidR="00561905" w:rsidRPr="009C7D07">
        <w:rPr>
          <w:color w:val="000000" w:themeColor="text1"/>
          <w:lang w:val="en-US"/>
        </w:rPr>
        <w:t>0.05)</w:t>
      </w:r>
      <w:r w:rsidRPr="009C7D07">
        <w:rPr>
          <w:color w:val="000000" w:themeColor="text1"/>
          <w:lang w:val="en-US"/>
        </w:rPr>
        <w:t xml:space="preserve"> in AST levels. Following ethanol treatment, the AST/ALT value decreased by 41%</w:t>
      </w:r>
      <w:r w:rsidR="00DC7FF9" w:rsidRPr="009C7D07">
        <w:rPr>
          <w:color w:val="000000" w:themeColor="text1"/>
          <w:lang w:val="en-US"/>
        </w:rPr>
        <w:t xml:space="preserve"> (</w:t>
      </w:r>
      <w:r w:rsidR="00C705CB" w:rsidRPr="009C7D07">
        <w:rPr>
          <w:i/>
          <w:iCs/>
          <w:color w:val="000000" w:themeColor="text1"/>
          <w:lang w:val="en-US"/>
        </w:rPr>
        <w:t>p</w:t>
      </w:r>
      <w:r w:rsidR="00C705CB" w:rsidRPr="009C7D07">
        <w:rPr>
          <w:color w:val="000000" w:themeColor="text1"/>
          <w:lang w:val="en-US"/>
        </w:rPr>
        <w:t>&lt;</w:t>
      </w:r>
      <w:r w:rsidR="00DC7FF9" w:rsidRPr="009C7D07">
        <w:rPr>
          <w:color w:val="000000" w:themeColor="text1"/>
          <w:lang w:val="en-US"/>
        </w:rPr>
        <w:t xml:space="preserve">0.001), </w:t>
      </w:r>
      <w:r w:rsidRPr="009C7D07">
        <w:rPr>
          <w:color w:val="000000" w:themeColor="text1"/>
          <w:lang w:val="en-US"/>
        </w:rPr>
        <w:t>and 32%</w:t>
      </w:r>
      <w:r w:rsidR="00DC7FF9" w:rsidRPr="009C7D07">
        <w:rPr>
          <w:color w:val="000000" w:themeColor="text1"/>
          <w:lang w:val="en-US"/>
        </w:rPr>
        <w:t xml:space="preserve"> (</w:t>
      </w:r>
      <w:r w:rsidR="00C705CB" w:rsidRPr="009C7D07">
        <w:rPr>
          <w:i/>
          <w:iCs/>
          <w:color w:val="000000" w:themeColor="text1"/>
          <w:lang w:val="en-US"/>
        </w:rPr>
        <w:t>p</w:t>
      </w:r>
      <w:r w:rsidR="00C705CB" w:rsidRPr="009C7D07">
        <w:rPr>
          <w:color w:val="000000" w:themeColor="text1"/>
          <w:lang w:val="en-US"/>
        </w:rPr>
        <w:t>&lt;</w:t>
      </w:r>
      <w:r w:rsidR="00DC7FF9" w:rsidRPr="009C7D07">
        <w:rPr>
          <w:color w:val="000000" w:themeColor="text1"/>
          <w:lang w:val="en-US"/>
        </w:rPr>
        <w:t>0.001)</w:t>
      </w:r>
      <w:r w:rsidRPr="009C7D07">
        <w:rPr>
          <w:color w:val="000000" w:themeColor="text1"/>
          <w:lang w:val="en-US"/>
        </w:rPr>
        <w:t xml:space="preserve"> following betaine and ethanol. Total protein and albumin levels were also reduced following ethanol treatment by 14% (</w:t>
      </w:r>
      <w:r w:rsidR="00C705CB" w:rsidRPr="009C7D07">
        <w:rPr>
          <w:i/>
          <w:iCs/>
          <w:color w:val="000000" w:themeColor="text1"/>
          <w:lang w:val="en-US"/>
        </w:rPr>
        <w:t>p</w:t>
      </w:r>
      <w:r w:rsidR="00C705CB" w:rsidRPr="009C7D07">
        <w:rPr>
          <w:color w:val="000000" w:themeColor="text1"/>
          <w:lang w:val="en-US"/>
        </w:rPr>
        <w:t>&lt;</w:t>
      </w:r>
      <w:r w:rsidRPr="009C7D07">
        <w:rPr>
          <w:color w:val="000000" w:themeColor="text1"/>
          <w:lang w:val="en-US"/>
        </w:rPr>
        <w:t>0.001) and 18% (</w:t>
      </w:r>
      <w:r w:rsidR="00C705CB" w:rsidRPr="009C7D07">
        <w:rPr>
          <w:i/>
          <w:iCs/>
          <w:color w:val="000000" w:themeColor="text1"/>
          <w:lang w:val="en-US"/>
        </w:rPr>
        <w:t>p</w:t>
      </w:r>
      <w:r w:rsidR="00C705CB" w:rsidRPr="009C7D07">
        <w:rPr>
          <w:color w:val="000000" w:themeColor="text1"/>
          <w:lang w:val="en-US"/>
        </w:rPr>
        <w:t>&lt;</w:t>
      </w:r>
      <w:r w:rsidRPr="009C7D07">
        <w:rPr>
          <w:color w:val="000000" w:themeColor="text1"/>
          <w:lang w:val="en-US"/>
        </w:rPr>
        <w:t xml:space="preserve">0.001), respectively. However, this decrease was completely prevented in the betaine and ethanol group when compared to both control and betaine alone treatment groups.  There were no changes in circulating globulin levels in all treatment groups (Table 2). </w:t>
      </w:r>
    </w:p>
    <w:p w14:paraId="17C0BEC3" w14:textId="77777777" w:rsidR="00DD5A8C" w:rsidRPr="009C7D07" w:rsidRDefault="00DD5A8C" w:rsidP="00796965">
      <w:pPr>
        <w:pStyle w:val="Heading2"/>
        <w:spacing w:line="480" w:lineRule="auto"/>
        <w:rPr>
          <w:rFonts w:cs="Times New Roman"/>
          <w:szCs w:val="24"/>
          <w:lang w:val="en-US"/>
        </w:rPr>
      </w:pPr>
      <w:r w:rsidRPr="009C7D07">
        <w:rPr>
          <w:rFonts w:cs="Times New Roman"/>
          <w:szCs w:val="24"/>
          <w:lang w:val="en-US"/>
        </w:rPr>
        <w:t>Apoptosis</w:t>
      </w:r>
    </w:p>
    <w:p w14:paraId="58630E90" w14:textId="7CB80D1A" w:rsidR="00DD5A8C" w:rsidRPr="009C7D07" w:rsidRDefault="00DD5A8C" w:rsidP="00796965">
      <w:pPr>
        <w:tabs>
          <w:tab w:val="left" w:pos="615"/>
        </w:tabs>
        <w:spacing w:line="480" w:lineRule="auto"/>
        <w:jc w:val="both"/>
        <w:rPr>
          <w:color w:val="4472C4"/>
          <w:lang w:val="en-US"/>
        </w:rPr>
      </w:pPr>
      <w:r w:rsidRPr="009C7D07">
        <w:rPr>
          <w:color w:val="000000"/>
          <w:lang w:val="en-US"/>
        </w:rPr>
        <w:t xml:space="preserve">Ethanol exposure led to a significant increase (59%; </w:t>
      </w:r>
      <w:r w:rsidR="00C705CB" w:rsidRPr="009C7D07">
        <w:rPr>
          <w:i/>
          <w:iCs/>
          <w:color w:val="000000" w:themeColor="text1"/>
          <w:lang w:val="en-US"/>
        </w:rPr>
        <w:t>p</w:t>
      </w:r>
      <w:r w:rsidR="00C705CB" w:rsidRPr="009C7D07">
        <w:rPr>
          <w:color w:val="000000" w:themeColor="text1"/>
          <w:lang w:val="en-US"/>
        </w:rPr>
        <w:t>&lt;</w:t>
      </w:r>
      <w:r w:rsidRPr="009C7D07">
        <w:rPr>
          <w:color w:val="000000"/>
          <w:lang w:val="en-US"/>
        </w:rPr>
        <w:t xml:space="preserve">0.05) in cytosolic cytochrome c levels in comparison to controls. </w:t>
      </w:r>
      <w:r w:rsidR="004709A7" w:rsidRPr="009C7D07">
        <w:rPr>
          <w:color w:val="000000"/>
          <w:lang w:val="en-US"/>
        </w:rPr>
        <w:t>H</w:t>
      </w:r>
      <w:r w:rsidRPr="009C7D07">
        <w:rPr>
          <w:color w:val="000000"/>
          <w:lang w:val="en-US"/>
        </w:rPr>
        <w:t>owever, cytochrome c release was prevented by betaine pre-treatment followed by ethanol (6% decrease) (</w:t>
      </w:r>
      <w:r w:rsidR="008F23BE" w:rsidRPr="009C7D07">
        <w:rPr>
          <w:color w:val="000000"/>
          <w:lang w:val="en-US"/>
        </w:rPr>
        <w:t>Figure 1,</w:t>
      </w:r>
      <w:r w:rsidRPr="009C7D07">
        <w:rPr>
          <w:color w:val="000000"/>
          <w:lang w:val="en-US"/>
        </w:rPr>
        <w:t xml:space="preserve"> B-C</w:t>
      </w:r>
      <w:r w:rsidR="008F23BE" w:rsidRPr="009C7D07">
        <w:rPr>
          <w:color w:val="000000"/>
          <w:lang w:val="en-US"/>
        </w:rPr>
        <w:t>)</w:t>
      </w:r>
      <w:r w:rsidRPr="009C7D07">
        <w:rPr>
          <w:color w:val="000000"/>
          <w:lang w:val="en-US"/>
        </w:rPr>
        <w:t>. In the mitochondria</w:t>
      </w:r>
      <w:r w:rsidR="005C2D33" w:rsidRPr="009C7D07">
        <w:rPr>
          <w:color w:val="000000"/>
          <w:lang w:val="en-US"/>
        </w:rPr>
        <w:t>,</w:t>
      </w:r>
      <w:r w:rsidRPr="009C7D07">
        <w:rPr>
          <w:color w:val="000000"/>
          <w:lang w:val="en-US"/>
        </w:rPr>
        <w:t xml:space="preserve"> a contrasting pattern occurred following ethanol treatment, whereby cytochrome c levels were lower (18%), confirming the release into the cytosol. Similarly, there was no change in the betaine alone or betaine-ethanol exposed groups (Figure </w:t>
      </w:r>
      <w:r w:rsidR="009A17F3" w:rsidRPr="009C7D07">
        <w:rPr>
          <w:color w:val="000000"/>
          <w:lang w:val="en-US"/>
        </w:rPr>
        <w:t>1</w:t>
      </w:r>
      <w:r w:rsidRPr="009C7D07">
        <w:rPr>
          <w:color w:val="000000"/>
          <w:lang w:val="en-US"/>
        </w:rPr>
        <w:t xml:space="preserve">).  </w:t>
      </w:r>
    </w:p>
    <w:p w14:paraId="6B328E57" w14:textId="77777777" w:rsidR="00DD5A8C" w:rsidRPr="009C7D07" w:rsidRDefault="00DD5A8C" w:rsidP="00796965">
      <w:pPr>
        <w:spacing w:line="480" w:lineRule="auto"/>
        <w:jc w:val="both"/>
        <w:rPr>
          <w:color w:val="000000"/>
          <w:lang w:val="en-US"/>
        </w:rPr>
      </w:pPr>
    </w:p>
    <w:p w14:paraId="49F35996" w14:textId="374E53AC" w:rsidR="00DD5A8C" w:rsidRPr="009C7D07" w:rsidRDefault="00DD5A8C" w:rsidP="00796965">
      <w:pPr>
        <w:spacing w:line="480" w:lineRule="auto"/>
        <w:jc w:val="both"/>
        <w:rPr>
          <w:color w:val="000000"/>
          <w:lang w:val="en-US"/>
        </w:rPr>
      </w:pPr>
      <w:r w:rsidRPr="009C7D07">
        <w:rPr>
          <w:color w:val="000000"/>
          <w:lang w:val="en-US"/>
        </w:rPr>
        <w:t>Caspase-3 is one of the final effector caspases in the apoptosis pathway (along with caspase-6 and caspase-7). Therefore, caspase-3 levels were assayed to determine if the cytochrome c release into the cytosol resulted in apoptosis and if betaine could prevent this release. However, ethanol treatment alone led to a 19% decrease in caspase-3 activity. No changes were observed in either betaine alone</w:t>
      </w:r>
      <w:r w:rsidR="009F2150" w:rsidRPr="009C7D07">
        <w:rPr>
          <w:color w:val="000000"/>
          <w:lang w:val="en-US"/>
        </w:rPr>
        <w:t>,</w:t>
      </w:r>
      <w:r w:rsidRPr="009C7D07">
        <w:rPr>
          <w:color w:val="000000"/>
          <w:lang w:val="en-US"/>
        </w:rPr>
        <w:t xml:space="preserve"> or betaine followed by ethanol groups (Figure </w:t>
      </w:r>
      <w:r w:rsidR="009A17F3" w:rsidRPr="009C7D07">
        <w:rPr>
          <w:color w:val="000000"/>
          <w:lang w:val="en-US"/>
        </w:rPr>
        <w:t>1</w:t>
      </w:r>
      <w:r w:rsidRPr="009C7D07">
        <w:rPr>
          <w:color w:val="000000"/>
          <w:lang w:val="en-US"/>
        </w:rPr>
        <w:t>).</w:t>
      </w:r>
    </w:p>
    <w:p w14:paraId="1AFC386D" w14:textId="3D5A90D2" w:rsidR="005B5184" w:rsidRPr="009C7D07" w:rsidRDefault="009A32FB" w:rsidP="00796965">
      <w:pPr>
        <w:pStyle w:val="Heading2"/>
        <w:spacing w:line="480" w:lineRule="auto"/>
        <w:rPr>
          <w:rFonts w:cs="Times New Roman"/>
          <w:szCs w:val="24"/>
          <w:lang w:val="en-US"/>
        </w:rPr>
      </w:pPr>
      <w:r w:rsidRPr="009C7D07">
        <w:rPr>
          <w:rFonts w:cs="Times New Roman"/>
          <w:szCs w:val="24"/>
          <w:lang w:val="en-US"/>
        </w:rPr>
        <w:t>Oxidative Damage</w:t>
      </w:r>
    </w:p>
    <w:p w14:paraId="76CD5893" w14:textId="2DE3EF43" w:rsidR="00346F8A" w:rsidRPr="009C7D07" w:rsidRDefault="00555F44" w:rsidP="00796965">
      <w:pPr>
        <w:spacing w:line="480" w:lineRule="auto"/>
        <w:jc w:val="both"/>
        <w:rPr>
          <w:color w:val="000000"/>
          <w:lang w:val="en-US"/>
        </w:rPr>
      </w:pPr>
      <w:r w:rsidRPr="009C7D07">
        <w:rPr>
          <w:color w:val="000000"/>
          <w:lang w:val="en-US"/>
        </w:rPr>
        <w:t>GSH levels were generally increased in e</w:t>
      </w:r>
      <w:r w:rsidR="005B5184" w:rsidRPr="009C7D07">
        <w:rPr>
          <w:color w:val="000000"/>
          <w:lang w:val="en-US"/>
        </w:rPr>
        <w:t>thanol</w:t>
      </w:r>
      <w:r w:rsidRPr="009C7D07">
        <w:rPr>
          <w:color w:val="000000"/>
          <w:lang w:val="en-US"/>
        </w:rPr>
        <w:t xml:space="preserve"> and betaine supplementation. Ethanol</w:t>
      </w:r>
      <w:r w:rsidR="005B5184" w:rsidRPr="009C7D07">
        <w:rPr>
          <w:color w:val="000000"/>
          <w:lang w:val="en-US"/>
        </w:rPr>
        <w:t xml:space="preserve"> treatment and betaine supplementation alone led to a 2</w:t>
      </w:r>
      <w:r w:rsidR="00E25A7D" w:rsidRPr="009C7D07">
        <w:rPr>
          <w:color w:val="000000"/>
          <w:lang w:val="en-US"/>
        </w:rPr>
        <w:t>3</w:t>
      </w:r>
      <w:r w:rsidR="005B5184" w:rsidRPr="009C7D07">
        <w:rPr>
          <w:color w:val="000000"/>
          <w:lang w:val="en-US"/>
        </w:rPr>
        <w:t xml:space="preserve">% and </w:t>
      </w:r>
      <w:r w:rsidR="00E25A7D" w:rsidRPr="009C7D07">
        <w:rPr>
          <w:color w:val="000000"/>
          <w:lang w:val="en-US"/>
        </w:rPr>
        <w:t>31</w:t>
      </w:r>
      <w:r w:rsidR="005B5184" w:rsidRPr="009C7D07">
        <w:rPr>
          <w:color w:val="000000"/>
          <w:lang w:val="en-US"/>
        </w:rPr>
        <w:t xml:space="preserve">% increase in cytosolic GSH levels, respectively (Figure </w:t>
      </w:r>
      <w:r w:rsidR="009A17F3" w:rsidRPr="009C7D07">
        <w:rPr>
          <w:color w:val="000000"/>
          <w:lang w:val="en-US"/>
        </w:rPr>
        <w:t>2</w:t>
      </w:r>
      <w:r w:rsidR="008F23BE" w:rsidRPr="009C7D07">
        <w:rPr>
          <w:color w:val="000000"/>
          <w:lang w:val="en-US"/>
        </w:rPr>
        <w:t>A</w:t>
      </w:r>
      <w:r w:rsidR="005B5184" w:rsidRPr="009C7D07">
        <w:rPr>
          <w:color w:val="000000"/>
          <w:lang w:val="en-US"/>
        </w:rPr>
        <w:t xml:space="preserve">). </w:t>
      </w:r>
      <w:r w:rsidRPr="009C7D07">
        <w:rPr>
          <w:color w:val="000000"/>
          <w:lang w:val="en-US"/>
        </w:rPr>
        <w:t xml:space="preserve">A similar pattern occurred with </w:t>
      </w:r>
      <w:r w:rsidR="004554B4" w:rsidRPr="009C7D07">
        <w:rPr>
          <w:color w:val="000000"/>
          <w:lang w:val="en-US"/>
        </w:rPr>
        <w:t>m</w:t>
      </w:r>
      <w:r w:rsidR="005B5184" w:rsidRPr="009C7D07">
        <w:rPr>
          <w:color w:val="000000"/>
          <w:lang w:val="en-US"/>
        </w:rPr>
        <w:t>itochondrial GSH levels</w:t>
      </w:r>
      <w:r w:rsidRPr="009C7D07">
        <w:rPr>
          <w:color w:val="000000"/>
          <w:lang w:val="en-US"/>
        </w:rPr>
        <w:t xml:space="preserve"> where</w:t>
      </w:r>
      <w:r w:rsidR="004554B4" w:rsidRPr="009C7D07">
        <w:rPr>
          <w:color w:val="000000"/>
          <w:lang w:val="en-US"/>
        </w:rPr>
        <w:t xml:space="preserve"> e</w:t>
      </w:r>
      <w:r w:rsidR="005B5184" w:rsidRPr="009C7D07">
        <w:rPr>
          <w:color w:val="000000"/>
          <w:lang w:val="en-US"/>
        </w:rPr>
        <w:t>thanol caused an increase (</w:t>
      </w:r>
      <w:r w:rsidR="00BD2064" w:rsidRPr="009C7D07">
        <w:rPr>
          <w:color w:val="000000"/>
          <w:lang w:val="en-US"/>
        </w:rPr>
        <w:t>22</w:t>
      </w:r>
      <w:r w:rsidR="005B5184" w:rsidRPr="009C7D07">
        <w:rPr>
          <w:color w:val="000000"/>
          <w:lang w:val="en-US"/>
        </w:rPr>
        <w:t xml:space="preserve">%) in mitochondrial GSH levels, and betaine followed by ethanol resulted in a </w:t>
      </w:r>
      <w:r w:rsidR="00BD2064" w:rsidRPr="009C7D07">
        <w:rPr>
          <w:color w:val="000000"/>
          <w:lang w:val="en-US"/>
        </w:rPr>
        <w:t>24</w:t>
      </w:r>
      <w:r w:rsidR="005B5184" w:rsidRPr="009C7D07">
        <w:rPr>
          <w:color w:val="000000"/>
          <w:lang w:val="en-US"/>
        </w:rPr>
        <w:t xml:space="preserve">% increase (Figure </w:t>
      </w:r>
      <w:r w:rsidR="009A17F3" w:rsidRPr="009C7D07">
        <w:rPr>
          <w:color w:val="000000"/>
          <w:lang w:val="en-US"/>
        </w:rPr>
        <w:t>2</w:t>
      </w:r>
      <w:r w:rsidR="008F23BE" w:rsidRPr="009C7D07">
        <w:rPr>
          <w:color w:val="000000"/>
          <w:lang w:val="en-US"/>
        </w:rPr>
        <w:t>B</w:t>
      </w:r>
      <w:r w:rsidR="005B5184" w:rsidRPr="009C7D07">
        <w:rPr>
          <w:color w:val="000000"/>
          <w:lang w:val="en-US"/>
        </w:rPr>
        <w:t xml:space="preserve">). </w:t>
      </w:r>
      <w:r w:rsidR="005B5184" w:rsidRPr="009C7D07">
        <w:rPr>
          <w:bCs/>
          <w:iCs/>
          <w:color w:val="000000"/>
          <w:lang w:val="en-US"/>
        </w:rPr>
        <w:t xml:space="preserve">To assess </w:t>
      </w:r>
      <w:r w:rsidR="002C4E6A" w:rsidRPr="009C7D07">
        <w:rPr>
          <w:bCs/>
          <w:iCs/>
          <w:color w:val="000000"/>
          <w:lang w:val="en-US"/>
        </w:rPr>
        <w:t>whether</w:t>
      </w:r>
      <w:r w:rsidR="005B5184" w:rsidRPr="009C7D07">
        <w:rPr>
          <w:bCs/>
          <w:iCs/>
          <w:color w:val="000000"/>
          <w:lang w:val="en-US"/>
        </w:rPr>
        <w:t xml:space="preserve"> betaine supplementation </w:t>
      </w:r>
      <w:r w:rsidR="005E468F" w:rsidRPr="009C7D07">
        <w:rPr>
          <w:bCs/>
          <w:iCs/>
          <w:color w:val="000000"/>
          <w:lang w:val="en-US"/>
        </w:rPr>
        <w:t>provided</w:t>
      </w:r>
      <w:r w:rsidRPr="009C7D07">
        <w:rPr>
          <w:bCs/>
          <w:iCs/>
          <w:color w:val="000000"/>
          <w:lang w:val="en-US"/>
        </w:rPr>
        <w:t xml:space="preserve"> oxidative</w:t>
      </w:r>
      <w:r w:rsidR="005B5184" w:rsidRPr="009C7D07">
        <w:rPr>
          <w:bCs/>
          <w:iCs/>
          <w:color w:val="000000"/>
          <w:lang w:val="en-US"/>
        </w:rPr>
        <w:t xml:space="preserve"> protective properties to the liver, MDA levels were assessed as a parameter for lipid peroxidation. </w:t>
      </w:r>
      <w:r w:rsidRPr="009C7D07">
        <w:rPr>
          <w:bCs/>
          <w:iCs/>
          <w:color w:val="000000"/>
          <w:lang w:val="en-US"/>
        </w:rPr>
        <w:t>Surprisingly, e</w:t>
      </w:r>
      <w:r w:rsidR="005B5184" w:rsidRPr="009C7D07">
        <w:rPr>
          <w:bCs/>
          <w:iCs/>
          <w:color w:val="000000"/>
          <w:lang w:val="en-US"/>
        </w:rPr>
        <w:t>thanol treatment le</w:t>
      </w:r>
      <w:r w:rsidR="005B5184" w:rsidRPr="009C7D07">
        <w:rPr>
          <w:color w:val="000000"/>
          <w:lang w:val="en-US"/>
        </w:rPr>
        <w:t>d to a 50% reduction in cytosolic MDA levels (</w:t>
      </w:r>
      <w:r w:rsidR="00C705CB" w:rsidRPr="009C7D07">
        <w:rPr>
          <w:i/>
          <w:iCs/>
          <w:color w:val="000000" w:themeColor="text1"/>
          <w:lang w:val="en-US"/>
        </w:rPr>
        <w:t>p</w:t>
      </w:r>
      <w:r w:rsidR="00C705CB" w:rsidRPr="009C7D07">
        <w:rPr>
          <w:color w:val="000000" w:themeColor="text1"/>
          <w:lang w:val="en-US"/>
        </w:rPr>
        <w:t>&lt;</w:t>
      </w:r>
      <w:r w:rsidR="005B5184" w:rsidRPr="009C7D07">
        <w:rPr>
          <w:color w:val="000000"/>
          <w:lang w:val="en-US"/>
        </w:rPr>
        <w:t xml:space="preserve">0.05). Betaine alone had </w:t>
      </w:r>
      <w:r w:rsidR="00C80749" w:rsidRPr="009C7D07">
        <w:rPr>
          <w:color w:val="000000"/>
          <w:lang w:val="en-US"/>
        </w:rPr>
        <w:t>little</w:t>
      </w:r>
      <w:r w:rsidR="005B5184" w:rsidRPr="009C7D07">
        <w:rPr>
          <w:color w:val="000000"/>
          <w:lang w:val="en-US"/>
        </w:rPr>
        <w:t xml:space="preserve"> </w:t>
      </w:r>
      <w:r w:rsidR="002C4E6A" w:rsidRPr="009C7D07">
        <w:rPr>
          <w:color w:val="000000"/>
          <w:lang w:val="en-US"/>
        </w:rPr>
        <w:t>effect</w:t>
      </w:r>
      <w:r w:rsidR="00C80749" w:rsidRPr="009C7D07">
        <w:rPr>
          <w:color w:val="000000"/>
          <w:lang w:val="en-US"/>
        </w:rPr>
        <w:t xml:space="preserve"> (13% decrease)</w:t>
      </w:r>
      <w:r w:rsidR="002C4E6A" w:rsidRPr="009C7D07">
        <w:rPr>
          <w:color w:val="000000"/>
          <w:lang w:val="en-US"/>
        </w:rPr>
        <w:t>,</w:t>
      </w:r>
      <w:r w:rsidR="005B5184" w:rsidRPr="009C7D07">
        <w:rPr>
          <w:color w:val="000000"/>
          <w:lang w:val="en-US"/>
        </w:rPr>
        <w:t xml:space="preserve"> </w:t>
      </w:r>
      <w:r w:rsidR="002C4E6A" w:rsidRPr="009C7D07">
        <w:rPr>
          <w:color w:val="000000"/>
          <w:lang w:val="en-US"/>
        </w:rPr>
        <w:t>whereas</w:t>
      </w:r>
      <w:r w:rsidR="005B5184" w:rsidRPr="009C7D07">
        <w:rPr>
          <w:color w:val="000000"/>
          <w:lang w:val="en-US"/>
        </w:rPr>
        <w:t xml:space="preserve"> betaine followed by ethanol caused a 22% reduction (Figure </w:t>
      </w:r>
      <w:r w:rsidR="009A17F3" w:rsidRPr="009C7D07">
        <w:rPr>
          <w:color w:val="000000"/>
          <w:lang w:val="en-US"/>
        </w:rPr>
        <w:t>2</w:t>
      </w:r>
      <w:r w:rsidR="008F23BE" w:rsidRPr="009C7D07">
        <w:rPr>
          <w:color w:val="000000"/>
          <w:lang w:val="en-US"/>
        </w:rPr>
        <w:t>C</w:t>
      </w:r>
      <w:r w:rsidR="005B5184" w:rsidRPr="009C7D07">
        <w:rPr>
          <w:color w:val="000000"/>
          <w:lang w:val="en-US"/>
        </w:rPr>
        <w:t xml:space="preserve">).  </w:t>
      </w:r>
      <w:r w:rsidR="002C4E6A" w:rsidRPr="009C7D07">
        <w:rPr>
          <w:color w:val="000000"/>
          <w:lang w:val="en-US"/>
        </w:rPr>
        <w:t>In the mitochondria</w:t>
      </w:r>
      <w:r w:rsidR="00144C85" w:rsidRPr="009C7D07">
        <w:rPr>
          <w:color w:val="000000"/>
          <w:lang w:val="en-US"/>
        </w:rPr>
        <w:t>,</w:t>
      </w:r>
      <w:r w:rsidR="002C4E6A" w:rsidRPr="009C7D07">
        <w:rPr>
          <w:color w:val="000000"/>
          <w:lang w:val="en-US"/>
        </w:rPr>
        <w:t xml:space="preserve"> </w:t>
      </w:r>
      <w:r w:rsidR="005B5184" w:rsidRPr="009C7D07">
        <w:rPr>
          <w:color w:val="000000"/>
          <w:lang w:val="en-US"/>
        </w:rPr>
        <w:t xml:space="preserve">ethanol caused a </w:t>
      </w:r>
      <w:r w:rsidR="00C80749" w:rsidRPr="009C7D07">
        <w:rPr>
          <w:color w:val="000000"/>
          <w:lang w:val="en-US"/>
        </w:rPr>
        <w:t>47</w:t>
      </w:r>
      <w:r w:rsidR="005B5184" w:rsidRPr="009C7D07">
        <w:rPr>
          <w:color w:val="000000"/>
          <w:lang w:val="en-US"/>
        </w:rPr>
        <w:t xml:space="preserve">% </w:t>
      </w:r>
      <w:r w:rsidRPr="009C7D07">
        <w:rPr>
          <w:color w:val="000000"/>
          <w:lang w:val="en-US"/>
        </w:rPr>
        <w:t>increase</w:t>
      </w:r>
      <w:r w:rsidR="005B5184" w:rsidRPr="009C7D07">
        <w:rPr>
          <w:color w:val="000000"/>
          <w:lang w:val="en-US"/>
        </w:rPr>
        <w:t xml:space="preserve"> in MDA formation (</w:t>
      </w:r>
      <w:r w:rsidR="008F23BE" w:rsidRPr="009C7D07">
        <w:rPr>
          <w:color w:val="000000"/>
          <w:lang w:val="en-US"/>
        </w:rPr>
        <w:t xml:space="preserve">Figure </w:t>
      </w:r>
      <w:r w:rsidR="009A17F3" w:rsidRPr="009C7D07">
        <w:rPr>
          <w:color w:val="000000"/>
          <w:lang w:val="en-US"/>
        </w:rPr>
        <w:t>2</w:t>
      </w:r>
      <w:r w:rsidR="008F23BE" w:rsidRPr="009C7D07">
        <w:rPr>
          <w:color w:val="000000"/>
          <w:lang w:val="en-US"/>
        </w:rPr>
        <w:t>D</w:t>
      </w:r>
      <w:r w:rsidR="005B5184" w:rsidRPr="009C7D07">
        <w:rPr>
          <w:color w:val="000000"/>
          <w:lang w:val="en-US"/>
        </w:rPr>
        <w:t xml:space="preserve">). Betaine alone </w:t>
      </w:r>
      <w:r w:rsidR="00C80749" w:rsidRPr="009C7D07">
        <w:rPr>
          <w:color w:val="000000"/>
          <w:lang w:val="en-US"/>
        </w:rPr>
        <w:t xml:space="preserve">as well as the betaine and ethanol group </w:t>
      </w:r>
      <w:r w:rsidR="002C4E6A" w:rsidRPr="009C7D07">
        <w:rPr>
          <w:color w:val="000000"/>
          <w:lang w:val="en-US"/>
        </w:rPr>
        <w:t xml:space="preserve">also </w:t>
      </w:r>
      <w:r w:rsidRPr="009C7D07">
        <w:rPr>
          <w:color w:val="000000"/>
          <w:lang w:val="en-US"/>
        </w:rPr>
        <w:t>showed no changes</w:t>
      </w:r>
      <w:r w:rsidR="00C80749" w:rsidRPr="009C7D07">
        <w:rPr>
          <w:color w:val="000000"/>
          <w:lang w:val="en-US"/>
        </w:rPr>
        <w:t>.</w:t>
      </w:r>
    </w:p>
    <w:p w14:paraId="5C0D8AAC" w14:textId="4209DE70" w:rsidR="00C24FA3" w:rsidRPr="009C7D07" w:rsidRDefault="009A32FB" w:rsidP="00796965">
      <w:pPr>
        <w:pStyle w:val="Heading2"/>
        <w:spacing w:line="480" w:lineRule="auto"/>
        <w:rPr>
          <w:rFonts w:cs="Times New Roman"/>
          <w:szCs w:val="24"/>
          <w:shd w:val="clear" w:color="auto" w:fill="FFFFFF"/>
          <w:lang w:val="en-US"/>
        </w:rPr>
      </w:pPr>
      <w:r w:rsidRPr="009C7D07">
        <w:rPr>
          <w:rFonts w:cs="Times New Roman"/>
          <w:szCs w:val="24"/>
          <w:shd w:val="clear" w:color="auto" w:fill="FFFFFF"/>
          <w:lang w:val="en-US"/>
        </w:rPr>
        <w:t>Antioxidant Enzyme A</w:t>
      </w:r>
      <w:r w:rsidR="004F577F" w:rsidRPr="009C7D07">
        <w:rPr>
          <w:rFonts w:cs="Times New Roman"/>
          <w:szCs w:val="24"/>
          <w:shd w:val="clear" w:color="auto" w:fill="FFFFFF"/>
          <w:lang w:val="en-US"/>
        </w:rPr>
        <w:t>ctivity</w:t>
      </w:r>
    </w:p>
    <w:p w14:paraId="5C3B11BC" w14:textId="7173AE4B" w:rsidR="00555F44" w:rsidRPr="009C7D07" w:rsidRDefault="00555F44" w:rsidP="00796965">
      <w:pPr>
        <w:spacing w:line="480" w:lineRule="auto"/>
        <w:jc w:val="both"/>
        <w:rPr>
          <w:color w:val="000000" w:themeColor="text1"/>
          <w:shd w:val="clear" w:color="auto" w:fill="FFFFFF"/>
          <w:lang w:val="en-US"/>
        </w:rPr>
      </w:pPr>
      <w:r w:rsidRPr="009C7D07">
        <w:rPr>
          <w:color w:val="000000" w:themeColor="text1"/>
          <w:lang w:val="en-US"/>
        </w:rPr>
        <w:t>E</w:t>
      </w:r>
      <w:r w:rsidR="00D85454" w:rsidRPr="009C7D07">
        <w:rPr>
          <w:color w:val="000000" w:themeColor="text1"/>
          <w:lang w:val="en-US"/>
        </w:rPr>
        <w:t>thanol exposure alone led to a 31% decrease (</w:t>
      </w:r>
      <w:r w:rsidR="00C705CB" w:rsidRPr="009C7D07">
        <w:rPr>
          <w:i/>
          <w:iCs/>
          <w:color w:val="000000" w:themeColor="text1"/>
          <w:lang w:val="en-US"/>
        </w:rPr>
        <w:t>p</w:t>
      </w:r>
      <w:r w:rsidR="00C705CB" w:rsidRPr="009C7D07">
        <w:rPr>
          <w:color w:val="000000" w:themeColor="text1"/>
          <w:lang w:val="en-US"/>
        </w:rPr>
        <w:t>&lt;</w:t>
      </w:r>
      <w:r w:rsidR="00D85454" w:rsidRPr="009C7D07">
        <w:rPr>
          <w:color w:val="000000" w:themeColor="text1"/>
          <w:lang w:val="en-US"/>
        </w:rPr>
        <w:t xml:space="preserve">0.05) in </w:t>
      </w:r>
      <w:r w:rsidRPr="009C7D07">
        <w:rPr>
          <w:color w:val="000000" w:themeColor="text1"/>
          <w:lang w:val="en-US"/>
        </w:rPr>
        <w:t xml:space="preserve">cytosolic </w:t>
      </w:r>
      <w:proofErr w:type="spellStart"/>
      <w:r w:rsidR="001E50CA" w:rsidRPr="009C7D07">
        <w:rPr>
          <w:color w:val="000000" w:themeColor="text1"/>
          <w:lang w:val="en-US"/>
        </w:rPr>
        <w:t>GPx</w:t>
      </w:r>
      <w:proofErr w:type="spellEnd"/>
      <w:r w:rsidR="001E50CA" w:rsidRPr="009C7D07">
        <w:rPr>
          <w:color w:val="000000" w:themeColor="text1"/>
          <w:lang w:val="en-US"/>
        </w:rPr>
        <w:t xml:space="preserve"> </w:t>
      </w:r>
      <w:r w:rsidR="00D85454" w:rsidRPr="009C7D07">
        <w:rPr>
          <w:color w:val="000000" w:themeColor="text1"/>
          <w:lang w:val="en-US"/>
        </w:rPr>
        <w:t>activity when compared to the control (Figure 3</w:t>
      </w:r>
      <w:r w:rsidRPr="009C7D07">
        <w:rPr>
          <w:color w:val="000000" w:themeColor="text1"/>
          <w:lang w:val="en-US"/>
        </w:rPr>
        <w:t>A</w:t>
      </w:r>
      <w:r w:rsidR="00D85454" w:rsidRPr="009C7D07">
        <w:rPr>
          <w:color w:val="000000" w:themeColor="text1"/>
          <w:lang w:val="en-US"/>
        </w:rPr>
        <w:t>). Both the betaine only and ethanol and betaine treated groups led to a 10% and an 8% decrease when compared to the corresponding controls (Figure 3</w:t>
      </w:r>
      <w:r w:rsidRPr="009C7D07">
        <w:rPr>
          <w:color w:val="000000" w:themeColor="text1"/>
          <w:lang w:val="en-US"/>
        </w:rPr>
        <w:t>B</w:t>
      </w:r>
      <w:r w:rsidR="00D85454" w:rsidRPr="009C7D07">
        <w:rPr>
          <w:color w:val="000000" w:themeColor="text1"/>
          <w:lang w:val="en-US"/>
        </w:rPr>
        <w:t>). In the mitochondria, no changes were seen in the ethanol and betaine only groups. However, in the ethanol and betaine treated group a 16% increase was observed (Figure 3</w:t>
      </w:r>
      <w:r w:rsidRPr="009C7D07">
        <w:rPr>
          <w:color w:val="000000" w:themeColor="text1"/>
          <w:lang w:val="en-US"/>
        </w:rPr>
        <w:t>B</w:t>
      </w:r>
      <w:r w:rsidR="00D85454" w:rsidRPr="009C7D07">
        <w:rPr>
          <w:color w:val="000000" w:themeColor="text1"/>
          <w:lang w:val="en-US"/>
        </w:rPr>
        <w:t xml:space="preserve">). </w:t>
      </w:r>
      <w:r w:rsidRPr="009C7D07">
        <w:rPr>
          <w:color w:val="000000" w:themeColor="text1"/>
          <w:shd w:val="clear" w:color="auto" w:fill="FFFFFF"/>
          <w:lang w:val="en-US"/>
        </w:rPr>
        <w:t xml:space="preserve">GR </w:t>
      </w:r>
      <w:r w:rsidR="007661E7" w:rsidRPr="009C7D07">
        <w:rPr>
          <w:color w:val="000000" w:themeColor="text1"/>
          <w:shd w:val="clear" w:color="auto" w:fill="FFFFFF"/>
          <w:lang w:val="en-US"/>
        </w:rPr>
        <w:t>catalyzes</w:t>
      </w:r>
      <w:r w:rsidRPr="009C7D07">
        <w:rPr>
          <w:color w:val="000000" w:themeColor="text1"/>
          <w:shd w:val="clear" w:color="auto" w:fill="FFFFFF"/>
          <w:lang w:val="en-US"/>
        </w:rPr>
        <w:t xml:space="preserve"> the reduction of GSSG to reduced GSH. In the cytoplasm</w:t>
      </w:r>
      <w:r w:rsidR="00144C85" w:rsidRPr="009C7D07">
        <w:rPr>
          <w:color w:val="000000" w:themeColor="text1"/>
          <w:shd w:val="clear" w:color="auto" w:fill="FFFFFF"/>
          <w:lang w:val="en-US"/>
        </w:rPr>
        <w:t>,</w:t>
      </w:r>
      <w:r w:rsidRPr="009C7D07">
        <w:rPr>
          <w:color w:val="000000" w:themeColor="text1"/>
          <w:shd w:val="clear" w:color="auto" w:fill="FFFFFF"/>
          <w:lang w:val="en-US"/>
        </w:rPr>
        <w:t xml:space="preserve"> no changes were observed in GR activity in any treatment group (Figure 3C). On the other hand, in the mitochondria, GR was increased by 175% and 575% following treatment with ethanol and betaine supplementation, respectively (Figure 3D). In the ethanol and betaine treated group a 15% reduction was observed when compared to the betaine only group (Figure 3D).</w:t>
      </w:r>
    </w:p>
    <w:p w14:paraId="647AD828" w14:textId="77777777" w:rsidR="00D85454" w:rsidRPr="009C7D07" w:rsidRDefault="00D85454" w:rsidP="00796965">
      <w:pPr>
        <w:spacing w:line="480" w:lineRule="auto"/>
        <w:jc w:val="both"/>
        <w:rPr>
          <w:color w:val="000000" w:themeColor="text1"/>
          <w:lang w:val="en-US"/>
        </w:rPr>
      </w:pPr>
    </w:p>
    <w:p w14:paraId="7934F92D" w14:textId="3097C894" w:rsidR="00195B21" w:rsidRPr="009C7D07" w:rsidRDefault="00195B21" w:rsidP="00796965">
      <w:pPr>
        <w:spacing w:line="480" w:lineRule="auto"/>
        <w:jc w:val="both"/>
        <w:rPr>
          <w:color w:val="000000"/>
          <w:lang w:val="en-US"/>
        </w:rPr>
      </w:pPr>
      <w:r w:rsidRPr="009C7D07">
        <w:rPr>
          <w:color w:val="000000" w:themeColor="text1"/>
          <w:lang w:val="en-US"/>
        </w:rPr>
        <w:t>In the cytoplasm, ethanol treatment alone led to a 14% decrease in SOD activity</w:t>
      </w:r>
      <w:r w:rsidR="005C2D33" w:rsidRPr="009C7D07">
        <w:rPr>
          <w:color w:val="000000" w:themeColor="text1"/>
          <w:lang w:val="en-US"/>
        </w:rPr>
        <w:t xml:space="preserve"> </w:t>
      </w:r>
      <w:r w:rsidRPr="009C7D07">
        <w:rPr>
          <w:color w:val="000000" w:themeColor="text1"/>
          <w:lang w:val="en-US"/>
        </w:rPr>
        <w:t>whereas in contrast</w:t>
      </w:r>
      <w:r w:rsidR="009F2150" w:rsidRPr="009C7D07">
        <w:rPr>
          <w:color w:val="000000" w:themeColor="text1"/>
          <w:lang w:val="en-US"/>
        </w:rPr>
        <w:t>,</w:t>
      </w:r>
      <w:r w:rsidRPr="009C7D07">
        <w:rPr>
          <w:color w:val="000000" w:themeColor="text1"/>
          <w:lang w:val="en-US"/>
        </w:rPr>
        <w:t xml:space="preserve"> betaine treatment alone led to a 34% increase (Figure 4A). </w:t>
      </w:r>
      <w:r w:rsidR="005C2D33" w:rsidRPr="009C7D07">
        <w:rPr>
          <w:color w:val="000000" w:themeColor="text1"/>
          <w:lang w:val="en-US"/>
        </w:rPr>
        <w:t>E</w:t>
      </w:r>
      <w:r w:rsidRPr="009C7D07">
        <w:rPr>
          <w:color w:val="000000" w:themeColor="text1"/>
          <w:lang w:val="en-US"/>
        </w:rPr>
        <w:t xml:space="preserve">thanol and betaine treatment led to a 53% reduction in SOD </w:t>
      </w:r>
      <w:r w:rsidR="005C2D33" w:rsidRPr="009C7D07">
        <w:rPr>
          <w:color w:val="000000" w:themeColor="text1"/>
          <w:lang w:val="en-US"/>
        </w:rPr>
        <w:t xml:space="preserve">activity in the cytoplasm </w:t>
      </w:r>
      <w:r w:rsidRPr="009C7D07">
        <w:rPr>
          <w:color w:val="000000" w:themeColor="text1"/>
          <w:lang w:val="en-US"/>
        </w:rPr>
        <w:t xml:space="preserve">when compared to the betaine control (Figure 4A). </w:t>
      </w:r>
      <w:r w:rsidR="00D85454" w:rsidRPr="009C7D07">
        <w:rPr>
          <w:color w:val="000000" w:themeColor="text1"/>
          <w:lang w:val="en-US"/>
        </w:rPr>
        <w:t>In the mitochondria, no changes to SOD activity were observed across all treatment groups (Figure 4</w:t>
      </w:r>
      <w:r w:rsidRPr="009C7D07">
        <w:rPr>
          <w:color w:val="000000" w:themeColor="text1"/>
          <w:lang w:val="en-US"/>
        </w:rPr>
        <w:t>B</w:t>
      </w:r>
      <w:r w:rsidR="00D85454" w:rsidRPr="009C7D07">
        <w:rPr>
          <w:color w:val="000000" w:themeColor="text1"/>
          <w:lang w:val="en-US"/>
        </w:rPr>
        <w:t xml:space="preserve">). </w:t>
      </w:r>
      <w:r w:rsidR="00D85454" w:rsidRPr="009C7D07">
        <w:rPr>
          <w:bCs/>
          <w:iCs/>
          <w:color w:val="000000" w:themeColor="text1"/>
          <w:lang w:val="en-US"/>
        </w:rPr>
        <w:t xml:space="preserve">The activity of catalase was also measured to assess </w:t>
      </w:r>
      <w:r w:rsidR="009F2150" w:rsidRPr="009C7D07">
        <w:rPr>
          <w:bCs/>
          <w:iCs/>
          <w:color w:val="000000" w:themeColor="text1"/>
          <w:lang w:val="en-US"/>
        </w:rPr>
        <w:t>its</w:t>
      </w:r>
      <w:r w:rsidR="00D85454" w:rsidRPr="009C7D07">
        <w:rPr>
          <w:bCs/>
          <w:iCs/>
          <w:color w:val="000000" w:themeColor="text1"/>
          <w:lang w:val="en-US"/>
        </w:rPr>
        <w:t xml:space="preserve"> function. No changes in catalase activity were observed in either the ethanol alone, betaine alone or a combination of ethanol and betaine treatment (Figure 4</w:t>
      </w:r>
      <w:r w:rsidRPr="009C7D07">
        <w:rPr>
          <w:bCs/>
          <w:iCs/>
          <w:color w:val="000000" w:themeColor="text1"/>
          <w:lang w:val="en-US"/>
        </w:rPr>
        <w:t>C</w:t>
      </w:r>
      <w:r w:rsidR="00D85454" w:rsidRPr="009C7D07">
        <w:rPr>
          <w:bCs/>
          <w:iCs/>
          <w:color w:val="000000" w:themeColor="text1"/>
          <w:lang w:val="en-US"/>
        </w:rPr>
        <w:t>).</w:t>
      </w:r>
      <w:r w:rsidRPr="009C7D07">
        <w:rPr>
          <w:color w:val="000000"/>
          <w:lang w:val="en-US"/>
        </w:rPr>
        <w:t xml:space="preserve"> </w:t>
      </w:r>
    </w:p>
    <w:p w14:paraId="6A76166B" w14:textId="77777777" w:rsidR="00195B21" w:rsidRPr="009C7D07" w:rsidRDefault="00195B21" w:rsidP="00796965">
      <w:pPr>
        <w:spacing w:line="480" w:lineRule="auto"/>
        <w:jc w:val="both"/>
        <w:rPr>
          <w:color w:val="000000"/>
          <w:lang w:val="en-US"/>
        </w:rPr>
      </w:pPr>
    </w:p>
    <w:p w14:paraId="4C6C41B6" w14:textId="798CBFC3" w:rsidR="00195B21" w:rsidRPr="009C7D07" w:rsidRDefault="00195B21" w:rsidP="00796965">
      <w:pPr>
        <w:spacing w:line="480" w:lineRule="auto"/>
        <w:jc w:val="both"/>
        <w:rPr>
          <w:color w:val="000000"/>
          <w:lang w:val="en-US"/>
        </w:rPr>
      </w:pPr>
      <w:r w:rsidRPr="009C7D07">
        <w:rPr>
          <w:color w:val="000000"/>
          <w:lang w:val="en-US"/>
        </w:rPr>
        <w:t>Ethanol treatment alone led to a 50% increase in complex I activity and betaine supplementation alone led to a 13% decrease in complex I activity, respectively (Figure 4D). Betaine treatment followed by ethanol led to a 43% increase in complex I activity when compared to the betaine only group (Figure 4D).</w:t>
      </w:r>
    </w:p>
    <w:p w14:paraId="30EA1B69" w14:textId="04B2163E" w:rsidR="007D4263" w:rsidRPr="009C7D07" w:rsidRDefault="007D4263" w:rsidP="00A34F6C">
      <w:pPr>
        <w:pStyle w:val="Heading1"/>
        <w:rPr>
          <w:rFonts w:cs="Times New Roman"/>
          <w:color w:val="4472C4"/>
          <w:szCs w:val="24"/>
          <w:lang w:val="en-US"/>
        </w:rPr>
      </w:pPr>
      <w:r w:rsidRPr="009C7D07">
        <w:rPr>
          <w:rFonts w:cs="Times New Roman"/>
          <w:szCs w:val="24"/>
          <w:lang w:val="en-US"/>
        </w:rPr>
        <w:t>Discussion</w:t>
      </w:r>
    </w:p>
    <w:p w14:paraId="23F87823" w14:textId="6B9A5E12" w:rsidR="00DD5A8C" w:rsidRPr="009C7D07" w:rsidRDefault="00010C52" w:rsidP="00796965">
      <w:pPr>
        <w:spacing w:line="480" w:lineRule="auto"/>
        <w:jc w:val="both"/>
        <w:rPr>
          <w:bCs/>
          <w:color w:val="000000" w:themeColor="text1"/>
          <w:lang w:val="en-US"/>
        </w:rPr>
      </w:pPr>
      <w:r w:rsidRPr="009C7D07">
        <w:rPr>
          <w:color w:val="000000" w:themeColor="text1"/>
          <w:lang w:val="en-US"/>
        </w:rPr>
        <w:t>To date</w:t>
      </w:r>
      <w:r w:rsidR="00144C85" w:rsidRPr="009C7D07">
        <w:rPr>
          <w:color w:val="000000" w:themeColor="text1"/>
          <w:lang w:val="en-US"/>
        </w:rPr>
        <w:t>,</w:t>
      </w:r>
      <w:r w:rsidRPr="009C7D07">
        <w:rPr>
          <w:color w:val="000000" w:themeColor="text1"/>
          <w:lang w:val="en-US"/>
        </w:rPr>
        <w:t xml:space="preserve"> there have been few studies assessing the effects of both ethanol and betaine on oxidative damage and apoptosis in the teenage population</w:t>
      </w:r>
      <w:r w:rsidR="006F091A" w:rsidRPr="009C7D07">
        <w:rPr>
          <w:color w:val="000000" w:themeColor="text1"/>
          <w:lang w:val="en-US"/>
        </w:rPr>
        <w:t xml:space="preserve">. </w:t>
      </w:r>
      <w:r w:rsidR="006F091A" w:rsidRPr="009C7D07">
        <w:rPr>
          <w:color w:val="000000" w:themeColor="text1"/>
          <w:shd w:val="clear" w:color="auto" w:fill="FFFFFF"/>
          <w:lang w:val="en-US"/>
        </w:rPr>
        <w:t xml:space="preserve">Binge ethanol treatment has been shown to decrease ATP and increase ROS </w:t>
      </w:r>
      <w:r w:rsidR="006F091A" w:rsidRPr="009C7D07">
        <w:rPr>
          <w:color w:val="000000" w:themeColor="text1"/>
          <w:shd w:val="clear" w:color="auto" w:fill="FFFFFF"/>
          <w:lang w:val="en-US"/>
        </w:rPr>
        <w:fldChar w:fldCharType="begin" w:fldLock="1"/>
      </w:r>
      <w:r w:rsidR="00CB53A3">
        <w:rPr>
          <w:color w:val="000000" w:themeColor="text1"/>
          <w:shd w:val="clear" w:color="auto" w:fill="FFFFFF"/>
          <w:lang w:val="en-US"/>
        </w:rPr>
        <w:instrText>ADDIN CSL_CITATION {"citationItems":[{"id":"ITEM-1","itemData":{"DOI":"10.1016/j.neuroscience.2019.03.018","ISSN":"18737544","abstract":"Binge alcohol drinking is a well characterized consumption pattern related with drinking five or more alcoholic beverages during a short period of time followed by a non-drinking period. Several studies showed that this pattern of alcohol intake is becoming very popular among adolescents. However, little is known about the cellular mechanisms involved in ethanol toxicity under these conditions and if these negative changes could be extending to the adulthood. We previously reported that adolescent binge-ethanol consumption impairs brain function acutely. More importantly, we found that animals exposed to this alcohol treatment showed a decrease in the ATP production that remain over time. Therefore, in the present study, we will evaluate the mitochondrial and oxidative alterations that could occur in the adult hippocampus of rats exposed to a unique binge-drinking episode during the adolescence. Our results indicate that adult hippocampus after one adolescent binge-drinking episode presents an increase in the reactive oxygen species production accompanied of mitochondrial dysfunction. Adolescent binge-like ethanol exposure reduced the expression of the mitochondrial respiration complexes, induced mitochondrial depolarization, increased mitochondrial calcium levels, and reduced ATP production in the adult hippocampus. Altogether, our results indicate that adolescence binge alcohol drinking affects the electron transport chain components expression resulting in mitochondrial failure and loss of calcium buffering in the adult hippocampus. Therefore, we reported for first time that adolescent binge-alcohol consumption has severe repercussions on mitochondrial bioenergetics during the adulthood; and that this is not a transitory change until the state of drunkenness disappears as previously believed.","author":[{"dropping-particle":"","family":"Tapia-Rojas","given":"Cheril","non-dropping-particle":"","parse-names":false,"suffix":""},{"dropping-particle":"","family":"Torres","given":"Angie K.","non-dropping-particle":"","parse-names":false,"suffix":""},{"dropping-particle":"","family":"Quintanilla","given":"Rodrigo A.","non-dropping-particle":"","parse-names":false,"suffix":""}],"container-title":"Neuroscience","id":"ITEM-1","issued":{"date-parts":[["2019","5","15"]]},"page":"356-368","publisher":"Elsevier Ltd","title":"Adolescence binge alcohol consumption induces hippocampal mitochondrial impairment that persists during the adulthood","type":"article-journal","volume":"406"},"uris":["http://www.mendeley.com/documents/?uuid=36daac90-b035-3d3d-9a09-ee8af7e18416"]}],"mendeley":{"formattedCitation":"&lt;span style=\"baseline\"&gt;(6)&lt;/span&gt;","plainTextFormattedCitation":"(6)","previouslyFormattedCitation":"&lt;sup&gt;6&lt;/sup&gt;"},"properties":{"noteIndex":0},"schema":"https://github.com/citation-style-language/schema/raw/master/csl-citation.json"}</w:instrText>
      </w:r>
      <w:r w:rsidR="006F091A" w:rsidRPr="009C7D07">
        <w:rPr>
          <w:color w:val="000000" w:themeColor="text1"/>
          <w:shd w:val="clear" w:color="auto" w:fill="FFFFFF"/>
          <w:lang w:val="en-US"/>
        </w:rPr>
        <w:fldChar w:fldCharType="separate"/>
      </w:r>
      <w:r w:rsidR="00CB53A3" w:rsidRPr="00CB53A3">
        <w:rPr>
          <w:noProof/>
          <w:color w:val="000000" w:themeColor="text1"/>
          <w:shd w:val="clear" w:color="auto" w:fill="FFFFFF"/>
          <w:lang w:val="en-US"/>
        </w:rPr>
        <w:t>(6)</w:t>
      </w:r>
      <w:r w:rsidR="006F091A" w:rsidRPr="009C7D07">
        <w:rPr>
          <w:color w:val="000000" w:themeColor="text1"/>
          <w:shd w:val="clear" w:color="auto" w:fill="FFFFFF"/>
          <w:lang w:val="en-US"/>
        </w:rPr>
        <w:fldChar w:fldCharType="end"/>
      </w:r>
      <w:r w:rsidR="006F091A" w:rsidRPr="009C7D07">
        <w:rPr>
          <w:color w:val="000000" w:themeColor="text1"/>
          <w:shd w:val="clear" w:color="auto" w:fill="FFFFFF"/>
          <w:lang w:val="en-US"/>
        </w:rPr>
        <w:t>. Recent</w:t>
      </w:r>
      <w:r w:rsidR="00323FA9" w:rsidRPr="009C7D07">
        <w:rPr>
          <w:color w:val="000000" w:themeColor="text1"/>
          <w:shd w:val="clear" w:color="auto" w:fill="FFFFFF"/>
          <w:lang w:val="en-US"/>
        </w:rPr>
        <w:t xml:space="preserve"> </w:t>
      </w:r>
      <w:r w:rsidR="00323FA9" w:rsidRPr="009C7D07">
        <w:rPr>
          <w:i/>
          <w:iCs/>
          <w:color w:val="000000" w:themeColor="text1"/>
          <w:shd w:val="clear" w:color="auto" w:fill="FFFFFF"/>
          <w:lang w:val="en-US"/>
        </w:rPr>
        <w:t>in vivo</w:t>
      </w:r>
      <w:r w:rsidR="006F091A" w:rsidRPr="009C7D07">
        <w:rPr>
          <w:i/>
          <w:iCs/>
          <w:color w:val="000000" w:themeColor="text1"/>
          <w:shd w:val="clear" w:color="auto" w:fill="FFFFFF"/>
          <w:lang w:val="en-US"/>
        </w:rPr>
        <w:t xml:space="preserve"> </w:t>
      </w:r>
      <w:r w:rsidR="006F091A" w:rsidRPr="009C7D07">
        <w:rPr>
          <w:color w:val="000000" w:themeColor="text1"/>
          <w:shd w:val="clear" w:color="auto" w:fill="FFFFFF"/>
          <w:lang w:val="en-US"/>
        </w:rPr>
        <w:t xml:space="preserve">studies using chronic ethanol models have examined the protective effects of betaine </w:t>
      </w:r>
      <w:r w:rsidR="006F091A" w:rsidRPr="009C7D07">
        <w:rPr>
          <w:bCs/>
          <w:color w:val="000000" w:themeColor="text1"/>
          <w:lang w:val="en-US"/>
        </w:rPr>
        <w:fldChar w:fldCharType="begin" w:fldLock="1"/>
      </w:r>
      <w:r w:rsidR="00CB53A3">
        <w:rPr>
          <w:bCs/>
          <w:color w:val="000000" w:themeColor="text1"/>
          <w:lang w:val="en-US"/>
        </w:rPr>
        <w:instrText>ADDIN CSL_CITATION {"citationItems":[{"id":"ITEM-1","itemData":{"DOI":"10.1016/0741-8329(96)00040-7","ISSN":"07418329","abstract":"Previous studies in this laboratory have shown that feeding of ethanol to rats produces prompt inhibition of methionine synthetase (MS) as well as a subsequent increase in activity of betaine homocysteine methyltransferase (BHMT). Further studies have shown that supplemental dietary betaine enhanced methionine metabolism and S-adenosylmethionine (SAM) generation in control and ethanol-fed rats. Because MS and BHMT are both involved in the formation of SAM. This study was conducted to determine early of effects of ethanol on hepatic SAM levels and the influence of betaine supplementation on parameters of methionine metabolism during the early periods of MS inhibition and enhanced BHMT activity. Results showed that ethanol feeding produced a significant loss in SAM in the first week with a return to normal SAM levels in the second week. Betaine feeding enhanced hepatic betaine pools in control as well as ethanol-fed animals. This feeding attenuated the early loss of SAM in ethanol fed animals, produced an early increase in BHMT activity, and generated increased levels of SAM in both control and ethanol-fed groups. Furthermore, betaine lowered significantly the accumulation of hepatic triglyceride produced by ethanol after 2 weeks of ingestion.","author":[{"dropping-particle":"","family":"Barak","given":"Anthony J.","non-dropping-particle":"","parse-names":false,"suffix":""},{"dropping-particle":"","family":"Beckenhauer","given":"Harriet C.","non-dropping-particle":"","parse-names":false,"suffix":""},{"dropping-particle":"","family":"Tuma","given":"Dean J.","non-dropping-particle":"","parse-names":false,"suffix":""}],"container-title":"Alcohol","id":"ITEM-1","issue":"5","issued":{"date-parts":[["1996","9","1"]]},"page":"483-486","publisher":"Elsevier Inc.","title":"Betaine effects on hepatic methionine metabolism elicited by short-term ethanol feeding","type":"article-journal","volume":"13"},"uris":["http://www.mendeley.com/documents/?uuid=377d5593-d0ea-3caa-b161-32bec71cf5d3"]},{"id":"ITEM-2","itemData":{"DOI":"10.1155/2012/962183","ISSN":"2090-3448","abstract":"&lt;italic&gt;Introduction&lt;/italic&gt;. Mitochondrial damage and disruption in oxidative phosphorylation contributes to the pathogenesis of alcoholic liver injury. Herein, we tested the hypothesis that the hepatoprotective actions of betaine against alcoholic liver injury occur at the level of the mitochondrial proteome. &lt;italic&gt;Methods&lt;/italic&gt;. Male Wister rats were pair-fed control or ethanol-containing liquid diets supplemented with or without betaine (10&amp;#x2009;mg/mL) for 4-5 wks. Liver was examined for triglyceride accumulation, levels of methionine cycle metabolites, and alterations in mitochondrial proteins. &lt;italic&gt;Results&lt;/italic&gt;. Chronic ethanol ingestion resulted in triglyceride accumulation which was attenuated in the ethanol plus betaine group. Blue native gel electrophoresis (BN-PAGE) revealed significant decreases in the content of the intact oxidative phosphorylation complexes in mitochondria from ethanol-fed animals. The alcohol-dependent loss in many of the low molecular weight oxidative phosphorylation proteins was prevented by betaine supplementation. This protection by betaine was associated with normalization of SAM&amp;#x2009;:&amp;#x2009;S-adenosylhomocysteine (SAH) ratios and the attenuation of the ethanol-induced increase in inducible nitric oxide synthase and nitric oxide generation in the liver. &lt;italic&gt;Discussion/Conclusion&lt;/italic&gt;. In summary, betaine attenuates alcoholic steatosis and alterations to the oxidative phosphorylation system. Therefore, preservation of mitochondrial function may be another key molecular mechanism responsible for betaine hepatoprotection.","author":[{"dropping-particle":"","family":"Kharbanda","given":"Kusum K","non-dropping-particle":"","parse-names":false,"suffix":""},{"dropping-particle":"","family":"Todero","given":"Sandra L","non-dropping-particle":"","parse-names":false,"suffix":""},{"dropping-particle":"","family":"King","given":"Adrienne L","non-dropping-particle":"","parse-names":false,"suffix":""},{"dropping-particle":"","family":"Osna","given":"Natalia A","non-dropping-particle":"","parse-names":false,"suffix":""},{"dropping-particle":"","family":"McVicker","given":"Benita L","non-dropping-particle":"","parse-names":false,"suffix":""},{"dropping-particle":"","family":"Tuma","given":"Dean J","non-dropping-particle":"","parse-names":false,"suffix":""},{"dropping-particle":"","family":"Wisecarver","given":"James L","non-dropping-particle":"","parse-names":false,"suffix":""},{"dropping-particle":"","family":"Bailey","given":"Shannon M","non-dropping-particle":"","parse-names":false,"suffix":""}],"container-title":"International Journal of Hepatology","editor":[{"dropping-particle":"","family":"Schrum","given":"Laura","non-dropping-particle":"","parse-names":false,"suffix":""}],"id":"ITEM-2","issued":{"date-parts":[["2012"]]},"page":"962183","publisher":"Hindawi Publishing Corporation","title":"Betaine Treatment Attenuates Chronic Ethanol-Induced Hepatic Steatosis and Alterations to the Mitochondrial Respiratory Chain Proteome","type":"article-journal","volume":"2012"},"uris":["http://www.mendeley.com/documents/?uuid=38b56347-fc7e-4123-a164-6220452fe770"]},{"id":"ITEM-3","itemData":{"DOI":"10.1093/jn/133.9.2845","ISSN":"0022-3166","abstract":"Previous studies showed that chronic ethanol administration inhibits methionine synthase activity, resulting in impaired homocysteine remethylation to form methionine. This defect in homocysteine remethylation was shown to increase plasma homocysteine and to interfere with the production of hepatic S-adenosylmethionine (SAM) in ethanol-fed rats. These changes were shown to be reversed by the administration of betaine, an alternative methylating agent. This study was undertaken to determine additional effects of ethanol on methionine metabolism and their functional consequences. The influences of methionine loading and betaine supplementation were also evaluated. Adult Wistar rats were fed ethanol or a control Lieber-DeCarli liquid diet for 4 wk, and metabolites of the methionine cycle were measured in vitro in isolated hepatocytes under basal and methionine-supplemented conditions. S-Adenosylhomocysteine (SAH) concentrations were elevated in hepatocytes isolated from ethanol-fed rats compared with controls and in hepatocytes from both groups when supplemented with methionine. The addition of betaine to the methionine-supplemented incubation media reduced the elevated SAH levels. The decrease in the intracellular SAH:SAM ratio due to ethanol consumption inhibited the activity of the liver-specific SAM-dependent methyltransferase, phosphatidylethanolamine methyltransferase. Our data indicate that betaine, by remethylating homocysteine and removing SAH, overcomes the detrimental effects of ethanol consumption on methionine metabolism and may be effective in correcting methylation defects and treating liver diseases.","author":[{"dropping-particle":"","family":"Barak","given":"Anthony J","non-dropping-particle":"","parse-names":false,"suffix":""},{"dropping-particle":"","family":"Beckenhauer","given":"Harriet C","non-dropping-particle":"","parse-names":false,"suffix":""},{"dropping-particle":"","family":"Mailliard","given":"Mark E","non-dropping-particle":"","parse-names":false,"suffix":""},{"dropping-particle":"","family":"Kharbanda","given":"Kusum K","non-dropping-particle":"","parse-names":false,"suffix":""},{"dropping-particle":"","family":"Tuma","given":"Dean J","non-dropping-particle":"","parse-names":false,"suffix":""}],"container-title":"The Journal of Nutrition","id":"ITEM-3","issue":"9","issued":{"date-parts":[["2003","9","1"]]},"page":"2845-2848","title":"Betaine Lowers Elevated S-Adenosylhomocysteine Levels in Hepatocytes from Ethanol-Fed Rats","type":"article-journal","volume":"133"},"uris":["http://www.mendeley.com/documents/?uuid=81bf4035-7c9c-4d5b-af35-022319eb9907"]},{"id":"ITEM-4","itemData":{"DOI":"10.1002/cbf.926","ISSN":"02636484","abstract":"The protective effects of betaine in ethanol hepatotoxicity were investigated in 24 female wistar albino rats. Animals were divided into three groups: control, ethanol and ethanol + betaine group. Animals were fed liquid diets and consumed approximately 60 diet per day. Rats were fed ethanol 8 kg-1 day-1. The ethanol + betaine group were fed ethanol plus betaine (0.5% w/v). All animal were fed for 2 months. Reduced glutathione, malondialdehyde and vitamin A were determined in the liver tissue. Alanine aminotransferase activities were also measured on intracardiac blood samples. GSH levels in the ethanol group were significantly lower than these in the control group (p &lt; 0.001). GSH was elevated in the betaine group as compared to the ethanol group (p &lt; 0.001). MDA in the ethanol group was significantly higher than that in the control group (p &lt; 0.05). MDA was decreased in the betaine group as compared to the ethanol group (p &lt; 0.05). Vitamin A in the ethanol group was significantly lower than that in the control group (p &lt; 0.01), but, in the ethanol + betaine group it was high compared with the ethanol group (p &lt; 0.01). ALT in the ethanol group was higher than that in the control group (p &lt; 0.05). Oxidative stress may play a major role in the ethanol-mediated hepatotoxicity. Betaine may protect liver against injury and it may prevent vitamin A depletion. Therefore, it may be a useful nutritional agent in the prevention of clinical problems dependent on ethanol-induced vitamin A depletion and peroxidative injury in liver. Copyright © 2001 John Wiley &amp; Sons, Ltd.","author":[{"dropping-particle":"","family":"Kanbak","given":"Güngör","non-dropping-particle":"","parse-names":false,"suffix":""},{"dropping-particle":"","family":"İnal","given":"Mine","non-dropping-particle":"","parse-names":false,"suffix":""},{"dropping-particle":"","family":"Bayçu","given":"Cengiz","non-dropping-particle":"","parse-names":false,"suffix":""}],"container-title":"Cell Biochemistry and Function","id":"ITEM-4","issue":"4","issued":{"date-parts":[["2001","12","1"]]},"page":"281-285","publisher":"John Wiley &amp; Sons, Ltd","title":"Ethanol-induced hepatotoxicity and protective effect of betaine","type":"article-journal","volume":"19"},"uris":["http://www.mendeley.com/documents/?uuid=71013ebb-2db1-3cfe-8aa9-3b0c38bd63e8"]},{"id":"ITEM-5","itemData":{"DOI":"10.1016/j.jhep.2006.08.024","ISSN":"01688278","abstract":"Background/Aims: Previous studies in our laboratory implicated ethanol-induced decreases in hepatocellular S-adenosylmethionine to S-adenosylhomocysteine (SAM:SAH) ratios in lowering the activity of phosphatidylethanolamine methyltransferase (PEMT), which is associated with the generation of steatosis. Further in vitro studies showed that betaine supplementation could correct these alterations in the ratio as well as attenuate alcoholic steatosis. Therefore, we sought to determine whether the protective effect of betaine is via its effect on PEMT activity. Methods: Male Wistar rats were fed the Lieber DeCarli control or ethanol diet with or without 1% betaine supplementation for 4 weeks. Results: We observed that ethanol feeding resulted in decreased phosphatidylcholine (PC) production by a PEMT-catalyzed reaction. Betaine supplementation corrected the ethanol-induced decrease in hepatic SAM:SAH ratios and by normalizing PC production via the PEMT-mediated pathway, significantly reduced fatty infiltration associated with ethanol consumption. This restoration of hepatocellular SAM:SAH ratio by betaine supplementation was associated with increases in the activity, enzyme mass and gene expression of the enzyme, betaine homocysteine methyltransferase (BHMT), that remethylates homocysteine. Conclusions: Betaine, by virtue of promoting an alternate remethylation pathway, restores SAM:SAH ratios that, in turn, correct the defective cellular methylation reaction catalyzed by PEMT resulting in protection against the generation of alcoholic steatosis. © 2006 European Association for the Study of the Liver.","author":[{"dropping-particle":"","family":"Kharbanda","given":"Kusum K.","non-dropping-particle":"","parse-names":false,"suffix":""},{"dropping-particle":"","family":"Mailliard","given":"Mark E.","non-dropping-particle":"","parse-names":false,"suffix":""},{"dropping-particle":"","family":"Baldwin","given":"Cheryl R.","non-dropping-particle":"","parse-names":false,"suffix":""},{"dropping-particle":"","family":"Beckenhauer","given":"Harriet C.","non-dropping-particle":"","parse-names":false,"suffix":""},{"dropping-particle":"","family":"Sorrell","given":"Michael F.","non-dropping-particle":"","parse-names":false,"suffix":""},{"dropping-particle":"","family":"Tuma","given":"Dean J.","non-dropping-particle":"","parse-names":false,"suffix":""}],"container-title":"Journal of Hepatology","id":"ITEM-5","issue":"2","issued":{"date-parts":[["2007","2","1"]]},"page":"314-321","publisher":"Elsevier","title":"Betaine attenuates alcoholic steatosis by restoring phosphatidylcholine generation via the phosphatidylethanolamine methyltransferase pathway","type":"article-journal","volume":"46"},"uris":["http://www.mendeley.com/documents/?uuid=028fba51-e92f-313f-9c26-f799a112efd5"]}],"mendeley":{"formattedCitation":"&lt;span style=\"baseline\"&gt;(14–18)&lt;/span&gt;","plainTextFormattedCitation":"(14–18)","previouslyFormattedCitation":"&lt;sup&gt;14–18&lt;/sup&gt;"},"properties":{"noteIndex":0},"schema":"https://github.com/citation-style-language/schema/raw/master/csl-citation.json"}</w:instrText>
      </w:r>
      <w:r w:rsidR="006F091A" w:rsidRPr="009C7D07">
        <w:rPr>
          <w:bCs/>
          <w:color w:val="000000" w:themeColor="text1"/>
          <w:lang w:val="en-US"/>
        </w:rPr>
        <w:fldChar w:fldCharType="separate"/>
      </w:r>
      <w:r w:rsidR="00CB53A3" w:rsidRPr="00CB53A3">
        <w:rPr>
          <w:bCs/>
          <w:noProof/>
          <w:color w:val="000000" w:themeColor="text1"/>
          <w:lang w:val="en-US"/>
        </w:rPr>
        <w:t>(14–18)</w:t>
      </w:r>
      <w:r w:rsidR="006F091A" w:rsidRPr="009C7D07">
        <w:rPr>
          <w:bCs/>
          <w:color w:val="000000" w:themeColor="text1"/>
          <w:lang w:val="en-US"/>
        </w:rPr>
        <w:fldChar w:fldCharType="end"/>
      </w:r>
      <w:r w:rsidR="006F091A" w:rsidRPr="009C7D07">
        <w:rPr>
          <w:bCs/>
          <w:color w:val="000000" w:themeColor="text1"/>
          <w:lang w:val="en-US"/>
        </w:rPr>
        <w:t xml:space="preserve"> and in acute ethanol models</w:t>
      </w:r>
      <w:r w:rsidR="00144C85" w:rsidRPr="009C7D07">
        <w:rPr>
          <w:bCs/>
          <w:color w:val="000000" w:themeColor="text1"/>
          <w:lang w:val="en-US"/>
        </w:rPr>
        <w:t xml:space="preserve">, </w:t>
      </w:r>
      <w:r w:rsidR="006F091A" w:rsidRPr="009C7D07">
        <w:rPr>
          <w:bCs/>
          <w:color w:val="000000" w:themeColor="text1"/>
          <w:lang w:val="en-US"/>
        </w:rPr>
        <w:t xml:space="preserve">dietary betaine has been shown to ameliorate </w:t>
      </w:r>
      <w:r w:rsidR="002474A3" w:rsidRPr="009C7D07">
        <w:rPr>
          <w:bCs/>
          <w:color w:val="000000" w:themeColor="text1"/>
          <w:lang w:val="en-US"/>
        </w:rPr>
        <w:t>injury</w:t>
      </w:r>
      <w:r w:rsidR="006F091A" w:rsidRPr="009C7D07">
        <w:rPr>
          <w:bCs/>
          <w:color w:val="000000" w:themeColor="text1"/>
          <w:lang w:val="en-US"/>
        </w:rPr>
        <w:t xml:space="preserve"> </w:t>
      </w:r>
      <w:r w:rsidR="006F091A" w:rsidRPr="009C7D07">
        <w:rPr>
          <w:bCs/>
          <w:color w:val="000000" w:themeColor="text1"/>
          <w:lang w:val="en-US"/>
        </w:rPr>
        <w:fldChar w:fldCharType="begin" w:fldLock="1"/>
      </w:r>
      <w:r w:rsidR="00CB53A3">
        <w:rPr>
          <w:bCs/>
          <w:color w:val="000000" w:themeColor="text1"/>
          <w:lang w:val="en-US"/>
        </w:rPr>
        <w:instrText>ADDIN CSL_CITATION {"citationItems":[{"id":"ITEM-1","itemData":{"DOI":"10.1016/j.bbrc.2008.02.003","ISSN":"0006291X","abstract":"Oxidative stress is suggested to play a key role in the development of alcoholic liver injury. We investigated the induction of oxidative damage in association with changes in hepatic concentrations of sulfur-containing substances in mice challenged with binge-like ethanol administration. Also the protective effect of dietary betaine against ethanol-induced liver injury was determined. Serum alanine aminotransferase activity, TNFα level, and hepatic malondialdehyde level were increased significantly by ethanol administration. Hepatic Cyp2e1 was induced to 250% of control. Ethanol administration decreased hepatic S-adenosylmethionine, cysteine, and glutathione, but elevated hypotaurine and taurine levels. Betaine supplied in drinking water for 2 weeks attenuated the induction of alcoholic liver injury and Cyp2e1 significantly. Reduction of hepatic S-adenosylmethionine and glutathione was alleviated, and elevation of hypotaurine and taurine was depressed. The results suggest that betaine may protect the liver against ethanol-induced oxidative injury most probably via its effects on the sulfur-amino acid metabolism. © 2008 Elsevier Inc. All rights reserved.","author":[{"dropping-particle":"","family":"Kim","given":"Sun J.","non-dropping-particle":"","parse-names":false,"suffix":""},{"dropping-particle":"","family":"Jung","given":"Young S.","non-dropping-particle":"","parse-names":false,"suffix":""},{"dropping-particle":"","family":"Kwon","given":"Do Y.","non-dropping-particle":"","parse-names":false,"suffix":""},{"dropping-particle":"","family":"Kim","given":"Young C.","non-dropping-particle":"","parse-names":false,"suffix":""}],"container-title":"Biochemical and Biophysical Research Communications","id":"ITEM-1","issue":"4","issued":{"date-parts":[["2008","4","18"]]},"page":"893-898","publisher":"Academic Press","title":"Alleviation of acute ethanol-induced liver injury and impaired metabolomics of S-containing substances by betaine supplementation","type":"article-journal","volume":"368"},"uris":["http://www.mendeley.com/documents/?uuid=978db614-0f05-304b-96e9-1f6ffcecfb5d"]}],"mendeley":{"formattedCitation":"&lt;span style=\"baseline\"&gt;(19)&lt;/span&gt;","plainTextFormattedCitation":"(19)","previouslyFormattedCitation":"&lt;sup&gt;19&lt;/sup&gt;"},"properties":{"noteIndex":0},"schema":"https://github.com/citation-style-language/schema/raw/master/csl-citation.json"}</w:instrText>
      </w:r>
      <w:r w:rsidR="006F091A" w:rsidRPr="009C7D07">
        <w:rPr>
          <w:bCs/>
          <w:color w:val="000000" w:themeColor="text1"/>
          <w:lang w:val="en-US"/>
        </w:rPr>
        <w:fldChar w:fldCharType="separate"/>
      </w:r>
      <w:r w:rsidR="00CB53A3" w:rsidRPr="00CB53A3">
        <w:rPr>
          <w:bCs/>
          <w:noProof/>
          <w:color w:val="000000" w:themeColor="text1"/>
          <w:lang w:val="en-US"/>
        </w:rPr>
        <w:t>(19)</w:t>
      </w:r>
      <w:r w:rsidR="006F091A" w:rsidRPr="009C7D07">
        <w:rPr>
          <w:bCs/>
          <w:color w:val="000000" w:themeColor="text1"/>
          <w:lang w:val="en-US"/>
        </w:rPr>
        <w:fldChar w:fldCharType="end"/>
      </w:r>
      <w:r w:rsidR="006F091A" w:rsidRPr="009C7D07">
        <w:rPr>
          <w:bCs/>
          <w:color w:val="000000" w:themeColor="text1"/>
          <w:lang w:val="en-US"/>
        </w:rPr>
        <w:t xml:space="preserve">. </w:t>
      </w:r>
      <w:r w:rsidRPr="009C7D07">
        <w:rPr>
          <w:color w:val="000000" w:themeColor="text1"/>
          <w:lang w:val="en-US"/>
        </w:rPr>
        <w:t xml:space="preserve">Therefore, </w:t>
      </w:r>
      <w:r w:rsidR="00144C85" w:rsidRPr="009C7D07">
        <w:rPr>
          <w:color w:val="000000" w:themeColor="text1"/>
          <w:lang w:val="en-US"/>
        </w:rPr>
        <w:t>this study aimed</w:t>
      </w:r>
      <w:r w:rsidRPr="009C7D07">
        <w:rPr>
          <w:color w:val="000000" w:themeColor="text1"/>
          <w:lang w:val="en-US"/>
        </w:rPr>
        <w:t xml:space="preserve"> to investigate how </w:t>
      </w:r>
      <w:r w:rsidRPr="009C7D07">
        <w:rPr>
          <w:bCs/>
          <w:color w:val="000000" w:themeColor="text1"/>
          <w:lang w:val="en-US"/>
        </w:rPr>
        <w:t xml:space="preserve">ethanol affects juvenile hepatic cells through changes in oxidative damage, apoptosis and liver function and whether supplementation of betaine can provide protection or </w:t>
      </w:r>
      <w:r w:rsidR="007661E7" w:rsidRPr="009C7D07">
        <w:rPr>
          <w:bCs/>
          <w:color w:val="000000" w:themeColor="text1"/>
          <w:lang w:val="en-US"/>
        </w:rPr>
        <w:t>minimize</w:t>
      </w:r>
      <w:r w:rsidRPr="009C7D07">
        <w:rPr>
          <w:bCs/>
          <w:color w:val="000000" w:themeColor="text1"/>
          <w:lang w:val="en-US"/>
        </w:rPr>
        <w:t xml:space="preserve"> the effects of oxidative liver</w:t>
      </w:r>
      <w:r w:rsidR="00A42DE6" w:rsidRPr="009C7D07">
        <w:rPr>
          <w:bCs/>
          <w:color w:val="000000" w:themeColor="text1"/>
          <w:lang w:val="en-US"/>
        </w:rPr>
        <w:t xml:space="preserve"> injury</w:t>
      </w:r>
      <w:r w:rsidRPr="009C7D07">
        <w:rPr>
          <w:bCs/>
          <w:color w:val="000000" w:themeColor="text1"/>
          <w:lang w:val="en-US"/>
        </w:rPr>
        <w:t xml:space="preserve">. </w:t>
      </w:r>
    </w:p>
    <w:p w14:paraId="11A7B73E" w14:textId="77777777" w:rsidR="00DD5A8C" w:rsidRPr="009C7D07" w:rsidRDefault="00DD5A8C" w:rsidP="00796965">
      <w:pPr>
        <w:pStyle w:val="Heading2"/>
        <w:spacing w:line="480" w:lineRule="auto"/>
        <w:rPr>
          <w:rFonts w:cs="Times New Roman"/>
          <w:szCs w:val="24"/>
          <w:lang w:val="en-US"/>
        </w:rPr>
      </w:pPr>
      <w:r w:rsidRPr="009C7D07">
        <w:rPr>
          <w:rFonts w:cs="Times New Roman"/>
          <w:szCs w:val="24"/>
          <w:lang w:val="en-US"/>
        </w:rPr>
        <w:t xml:space="preserve">Liver Function </w:t>
      </w:r>
    </w:p>
    <w:p w14:paraId="6A6E95EC" w14:textId="117FBB84" w:rsidR="007526B9" w:rsidRPr="009C7D07" w:rsidRDefault="00B86323" w:rsidP="00796965">
      <w:pPr>
        <w:spacing w:line="480" w:lineRule="auto"/>
        <w:jc w:val="both"/>
        <w:rPr>
          <w:color w:val="000000" w:themeColor="text1"/>
          <w:lang w:val="en-US"/>
        </w:rPr>
      </w:pPr>
      <w:r w:rsidRPr="009C7D07">
        <w:rPr>
          <w:color w:val="000000" w:themeColor="text1"/>
          <w:lang w:val="en-US"/>
        </w:rPr>
        <w:t>The administration of ethanol caused a rise in the levels of hepatic enzymes, indicating structural membrane damage to the hepatocytes.</w:t>
      </w:r>
      <w:r w:rsidR="00A80263" w:rsidRPr="009C7D07">
        <w:rPr>
          <w:color w:val="000000" w:themeColor="text1"/>
          <w:lang w:val="en-US"/>
        </w:rPr>
        <w:t xml:space="preserve"> However, b</w:t>
      </w:r>
      <w:r w:rsidRPr="009C7D07">
        <w:rPr>
          <w:color w:val="000000" w:themeColor="text1"/>
          <w:lang w:val="en-US"/>
        </w:rPr>
        <w:t xml:space="preserve">etaine was also unable to prevent the rise in ALT levels following ethanol exposure (Table 2). </w:t>
      </w:r>
      <w:r w:rsidR="00A80263" w:rsidRPr="009C7D07">
        <w:rPr>
          <w:color w:val="000000" w:themeColor="text1"/>
          <w:lang w:val="en-US"/>
        </w:rPr>
        <w:t>Although,</w:t>
      </w:r>
      <w:r w:rsidRPr="009C7D07">
        <w:rPr>
          <w:color w:val="000000" w:themeColor="text1"/>
          <w:lang w:val="en-US"/>
        </w:rPr>
        <w:t xml:space="preserve"> it is perhaps the length of betaine treatment or concomitant betaine treatment that is essential for complete protection. This has been demonstrated previously in experiments where chronic betaine (1% for 2 weeks) ameliorated acute ethanol or lipopolysaccharide challenge in mice </w:t>
      </w:r>
      <w:r w:rsidRPr="009C7D07">
        <w:rPr>
          <w:color w:val="000000" w:themeColor="text1"/>
          <w:lang w:val="en-US"/>
        </w:rPr>
        <w:fldChar w:fldCharType="begin" w:fldLock="1"/>
      </w:r>
      <w:r w:rsidR="00CB53A3">
        <w:rPr>
          <w:color w:val="000000" w:themeColor="text1"/>
          <w:lang w:val="en-US"/>
        </w:rPr>
        <w:instrText>ADDIN CSL_CITATION {"citationItems":[{"id":"ITEM-1","itemData":{"DOI":"10.1016/j.bbrc.2008.02.003","ISSN":"0006291X","abstract":"Oxidative stress is suggested to play a key role in the development of alcoholic liver injury. We investigated the induction of oxidative damage in association with changes in hepatic concentrations of sulfur-containing substances in mice challenged with binge-like ethanol administration. Also the protective effect of dietary betaine against ethanol-induced liver injury was determined. Serum alanine aminotransferase activity, TNFα level, and hepatic malondialdehyde level were increased significantly by ethanol administration. Hepatic Cyp2e1 was induced to 250% of control. Ethanol administration decreased hepatic S-adenosylmethionine, cysteine, and glutathione, but elevated hypotaurine and taurine levels. Betaine supplied in drinking water for 2 weeks attenuated the induction of alcoholic liver injury and Cyp2e1 significantly. Reduction of hepatic S-adenosylmethionine and glutathione was alleviated, and elevation of hypotaurine and taurine was depressed. The results suggest that betaine may protect the liver against ethanol-induced oxidative injury most probably via its effects on the sulfur-amino acid metabolism. © 2008 Elsevier Inc. All rights reserved.","author":[{"dropping-particle":"","family":"Kim","given":"Sun J.","non-dropping-particle":"","parse-names":false,"suffix":""},{"dropping-particle":"","family":"Jung","given":"Young S.","non-dropping-particle":"","parse-names":false,"suffix":""},{"dropping-particle":"","family":"Kwon","given":"Do Y.","non-dropping-particle":"","parse-names":false,"suffix":""},{"dropping-particle":"","family":"Kim","given":"Young C.","non-dropping-particle":"","parse-names":false,"suffix":""}],"container-title":"Biochemical and Biophysical Research Communications","id":"ITEM-1","issue":"4","issued":{"date-parts":[["2008","4","18"]]},"page":"893-898","publisher":"Academic Press","title":"Alleviation of acute ethanol-induced liver injury and impaired metabolomics of S-containing substances by betaine supplementation","type":"article-journal","volume":"368"},"uris":["http://www.mendeley.com/documents/?uuid=978db614-0f05-304b-96e9-1f6ffcecfb5d"]},{"id":"ITEM-2","itemData":{"DOI":"10.1016/S0278-6915(01)00102-8","ISSN":"02786915","PMID":"11893413","abstract":"The effects of betaine or taurine on hepatotoxicity induced by lipopolysaccharide (LPS) were examined in adult male SD rats. Rats were provided with drinking water containing either 1% betaine or taurine for 2 weeks prior to challenge with LPS (5 mg/kg, iv). Supplementation with betaine or taurine protected the animals from induction of LPS hepatotoxicity as measured by changes in aspartate aminotransferase (AST), alanine aminotransferase (ALT) activities and total bilirubin levels in serum, and hepatic glutathione contents. LPS challenge increased serum TNF-α and nitrate/nitrite in rats, which were reduced by betaine or taurine intake. Taurine depletion induced by supply of drinking water containing 3% β-alanine for 7 days did not enhance the LPS-induced hepatic damage or the decrease in hepatic glutathione level. The results indicate that intake of betaine or taurine attenuates the LPS-induced hepatotoxicity resulting from activation of Kupffer cells. © 2002 Elsevier Science Ltd. All rights reserved.","author":[{"dropping-particle":"","family":"Kim","given":"Sang K.","non-dropping-particle":"","parse-names":false,"suffix":""},{"dropping-particle":"","family":"Kim","given":"Young C.","non-dropping-particle":"","parse-names":false,"suffix":""}],"container-title":"Food and Chemical Toxicology","id":"ITEM-2","issue":"4","issued":{"date-parts":[["2002","4","1"]]},"page":"545-549","publisher":"Pergamon","title":"Attenuation of bacterial lipopolysaccharide-induced hepatotoxicity by betaine or taurine in rats","type":"article-journal","volume":"40"},"uris":["http://www.mendeley.com/documents/?uuid=86b777f7-5f5d-3562-b160-832e68dcefdc"]}],"mendeley":{"formattedCitation":"&lt;span style=\"baseline\"&gt;(19,29)&lt;/span&gt;","plainTextFormattedCitation":"(19,29)","previouslyFormattedCitation":"&lt;sup&gt;19,29&lt;/sup&gt;"},"properties":{"noteIndex":0},"schema":"https://github.com/citation-style-language/schema/raw/master/csl-citation.json"}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(19,29)</w:t>
      </w:r>
      <w:r w:rsidRPr="009C7D07">
        <w:rPr>
          <w:color w:val="000000" w:themeColor="text1"/>
          <w:lang w:val="en-US"/>
        </w:rPr>
        <w:fldChar w:fldCharType="end"/>
      </w:r>
      <w:r w:rsidRPr="009C7D07">
        <w:rPr>
          <w:color w:val="000000" w:themeColor="text1"/>
          <w:lang w:val="en-US"/>
        </w:rPr>
        <w:t xml:space="preserve"> and reduced chronic effects of ethanol in rats </w:t>
      </w:r>
      <w:r w:rsidRPr="009C7D07">
        <w:rPr>
          <w:color w:val="000000" w:themeColor="text1"/>
          <w:lang w:val="en-US"/>
        </w:rPr>
        <w:fldChar w:fldCharType="begin" w:fldLock="1"/>
      </w:r>
      <w:r w:rsidR="00CB53A3">
        <w:rPr>
          <w:color w:val="000000" w:themeColor="text1"/>
          <w:lang w:val="en-US"/>
        </w:rPr>
        <w:instrText>ADDIN CSL_CITATION {"citationItems":[{"id":"ITEM-1","itemData":{"DOI":"10.1007/s00726-004-0105-5","ISSN":"09394451","abstract":"The aim of this study was to investigate the effect of betaine or taurine on liver fibrogenesis and lipid peroxidation in rats. Fibrosis was induced by treatment of rats with drinking water containing 5% ethanol and CCl4 (2 x weekly, 0.2 ml/kg, i.p.) for 4 weeks. Ethanol plus CCl4 treatment caused increased lipid peroxidation and disturbed antioxidant system in the liver. Histopathological findings suggested that the development of liver fibrosis was prevented in rats treated with betaine or taurine (1% v/v in drinking water) together with ethanol plus CCl4 for 4 weeks. When hepatic taurine content was depleted with β-alanine (3% v/v in drinking water), portal-central fibrosis induced by ethanol+ CCl4 treatment was observed to proceed cirrhotic structure. Betaine or taurine was also found to decrease serum transaminase activities and hepatic lipid peroxidation without any change in hepatic antioxidant system in rats with hepatic fibrosis. In conclusion, the administration of betaine or taurine prevented the development of liver fibrosis probably associated with decreased oxidative stress. © Springer-Verlag 2004.","author":[{"dropping-particle":"","family":"Erman","given":"F.","non-dropping-particle":"","parse-names":false,"suffix":""},{"dropping-particle":"","family":"Balkan","given":"J.","non-dropping-particle":"","parse-names":false,"suffix":""},{"dropping-particle":"","family":"Çevikbaş","given":"U.","non-dropping-particle":"","parse-names":false,"suffix":""},{"dropping-particle":"","family":"Koçak-Toker","given":"N.","non-dropping-particle":"","parse-names":false,"suffix":""},{"dropping-particle":"","family":"Uysal","given":"M.","non-dropping-particle":"","parse-names":false,"suffix":""}],"container-title":"Amino Acids","id":"ITEM-1","issue":"2","issued":{"date-parts":[["2004","10","26"]]},"page":"199-205","publisher":"Springer","title":"Betaine or taurine administration prevents fibrosis and lipid peroxidation induced by rat liver by ethanol plus carbon tetrachloride intoxication","type":"article-journal","volume":"27"},"uris":["http://www.mendeley.com/documents/?uuid=9c20d60d-6cf6-3dd4-bb9f-5c8366f88322"]}],"mendeley":{"formattedCitation":"&lt;span style=\"baseline\"&gt;(30)&lt;/span&gt;","plainTextFormattedCitation":"(30)","previouslyFormattedCitation":"&lt;sup&gt;30&lt;/sup&gt;"},"properties":{"noteIndex":0},"schema":"https://github.com/citation-style-language/schema/raw/master/csl-citation.json"}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(30)</w:t>
      </w:r>
      <w:r w:rsidRPr="009C7D07">
        <w:rPr>
          <w:color w:val="000000" w:themeColor="text1"/>
          <w:lang w:val="en-US"/>
        </w:rPr>
        <w:fldChar w:fldCharType="end"/>
      </w:r>
      <w:r w:rsidRPr="009C7D07">
        <w:rPr>
          <w:color w:val="000000" w:themeColor="text1"/>
          <w:lang w:val="en-US"/>
        </w:rPr>
        <w:t xml:space="preserve"> and guinea pigs </w:t>
      </w:r>
      <w:r w:rsidRPr="009C7D07">
        <w:rPr>
          <w:color w:val="000000" w:themeColor="text1"/>
          <w:lang w:val="en-US"/>
        </w:rPr>
        <w:fldChar w:fldCharType="begin" w:fldLock="1"/>
      </w:r>
      <w:r w:rsidR="00CB53A3">
        <w:rPr>
          <w:color w:val="000000" w:themeColor="text1"/>
          <w:lang w:val="en-US"/>
        </w:rPr>
        <w:instrText>ADDIN CSL_CITATION {"citationItems":[{"id":"ITEM-1","itemData":{"DOI":"10.1078/0940-2993-00347","ISSN":"09402993","abstract":"We investigated the effect of betaine supplementation on ethanol induced steatosis and alterations in prooxidant and antioxidant status in the liver of guinea pigs. Animals were fed with normal chow or betaine containing chow (2% w/w) for 30 days. Ethanol (3 g/kg, i.p.) was given for the last 10 days. We found that ethanol treatment caused significant increases in plasma transaminase activities, hepatic triglyceride and lipid peroxide levels. Significant decreases in glutathione (GSH), α-tocopherol and total ascorbic acid (AA) levels were also observed, but hepatic superoxide dismutase, glutathione peroxidase and glutathione transferase activities remained unchanged as compared with those in controls. Betaine treatment together with ethanol in guinea pigs is found to decrease hepatic triglyceride, lipid peroxide levels and serum transaminase activities and to increase GSH levels. No changes in α-tocopherol and total AA levels and antioxidant enzyme activities were observed with betaine treatment in alcohol treated guinea pigs. In addition, histopathological assessment of guinea pigs showed that betaine reduced the alcoholic fat accumulation in the liver. Based on these data, betaine treatment has a restoring effect on the alterations in triglyceride, lipid peroxide and GSH levels following ethanol ingestion.","author":[{"dropping-particle":"","family":"Balkan","given":"Jale","non-dropping-particle":"","parse-names":false,"suffix":""},{"dropping-particle":"","family":"Öztezcan","given":"Serdar","non-dropping-particle":"","parse-names":false,"suffix":""},{"dropping-particle":"","family":"Küçük","given":"Mutlu","non-dropping-particle":"","parse-names":false,"suffix":""},{"dropping-particle":"","family":"Çevikbaş","given":"Uǧur","non-dropping-particle":"","parse-names":false,"suffix":""},{"dropping-particle":"","family":"Koçak-Toker","given":"Necla","non-dropping-particle":"","parse-names":false,"suffix":""},{"dropping-particle":"","family":"Uysal","given":"Müjdat","non-dropping-particle":"","parse-names":false,"suffix":""}],"container-title":"Experimental and Toxicologic Pathology","id":"ITEM-1","issue":"6","issued":{"date-parts":[["2004"]]},"page":"505-509","publisher":"Elsevier GmbH","title":"The effect of betaine treatment on triglyceride levels and oxidative stress in the liver of ethanol-treated guinea pigs","type":"article-journal","volume":"55"},"uris":["http://www.mendeley.com/documents/?uuid=eb0d2582-9c92-3493-b50e-774a9663816c"]}],"mendeley":{"formattedCitation":"&lt;span style=\"baseline\"&gt;(31)&lt;/span&gt;","plainTextFormattedCitation":"(31)","previouslyFormattedCitation":"&lt;sup&gt;31&lt;/sup&gt;"},"properties":{"noteIndex":0},"schema":"https://github.com/citation-style-language/schema/raw/master/csl-citation.json"}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(31)</w:t>
      </w:r>
      <w:r w:rsidRPr="009C7D07">
        <w:rPr>
          <w:color w:val="000000" w:themeColor="text1"/>
          <w:lang w:val="en-US"/>
        </w:rPr>
        <w:fldChar w:fldCharType="end"/>
      </w:r>
      <w:r w:rsidRPr="009C7D07">
        <w:rPr>
          <w:color w:val="000000" w:themeColor="text1"/>
          <w:lang w:val="en-US"/>
        </w:rPr>
        <w:t>.</w:t>
      </w:r>
      <w:r w:rsidR="00A80263" w:rsidRPr="009C7D07">
        <w:rPr>
          <w:color w:val="000000" w:themeColor="text1"/>
          <w:lang w:val="en-US"/>
        </w:rPr>
        <w:t xml:space="preserve"> </w:t>
      </w:r>
      <w:r w:rsidR="00DD5A8C" w:rsidRPr="009C7D07">
        <w:rPr>
          <w:color w:val="000000" w:themeColor="text1"/>
          <w:lang w:val="en-US"/>
        </w:rPr>
        <w:t xml:space="preserve">Ethanol also led to a slight decrease in protein synthesis </w:t>
      </w:r>
      <w:r w:rsidR="005C2D33" w:rsidRPr="009C7D07">
        <w:rPr>
          <w:color w:val="000000" w:themeColor="text1"/>
          <w:lang w:val="en-US"/>
        </w:rPr>
        <w:t xml:space="preserve">as measured by albumin. </w:t>
      </w:r>
      <w:r w:rsidR="00DD5A8C" w:rsidRPr="009C7D07">
        <w:rPr>
          <w:color w:val="000000" w:themeColor="text1"/>
          <w:lang w:val="en-US"/>
        </w:rPr>
        <w:t xml:space="preserve">This is thought to be due to perturbed elongation factors reducing protein translation </w:t>
      </w:r>
      <w:r w:rsidR="00DD5A8C" w:rsidRPr="009C7D07">
        <w:rPr>
          <w:color w:val="000000" w:themeColor="text1"/>
          <w:lang w:val="en-US"/>
        </w:rPr>
        <w:fldChar w:fldCharType="begin" w:fldLock="1"/>
      </w:r>
      <w:r w:rsidR="00CB53A3">
        <w:rPr>
          <w:color w:val="000000" w:themeColor="text1"/>
          <w:lang w:val="en-US"/>
        </w:rPr>
        <w:instrText>ADDIN CSL_CITATION {"citationItems":[{"id":"ITEM-1","itemData":{"DOI":"10.1093/alcalc/35.2.148","ISSN":"0735-0414 (Print)","PMID":"10787390","abstract":"The present study examined whether administration in vivo of a maximally stimulating  dose of growth hormone (GH) was capable of modulating selected aspects of the GH-insulin-like growth factor (IGF) system to the same extent in alcohol-fed and control animals. Rats were maintained on an alcohol-containing diet for 14 weeks, while control animals were fed isocalorically. After surgical implantation of a catheter in the carotid artery, rats were starved overnight. The next morning, rats were injected with recombinant human GH (500 microg/kg, s.c.) or an equal volume of saline at time 0 and 12 h. Blood samples were collected prior to GH and at 6, 12 and 24 h thereafter; tissues were collected at the end of the study. Time-matched control and alcohol-fed rats not receiving GH were also included. Although the plasma concentrations of both total and free IGF-I were decreased 30-40% in alcohol-fed rats, the ability of GH to elevate circulating IGF-I was not diminished. GH was equally effective at increasing IGF-I peptide levels in both liver and skeletal muscle. GH also produced comparable increases in IGF-I mRNA in muscle in both groups. Hepatic GH receptor (GHR) peptide levels were not significantly altered by either alcohol or GH. Alcohol feeding decreased plasma levels of IGF binding protein (IGFBP)-3 and increased IGFBP-1, and GH did not significantly alter this profile. Hepatic expression of suppressor of cytokine signalling (SOCS-3) mRNA was not different between the groups. However, SOCS-3 mRNA was increased by approximately 50% in control animals in response to GH, but remained unchanged in alcohol-fed rats. These data indicate that the decrease in hepatic IGF-I synthesis and plasma IGF-I observed in alcohol-fed rats was independent of a change in GHR levels. In contrast, the ability of a maximally stimulating dose of GH to modulate selected biological responses in vivo was not impaired by chronic alcohol consumption and was associated with a lack of a GH-induced increase in SOCS-3 mRNA.","author":[{"dropping-particle":"","family":"Lang","given":"C H","non-dropping-particle":"","parse-names":false,"suffix":""},{"dropping-particle":"","family":"Liu","given":"X","non-dropping-particle":"","parse-names":false,"suffix":""},{"dropping-particle":"","family":"Nystrom","given":"G","non-dropping-particle":"","parse-names":false,"suffix":""},{"dropping-particle":"","family":"Wu","given":"D","non-dropping-particle":"","parse-names":false,"suffix":""},{"dropping-particle":"","family":"Cooney","given":"R N","non-dropping-particle":"","parse-names":false,"suffix":""},{"dropping-particle":"","family":"Frost","given":"R A","non-dropping-particle":"","parse-names":false,"suffix":""}],"container-title":"Alcohol and alcoholism (Oxford, Oxfordshire)","id":"ITEM-1","issue":"2","issued":{"date-parts":[["2000"]]},"language":"eng","page":"148-158","publisher-place":"England","title":"Acute effects of growth hormone in alcohol-fed rats.","type":"article-journal","volume":"35"},"uris":["http://www.mendeley.com/documents/?uuid=f75d9dfe-cf37-4ee9-a3e2-651331155010"]}],"mendeley":{"formattedCitation":"&lt;span style=\"baseline\"&gt;(32)&lt;/span&gt;","plainTextFormattedCitation":"(32)","previouslyFormattedCitation":"&lt;sup&gt;32&lt;/sup&gt;"},"properties":{"noteIndex":0},"schema":"https://github.com/citation-style-language/schema/raw/master/csl-citation.json"}</w:instrText>
      </w:r>
      <w:r w:rsidR="00DD5A8C" w:rsidRPr="009C7D07">
        <w:rPr>
          <w:color w:val="000000" w:themeColor="text1"/>
          <w:lang w:val="en-US"/>
        </w:rPr>
        <w:fldChar w:fldCharType="separate"/>
      </w:r>
      <w:r w:rsidR="00CB53A3" w:rsidRPr="00CB53A3">
        <w:rPr>
          <w:noProof/>
          <w:color w:val="000000" w:themeColor="text1"/>
          <w:lang w:val="en-US"/>
        </w:rPr>
        <w:t>(32)</w:t>
      </w:r>
      <w:r w:rsidR="00DD5A8C" w:rsidRPr="009C7D07">
        <w:rPr>
          <w:color w:val="000000" w:themeColor="text1"/>
          <w:lang w:val="en-US"/>
        </w:rPr>
        <w:fldChar w:fldCharType="end"/>
      </w:r>
      <w:r w:rsidR="00DD5A8C" w:rsidRPr="009C7D07">
        <w:rPr>
          <w:color w:val="000000" w:themeColor="text1"/>
          <w:lang w:val="en-US"/>
        </w:rPr>
        <w:t xml:space="preserve">. </w:t>
      </w:r>
      <w:r w:rsidR="007526B9" w:rsidRPr="009C7D07">
        <w:rPr>
          <w:color w:val="000000" w:themeColor="text1"/>
          <w:lang w:val="en-US"/>
        </w:rPr>
        <w:t>The</w:t>
      </w:r>
      <w:r w:rsidR="005C2D33" w:rsidRPr="009C7D07">
        <w:rPr>
          <w:color w:val="000000" w:themeColor="text1"/>
          <w:lang w:val="en-US"/>
        </w:rPr>
        <w:t xml:space="preserve">se </w:t>
      </w:r>
      <w:r w:rsidR="007526B9" w:rsidRPr="009C7D07">
        <w:rPr>
          <w:color w:val="000000" w:themeColor="text1"/>
          <w:lang w:val="en-US"/>
        </w:rPr>
        <w:t xml:space="preserve">findings also show protein and albumin levels were </w:t>
      </w:r>
      <w:r w:rsidR="007661E7" w:rsidRPr="009C7D07">
        <w:rPr>
          <w:color w:val="000000" w:themeColor="text1"/>
          <w:lang w:val="en-US"/>
        </w:rPr>
        <w:t>normalized</w:t>
      </w:r>
      <w:r w:rsidR="007526B9" w:rsidRPr="009C7D07">
        <w:rPr>
          <w:color w:val="000000" w:themeColor="text1"/>
          <w:lang w:val="en-US"/>
        </w:rPr>
        <w:t xml:space="preserve"> in the ethanol</w:t>
      </w:r>
      <w:r w:rsidR="008D341A" w:rsidRPr="009C7D07">
        <w:rPr>
          <w:color w:val="000000" w:themeColor="text1"/>
          <w:lang w:val="en-US"/>
        </w:rPr>
        <w:t>-</w:t>
      </w:r>
      <w:r w:rsidR="007526B9" w:rsidRPr="009C7D07">
        <w:rPr>
          <w:color w:val="000000" w:themeColor="text1"/>
          <w:lang w:val="en-US"/>
        </w:rPr>
        <w:t>treated animals pre-treated with betaine (Table 2), supporting previous research and demonstrating</w:t>
      </w:r>
      <w:r w:rsidR="00144C85" w:rsidRPr="009C7D07">
        <w:rPr>
          <w:color w:val="000000" w:themeColor="text1"/>
          <w:lang w:val="en-US"/>
        </w:rPr>
        <w:t xml:space="preserve"> the</w:t>
      </w:r>
      <w:r w:rsidR="007526B9" w:rsidRPr="009C7D07">
        <w:rPr>
          <w:color w:val="000000" w:themeColor="text1"/>
          <w:lang w:val="en-US"/>
        </w:rPr>
        <w:t xml:space="preserve"> beneficial effect of betaine</w:t>
      </w:r>
      <w:r w:rsidR="00A80263" w:rsidRPr="009C7D07">
        <w:rPr>
          <w:color w:val="000000" w:themeColor="text1"/>
          <w:lang w:val="en-US"/>
        </w:rPr>
        <w:t xml:space="preserve"> </w:t>
      </w:r>
      <w:r w:rsidR="00A80263" w:rsidRPr="009C7D07">
        <w:rPr>
          <w:color w:val="000000" w:themeColor="text1"/>
          <w:lang w:val="en-US"/>
        </w:rPr>
        <w:fldChar w:fldCharType="begin" w:fldLock="1"/>
      </w:r>
      <w:r w:rsidR="00CB53A3">
        <w:rPr>
          <w:color w:val="000000" w:themeColor="text1"/>
          <w:lang w:val="en-US"/>
        </w:rPr>
        <w:instrText>ADDIN CSL_CITATION {"citationItems":[{"id":"ITEM-1","itemData":{"DOI":"10.1016/S0278-6915(03)00196-0","ISSN":"02786915","abstract":"To evaluate the sub-acute and sub-chronic effect of large doses of betaine, this trimethyl glycine compound was fed to rats. Initial studies at BIBRA in the UK evaluated intakes of 0, 1, 2, and 5% betaine added to a maintenance chow designed for use in toxicology studies. Male and female Sprague-Dawley rats were followed for up to 90 days. No toxicity occurred, but at higher betaine intakes several serum chemistries were altered slightly, the MCV, MCH, and MCHC of red cells were reduced, and hepatocytes developed fatty droplets in direct proportion to betaine intake. Females were more affected than males. In a second study to assess reversibility in females, betaine effects were induced for 28 days, followed by a 28 day betaine-free period. All perturbations, except the reduced MCV and MCH, were reversed. As a follow up to BIBRA investigations, both 28 and 90 day feeding trials were conducted at Brandeis University using a rat chow with higher levels of energy, protein, and fat, with betaine added at 0, 0.5, 0.75, 1.0 and 5.0% of the diet. A similar broad range of clinical chemistries and physiological parameters were monitored, and hepatic lipid droplets were investigated in more detail. Liver lipid was actually reduced by betaine, and no significant adverse effects of clinical importance resulted from any dose. However, the MCV was again reduced at 5% betaine in the 28 day study. By 90 days all parameters were normal and comparable to controls. Based on these collective data, it was concluded that even at these high doses, betaine is nontoxic. Differences observed between the BIBRA and Brandeis studies were attributed to differences in the dietary formulations. Significant betaine×diet×growth interactions were thought to reflect primary disparities in protein and energy concentrations, more than the addition of betaine per se. © 2003 Elsevier Ltd. All rights reserved.","author":[{"dropping-particle":"","family":"Hayes","given":"K. C.","non-dropping-particle":"","parse-names":false,"suffix":""},{"dropping-particle":"","family":"Pronczuk","given":"Andrzej","non-dropping-particle":"","parse-names":false,"suffix":""},{"dropping-particle":"","family":"Cook","given":"Melvyn W.","non-dropping-particle":"","parse-names":false,"suffix":""},{"dropping-particle":"","family":"Robbins","given":"Mark C.","non-dropping-particle":"","parse-names":false,"suffix":""}],"container-title":"Food and Chemical Toxicology","id":"ITEM-1","issue":"12","issued":{"date-parts":[["2003","12","1"]]},"page":"1685-1700","publisher":"Elsevier Ltd","title":"Betaine in sub-acute and sub-chronic rat studies","type":"article-journal","volume":"41"},"uris":["http://www.mendeley.com/documents/?uuid=3ba19c65-8e64-3c6e-a4e7-b186f27fff4a"]}],"mendeley":{"formattedCitation":"&lt;span style=\"baseline\"&gt;(33)&lt;/span&gt;","plainTextFormattedCitation":"(33)","previouslyFormattedCitation":"&lt;sup&gt;33&lt;/sup&gt;"},"properties":{"noteIndex":0},"schema":"https://github.com/citation-style-language/schema/raw/master/csl-citation.json"}</w:instrText>
      </w:r>
      <w:r w:rsidR="00A80263" w:rsidRPr="009C7D07">
        <w:rPr>
          <w:color w:val="000000" w:themeColor="text1"/>
          <w:lang w:val="en-US"/>
        </w:rPr>
        <w:fldChar w:fldCharType="separate"/>
      </w:r>
      <w:r w:rsidR="00CB53A3" w:rsidRPr="00CB53A3">
        <w:rPr>
          <w:noProof/>
          <w:color w:val="000000" w:themeColor="text1"/>
          <w:lang w:val="en-US"/>
        </w:rPr>
        <w:t>(33)</w:t>
      </w:r>
      <w:r w:rsidR="00A80263" w:rsidRPr="009C7D07">
        <w:rPr>
          <w:color w:val="000000" w:themeColor="text1"/>
          <w:lang w:val="en-US"/>
        </w:rPr>
        <w:fldChar w:fldCharType="end"/>
      </w:r>
      <w:r w:rsidR="00A80263" w:rsidRPr="009C7D07">
        <w:rPr>
          <w:color w:val="000000" w:themeColor="text1"/>
          <w:lang w:val="en-US"/>
        </w:rPr>
        <w:t>.</w:t>
      </w:r>
    </w:p>
    <w:p w14:paraId="7A7F563A" w14:textId="1F4DBDEA" w:rsidR="00DD5A8C" w:rsidRPr="009C7D07" w:rsidRDefault="00DD5A8C" w:rsidP="00796965">
      <w:pPr>
        <w:pStyle w:val="Heading2"/>
        <w:spacing w:line="480" w:lineRule="auto"/>
        <w:rPr>
          <w:rFonts w:cs="Times New Roman"/>
          <w:szCs w:val="24"/>
          <w:lang w:val="en-US"/>
        </w:rPr>
      </w:pPr>
      <w:r w:rsidRPr="009C7D07">
        <w:rPr>
          <w:rFonts w:cs="Times New Roman"/>
          <w:szCs w:val="24"/>
          <w:lang w:val="en-US"/>
        </w:rPr>
        <w:t>Apoptosis</w:t>
      </w:r>
    </w:p>
    <w:p w14:paraId="5C248A73" w14:textId="5BB6522C" w:rsidR="00DD5A8C" w:rsidRPr="009C7D07" w:rsidRDefault="00DD5A8C" w:rsidP="00796965">
      <w:pPr>
        <w:spacing w:line="480" w:lineRule="auto"/>
        <w:jc w:val="both"/>
        <w:rPr>
          <w:color w:val="4472C4" w:themeColor="accent1"/>
          <w:lang w:val="en-US"/>
        </w:rPr>
      </w:pPr>
      <w:r w:rsidRPr="009C7D07">
        <w:rPr>
          <w:color w:val="000000" w:themeColor="text1"/>
          <w:lang w:val="en-US"/>
        </w:rPr>
        <w:t>Cytochrome c levels were significantly raised in the cytoplasm and the levels were consequently decreased in the mitochondria</w:t>
      </w:r>
      <w:r w:rsidR="008B6CCE" w:rsidRPr="009C7D07">
        <w:rPr>
          <w:color w:val="000000" w:themeColor="text1"/>
          <w:lang w:val="en-US"/>
        </w:rPr>
        <w:t xml:space="preserve">. As alcohol metabolism results in oxidative damage to the mitochondria as well as the production of ROS, </w:t>
      </w:r>
      <w:r w:rsidR="007661E7" w:rsidRPr="009C7D07">
        <w:rPr>
          <w:color w:val="000000" w:themeColor="text1"/>
          <w:lang w:val="en-US"/>
        </w:rPr>
        <w:t>destabilization</w:t>
      </w:r>
      <w:r w:rsidR="008B6CCE" w:rsidRPr="009C7D07">
        <w:rPr>
          <w:color w:val="000000" w:themeColor="text1"/>
          <w:lang w:val="en-US"/>
        </w:rPr>
        <w:t xml:space="preserve"> of the cardiolipin anchor may have occurred, thus, releasing cytochrome c into the cytosol. </w:t>
      </w:r>
      <w:r w:rsidR="00A80263" w:rsidRPr="009C7D07">
        <w:rPr>
          <w:color w:val="000000" w:themeColor="text1"/>
          <w:lang w:val="en-US"/>
        </w:rPr>
        <w:t xml:space="preserve">Betaine pre-treatment followed by ethanol maintained the levels of mitochondrial cytochrome c and reduced the release of cytochrome c into the cytosol (Figure </w:t>
      </w:r>
      <w:r w:rsidR="00E90A2D" w:rsidRPr="009C7D07">
        <w:rPr>
          <w:color w:val="000000" w:themeColor="text1"/>
          <w:lang w:val="en-US"/>
        </w:rPr>
        <w:t>1</w:t>
      </w:r>
      <w:r w:rsidR="00A80263" w:rsidRPr="009C7D07">
        <w:rPr>
          <w:color w:val="000000" w:themeColor="text1"/>
          <w:lang w:val="en-US"/>
        </w:rPr>
        <w:t xml:space="preserve">).  </w:t>
      </w:r>
      <w:r w:rsidR="00A80263" w:rsidRPr="009C7D07">
        <w:rPr>
          <w:lang w:val="en-US"/>
        </w:rPr>
        <w:t xml:space="preserve">Previous studies </w:t>
      </w:r>
      <w:r w:rsidR="00A80263" w:rsidRPr="009C7D07">
        <w:rPr>
          <w:i/>
          <w:iCs/>
          <w:lang w:val="en-US"/>
        </w:rPr>
        <w:t xml:space="preserve">in vitro </w:t>
      </w:r>
      <w:r w:rsidR="00A80263" w:rsidRPr="009C7D07">
        <w:rPr>
          <w:lang w:val="en-US"/>
        </w:rPr>
        <w:t xml:space="preserve">and </w:t>
      </w:r>
      <w:r w:rsidR="00A80263" w:rsidRPr="009C7D07">
        <w:rPr>
          <w:i/>
          <w:iCs/>
          <w:lang w:val="en-US"/>
        </w:rPr>
        <w:t xml:space="preserve">ex vivo </w:t>
      </w:r>
      <w:r w:rsidR="005C2D33" w:rsidRPr="009C7D07">
        <w:rPr>
          <w:lang w:val="en-US"/>
        </w:rPr>
        <w:t>studies</w:t>
      </w:r>
      <w:r w:rsidR="005C2D33" w:rsidRPr="009C7D07">
        <w:rPr>
          <w:i/>
          <w:iCs/>
          <w:lang w:val="en-US"/>
        </w:rPr>
        <w:t xml:space="preserve"> </w:t>
      </w:r>
      <w:r w:rsidR="00A80263" w:rsidRPr="009C7D07">
        <w:rPr>
          <w:lang w:val="en-US"/>
        </w:rPr>
        <w:t xml:space="preserve">have shown </w:t>
      </w:r>
      <w:r w:rsidR="00A80263" w:rsidRPr="009C7D07">
        <w:rPr>
          <w:color w:val="000000" w:themeColor="text1"/>
          <w:lang w:val="en-US"/>
        </w:rPr>
        <w:t>protection against apoptosis</w:t>
      </w:r>
      <w:r w:rsidR="005C2D33" w:rsidRPr="009C7D07">
        <w:rPr>
          <w:color w:val="000000" w:themeColor="text1"/>
          <w:lang w:val="en-US"/>
        </w:rPr>
        <w:t xml:space="preserve"> and r</w:t>
      </w:r>
      <w:r w:rsidR="00A80263" w:rsidRPr="009C7D07">
        <w:rPr>
          <w:color w:val="000000" w:themeColor="text1"/>
          <w:lang w:val="en-US"/>
        </w:rPr>
        <w:t>esearch has shown that betaine prevented adenosine-induced apoptosis by preventing intracellular S-Adenosylmethionine (SAM) levels from increasing</w:t>
      </w:r>
      <w:r w:rsidR="005C2D33" w:rsidRPr="009C7D07">
        <w:rPr>
          <w:color w:val="000000" w:themeColor="text1"/>
          <w:lang w:val="en-US"/>
        </w:rPr>
        <w:t xml:space="preserve"> in rat hepatocytes</w:t>
      </w:r>
      <w:r w:rsidR="00A80263" w:rsidRPr="009C7D07">
        <w:rPr>
          <w:color w:val="000000" w:themeColor="text1"/>
          <w:lang w:val="en-US"/>
        </w:rPr>
        <w:t xml:space="preserve"> </w:t>
      </w:r>
      <w:r w:rsidR="00A80263" w:rsidRPr="009C7D07">
        <w:rPr>
          <w:color w:val="000000" w:themeColor="text1"/>
          <w:lang w:val="en-US"/>
        </w:rPr>
        <w:fldChar w:fldCharType="begin" w:fldLock="1"/>
      </w:r>
      <w:r w:rsidR="00CB53A3">
        <w:rPr>
          <w:color w:val="000000" w:themeColor="text1"/>
          <w:lang w:val="en-US"/>
        </w:rPr>
        <w:instrText xml:space="preserve">ADDIN CSL_CITATION {"citationItems":[{"id":"ITEM-1","itemData":{"DOI":"10.1093/jn/135.3.519","ISSN":"0022-3166","abstract":"Previous studies showed that chronic ethanol administration alters methionine metabolism in the liver, resulting in increased intracellular S-adenosylhomocysteine (SAH) levels and increased homocysteine release into the plasma. We showed further that these changes appear to be reversed by betaine administration. This study compared the effects of betaine and S-adenosylmethionine (SAM), another methylating agent, on ethanol-induced changes of methionine metabolism and hepatic steatosis. Wistar rats were fed ethanol or control Lieber-Decarli liquid diet for 4 wk and metabolites of the methionine cycle were measured in isolated hepatocytes. Hepatocytes from ethanol-fed rats had a 50% lower intracellular SAM:SAH ratio and almost 2-fold greater homocysteine release into the media compared with controls. Supplementation of betaine or SAM in the incubation media increased this ratio in hepatocytes from both control and ethanol-fed rats and attenuated the ethanol-induced increased hepatocellular triglyceride levels by </w:instrText>
      </w:r>
      <w:r w:rsidR="00CB53A3">
        <w:rPr>
          <w:rFonts w:ascii="Cambria Math" w:hAnsi="Cambria Math" w:cs="Cambria Math"/>
          <w:color w:val="000000" w:themeColor="text1"/>
          <w:lang w:val="en-US"/>
        </w:rPr>
        <w:instrText>∼</w:instrText>
      </w:r>
      <w:r w:rsidR="00CB53A3">
        <w:rPr>
          <w:color w:val="000000" w:themeColor="text1"/>
          <w:lang w:val="en-US"/>
        </w:rPr>
        <w:instrText>20%. On the other hand, only betaine prevented the increase in generation of homocysteine in the incubation media under basal and methionine-loaded conditions. SAM can correct only the ratio and the methylation defects and may in fact be detrimental after prolonged use because of its propensity to increase homocysteine release. Both SAM and betaine are effective in increasing the SAM:SAH ratio in hepatocytes and in attenuating hepatic steatosis; however, only betaine can effectively methylate homocysteine and prevent increased homocysteine release by the liver.","author":[{"dropping-particle":"","family":"Kharbanda","given":"Kusum K","non-dropping-particle":"","parse-names":false,"suffix":""},{"dropping-particle":"","family":"Rogers  II","given":"David D","non-dropping-particle":"","parse-names":false,"suffix":""},{"dropping-particle":"","family":"Mailliard","given":"Mark E","non-dropping-particle":"","parse-names":false,"suffix":""},{"dropping-particle":"","family":"Siford","given":"Gerri L","non-dropping-particle":"","parse-names":false,"suffix":""},{"dropping-particle":"","family":"Barak","given":"Anthony J","non-dropping-particle":"","parse-names":false,"suffix":""},{"dropping-particle":"","family":"Beckenhauer","given":"Harriet C","non-dropping-particle":"","parse-names":false,"suffix":""},{"dropping-particle":"","family":"Sorrell","given":"Michael F","non-dropping-particle":"","parse-names":false,"suffix":""},{"dropping-particle":"","family":"Tuma","given":"Dean J","non-dropping-particle":"","parse-names":false,"suffix":""}],"container-title":"The Journal of Nutrition","id":"ITEM-1","issue":"3","issued":{"date-parts":[["2005","3","1"]]},"page":"519-524","title":"A Comparison of the Effects of Betaine and S-Adenosylmethionine on Ethanol-Induced Changes in Methionine Metabolism and Steatosis in Rat Hepatocytes","type":"article-journal","volume":"135"},"uris":["http://www.mendeley.com/documents/?uuid=eeecb79c-bc71-4319-a83a-6fddcea8a6e2"]}],"mendeley":{"formattedCitation":"&lt;span style=\"baseline\"&gt;(21)&lt;/span&gt;","plainTextFormattedCitation":"(21)","previouslyFormattedCitation":"&lt;sup&gt;21&lt;/sup&gt;"},"properties":{"noteIndex":0},"schema":"https://github.com/citation-style-language/schema/raw/master/csl-citation.json"}</w:instrText>
      </w:r>
      <w:r w:rsidR="00A80263" w:rsidRPr="009C7D07">
        <w:rPr>
          <w:color w:val="000000" w:themeColor="text1"/>
          <w:lang w:val="en-US"/>
        </w:rPr>
        <w:fldChar w:fldCharType="separate"/>
      </w:r>
      <w:r w:rsidR="00CB53A3" w:rsidRPr="00CB53A3">
        <w:rPr>
          <w:noProof/>
          <w:color w:val="000000" w:themeColor="text1"/>
          <w:lang w:val="en-US"/>
        </w:rPr>
        <w:t>(21)</w:t>
      </w:r>
      <w:r w:rsidR="00A80263" w:rsidRPr="009C7D07">
        <w:rPr>
          <w:color w:val="000000" w:themeColor="text1"/>
          <w:lang w:val="en-US"/>
        </w:rPr>
        <w:fldChar w:fldCharType="end"/>
      </w:r>
      <w:r w:rsidR="00A80263" w:rsidRPr="009C7D07">
        <w:rPr>
          <w:color w:val="000000" w:themeColor="text1"/>
          <w:lang w:val="en-US"/>
        </w:rPr>
        <w:t>. SAM supplementation has also shown to protect against apoptosis in rat hepatocytes after 24</w:t>
      </w:r>
      <w:r w:rsidR="00144C85" w:rsidRPr="009C7D07">
        <w:rPr>
          <w:color w:val="000000" w:themeColor="text1"/>
          <w:lang w:val="en-US"/>
        </w:rPr>
        <w:t>-</w:t>
      </w:r>
      <w:r w:rsidR="00A80263" w:rsidRPr="009C7D07">
        <w:rPr>
          <w:color w:val="000000" w:themeColor="text1"/>
          <w:lang w:val="en-US"/>
        </w:rPr>
        <w:t>hour</w:t>
      </w:r>
      <w:r w:rsidR="00903553" w:rsidRPr="009C7D07">
        <w:rPr>
          <w:color w:val="000000" w:themeColor="text1"/>
          <w:lang w:val="en-US"/>
        </w:rPr>
        <w:t xml:space="preserve"> </w:t>
      </w:r>
      <w:r w:rsidR="00A80263" w:rsidRPr="009C7D07">
        <w:rPr>
          <w:color w:val="000000" w:themeColor="text1"/>
          <w:lang w:val="en-US"/>
        </w:rPr>
        <w:t xml:space="preserve">incubation with ethanol </w:t>
      </w:r>
      <w:r w:rsidR="00A80263" w:rsidRPr="009C7D07">
        <w:rPr>
          <w:color w:val="000000" w:themeColor="text1"/>
          <w:lang w:val="en-US"/>
        </w:rPr>
        <w:fldChar w:fldCharType="begin" w:fldLock="1"/>
      </w:r>
      <w:r w:rsidR="00CB53A3">
        <w:rPr>
          <w:color w:val="000000" w:themeColor="text1"/>
          <w:lang w:val="en-US"/>
        </w:rPr>
        <w:instrText>ADDIN CSL_CITATION {"citationItems":[{"id":"ITEM-1","itemData":{"DOI":"10.3748/wjg.v12.i12.1895","ISSN":"10079327","abstract":"Aim: To determine the role of c-Jun N-terminal kinase (JNK) activity in ethanol-induced apoptosis and the modulation of this signaling cascade by S-Adenosyl-methionine (AdoMet). Methods: Primary hepatocyte cultures were pretreated with 100 μmol/L SP600125, a selective JNK inhibitor, 1 mL/L DMSO or 4 mmol/L AdoMet and then exposed to 100 mmo/L ethanol. Hepatocyte apoptosis was determined by the TUNEL and DNA ladder assays. JNK activity and its inhibition by SP600125 and AdoMet were determined by Western blot analysis of c-jun phosphorylation and Bid fragmentation. SP600125 and AdoMet effects on the apoptotic signaling pathway were determined by Western blot analysis of cytochrome c release and pro-caspase 3 fragmentation. The AdoMet effect on glutathione levels was measured by Ellman's method and reactive oxygen species (ROS) generation by cell cytometry. Results: Th e exposure of hepatocytes to ethanol induced JNK activation, c-jun phosphorylation, Bid fragmentation, cytochrome c release and pro-caspase 3 cleavage; these effects were diminished by SP600125, and caused a significant decrease in ethanol-induced apoptosis (P&lt;0.05). AdoMet exerted an antioxidant effect maintaining glutathione levels and decreasing ROS generation, without a significant effect on JNK activity, and prevented cytochrome c release and pro-caspase 3 cleavage. Conclusion: The JNK signaling cascade is a key component of the proapoptotic signaling pathway induced by ethanol. JNK activation may be independent from ROS generation, since AdoMet which exerted antioxidant properties did not have a significant effect on JNK activity. JNK pathway modulator agents and AdoMet may be components of promising therapies for alcoholic liver disease (ALD) treatment. © 2006 The WJG Press. All rights reserved.","author":[{"dropping-particle":"","family":"Pilar Cabrales-Romero","given":"María","non-dropping-particle":"del","parse-names":false,"suffix":""},{"dropping-particle":"","family":"Márquez-Rosado","given":"Lucrecia","non-dropping-particle":"","parse-names":false,"suffix":""},{"dropping-particle":"","family":"Fattel-Fazenda","given":"Samia","non-dropping-particle":"","parse-names":false,"suffix":""},{"dropping-particle":"","family":"Trejo-Solís","given":"Cristina","non-dropping-particle":"","parse-names":false,"suffix":""},{"dropping-particle":"","family":"Arce-Popoca","given":"Evelia","non-dropping-particle":"","parse-names":false,"suffix":""},{"dropping-particle":"","family":"Alemán-Lazarini","given":"Leticia","non-dropping-particle":"","parse-names":false,"suffix":""},{"dropping-particle":"","family":"Villa-Treviño","given":"Saúl","non-dropping-particle":"","parse-names":false,"suffix":""}],"container-title":"World Journal of Gastroenterology","id":"ITEM-1","issue":"12","issued":{"date-parts":[["2006","3","28"]]},"page":"1895-1904","publisher":"World J Gastroenterol","title":"S-adenosyl-methionine decreases ethanol-induced apoptosis in primary hepatocyte cultures by a c-Jun N-terminal kinase activity-independent mechanism","type":"article-journal","volume":"12"},"uris":["http://www.mendeley.com/documents/?uuid=cf9bb427-836b-375b-b831-0e51cba12f0a"]}],"mendeley":{"formattedCitation":"&lt;span style=\"baseline\"&gt;(34)&lt;/span&gt;","plainTextFormattedCitation":"(34)","previouslyFormattedCitation":"&lt;sup&gt;34&lt;/sup&gt;"},"properties":{"noteIndex":0},"schema":"https://github.com/citation-style-language/schema/raw/master/csl-citation.json"}</w:instrText>
      </w:r>
      <w:r w:rsidR="00A80263" w:rsidRPr="009C7D07">
        <w:rPr>
          <w:color w:val="000000" w:themeColor="text1"/>
          <w:lang w:val="en-US"/>
        </w:rPr>
        <w:fldChar w:fldCharType="separate"/>
      </w:r>
      <w:r w:rsidR="00CB53A3" w:rsidRPr="00CB53A3">
        <w:rPr>
          <w:noProof/>
          <w:color w:val="000000" w:themeColor="text1"/>
          <w:lang w:val="en-US"/>
        </w:rPr>
        <w:t>(34)</w:t>
      </w:r>
      <w:r w:rsidR="00A80263" w:rsidRPr="009C7D07">
        <w:rPr>
          <w:color w:val="000000" w:themeColor="text1"/>
          <w:lang w:val="en-US"/>
        </w:rPr>
        <w:fldChar w:fldCharType="end"/>
      </w:r>
      <w:r w:rsidR="00A80263" w:rsidRPr="009C7D07">
        <w:rPr>
          <w:color w:val="000000" w:themeColor="text1"/>
          <w:lang w:val="en-US"/>
        </w:rPr>
        <w:t>. This suggests induction of the methionine-homocysteine recycling mechanism reduces cytochrome c release, which may in part be mediated by oxidative stress.  H</w:t>
      </w:r>
      <w:r w:rsidR="00B45E2A" w:rsidRPr="009C7D07">
        <w:rPr>
          <w:color w:val="000000" w:themeColor="text1"/>
          <w:lang w:val="en-US"/>
        </w:rPr>
        <w:t xml:space="preserve">owever, </w:t>
      </w:r>
      <w:r w:rsidR="008B6CCE" w:rsidRPr="009C7D07">
        <w:rPr>
          <w:color w:val="000000" w:themeColor="text1"/>
          <w:lang w:val="en-US"/>
        </w:rPr>
        <w:t xml:space="preserve">this </w:t>
      </w:r>
      <w:r w:rsidRPr="009C7D07">
        <w:rPr>
          <w:color w:val="000000" w:themeColor="text1"/>
          <w:lang w:val="en-US"/>
        </w:rPr>
        <w:t>did not translate into an increase in caspase-3 activity</w:t>
      </w:r>
      <w:r w:rsidR="008B6CCE" w:rsidRPr="009C7D07">
        <w:rPr>
          <w:color w:val="000000" w:themeColor="text1"/>
          <w:lang w:val="en-US"/>
        </w:rPr>
        <w:t>, which is an</w:t>
      </w:r>
      <w:r w:rsidR="00B45E2A" w:rsidRPr="009C7D07">
        <w:rPr>
          <w:color w:val="000000" w:themeColor="text1"/>
          <w:lang w:val="en-US"/>
        </w:rPr>
        <w:t xml:space="preserve"> ATP</w:t>
      </w:r>
      <w:r w:rsidR="00903553" w:rsidRPr="009C7D07">
        <w:rPr>
          <w:color w:val="000000" w:themeColor="text1"/>
          <w:lang w:val="en-US"/>
        </w:rPr>
        <w:t>-dependent</w:t>
      </w:r>
      <w:r w:rsidR="008B6CCE" w:rsidRPr="009C7D07">
        <w:rPr>
          <w:color w:val="000000" w:themeColor="text1"/>
          <w:lang w:val="en-US"/>
        </w:rPr>
        <w:t xml:space="preserve"> activation step</w:t>
      </w:r>
      <w:r w:rsidR="008F23BE" w:rsidRPr="009C7D07">
        <w:rPr>
          <w:color w:val="000000" w:themeColor="text1"/>
          <w:lang w:val="en-US"/>
        </w:rPr>
        <w:t xml:space="preserve"> </w:t>
      </w:r>
      <w:r w:rsidR="008F23BE" w:rsidRPr="009C7D07">
        <w:rPr>
          <w:color w:val="000000" w:themeColor="text1"/>
          <w:lang w:val="en-US"/>
        </w:rPr>
        <w:fldChar w:fldCharType="begin" w:fldLock="1"/>
      </w:r>
      <w:r w:rsidR="00CB53A3">
        <w:rPr>
          <w:color w:val="000000" w:themeColor="text1"/>
          <w:lang w:val="en-US"/>
        </w:rPr>
        <w:instrText>ADDIN CSL_CITATION {"citationItems":[{"id":"ITEM-1","itemData":{"DOI":"10.1084/jem.188.5.979","ISSN":"00221007","abstract":"Apoptosis is induced by different stimuli, among them triggering of the death receptor CD95, staurosporine, and chemotherapeutic drugs. In all cases, apoptosis is mediated by caspases, although it is unclear how these diverse apoptotic stimuli cause protease activation. Two regulatory pathways have been recently identified, but it remains unknown whether they are functionally independent or linked to each other. One is mediated by recruitment of the proximal regulator caspase-8 to the death receptor complex. The other pathway is controlled by the release of cytochrome c from mitochondria and the subsequent ATP-dependent activation of the death regulator apoptotic protease-activating factor 1 (Apaf-1). Here, we report that both pathways can be dissected by depletion of intracellular ATP. Prevention of ATP production completely inhibited caspase activation and apoptosis in response to chemotherapeutic drugs and staurosporine. Interestingly, caspase-8, whose function appeared to be restricted to death receptors, was also activated by these drugs under normal conditions, but not after ATP depletion. In contrast, inhibition of ATP production did not affect caspase activation after triggering of CD95. These results suggest that chemotherapeutic drug-induced caspase activation is entirely controlled by a receptor-independent mitochondrial pathway, whereas CD95-induced apoptosis can be regulated by a separate pathway not requiring Apaf-1 function.","author":[{"dropping-particle":"","family":"Ferrari","given":"Davide","non-dropping-particle":"","parse-names":false,"suffix":""},{"dropping-particle":"","family":"Stepczynska","given":"Ania","non-dropping-particle":"","parse-names":false,"suffix":""},{"dropping-particle":"","family":"Los","given":"Marek","non-dropping-particle":"","parse-names":false,"suffix":""},{"dropping-particle":"","family":"Wesselborg","given":"Sebastian","non-dropping-particle":"","parse-names":false,"suffix":""},{"dropping-particle":"","family":"Schulze-Osthoff","given":"Klaus","non-dropping-particle":"","parse-names":false,"suffix":""}],"container-title":"Journal of Experimental Medicine","id":"ITEM-1","issue":"5","issued":{"date-parts":[["1998","9","7"]]},"page":"979-984","publisher":"The Rockefeller University Press","title":"Differential regulation and ATP requirement for caspase-8 and caspase-3 activation during CD95- and anticancer drug-induced apoptosis","type":"article-journal","volume":"188"},"uris":["http://www.mendeley.com/documents/?uuid=05dd42c1-d46e-3d8a-be23-42a73a6383b9"]}],"mendeley":{"formattedCitation":"&lt;span style=\"baseline\"&gt;(35)&lt;/span&gt;","plainTextFormattedCitation":"(35)","previouslyFormattedCitation":"&lt;sup&gt;35&lt;/sup&gt;"},"properties":{"noteIndex":0},"schema":"https://github.com/citation-style-language/schema/raw/master/csl-citation.json"}</w:instrText>
      </w:r>
      <w:r w:rsidR="008F23BE" w:rsidRPr="009C7D07">
        <w:rPr>
          <w:color w:val="000000" w:themeColor="text1"/>
          <w:lang w:val="en-US"/>
        </w:rPr>
        <w:fldChar w:fldCharType="separate"/>
      </w:r>
      <w:r w:rsidR="00CB53A3" w:rsidRPr="00CB53A3">
        <w:rPr>
          <w:noProof/>
          <w:color w:val="000000" w:themeColor="text1"/>
          <w:lang w:val="en-US"/>
        </w:rPr>
        <w:t>(35)</w:t>
      </w:r>
      <w:r w:rsidR="008F23BE" w:rsidRPr="009C7D07">
        <w:rPr>
          <w:color w:val="000000" w:themeColor="text1"/>
          <w:lang w:val="en-US"/>
        </w:rPr>
        <w:fldChar w:fldCharType="end"/>
      </w:r>
      <w:r w:rsidR="008B6CCE" w:rsidRPr="009C7D07">
        <w:rPr>
          <w:color w:val="000000" w:themeColor="text1"/>
          <w:lang w:val="en-US"/>
        </w:rPr>
        <w:t xml:space="preserve">. </w:t>
      </w:r>
      <w:r w:rsidR="00B45E2A" w:rsidRPr="009C7D07">
        <w:rPr>
          <w:color w:val="000000" w:themeColor="text1"/>
          <w:lang w:val="en-US"/>
        </w:rPr>
        <w:t xml:space="preserve">Since </w:t>
      </w:r>
      <w:r w:rsidR="008B6CCE" w:rsidRPr="009C7D07">
        <w:rPr>
          <w:color w:val="000000" w:themeColor="text1"/>
          <w:lang w:val="en-US"/>
        </w:rPr>
        <w:t>ATP levels</w:t>
      </w:r>
      <w:r w:rsidR="005F4FE2" w:rsidRPr="009C7D07">
        <w:rPr>
          <w:color w:val="000000" w:themeColor="text1"/>
          <w:lang w:val="en-US"/>
        </w:rPr>
        <w:t xml:space="preserve"> drop following ethanol metabolism</w:t>
      </w:r>
      <w:r w:rsidR="00A80263" w:rsidRPr="009C7D07">
        <w:rPr>
          <w:color w:val="000000" w:themeColor="text1"/>
          <w:lang w:val="en-US"/>
        </w:rPr>
        <w:t xml:space="preserve"> </w:t>
      </w:r>
      <w:r w:rsidR="005F4FE2" w:rsidRPr="009C7D07">
        <w:rPr>
          <w:color w:val="000000" w:themeColor="text1"/>
          <w:lang w:val="en-US"/>
        </w:rPr>
        <w:fldChar w:fldCharType="begin" w:fldLock="1"/>
      </w:r>
      <w:r w:rsidR="00CB53A3">
        <w:rPr>
          <w:color w:val="000000" w:themeColor="text1"/>
          <w:lang w:val="en-US"/>
        </w:rPr>
        <w:instrText>ADDIN CSL_CITATION {"citationItems":[{"id":"ITEM-1","itemData":{"DOI":"10.1093/alcalc/agl017","ISSN":"1464-3502","abstract":"Aims: The synthesis of ATP in the liver of the chronic ethanol consumer is suppressed, particularly if the tissue becomes hypoxic. Moreover, the perivenous region of the liver lobule becomes even more oxygen deficient as a result of ethanol consumption. Synthesis of ATP in the perivenous region of the lobule may be depressed in the chronic ethanol consumer due to decreases in both mitochondrial and glycolytic activities. In this study the effects of hypoxia on hepatic ATP levels derived from synthesis by both oxidative phosphorylation and the glycolytic mechanisms were investigated. Methods: Rats were pair-fed liquid diets containing 36% of calories as ethanol or an isocaloric control diet. The contributions of glycolysis and mitochondria to ATP production were assessed employing oligomycin, an inhibitor of oxidative phosphorylation. In order to localize the ethanol-elicited lesion in the glycolytic pathway, the metabolism of [3-3H] d-glucose was followed in hepatocytes from ethanol-fed and control animals. Results: Under both hypoxic and normoxic conditions ATP losses were due to decreases in both glycolytic and mitochondrial ATP production. The rate of production of tritiated water from [3-3H] d-glucose was significantly decreased in hepatocytes from ethanol-fed animals, which indicates there is an ethanol-elicited lesion in glycolysis between glucose and glyceraldehyde-3-phosphate.","author":[{"dropping-particle":"","family":"Young","given":"Tracey A","non-dropping-particle":"","parse-names":false,"suffix":""},{"dropping-particle":"","family":"Bailey","given":"Shannon M","non-dropping-particle":"","parse-names":false,"suffix":""},{"dropping-particle":"","family":"Horn","given":"CynthiaG","non-dropping-particle":"Van","parse-names":false,"suffix":""},{"dropping-particle":"","family":"Cunningham","given":"Carol C","non-dropping-particle":"","parse-names":false,"suffix":""}],"container-title":"Alcohol and Alcoholism","id":"ITEM-1","issue":"3","issued":{"date-parts":[["2006","5","1"]]},"page":"254-260","title":"Chronic Ethanol Consumption Decreases Mitochondrial and Glycolytic Production of ATP in Liver","type":"article-journal","volume":"41"},"uris":["http://www.mendeley.com/documents/?uuid=84a4ee23-5dca-48e0-a92b-c02d8e4349f5"]},{"id":"ITEM-2","itemData":{"DOI":"10.3748/wjg.v20.i9.2136","ISSN":"22192840","PMID":"24605012","abstract":"Alcohol abuse is the leading cause of liver related morbidity and mortality. Chronic or binge alcohol drinking causes hepatic steatosis which can develop to steatohepatitis, cirrhosis and ultimately hepatocellular carcinoma. The pathogenesis of alcoholic liver disease (ALD) is poorly characterized, however several recent studies point to a major role of mitochondria in this process. Mitochondria play a crucial role in cellular energy metabolism and in reactive species formation. Alcohol treatment causes mitochondrial DNA damage, lipid accumulation and oxidative stress. Studies in both animal models and in humans showed that alcohol administration causes changes in the mitochondrial morphology and function suggesting a role of these changes in the pathogenesis of ALD. We review recent findings on mechanisms by which alcohol negatively impacts mitochondrial biogenesis and function and we will discuss the specific intracellular pathways affected by alcohol consumption. Interestingly, recent findings indicate that a large number of mitochondrial proteins are acetylated and that mitochondrial proteins acetylation and sirtuins are modulated by alcohol. Understanding the mechanisms behind alcohol mediated impaired mitochondrial biogenesis and function may help identify potential therapeutic targets for treating ALD in humans. © 2014 Baishideng Publishing Group Co., Limited. All rights reserved.","author":[{"dropping-particle":"","family":"Nassir","given":"Fatiha","non-dropping-particle":"","parse-names":false,"suffix":""},{"dropping-particle":"","family":"Ibdah","given":"Jamal A.","non-dropping-particle":"","parse-names":false,"suffix":""}],"container-title":"World Journal of Gastroenterology","id":"ITEM-2","issue":"9","issued":{"date-parts":[["2014"]]},"page":"2136-2142","publisher":"WJG Press","title":"Role of mitochondria in alcoholic liver disease","type":"article-journal","volume":"20"},"uris":["http://www.mendeley.com/documents/?uuid=8503caf7-4237-373b-af49-7ab50205c883"]},{"id":"ITEM-3","itemData":{"DOI":"10.1203/00006450-198901000-00021","ISSN":"15300447","abstract":"To investigate mechanisms of ATP depletion in human umbilical vein endothelial cells after oxidant injury, we studied the relationship between DNA damage, activation of the DNA-repairing enzyme poly ADP-ribose polymerase, NAD depletion, and ATP depletion. We found that oxidant stress generated with hypoxanthine-xanthine oxidase and glucose-glucose oxidase resulted in profound DNA damage. When endothelial cells were exposed to 25 and 50 mU/ml xanthine oxidase for 60 min, the percentage of double-stranded DNA was significantly reduced (p &lt; 0.05) to 15.2 ± 1.2 and 4.6 ± 0.5%, respectively, compared to 75.7 ± 3.9% for control cells. When endothelial cells were exposed to 25 and 50 mU/ml glucose oxidase for 60 min, the percentage of double-stranded DNA was significantly (p &lt; 0.05) reduced to 35.0 ± 1.5% and 9.9 ± 7.7%, respectively, compared to 73.2 ± 2.4% for control cells. ATP and NAD levels declined simultaneously with DNA damage. Because activation of the DNA-repairing enzyme poly ADP-ribose polymerase can consume NAD sufficient to interfere with ATP synthesis, we studied NAD and ATP levels after oxidant injury when ADP-ribose polymerase was inhibited with 3-aminobenzamide and nicotinamide. When poly ADP-ribose polymerase was inhibited, NAD levels remained normal, but ATP depletion was not prevented. We conclude that oxidant injury to human umbilical vein endothelial cells results in profound DNA damage and NAD and ATP depletion. NAD depletion results from activation of poly ADP-ribose polymerase, but this phenomenon is not the mechanism of ATP depletion in human umbilical vein endothelial cells. © 1989 International Pediatric Research Foundation, Inc.","author":[{"dropping-particle":"","family":"Andreoli","given":"Sharon P.","non-dropping-particle":"","parse-names":false,"suffix":""}],"container-title":"Pediatric Research","id":"ITEM-3","issue":"1","issued":{"date-parts":[["1989"]]},"page":"97-101","publisher":"Nature Publishing Group","title":"Mechanisms of endothelial cell ATP depletion after oxidant injury","type":"article-journal","volume":"25"},"uris":["http://www.mendeley.com/documents/?uuid=b5ac5e8f-a911-38ec-a6c7-7e5c8fcbb602"]}],"mendeley":{"formattedCitation":"&lt;span style=\"baseline\"&gt;(36–38)&lt;/span&gt;","plainTextFormattedCitation":"(36–38)","previouslyFormattedCitation":"&lt;sup&gt;36–38&lt;/sup&gt;"},"properties":{"noteIndex":0},"schema":"https://github.com/citation-style-language/schema/raw/master/csl-citation.json"}</w:instrText>
      </w:r>
      <w:r w:rsidR="005F4FE2" w:rsidRPr="009C7D07">
        <w:rPr>
          <w:color w:val="000000" w:themeColor="text1"/>
          <w:lang w:val="en-US"/>
        </w:rPr>
        <w:fldChar w:fldCharType="separate"/>
      </w:r>
      <w:r w:rsidR="00CB53A3" w:rsidRPr="00CB53A3">
        <w:rPr>
          <w:noProof/>
          <w:color w:val="000000" w:themeColor="text1"/>
          <w:lang w:val="en-US"/>
        </w:rPr>
        <w:t>(36–38)</w:t>
      </w:r>
      <w:r w:rsidR="005F4FE2" w:rsidRPr="009C7D07">
        <w:rPr>
          <w:color w:val="000000" w:themeColor="text1"/>
          <w:lang w:val="en-US"/>
        </w:rPr>
        <w:fldChar w:fldCharType="end"/>
      </w:r>
      <w:r w:rsidR="005F4FE2" w:rsidRPr="009C7D07">
        <w:rPr>
          <w:color w:val="000000" w:themeColor="text1"/>
          <w:lang w:val="en-US"/>
        </w:rPr>
        <w:t xml:space="preserve"> </w:t>
      </w:r>
      <w:r w:rsidR="00D46EF7" w:rsidRPr="009C7D07">
        <w:rPr>
          <w:color w:val="000000" w:themeColor="text1"/>
          <w:lang w:val="en-US"/>
        </w:rPr>
        <w:t xml:space="preserve">or </w:t>
      </w:r>
      <w:r w:rsidR="00B45E2A" w:rsidRPr="009C7D07">
        <w:rPr>
          <w:color w:val="000000" w:themeColor="text1"/>
          <w:lang w:val="en-US"/>
        </w:rPr>
        <w:t>can be</w:t>
      </w:r>
      <w:r w:rsidR="008B6CCE" w:rsidRPr="009C7D07">
        <w:rPr>
          <w:color w:val="000000" w:themeColor="text1"/>
          <w:lang w:val="en-US"/>
        </w:rPr>
        <w:t xml:space="preserve"> depleted following</w:t>
      </w:r>
      <w:r w:rsidRPr="009C7D07">
        <w:rPr>
          <w:color w:val="000000" w:themeColor="text1"/>
          <w:lang w:val="en-US"/>
        </w:rPr>
        <w:t xml:space="preserve"> 24 hours starvation </w:t>
      </w:r>
      <w:r w:rsidRPr="009C7D07">
        <w:rPr>
          <w:color w:val="000000" w:themeColor="text1"/>
          <w:lang w:val="en-US"/>
        </w:rPr>
        <w:fldChar w:fldCharType="begin" w:fldLock="1"/>
      </w:r>
      <w:r w:rsidR="00CB53A3">
        <w:rPr>
          <w:color w:val="000000" w:themeColor="text1"/>
          <w:lang w:val="en-US"/>
        </w:rPr>
        <w:instrText>ADDIN CSL_CITATION {"citationItems":[{"id":"ITEM-1","itemData":{"DOI":"10.1016/S0031-9384(99)00130-4","ISSN":"00319384","abstract":"The purpose of the present study was to evaluate the effects of an intraperitoneal injection of sodium phosphate on the metabolic and hormonal responses to exercise. Fructose-injected rats were either injected with sodium phosphate (Na2HPO4) or NaCl, either in a fed or in a food-restricted state (24 h), and evaluated at rest or after a 30-min exercise period (26 m/min; 0% grade). Liver ATP, phosphate (Pi), and glycogen concentrations were, on the whole, significantly (p &lt; 0.05) higher in Na2HPO4 than in NaCl groups. Exercise resulted in a significant (p &lt; 0.01) decrease in liver ATP and glycogen levels in fed and food-restricted rats whether injected with NaCl or Na2HPO4. Exercise, after NaCl and Na2HPO4 injection, resulted in a significant (p &lt; 0.01) increase in liver phosphate and Pi/ATP ratio, and in a decrease in glucose and an increase in glucagon levels in food-restricted rats only. The normal exercise-induced increase in plasma FFA, glycerol, and norepinephrine levels (p &lt; 0.05), observed in both fed and food-restricted NaCl-injected rats, was abolished by the injection of phosphate. The data are in line with the new concept that in addition to blood glucose levels, the increase in liver Pi/ATP ratio could also contribute to the increase in glucagon response during exercise.","author":[{"dropping-particle":"","family":"Ghanbari-Niaki","given":"Abbass","non-dropping-particle":"","parse-names":false,"suffix":""},{"dropping-particle":"","family":"Désy","given":"François","non-dropping-particle":"","parse-names":false,"suffix":""},{"dropping-particle":"","family":"Lavoie","given":"Jean Marc","non-dropping-particle":"","parse-names":false,"suffix":""}],"container-title":"Physiology and Behavior","id":"ITEM-1","issue":"5","issued":{"date-parts":[["1999"]]},"page":"747-752","publisher":"Elsevier Inc.","title":"Effects of phosphate injection on metabolic and hormonal responses to exercise in fructose-injected rats","type":"article-journal","volume":"67"},"uris":["http://www.mendeley.com/documents/?uuid=bb921126-0772-3d23-911d-0441df3c10d8"]}],"mendeley":{"formattedCitation":"&lt;span style=\"baseline\"&gt;(39)&lt;/span&gt;","plainTextFormattedCitation":"(39)","previouslyFormattedCitation":"&lt;sup&gt;39&lt;/sup&gt;"},"properties":{"noteIndex":0},"schema":"https://github.com/citation-style-language/schema/raw/master/csl-citation.json"}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(39)</w:t>
      </w:r>
      <w:r w:rsidRPr="009C7D07">
        <w:rPr>
          <w:color w:val="000000" w:themeColor="text1"/>
          <w:lang w:val="en-US"/>
        </w:rPr>
        <w:fldChar w:fldCharType="end"/>
      </w:r>
      <w:r w:rsidRPr="009C7D07">
        <w:rPr>
          <w:color w:val="000000" w:themeColor="text1"/>
          <w:lang w:val="en-US"/>
        </w:rPr>
        <w:t xml:space="preserve"> in conjunction with oxidative damage</w:t>
      </w:r>
      <w:r w:rsidR="00D46EF7" w:rsidRPr="009C7D07">
        <w:rPr>
          <w:color w:val="000000" w:themeColor="text1"/>
          <w:lang w:val="en-US"/>
        </w:rPr>
        <w:t xml:space="preserve"> </w:t>
      </w:r>
      <w:r w:rsidRPr="009C7D07">
        <w:rPr>
          <w:color w:val="000000" w:themeColor="text1"/>
          <w:lang w:val="en-US"/>
        </w:rPr>
        <w:fldChar w:fldCharType="begin" w:fldLock="1"/>
      </w:r>
      <w:r w:rsidR="00CB53A3">
        <w:rPr>
          <w:color w:val="000000" w:themeColor="text1"/>
          <w:lang w:val="en-US"/>
        </w:rPr>
        <w:instrText>ADDIN CSL_CITATION {"citationItems":[{"id":"ITEM-1","itemData":{"DOI":"10.1042/0264-6021:3410233","ISSN":"02646021","PMID":"10393078","abstract":"This article reviews the involvement of the mitochondrial permeability transition pore in necrotic and apoptotic cell death. The pore is formed from a complex of the voltage-dependent anion channel (VDAC), the adenine nucleotide translocase and cyclophilin-D (CyP-D) at contact sites between the mitochondrial outer and inner membranes. In vitro, under pseudopathological conditions of oxidative stress, relatively high Ca2+ and low ATP, the complex flickers into an open-pore state allowing free diffusion of low-M(r) solutes across the inner membrane. These conditions correspond to those that unfold during tissue ischaemia and reperfusion, suggesting that pore opening may be an important factor in the pathogenesis of necrotic cell death following ischaemia/reperfusion. Evidence that the pore does open during ischaemia/reperfusion is discussed. There are also strong indications that the VDAC-adenine nucleotide translocase-CyP-D complex can recruit a number of other proteins, including Bax, and that the complex is utilized in some capacity during apoptosis. The apoptotic pathway is amplified by the release of apoptogenic proteins from the mitochondrial intermembrane space, including cytochrome c, apoptosis-inducing factor and some procaspases. Current evidence that the pore complex is involved in outer-membrane rupture and release of these proteins during programmed cell death is reviewed, along with indications that transient pore opening may provoke 'accidental' apoptosis.","author":[{"dropping-particle":"","family":"Crompton","given":"Martin","non-dropping-particle":"","parse-names":false,"suffix":""}],"container-title":"Biochemical Journal","id":"ITEM-1","issue":"2","issued":{"date-parts":[["1999","7","15"]]},"page":"233-249","publisher":"Portland Press Ltd","title":"The mitochondrial permeabitity transition pore and its role in cell death","type":"article","volume":"341"},"uris":["http://www.mendeley.com/documents/?uuid=f9962eef-fb58-352f-a61e-d20cfdf23c07"]},{"id":"ITEM-2","itemData":{"DOI":"10.1007/s10495-007-0723-y","ISSN":"13608185","abstract":"Current research on the mitochondrial permeability transition pore (PTP) and its role in cell death faces a paradox. Initially considered as an in vitro artifact of little pathophysiological relevance, in recent years the PTP has received considerable attention as a potential mechanism for the execution of cell death. The recent successful use of PTP desensitizers in several disease paradigms leaves little doubt about its relevance in pathophysiology; and emerging findings that link the PTP to key cellular signalling pathways are increasing the interest on the pore as a pharmacological target. Yet, recent genetic data have challenged popular views on the molecular nature of the PTP, and called into question many early conclusions about its structure. Here we review basic concepts about PTP structure, function and regulation within the framework of intracellular death signalling, and its role in disease pathogenesis. © 2007 Springer Science + Business Media, LLC.","author":[{"dropping-particle":"","family":"Rasola","given":"Andrea","non-dropping-particle":"","parse-names":false,"suffix":""},{"dropping-particle":"","family":"Bernardi","given":"Paolo","non-dropping-particle":"","parse-names":false,"suffix":""}],"container-title":"Apoptosis","id":"ITEM-2","issue":"5","issued":{"date-parts":[["2007","5"]]},"page":"815-833","publisher":"Apoptosis","title":"The mitochondrial permeability transition pore and its involvement in cell death and in disease pathogenesis","type":"article","volume":"12"},"uris":["http://www.mendeley.com/documents/?uuid=b72af58a-6962-341e-b82b-68cdb604d964"]}],"mendeley":{"formattedCitation":"&lt;span style=\"baseline\"&gt;(40,41)&lt;/span&gt;","plainTextFormattedCitation":"(40,41)","previouslyFormattedCitation":"&lt;sup&gt;40,41&lt;/sup&gt;"},"properties":{"noteIndex":0},"schema":"https://github.com/citation-style-language/schema/raw/master/csl-citation.json"}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(40,41)</w:t>
      </w:r>
      <w:r w:rsidRPr="009C7D07">
        <w:rPr>
          <w:color w:val="000000" w:themeColor="text1"/>
          <w:lang w:val="en-US"/>
        </w:rPr>
        <w:fldChar w:fldCharType="end"/>
      </w:r>
      <w:r w:rsidR="00B45E2A" w:rsidRPr="009C7D07">
        <w:rPr>
          <w:color w:val="000000" w:themeColor="text1"/>
          <w:lang w:val="en-US"/>
        </w:rPr>
        <w:t>, this may explain the lack of caspase activity.</w:t>
      </w:r>
    </w:p>
    <w:p w14:paraId="4DD7D89A" w14:textId="2E48C658" w:rsidR="00D85454" w:rsidRPr="009C7D07" w:rsidRDefault="00DD5A8C" w:rsidP="00796965">
      <w:pPr>
        <w:pStyle w:val="Heading2"/>
        <w:spacing w:line="480" w:lineRule="auto"/>
        <w:rPr>
          <w:rFonts w:cs="Times New Roman"/>
          <w:color w:val="4472C4"/>
          <w:szCs w:val="24"/>
          <w:lang w:val="en-US"/>
        </w:rPr>
      </w:pPr>
      <w:r w:rsidRPr="009C7D07">
        <w:rPr>
          <w:rFonts w:cs="Times New Roman"/>
          <w:szCs w:val="24"/>
          <w:lang w:val="en-US"/>
        </w:rPr>
        <w:t>Oxidative Damage</w:t>
      </w:r>
    </w:p>
    <w:p w14:paraId="6C9D7884" w14:textId="59BA14FA" w:rsidR="00D85454" w:rsidRPr="009C7D07" w:rsidRDefault="00903553" w:rsidP="00796965">
      <w:pPr>
        <w:spacing w:line="480" w:lineRule="auto"/>
        <w:jc w:val="both"/>
        <w:rPr>
          <w:color w:val="000000" w:themeColor="text1"/>
          <w:lang w:val="en-US"/>
        </w:rPr>
      </w:pPr>
      <w:r w:rsidRPr="009C7D07">
        <w:rPr>
          <w:color w:val="000000" w:themeColor="text1"/>
          <w:shd w:val="clear" w:color="auto" w:fill="FFFFFF"/>
          <w:lang w:val="en-US"/>
        </w:rPr>
        <w:t>S</w:t>
      </w:r>
      <w:r w:rsidR="00D85454" w:rsidRPr="009C7D07">
        <w:rPr>
          <w:color w:val="000000" w:themeColor="text1"/>
          <w:shd w:val="clear" w:color="auto" w:fill="FFFFFF"/>
          <w:lang w:val="en-US"/>
        </w:rPr>
        <w:t xml:space="preserve">tudies have shown that the metabolism of ethanol </w:t>
      </w:r>
      <w:r w:rsidR="00D85454" w:rsidRPr="009C7D07">
        <w:rPr>
          <w:color w:val="000000" w:themeColor="text1"/>
          <w:lang w:val="en-US"/>
        </w:rPr>
        <w:t xml:space="preserve">reduces the level of GSH </w:t>
      </w:r>
      <w:r w:rsidR="00D85454" w:rsidRPr="009C7D07">
        <w:rPr>
          <w:color w:val="000000" w:themeColor="text1"/>
          <w:lang w:val="en-US"/>
        </w:rPr>
        <w:fldChar w:fldCharType="begin" w:fldLock="1"/>
      </w:r>
      <w:r w:rsidR="00CB53A3">
        <w:rPr>
          <w:color w:val="000000" w:themeColor="text1"/>
          <w:lang w:val="en-US"/>
        </w:rPr>
        <w:instrText>ADDIN CSL_CITATION {"citationItems":[{"id":"ITEM-1","itemData":{"ISSN":"1358-6173 (Print)","PMID":"1669007","abstract":"There is increasing interest in the possible role of reactive oxygen intermediates  in the hepatotoxic actions of alcohol. A variety of mechanisms exist whereby ethanol could increase oxidative stress in the liver. This article briefly reviews two of these possible mechanisms; microsomal generation of reactive oxygen intermediates, and ability of NADH to replace NADPH in promoting microsomal production of oxygen radicals. Microsomes produce superoxide and H2O2, and in the presence of iron, yield potent oxidants which are capable of oxidizing hydroxyl radical scavengers, initiating lipid peroxidation, and causing light emission. These reactions are elevated after chronic ethanol consumption, due in part, to induction of a unique isozyme of cytochrome P-450. Production of NADH as a consequence of ethanol oxidation by alcohol dehydrogenase can affect several metabolic functions. NADH was found to be effective as a reductant for the microsomal electron transfer system, and in catalyzing microsomal generation of reactive oxygen species. Acute ethanol (via production of NADH) and chronic ethanol (induction of P-450IIE1, uncoupling) administration may increase microsomal generation of oxygen radicals; the development of oxidative stress in the liver may contribute to the hepatotoxic actions of alcohol.","author":[{"dropping-particle":"","family":"Cederbaum","given":"A I","non-dropping-particle":"","parse-names":false,"suffix":""}],"container-title":"Alcohol and alcoholism (Oxford, Oxfordshire). Supplement","id":"ITEM-1","issued":{"date-parts":[["1991"]]},"language":"eng","page":"291-296","publisher-place":"England","title":"Microsomal generation of reactive oxygen species and their possible role in alcohol  hepatotoxicity.","type":"article-journal","volume":"1"},"uris":["http://www.mendeley.com/documents/?uuid=c6707995-82ce-4874-bb55-14bb6c6bda37"]},{"id":"ITEM-2","itemData":{"DOI":"10.1016/j.bcp.2007.01.033","ISSN":"00062952","PMID":"17343832","abstract":"Glutathione (GSH) plays an important role in the detoxification of ethanol (EtOH) and acute EtOH administration leads to GSH depletion in the liver and other tissues. Aging is also associated with a progressive decline in GSH levels and impairment in GSH biosynthesis in many tissues. Thus, the present study was designed to examine the effects of aging on EtOH-induced depletion and recovery of GSH in different tissues of the C57Bl/6NNIA mouse. EtOH (2-5 g/kg) or saline was administered i.p. to mice of ages 6 months (young), 12 months (mature), and 24 months (old); and GSH and cyst(e)ine concentrations were measured 0-24 h thereafter. EtOH administration (5 g/kg) depleted hepatic GSH levels &gt;50% by 6 h in all animals. By 24 h, levels remained low in both young and old mice, but recovered to baseline levels in mature mice. At 6 h, the decrease in hepatic GSH was dose-dependent up to 3 g/kg EtOH, but not at higher doses. The extent of depletion at the 3 g/kg dose was dependent upon age, with old mice demonstrating significantly lower GSH levels than mature mice (P &lt; 0.001). Altogether these results indicate that aging was associated with a greater degree of EtOH and fasting-induced GSH depletion and subsequent impaired recovery in liver. An impaired ability to recover was also observed in young animals. Further studies are required to determine if an inability to recover from GSH depletion by EtOH is associated with enhanced toxicity. © 2007 Elsevier Inc. All rights reserved.","author":[{"dropping-particle":"","family":"Vogt","given":"Barbara L.","non-dropping-particle":"","parse-names":false,"suffix":""},{"dropping-particle":"","family":"Richie","given":"John P.","non-dropping-particle":"","parse-names":false,"suffix":""}],"container-title":"Biochemical Pharmacology","id":"ITEM-2","issue":"10","issued":{"date-parts":[["2007","5","15"]]},"page":"1613-1621","publisher":"Biochem Pharmacol","title":"Glutathione depletion and recovery after acute ethanol administration in the aging mouse","type":"article-journal","volume":"73"},"uris":["http://www.mendeley.com/documents/?uuid=0e438592-6674-35d7-bd3a-aa4197a2d446"]},{"id":"ITEM-3","itemData":{"DOI":"10.3233/jcb-15019","ISSN":"23523689","abstract":"Chronic alcohol abuse is the leading cause of liver cirrhosis in western countries. Ethanol, even at lower concentrations , can cause pleiotropic effects at the cellular level such as the formation of reactive oxygen species (ROS) and DNA damage. Ethanol is oxidized to acetaldehyde by liver alcohol dehydrogenase and by a microsomal ethanol-oxidizing system which is dependent on CYP2E1. There are numerous reports on CYP2E1-mediated formation of ROS. These lower the levels of intracellular glutathione, an efficient antioxidant. We were interested to investigate ethanol effects on glutathione levels independent of CYP2E1. We chose human hepatoma cell line HepG2 as a model known to lack physiological CYP2E1 expression. We found that 40 mM ethanol, a dosage comparable to blood ethanol concentration after heavy alcohol drinking , reduced intracellular HepG2 glutathione levels only by 18%. Within 24 hours, this effect could be normalized by the glutathione regeneration system. When HepG2 cells were exposed to 40 mM ethanol for one week, the cells gradually lost their ability to regenerate intracellular glutathione stores. We conclude that chronic ethanol exposure has a substantial effect on the glutathione regeneration capacity in liver cells which might contribute to alcohol-induced liver disease.","author":[{"dropping-particle":"","family":"Kade","given":"S.","non-dropping-particle":"","parse-names":false,"suffix":""},{"dropping-particle":"","family":"Herzog","given":"N.","non-dropping-particle":"","parse-names":false,"suffix":""},{"dropping-particle":"","family":"Schmidtke","given":"K.-U.","non-dropping-particle":"","parse-names":false,"suffix":""},{"dropping-particle":"","family":"Küpper","given":"J.-H.","non-dropping-particle":"","parse-names":false,"suffix":""}],"container-title":"Journal of Cellular Biotechnology","id":"ITEM-3","issue":"2","issued":{"date-parts":[["2016","5","13"]]},"page":"183-190","publisher":"IOS Press","title":"Chronic ethanol treatment depletes glutathione regeneration capacity in hepatoma cell line HepG2","type":"article-journal","volume":"1"},"uris":["http://www.mendeley.com/documents/?uuid=cb9aa00c-6044-3229-ac61-ec28704fbcd9"]}],"mendeley":{"formattedCitation":"&lt;span style=\"baseline\"&gt;(42–44)&lt;/span&gt;","plainTextFormattedCitation":"(42–44)","previouslyFormattedCitation":"&lt;sup&gt;42–44&lt;/sup&gt;"},"properties":{"noteIndex":0},"schema":"https://github.com/citation-style-language/schema/raw/master/csl-citation.json"}</w:instrText>
      </w:r>
      <w:r w:rsidR="00D85454" w:rsidRPr="009C7D07">
        <w:rPr>
          <w:color w:val="000000" w:themeColor="text1"/>
          <w:lang w:val="en-US"/>
        </w:rPr>
        <w:fldChar w:fldCharType="separate"/>
      </w:r>
      <w:r w:rsidR="00CB53A3" w:rsidRPr="00CB53A3">
        <w:rPr>
          <w:noProof/>
          <w:color w:val="000000" w:themeColor="text1"/>
          <w:lang w:val="en-US"/>
        </w:rPr>
        <w:t>(42–44)</w:t>
      </w:r>
      <w:r w:rsidR="00D85454" w:rsidRPr="009C7D07">
        <w:rPr>
          <w:color w:val="000000" w:themeColor="text1"/>
          <w:lang w:val="en-US"/>
        </w:rPr>
        <w:fldChar w:fldCharType="end"/>
      </w:r>
      <w:r w:rsidR="00D85454" w:rsidRPr="009C7D07">
        <w:rPr>
          <w:color w:val="000000" w:themeColor="text1"/>
          <w:lang w:val="en-US"/>
        </w:rPr>
        <w:t xml:space="preserve">, which ultimately increases susceptibility to oxidative damage, mitochondrial dysfunction and impairment of ATP synthesis </w:t>
      </w:r>
      <w:r w:rsidR="00D85454" w:rsidRPr="009C7D07">
        <w:rPr>
          <w:color w:val="000000" w:themeColor="text1"/>
          <w:lang w:val="en-US"/>
        </w:rPr>
        <w:fldChar w:fldCharType="begin" w:fldLock="1"/>
      </w:r>
      <w:r w:rsidR="00CB53A3">
        <w:rPr>
          <w:color w:val="000000" w:themeColor="text1"/>
          <w:lang w:val="en-US"/>
        </w:rPr>
        <w:instrText>ADDIN CSL_CITATION {"citationItems":[{"id":"ITEM-1","itemData":{"DOI":"10.1016/j.taap.2004.10.001","ISSN":"0041008X","abstract":"Synthesized in the cytosol of cells, a fraction of cytosolic glutathione (GSH) is then transported into the mitochondrial matrix where it reaches a high concentration and plays a critical role in defending mitochondria against oxidants and electrophiles. Evidence mainly from kidney and liver mitochondria indicated that the dicarboxylate and the 2-oxoglutarate carriers contribute to the transport of GSH across the mitochondrial inner membrane. However, differential features between kidney and liver mitochondrial GSH (mGSH) transport seem to suggest the existence of additional carriers the identity of which remains to be established. One of the characteristic features of the hepatic mitochondrial transport of GSH is its regulation by membrane fluidity. Conditions leading to increased cholesterol deposition in the mitochondrial inner membrane such as in alcohol-induced liver injury decrease membrane fluidity and impair the mitochondrial transport of GSH. Depletion of mitochondrial GSH by alcohol is believed to contribute to the sensitization of the liver to alcohol-induced injury through tumor necrosis factor (TNF)-mediated hepatocellular death. Through control of mitochondrial electron transport chain-generated oxidants, mitochondrial GSH modulates cell death and hence its regulation may be a key target to influence disease progression and drug-induced cell death. © 2004 Elsevier Inc. All rights reserved.","author":[{"dropping-particle":"","family":"Fernandez-Checa","given":"Jose C.","non-dropping-particle":"","parse-names":false,"suffix":""},{"dropping-particle":"","family":"Kaplowitz","given":"Neil","non-dropping-particle":"","parse-names":false,"suffix":""}],"container-title":"Toxicology and Applied Pharmacology","id":"ITEM-1","issue":"3","issued":{"date-parts":[["2005"]]},"page":"263-273","publisher":"Academic Press Inc.","title":"Hepatic mitochondrial glutathione: Transport and role in disease and toxicity","type":"article","volume":"204"},"uris":["http://www.mendeley.com/documents/?uuid=b3214ef2-e121-3790-b8a8-0445cb7a955b"]}],"mendeley":{"formattedCitation":"&lt;span style=\"baseline\"&gt;(45)&lt;/span&gt;","plainTextFormattedCitation":"(45)","previouslyFormattedCitation":"&lt;sup&gt;45&lt;/sup&gt;"},"properties":{"noteIndex":0},"schema":"https://github.com/citation-style-language/schema/raw/master/csl-citation.json"}</w:instrText>
      </w:r>
      <w:r w:rsidR="00D85454" w:rsidRPr="009C7D07">
        <w:rPr>
          <w:color w:val="000000" w:themeColor="text1"/>
          <w:lang w:val="en-US"/>
        </w:rPr>
        <w:fldChar w:fldCharType="separate"/>
      </w:r>
      <w:r w:rsidR="00CB53A3" w:rsidRPr="00CB53A3">
        <w:rPr>
          <w:noProof/>
          <w:color w:val="000000" w:themeColor="text1"/>
          <w:lang w:val="en-US"/>
        </w:rPr>
        <w:t>(45)</w:t>
      </w:r>
      <w:r w:rsidR="00D85454" w:rsidRPr="009C7D07">
        <w:rPr>
          <w:color w:val="000000" w:themeColor="text1"/>
          <w:lang w:val="en-US"/>
        </w:rPr>
        <w:fldChar w:fldCharType="end"/>
      </w:r>
      <w:r w:rsidR="00D85454" w:rsidRPr="009C7D07">
        <w:rPr>
          <w:color w:val="000000" w:themeColor="text1"/>
          <w:lang w:val="en-US"/>
        </w:rPr>
        <w:t>.</w:t>
      </w:r>
      <w:r w:rsidR="00D85454" w:rsidRPr="009C7D07">
        <w:rPr>
          <w:color w:val="000000" w:themeColor="text1"/>
          <w:shd w:val="clear" w:color="auto" w:fill="FFFFFF"/>
          <w:lang w:val="en-US"/>
        </w:rPr>
        <w:t xml:space="preserve"> </w:t>
      </w:r>
      <w:r w:rsidR="00D85454" w:rsidRPr="009C7D07">
        <w:rPr>
          <w:color w:val="000000" w:themeColor="text1"/>
          <w:lang w:val="en-US"/>
        </w:rPr>
        <w:t xml:space="preserve">However, </w:t>
      </w:r>
      <w:r w:rsidR="00142CD1" w:rsidRPr="009C7D07">
        <w:rPr>
          <w:color w:val="000000" w:themeColor="text1"/>
          <w:lang w:val="en-US"/>
        </w:rPr>
        <w:t>surprisingly</w:t>
      </w:r>
      <w:r w:rsidR="009F2150" w:rsidRPr="009C7D07">
        <w:rPr>
          <w:color w:val="000000" w:themeColor="text1"/>
          <w:lang w:val="en-US"/>
        </w:rPr>
        <w:t>,</w:t>
      </w:r>
      <w:r w:rsidR="00D85454" w:rsidRPr="009C7D07">
        <w:rPr>
          <w:color w:val="000000" w:themeColor="text1"/>
          <w:lang w:val="en-US"/>
        </w:rPr>
        <w:t xml:space="preserve"> cytosolic and mitochondrial GSH levels were generally maintained or slightly increased (Figure </w:t>
      </w:r>
      <w:r w:rsidR="009A17F3" w:rsidRPr="009C7D07">
        <w:rPr>
          <w:color w:val="000000" w:themeColor="text1"/>
          <w:lang w:val="en-US"/>
        </w:rPr>
        <w:t>2</w:t>
      </w:r>
      <w:r w:rsidR="00D85454" w:rsidRPr="009C7D07">
        <w:rPr>
          <w:color w:val="000000" w:themeColor="text1"/>
          <w:lang w:val="en-US"/>
        </w:rPr>
        <w:t xml:space="preserve">), and MDA levels were </w:t>
      </w:r>
      <w:r w:rsidR="00B45E2A" w:rsidRPr="009C7D07">
        <w:rPr>
          <w:color w:val="000000" w:themeColor="text1"/>
          <w:lang w:val="en-US"/>
        </w:rPr>
        <w:t xml:space="preserve">generally </w:t>
      </w:r>
      <w:r w:rsidR="00D85454" w:rsidRPr="009C7D07">
        <w:rPr>
          <w:color w:val="000000" w:themeColor="text1"/>
          <w:lang w:val="en-US"/>
        </w:rPr>
        <w:t xml:space="preserve">correspondingly decreased (Figure </w:t>
      </w:r>
      <w:r w:rsidR="009A17F3" w:rsidRPr="009C7D07">
        <w:rPr>
          <w:color w:val="000000" w:themeColor="text1"/>
          <w:lang w:val="en-US"/>
        </w:rPr>
        <w:t>2</w:t>
      </w:r>
      <w:r w:rsidR="00D85454" w:rsidRPr="009C7D07">
        <w:rPr>
          <w:color w:val="000000" w:themeColor="text1"/>
          <w:lang w:val="en-US"/>
        </w:rPr>
        <w:t xml:space="preserve">). </w:t>
      </w:r>
      <w:r w:rsidR="007D6331" w:rsidRPr="009C7D07">
        <w:rPr>
          <w:color w:val="000000" w:themeColor="text1"/>
          <w:lang w:val="en-US"/>
        </w:rPr>
        <w:t>These findings</w:t>
      </w:r>
      <w:r w:rsidR="00144C85" w:rsidRPr="009C7D07">
        <w:rPr>
          <w:color w:val="000000" w:themeColor="text1"/>
          <w:lang w:val="en-US"/>
        </w:rPr>
        <w:t>,</w:t>
      </w:r>
      <w:r w:rsidR="007D6331" w:rsidRPr="009C7D07">
        <w:rPr>
          <w:color w:val="000000" w:themeColor="text1"/>
          <w:lang w:val="en-US"/>
        </w:rPr>
        <w:t xml:space="preserve"> therefore</w:t>
      </w:r>
      <w:r w:rsidR="00144C85" w:rsidRPr="009C7D07">
        <w:rPr>
          <w:color w:val="000000" w:themeColor="text1"/>
          <w:lang w:val="en-US"/>
        </w:rPr>
        <w:t>,</w:t>
      </w:r>
      <w:r w:rsidR="007D6331" w:rsidRPr="009C7D07">
        <w:rPr>
          <w:color w:val="000000" w:themeColor="text1"/>
          <w:lang w:val="en-US"/>
        </w:rPr>
        <w:t xml:space="preserve"> suggest </w:t>
      </w:r>
      <w:r w:rsidR="00B45E2A" w:rsidRPr="009C7D07">
        <w:rPr>
          <w:color w:val="000000" w:themeColor="text1"/>
          <w:lang w:val="en-US"/>
        </w:rPr>
        <w:t xml:space="preserve">some compensatory mechanisms involved preventing oxidative damage in </w:t>
      </w:r>
      <w:r w:rsidR="007D6331" w:rsidRPr="009C7D07">
        <w:rPr>
          <w:color w:val="000000" w:themeColor="text1"/>
          <w:lang w:val="en-US"/>
        </w:rPr>
        <w:t xml:space="preserve">response to acute ethanol administration </w:t>
      </w:r>
      <w:r w:rsidR="00561905" w:rsidRPr="009C7D07">
        <w:rPr>
          <w:color w:val="000000" w:themeColor="text1"/>
          <w:lang w:val="en-US"/>
        </w:rPr>
        <w:fldChar w:fldCharType="begin" w:fldLock="1"/>
      </w:r>
      <w:r w:rsidR="00CB53A3">
        <w:rPr>
          <w:color w:val="000000" w:themeColor="text1"/>
          <w:lang w:val="en-US"/>
        </w:rPr>
        <w:instrText>ADDIN CSL_CITATION {"citationItems":[{"id":"ITEM-1","itemData":{"DOI":"10.1016/j.bcp.2007.01.033","ISSN":"00062952","PMID":"17343832","abstract":"Glutathione (GSH) plays an important role in the detoxification of ethanol (EtOH) and acute EtOH administration leads to GSH depletion in the liver and other tissues. Aging is also associated with a progressive decline in GSH levels and impairment in GSH biosynthesis in many tissues. Thus, the present study was designed to examine the effects of aging on EtOH-induced depletion and recovery of GSH in different tissues of the C57Bl/6NNIA mouse. EtOH (2-5 g/kg) or saline was administered i.p. to mice of ages 6 months (young), 12 months (mature), and 24 months (old); and GSH and cyst(e)ine concentrations were measured 0-24 h thereafter. EtOH administration (5 g/kg) depleted hepatic GSH levels &gt;50% by 6 h in all animals. By 24 h, levels remained low in both young and old mice, but recovered to baseline levels in mature mice. At 6 h, the decrease in hepatic GSH was dose-dependent up to 3 g/kg EtOH, but not at higher doses. The extent of depletion at the 3 g/kg dose was dependent upon age, with old mice demonstrating significantly lower GSH levels than mature mice (P &lt; 0.001). Altogether these results indicate that aging was associated with a greater degree of EtOH and fasting-induced GSH depletion and subsequent impaired recovery in liver. An impaired ability to recover was also observed in young animals. Further studies are required to determine if an inability to recover from GSH depletion by EtOH is associated with enhanced toxicity. © 2007 Elsevier Inc. All rights reserved.","author":[{"dropping-particle":"","family":"Vogt","given":"Barbara L.","non-dropping-particle":"","parse-names":false,"suffix":""},{"dropping-particle":"","family":"Richie","given":"John P.","non-dropping-particle":"","parse-names":false,"suffix":""}],"container-title":"Biochemical Pharmacology","id":"ITEM-1","issue":"10","issued":{"date-parts":[["2007","5","15"]]},"page":"1613-1621","publisher":"Biochem Pharmacol","title":"Glutathione depletion and recovery after acute ethanol administration in the aging mouse","type":"article-journal","volume":"73"},"uris":["http://www.mendeley.com/documents/?uuid=0e438592-6674-35d7-bd3a-aa4197a2d446"]},{"id":"ITEM-2","itemData":{"DOI":"10.1016/S0091-3057(80)80009-8","ISSN":"00913057","abstract":"After 5 hours of acute ethanol intoxication, the levels of reduced glutathione of liver, heart, kidney and brain decreased to 60, 71, 70 and 83% of controls, respectively. The decrease was less when animals were pretreated with pyrazole. Pretreatment with disulfiram potentiated the effect of ethanol. Levels of GSSG were not altered by these treatments. Chronic ethanol administration, in a liquid diet, also produced a decrease in GSH levels. The lowest levels were observed at 4 weeks in liver (65%). However, there was a slow recovery to 75% and 80%, respectively, at 10 and 14 weeks of treatment. Withdrawal from alcohol administration after 10 and 14 weeks intoxication resulted in a complete recovery in GSH levels within 24 hours. Similar changes were seen in other tissues, although they were less marked than in liver, and no changes were observed in GSSG. To clarify the changes in glutathione levels, we measured the main enzymes connected with the synthesis (γ-glutamylcysteine synthetase + glutathione synthetase) and utilization (γ-glutamyl transpeptidase) of glutathione. In liver, the activity of the glutathione synthesizing system was unchanged after 4 weeks, but increased to 140% within 10 weeks; γ-glutamyl transpeptidase was slightly elevated (120%) at 4,10 and 14 weeks. Similar changes in these enzymes were observed in kidney and brain. γ-glutamyl transpeptidase was elevated in serum (120%) at 4 weeks, but reached 140% within 10 weeks. The levels of the glutathione synthesizing system returned to normal in all tissues within 2 days after alcohol withdrawal; however, γ-glutamyl transpeptidase levels did not revert to normal until one week after withdrawal. © 1980, Ankho International Inc.. All rights reserved.","author":[{"dropping-particle":"","family":"Guerri","given":"Consuelo","non-dropping-particle":"","parse-names":false,"suffix":""},{"dropping-particle":"","family":"Grisolía","given":"Santiago","non-dropping-particle":"","parse-names":false,"suffix":""}],"container-title":"Pharmacology Biochemistry and Behavior","id":"ITEM-2","issued":{"date-parts":[["1980","1","1"]]},"page":"53-61","publisher":"Elsevier","title":"Changes in glutathione in acute and chronic alcohol intoxication","type":"article-journal","volume":"13"},"uris":["http://www.mendeley.com/documents/?uuid=6774f11c-ced2-36da-82e8-6a384cd5e82a"]}],"mendeley":{"formattedCitation":"&lt;span style=\"baseline\"&gt;(43,46)&lt;/span&gt;","plainTextFormattedCitation":"(43,46)","previouslyFormattedCitation":"&lt;sup&gt;43,46&lt;/sup&gt;"},"properties":{"noteIndex":0},"schema":"https://github.com/citation-style-language/schema/raw/master/csl-citation.json"}</w:instrText>
      </w:r>
      <w:r w:rsidR="00561905" w:rsidRPr="009C7D07">
        <w:rPr>
          <w:color w:val="000000" w:themeColor="text1"/>
          <w:lang w:val="en-US"/>
        </w:rPr>
        <w:fldChar w:fldCharType="separate"/>
      </w:r>
      <w:r w:rsidR="00CB53A3" w:rsidRPr="00CB53A3">
        <w:rPr>
          <w:noProof/>
          <w:color w:val="000000" w:themeColor="text1"/>
          <w:lang w:val="en-US"/>
        </w:rPr>
        <w:t>(43,46)</w:t>
      </w:r>
      <w:r w:rsidR="00561905" w:rsidRPr="009C7D07">
        <w:rPr>
          <w:color w:val="000000" w:themeColor="text1"/>
          <w:lang w:val="en-US"/>
        </w:rPr>
        <w:fldChar w:fldCharType="end"/>
      </w:r>
      <w:r w:rsidR="00561905" w:rsidRPr="009C7D07">
        <w:rPr>
          <w:color w:val="000000" w:themeColor="text1"/>
          <w:lang w:val="en-US"/>
        </w:rPr>
        <w:t xml:space="preserve">. </w:t>
      </w:r>
      <w:r w:rsidR="00D85454" w:rsidRPr="009C7D07">
        <w:rPr>
          <w:color w:val="000000" w:themeColor="text1"/>
          <w:lang w:val="en-US"/>
        </w:rPr>
        <w:t>This may be due to an increased synthesis of GSH in the cytoplasm along with its subsequent import to the mitochondria or increased synthesis of antioxidant enzymes available to remove ROS. This shows the liver is capable of responding to an acute ethanol dose and that the increased GSH production is protecting against basal oxidative damage.</w:t>
      </w:r>
      <w:r w:rsidR="00B40532" w:rsidRPr="009C7D07">
        <w:rPr>
          <w:color w:val="000000" w:themeColor="text1"/>
          <w:lang w:val="en-US"/>
        </w:rPr>
        <w:t xml:space="preserve"> </w:t>
      </w:r>
    </w:p>
    <w:p w14:paraId="7025415B" w14:textId="77777777" w:rsidR="00D85454" w:rsidRPr="009C7D07" w:rsidRDefault="00D85454" w:rsidP="00796965">
      <w:pPr>
        <w:spacing w:line="480" w:lineRule="auto"/>
        <w:jc w:val="both"/>
        <w:rPr>
          <w:color w:val="000000" w:themeColor="text1"/>
          <w:lang w:val="en-US"/>
        </w:rPr>
      </w:pPr>
    </w:p>
    <w:p w14:paraId="261B1F11" w14:textId="0022E42D" w:rsidR="00903553" w:rsidRPr="009C7D07" w:rsidRDefault="00D85454" w:rsidP="00796965">
      <w:pPr>
        <w:spacing w:line="480" w:lineRule="auto"/>
        <w:jc w:val="both"/>
        <w:rPr>
          <w:color w:val="000000" w:themeColor="text1"/>
          <w:lang w:val="en-US"/>
        </w:rPr>
      </w:pPr>
      <w:r w:rsidRPr="009C7D07">
        <w:rPr>
          <w:color w:val="000000" w:themeColor="text1"/>
          <w:lang w:val="en-US"/>
        </w:rPr>
        <w:t xml:space="preserve">Treatment with betaine alone led to increased cytosolic GSH levels (Figure </w:t>
      </w:r>
      <w:r w:rsidR="009A17F3" w:rsidRPr="009C7D07">
        <w:rPr>
          <w:color w:val="000000" w:themeColor="text1"/>
          <w:lang w:val="en-US"/>
        </w:rPr>
        <w:t>2</w:t>
      </w:r>
      <w:r w:rsidRPr="009C7D07">
        <w:rPr>
          <w:color w:val="000000" w:themeColor="text1"/>
          <w:lang w:val="en-US"/>
        </w:rPr>
        <w:t xml:space="preserve">), however, this was slightly </w:t>
      </w:r>
      <w:r w:rsidR="00631BF5" w:rsidRPr="009C7D07">
        <w:rPr>
          <w:color w:val="000000" w:themeColor="text1"/>
          <w:lang w:val="en-US"/>
        </w:rPr>
        <w:t>r</w:t>
      </w:r>
      <w:r w:rsidRPr="009C7D07">
        <w:rPr>
          <w:color w:val="000000" w:themeColor="text1"/>
          <w:lang w:val="en-US"/>
        </w:rPr>
        <w:t xml:space="preserve">educed with ethanol. This may provide some explanation to the lower cytosolic MDA levels in the betaine and ethanol treated group indicating that betaine is conferring some protection, perhaps via </w:t>
      </w:r>
      <w:r w:rsidR="007661E7" w:rsidRPr="009C7D07">
        <w:rPr>
          <w:color w:val="000000" w:themeColor="text1"/>
          <w:lang w:val="en-US"/>
        </w:rPr>
        <w:t>utilization</w:t>
      </w:r>
      <w:r w:rsidRPr="009C7D07">
        <w:rPr>
          <w:color w:val="000000" w:themeColor="text1"/>
          <w:lang w:val="en-US"/>
        </w:rPr>
        <w:t xml:space="preserve"> of cytosolic GSH. In the mitochondria, a similar pattern occurred, whereby in the ethanol only treated group GSH levels were slightly increased and MDA levels lowered following betaine and ethanol treatment. These results indicate some compensation to oxidative stress and betaine providing some protection against ethanol-mediated injury. Overall, the ameliorative effect of betaine on hepatic GSH and MDA levels has been shown in a chronic model of ethanol intake using guinea pigs </w:t>
      </w:r>
      <w:r w:rsidRPr="009C7D07">
        <w:rPr>
          <w:color w:val="000000" w:themeColor="text1"/>
          <w:lang w:val="en-US"/>
        </w:rPr>
        <w:fldChar w:fldCharType="begin" w:fldLock="1"/>
      </w:r>
      <w:r w:rsidR="00CB53A3">
        <w:rPr>
          <w:color w:val="000000" w:themeColor="text1"/>
          <w:lang w:val="en-US"/>
        </w:rPr>
        <w:instrText>ADDIN CSL_CITATION {"citationItems":[{"id":"ITEM-1","itemData":{"DOI":"10.1078/0940-2993-00347","ISSN":"09402993","abstract":"We investigated the effect of betaine supplementation on ethanol induced steatosis and alterations in prooxidant and antioxidant status in the liver of guinea pigs. Animals were fed with normal chow or betaine containing chow (2% w/w) for 30 days. Ethanol (3 g/kg, i.p.) was given for the last 10 days. We found that ethanol treatment caused significant increases in plasma transaminase activities, hepatic triglyceride and lipid peroxide levels. Significant decreases in glutathione (GSH), α-tocopherol and total ascorbic acid (AA) levels were also observed, but hepatic superoxide dismutase, glutathione peroxidase and glutathione transferase activities remained unchanged as compared with those in controls. Betaine treatment together with ethanol in guinea pigs is found to decrease hepatic triglyceride, lipid peroxide levels and serum transaminase activities and to increase GSH levels. No changes in α-tocopherol and total AA levels and antioxidant enzyme activities were observed with betaine treatment in alcohol treated guinea pigs. In addition, histopathological assessment of guinea pigs showed that betaine reduced the alcoholic fat accumulation in the liver. Based on these data, betaine treatment has a restoring effect on the alterations in triglyceride, lipid peroxide and GSH levels following ethanol ingestion.","author":[{"dropping-particle":"","family":"Balkan","given":"Jale","non-dropping-particle":"","parse-names":false,"suffix":""},{"dropping-particle":"","family":"Öztezcan","given":"Serdar","non-dropping-particle":"","parse-names":false,"suffix":""},{"dropping-particle":"","family":"Küçük","given":"Mutlu","non-dropping-particle":"","parse-names":false,"suffix":""},{"dropping-particle":"","family":"Çevikbaş","given":"Uǧur","non-dropping-particle":"","parse-names":false,"suffix":""},{"dropping-particle":"","family":"Koçak-Toker","given":"Necla","non-dropping-particle":"","parse-names":false,"suffix":""},{"dropping-particle":"","family":"Uysal","given":"Müjdat","non-dropping-particle":"","parse-names":false,"suffix":""}],"container-title":"Experimental and Toxicologic Pathology","id":"ITEM-1","issue":"6","issued":{"date-parts":[["2004","1","1"]]},"page":"505-509","publisher":"Elsevier GmbH","title":"The effect of betaine treatment on triglyceride levels and oxidative stress in the liver of ethanol-treated guinea pigs","type":"article-journal","volume":"55"},"uris":["http://www.mendeley.com/documents/?uuid=56839303-ad87-38f0-a7bd-51646033b232"]}],"mendeley":{"formattedCitation":"&lt;span style=\"baseline\"&gt;(20)&lt;/span&gt;","plainTextFormattedCitation":"(20)","previouslyFormattedCitation":"&lt;sup&gt;20&lt;/sup&gt;"},"properties":{"noteIndex":0},"schema":"https://github.com/citation-style-language/schema/raw/master/csl-citation.json"}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(20)</w:t>
      </w:r>
      <w:r w:rsidRPr="009C7D07">
        <w:rPr>
          <w:color w:val="000000" w:themeColor="text1"/>
          <w:lang w:val="en-US"/>
        </w:rPr>
        <w:fldChar w:fldCharType="end"/>
      </w:r>
      <w:r w:rsidRPr="009C7D07">
        <w:rPr>
          <w:color w:val="000000" w:themeColor="text1"/>
          <w:lang w:val="en-US"/>
        </w:rPr>
        <w:t xml:space="preserve"> and in an acute ethanol model using mice </w:t>
      </w:r>
      <w:r w:rsidRPr="009C7D07">
        <w:rPr>
          <w:color w:val="000000" w:themeColor="text1"/>
          <w:lang w:val="en-US"/>
        </w:rPr>
        <w:fldChar w:fldCharType="begin" w:fldLock="1"/>
      </w:r>
      <w:r w:rsidR="00CB53A3">
        <w:rPr>
          <w:color w:val="000000" w:themeColor="text1"/>
          <w:lang w:val="en-US"/>
        </w:rPr>
        <w:instrText>ADDIN CSL_CITATION {"citationItems":[{"id":"ITEM-1","itemData":{"DOI":"10.1016/j.bbrc.2008.02.003","ISSN":"0006291X","abstract":"Oxidative stress is suggested to play a key role in the development of alcoholic liver injury. We investigated the induction of oxidative damage in association with changes in hepatic concentrations of sulfur-containing substances in mice challenged with binge-like ethanol administration. Also the protective effect of dietary betaine against ethanol-induced liver injury was determined. Serum alanine aminotransferase activity, TNFα level, and hepatic malondialdehyde level were increased significantly by ethanol administration. Hepatic Cyp2e1 was induced to 250% of control. Ethanol administration decreased hepatic S-adenosylmethionine, cysteine, and glutathione, but elevated hypotaurine and taurine levels. Betaine supplied in drinking water for 2 weeks attenuated the induction of alcoholic liver injury and Cyp2e1 significantly. Reduction of hepatic S-adenosylmethionine and glutathione was alleviated, and elevation of hypotaurine and taurine was depressed. The results suggest that betaine may protect the liver against ethanol-induced oxidative injury most probably via its effects on the sulfur-amino acid metabolism. © 2008 Elsevier Inc. All rights reserved.","author":[{"dropping-particle":"","family":"Kim","given":"Sun J.","non-dropping-particle":"","parse-names":false,"suffix":""},{"dropping-particle":"","family":"Jung","given":"Young S.","non-dropping-particle":"","parse-names":false,"suffix":""},{"dropping-particle":"","family":"Kwon","given":"Do Y.","non-dropping-particle":"","parse-names":false,"suffix":""},{"dropping-particle":"","family":"Kim","given":"Young C.","non-dropping-particle":"","parse-names":false,"suffix":""}],"container-title":"Biochemical and Biophysical Research Communications","id":"ITEM-1","issue":"4","issued":{"date-parts":[["2008","4","18"]]},"page":"893-898","publisher":"Academic Press","title":"Alleviation of acute ethanol-induced liver injury and impaired metabolomics of S-containing substances by betaine supplementation","type":"article-journal","volume":"368"},"uris":["http://www.mendeley.com/documents/?uuid=978db614-0f05-304b-96e9-1f6ffcecfb5d"]}],"mendeley":{"formattedCitation":"&lt;span style=\"baseline\"&gt;(19)&lt;/span&gt;","plainTextFormattedCitation":"(19)","previouslyFormattedCitation":"&lt;sup&gt;19&lt;/sup&gt;"},"properties":{"noteIndex":0},"schema":"https://github.com/citation-style-language/schema/raw/master/csl-citation.json"}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(19)</w:t>
      </w:r>
      <w:r w:rsidRPr="009C7D07">
        <w:rPr>
          <w:color w:val="000000" w:themeColor="text1"/>
          <w:lang w:val="en-US"/>
        </w:rPr>
        <w:fldChar w:fldCharType="end"/>
      </w:r>
      <w:r w:rsidRPr="009C7D07">
        <w:rPr>
          <w:color w:val="000000" w:themeColor="text1"/>
          <w:lang w:val="en-US"/>
        </w:rPr>
        <w:t xml:space="preserve">. These studies attributed the protective effects of betaine on the maintenance of cellular GSH levels. Currently, little research relates to acute ethanol administration in juvenile rats. </w:t>
      </w:r>
      <w:r w:rsidR="00323FA9" w:rsidRPr="009C7D07">
        <w:rPr>
          <w:color w:val="000000" w:themeColor="text1"/>
          <w:lang w:val="en-US"/>
        </w:rPr>
        <w:t xml:space="preserve">These results do </w:t>
      </w:r>
      <w:r w:rsidR="00903553" w:rsidRPr="009C7D07">
        <w:rPr>
          <w:color w:val="000000" w:themeColor="text1"/>
          <w:lang w:val="en-US"/>
        </w:rPr>
        <w:t xml:space="preserve">however support previous studies whereby betaine protects against the effects of ethanol on GSH levels, the mechanism causing the increase in GSH rather than a decrease remains to be elicited. </w:t>
      </w:r>
    </w:p>
    <w:p w14:paraId="798398D4" w14:textId="77777777" w:rsidR="00903553" w:rsidRPr="009C7D07" w:rsidRDefault="00903553" w:rsidP="00796965">
      <w:pPr>
        <w:spacing w:line="480" w:lineRule="auto"/>
        <w:jc w:val="both"/>
        <w:rPr>
          <w:color w:val="000000" w:themeColor="text1"/>
          <w:lang w:val="en-US"/>
        </w:rPr>
      </w:pPr>
    </w:p>
    <w:p w14:paraId="4F316073" w14:textId="69B9D6DC" w:rsidR="00903553" w:rsidRPr="009C7D07" w:rsidRDefault="00903553" w:rsidP="00796965">
      <w:pPr>
        <w:spacing w:line="480" w:lineRule="auto"/>
        <w:jc w:val="both"/>
        <w:rPr>
          <w:color w:val="4472C4" w:themeColor="accent1"/>
          <w:lang w:val="en-US"/>
        </w:rPr>
      </w:pPr>
      <w:r w:rsidRPr="009C7D07">
        <w:rPr>
          <w:color w:val="000000" w:themeColor="text1"/>
          <w:lang w:val="en-US"/>
        </w:rPr>
        <w:t xml:space="preserve">Ethanol consumption affects mitochondrial morphology, which alters the capacity of oxidative phosphorylation </w:t>
      </w:r>
      <w:r w:rsidRPr="009C7D07">
        <w:rPr>
          <w:color w:val="000000" w:themeColor="text1"/>
          <w:lang w:val="en-US"/>
        </w:rPr>
        <w:fldChar w:fldCharType="begin" w:fldLock="1"/>
      </w:r>
      <w:r w:rsidR="00CB53A3">
        <w:rPr>
          <w:color w:val="000000" w:themeColor="text1"/>
          <w:lang w:val="en-US"/>
        </w:rPr>
        <w:instrText>ADDIN CSL_CITATION {"citationItems":[{"id":"ITEM-1","itemData":{"DOI":"10.1016/j.jhep.2006.08.024","ISSN":"01688278","abstract":"Background/Aims: Previous studies in our laboratory implicated ethanol-induced decreases in hepatocellular S-adenosylmethionine to S-adenosylhomocysteine (SAM:SAH) ratios in lowering the activity of phosphatidylethanolamine methyltransferase (PEMT), which is associated with the generation of steatosis. Further in vitro studies showed that betaine supplementation could correct these alterations in the ratio as well as attenuate alcoholic steatosis. Therefore, we sought to determine whether the protective effect of betaine is via its effect on PEMT activity. Methods: Male Wistar rats were fed the Lieber DeCarli control or ethanol diet with or without 1% betaine supplementation for 4 weeks. Results: We observed that ethanol feeding resulted in decreased phosphatidylcholine (PC) production by a PEMT-catalyzed reaction. Betaine supplementation corrected the ethanol-induced decrease in hepatic SAM:SAH ratios and by normalizing PC production via the PEMT-mediated pathway, significantly reduced fatty infiltration associated with ethanol consumption. This restoration of hepatocellular SAM:SAH ratio by betaine supplementation was associated with increases in the activity, enzyme mass and gene expression of the enzyme, betaine homocysteine methyltransferase (BHMT), that remethylates homocysteine. Conclusions: Betaine, by virtue of promoting an alternate remethylation pathway, restores SAM:SAH ratios that, in turn, correct the defective cellular methylation reaction catalyzed by PEMT resulting in protection against the generation of alcoholic steatosis. © 2006 European Association for the Study of the Liver.","author":[{"dropping-particle":"","family":"Kharbanda","given":"Kusum K.","non-dropping-particle":"","parse-names":false,"suffix":""},{"dropping-particle":"","family":"Mailliard","given":"Mark E.","non-dropping-particle":"","parse-names":false,"suffix":""},{"dropping-particle":"","family":"Baldwin","given":"Cheryl R.","non-dropping-particle":"","parse-names":false,"suffix":""},{"dropping-particle":"","family":"Beckenhauer","given":"Harriet C.","non-dropping-particle":"","parse-names":false,"suffix":""},{"dropping-particle":"","family":"Sorrell","given":"Michael F.","non-dropping-particle":"","parse-names":false,"suffix":""},{"dropping-particle":"","family":"Tuma","given":"Dean J.","non-dropping-particle":"","parse-names":false,"suffix":""}],"container-title":"Journal of Hepatology","id":"ITEM-1","issue":"2","issued":{"date-parts":[["2007","2","1"]]},"page":"314-321","publisher":"Elsevier","title":"Betaine attenuates alcoholic steatosis by restoring phosphatidylcholine generation via the phosphatidylethanolamine methyltransferase pathway","type":"article-journal","volume":"46"},"uris":["http://www.mendeley.com/documents/?uuid=028fba51-e92f-313f-9c26-f799a112efd5"]},{"id":"ITEM-2","itemData":{"DOI":"10.1053/gast.2002.33613","ISSN":"00165085","abstract":"Mitochondria are intimately involved in the generation of and defense against reactive oxygen species (ROS). Mitochondria are themselves targets of oxidative stress and also contribute to mechanisms by which oxidative stress-related signals control cell fate. Ethanol promotes oxidative stress, both by increasing ROS formation and by decreasing cellular defense mechanisms. These effects of ethanol are prominent in the liver, the major site of ethanol metabolism in the body. The question remains to what extent this contributes to ethanol-dependent tissue damage or the susceptibility of cells to other stressors. In this review, we consider how mitochondrial actions of ethanol influence oxidative stress management of liver cells. Mitochondrial electron transport constitutes the major intracellular source of ROS, and ethanol treatment imposes conditions that promote ROS formation by mitochondria, the effects of which may be enhanced by a decrease in mitochondrial oxidative stress defenses. A significant target of ethanol-related increases in oxidative stress is mitochondrial DNA. Ethanol-induced damage to mitochondrial DNA, if not adequately repaired, impairs mitochondrial function, which further increases oxidative stress in the cell, leading to a vicious cycle of accumulating cell damage that is more apparent with advancing age. Uncontrolled mitochondrial formation of ROS promotes the inappropriate activation of the mitochondrial permeability transition, increasing the sensitivity of cells to other pro-apoptotic or damage signals. In combination with ethanol-induced defects in mitochondrial function, these alterations may promote both apoptotic and necrotic cell death in response to otherwise benign or beneficial challenges and contribute to the onset or progression of alcohol-induced liver diseases.","author":[{"dropping-particle":"","family":"Hoek","given":"Jan B.","non-dropping-particle":"","parse-names":false,"suffix":""},{"dropping-particle":"","family":"Cahill","given":"Alan","non-dropping-particle":"","parse-names":false,"suffix":""},{"dropping-particle":"","family":"Pastorino","given":"John G.","non-dropping-particle":"","parse-names":false,"suffix":""}],"container-title":"Gastroenterology","id":"ITEM-2","issue":"7","issued":{"date-parts":[["2002"]]},"page":"2049-2063","publisher":"W.B. Saunders","title":"Alcohol and mitochondria: A dysfunctional relationship","type":"article-journal","volume":"122"},"uris":["http://www.mendeley.com/documents/?uuid=c85bd511-5c6b-39c9-9929-2608bfeaca9b"]}],"mendeley":{"formattedCitation":"&lt;span style=\"baseline\"&gt;(18,47)&lt;/span&gt;","plainTextFormattedCitation":"(18,47)","previouslyFormattedCitation":"&lt;sup&gt;18,47&lt;/sup&gt;"},"properties":{"noteIndex":0},"schema":"https://github.com/citation-style-language/schema/raw/master/csl-citation.json"}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(18,47)</w:t>
      </w:r>
      <w:r w:rsidRPr="009C7D07">
        <w:rPr>
          <w:color w:val="000000" w:themeColor="text1"/>
          <w:lang w:val="en-US"/>
        </w:rPr>
        <w:fldChar w:fldCharType="end"/>
      </w:r>
      <w:r w:rsidRPr="009C7D07">
        <w:rPr>
          <w:color w:val="000000" w:themeColor="text1"/>
          <w:lang w:val="en-US"/>
        </w:rPr>
        <w:t xml:space="preserve">. Studies have shown that chronic treatment of ethanol induces loss of oxidation phosphorylation proteins which can be prevented by betaine supplementation </w:t>
      </w:r>
      <w:r w:rsidRPr="009C7D07">
        <w:rPr>
          <w:color w:val="000000" w:themeColor="text1"/>
          <w:lang w:val="en-US"/>
        </w:rPr>
        <w:fldChar w:fldCharType="begin" w:fldLock="1"/>
      </w:r>
      <w:r w:rsidR="00CB53A3">
        <w:rPr>
          <w:color w:val="000000" w:themeColor="text1"/>
          <w:lang w:val="en-US"/>
        </w:rPr>
        <w:instrText>ADDIN CSL_CITATION {"citationItems":[{"id":"ITEM-1","itemData":{"DOI":"10.1155/2012/962183","ISSN":"2090-3448","abstract":"&lt;italic&gt;Introduction&lt;/italic&gt;. Mitochondrial damage and disruption in oxidative phosphorylation contributes to the pathogenesis of alcoholic liver injury. Herein, we tested the hypothesis that the hepatoprotective actions of betaine against alcoholic liver injury occur at the level of the mitochondrial proteome. &lt;italic&gt;Methods&lt;/italic&gt;. Male Wister rats were pair-fed control or ethanol-containing liquid diets supplemented with or without betaine (10&amp;#x2009;mg/mL) for 4-5 wks. Liver was examined for triglyceride accumulation, levels of methionine cycle metabolites, and alterations in mitochondrial proteins. &lt;italic&gt;Results&lt;/italic&gt;. Chronic ethanol ingestion resulted in triglyceride accumulation which was attenuated in the ethanol plus betaine group. Blue native gel electrophoresis (BN-PAGE) revealed significant decreases in the content of the intact oxidative phosphorylation complexes in mitochondria from ethanol-fed animals. The alcohol-dependent loss in many of the low molecular weight oxidative phosphorylation proteins was prevented by betaine supplementation. This protection by betaine was associated with normalization of SAM&amp;#x2009;:&amp;#x2009;S-adenosylhomocysteine (SAH) ratios and the attenuation of the ethanol-induced increase in inducible nitric oxide synthase and nitric oxide generation in the liver. &lt;italic&gt;Discussion/Conclusion&lt;/italic&gt;. In summary, betaine attenuates alcoholic steatosis and alterations to the oxidative phosphorylation system. Therefore, preservation of mitochondrial function may be another key molecular mechanism responsible for betaine hepatoprotection.","author":[{"dropping-particle":"","family":"Kharbanda","given":"Kusum K","non-dropping-particle":"","parse-names":false,"suffix":""},{"dropping-particle":"","family":"Todero","given":"Sandra L","non-dropping-particle":"","parse-names":false,"suffix":""},{"dropping-particle":"","family":"King","given":"Adrienne L","non-dropping-particle":"","parse-names":false,"suffix":""},{"dropping-particle":"","family":"Osna","given":"Natalia A","non-dropping-particle":"","parse-names":false,"suffix":""},{"dropping-particle":"","family":"McVicker","given":"Benita L","non-dropping-particle":"","parse-names":false,"suffix":""},{"dropping-particle":"","family":"Tuma","given":"Dean J","non-dropping-particle":"","parse-names":false,"suffix":""},{"dropping-particle":"","family":"Wisecarver","given":"James L","non-dropping-particle":"","parse-names":false,"suffix":""},{"dropping-particle":"","family":"Bailey","given":"Shannon M","non-dropping-particle":"","parse-names":false,"suffix":""}],"container-title":"International Journal of Hepatology","editor":[{"dropping-particle":"","family":"Schrum","given":"Laura","non-dropping-particle":"","parse-names":false,"suffix":""}],"id":"ITEM-1","issued":{"date-parts":[["2012"]]},"page":"962183","publisher":"Hindawi Publishing Corporation","title":"Betaine Treatment Attenuates Chronic Ethanol-Induced Hepatic Steatosis and Alterations to the Mitochondrial Respiratory Chain Proteome","type":"article-journal","volume":"2012"},"uris":["http://www.mendeley.com/documents/?uuid=38b56347-fc7e-4123-a164-6220452fe770"]}],"mendeley":{"formattedCitation":"&lt;span style=\"baseline\"&gt;(15)&lt;/span&gt;","plainTextFormattedCitation":"(15)","previouslyFormattedCitation":"&lt;sup&gt;15&lt;/sup&gt;"},"properties":{"noteIndex":0},"schema":"https://github.com/citation-style-language/schema/raw/master/csl-citation.json"}</w:instrText>
      </w:r>
      <w:r w:rsidRPr="009C7D07">
        <w:rPr>
          <w:color w:val="000000" w:themeColor="text1"/>
          <w:lang w:val="en-US"/>
        </w:rPr>
        <w:fldChar w:fldCharType="separate"/>
      </w:r>
      <w:r w:rsidR="00CB53A3" w:rsidRPr="00CB53A3">
        <w:rPr>
          <w:noProof/>
          <w:color w:val="000000" w:themeColor="text1"/>
          <w:lang w:val="en-US"/>
        </w:rPr>
        <w:t>(15)</w:t>
      </w:r>
      <w:r w:rsidRPr="009C7D07">
        <w:rPr>
          <w:color w:val="000000" w:themeColor="text1"/>
          <w:lang w:val="en-US"/>
        </w:rPr>
        <w:fldChar w:fldCharType="end"/>
      </w:r>
      <w:r w:rsidRPr="009C7D07">
        <w:rPr>
          <w:color w:val="000000" w:themeColor="text1"/>
          <w:lang w:val="en-US"/>
        </w:rPr>
        <w:t>. However, here we found complex I activity increased after acute ethanol treatment. When ethanol and betaine treatment was combined</w:t>
      </w:r>
      <w:r w:rsidR="009F2150" w:rsidRPr="009C7D07">
        <w:rPr>
          <w:color w:val="000000" w:themeColor="text1"/>
          <w:lang w:val="en-US"/>
        </w:rPr>
        <w:t>,</w:t>
      </w:r>
      <w:r w:rsidRPr="009C7D07">
        <w:rPr>
          <w:color w:val="000000" w:themeColor="text1"/>
          <w:lang w:val="en-US"/>
        </w:rPr>
        <w:t xml:space="preserve"> an increase in </w:t>
      </w:r>
      <w:r w:rsidR="00323FA9" w:rsidRPr="009C7D07">
        <w:rPr>
          <w:color w:val="000000" w:themeColor="text1"/>
          <w:lang w:val="en-US"/>
        </w:rPr>
        <w:t xml:space="preserve">complex I </w:t>
      </w:r>
      <w:r w:rsidRPr="009C7D07">
        <w:rPr>
          <w:color w:val="000000" w:themeColor="text1"/>
          <w:lang w:val="en-US"/>
        </w:rPr>
        <w:t>activity was also observed.</w:t>
      </w:r>
      <w:r w:rsidR="00323FA9" w:rsidRPr="009C7D07">
        <w:rPr>
          <w:color w:val="000000" w:themeColor="text1"/>
          <w:lang w:val="en-US"/>
        </w:rPr>
        <w:t xml:space="preserve"> </w:t>
      </w:r>
      <w:r w:rsidRPr="009C7D07">
        <w:rPr>
          <w:color w:val="000000" w:themeColor="text1"/>
          <w:lang w:val="en-US"/>
        </w:rPr>
        <w:t xml:space="preserve">Further studies are required to explore this finding. </w:t>
      </w:r>
    </w:p>
    <w:p w14:paraId="2817B089" w14:textId="5E8FD6D4" w:rsidR="00346F8A" w:rsidRPr="009C7D07" w:rsidRDefault="00041083" w:rsidP="00796965">
      <w:pPr>
        <w:pStyle w:val="Heading2"/>
        <w:spacing w:line="480" w:lineRule="auto"/>
        <w:rPr>
          <w:rFonts w:cs="Times New Roman"/>
          <w:szCs w:val="24"/>
          <w:lang w:val="en-US"/>
        </w:rPr>
      </w:pPr>
      <w:r w:rsidRPr="009C7D07">
        <w:rPr>
          <w:rFonts w:cs="Times New Roman"/>
          <w:szCs w:val="24"/>
          <w:lang w:val="en-US"/>
        </w:rPr>
        <w:t>Antioxidant Enzymes</w:t>
      </w:r>
    </w:p>
    <w:p w14:paraId="40C6AA21" w14:textId="014ED2DD" w:rsidR="009C2673" w:rsidRPr="009C7D07" w:rsidRDefault="00DC650B" w:rsidP="00796965">
      <w:pPr>
        <w:spacing w:line="480" w:lineRule="auto"/>
        <w:jc w:val="both"/>
        <w:rPr>
          <w:color w:val="000000" w:themeColor="text1"/>
          <w:shd w:val="clear" w:color="auto" w:fill="FFFFFF"/>
          <w:lang w:val="en-US"/>
        </w:rPr>
      </w:pPr>
      <w:r w:rsidRPr="009C7D07">
        <w:rPr>
          <w:color w:val="000000" w:themeColor="text1"/>
          <w:lang w:val="en-US"/>
        </w:rPr>
        <w:t xml:space="preserve">It has previously been reported that chronic ethanol treatment led to decreases in both cytosolic and mitochondrial </w:t>
      </w:r>
      <w:proofErr w:type="spellStart"/>
      <w:r w:rsidRPr="009C7D07">
        <w:rPr>
          <w:color w:val="000000" w:themeColor="text1"/>
          <w:lang w:val="en-US"/>
        </w:rPr>
        <w:t>GPx</w:t>
      </w:r>
      <w:proofErr w:type="spellEnd"/>
      <w:r w:rsidR="00922DE6" w:rsidRPr="009C7D07">
        <w:rPr>
          <w:color w:val="000000" w:themeColor="text1"/>
          <w:lang w:val="en-US"/>
        </w:rPr>
        <w:t xml:space="preserve"> </w:t>
      </w:r>
      <w:r w:rsidR="00922DE6" w:rsidRPr="009C7D07">
        <w:rPr>
          <w:color w:val="000000" w:themeColor="text1"/>
          <w:lang w:val="en-US"/>
        </w:rPr>
        <w:fldChar w:fldCharType="begin" w:fldLock="1"/>
      </w:r>
      <w:r w:rsidR="00CB53A3">
        <w:rPr>
          <w:color w:val="000000" w:themeColor="text1"/>
          <w:lang w:val="en-US"/>
        </w:rPr>
        <w:instrText>ADDIN CSL_CITATION {"citationItems":[{"id":"ITEM-1","itemData":{"ISSN":"0145-6008 (Print)","PMID":"11371722","abstract":"BACKGROUND: Alcohol-induced liver damage is associated with oxidative stress, which  might be linked to disturbances in liver antioxidant defense mechanisms. The effect of chronic ethanol consumption on the mitochondrial and cytosolic glutathione/glutathione peroxidase-1 (GSHPx-1) system and oxidative modification of proteins was therefore studied in the rat. METHODS: Male Sprague-Dawley rats were fed liquid diets that provided 36% total calories as ethanol for at least 31 days. Pair-fed controls received isocaloric diets with ethanol calories substituted with maltose-dextrins. Mitochondrial and cytosolic fractions were prepared from livers and assayed for GSHPx-1 and glutathione reductase activities and total and oxidized concentrations of glutathione. Catalase activity was measured in the postmitochondrial supernatant. Levels of GSHPx-1, lactate dehydrogenase, and the beta subunit of the F1 portion of the ATP synthase protein were determined by western blot analysis. Concentrations of mitochondrial and cytosolic protein carbonyls were measured to assess ethanol-induced oxidation of proteins. RESULTS: Chronic ethanol consumption significantly decreased cytosolic and mitochondrial GSHPx-1 activities by 40% and 30%, respectively. Levels of GSHPx-1 protein in cytosol were unaffected by ethanol feeding, whereas there was a small decrease in GSHPx-1 protein levels in mitochondria isolated from ethanol-fed rats. Glutathione reductase activities were increased in both intracellular compartments and catalase activity was increased as a consequence of ethanol exposure. Cytosolic total glutathione was mildly decreased, whereas ethanol feeding increased mitochondrial levels of total glutathione. Chronic ethanol feeding significantly increased both cytosolic and mitochondrial concentrations of protein carbonyls by 30% and 60%, respectively. CONCLUSIONS: This study demonstrates that chronic ethanol-induced alterations in the glutathione/GSHPx-1 antioxidant system might promote oxidative modification of liver proteins, namely those of the mitochondrion, which could contribute to the adverse effects of ethanol on the liver.","author":[{"dropping-particle":"","family":"Bailey","given":"S M","non-dropping-particle":"","parse-names":false,"suffix":""},{"dropping-particle":"","family":"Patel","given":"V B","non-dropping-particle":"","parse-names":false,"suffix":""},{"dropping-particle":"","family":"Young","given":"T A","non-dropping-particle":"","parse-names":false,"suffix":""},{"dropping-particle":"","family":"Asayama","given":"K","non-dropping-particle":"","parse-names":false,"suffix":""},{"dropping-particle":"","family":"Cunningham","given":"C C","non-dropping-particle":"","parse-names":false,"suffix":""}],"container-title":"Alcoholism, clinical and experimental research","id":"ITEM-1","issue":"5","issued":{"date-parts":[["2001","5"]]},"language":"eng","page":"726-733","publisher-place":"England","title":"Chronic ethanol consumption alters the glutathione/glutathione peroxidase-1 system  and protein oxidation status in rat liver.","type":"article-journal","volume":"25"},"uris":["http://www.mendeley.com/documents/?uuid=5aea4907-ef63-4ac9-b7cc-c0579c18685b"]}],"mendeley":{"formattedCitation":"&lt;span style=\"baseline\"&gt;(48)&lt;/span&gt;","plainTextFormattedCitation":"(48)","previouslyFormattedCitation":"&lt;sup&gt;48&lt;/sup&gt;"},"properties":{"noteIndex":0},"schema":"https://github.com/citation-style-language/schema/raw/master/csl-citation.json"}</w:instrText>
      </w:r>
      <w:r w:rsidR="00922DE6" w:rsidRPr="009C7D07">
        <w:rPr>
          <w:color w:val="000000" w:themeColor="text1"/>
          <w:lang w:val="en-US"/>
        </w:rPr>
        <w:fldChar w:fldCharType="separate"/>
      </w:r>
      <w:r w:rsidR="00CB53A3" w:rsidRPr="00CB53A3">
        <w:rPr>
          <w:noProof/>
          <w:color w:val="000000" w:themeColor="text1"/>
          <w:lang w:val="en-US"/>
        </w:rPr>
        <w:t>(48)</w:t>
      </w:r>
      <w:r w:rsidR="00922DE6" w:rsidRPr="009C7D07">
        <w:rPr>
          <w:color w:val="000000" w:themeColor="text1"/>
          <w:lang w:val="en-US"/>
        </w:rPr>
        <w:fldChar w:fldCharType="end"/>
      </w:r>
      <w:r w:rsidRPr="009C7D07">
        <w:rPr>
          <w:color w:val="000000" w:themeColor="text1"/>
          <w:lang w:val="en-US"/>
        </w:rPr>
        <w:t>. In this study,</w:t>
      </w:r>
      <w:r w:rsidR="00175CAC" w:rsidRPr="009C7D07">
        <w:rPr>
          <w:color w:val="000000" w:themeColor="text1"/>
          <w:lang w:val="en-US"/>
        </w:rPr>
        <w:t xml:space="preserve"> acute</w:t>
      </w:r>
      <w:r w:rsidR="005C2289" w:rsidRPr="009C7D07">
        <w:rPr>
          <w:color w:val="000000" w:themeColor="text1"/>
          <w:lang w:val="en-US"/>
        </w:rPr>
        <w:t xml:space="preserve"> ethanol exposure</w:t>
      </w:r>
      <w:r w:rsidR="00175CAC" w:rsidRPr="009C7D07">
        <w:rPr>
          <w:color w:val="000000" w:themeColor="text1"/>
          <w:lang w:val="en-US"/>
        </w:rPr>
        <w:t xml:space="preserve"> led to a significant decrease in </w:t>
      </w:r>
      <w:proofErr w:type="spellStart"/>
      <w:r w:rsidR="00175CAC" w:rsidRPr="009C7D07">
        <w:rPr>
          <w:color w:val="000000" w:themeColor="text1"/>
          <w:lang w:val="en-US"/>
        </w:rPr>
        <w:t>GPx</w:t>
      </w:r>
      <w:proofErr w:type="spellEnd"/>
      <w:r w:rsidR="00175CAC" w:rsidRPr="009C7D07">
        <w:rPr>
          <w:color w:val="000000" w:themeColor="text1"/>
          <w:lang w:val="en-US"/>
        </w:rPr>
        <w:t xml:space="preserve"> activity</w:t>
      </w:r>
      <w:r w:rsidRPr="009C7D07">
        <w:rPr>
          <w:color w:val="000000" w:themeColor="text1"/>
          <w:lang w:val="en-US"/>
        </w:rPr>
        <w:t xml:space="preserve"> in the cytoplasm</w:t>
      </w:r>
      <w:r w:rsidR="005C2289" w:rsidRPr="009C7D07">
        <w:rPr>
          <w:color w:val="000000" w:themeColor="text1"/>
          <w:lang w:val="en-US"/>
        </w:rPr>
        <w:t xml:space="preserve"> </w:t>
      </w:r>
      <w:r w:rsidR="00E5304C" w:rsidRPr="009C7D07">
        <w:rPr>
          <w:color w:val="000000" w:themeColor="text1"/>
          <w:lang w:val="en-US"/>
        </w:rPr>
        <w:t xml:space="preserve">as well as </w:t>
      </w:r>
      <w:r w:rsidRPr="009C7D07">
        <w:rPr>
          <w:color w:val="000000" w:themeColor="text1"/>
          <w:lang w:val="en-US"/>
        </w:rPr>
        <w:t>betaine alone and betaine ethanol groups</w:t>
      </w:r>
      <w:r w:rsidR="009F2150" w:rsidRPr="009C7D07">
        <w:rPr>
          <w:color w:val="000000" w:themeColor="text1"/>
          <w:lang w:val="en-US"/>
        </w:rPr>
        <w:t>,</w:t>
      </w:r>
      <w:r w:rsidRPr="009C7D07">
        <w:rPr>
          <w:color w:val="000000" w:themeColor="text1"/>
          <w:lang w:val="en-US"/>
        </w:rPr>
        <w:t xml:space="preserve"> </w:t>
      </w:r>
      <w:r w:rsidR="00E5304C" w:rsidRPr="009C7D07">
        <w:rPr>
          <w:color w:val="000000" w:themeColor="text1"/>
          <w:lang w:val="en-US"/>
        </w:rPr>
        <w:t>leading</w:t>
      </w:r>
      <w:r w:rsidRPr="009C7D07">
        <w:rPr>
          <w:color w:val="000000" w:themeColor="text1"/>
          <w:lang w:val="en-US"/>
        </w:rPr>
        <w:t xml:space="preserve"> to </w:t>
      </w:r>
      <w:r w:rsidR="00144C85" w:rsidRPr="009C7D07">
        <w:rPr>
          <w:color w:val="000000" w:themeColor="text1"/>
          <w:lang w:val="en-US"/>
        </w:rPr>
        <w:t xml:space="preserve">a </w:t>
      </w:r>
      <w:r w:rsidRPr="009C7D07">
        <w:rPr>
          <w:color w:val="000000" w:themeColor="text1"/>
          <w:lang w:val="en-US"/>
        </w:rPr>
        <w:t>decrease</w:t>
      </w:r>
      <w:r w:rsidR="00E5304C" w:rsidRPr="009C7D07">
        <w:rPr>
          <w:color w:val="000000" w:themeColor="text1"/>
          <w:lang w:val="en-US"/>
        </w:rPr>
        <w:t xml:space="preserve"> in activity</w:t>
      </w:r>
      <w:r w:rsidRPr="009C7D07">
        <w:rPr>
          <w:color w:val="000000" w:themeColor="text1"/>
          <w:lang w:val="en-US"/>
        </w:rPr>
        <w:t xml:space="preserve"> in the cytoplasm. </w:t>
      </w:r>
      <w:r w:rsidR="00B40532" w:rsidRPr="009C7D07">
        <w:rPr>
          <w:color w:val="000000" w:themeColor="text1"/>
          <w:lang w:val="en-US"/>
        </w:rPr>
        <w:t>Th</w:t>
      </w:r>
      <w:r w:rsidR="00E3590E" w:rsidRPr="009C7D07">
        <w:rPr>
          <w:color w:val="000000" w:themeColor="text1"/>
          <w:lang w:val="en-US"/>
        </w:rPr>
        <w:t>is</w:t>
      </w:r>
      <w:r w:rsidR="00B40532" w:rsidRPr="009C7D07">
        <w:rPr>
          <w:color w:val="000000" w:themeColor="text1"/>
          <w:lang w:val="en-US"/>
        </w:rPr>
        <w:t xml:space="preserve"> lower </w:t>
      </w:r>
      <w:proofErr w:type="spellStart"/>
      <w:r w:rsidR="00B40532" w:rsidRPr="009C7D07">
        <w:rPr>
          <w:color w:val="000000" w:themeColor="text1"/>
          <w:lang w:val="en-US"/>
        </w:rPr>
        <w:t>GPx</w:t>
      </w:r>
      <w:proofErr w:type="spellEnd"/>
      <w:r w:rsidR="00B40532" w:rsidRPr="009C7D07">
        <w:rPr>
          <w:color w:val="000000" w:themeColor="text1"/>
          <w:lang w:val="en-US"/>
        </w:rPr>
        <w:t xml:space="preserve"> indicates</w:t>
      </w:r>
      <w:r w:rsidR="00E3590E" w:rsidRPr="009C7D07">
        <w:rPr>
          <w:color w:val="000000" w:themeColor="text1"/>
          <w:lang w:val="en-US"/>
        </w:rPr>
        <w:t xml:space="preserve"> less clearance of </w:t>
      </w:r>
      <w:r w:rsidR="009F2150" w:rsidRPr="009C7D07">
        <w:rPr>
          <w:color w:val="000000" w:themeColor="text1"/>
          <w:lang w:val="en-US"/>
        </w:rPr>
        <w:t>H</w:t>
      </w:r>
      <w:r w:rsidR="009F2150" w:rsidRPr="009C7D07">
        <w:rPr>
          <w:color w:val="000000" w:themeColor="text1"/>
          <w:vertAlign w:val="subscript"/>
          <w:lang w:val="en-US"/>
        </w:rPr>
        <w:t>2</w:t>
      </w:r>
      <w:r w:rsidR="009F2150" w:rsidRPr="009C7D07">
        <w:rPr>
          <w:color w:val="000000" w:themeColor="text1"/>
          <w:lang w:val="en-US"/>
        </w:rPr>
        <w:t>O</w:t>
      </w:r>
      <w:r w:rsidR="009F2150" w:rsidRPr="009C7D07">
        <w:rPr>
          <w:color w:val="000000" w:themeColor="text1"/>
          <w:vertAlign w:val="subscript"/>
          <w:lang w:val="en-US"/>
        </w:rPr>
        <w:t>2</w:t>
      </w:r>
      <w:r w:rsidR="009F2150" w:rsidRPr="009C7D07">
        <w:rPr>
          <w:color w:val="000000" w:themeColor="text1"/>
          <w:lang w:val="en-US"/>
        </w:rPr>
        <w:t xml:space="preserve"> </w:t>
      </w:r>
      <w:r w:rsidR="00E3590E" w:rsidRPr="009C7D07">
        <w:rPr>
          <w:color w:val="000000" w:themeColor="text1"/>
          <w:lang w:val="en-US"/>
        </w:rPr>
        <w:t xml:space="preserve">taking place. </w:t>
      </w:r>
      <w:proofErr w:type="spellStart"/>
      <w:r w:rsidRPr="009C7D07">
        <w:rPr>
          <w:color w:val="000000" w:themeColor="text1"/>
          <w:lang w:val="en-US"/>
        </w:rPr>
        <w:t>GPx</w:t>
      </w:r>
      <w:proofErr w:type="spellEnd"/>
      <w:r w:rsidRPr="009C7D07">
        <w:rPr>
          <w:color w:val="000000" w:themeColor="text1"/>
          <w:lang w:val="en-US"/>
        </w:rPr>
        <w:t xml:space="preserve"> activity remained unchanged in the mitochondria</w:t>
      </w:r>
      <w:r w:rsidR="00922DE6" w:rsidRPr="009C7D07">
        <w:rPr>
          <w:color w:val="000000" w:themeColor="text1"/>
          <w:lang w:val="en-US"/>
        </w:rPr>
        <w:t xml:space="preserve"> as well as c</w:t>
      </w:r>
      <w:r w:rsidR="00E5304C" w:rsidRPr="009C7D07">
        <w:rPr>
          <w:color w:val="000000" w:themeColor="text1"/>
          <w:shd w:val="clear" w:color="auto" w:fill="FFFFFF"/>
          <w:lang w:val="en-US"/>
        </w:rPr>
        <w:t xml:space="preserve">atalase activity </w:t>
      </w:r>
      <w:r w:rsidR="00922DE6" w:rsidRPr="009C7D07">
        <w:rPr>
          <w:color w:val="000000" w:themeColor="text1"/>
          <w:shd w:val="clear" w:color="auto" w:fill="FFFFFF"/>
          <w:lang w:val="en-US"/>
        </w:rPr>
        <w:t xml:space="preserve">which </w:t>
      </w:r>
      <w:r w:rsidR="00E5304C" w:rsidRPr="009C7D07">
        <w:rPr>
          <w:color w:val="000000" w:themeColor="text1"/>
          <w:shd w:val="clear" w:color="auto" w:fill="FFFFFF"/>
          <w:lang w:val="en-US"/>
        </w:rPr>
        <w:t>remained unchanged across all treatment groups.</w:t>
      </w:r>
      <w:r w:rsidR="003B735C" w:rsidRPr="009C7D07">
        <w:rPr>
          <w:color w:val="000000" w:themeColor="text1"/>
          <w:shd w:val="clear" w:color="auto" w:fill="FFFFFF"/>
          <w:lang w:val="en-US"/>
        </w:rPr>
        <w:t xml:space="preserve"> </w:t>
      </w:r>
      <w:r w:rsidR="00E5304C" w:rsidRPr="009C7D07">
        <w:rPr>
          <w:bCs/>
          <w:iCs/>
          <w:color w:val="000000" w:themeColor="text1"/>
          <w:lang w:val="en-US"/>
        </w:rPr>
        <w:t>Treatment with ethanol alone and ethanol and betaine led to decrease</w:t>
      </w:r>
      <w:r w:rsidR="00142CD1" w:rsidRPr="009C7D07">
        <w:rPr>
          <w:bCs/>
          <w:iCs/>
          <w:color w:val="000000" w:themeColor="text1"/>
          <w:lang w:val="en-US"/>
        </w:rPr>
        <w:t>d S</w:t>
      </w:r>
      <w:r w:rsidR="00E5304C" w:rsidRPr="009C7D07">
        <w:rPr>
          <w:bCs/>
          <w:iCs/>
          <w:color w:val="000000" w:themeColor="text1"/>
          <w:lang w:val="en-US"/>
        </w:rPr>
        <w:t xml:space="preserve">OD activity </w:t>
      </w:r>
      <w:r w:rsidR="00E37C5D" w:rsidRPr="009C7D07">
        <w:rPr>
          <w:bCs/>
          <w:iCs/>
          <w:color w:val="000000" w:themeColor="text1"/>
          <w:lang w:val="en-US"/>
        </w:rPr>
        <w:t xml:space="preserve">which </w:t>
      </w:r>
      <w:r w:rsidR="007D6331" w:rsidRPr="009C7D07">
        <w:rPr>
          <w:bCs/>
          <w:iCs/>
          <w:color w:val="000000" w:themeColor="text1"/>
          <w:lang w:val="en-US"/>
        </w:rPr>
        <w:t>is consistent with</w:t>
      </w:r>
      <w:r w:rsidR="00E37C5D" w:rsidRPr="009C7D07">
        <w:rPr>
          <w:bCs/>
          <w:iCs/>
          <w:color w:val="000000" w:themeColor="text1"/>
          <w:lang w:val="en-US"/>
        </w:rPr>
        <w:t xml:space="preserve"> previous studies. The reduction in SOD activity may be due to ROS-induced enzyme degradation as well as a reduced synthesis of enzymes</w:t>
      </w:r>
      <w:r w:rsidR="006F5E5E" w:rsidRPr="009C7D07">
        <w:rPr>
          <w:bCs/>
          <w:iCs/>
          <w:color w:val="000000" w:themeColor="text1"/>
          <w:lang w:val="en-US"/>
        </w:rPr>
        <w:t xml:space="preserve"> </w:t>
      </w:r>
      <w:r w:rsidR="006F5E5E" w:rsidRPr="009C7D07">
        <w:rPr>
          <w:bCs/>
          <w:iCs/>
          <w:color w:val="000000" w:themeColor="text1"/>
          <w:lang w:val="en-US"/>
        </w:rPr>
        <w:fldChar w:fldCharType="begin" w:fldLock="1"/>
      </w:r>
      <w:r w:rsidR="00CB53A3">
        <w:rPr>
          <w:bCs/>
          <w:iCs/>
          <w:color w:val="000000" w:themeColor="text1"/>
          <w:lang w:val="en-US"/>
        </w:rPr>
        <w:instrText>ADDIN CSL_CITATION {"citationItems":[{"id":"ITEM-1","itemData":{"DOI":"10.2307/24105800","author":[{"dropping-particle":"","family":"Sriram","given":"K. Indira","non-dropping-particle":"","parse-names":false,"suffix":""},{"dropping-particle":"","family":"Lakshmi","given":"Ch. Jhansi","non-dropping-particle":"","parse-names":false,"suffix":""}],"container-title":"Current Science","id":"ITEM-1","issued":{"date-parts":[["0"]]},"page":"921-923","publisher":"Current Science Association","title":"Endurance exercise-induced alterations in antioxidant enzymes of old albino male rats","type":"article","volume":"80"},"uris":["http://www.mendeley.com/documents/?uuid=a3a0b93b-1435-36a8-981d-6ad5fadc09b1"]}],"mendeley":{"formattedCitation":"&lt;span style=\"baseline\"&gt;(49)&lt;/span&gt;","plainTextFormattedCitation":"(49)","previouslyFormattedCitation":"&lt;sup&gt;49&lt;/sup&gt;"},"properties":{"noteIndex":0},"schema":"https://github.com/citation-style-language/schema/raw/master/csl-citation.json"}</w:instrText>
      </w:r>
      <w:r w:rsidR="006F5E5E" w:rsidRPr="009C7D07">
        <w:rPr>
          <w:bCs/>
          <w:iCs/>
          <w:color w:val="000000" w:themeColor="text1"/>
          <w:lang w:val="en-US"/>
        </w:rPr>
        <w:fldChar w:fldCharType="separate"/>
      </w:r>
      <w:r w:rsidR="00CB53A3" w:rsidRPr="00CB53A3">
        <w:rPr>
          <w:bCs/>
          <w:iCs/>
          <w:noProof/>
          <w:color w:val="000000" w:themeColor="text1"/>
          <w:lang w:val="en-US"/>
        </w:rPr>
        <w:t>(49)</w:t>
      </w:r>
      <w:r w:rsidR="006F5E5E" w:rsidRPr="009C7D07">
        <w:rPr>
          <w:bCs/>
          <w:iCs/>
          <w:color w:val="000000" w:themeColor="text1"/>
          <w:lang w:val="en-US"/>
        </w:rPr>
        <w:fldChar w:fldCharType="end"/>
      </w:r>
      <w:r w:rsidR="006F5E5E" w:rsidRPr="009C7D07">
        <w:rPr>
          <w:bCs/>
          <w:iCs/>
          <w:color w:val="000000" w:themeColor="text1"/>
          <w:lang w:val="en-US"/>
        </w:rPr>
        <w:t xml:space="preserve">. </w:t>
      </w:r>
      <w:r w:rsidR="00E37C5D" w:rsidRPr="009C7D07">
        <w:rPr>
          <w:bCs/>
          <w:iCs/>
          <w:color w:val="000000" w:themeColor="text1"/>
          <w:lang w:val="en-US"/>
        </w:rPr>
        <w:t xml:space="preserve">However, as </w:t>
      </w:r>
      <w:r w:rsidR="00E5304C" w:rsidRPr="009C7D07">
        <w:rPr>
          <w:bCs/>
          <w:iCs/>
          <w:color w:val="000000" w:themeColor="text1"/>
          <w:lang w:val="en-US"/>
        </w:rPr>
        <w:t>SOD activity was increased in the cytoplasm with betaine treatment alone</w:t>
      </w:r>
      <w:r w:rsidR="00E37C5D" w:rsidRPr="009C7D07">
        <w:rPr>
          <w:bCs/>
          <w:iCs/>
          <w:color w:val="000000" w:themeColor="text1"/>
          <w:lang w:val="en-US"/>
        </w:rPr>
        <w:t>,</w:t>
      </w:r>
      <w:r w:rsidR="00E5304C" w:rsidRPr="009C7D07">
        <w:rPr>
          <w:bCs/>
          <w:iCs/>
          <w:color w:val="000000" w:themeColor="text1"/>
          <w:lang w:val="en-US"/>
        </w:rPr>
        <w:t xml:space="preserve"> </w:t>
      </w:r>
      <w:r w:rsidR="006F5E5E" w:rsidRPr="009C7D07">
        <w:rPr>
          <w:bCs/>
          <w:iCs/>
          <w:color w:val="000000" w:themeColor="text1"/>
          <w:lang w:val="en-US"/>
        </w:rPr>
        <w:t xml:space="preserve">it may be possible </w:t>
      </w:r>
      <w:r w:rsidR="00E5304C" w:rsidRPr="009C7D07">
        <w:rPr>
          <w:bCs/>
          <w:iCs/>
          <w:color w:val="000000" w:themeColor="text1"/>
          <w:lang w:val="en-US"/>
        </w:rPr>
        <w:t>betaine provide</w:t>
      </w:r>
      <w:r w:rsidR="006F5E5E" w:rsidRPr="009C7D07">
        <w:rPr>
          <w:bCs/>
          <w:iCs/>
          <w:color w:val="000000" w:themeColor="text1"/>
          <w:lang w:val="en-US"/>
        </w:rPr>
        <w:t>s</w:t>
      </w:r>
      <w:r w:rsidR="00E5304C" w:rsidRPr="009C7D07">
        <w:rPr>
          <w:bCs/>
          <w:iCs/>
          <w:color w:val="000000" w:themeColor="text1"/>
          <w:lang w:val="en-US"/>
        </w:rPr>
        <w:t xml:space="preserve"> some protection to oxidative damage via</w:t>
      </w:r>
      <w:r w:rsidR="007D6331" w:rsidRPr="009C7D07">
        <w:rPr>
          <w:bCs/>
          <w:iCs/>
          <w:color w:val="000000" w:themeColor="text1"/>
          <w:lang w:val="en-US"/>
        </w:rPr>
        <w:t xml:space="preserve"> an</w:t>
      </w:r>
      <w:r w:rsidR="00E5304C" w:rsidRPr="009C7D07">
        <w:rPr>
          <w:bCs/>
          <w:iCs/>
          <w:color w:val="000000" w:themeColor="text1"/>
          <w:lang w:val="en-US"/>
        </w:rPr>
        <w:t xml:space="preserve"> increase in antioxidant enzymes.</w:t>
      </w:r>
      <w:r w:rsidR="000960CB" w:rsidRPr="009C7D07">
        <w:rPr>
          <w:b/>
          <w:bCs/>
          <w:color w:val="000000" w:themeColor="text1"/>
          <w:shd w:val="clear" w:color="auto" w:fill="FFFFFF"/>
          <w:lang w:val="en-US"/>
        </w:rPr>
        <w:t xml:space="preserve"> </w:t>
      </w:r>
      <w:r w:rsidR="00175CAC" w:rsidRPr="009C7D07">
        <w:rPr>
          <w:color w:val="000000" w:themeColor="text1"/>
          <w:shd w:val="clear" w:color="auto" w:fill="FFFFFF"/>
          <w:lang w:val="en-US"/>
        </w:rPr>
        <w:t xml:space="preserve">This demonstrates </w:t>
      </w:r>
      <w:r w:rsidR="00B45E2A" w:rsidRPr="009C7D07">
        <w:rPr>
          <w:color w:val="000000" w:themeColor="text1"/>
          <w:shd w:val="clear" w:color="auto" w:fill="FFFFFF"/>
          <w:lang w:val="en-US"/>
        </w:rPr>
        <w:t>that the</w:t>
      </w:r>
      <w:r w:rsidR="00175CAC" w:rsidRPr="009C7D07">
        <w:rPr>
          <w:color w:val="000000" w:themeColor="text1"/>
          <w:shd w:val="clear" w:color="auto" w:fill="FFFFFF"/>
          <w:lang w:val="en-US"/>
        </w:rPr>
        <w:t xml:space="preserve"> antioxidant enzymes </w:t>
      </w:r>
      <w:r w:rsidR="00B45E2A" w:rsidRPr="009C7D07">
        <w:rPr>
          <w:color w:val="000000" w:themeColor="text1"/>
          <w:shd w:val="clear" w:color="auto" w:fill="FFFFFF"/>
          <w:lang w:val="en-US"/>
        </w:rPr>
        <w:t xml:space="preserve">are generally maintained </w:t>
      </w:r>
      <w:r w:rsidR="00175CAC" w:rsidRPr="009C7D07">
        <w:rPr>
          <w:color w:val="000000" w:themeColor="text1"/>
          <w:shd w:val="clear" w:color="auto" w:fill="FFFFFF"/>
          <w:lang w:val="en-US"/>
        </w:rPr>
        <w:t>after acute ethanol treatment</w:t>
      </w:r>
      <w:r w:rsidR="002E429D" w:rsidRPr="009C7D07">
        <w:rPr>
          <w:color w:val="000000" w:themeColor="text1"/>
          <w:shd w:val="clear" w:color="auto" w:fill="FFFFFF"/>
          <w:lang w:val="en-US"/>
        </w:rPr>
        <w:t xml:space="preserve"> in juvenile rats</w:t>
      </w:r>
      <w:r w:rsidR="00175CAC" w:rsidRPr="009C7D07">
        <w:rPr>
          <w:color w:val="000000" w:themeColor="text1"/>
          <w:shd w:val="clear" w:color="auto" w:fill="FFFFFF"/>
          <w:lang w:val="en-US"/>
        </w:rPr>
        <w:t xml:space="preserve">. </w:t>
      </w:r>
      <w:r w:rsidR="002E429D" w:rsidRPr="009C7D07">
        <w:rPr>
          <w:color w:val="000000" w:themeColor="text1"/>
          <w:shd w:val="clear" w:color="auto" w:fill="FFFFFF"/>
          <w:lang w:val="en-US"/>
        </w:rPr>
        <w:t>Age-related decreases in antioxidant enzymes are exacerbated by ethanol which causes aged animals to become</w:t>
      </w:r>
      <w:r w:rsidR="006F5E5E" w:rsidRPr="009C7D07">
        <w:rPr>
          <w:color w:val="000000" w:themeColor="text1"/>
          <w:shd w:val="clear" w:color="auto" w:fill="FFFFFF"/>
          <w:lang w:val="en-US"/>
        </w:rPr>
        <w:t xml:space="preserve"> </w:t>
      </w:r>
      <w:r w:rsidR="002E429D" w:rsidRPr="009C7D07">
        <w:rPr>
          <w:color w:val="000000" w:themeColor="text1"/>
          <w:shd w:val="clear" w:color="auto" w:fill="FFFFFF"/>
          <w:lang w:val="en-US"/>
        </w:rPr>
        <w:t xml:space="preserve">more vulnerable to oxidative damage </w:t>
      </w:r>
      <w:r w:rsidR="002E429D" w:rsidRPr="009C7D07">
        <w:rPr>
          <w:color w:val="000000" w:themeColor="text1"/>
          <w:shd w:val="clear" w:color="auto" w:fill="FFFFFF"/>
          <w:lang w:val="en-US"/>
        </w:rPr>
        <w:fldChar w:fldCharType="begin" w:fldLock="1"/>
      </w:r>
      <w:r w:rsidR="00CB53A3">
        <w:rPr>
          <w:color w:val="000000" w:themeColor="text1"/>
          <w:shd w:val="clear" w:color="auto" w:fill="FFFFFF"/>
          <w:lang w:val="en-US"/>
        </w:rPr>
        <w:instrText>ADDIN CSL_CITATION {"citationItems":[{"id":"ITEM-1","itemData":{"DOI":"10.1016/j.alcohol.2010.07.004","ISSN":"07418329","abstract":"Chronic alcohol consumption causes severe hepatic oxidative damage, particularly to old subjects by decreasing various antioxidant enzymes. In this study, we test the hypothesis that exercise training can protect the aging liver against alcohol-induced oxidative damage. Two different age groups of Wistar albino rats (3 months young, n=24; 18 months old, n=24) were evenly divided into four groups: control (Con), exercise trained (Tr, 23. m/min 30. min/day, 5 days/week for 2 months), ethanol drinking/treated (Et, 2.0g/kg b.w. orally), and exercise training plus ethanol drinking/treated (Tr + Et). We found significantly (P&lt;001) lowered hepatic antioxidant enzymes including superoxide dismutase, catalase, selenium (Se)-dependent glutathione peroxidase (Se-GSH-Px), Se-non-dependent glutathione peroxidase (non-Se-GSH-Px), glutathione reductase, and glutathione S-transferase activities in aged rats compared with young. Age-related decrease in antioxidant enzyme status was further exacerbated with ethanol drinking, which indicates liver in aged rats is more susceptible to oxidative damage because of decreased free radical scavenging system in aged/old ethanol-drinking rats. However, the decrease in liver antioxidant enzymes status with ethanol consumption was ameliorated by 2 months exercise training in old and young rats. These results demonstrate that age-associated decrease in hepatic free radical scavenging system exacerbated by ethanol drinking. For the first time, we found that this deterioration was significantly reversed by exercise training in aging liver, thus protects against alcohol-induced oxidative damage. © 2010 Elsevier Inc.","author":[{"dropping-particle":"","family":"Mallikarjuna","given":"K.","non-dropping-particle":"","parse-names":false,"suffix":""},{"dropping-particle":"","family":"Shanmugam","given":"K. R.","non-dropping-particle":"","parse-names":false,"suffix":""},{"dropping-particle":"","family":"Nishanth","given":"K.","non-dropping-particle":"","parse-names":false,"suffix":""},{"dropping-particle":"","family":"Wu","given":"Ming Chieh","non-dropping-particle":"","parse-names":false,"suffix":""},{"dropping-particle":"","family":"Hou","given":"Chien Wen","non-dropping-particle":"","parse-names":false,"suffix":""},{"dropping-particle":"","family":"Kuo","given":"Chia Hua","non-dropping-particle":"","parse-names":false,"suffix":""},{"dropping-particle":"","family":"Reddy","given":"K. Sathyavelu","non-dropping-particle":"","parse-names":false,"suffix":""}],"container-title":"Alcohol","id":"ITEM-1","issue":"6","issued":{"date-parts":[["2010","9","1"]]},"page":"523-529","publisher":"Elsevier","title":"Alcohol-induced deterioration in primary antioxidant and glutathione family enzymes reversed by exercise training in the liver of old rats","type":"article-journal","volume":"44"},"uris":["http://www.mendeley.com/documents/?uuid=71d14b2e-cedd-3748-a69e-3b4de57b8f33"]},{"id":"ITEM-2","itemData":{"DOI":"10.1152/ajpgi.00193.2005","ISSN":"0193-1857","abstract":"Chronic ethanol feeding damages the hepatic mitochondrion by increasing mitochondrial DNA (mtDNA) oxidation, lowering mtDNA yields and impairing mitochondrial respiration. These effects are also seen during aging. By employing a 21-day chronic feeding regimen, we investigated the effects of ethanol consumption on mtDNA content and mitochondrial respiration in 2-, 12-, and 24-mo-old male rats. Aging resulted in decreased mtDNA content, increased mtDNA damage (as indicated by inhibition of Taq polymerase progression), and a decline in state 3 respiration; effects that were further exacerbated by ethanol feeding. Additionally, ethanol consumption caused an increase in the levels of citrate synthase while not impacting mitochondrial protein content. In conclusion, ethanol and aging combine to cause deterioration in the structural and functional integrity of the hepatic mitochondrion. The additive effects of aging and ethanol feeding may have serious consequences for hepatic energy metabolism in aged animals, and their detrimental combination may serve as one of the molecular mechanisms underlying the progression of alcoholic liver disease.","author":[{"dropping-particle":"","family":"Cahill","given":"Alan","non-dropping-particle":"","parse-names":false,"suffix":""},{"dropping-particle":"","family":"Hershman","given":"Stuart","non-dropping-particle":"","parse-names":false,"suffix":""},{"dropping-particle":"","family":"Davies","given":"Adrian","non-dropping-particle":"","parse-names":false,"suffix":""},{"dropping-particle":"","family":"Sykora","given":"Peter","non-dropping-particle":"","parse-names":false,"suffix":""}],"container-title":"American Journal of Physiology-Gastrointestinal and Liver Physiology","id":"ITEM-2","issue":"6","issued":{"date-parts":[["2005","12"]]},"page":"G1115-G1123","publisher":"Am J Physiol Gastrointest Liver Physiol","title":"Ethanol feeding enhances age-related deterioration of the rat hepatic mitochondrion","type":"article-journal","volume":"289"},"uris":["http://www.mendeley.com/documents/?uuid=6034a883-bd60-36f1-a328-6267b8ec4914"]},{"id":"ITEM-3","itemData":{"DOI":"10.1097/MCO.0b013e3282f30564","ISSN":"13631950","abstract":"PURPOSE OF REVIEW: Alcohol consumption among the elderly has increased. Alcohol metabolism changes with age and the elderly are more sensitive to the toxic effects; this increased consumption is therefore of great clinical relevance. RECENT FINDINGS: Metabolism of ethanol changes with advancing age because activity of the enzymes involved, such as alcohol and acetaldehyde dehydrogenase and cytochrome P-4502E1, diminish with age. The water distribution volume also decreases with age. Both lead to increased blood concentrations of ethanol. Also, elderly people take more drugs, and ethanol and these drugs may interact; therefore, alcohol consumption can modify serum drug concentrations and their toxicity. Finally, elderly people may suffer more frequently from other types of liver disease, and alcohol may exacerbate these. SUMMARY: Over recent decades alcohol consumption has increased among those who are older than 65 years. Alcohol is more toxic in the ageing organism because of changes in its metabolism, distribution and elimination, which lead to central nervous system effects at lower levels of intake; also, ageing organs such as brain and liver are more sensitive to the toxicity of alcohol. For these reasons, alcohol should be used in moderation, especially among those of older age. © 2008 Lippincott Williams &amp; Wilkins, Inc.","author":[{"dropping-particle":"","family":"Meier","given":"Patrick","non-dropping-particle":"","parse-names":false,"suffix":""},{"dropping-particle":"","family":"Seitz","given":"Helmut K.","non-dropping-particle":"","parse-names":false,"suffix":""}],"container-title":"Current Opinion in Clinical Nutrition and Metabolic Care","id":"ITEM-3","issue":"1","issued":{"date-parts":[["2008","1"]]},"page":"21-26","publisher":"Curr Opin Clin Nutr Metab Care","title":"Age, alcohol metabolism and liver disease","type":"article","volume":"11"},"uris":["http://www.mendeley.com/documents/?uuid=be3e506d-b4c4-31b4-8c73-dd44f45a0362"]}],"mendeley":{"formattedCitation":"&lt;span style=\"baseline\"&gt;(50–52)&lt;/span&gt;","plainTextFormattedCitation":"(50–52)","previouslyFormattedCitation":"&lt;sup&gt;50–52&lt;/sup&gt;"},"properties":{"noteIndex":0},"schema":"https://github.com/citation-style-language/schema/raw/master/csl-citation.json"}</w:instrText>
      </w:r>
      <w:r w:rsidR="002E429D" w:rsidRPr="009C7D07">
        <w:rPr>
          <w:color w:val="000000" w:themeColor="text1"/>
          <w:shd w:val="clear" w:color="auto" w:fill="FFFFFF"/>
          <w:lang w:val="en-US"/>
        </w:rPr>
        <w:fldChar w:fldCharType="separate"/>
      </w:r>
      <w:r w:rsidR="00CB53A3" w:rsidRPr="00CB53A3">
        <w:rPr>
          <w:noProof/>
          <w:color w:val="000000" w:themeColor="text1"/>
          <w:shd w:val="clear" w:color="auto" w:fill="FFFFFF"/>
          <w:lang w:val="en-US"/>
        </w:rPr>
        <w:t>(50–52)</w:t>
      </w:r>
      <w:r w:rsidR="002E429D" w:rsidRPr="009C7D07">
        <w:rPr>
          <w:color w:val="000000" w:themeColor="text1"/>
          <w:shd w:val="clear" w:color="auto" w:fill="FFFFFF"/>
          <w:lang w:val="en-US"/>
        </w:rPr>
        <w:fldChar w:fldCharType="end"/>
      </w:r>
      <w:r w:rsidR="002E429D" w:rsidRPr="009C7D07">
        <w:rPr>
          <w:color w:val="000000" w:themeColor="text1"/>
          <w:shd w:val="clear" w:color="auto" w:fill="FFFFFF"/>
          <w:lang w:val="en-US"/>
        </w:rPr>
        <w:t xml:space="preserve">. </w:t>
      </w:r>
      <w:r w:rsidR="00175CAC" w:rsidRPr="009C7D07">
        <w:rPr>
          <w:color w:val="000000" w:themeColor="text1"/>
          <w:shd w:val="clear" w:color="auto" w:fill="FFFFFF"/>
          <w:lang w:val="en-US"/>
        </w:rPr>
        <w:t>This may</w:t>
      </w:r>
      <w:r w:rsidRPr="009C7D07">
        <w:rPr>
          <w:color w:val="000000" w:themeColor="text1"/>
          <w:shd w:val="clear" w:color="auto" w:fill="FFFFFF"/>
          <w:lang w:val="en-US"/>
        </w:rPr>
        <w:t xml:space="preserve"> be explained by a</w:t>
      </w:r>
      <w:r w:rsidR="00175CAC" w:rsidRPr="009C7D07">
        <w:rPr>
          <w:color w:val="000000" w:themeColor="text1"/>
          <w:shd w:val="clear" w:color="auto" w:fill="FFFFFF"/>
          <w:lang w:val="en-US"/>
        </w:rPr>
        <w:t xml:space="preserve"> higher antioxidant capacity </w:t>
      </w:r>
      <w:r w:rsidR="003A0479" w:rsidRPr="009C7D07">
        <w:rPr>
          <w:color w:val="000000" w:themeColor="text1"/>
          <w:shd w:val="clear" w:color="auto" w:fill="FFFFFF"/>
          <w:lang w:val="en-US"/>
        </w:rPr>
        <w:t xml:space="preserve">in </w:t>
      </w:r>
      <w:r w:rsidR="009F2150" w:rsidRPr="009C7D07">
        <w:rPr>
          <w:color w:val="000000" w:themeColor="text1"/>
          <w:shd w:val="clear" w:color="auto" w:fill="FFFFFF"/>
          <w:lang w:val="en-US"/>
        </w:rPr>
        <w:t xml:space="preserve">adolescents; therefore, </w:t>
      </w:r>
      <w:r w:rsidR="002E429D" w:rsidRPr="009C7D07">
        <w:rPr>
          <w:color w:val="000000" w:themeColor="text1"/>
          <w:shd w:val="clear" w:color="auto" w:fill="FFFFFF"/>
          <w:lang w:val="en-US"/>
        </w:rPr>
        <w:t>less damage occurs to the liver.</w:t>
      </w:r>
      <w:r w:rsidR="0043069F" w:rsidRPr="009C7D07">
        <w:rPr>
          <w:color w:val="000000" w:themeColor="text1"/>
          <w:shd w:val="clear" w:color="auto" w:fill="FFFFFF"/>
          <w:lang w:val="en-US"/>
        </w:rPr>
        <w:t xml:space="preserve"> </w:t>
      </w:r>
    </w:p>
    <w:p w14:paraId="5F446DC9" w14:textId="494D2301" w:rsidR="00C705CB" w:rsidRPr="009C7D07" w:rsidRDefault="009472F6" w:rsidP="009472F6">
      <w:pPr>
        <w:pStyle w:val="Heading1"/>
        <w:rPr>
          <w:rFonts w:cs="Times New Roman"/>
          <w:szCs w:val="24"/>
          <w:lang w:val="en-US"/>
        </w:rPr>
      </w:pPr>
      <w:r w:rsidRPr="009C7D07">
        <w:rPr>
          <w:rFonts w:cs="Times New Roman"/>
          <w:szCs w:val="24"/>
          <w:lang w:val="en-US"/>
        </w:rPr>
        <w:t>Conclusion</w:t>
      </w:r>
    </w:p>
    <w:p w14:paraId="0A6593CE" w14:textId="75E3F796" w:rsidR="009C7D07" w:rsidRPr="009C7D07" w:rsidRDefault="00323FA9" w:rsidP="009C7D07">
      <w:pPr>
        <w:autoSpaceDE w:val="0"/>
        <w:autoSpaceDN w:val="0"/>
        <w:adjustRightInd w:val="0"/>
        <w:spacing w:line="480" w:lineRule="auto"/>
        <w:jc w:val="both"/>
        <w:rPr>
          <w:color w:val="000000" w:themeColor="text1"/>
          <w:lang w:val="en-US"/>
        </w:rPr>
      </w:pPr>
      <w:r w:rsidRPr="009C7D07">
        <w:rPr>
          <w:color w:val="000000" w:themeColor="text1"/>
          <w:lang w:val="en-US"/>
        </w:rPr>
        <w:t>T</w:t>
      </w:r>
      <w:r w:rsidR="00903553" w:rsidRPr="009C7D07">
        <w:rPr>
          <w:color w:val="000000" w:themeColor="text1"/>
          <w:lang w:val="en-US"/>
        </w:rPr>
        <w:t>hese findings indicate juvenile rat livers react differently to acute ethanol than livers from aged animals by increasing GSH levels in response to ethanol. The mechanism behind this increase remains unclear and warrants further investigation. However, this could be partly due to higher basal levels and capacity of antioxidant enzymes in adolescents, causing less damage to the liver. This study showed betaine pre-treatment was able to ameliorate or prevent some oxidative changes. Thus, betaine may serve as a potential effective therapeutic in the treatment of liver disease as well as other diseases associated with oxidative damage.</w:t>
      </w:r>
    </w:p>
    <w:p w14:paraId="033AD8F9" w14:textId="2BC046B7" w:rsidR="009472F6" w:rsidRPr="009C7D07" w:rsidRDefault="009472F6" w:rsidP="009C7D07">
      <w:pPr>
        <w:pStyle w:val="Heading1"/>
        <w:rPr>
          <w:rFonts w:cs="Times New Roman"/>
        </w:rPr>
      </w:pPr>
      <w:r w:rsidRPr="009C7D07">
        <w:rPr>
          <w:rFonts w:cs="Times New Roman"/>
        </w:rPr>
        <w:t>Acknowledgments</w:t>
      </w:r>
    </w:p>
    <w:p w14:paraId="401B3BF7" w14:textId="77777777" w:rsidR="009C7D07" w:rsidRPr="009C7D07" w:rsidRDefault="00744C4A" w:rsidP="009C7D07">
      <w:pPr>
        <w:autoSpaceDE w:val="0"/>
        <w:autoSpaceDN w:val="0"/>
        <w:adjustRightInd w:val="0"/>
        <w:spacing w:line="480" w:lineRule="auto"/>
        <w:jc w:val="both"/>
        <w:rPr>
          <w:color w:val="000000" w:themeColor="text1"/>
          <w:lang w:val="en-US"/>
        </w:rPr>
      </w:pPr>
      <w:r w:rsidRPr="009C7D07">
        <w:t>Hannah Everitt was supported by a scholarship from the University of Westminster.</w:t>
      </w:r>
    </w:p>
    <w:p w14:paraId="74B93342" w14:textId="5A00D78F" w:rsidR="009472F6" w:rsidRPr="009C7D07" w:rsidRDefault="009472F6" w:rsidP="009C7D07">
      <w:pPr>
        <w:pStyle w:val="Heading2"/>
      </w:pPr>
      <w:r w:rsidRPr="009C7D07">
        <w:t>Conflict of Interest</w:t>
      </w:r>
    </w:p>
    <w:p w14:paraId="1E3F023A" w14:textId="1643051C" w:rsidR="009472F6" w:rsidRPr="009C7D07" w:rsidRDefault="00744C4A" w:rsidP="009472F6">
      <w:pPr>
        <w:pStyle w:val="NormalWeb"/>
      </w:pPr>
      <w:r w:rsidRPr="009C7D07">
        <w:t>None</w:t>
      </w:r>
    </w:p>
    <w:p w14:paraId="617249DD" w14:textId="77777777" w:rsidR="009472F6" w:rsidRPr="009C7D07" w:rsidRDefault="009472F6" w:rsidP="009472F6">
      <w:pPr>
        <w:pStyle w:val="NormalWeb"/>
      </w:pPr>
    </w:p>
    <w:p w14:paraId="6C6CAEDC" w14:textId="586E4608" w:rsidR="007661E7" w:rsidRPr="009C7D07" w:rsidRDefault="007661E7">
      <w:pPr>
        <w:rPr>
          <w:color w:val="4472C4"/>
          <w:lang w:val="en-US"/>
        </w:rPr>
      </w:pPr>
      <w:r w:rsidRPr="009C7D07">
        <w:rPr>
          <w:color w:val="4472C4"/>
          <w:lang w:val="en-US"/>
        </w:rPr>
        <w:br w:type="page"/>
      </w:r>
    </w:p>
    <w:p w14:paraId="1141C4B9" w14:textId="4670B215" w:rsidR="007D4263" w:rsidRPr="009C7D07" w:rsidRDefault="007D4263" w:rsidP="007661E7">
      <w:pPr>
        <w:widowControl w:val="0"/>
        <w:autoSpaceDE w:val="0"/>
        <w:autoSpaceDN w:val="0"/>
        <w:adjustRightInd w:val="0"/>
        <w:spacing w:line="480" w:lineRule="auto"/>
        <w:rPr>
          <w:b/>
          <w:bCs/>
          <w:color w:val="000000" w:themeColor="text1"/>
          <w:lang w:val="en-US"/>
        </w:rPr>
      </w:pPr>
      <w:r w:rsidRPr="009C7D07">
        <w:rPr>
          <w:b/>
          <w:bCs/>
          <w:color w:val="000000" w:themeColor="text1"/>
          <w:lang w:val="en-US"/>
        </w:rPr>
        <w:t>References</w:t>
      </w:r>
    </w:p>
    <w:p w14:paraId="232496A5" w14:textId="77777777" w:rsidR="007D4263" w:rsidRPr="009C7D07" w:rsidRDefault="007D4263" w:rsidP="00796965">
      <w:pPr>
        <w:widowControl w:val="0"/>
        <w:autoSpaceDE w:val="0"/>
        <w:autoSpaceDN w:val="0"/>
        <w:adjustRightInd w:val="0"/>
        <w:spacing w:line="480" w:lineRule="auto"/>
        <w:ind w:left="480" w:hanging="480"/>
        <w:rPr>
          <w:color w:val="4472C4"/>
          <w:lang w:val="en-US"/>
        </w:rPr>
      </w:pPr>
    </w:p>
    <w:p w14:paraId="26A3E293" w14:textId="2560B358" w:rsidR="00CB53A3" w:rsidRPr="00CB53A3" w:rsidRDefault="007D4263" w:rsidP="00CB53A3">
      <w:pPr>
        <w:widowControl w:val="0"/>
        <w:autoSpaceDE w:val="0"/>
        <w:autoSpaceDN w:val="0"/>
        <w:adjustRightInd w:val="0"/>
        <w:spacing w:line="480" w:lineRule="auto"/>
        <w:ind w:left="640" w:hanging="640"/>
        <w:rPr>
          <w:noProof/>
        </w:rPr>
      </w:pPr>
      <w:r w:rsidRPr="009C7D07">
        <w:rPr>
          <w:color w:val="4472C4"/>
          <w:lang w:val="en-US"/>
        </w:rPr>
        <w:fldChar w:fldCharType="begin" w:fldLock="1"/>
      </w:r>
      <w:r w:rsidRPr="009C7D07">
        <w:rPr>
          <w:color w:val="4472C4"/>
          <w:lang w:val="en-US"/>
        </w:rPr>
        <w:instrText xml:space="preserve">ADDIN Mendeley Bibliography CSL_BIBLIOGRAPHY </w:instrText>
      </w:r>
      <w:r w:rsidRPr="009C7D07">
        <w:rPr>
          <w:color w:val="4472C4"/>
          <w:lang w:val="en-US"/>
        </w:rPr>
        <w:fldChar w:fldCharType="separate"/>
      </w:r>
      <w:r w:rsidR="00CB53A3" w:rsidRPr="00CB53A3">
        <w:rPr>
          <w:noProof/>
        </w:rPr>
        <w:t xml:space="preserve">1 </w:t>
      </w:r>
      <w:r w:rsidR="00CB53A3" w:rsidRPr="00CB53A3">
        <w:rPr>
          <w:noProof/>
        </w:rPr>
        <w:tab/>
        <w:t xml:space="preserve">Mathurin P, Hadengue A, Bataller R, Addolorato G, Burra P, Burt A </w:t>
      </w:r>
      <w:r w:rsidR="00CB53A3" w:rsidRPr="00CB53A3">
        <w:rPr>
          <w:i/>
          <w:iCs/>
          <w:noProof/>
        </w:rPr>
        <w:t>et al.</w:t>
      </w:r>
      <w:r w:rsidR="00CB53A3" w:rsidRPr="00CB53A3">
        <w:rPr>
          <w:noProof/>
        </w:rPr>
        <w:t xml:space="preserve"> EASL clinical practical guidelines: Management of alcoholic liver disease. J Hepatol. 2012; 57: 399–420.</w:t>
      </w:r>
    </w:p>
    <w:p w14:paraId="7837F492"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 </w:t>
      </w:r>
      <w:r w:rsidRPr="00CB53A3">
        <w:rPr>
          <w:noProof/>
        </w:rPr>
        <w:tab/>
        <w:t>Chung T, Creswell KG, Bachrach R, Clark DB, Martin CS. Adolescent Binge Drinking. Alcohol Res. Curr. Rev. 2018; 39: 5–15.</w:t>
      </w:r>
    </w:p>
    <w:p w14:paraId="15AE76B5"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 </w:t>
      </w:r>
      <w:r w:rsidRPr="00CB53A3">
        <w:rPr>
          <w:noProof/>
        </w:rPr>
        <w:tab/>
        <w:t>Hibell B, Stergar E, Dernovšček Hafner N. The 2011 ESPAD Report : substance use among students in 36 European countries. 2012</w:t>
      </w:r>
    </w:p>
    <w:p w14:paraId="610CC65C"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 </w:t>
      </w:r>
      <w:r w:rsidRPr="00CB53A3">
        <w:rPr>
          <w:noProof/>
        </w:rPr>
        <w:tab/>
        <w:t xml:space="preserve">Hibell B, Andersson B, Bjarnason T, Ahlström S, Balakireva O, Kokkevi A </w:t>
      </w:r>
      <w:r w:rsidRPr="00CB53A3">
        <w:rPr>
          <w:i/>
          <w:iCs/>
          <w:noProof/>
        </w:rPr>
        <w:t>et al.</w:t>
      </w:r>
      <w:r w:rsidRPr="00CB53A3">
        <w:rPr>
          <w:noProof/>
        </w:rPr>
        <w:t xml:space="preserve"> The ESPAD Report 2003. 2004</w:t>
      </w:r>
    </w:p>
    <w:p w14:paraId="422291A3"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5 </w:t>
      </w:r>
      <w:r w:rsidRPr="00CB53A3">
        <w:rPr>
          <w:noProof/>
        </w:rPr>
        <w:tab/>
        <w:t>Clark Goings T, Salas-Wright CP, Belgrave FZ, Nelson EJ, Harezlak J, Vaughn MG. Trends in binge drinking and alcohol abstention among adolescents in the US, 2002-2016. Drug Alcohol Depend. 2019; 200: 115–123.</w:t>
      </w:r>
    </w:p>
    <w:p w14:paraId="4339E85D"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6 </w:t>
      </w:r>
      <w:r w:rsidRPr="00CB53A3">
        <w:rPr>
          <w:noProof/>
        </w:rPr>
        <w:tab/>
        <w:t>Tapia-Rojas C, Torres AK, Quintanilla RA. Adolescence binge alcohol consumption induces hippocampal mitochondrial impairment that persists during the adulthood. Neuroscience. 2019; 406: 356–368.</w:t>
      </w:r>
    </w:p>
    <w:p w14:paraId="1F9422EF"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7 </w:t>
      </w:r>
      <w:r w:rsidRPr="00CB53A3">
        <w:rPr>
          <w:noProof/>
        </w:rPr>
        <w:tab/>
        <w:t>Bailey SM, Cunningham CC. Acute and chronic ethanol increases reactive oxygen species generation and decreases viability in fresh, isolated rat hepatocytes. Hepatology. 1998; 28: 1318–1326.</w:t>
      </w:r>
    </w:p>
    <w:p w14:paraId="110CFAED"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8 </w:t>
      </w:r>
      <w:r w:rsidRPr="00CB53A3">
        <w:rPr>
          <w:noProof/>
        </w:rPr>
        <w:tab/>
        <w:t>Bailey SM, Pietsch EC, Cunningham CC. Ethanol stimulates the production of reactive oxygen species at mitochondrial complexes I and III. Free Radic Biol Med. 1999; 27: 891–900.</w:t>
      </w:r>
    </w:p>
    <w:p w14:paraId="3A03103E"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9 </w:t>
      </w:r>
      <w:r w:rsidRPr="00CB53A3">
        <w:rPr>
          <w:noProof/>
        </w:rPr>
        <w:tab/>
        <w:t>Ismail NA, Okasha SH, Dhawan A, Abdel-Rahman AO, Shaker OG, Sadik NA. Antioxidant enzyme activities in hepatic tissue from children with chronic cholestatic liver disease. Saudi J Gastroenterol. 2010; 16: 90–94.</w:t>
      </w:r>
    </w:p>
    <w:p w14:paraId="2292F291"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10 </w:t>
      </w:r>
      <w:r w:rsidRPr="00CB53A3">
        <w:rPr>
          <w:noProof/>
        </w:rPr>
        <w:tab/>
        <w:t>Chrobot AM, Szaflarska-Szczepanik A, Drewa G. Antioxidant defense in children with chronic viral hepatitis B and C. Med Sci Monit  Int Med J Exp Clin  Res. 2000; 6: 713–718.</w:t>
      </w:r>
    </w:p>
    <w:p w14:paraId="7A70688F"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11 </w:t>
      </w:r>
      <w:r w:rsidRPr="00CB53A3">
        <w:rPr>
          <w:noProof/>
        </w:rPr>
        <w:tab/>
        <w:t xml:space="preserve">Moreno I, Pichardo S, Jos A, Gómez-Amores L, Mate A, Vazquez CM </w:t>
      </w:r>
      <w:r w:rsidRPr="00CB53A3">
        <w:rPr>
          <w:i/>
          <w:iCs/>
          <w:noProof/>
        </w:rPr>
        <w:t>et al.</w:t>
      </w:r>
      <w:r w:rsidRPr="00CB53A3">
        <w:rPr>
          <w:noProof/>
        </w:rPr>
        <w:t xml:space="preserve"> Antioxidant enzyme activity and lipid peroxidation in liver and kidney of rats exposed to microcystin-LR administered intraperitoneally. Toxicon. 2005; 45: 395–402.</w:t>
      </w:r>
    </w:p>
    <w:p w14:paraId="45682584"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12 </w:t>
      </w:r>
      <w:r w:rsidRPr="00CB53A3">
        <w:rPr>
          <w:noProof/>
        </w:rPr>
        <w:tab/>
        <w:t>Kurutas EB. The importance of antioxidants which play the role in cellular response against oxidative/nitrosative stress: Current state. Nutr J. 2016; 15</w:t>
      </w:r>
    </w:p>
    <w:p w14:paraId="477424A0"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13 </w:t>
      </w:r>
      <w:r w:rsidRPr="00CB53A3">
        <w:rPr>
          <w:noProof/>
        </w:rPr>
        <w:tab/>
        <w:t xml:space="preserve">Purohit V, Abdelmalek MF, Barve S, Benevenga NJ, Halsted CH, Kaplowitz N </w:t>
      </w:r>
      <w:r w:rsidRPr="00CB53A3">
        <w:rPr>
          <w:i/>
          <w:iCs/>
          <w:noProof/>
        </w:rPr>
        <w:t>et al.</w:t>
      </w:r>
      <w:r w:rsidRPr="00CB53A3">
        <w:rPr>
          <w:noProof/>
        </w:rPr>
        <w:t xml:space="preserve"> Role of S-adenosylmethionine, folate, and betaine in the treatment of alcoholic liver disease: summary of a symposium. Am J Clin Nutr. 2007; 86: 14–24.</w:t>
      </w:r>
    </w:p>
    <w:p w14:paraId="4DADE8A3"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14 </w:t>
      </w:r>
      <w:r w:rsidRPr="00CB53A3">
        <w:rPr>
          <w:noProof/>
        </w:rPr>
        <w:tab/>
        <w:t>Barak AJ, Beckenhauer HC, Tuma DJ. Betaine effects on hepatic methionine metabolism elicited by short-term ethanol feeding. Alcohol. 1996; 13: 483–486.</w:t>
      </w:r>
    </w:p>
    <w:p w14:paraId="23C29F3E"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15 </w:t>
      </w:r>
      <w:r w:rsidRPr="00CB53A3">
        <w:rPr>
          <w:noProof/>
        </w:rPr>
        <w:tab/>
        <w:t xml:space="preserve">Kharbanda KK, Todero SL, King AL, Osna NA, McVicker BL, Tuma DJ </w:t>
      </w:r>
      <w:r w:rsidRPr="00CB53A3">
        <w:rPr>
          <w:i/>
          <w:iCs/>
          <w:noProof/>
        </w:rPr>
        <w:t>et al.</w:t>
      </w:r>
      <w:r w:rsidRPr="00CB53A3">
        <w:rPr>
          <w:noProof/>
        </w:rPr>
        <w:t xml:space="preserve"> Betaine Treatment Attenuates Chronic Ethanol-Induced Hepatic Steatosis and Alterations to the Mitochondrial Respiratory Chain Proteome. Int J Hepatol. 2012; 2012: 962183.</w:t>
      </w:r>
    </w:p>
    <w:p w14:paraId="7C63C1D2"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16 </w:t>
      </w:r>
      <w:r w:rsidRPr="00CB53A3">
        <w:rPr>
          <w:noProof/>
        </w:rPr>
        <w:tab/>
        <w:t>Barak AJ, Beckenhauer HC, Mailliard ME, Kharbanda KK, Tuma DJ. Betaine Lowers Elevated S-Adenosylhomocysteine Levels in Hepatocytes from Ethanol-Fed Rats. J Nutr. 2003; 133: 2845–2848.</w:t>
      </w:r>
    </w:p>
    <w:p w14:paraId="1A0F8D40"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17 </w:t>
      </w:r>
      <w:r w:rsidRPr="00CB53A3">
        <w:rPr>
          <w:noProof/>
        </w:rPr>
        <w:tab/>
        <w:t>Kanbak G, İnal M, Bayçu C. Ethanol-induced hepatotoxicity and protective effect of betaine. Cell Biochem Funct. 2001; 19: 281–285.</w:t>
      </w:r>
    </w:p>
    <w:p w14:paraId="61AAA2BF"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18 </w:t>
      </w:r>
      <w:r w:rsidRPr="00CB53A3">
        <w:rPr>
          <w:noProof/>
        </w:rPr>
        <w:tab/>
        <w:t>Kharbanda KK, Mailliard ME, Baldwin CR, Beckenhauer HC, Sorrell MF, Tuma DJ. Betaine attenuates alcoholic steatosis by restoring phosphatidylcholine generation via the phosphatidylethanolamine methyltransferase pathway. J Hepatol. 2007; 46: 314–321.</w:t>
      </w:r>
    </w:p>
    <w:p w14:paraId="6A3252B3"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19 </w:t>
      </w:r>
      <w:r w:rsidRPr="00CB53A3">
        <w:rPr>
          <w:noProof/>
        </w:rPr>
        <w:tab/>
        <w:t>Kim SJ, Jung YS, Kwon DY, Kim YC. Alleviation of acute ethanol-induced liver injury and impaired metabolomics of S-containing substances by betaine supplementation. Biochem Biophys Res Commun. 2008; 368: 893–898.</w:t>
      </w:r>
    </w:p>
    <w:p w14:paraId="279B8AA6"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20 </w:t>
      </w:r>
      <w:r w:rsidRPr="00CB53A3">
        <w:rPr>
          <w:noProof/>
        </w:rPr>
        <w:tab/>
        <w:t>Balkan J, Öztezcan S, Küçük M, Çevikbaş U, Koçak-Toker N, Uysal M. The effect of betaine treatment on triglyceride levels and oxidative stress in the liver of ethanol-treated guinea pigs. Exp Toxicol Pathol. 2004; 55: 505–509.</w:t>
      </w:r>
    </w:p>
    <w:p w14:paraId="1522D22E"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21 </w:t>
      </w:r>
      <w:r w:rsidRPr="00CB53A3">
        <w:rPr>
          <w:noProof/>
        </w:rPr>
        <w:tab/>
        <w:t xml:space="preserve">Kharbanda KK, Rogers  II DD, Mailliard ME, Siford GL, Barak AJ, Beckenhauer HC </w:t>
      </w:r>
      <w:r w:rsidRPr="00CB53A3">
        <w:rPr>
          <w:i/>
          <w:iCs/>
          <w:noProof/>
        </w:rPr>
        <w:t>et al.</w:t>
      </w:r>
      <w:r w:rsidRPr="00CB53A3">
        <w:rPr>
          <w:noProof/>
        </w:rPr>
        <w:t xml:space="preserve"> A Comparison of the Effects of Betaine and S-Adenosylmethionine on Ethanol-Induced Changes in Methionine Metabolism and Steatosis in Rat Hepatocytes. J Nutr. 2005; 135: 519–524.</w:t>
      </w:r>
    </w:p>
    <w:p w14:paraId="73E5FA50"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22 </w:t>
      </w:r>
      <w:r w:rsidRPr="00CB53A3">
        <w:rPr>
          <w:noProof/>
        </w:rPr>
        <w:tab/>
        <w:t>Kharbanda KK, Todero SL, Ward BW, Cannella JJ, Tuma DJ. Betaine administration corrects ethanol-induced defective VLDL secretion. Mol Cell Biochem. 2009; 327: 75–78.</w:t>
      </w:r>
    </w:p>
    <w:p w14:paraId="58C0B377"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23 </w:t>
      </w:r>
      <w:r w:rsidRPr="00CB53A3">
        <w:rPr>
          <w:noProof/>
        </w:rPr>
        <w:tab/>
        <w:t>Alirezaei M, Jelodar G, Niknam P, Ghayemi Z, Nazifi S. Betaine prevents ethanol-induced oxidative stress and reduces total homocysteine in the rat cerebellum. J Physiol Biochem. 2011; 67: 605–612.</w:t>
      </w:r>
    </w:p>
    <w:p w14:paraId="73B1C55A"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24 </w:t>
      </w:r>
      <w:r w:rsidRPr="00CB53A3">
        <w:rPr>
          <w:noProof/>
        </w:rPr>
        <w:tab/>
        <w:t>Patel VB, Spencer CH, Young TA, Lively MO, Cunningham CC. Effects of 4-hydroxynonenal on mitochondrial 3-hydroxy-3-methylglutaryl (HMG-CoA) synthase. Free Radic Biol Med. 2007; 43: 1499–1507.</w:t>
      </w:r>
    </w:p>
    <w:p w14:paraId="05ED07D5"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25 </w:t>
      </w:r>
      <w:r w:rsidRPr="00CB53A3">
        <w:rPr>
          <w:noProof/>
        </w:rPr>
        <w:tab/>
        <w:t xml:space="preserve">Preedy VR, Gove CD, Panos MZ, Sherwood R, Portmann B, Williams R </w:t>
      </w:r>
      <w:r w:rsidRPr="00CB53A3">
        <w:rPr>
          <w:i/>
          <w:iCs/>
          <w:noProof/>
        </w:rPr>
        <w:t>et al.</w:t>
      </w:r>
      <w:r w:rsidRPr="00CB53A3">
        <w:rPr>
          <w:noProof/>
        </w:rPr>
        <w:t xml:space="preserve"> Liver Histology, Blood Biochemistry and Rna, Dna and Subcellular Protein Composition of Various Skeletal Muscles of Rats With Experimental Cirrhosis: Implications for Alcoholic Muscle Disease. Alcohol Alcohol. 1990; 25: 641–649.</w:t>
      </w:r>
    </w:p>
    <w:p w14:paraId="71522CD9"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26 </w:t>
      </w:r>
      <w:r w:rsidRPr="00CB53A3">
        <w:rPr>
          <w:noProof/>
        </w:rPr>
        <w:tab/>
        <w:t>Tietze F. Enzymic method for quantitative determination of nanogram amounts of total and oxidized glutathione: Applications to mammalian blood and other tissues. Anal Biochem. 1969; 27: 502–522.</w:t>
      </w:r>
    </w:p>
    <w:p w14:paraId="788F830E"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27 </w:t>
      </w:r>
      <w:r w:rsidRPr="00CB53A3">
        <w:rPr>
          <w:noProof/>
        </w:rPr>
        <w:tab/>
        <w:t xml:space="preserve">Bar-Or D, Rael LT, Lau EP, Rao NKR, Thomas GW, Winkler J V. </w:t>
      </w:r>
      <w:r w:rsidRPr="00CB53A3">
        <w:rPr>
          <w:i/>
          <w:iCs/>
          <w:noProof/>
        </w:rPr>
        <w:t>et al.</w:t>
      </w:r>
      <w:r w:rsidRPr="00CB53A3">
        <w:rPr>
          <w:noProof/>
        </w:rPr>
        <w:t xml:space="preserve"> An analog of the human albumin N-terminus (Asp-Ala-His-Lys) prevents formation of copper-induced reactive oxygen species. Biochem Biophys Res Commun. 2001; 284: 856–862.</w:t>
      </w:r>
    </w:p>
    <w:p w14:paraId="34A3A49A"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28 </w:t>
      </w:r>
      <w:r w:rsidRPr="00CB53A3">
        <w:rPr>
          <w:noProof/>
        </w:rPr>
        <w:tab/>
        <w:t xml:space="preserve">Yemişci M, Gürsoy-Özdemir Y, Caban S, Bodur E, Çapan Y, Dalkara T. Transport of a caspase inhibitor across the blood-brain barrier by chitosan nanoparticles. In: </w:t>
      </w:r>
      <w:r w:rsidRPr="00CB53A3">
        <w:rPr>
          <w:i/>
          <w:iCs/>
          <w:noProof/>
        </w:rPr>
        <w:t>Methods in Enzymology</w:t>
      </w:r>
      <w:r w:rsidRPr="00CB53A3">
        <w:rPr>
          <w:noProof/>
        </w:rPr>
        <w:t>. Academic Press Inc., 2012, pp 253–269</w:t>
      </w:r>
    </w:p>
    <w:p w14:paraId="04EE6CCF"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29 </w:t>
      </w:r>
      <w:r w:rsidRPr="00CB53A3">
        <w:rPr>
          <w:noProof/>
        </w:rPr>
        <w:tab/>
        <w:t>Kim SK, Kim YC. Attenuation of bacterial lipopolysaccharide-induced hepatotoxicity by betaine or taurine in rats. Food Chem Toxicol. 2002; 40: 545–549.</w:t>
      </w:r>
    </w:p>
    <w:p w14:paraId="49D0F1E7"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30 </w:t>
      </w:r>
      <w:r w:rsidRPr="00CB53A3">
        <w:rPr>
          <w:noProof/>
        </w:rPr>
        <w:tab/>
        <w:t>Erman F, Balkan J, Çevikbaş U, Koçak-Toker N, Uysal M. Betaine or taurine administration prevents fibrosis and lipid peroxidation induced by rat liver by ethanol plus carbon tetrachloride intoxication. Amino Acids. 2004; 27: 199–205.</w:t>
      </w:r>
    </w:p>
    <w:p w14:paraId="6FDD074D"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31 </w:t>
      </w:r>
      <w:r w:rsidRPr="00CB53A3">
        <w:rPr>
          <w:noProof/>
        </w:rPr>
        <w:tab/>
        <w:t>Balkan J, Öztezcan S, Küçük M, Çevikbaş U, Koçak-Toker N, Uysal M. The effect of betaine treatment on triglyceride levels and oxidative stress in the liver of ethanol-treated guinea pigs. Exp Toxicol Pathol. 2004; 55: 505–509.</w:t>
      </w:r>
    </w:p>
    <w:p w14:paraId="0D6E13C1"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32 </w:t>
      </w:r>
      <w:r w:rsidRPr="00CB53A3">
        <w:rPr>
          <w:noProof/>
        </w:rPr>
        <w:tab/>
        <w:t>Lang CH, Liu X, Nystrom G, Wu D, Cooney RN, Frost RA. Acute effects of growth hormone in alcohol-fed rats. Alcohol Alcohol. 2000; 35: 148–158.</w:t>
      </w:r>
    </w:p>
    <w:p w14:paraId="52F8937A"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33 </w:t>
      </w:r>
      <w:r w:rsidRPr="00CB53A3">
        <w:rPr>
          <w:noProof/>
        </w:rPr>
        <w:tab/>
        <w:t>Hayes KC, Pronczuk A, Cook MW, Robbins MC. Betaine in sub-acute and sub-chronic rat studies. Food Chem Toxicol. 2003; 41: 1685–1700.</w:t>
      </w:r>
    </w:p>
    <w:p w14:paraId="253E8A49"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34 </w:t>
      </w:r>
      <w:r w:rsidRPr="00CB53A3">
        <w:rPr>
          <w:noProof/>
        </w:rPr>
        <w:tab/>
        <w:t xml:space="preserve">del Pilar Cabrales-Romero M, Márquez-Rosado L, Fattel-Fazenda S, Trejo-Solís C, Arce-Popoca E, Alemán-Lazarini L </w:t>
      </w:r>
      <w:r w:rsidRPr="00CB53A3">
        <w:rPr>
          <w:i/>
          <w:iCs/>
          <w:noProof/>
        </w:rPr>
        <w:t>et al.</w:t>
      </w:r>
      <w:r w:rsidRPr="00CB53A3">
        <w:rPr>
          <w:noProof/>
        </w:rPr>
        <w:t xml:space="preserve"> S-adenosyl-methionine decreases ethanol-induced apoptosis in primary hepatocyte cultures by a c-Jun N-terminal kinase activity-independent mechanism. World J Gastroenterol. 2006; 12: 1895–1904.</w:t>
      </w:r>
    </w:p>
    <w:p w14:paraId="6B4BD9A0"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35 </w:t>
      </w:r>
      <w:r w:rsidRPr="00CB53A3">
        <w:rPr>
          <w:noProof/>
        </w:rPr>
        <w:tab/>
        <w:t>Ferrari D, Stepczynska A, Los M, Wesselborg S, Schulze-Osthoff K. Differential regulation and ATP requirement for caspase-8 and caspase-3 activation during CD95- and anticancer drug-induced apoptosis. J Exp Med. 1998; 188: 979–984.</w:t>
      </w:r>
    </w:p>
    <w:p w14:paraId="57E8B76D"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36 </w:t>
      </w:r>
      <w:r w:rsidRPr="00CB53A3">
        <w:rPr>
          <w:noProof/>
        </w:rPr>
        <w:tab/>
        <w:t>Young TA, Bailey SM, Van Horn C, Cunningham CC. Chronic Ethanol Consumption Decreases Mitochondrial and Glycolytic Production of ATP in Liver. Alcohol Alcohol. 2006; 41: 254–260.</w:t>
      </w:r>
    </w:p>
    <w:p w14:paraId="15D1A472"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37 </w:t>
      </w:r>
      <w:r w:rsidRPr="00CB53A3">
        <w:rPr>
          <w:noProof/>
        </w:rPr>
        <w:tab/>
        <w:t>Nassir F, Ibdah JA. Role of mitochondria in alcoholic liver disease. World J Gastroenterol. 2014; 20: 2136–2142.</w:t>
      </w:r>
    </w:p>
    <w:p w14:paraId="269E66B5"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38 </w:t>
      </w:r>
      <w:r w:rsidRPr="00CB53A3">
        <w:rPr>
          <w:noProof/>
        </w:rPr>
        <w:tab/>
        <w:t>Andreoli SP. Mechanisms of endothelial cell ATP depletion after oxidant injury. Pediatr Res. 1989; 25: 97–101.</w:t>
      </w:r>
    </w:p>
    <w:p w14:paraId="25D6F78F"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39 </w:t>
      </w:r>
      <w:r w:rsidRPr="00CB53A3">
        <w:rPr>
          <w:noProof/>
        </w:rPr>
        <w:tab/>
        <w:t>Ghanbari-Niaki A, Désy F, Lavoie JM. Effects of phosphate injection on metabolic and hormonal responses to exercise in fructose-injected rats. Physiol Behav. 1999; 67: 747–752.</w:t>
      </w:r>
    </w:p>
    <w:p w14:paraId="42E3FF91"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40 </w:t>
      </w:r>
      <w:r w:rsidRPr="00CB53A3">
        <w:rPr>
          <w:noProof/>
        </w:rPr>
        <w:tab/>
        <w:t>Crompton M. The mitochondrial permeabitity transition pore and its role in cell death. Biochem. J. 1999; 341: 233–249.</w:t>
      </w:r>
    </w:p>
    <w:p w14:paraId="3FD0369E"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41 </w:t>
      </w:r>
      <w:r w:rsidRPr="00CB53A3">
        <w:rPr>
          <w:noProof/>
        </w:rPr>
        <w:tab/>
        <w:t>Rasola A, Bernardi P. The mitochondrial permeability transition pore and its involvement in cell death and in disease pathogenesis. Apoptosis. 2007; 12: 815–833.</w:t>
      </w:r>
    </w:p>
    <w:p w14:paraId="31CC162E"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42 </w:t>
      </w:r>
      <w:r w:rsidRPr="00CB53A3">
        <w:rPr>
          <w:noProof/>
        </w:rPr>
        <w:tab/>
        <w:t>Cederbaum AI. Microsomal generation of reactive oxygen species and their possible role in alcohol  hepatotoxicity. Alcohol Alcohol Suppl. 1991; 1: 291–296.</w:t>
      </w:r>
    </w:p>
    <w:p w14:paraId="7D7BA0D3"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43 </w:t>
      </w:r>
      <w:r w:rsidRPr="00CB53A3">
        <w:rPr>
          <w:noProof/>
        </w:rPr>
        <w:tab/>
        <w:t>Vogt BL, Richie JP. Glutathione depletion and recovery after acute ethanol administration in the aging mouse. Biochem Pharmacol. 2007; 73: 1613–1621.</w:t>
      </w:r>
    </w:p>
    <w:p w14:paraId="0AD5AEC0"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44 </w:t>
      </w:r>
      <w:r w:rsidRPr="00CB53A3">
        <w:rPr>
          <w:noProof/>
        </w:rPr>
        <w:tab/>
        <w:t>Kade S, Herzog N, Schmidtke K-U, Küpper J-H. Chronic ethanol treatment depletes glutathione regeneration capacity in hepatoma cell line HepG2. J Cell Biotechnol. 2016; 1: 183–190.</w:t>
      </w:r>
    </w:p>
    <w:p w14:paraId="429DA509"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45 </w:t>
      </w:r>
      <w:r w:rsidRPr="00CB53A3">
        <w:rPr>
          <w:noProof/>
        </w:rPr>
        <w:tab/>
        <w:t>Fernandez-Checa JC, Kaplowitz N. Hepatic mitochondrial glutathione: Transport and role in disease and toxicity. Toxicol. Appl. Pharmacol. 2005; 204: 263–273.</w:t>
      </w:r>
    </w:p>
    <w:p w14:paraId="34D12755"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46 </w:t>
      </w:r>
      <w:r w:rsidRPr="00CB53A3">
        <w:rPr>
          <w:noProof/>
        </w:rPr>
        <w:tab/>
        <w:t>Guerri C, Grisolía S. Changes in glutathione in acute and chronic alcohol intoxication. Pharmacol Biochem Behav. 1980; 13: 53–61.</w:t>
      </w:r>
    </w:p>
    <w:p w14:paraId="56DEB248"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47 </w:t>
      </w:r>
      <w:r w:rsidRPr="00CB53A3">
        <w:rPr>
          <w:noProof/>
        </w:rPr>
        <w:tab/>
        <w:t>Hoek JB, Cahill A, Pastorino JG. Alcohol and mitochondria: A dysfunctional relationship. Gastroenterology. 2002; 122: 2049–2063.</w:t>
      </w:r>
    </w:p>
    <w:p w14:paraId="386A5C28"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48 </w:t>
      </w:r>
      <w:r w:rsidRPr="00CB53A3">
        <w:rPr>
          <w:noProof/>
        </w:rPr>
        <w:tab/>
        <w:t>Bailey SM, Patel VB, Young TA, Asayama K, Cunningham CC. Chronic ethanol consumption alters the glutathione/glutathione peroxidase-1 system  and protein oxidation status in rat liver. Alcohol Clin Exp Res. 2001; 25: 726–733.</w:t>
      </w:r>
    </w:p>
    <w:p w14:paraId="635E48DD"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49 </w:t>
      </w:r>
      <w:r w:rsidRPr="00CB53A3">
        <w:rPr>
          <w:noProof/>
        </w:rPr>
        <w:tab/>
        <w:t>Sriram KI, Lakshmi CJ. Endurance exercise-induced alterations in antioxidant enzymes of old albino male rats. Curr. Sci. ; 80: 921–923.</w:t>
      </w:r>
    </w:p>
    <w:p w14:paraId="331E3A6D"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50 </w:t>
      </w:r>
      <w:r w:rsidRPr="00CB53A3">
        <w:rPr>
          <w:noProof/>
        </w:rPr>
        <w:tab/>
        <w:t xml:space="preserve">Mallikarjuna K, Shanmugam KR, Nishanth K, Wu MC, Hou CW, Kuo CH </w:t>
      </w:r>
      <w:r w:rsidRPr="00CB53A3">
        <w:rPr>
          <w:i/>
          <w:iCs/>
          <w:noProof/>
        </w:rPr>
        <w:t>et al.</w:t>
      </w:r>
      <w:r w:rsidRPr="00CB53A3">
        <w:rPr>
          <w:noProof/>
        </w:rPr>
        <w:t xml:space="preserve"> Alcohol-induced deterioration in primary antioxidant and glutathione family enzymes reversed by exercise training in the liver of old rats. Alcohol. 2010; 44: 523–529.</w:t>
      </w:r>
    </w:p>
    <w:p w14:paraId="29B42FE8"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51 </w:t>
      </w:r>
      <w:r w:rsidRPr="00CB53A3">
        <w:rPr>
          <w:noProof/>
        </w:rPr>
        <w:tab/>
        <w:t>Cahill A, Hershman S, Davies A, Sykora P. Ethanol feeding enhances age-related deterioration of the rat hepatic mitochondrion. Am J Physiol Liver Physiol. 2005; 289: G1115–G1123.</w:t>
      </w:r>
    </w:p>
    <w:p w14:paraId="009E95A0" w14:textId="77777777" w:rsidR="00CB53A3" w:rsidRPr="00CB53A3" w:rsidRDefault="00CB53A3" w:rsidP="00CB53A3">
      <w:pPr>
        <w:widowControl w:val="0"/>
        <w:autoSpaceDE w:val="0"/>
        <w:autoSpaceDN w:val="0"/>
        <w:adjustRightInd w:val="0"/>
        <w:spacing w:line="480" w:lineRule="auto"/>
        <w:ind w:left="640" w:hanging="640"/>
        <w:rPr>
          <w:noProof/>
        </w:rPr>
      </w:pPr>
      <w:r w:rsidRPr="00CB53A3">
        <w:rPr>
          <w:noProof/>
        </w:rPr>
        <w:t xml:space="preserve">52 </w:t>
      </w:r>
      <w:r w:rsidRPr="00CB53A3">
        <w:rPr>
          <w:noProof/>
        </w:rPr>
        <w:tab/>
        <w:t>Meier P, Seitz HK. Age, alcohol metabolism and liver disease. Curr. Opin. Clin. Nutr. Metab. Care. 2008; 11: 21–26.</w:t>
      </w:r>
    </w:p>
    <w:p w14:paraId="1A9E36C3" w14:textId="5EDED365" w:rsidR="00656526" w:rsidRPr="009C7D07" w:rsidRDefault="007D4263" w:rsidP="00CB53A3">
      <w:pPr>
        <w:widowControl w:val="0"/>
        <w:autoSpaceDE w:val="0"/>
        <w:autoSpaceDN w:val="0"/>
        <w:adjustRightInd w:val="0"/>
        <w:spacing w:line="480" w:lineRule="auto"/>
        <w:ind w:left="640" w:hanging="640"/>
        <w:rPr>
          <w:color w:val="4472C4"/>
          <w:lang w:val="en-US"/>
        </w:rPr>
        <w:sectPr w:rsidR="00656526" w:rsidRPr="009C7D07" w:rsidSect="00320885">
          <w:footerReference w:type="even" r:id="rId8"/>
          <w:footerReference w:type="default" r:id="rId9"/>
          <w:type w:val="continuous"/>
          <w:pgSz w:w="12240" w:h="15840"/>
          <w:pgMar w:top="1440" w:right="1440" w:bottom="1440" w:left="1440" w:header="709" w:footer="709" w:gutter="0"/>
          <w:cols w:space="708"/>
          <w:titlePg/>
          <w:docGrid w:linePitch="360"/>
        </w:sectPr>
      </w:pPr>
      <w:r w:rsidRPr="009C7D07">
        <w:rPr>
          <w:color w:val="4472C4"/>
          <w:lang w:val="en-US"/>
        </w:rPr>
        <w:fldChar w:fldCharType="end"/>
      </w:r>
    </w:p>
    <w:p w14:paraId="65D73C39" w14:textId="77777777" w:rsidR="003C1A80" w:rsidRPr="009C7D07" w:rsidRDefault="003C1A80" w:rsidP="003C1A80">
      <w:pPr>
        <w:spacing w:line="480" w:lineRule="auto"/>
        <w:rPr>
          <w:b/>
          <w:bCs/>
          <w:color w:val="000000" w:themeColor="text1"/>
          <w:lang w:val="en-US"/>
        </w:rPr>
      </w:pPr>
      <w:r w:rsidRPr="009C7D07">
        <w:rPr>
          <w:b/>
          <w:bCs/>
          <w:color w:val="000000" w:themeColor="text1"/>
          <w:lang w:val="en-US"/>
        </w:rPr>
        <w:t>Table 1. The effect of betaine on food and water intake, body weights and liver weights.</w:t>
      </w:r>
    </w:p>
    <w:p w14:paraId="42A7A7B0" w14:textId="4409FF77" w:rsidR="007D4263" w:rsidRPr="009C7D07" w:rsidRDefault="003C1A80" w:rsidP="003C1A80">
      <w:pPr>
        <w:spacing w:line="480" w:lineRule="auto"/>
        <w:jc w:val="both"/>
        <w:rPr>
          <w:color w:val="000000" w:themeColor="text1"/>
          <w:lang w:val="en-US"/>
        </w:rPr>
      </w:pPr>
      <w:r w:rsidRPr="009C7D07">
        <w:rPr>
          <w:color w:val="000000" w:themeColor="text1"/>
          <w:lang w:val="en-US"/>
        </w:rPr>
        <w:t xml:space="preserve">During the pre-treatment stage, animals were housed in group cages and both food and water intake monitored daily. During the treatment, animals were caged singly, deprived of food but allowed free access to water (either control or supplemented with 2 % betaine).  The body weights were recorded the morning of sacrifice and the liver weights recorded as soon as they were excised.  </w:t>
      </w:r>
      <w:r w:rsidR="00C76A8C" w:rsidRPr="009C7D07">
        <w:rPr>
          <w:color w:val="000000" w:themeColor="text1"/>
          <w:vertAlign w:val="superscript"/>
          <w:lang w:val="en-US"/>
        </w:rPr>
        <w:t>*</w:t>
      </w:r>
      <w:r w:rsidR="00C705CB" w:rsidRPr="009C7D07">
        <w:rPr>
          <w:i/>
          <w:iCs/>
          <w:color w:val="000000" w:themeColor="text1"/>
          <w:lang w:val="en-US"/>
        </w:rPr>
        <w:t>p</w:t>
      </w:r>
      <w:r w:rsidR="00C705CB" w:rsidRPr="009C7D07">
        <w:rPr>
          <w:color w:val="000000" w:themeColor="text1"/>
          <w:lang w:val="en-US"/>
        </w:rPr>
        <w:t>&lt;</w:t>
      </w:r>
      <w:r w:rsidRPr="009C7D07">
        <w:rPr>
          <w:color w:val="000000" w:themeColor="text1"/>
          <w:lang w:val="en-US"/>
        </w:rPr>
        <w:t xml:space="preserve">0.05, </w:t>
      </w:r>
      <w:r w:rsidR="00C76A8C" w:rsidRPr="009C7D07">
        <w:rPr>
          <w:color w:val="000000" w:themeColor="text1"/>
          <w:vertAlign w:val="superscript"/>
          <w:lang w:val="en-US"/>
        </w:rPr>
        <w:t>**</w:t>
      </w:r>
      <w:r w:rsidR="00C705CB" w:rsidRPr="009C7D07">
        <w:rPr>
          <w:i/>
          <w:iCs/>
          <w:color w:val="000000" w:themeColor="text1"/>
          <w:lang w:val="en-US"/>
        </w:rPr>
        <w:t>p</w:t>
      </w:r>
      <w:r w:rsidR="00C705CB" w:rsidRPr="009C7D07">
        <w:rPr>
          <w:color w:val="000000" w:themeColor="text1"/>
          <w:lang w:val="en-US"/>
        </w:rPr>
        <w:t>&lt;</w:t>
      </w:r>
      <w:r w:rsidRPr="009C7D07">
        <w:rPr>
          <w:color w:val="000000" w:themeColor="text1"/>
          <w:lang w:val="en-US"/>
        </w:rPr>
        <w:t>0.01 compared to overall control.</w:t>
      </w:r>
    </w:p>
    <w:p w14:paraId="20886BCF" w14:textId="77777777" w:rsidR="001A160D" w:rsidRPr="009C7D07" w:rsidRDefault="001A160D" w:rsidP="003C1A80">
      <w:pPr>
        <w:spacing w:line="480" w:lineRule="auto"/>
        <w:jc w:val="both"/>
        <w:rPr>
          <w:color w:val="000000" w:themeColor="text1"/>
          <w:lang w:val="en-US"/>
        </w:rPr>
      </w:pPr>
    </w:p>
    <w:tbl>
      <w:tblPr>
        <w:tblW w:w="13078" w:type="dxa"/>
        <w:tblBorders>
          <w:top w:val="single" w:sz="4" w:space="0" w:color="000000"/>
          <w:bottom w:val="single" w:sz="4" w:space="0" w:color="000000"/>
        </w:tblBorders>
        <w:tblLook w:val="04A0" w:firstRow="1" w:lastRow="0" w:firstColumn="1" w:lastColumn="0" w:noHBand="0" w:noVBand="1"/>
      </w:tblPr>
      <w:tblGrid>
        <w:gridCol w:w="4928"/>
        <w:gridCol w:w="1843"/>
        <w:gridCol w:w="1984"/>
        <w:gridCol w:w="1843"/>
        <w:gridCol w:w="2480"/>
      </w:tblGrid>
      <w:tr w:rsidR="007D4263" w:rsidRPr="009C7D07" w14:paraId="2E6C96B4" w14:textId="77777777" w:rsidTr="001A160D">
        <w:tc>
          <w:tcPr>
            <w:tcW w:w="4928" w:type="dxa"/>
            <w:tcBorders>
              <w:top w:val="single" w:sz="4" w:space="0" w:color="000000"/>
              <w:bottom w:val="single" w:sz="4" w:space="0" w:color="000000"/>
            </w:tcBorders>
          </w:tcPr>
          <w:p w14:paraId="34D8E467" w14:textId="77777777" w:rsidR="007D4263" w:rsidRPr="009C7D07" w:rsidRDefault="007D4263" w:rsidP="00796965">
            <w:pPr>
              <w:spacing w:line="480" w:lineRule="auto"/>
              <w:rPr>
                <w:color w:val="000000" w:themeColor="text1"/>
                <w:lang w:val="en-US"/>
              </w:rPr>
            </w:pPr>
          </w:p>
        </w:tc>
        <w:tc>
          <w:tcPr>
            <w:tcW w:w="1843" w:type="dxa"/>
            <w:tcBorders>
              <w:top w:val="single" w:sz="4" w:space="0" w:color="000000"/>
              <w:bottom w:val="single" w:sz="4" w:space="0" w:color="000000"/>
            </w:tcBorders>
            <w:vAlign w:val="center"/>
          </w:tcPr>
          <w:p w14:paraId="7FBF189C"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Control</w:t>
            </w:r>
          </w:p>
        </w:tc>
        <w:tc>
          <w:tcPr>
            <w:tcW w:w="1984" w:type="dxa"/>
            <w:tcBorders>
              <w:top w:val="single" w:sz="4" w:space="0" w:color="000000"/>
              <w:bottom w:val="single" w:sz="4" w:space="0" w:color="000000"/>
            </w:tcBorders>
            <w:vAlign w:val="center"/>
          </w:tcPr>
          <w:p w14:paraId="612006AA" w14:textId="77777777" w:rsidR="007D4263" w:rsidRPr="009C7D07" w:rsidRDefault="007D4263" w:rsidP="001A160D">
            <w:pPr>
              <w:spacing w:line="480" w:lineRule="auto"/>
              <w:ind w:right="176"/>
              <w:jc w:val="center"/>
              <w:rPr>
                <w:color w:val="000000" w:themeColor="text1"/>
                <w:lang w:val="en-US"/>
              </w:rPr>
            </w:pPr>
            <w:r w:rsidRPr="009C7D07">
              <w:rPr>
                <w:color w:val="000000" w:themeColor="text1"/>
                <w:lang w:val="en-US"/>
              </w:rPr>
              <w:t>Ethanol</w:t>
            </w:r>
          </w:p>
        </w:tc>
        <w:tc>
          <w:tcPr>
            <w:tcW w:w="1843" w:type="dxa"/>
            <w:tcBorders>
              <w:top w:val="single" w:sz="4" w:space="0" w:color="000000"/>
              <w:bottom w:val="single" w:sz="4" w:space="0" w:color="000000"/>
            </w:tcBorders>
            <w:vAlign w:val="center"/>
          </w:tcPr>
          <w:p w14:paraId="24AC9A7A" w14:textId="77777777" w:rsidR="007D4263" w:rsidRPr="009C7D07" w:rsidRDefault="007D4263" w:rsidP="001A160D">
            <w:pPr>
              <w:spacing w:line="480" w:lineRule="auto"/>
              <w:ind w:left="-391"/>
              <w:jc w:val="center"/>
              <w:rPr>
                <w:color w:val="000000" w:themeColor="text1"/>
                <w:lang w:val="en-US"/>
              </w:rPr>
            </w:pPr>
            <w:r w:rsidRPr="009C7D07">
              <w:rPr>
                <w:color w:val="000000" w:themeColor="text1"/>
                <w:lang w:val="en-US"/>
              </w:rPr>
              <w:t>Betaine</w:t>
            </w:r>
          </w:p>
        </w:tc>
        <w:tc>
          <w:tcPr>
            <w:tcW w:w="2480" w:type="dxa"/>
            <w:tcBorders>
              <w:top w:val="single" w:sz="4" w:space="0" w:color="000000"/>
              <w:bottom w:val="single" w:sz="4" w:space="0" w:color="000000"/>
            </w:tcBorders>
            <w:vAlign w:val="center"/>
          </w:tcPr>
          <w:p w14:paraId="0CAEF152" w14:textId="77777777" w:rsidR="007D4263" w:rsidRPr="009C7D07" w:rsidRDefault="007D4263" w:rsidP="001A160D">
            <w:pPr>
              <w:spacing w:line="480" w:lineRule="auto"/>
              <w:ind w:right="246"/>
              <w:jc w:val="center"/>
              <w:rPr>
                <w:color w:val="000000" w:themeColor="text1"/>
                <w:lang w:val="en-US"/>
              </w:rPr>
            </w:pPr>
            <w:r w:rsidRPr="009C7D07">
              <w:rPr>
                <w:color w:val="000000" w:themeColor="text1"/>
                <w:lang w:val="en-US"/>
              </w:rPr>
              <w:t>Betaine + Ethanol</w:t>
            </w:r>
          </w:p>
        </w:tc>
      </w:tr>
      <w:tr w:rsidR="007D4263" w:rsidRPr="009C7D07" w14:paraId="398C6287" w14:textId="77777777" w:rsidTr="00F22F23">
        <w:tc>
          <w:tcPr>
            <w:tcW w:w="4928" w:type="dxa"/>
            <w:tcBorders>
              <w:top w:val="single" w:sz="4" w:space="0" w:color="000000"/>
            </w:tcBorders>
          </w:tcPr>
          <w:p w14:paraId="16DE4EE9" w14:textId="77777777" w:rsidR="007D4263" w:rsidRPr="009C7D07" w:rsidRDefault="007D4263" w:rsidP="00796965">
            <w:pPr>
              <w:spacing w:line="480" w:lineRule="auto"/>
              <w:rPr>
                <w:color w:val="000000" w:themeColor="text1"/>
                <w:lang w:val="en-US"/>
              </w:rPr>
            </w:pPr>
            <w:r w:rsidRPr="009C7D07">
              <w:rPr>
                <w:color w:val="000000" w:themeColor="text1"/>
                <w:lang w:val="en-US"/>
              </w:rPr>
              <w:t>Food intake (g/ rat/ day)</w:t>
            </w:r>
          </w:p>
        </w:tc>
        <w:tc>
          <w:tcPr>
            <w:tcW w:w="1843" w:type="dxa"/>
            <w:tcBorders>
              <w:top w:val="single" w:sz="4" w:space="0" w:color="000000"/>
            </w:tcBorders>
          </w:tcPr>
          <w:p w14:paraId="6985FA1D" w14:textId="77777777" w:rsidR="007D4263" w:rsidRPr="009C7D07" w:rsidRDefault="007D4263" w:rsidP="00796965">
            <w:pPr>
              <w:spacing w:line="480" w:lineRule="auto"/>
              <w:jc w:val="center"/>
              <w:rPr>
                <w:i/>
                <w:color w:val="000000" w:themeColor="text1"/>
                <w:vertAlign w:val="subscript"/>
                <w:lang w:val="en-US"/>
              </w:rPr>
            </w:pPr>
            <w:r w:rsidRPr="009C7D07">
              <w:rPr>
                <w:color w:val="000000" w:themeColor="text1"/>
                <w:lang w:val="en-US"/>
              </w:rPr>
              <w:t xml:space="preserve">12.2 </w:t>
            </w:r>
            <w:r w:rsidRPr="009C7D07">
              <w:rPr>
                <w:color w:val="000000" w:themeColor="text1"/>
                <w:u w:val="single"/>
                <w:lang w:val="en-US"/>
              </w:rPr>
              <w:t>+</w:t>
            </w:r>
            <w:r w:rsidRPr="009C7D07">
              <w:rPr>
                <w:color w:val="000000" w:themeColor="text1"/>
                <w:lang w:val="en-US"/>
              </w:rPr>
              <w:t xml:space="preserve"> 0.4</w:t>
            </w:r>
          </w:p>
        </w:tc>
        <w:tc>
          <w:tcPr>
            <w:tcW w:w="1984" w:type="dxa"/>
            <w:tcBorders>
              <w:top w:val="single" w:sz="4" w:space="0" w:color="000000"/>
            </w:tcBorders>
          </w:tcPr>
          <w:p w14:paraId="53D91096" w14:textId="77777777" w:rsidR="007D4263" w:rsidRPr="009C7D07" w:rsidRDefault="007D4263" w:rsidP="00796965">
            <w:pPr>
              <w:spacing w:line="480" w:lineRule="auto"/>
              <w:ind w:right="176"/>
              <w:jc w:val="center"/>
              <w:rPr>
                <w:color w:val="000000" w:themeColor="text1"/>
                <w:lang w:val="en-US"/>
              </w:rPr>
            </w:pPr>
            <w:r w:rsidRPr="009C7D07">
              <w:rPr>
                <w:color w:val="000000" w:themeColor="text1"/>
                <w:lang w:val="en-US"/>
              </w:rPr>
              <w:t xml:space="preserve">11.8 </w:t>
            </w:r>
            <w:r w:rsidRPr="009C7D07">
              <w:rPr>
                <w:color w:val="000000" w:themeColor="text1"/>
                <w:u w:val="single"/>
                <w:lang w:val="en-US"/>
              </w:rPr>
              <w:t>+</w:t>
            </w:r>
            <w:r w:rsidRPr="009C7D07">
              <w:rPr>
                <w:color w:val="000000" w:themeColor="text1"/>
                <w:lang w:val="en-US"/>
              </w:rPr>
              <w:t xml:space="preserve"> 0.6</w:t>
            </w:r>
          </w:p>
        </w:tc>
        <w:tc>
          <w:tcPr>
            <w:tcW w:w="1843" w:type="dxa"/>
            <w:tcBorders>
              <w:top w:val="single" w:sz="4" w:space="0" w:color="000000"/>
            </w:tcBorders>
          </w:tcPr>
          <w:p w14:paraId="495E3377" w14:textId="77777777" w:rsidR="007D4263" w:rsidRPr="009C7D07" w:rsidRDefault="007D4263" w:rsidP="00796965">
            <w:pPr>
              <w:spacing w:line="480" w:lineRule="auto"/>
              <w:ind w:left="-391"/>
              <w:jc w:val="center"/>
              <w:rPr>
                <w:color w:val="000000" w:themeColor="text1"/>
                <w:lang w:val="en-US"/>
              </w:rPr>
            </w:pPr>
            <w:r w:rsidRPr="009C7D07">
              <w:rPr>
                <w:color w:val="000000" w:themeColor="text1"/>
                <w:lang w:val="en-US"/>
              </w:rPr>
              <w:t xml:space="preserve">11.0 </w:t>
            </w:r>
            <w:r w:rsidRPr="009C7D07">
              <w:rPr>
                <w:color w:val="000000" w:themeColor="text1"/>
                <w:u w:val="single"/>
                <w:lang w:val="en-US"/>
              </w:rPr>
              <w:t>+</w:t>
            </w:r>
            <w:r w:rsidRPr="009C7D07">
              <w:rPr>
                <w:color w:val="000000" w:themeColor="text1"/>
                <w:lang w:val="en-US"/>
              </w:rPr>
              <w:t xml:space="preserve"> 0.4</w:t>
            </w:r>
          </w:p>
        </w:tc>
        <w:tc>
          <w:tcPr>
            <w:tcW w:w="2480" w:type="dxa"/>
            <w:tcBorders>
              <w:top w:val="single" w:sz="4" w:space="0" w:color="000000"/>
            </w:tcBorders>
          </w:tcPr>
          <w:p w14:paraId="3DE9486D" w14:textId="77777777" w:rsidR="007D4263" w:rsidRPr="009C7D07" w:rsidRDefault="007D4263" w:rsidP="00796965">
            <w:pPr>
              <w:spacing w:line="480" w:lineRule="auto"/>
              <w:ind w:right="246"/>
              <w:jc w:val="center"/>
              <w:rPr>
                <w:color w:val="000000" w:themeColor="text1"/>
                <w:lang w:val="en-US"/>
              </w:rPr>
            </w:pPr>
            <w:r w:rsidRPr="009C7D07">
              <w:rPr>
                <w:color w:val="000000" w:themeColor="text1"/>
                <w:lang w:val="en-US"/>
              </w:rPr>
              <w:t xml:space="preserve">10.7 </w:t>
            </w:r>
            <w:r w:rsidRPr="009C7D07">
              <w:rPr>
                <w:color w:val="000000" w:themeColor="text1"/>
                <w:u w:val="single"/>
                <w:lang w:val="en-US"/>
              </w:rPr>
              <w:t>+</w:t>
            </w:r>
            <w:r w:rsidRPr="009C7D07">
              <w:rPr>
                <w:color w:val="000000" w:themeColor="text1"/>
                <w:lang w:val="en-US"/>
              </w:rPr>
              <w:t xml:space="preserve"> 0.4</w:t>
            </w:r>
          </w:p>
        </w:tc>
      </w:tr>
      <w:tr w:rsidR="007D4263" w:rsidRPr="009C7D07" w14:paraId="26C1A90B" w14:textId="77777777" w:rsidTr="00F22F23">
        <w:tc>
          <w:tcPr>
            <w:tcW w:w="4928" w:type="dxa"/>
          </w:tcPr>
          <w:p w14:paraId="59ACA238" w14:textId="77777777" w:rsidR="007D4263" w:rsidRPr="009C7D07" w:rsidRDefault="007D4263" w:rsidP="00796965">
            <w:pPr>
              <w:spacing w:line="480" w:lineRule="auto"/>
              <w:rPr>
                <w:color w:val="000000" w:themeColor="text1"/>
                <w:lang w:val="en-US"/>
              </w:rPr>
            </w:pPr>
            <w:r w:rsidRPr="009C7D07">
              <w:rPr>
                <w:color w:val="000000" w:themeColor="text1"/>
                <w:lang w:val="en-US"/>
              </w:rPr>
              <w:t>Water intake pre-injections (mL/ rat/ day)</w:t>
            </w:r>
          </w:p>
        </w:tc>
        <w:tc>
          <w:tcPr>
            <w:tcW w:w="1843" w:type="dxa"/>
          </w:tcPr>
          <w:p w14:paraId="4ED81BA1" w14:textId="77777777" w:rsidR="007D4263" w:rsidRPr="009C7D07" w:rsidRDefault="007D4263" w:rsidP="00796965">
            <w:pPr>
              <w:spacing w:line="480" w:lineRule="auto"/>
              <w:jc w:val="center"/>
              <w:rPr>
                <w:color w:val="000000" w:themeColor="text1"/>
                <w:lang w:val="en-US"/>
              </w:rPr>
            </w:pPr>
            <w:r w:rsidRPr="009C7D07">
              <w:rPr>
                <w:color w:val="000000" w:themeColor="text1"/>
                <w:lang w:val="en-US"/>
              </w:rPr>
              <w:t xml:space="preserve">21.7 </w:t>
            </w:r>
            <w:r w:rsidRPr="009C7D07">
              <w:rPr>
                <w:color w:val="000000" w:themeColor="text1"/>
                <w:u w:val="single"/>
                <w:lang w:val="en-US"/>
              </w:rPr>
              <w:t>+</w:t>
            </w:r>
            <w:r w:rsidRPr="009C7D07">
              <w:rPr>
                <w:color w:val="000000" w:themeColor="text1"/>
                <w:lang w:val="en-US"/>
              </w:rPr>
              <w:t xml:space="preserve"> 1.1</w:t>
            </w:r>
          </w:p>
        </w:tc>
        <w:tc>
          <w:tcPr>
            <w:tcW w:w="1984" w:type="dxa"/>
          </w:tcPr>
          <w:p w14:paraId="53A8CECC" w14:textId="77777777" w:rsidR="007D4263" w:rsidRPr="009C7D07" w:rsidRDefault="007D4263" w:rsidP="00796965">
            <w:pPr>
              <w:spacing w:line="480" w:lineRule="auto"/>
              <w:ind w:right="176"/>
              <w:jc w:val="center"/>
              <w:rPr>
                <w:color w:val="000000" w:themeColor="text1"/>
                <w:lang w:val="en-US"/>
              </w:rPr>
            </w:pPr>
            <w:r w:rsidRPr="009C7D07">
              <w:rPr>
                <w:color w:val="000000" w:themeColor="text1"/>
                <w:lang w:val="en-US"/>
              </w:rPr>
              <w:t>21.4</w:t>
            </w:r>
            <w:r w:rsidRPr="009C7D07">
              <w:rPr>
                <w:color w:val="000000" w:themeColor="text1"/>
                <w:u w:val="single"/>
                <w:lang w:val="en-US"/>
              </w:rPr>
              <w:t>+</w:t>
            </w:r>
            <w:r w:rsidRPr="009C7D07">
              <w:rPr>
                <w:color w:val="000000" w:themeColor="text1"/>
                <w:lang w:val="en-US"/>
              </w:rPr>
              <w:t xml:space="preserve"> 1.2</w:t>
            </w:r>
          </w:p>
        </w:tc>
        <w:tc>
          <w:tcPr>
            <w:tcW w:w="1843" w:type="dxa"/>
          </w:tcPr>
          <w:p w14:paraId="0E1243C0" w14:textId="77777777" w:rsidR="007D4263" w:rsidRPr="009C7D07" w:rsidRDefault="007D4263" w:rsidP="00796965">
            <w:pPr>
              <w:spacing w:line="480" w:lineRule="auto"/>
              <w:ind w:left="-391"/>
              <w:jc w:val="center"/>
              <w:rPr>
                <w:color w:val="000000" w:themeColor="text1"/>
                <w:lang w:val="en-US"/>
              </w:rPr>
            </w:pPr>
            <w:r w:rsidRPr="009C7D07">
              <w:rPr>
                <w:color w:val="000000" w:themeColor="text1"/>
                <w:lang w:val="en-US"/>
              </w:rPr>
              <w:t xml:space="preserve">24.1 </w:t>
            </w:r>
            <w:r w:rsidRPr="009C7D07">
              <w:rPr>
                <w:color w:val="000000" w:themeColor="text1"/>
                <w:u w:val="single"/>
                <w:lang w:val="en-US"/>
              </w:rPr>
              <w:t>+</w:t>
            </w:r>
            <w:r w:rsidRPr="009C7D07">
              <w:rPr>
                <w:color w:val="000000" w:themeColor="text1"/>
                <w:lang w:val="en-US"/>
              </w:rPr>
              <w:t xml:space="preserve"> 1.6</w:t>
            </w:r>
          </w:p>
        </w:tc>
        <w:tc>
          <w:tcPr>
            <w:tcW w:w="2480" w:type="dxa"/>
          </w:tcPr>
          <w:p w14:paraId="6DBDD5D8" w14:textId="77777777" w:rsidR="007D4263" w:rsidRPr="009C7D07" w:rsidRDefault="007D4263" w:rsidP="00796965">
            <w:pPr>
              <w:spacing w:line="480" w:lineRule="auto"/>
              <w:ind w:right="246"/>
              <w:jc w:val="center"/>
              <w:rPr>
                <w:color w:val="000000" w:themeColor="text1"/>
                <w:lang w:val="en-US"/>
              </w:rPr>
            </w:pPr>
            <w:r w:rsidRPr="009C7D07">
              <w:rPr>
                <w:color w:val="000000" w:themeColor="text1"/>
                <w:lang w:val="en-US"/>
              </w:rPr>
              <w:t xml:space="preserve">21.9 </w:t>
            </w:r>
            <w:r w:rsidRPr="009C7D07">
              <w:rPr>
                <w:color w:val="000000" w:themeColor="text1"/>
                <w:u w:val="single"/>
                <w:lang w:val="en-US"/>
              </w:rPr>
              <w:t>+</w:t>
            </w:r>
            <w:r w:rsidRPr="009C7D07">
              <w:rPr>
                <w:color w:val="000000" w:themeColor="text1"/>
                <w:lang w:val="en-US"/>
              </w:rPr>
              <w:t xml:space="preserve"> 1.6</w:t>
            </w:r>
          </w:p>
        </w:tc>
      </w:tr>
      <w:tr w:rsidR="007D4263" w:rsidRPr="009C7D07" w14:paraId="1AC2144E" w14:textId="77777777" w:rsidTr="00F22F23">
        <w:tc>
          <w:tcPr>
            <w:tcW w:w="4928" w:type="dxa"/>
          </w:tcPr>
          <w:p w14:paraId="6E7EE249" w14:textId="77777777" w:rsidR="007D4263" w:rsidRPr="009C7D07" w:rsidRDefault="007D4263" w:rsidP="00796965">
            <w:pPr>
              <w:spacing w:line="480" w:lineRule="auto"/>
              <w:rPr>
                <w:color w:val="000000" w:themeColor="text1"/>
                <w:lang w:val="en-US"/>
              </w:rPr>
            </w:pPr>
            <w:r w:rsidRPr="009C7D07">
              <w:rPr>
                <w:color w:val="000000" w:themeColor="text1"/>
                <w:lang w:val="en-US"/>
              </w:rPr>
              <w:t>Water intake (post-injections (mL/ rat/ day)</w:t>
            </w:r>
          </w:p>
        </w:tc>
        <w:tc>
          <w:tcPr>
            <w:tcW w:w="1843" w:type="dxa"/>
          </w:tcPr>
          <w:p w14:paraId="14BBFBD0" w14:textId="77777777" w:rsidR="007D4263" w:rsidRPr="009C7D07" w:rsidRDefault="007D4263" w:rsidP="00796965">
            <w:pPr>
              <w:spacing w:line="480" w:lineRule="auto"/>
              <w:jc w:val="center"/>
              <w:rPr>
                <w:color w:val="000000" w:themeColor="text1"/>
                <w:lang w:val="en-US"/>
              </w:rPr>
            </w:pPr>
            <w:r w:rsidRPr="009C7D07">
              <w:rPr>
                <w:color w:val="000000" w:themeColor="text1"/>
                <w:lang w:val="en-US"/>
              </w:rPr>
              <w:t xml:space="preserve">20.5 </w:t>
            </w:r>
            <w:r w:rsidRPr="009C7D07">
              <w:rPr>
                <w:color w:val="000000" w:themeColor="text1"/>
                <w:u w:val="single"/>
                <w:lang w:val="en-US"/>
              </w:rPr>
              <w:t>+</w:t>
            </w:r>
            <w:r w:rsidRPr="009C7D07">
              <w:rPr>
                <w:color w:val="000000" w:themeColor="text1"/>
                <w:lang w:val="en-US"/>
              </w:rPr>
              <w:t xml:space="preserve"> 1.4</w:t>
            </w:r>
          </w:p>
        </w:tc>
        <w:tc>
          <w:tcPr>
            <w:tcW w:w="1984" w:type="dxa"/>
          </w:tcPr>
          <w:p w14:paraId="0AB8269E" w14:textId="77777777" w:rsidR="007D4263" w:rsidRPr="009C7D07" w:rsidRDefault="007D4263" w:rsidP="00796965">
            <w:pPr>
              <w:spacing w:line="480" w:lineRule="auto"/>
              <w:ind w:right="176"/>
              <w:jc w:val="center"/>
              <w:rPr>
                <w:color w:val="000000" w:themeColor="text1"/>
                <w:lang w:val="en-US"/>
              </w:rPr>
            </w:pPr>
            <w:r w:rsidRPr="009C7D07">
              <w:rPr>
                <w:color w:val="000000" w:themeColor="text1"/>
                <w:lang w:val="en-US"/>
              </w:rPr>
              <w:t xml:space="preserve">20.0 </w:t>
            </w:r>
            <w:r w:rsidRPr="009C7D07">
              <w:rPr>
                <w:color w:val="000000" w:themeColor="text1"/>
                <w:u w:val="single"/>
                <w:lang w:val="en-US"/>
              </w:rPr>
              <w:t>+</w:t>
            </w:r>
            <w:r w:rsidRPr="009C7D07">
              <w:rPr>
                <w:color w:val="000000" w:themeColor="text1"/>
                <w:lang w:val="en-US"/>
              </w:rPr>
              <w:t xml:space="preserve"> 1.6</w:t>
            </w:r>
          </w:p>
        </w:tc>
        <w:tc>
          <w:tcPr>
            <w:tcW w:w="1843" w:type="dxa"/>
          </w:tcPr>
          <w:p w14:paraId="55AE3CE3" w14:textId="094C53E8" w:rsidR="007D4263" w:rsidRPr="009C7D07" w:rsidRDefault="007D4263" w:rsidP="00796965">
            <w:pPr>
              <w:spacing w:line="480" w:lineRule="auto"/>
              <w:ind w:left="-391"/>
              <w:jc w:val="center"/>
              <w:rPr>
                <w:color w:val="000000" w:themeColor="text1"/>
                <w:lang w:val="en-US"/>
              </w:rPr>
            </w:pPr>
            <w:r w:rsidRPr="009C7D07">
              <w:rPr>
                <w:color w:val="000000" w:themeColor="text1"/>
                <w:lang w:val="en-US"/>
              </w:rPr>
              <w:t xml:space="preserve">16.5 </w:t>
            </w:r>
            <w:r w:rsidRPr="009C7D07">
              <w:rPr>
                <w:color w:val="000000" w:themeColor="text1"/>
                <w:u w:val="single"/>
                <w:lang w:val="en-US"/>
              </w:rPr>
              <w:t>+</w:t>
            </w:r>
            <w:r w:rsidRPr="009C7D07">
              <w:rPr>
                <w:color w:val="000000" w:themeColor="text1"/>
                <w:lang w:val="en-US"/>
              </w:rPr>
              <w:t xml:space="preserve"> 1.9</w:t>
            </w:r>
            <w:r w:rsidR="00C76A8C" w:rsidRPr="009C7D07">
              <w:rPr>
                <w:color w:val="000000" w:themeColor="text1"/>
                <w:lang w:val="en-US"/>
              </w:rPr>
              <w:t>*</w:t>
            </w:r>
          </w:p>
        </w:tc>
        <w:tc>
          <w:tcPr>
            <w:tcW w:w="2480" w:type="dxa"/>
          </w:tcPr>
          <w:p w14:paraId="1862A0DE" w14:textId="1A070CFF" w:rsidR="007D4263" w:rsidRPr="009C7D07" w:rsidRDefault="007D4263" w:rsidP="00796965">
            <w:pPr>
              <w:spacing w:line="480" w:lineRule="auto"/>
              <w:ind w:right="246"/>
              <w:jc w:val="center"/>
              <w:rPr>
                <w:color w:val="000000" w:themeColor="text1"/>
                <w:lang w:val="en-US"/>
              </w:rPr>
            </w:pPr>
            <w:r w:rsidRPr="009C7D07">
              <w:rPr>
                <w:color w:val="000000" w:themeColor="text1"/>
                <w:lang w:val="en-US"/>
              </w:rPr>
              <w:t xml:space="preserve">17.5 </w:t>
            </w:r>
            <w:r w:rsidRPr="009C7D07">
              <w:rPr>
                <w:color w:val="000000" w:themeColor="text1"/>
                <w:u w:val="single"/>
                <w:lang w:val="en-US"/>
              </w:rPr>
              <w:t>+</w:t>
            </w:r>
            <w:r w:rsidRPr="009C7D07">
              <w:rPr>
                <w:color w:val="000000" w:themeColor="text1"/>
                <w:lang w:val="en-US"/>
              </w:rPr>
              <w:t xml:space="preserve"> 1.3</w:t>
            </w:r>
            <w:r w:rsidR="00C76A8C" w:rsidRPr="009C7D07">
              <w:rPr>
                <w:color w:val="000000" w:themeColor="text1"/>
                <w:lang w:val="en-US"/>
              </w:rPr>
              <w:t>*</w:t>
            </w:r>
          </w:p>
        </w:tc>
      </w:tr>
      <w:tr w:rsidR="007D4263" w:rsidRPr="009C7D07" w14:paraId="7FDF1B7D" w14:textId="77777777" w:rsidTr="00F22F23">
        <w:tc>
          <w:tcPr>
            <w:tcW w:w="4928" w:type="dxa"/>
          </w:tcPr>
          <w:p w14:paraId="2291BBE5" w14:textId="77777777" w:rsidR="007D4263" w:rsidRPr="009C7D07" w:rsidRDefault="007D4263" w:rsidP="00796965">
            <w:pPr>
              <w:spacing w:line="480" w:lineRule="auto"/>
              <w:rPr>
                <w:color w:val="000000" w:themeColor="text1"/>
                <w:lang w:val="en-US"/>
              </w:rPr>
            </w:pPr>
            <w:r w:rsidRPr="009C7D07">
              <w:rPr>
                <w:color w:val="000000" w:themeColor="text1"/>
                <w:lang w:val="en-US"/>
              </w:rPr>
              <w:t>Final body weight (g)</w:t>
            </w:r>
          </w:p>
        </w:tc>
        <w:tc>
          <w:tcPr>
            <w:tcW w:w="1843" w:type="dxa"/>
          </w:tcPr>
          <w:p w14:paraId="4BE20593" w14:textId="77777777" w:rsidR="007D4263" w:rsidRPr="009C7D07" w:rsidRDefault="007D4263" w:rsidP="00796965">
            <w:pPr>
              <w:spacing w:line="480" w:lineRule="auto"/>
              <w:jc w:val="center"/>
              <w:rPr>
                <w:color w:val="000000" w:themeColor="text1"/>
                <w:lang w:val="en-US"/>
              </w:rPr>
            </w:pPr>
            <w:r w:rsidRPr="009C7D07">
              <w:rPr>
                <w:color w:val="000000" w:themeColor="text1"/>
                <w:lang w:val="en-US"/>
              </w:rPr>
              <w:t xml:space="preserve">72.8 </w:t>
            </w:r>
            <w:r w:rsidRPr="009C7D07">
              <w:rPr>
                <w:color w:val="000000" w:themeColor="text1"/>
                <w:u w:val="single"/>
                <w:lang w:val="en-US"/>
              </w:rPr>
              <w:t>+</w:t>
            </w:r>
            <w:r w:rsidRPr="009C7D07">
              <w:rPr>
                <w:color w:val="000000" w:themeColor="text1"/>
                <w:lang w:val="en-US"/>
              </w:rPr>
              <w:t xml:space="preserve"> 1.6</w:t>
            </w:r>
          </w:p>
        </w:tc>
        <w:tc>
          <w:tcPr>
            <w:tcW w:w="1984" w:type="dxa"/>
          </w:tcPr>
          <w:p w14:paraId="38FCB9E3" w14:textId="77777777" w:rsidR="007D4263" w:rsidRPr="009C7D07" w:rsidRDefault="007D4263" w:rsidP="00796965">
            <w:pPr>
              <w:spacing w:line="480" w:lineRule="auto"/>
              <w:ind w:right="176"/>
              <w:jc w:val="center"/>
              <w:rPr>
                <w:color w:val="000000" w:themeColor="text1"/>
                <w:lang w:val="en-US"/>
              </w:rPr>
            </w:pPr>
            <w:r w:rsidRPr="009C7D07">
              <w:rPr>
                <w:color w:val="000000" w:themeColor="text1"/>
                <w:lang w:val="en-US"/>
              </w:rPr>
              <w:t xml:space="preserve">77.3 </w:t>
            </w:r>
            <w:r w:rsidRPr="009C7D07">
              <w:rPr>
                <w:color w:val="000000" w:themeColor="text1"/>
                <w:u w:val="single"/>
                <w:lang w:val="en-US"/>
              </w:rPr>
              <w:t>+</w:t>
            </w:r>
            <w:r w:rsidRPr="009C7D07">
              <w:rPr>
                <w:color w:val="000000" w:themeColor="text1"/>
                <w:lang w:val="en-US"/>
              </w:rPr>
              <w:t xml:space="preserve"> 2.4</w:t>
            </w:r>
          </w:p>
        </w:tc>
        <w:tc>
          <w:tcPr>
            <w:tcW w:w="1843" w:type="dxa"/>
          </w:tcPr>
          <w:p w14:paraId="5273F901" w14:textId="77777777" w:rsidR="007D4263" w:rsidRPr="009C7D07" w:rsidRDefault="007D4263" w:rsidP="00796965">
            <w:pPr>
              <w:spacing w:line="480" w:lineRule="auto"/>
              <w:ind w:left="-391"/>
              <w:jc w:val="center"/>
              <w:rPr>
                <w:color w:val="000000" w:themeColor="text1"/>
                <w:lang w:val="en-US"/>
              </w:rPr>
            </w:pPr>
            <w:r w:rsidRPr="009C7D07">
              <w:rPr>
                <w:color w:val="000000" w:themeColor="text1"/>
                <w:lang w:val="en-US"/>
              </w:rPr>
              <w:t xml:space="preserve">69.8 </w:t>
            </w:r>
            <w:r w:rsidRPr="009C7D07">
              <w:rPr>
                <w:color w:val="000000" w:themeColor="text1"/>
                <w:u w:val="single"/>
                <w:lang w:val="en-US"/>
              </w:rPr>
              <w:t>+</w:t>
            </w:r>
            <w:r w:rsidRPr="009C7D07">
              <w:rPr>
                <w:color w:val="000000" w:themeColor="text1"/>
                <w:lang w:val="en-US"/>
              </w:rPr>
              <w:t xml:space="preserve"> 1.6</w:t>
            </w:r>
          </w:p>
        </w:tc>
        <w:tc>
          <w:tcPr>
            <w:tcW w:w="2480" w:type="dxa"/>
          </w:tcPr>
          <w:p w14:paraId="46247667" w14:textId="77777777" w:rsidR="007D4263" w:rsidRPr="009C7D07" w:rsidRDefault="007D4263" w:rsidP="00796965">
            <w:pPr>
              <w:spacing w:line="480" w:lineRule="auto"/>
              <w:ind w:right="246"/>
              <w:jc w:val="center"/>
              <w:rPr>
                <w:color w:val="000000" w:themeColor="text1"/>
                <w:lang w:val="en-US"/>
              </w:rPr>
            </w:pPr>
            <w:r w:rsidRPr="009C7D07">
              <w:rPr>
                <w:color w:val="000000" w:themeColor="text1"/>
                <w:lang w:val="en-US"/>
              </w:rPr>
              <w:t xml:space="preserve">75.6 </w:t>
            </w:r>
            <w:r w:rsidRPr="009C7D07">
              <w:rPr>
                <w:color w:val="000000" w:themeColor="text1"/>
                <w:u w:val="single"/>
                <w:lang w:val="en-US"/>
              </w:rPr>
              <w:t>+</w:t>
            </w:r>
            <w:r w:rsidRPr="009C7D07">
              <w:rPr>
                <w:color w:val="000000" w:themeColor="text1"/>
                <w:lang w:val="en-US"/>
              </w:rPr>
              <w:t xml:space="preserve"> 2.1</w:t>
            </w:r>
          </w:p>
        </w:tc>
      </w:tr>
      <w:tr w:rsidR="007D4263" w:rsidRPr="009C7D07" w14:paraId="00B47CD0" w14:textId="77777777" w:rsidTr="00F22F23">
        <w:tc>
          <w:tcPr>
            <w:tcW w:w="4928" w:type="dxa"/>
          </w:tcPr>
          <w:p w14:paraId="2D2E94F4" w14:textId="77777777" w:rsidR="007D4263" w:rsidRPr="009C7D07" w:rsidRDefault="007D4263" w:rsidP="00796965">
            <w:pPr>
              <w:spacing w:line="480" w:lineRule="auto"/>
              <w:rPr>
                <w:color w:val="000000" w:themeColor="text1"/>
                <w:lang w:val="en-US"/>
              </w:rPr>
            </w:pPr>
            <w:r w:rsidRPr="009C7D07">
              <w:rPr>
                <w:color w:val="000000" w:themeColor="text1"/>
                <w:lang w:val="en-US"/>
              </w:rPr>
              <w:t>Liver weight (g)</w:t>
            </w:r>
          </w:p>
        </w:tc>
        <w:tc>
          <w:tcPr>
            <w:tcW w:w="1843" w:type="dxa"/>
          </w:tcPr>
          <w:p w14:paraId="6F1528EF" w14:textId="77777777" w:rsidR="007D4263" w:rsidRPr="009C7D07" w:rsidRDefault="007D4263" w:rsidP="00796965">
            <w:pPr>
              <w:spacing w:line="480" w:lineRule="auto"/>
              <w:jc w:val="center"/>
              <w:rPr>
                <w:color w:val="000000" w:themeColor="text1"/>
                <w:lang w:val="en-US"/>
              </w:rPr>
            </w:pPr>
            <w:r w:rsidRPr="009C7D07">
              <w:rPr>
                <w:color w:val="000000" w:themeColor="text1"/>
                <w:lang w:val="en-US"/>
              </w:rPr>
              <w:t xml:space="preserve">2.67 </w:t>
            </w:r>
            <w:r w:rsidRPr="009C7D07">
              <w:rPr>
                <w:color w:val="000000" w:themeColor="text1"/>
                <w:u w:val="single"/>
                <w:lang w:val="en-US"/>
              </w:rPr>
              <w:t>+</w:t>
            </w:r>
            <w:r w:rsidRPr="009C7D07">
              <w:rPr>
                <w:color w:val="000000" w:themeColor="text1"/>
                <w:lang w:val="en-US"/>
              </w:rPr>
              <w:t xml:space="preserve"> 0.0</w:t>
            </w:r>
          </w:p>
        </w:tc>
        <w:tc>
          <w:tcPr>
            <w:tcW w:w="1984" w:type="dxa"/>
          </w:tcPr>
          <w:p w14:paraId="19D03FEE" w14:textId="77777777" w:rsidR="007D4263" w:rsidRPr="009C7D07" w:rsidRDefault="007D4263" w:rsidP="00796965">
            <w:pPr>
              <w:spacing w:line="480" w:lineRule="auto"/>
              <w:ind w:right="176"/>
              <w:jc w:val="center"/>
              <w:rPr>
                <w:color w:val="000000" w:themeColor="text1"/>
                <w:lang w:val="en-US"/>
              </w:rPr>
            </w:pPr>
            <w:r w:rsidRPr="009C7D07">
              <w:rPr>
                <w:color w:val="000000" w:themeColor="text1"/>
                <w:lang w:val="en-US"/>
              </w:rPr>
              <w:t xml:space="preserve">3.01 </w:t>
            </w:r>
            <w:r w:rsidRPr="009C7D07">
              <w:rPr>
                <w:color w:val="000000" w:themeColor="text1"/>
                <w:u w:val="single"/>
                <w:lang w:val="en-US"/>
              </w:rPr>
              <w:t>+</w:t>
            </w:r>
            <w:r w:rsidRPr="009C7D07">
              <w:rPr>
                <w:color w:val="000000" w:themeColor="text1"/>
                <w:lang w:val="en-US"/>
              </w:rPr>
              <w:t xml:space="preserve"> 0.1</w:t>
            </w:r>
          </w:p>
        </w:tc>
        <w:tc>
          <w:tcPr>
            <w:tcW w:w="1843" w:type="dxa"/>
          </w:tcPr>
          <w:p w14:paraId="65313E89" w14:textId="77777777" w:rsidR="007D4263" w:rsidRPr="009C7D07" w:rsidRDefault="007D4263" w:rsidP="00796965">
            <w:pPr>
              <w:spacing w:line="480" w:lineRule="auto"/>
              <w:ind w:left="-391"/>
              <w:jc w:val="center"/>
              <w:rPr>
                <w:color w:val="000000" w:themeColor="text1"/>
                <w:lang w:val="en-US"/>
              </w:rPr>
            </w:pPr>
            <w:r w:rsidRPr="009C7D07">
              <w:rPr>
                <w:color w:val="000000" w:themeColor="text1"/>
                <w:lang w:val="en-US"/>
              </w:rPr>
              <w:t xml:space="preserve">2.69 </w:t>
            </w:r>
            <w:r w:rsidRPr="009C7D07">
              <w:rPr>
                <w:color w:val="000000" w:themeColor="text1"/>
                <w:u w:val="single"/>
                <w:lang w:val="en-US"/>
              </w:rPr>
              <w:t>+</w:t>
            </w:r>
            <w:r w:rsidRPr="009C7D07">
              <w:rPr>
                <w:color w:val="000000" w:themeColor="text1"/>
                <w:lang w:val="en-US"/>
              </w:rPr>
              <w:t xml:space="preserve"> 0.1</w:t>
            </w:r>
          </w:p>
        </w:tc>
        <w:tc>
          <w:tcPr>
            <w:tcW w:w="2480" w:type="dxa"/>
          </w:tcPr>
          <w:p w14:paraId="2D390D00" w14:textId="24B600EE" w:rsidR="007D4263" w:rsidRPr="009C7D07" w:rsidRDefault="007D4263" w:rsidP="00796965">
            <w:pPr>
              <w:spacing w:line="480" w:lineRule="auto"/>
              <w:ind w:right="246"/>
              <w:jc w:val="center"/>
              <w:rPr>
                <w:color w:val="000000" w:themeColor="text1"/>
                <w:lang w:val="en-US"/>
              </w:rPr>
            </w:pPr>
            <w:r w:rsidRPr="009C7D07">
              <w:rPr>
                <w:color w:val="000000" w:themeColor="text1"/>
                <w:lang w:val="en-US"/>
              </w:rPr>
              <w:t xml:space="preserve">3.15 </w:t>
            </w:r>
            <w:r w:rsidRPr="009C7D07">
              <w:rPr>
                <w:color w:val="000000" w:themeColor="text1"/>
                <w:u w:val="single"/>
                <w:lang w:val="en-US"/>
              </w:rPr>
              <w:t>+</w:t>
            </w:r>
            <w:r w:rsidRPr="009C7D07">
              <w:rPr>
                <w:color w:val="000000" w:themeColor="text1"/>
                <w:lang w:val="en-US"/>
              </w:rPr>
              <w:t xml:space="preserve"> 0.2</w:t>
            </w:r>
            <w:r w:rsidR="00C76A8C" w:rsidRPr="009C7D07">
              <w:rPr>
                <w:color w:val="000000" w:themeColor="text1"/>
                <w:lang w:val="en-US"/>
              </w:rPr>
              <w:t>*</w:t>
            </w:r>
          </w:p>
        </w:tc>
      </w:tr>
      <w:tr w:rsidR="007D4263" w:rsidRPr="009C7D07" w14:paraId="3BC14403" w14:textId="77777777" w:rsidTr="00F22F23">
        <w:tc>
          <w:tcPr>
            <w:tcW w:w="4928" w:type="dxa"/>
          </w:tcPr>
          <w:p w14:paraId="2724F9CD" w14:textId="77777777" w:rsidR="007D4263" w:rsidRPr="009C7D07" w:rsidRDefault="007D4263" w:rsidP="00796965">
            <w:pPr>
              <w:spacing w:line="480" w:lineRule="auto"/>
              <w:rPr>
                <w:color w:val="000000" w:themeColor="text1"/>
                <w:lang w:val="en-US"/>
              </w:rPr>
            </w:pPr>
            <w:r w:rsidRPr="009C7D07">
              <w:rPr>
                <w:color w:val="000000" w:themeColor="text1"/>
                <w:lang w:val="en-US"/>
              </w:rPr>
              <w:t>Liver weight (g) / Body weight (kg)</w:t>
            </w:r>
          </w:p>
        </w:tc>
        <w:tc>
          <w:tcPr>
            <w:tcW w:w="1843" w:type="dxa"/>
          </w:tcPr>
          <w:p w14:paraId="508FF6D4" w14:textId="77777777" w:rsidR="007D4263" w:rsidRPr="009C7D07" w:rsidRDefault="007D4263" w:rsidP="00796965">
            <w:pPr>
              <w:spacing w:line="480" w:lineRule="auto"/>
              <w:jc w:val="center"/>
              <w:rPr>
                <w:color w:val="000000" w:themeColor="text1"/>
                <w:lang w:val="en-US"/>
              </w:rPr>
            </w:pPr>
            <w:r w:rsidRPr="009C7D07">
              <w:rPr>
                <w:color w:val="000000" w:themeColor="text1"/>
                <w:lang w:val="en-US"/>
              </w:rPr>
              <w:t xml:space="preserve">36.6 </w:t>
            </w:r>
            <w:r w:rsidRPr="009C7D07">
              <w:rPr>
                <w:color w:val="000000" w:themeColor="text1"/>
                <w:u w:val="single"/>
                <w:lang w:val="en-US"/>
              </w:rPr>
              <w:t>+</w:t>
            </w:r>
            <w:r w:rsidRPr="009C7D07">
              <w:rPr>
                <w:color w:val="000000" w:themeColor="text1"/>
                <w:lang w:val="en-US"/>
              </w:rPr>
              <w:t xml:space="preserve"> 0.3</w:t>
            </w:r>
          </w:p>
        </w:tc>
        <w:tc>
          <w:tcPr>
            <w:tcW w:w="1984" w:type="dxa"/>
          </w:tcPr>
          <w:p w14:paraId="3DFD01B0" w14:textId="77777777" w:rsidR="007D4263" w:rsidRPr="009C7D07" w:rsidRDefault="007D4263" w:rsidP="00796965">
            <w:pPr>
              <w:spacing w:line="480" w:lineRule="auto"/>
              <w:ind w:right="176"/>
              <w:jc w:val="center"/>
              <w:rPr>
                <w:color w:val="000000" w:themeColor="text1"/>
                <w:lang w:val="en-US"/>
              </w:rPr>
            </w:pPr>
            <w:r w:rsidRPr="009C7D07">
              <w:rPr>
                <w:color w:val="000000" w:themeColor="text1"/>
                <w:lang w:val="en-US"/>
              </w:rPr>
              <w:t xml:space="preserve">39.0 </w:t>
            </w:r>
            <w:r w:rsidRPr="009C7D07">
              <w:rPr>
                <w:color w:val="000000" w:themeColor="text1"/>
                <w:u w:val="single"/>
                <w:lang w:val="en-US"/>
              </w:rPr>
              <w:t>+</w:t>
            </w:r>
            <w:r w:rsidRPr="009C7D07">
              <w:rPr>
                <w:color w:val="000000" w:themeColor="text1"/>
                <w:lang w:val="en-US"/>
              </w:rPr>
              <w:t xml:space="preserve"> 0.8</w:t>
            </w:r>
          </w:p>
        </w:tc>
        <w:tc>
          <w:tcPr>
            <w:tcW w:w="1843" w:type="dxa"/>
          </w:tcPr>
          <w:p w14:paraId="2E3696DA" w14:textId="77777777" w:rsidR="007D4263" w:rsidRPr="009C7D07" w:rsidRDefault="007D4263" w:rsidP="00796965">
            <w:pPr>
              <w:spacing w:line="480" w:lineRule="auto"/>
              <w:ind w:left="-391"/>
              <w:jc w:val="center"/>
              <w:rPr>
                <w:color w:val="000000" w:themeColor="text1"/>
                <w:lang w:val="en-US"/>
              </w:rPr>
            </w:pPr>
            <w:r w:rsidRPr="009C7D07">
              <w:rPr>
                <w:color w:val="000000" w:themeColor="text1"/>
                <w:lang w:val="en-US"/>
              </w:rPr>
              <w:t xml:space="preserve">38.4 </w:t>
            </w:r>
            <w:r w:rsidRPr="009C7D07">
              <w:rPr>
                <w:color w:val="000000" w:themeColor="text1"/>
                <w:u w:val="single"/>
                <w:lang w:val="en-US"/>
              </w:rPr>
              <w:t>+</w:t>
            </w:r>
            <w:r w:rsidRPr="009C7D07">
              <w:rPr>
                <w:color w:val="000000" w:themeColor="text1"/>
                <w:lang w:val="en-US"/>
              </w:rPr>
              <w:t xml:space="preserve"> 1.0</w:t>
            </w:r>
          </w:p>
        </w:tc>
        <w:tc>
          <w:tcPr>
            <w:tcW w:w="2480" w:type="dxa"/>
          </w:tcPr>
          <w:p w14:paraId="7F4601D5" w14:textId="54793503" w:rsidR="007D4263" w:rsidRPr="009C7D07" w:rsidRDefault="007D4263" w:rsidP="00796965">
            <w:pPr>
              <w:spacing w:line="480" w:lineRule="auto"/>
              <w:ind w:right="246"/>
              <w:jc w:val="center"/>
              <w:rPr>
                <w:color w:val="000000" w:themeColor="text1"/>
                <w:lang w:val="en-US"/>
              </w:rPr>
            </w:pPr>
            <w:r w:rsidRPr="009C7D07">
              <w:rPr>
                <w:color w:val="000000" w:themeColor="text1"/>
                <w:lang w:val="en-US"/>
              </w:rPr>
              <w:t xml:space="preserve">41.5 </w:t>
            </w:r>
            <w:r w:rsidRPr="009C7D07">
              <w:rPr>
                <w:color w:val="000000" w:themeColor="text1"/>
                <w:u w:val="single"/>
                <w:lang w:val="en-US"/>
              </w:rPr>
              <w:t>+</w:t>
            </w:r>
            <w:r w:rsidRPr="009C7D07">
              <w:rPr>
                <w:color w:val="000000" w:themeColor="text1"/>
                <w:lang w:val="en-US"/>
              </w:rPr>
              <w:t xml:space="preserve"> 1.0</w:t>
            </w:r>
            <w:r w:rsidR="00C76A8C" w:rsidRPr="009C7D07">
              <w:rPr>
                <w:color w:val="000000" w:themeColor="text1"/>
                <w:lang w:val="en-US"/>
              </w:rPr>
              <w:t>**</w:t>
            </w:r>
          </w:p>
        </w:tc>
      </w:tr>
    </w:tbl>
    <w:p w14:paraId="005AF5D8" w14:textId="77777777" w:rsidR="007D4263" w:rsidRPr="009C7D07" w:rsidRDefault="007D4263" w:rsidP="00796965">
      <w:pPr>
        <w:spacing w:line="480" w:lineRule="auto"/>
        <w:jc w:val="both"/>
        <w:rPr>
          <w:color w:val="4472C4"/>
          <w:lang w:val="en-US"/>
        </w:rPr>
      </w:pPr>
    </w:p>
    <w:p w14:paraId="74B9E09F" w14:textId="77777777" w:rsidR="007D4263" w:rsidRPr="009C7D07" w:rsidRDefault="007D4263" w:rsidP="00796965">
      <w:pPr>
        <w:spacing w:line="480" w:lineRule="auto"/>
        <w:jc w:val="both"/>
        <w:rPr>
          <w:color w:val="4472C4"/>
          <w:lang w:val="en-US"/>
        </w:rPr>
      </w:pPr>
    </w:p>
    <w:p w14:paraId="19EB3790" w14:textId="77777777" w:rsidR="007D4263" w:rsidRPr="009C7D07" w:rsidRDefault="007D4263" w:rsidP="00796965">
      <w:pPr>
        <w:spacing w:line="480" w:lineRule="auto"/>
        <w:jc w:val="both"/>
        <w:rPr>
          <w:color w:val="4472C4"/>
          <w:lang w:val="en-US"/>
        </w:rPr>
      </w:pPr>
    </w:p>
    <w:p w14:paraId="1A5D6F6F" w14:textId="3338BD2F" w:rsidR="007D4263" w:rsidRPr="009C7D07" w:rsidRDefault="007D4263" w:rsidP="00796965">
      <w:pPr>
        <w:spacing w:before="240" w:line="480" w:lineRule="auto"/>
        <w:jc w:val="both"/>
        <w:rPr>
          <w:color w:val="4472C4"/>
          <w:lang w:val="en-US"/>
        </w:rPr>
        <w:sectPr w:rsidR="007D4263" w:rsidRPr="009C7D07" w:rsidSect="00656526">
          <w:pgSz w:w="15840" w:h="12240" w:orient="landscape"/>
          <w:pgMar w:top="1440" w:right="1440" w:bottom="1440" w:left="1440" w:header="709" w:footer="709" w:gutter="0"/>
          <w:cols w:space="708"/>
          <w:titlePg/>
          <w:docGrid w:linePitch="360"/>
        </w:sectPr>
      </w:pPr>
    </w:p>
    <w:tbl>
      <w:tblPr>
        <w:tblpPr w:leftFromText="180" w:rightFromText="180" w:vertAnchor="page" w:horzAnchor="margin" w:tblpY="5287"/>
        <w:tblW w:w="12899" w:type="dxa"/>
        <w:tblLook w:val="0000" w:firstRow="0" w:lastRow="0" w:firstColumn="0" w:lastColumn="0" w:noHBand="0" w:noVBand="0"/>
      </w:tblPr>
      <w:tblGrid>
        <w:gridCol w:w="2120"/>
        <w:gridCol w:w="1717"/>
        <w:gridCol w:w="1671"/>
        <w:gridCol w:w="1722"/>
        <w:gridCol w:w="1786"/>
        <w:gridCol w:w="2074"/>
        <w:gridCol w:w="1809"/>
      </w:tblGrid>
      <w:tr w:rsidR="007D4263" w:rsidRPr="009C7D07" w14:paraId="110D3857" w14:textId="77777777" w:rsidTr="001A160D">
        <w:trPr>
          <w:trHeight w:val="245"/>
        </w:trPr>
        <w:tc>
          <w:tcPr>
            <w:tcW w:w="2120" w:type="dxa"/>
            <w:tcBorders>
              <w:top w:val="single" w:sz="4" w:space="0" w:color="auto"/>
              <w:left w:val="nil"/>
              <w:bottom w:val="single" w:sz="4" w:space="0" w:color="auto"/>
              <w:right w:val="nil"/>
            </w:tcBorders>
            <w:shd w:val="clear" w:color="auto" w:fill="auto"/>
            <w:noWrap/>
            <w:vAlign w:val="center"/>
          </w:tcPr>
          <w:p w14:paraId="0D88AB33" w14:textId="77777777" w:rsidR="007D4263" w:rsidRPr="009C7D07" w:rsidRDefault="007D4263" w:rsidP="001A160D">
            <w:pPr>
              <w:spacing w:line="480" w:lineRule="auto"/>
              <w:jc w:val="center"/>
              <w:rPr>
                <w:color w:val="000000" w:themeColor="text1"/>
                <w:lang w:val="en-US"/>
              </w:rPr>
            </w:pPr>
          </w:p>
        </w:tc>
        <w:tc>
          <w:tcPr>
            <w:tcW w:w="1717" w:type="dxa"/>
            <w:tcBorders>
              <w:top w:val="single" w:sz="4" w:space="0" w:color="auto"/>
              <w:left w:val="nil"/>
              <w:bottom w:val="single" w:sz="4" w:space="0" w:color="auto"/>
              <w:right w:val="nil"/>
            </w:tcBorders>
            <w:shd w:val="clear" w:color="auto" w:fill="auto"/>
            <w:noWrap/>
            <w:vAlign w:val="center"/>
          </w:tcPr>
          <w:p w14:paraId="4F1C8E01"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ALT</w:t>
            </w:r>
          </w:p>
          <w:p w14:paraId="1580AB56" w14:textId="13027204" w:rsidR="007D4263" w:rsidRPr="009C7D07" w:rsidRDefault="007D4263" w:rsidP="001A160D">
            <w:pPr>
              <w:spacing w:line="480" w:lineRule="auto"/>
              <w:jc w:val="center"/>
              <w:rPr>
                <w:color w:val="000000" w:themeColor="text1"/>
                <w:lang w:val="en-US"/>
              </w:rPr>
            </w:pPr>
            <w:r w:rsidRPr="009C7D07">
              <w:rPr>
                <w:color w:val="000000" w:themeColor="text1"/>
                <w:lang w:val="en-US"/>
              </w:rPr>
              <w:t>(</w:t>
            </w:r>
            <w:r w:rsidR="00903BF2" w:rsidRPr="009C7D07">
              <w:rPr>
                <w:color w:val="000000" w:themeColor="text1"/>
                <w:lang w:val="en-US"/>
              </w:rPr>
              <w:t>U</w:t>
            </w:r>
            <w:r w:rsidRPr="009C7D07">
              <w:rPr>
                <w:color w:val="000000" w:themeColor="text1"/>
                <w:lang w:val="en-US"/>
              </w:rPr>
              <w:t>/L)</w:t>
            </w:r>
          </w:p>
        </w:tc>
        <w:tc>
          <w:tcPr>
            <w:tcW w:w="1671" w:type="dxa"/>
            <w:tcBorders>
              <w:top w:val="single" w:sz="4" w:space="0" w:color="auto"/>
              <w:left w:val="nil"/>
              <w:bottom w:val="single" w:sz="4" w:space="0" w:color="auto"/>
              <w:right w:val="nil"/>
            </w:tcBorders>
            <w:shd w:val="clear" w:color="auto" w:fill="auto"/>
            <w:noWrap/>
            <w:vAlign w:val="center"/>
          </w:tcPr>
          <w:p w14:paraId="0439B619"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AST</w:t>
            </w:r>
          </w:p>
          <w:p w14:paraId="350B84DF" w14:textId="5FDCCF21" w:rsidR="007D4263" w:rsidRPr="009C7D07" w:rsidRDefault="007D4263" w:rsidP="001A160D">
            <w:pPr>
              <w:spacing w:line="480" w:lineRule="auto"/>
              <w:jc w:val="center"/>
              <w:rPr>
                <w:color w:val="000000" w:themeColor="text1"/>
                <w:lang w:val="en-US"/>
              </w:rPr>
            </w:pPr>
            <w:r w:rsidRPr="009C7D07">
              <w:rPr>
                <w:color w:val="000000" w:themeColor="text1"/>
                <w:lang w:val="en-US"/>
              </w:rPr>
              <w:t>(</w:t>
            </w:r>
            <w:r w:rsidR="00903BF2" w:rsidRPr="009C7D07">
              <w:rPr>
                <w:color w:val="000000" w:themeColor="text1"/>
                <w:lang w:val="en-US"/>
              </w:rPr>
              <w:t>U</w:t>
            </w:r>
            <w:r w:rsidRPr="009C7D07">
              <w:rPr>
                <w:color w:val="000000" w:themeColor="text1"/>
                <w:lang w:val="en-US"/>
              </w:rPr>
              <w:t>/L)</w:t>
            </w:r>
          </w:p>
        </w:tc>
        <w:tc>
          <w:tcPr>
            <w:tcW w:w="1722" w:type="dxa"/>
            <w:tcBorders>
              <w:top w:val="single" w:sz="4" w:space="0" w:color="auto"/>
              <w:left w:val="nil"/>
              <w:bottom w:val="single" w:sz="4" w:space="0" w:color="auto"/>
              <w:right w:val="nil"/>
            </w:tcBorders>
            <w:shd w:val="clear" w:color="auto" w:fill="auto"/>
            <w:noWrap/>
            <w:vAlign w:val="center"/>
          </w:tcPr>
          <w:p w14:paraId="15F523CC"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AST/ALT</w:t>
            </w:r>
          </w:p>
          <w:p w14:paraId="786B1934" w14:textId="77777777" w:rsidR="007D4263" w:rsidRPr="009C7D07" w:rsidRDefault="007D4263" w:rsidP="001A160D">
            <w:pPr>
              <w:spacing w:line="480" w:lineRule="auto"/>
              <w:jc w:val="center"/>
              <w:rPr>
                <w:color w:val="000000" w:themeColor="text1"/>
                <w:lang w:val="en-US"/>
              </w:rPr>
            </w:pPr>
          </w:p>
        </w:tc>
        <w:tc>
          <w:tcPr>
            <w:tcW w:w="1786" w:type="dxa"/>
            <w:tcBorders>
              <w:top w:val="single" w:sz="4" w:space="0" w:color="auto"/>
              <w:left w:val="nil"/>
              <w:bottom w:val="single" w:sz="4" w:space="0" w:color="auto"/>
              <w:right w:val="nil"/>
            </w:tcBorders>
            <w:shd w:val="clear" w:color="auto" w:fill="auto"/>
            <w:noWrap/>
            <w:vAlign w:val="center"/>
          </w:tcPr>
          <w:p w14:paraId="3FB2E6C3"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Total Protein</w:t>
            </w:r>
          </w:p>
          <w:p w14:paraId="4D4B9EE1"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(g/L)</w:t>
            </w:r>
          </w:p>
        </w:tc>
        <w:tc>
          <w:tcPr>
            <w:tcW w:w="2074" w:type="dxa"/>
            <w:tcBorders>
              <w:top w:val="single" w:sz="4" w:space="0" w:color="auto"/>
              <w:left w:val="nil"/>
              <w:bottom w:val="single" w:sz="4" w:space="0" w:color="auto"/>
              <w:right w:val="nil"/>
            </w:tcBorders>
            <w:vAlign w:val="center"/>
          </w:tcPr>
          <w:p w14:paraId="691B07FC"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Albumin</w:t>
            </w:r>
          </w:p>
          <w:p w14:paraId="4D0E3E1D"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(g/L)</w:t>
            </w:r>
          </w:p>
        </w:tc>
        <w:tc>
          <w:tcPr>
            <w:tcW w:w="1809" w:type="dxa"/>
            <w:tcBorders>
              <w:top w:val="single" w:sz="4" w:space="0" w:color="auto"/>
              <w:left w:val="nil"/>
              <w:bottom w:val="single" w:sz="4" w:space="0" w:color="auto"/>
              <w:right w:val="nil"/>
            </w:tcBorders>
            <w:shd w:val="clear" w:color="auto" w:fill="auto"/>
            <w:noWrap/>
            <w:vAlign w:val="center"/>
          </w:tcPr>
          <w:p w14:paraId="3671CA22"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Globulin</w:t>
            </w:r>
          </w:p>
          <w:p w14:paraId="46644DE6" w14:textId="77777777" w:rsidR="007D4263" w:rsidRPr="009C7D07" w:rsidRDefault="007D4263" w:rsidP="001A160D">
            <w:pPr>
              <w:spacing w:line="480" w:lineRule="auto"/>
              <w:jc w:val="center"/>
              <w:rPr>
                <w:color w:val="000000" w:themeColor="text1"/>
                <w:lang w:val="en-US"/>
              </w:rPr>
            </w:pPr>
            <w:r w:rsidRPr="009C7D07">
              <w:rPr>
                <w:color w:val="000000" w:themeColor="text1"/>
                <w:lang w:val="en-US"/>
              </w:rPr>
              <w:t>(g/L)</w:t>
            </w:r>
          </w:p>
        </w:tc>
      </w:tr>
      <w:tr w:rsidR="007D4263" w:rsidRPr="009C7D07" w14:paraId="0D72D0D1" w14:textId="77777777" w:rsidTr="001A160D">
        <w:trPr>
          <w:trHeight w:val="245"/>
        </w:trPr>
        <w:tc>
          <w:tcPr>
            <w:tcW w:w="2120" w:type="dxa"/>
            <w:tcBorders>
              <w:top w:val="single" w:sz="4" w:space="0" w:color="auto"/>
              <w:left w:val="nil"/>
              <w:bottom w:val="single" w:sz="4" w:space="0" w:color="auto"/>
              <w:right w:val="nil"/>
            </w:tcBorders>
            <w:shd w:val="clear" w:color="auto" w:fill="auto"/>
            <w:noWrap/>
            <w:vAlign w:val="bottom"/>
          </w:tcPr>
          <w:p w14:paraId="43371588"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Treatment</w:t>
            </w:r>
          </w:p>
        </w:tc>
        <w:tc>
          <w:tcPr>
            <w:tcW w:w="1717" w:type="dxa"/>
            <w:tcBorders>
              <w:top w:val="single" w:sz="4" w:space="0" w:color="auto"/>
              <w:left w:val="nil"/>
              <w:bottom w:val="single" w:sz="4" w:space="0" w:color="auto"/>
              <w:right w:val="nil"/>
            </w:tcBorders>
            <w:shd w:val="clear" w:color="auto" w:fill="auto"/>
            <w:noWrap/>
            <w:vAlign w:val="bottom"/>
          </w:tcPr>
          <w:p w14:paraId="3341D787" w14:textId="77777777" w:rsidR="007D4263" w:rsidRPr="009C7D07" w:rsidRDefault="007D4263" w:rsidP="001A160D">
            <w:pPr>
              <w:spacing w:before="120" w:line="480" w:lineRule="auto"/>
              <w:jc w:val="center"/>
              <w:rPr>
                <w:color w:val="000000" w:themeColor="text1"/>
                <w:lang w:val="en-US"/>
              </w:rPr>
            </w:pPr>
          </w:p>
        </w:tc>
        <w:tc>
          <w:tcPr>
            <w:tcW w:w="1671" w:type="dxa"/>
            <w:tcBorders>
              <w:top w:val="single" w:sz="4" w:space="0" w:color="auto"/>
              <w:left w:val="nil"/>
              <w:bottom w:val="single" w:sz="4" w:space="0" w:color="auto"/>
              <w:right w:val="nil"/>
            </w:tcBorders>
            <w:shd w:val="clear" w:color="auto" w:fill="auto"/>
            <w:noWrap/>
            <w:vAlign w:val="bottom"/>
          </w:tcPr>
          <w:p w14:paraId="7FF616B4" w14:textId="77777777" w:rsidR="007D4263" w:rsidRPr="009C7D07" w:rsidRDefault="007D4263" w:rsidP="001A160D">
            <w:pPr>
              <w:spacing w:before="120" w:line="480" w:lineRule="auto"/>
              <w:jc w:val="center"/>
              <w:rPr>
                <w:color w:val="000000" w:themeColor="text1"/>
                <w:lang w:val="en-US"/>
              </w:rPr>
            </w:pPr>
          </w:p>
        </w:tc>
        <w:tc>
          <w:tcPr>
            <w:tcW w:w="1722" w:type="dxa"/>
            <w:tcBorders>
              <w:top w:val="single" w:sz="4" w:space="0" w:color="auto"/>
              <w:left w:val="nil"/>
              <w:bottom w:val="single" w:sz="4" w:space="0" w:color="auto"/>
              <w:right w:val="nil"/>
            </w:tcBorders>
            <w:shd w:val="clear" w:color="auto" w:fill="auto"/>
            <w:noWrap/>
            <w:vAlign w:val="bottom"/>
          </w:tcPr>
          <w:p w14:paraId="1ED1EE3B" w14:textId="77777777" w:rsidR="007D4263" w:rsidRPr="009C7D07" w:rsidRDefault="007D4263" w:rsidP="001A160D">
            <w:pPr>
              <w:spacing w:before="120" w:line="480" w:lineRule="auto"/>
              <w:jc w:val="center"/>
              <w:rPr>
                <w:color w:val="000000" w:themeColor="text1"/>
                <w:lang w:val="en-US"/>
              </w:rPr>
            </w:pPr>
          </w:p>
        </w:tc>
        <w:tc>
          <w:tcPr>
            <w:tcW w:w="1786" w:type="dxa"/>
            <w:tcBorders>
              <w:top w:val="single" w:sz="4" w:space="0" w:color="auto"/>
              <w:left w:val="nil"/>
              <w:bottom w:val="single" w:sz="4" w:space="0" w:color="auto"/>
              <w:right w:val="nil"/>
            </w:tcBorders>
            <w:shd w:val="clear" w:color="auto" w:fill="auto"/>
            <w:noWrap/>
            <w:vAlign w:val="bottom"/>
          </w:tcPr>
          <w:p w14:paraId="76AD0434" w14:textId="77777777" w:rsidR="007D4263" w:rsidRPr="009C7D07" w:rsidRDefault="007D4263" w:rsidP="001A160D">
            <w:pPr>
              <w:spacing w:before="120" w:line="480" w:lineRule="auto"/>
              <w:jc w:val="center"/>
              <w:rPr>
                <w:color w:val="000000" w:themeColor="text1"/>
                <w:lang w:val="en-US"/>
              </w:rPr>
            </w:pPr>
          </w:p>
        </w:tc>
        <w:tc>
          <w:tcPr>
            <w:tcW w:w="2074" w:type="dxa"/>
            <w:tcBorders>
              <w:top w:val="single" w:sz="4" w:space="0" w:color="auto"/>
              <w:left w:val="nil"/>
              <w:bottom w:val="single" w:sz="4" w:space="0" w:color="auto"/>
              <w:right w:val="nil"/>
            </w:tcBorders>
            <w:vAlign w:val="bottom"/>
          </w:tcPr>
          <w:p w14:paraId="668736A0" w14:textId="77777777" w:rsidR="007D4263" w:rsidRPr="009C7D07" w:rsidRDefault="007D4263" w:rsidP="001A160D">
            <w:pPr>
              <w:spacing w:before="120" w:line="480" w:lineRule="auto"/>
              <w:jc w:val="center"/>
              <w:rPr>
                <w:color w:val="000000" w:themeColor="text1"/>
                <w:lang w:val="en-US"/>
              </w:rPr>
            </w:pPr>
          </w:p>
        </w:tc>
        <w:tc>
          <w:tcPr>
            <w:tcW w:w="1809" w:type="dxa"/>
            <w:tcBorders>
              <w:top w:val="single" w:sz="4" w:space="0" w:color="auto"/>
              <w:left w:val="nil"/>
              <w:bottom w:val="single" w:sz="4" w:space="0" w:color="auto"/>
              <w:right w:val="nil"/>
            </w:tcBorders>
            <w:shd w:val="clear" w:color="auto" w:fill="auto"/>
            <w:noWrap/>
            <w:vAlign w:val="bottom"/>
          </w:tcPr>
          <w:p w14:paraId="6C477C27" w14:textId="77777777" w:rsidR="007D4263" w:rsidRPr="009C7D07" w:rsidRDefault="007D4263" w:rsidP="001A160D">
            <w:pPr>
              <w:spacing w:before="120" w:line="480" w:lineRule="auto"/>
              <w:jc w:val="center"/>
              <w:rPr>
                <w:color w:val="000000" w:themeColor="text1"/>
                <w:lang w:val="en-US"/>
              </w:rPr>
            </w:pPr>
          </w:p>
        </w:tc>
      </w:tr>
      <w:tr w:rsidR="007D4263" w:rsidRPr="009C7D07" w14:paraId="796C9CC8" w14:textId="77777777" w:rsidTr="001A160D">
        <w:trPr>
          <w:trHeight w:val="245"/>
        </w:trPr>
        <w:tc>
          <w:tcPr>
            <w:tcW w:w="2120" w:type="dxa"/>
            <w:tcBorders>
              <w:top w:val="single" w:sz="4" w:space="0" w:color="auto"/>
              <w:left w:val="nil"/>
              <w:bottom w:val="nil"/>
              <w:right w:val="nil"/>
            </w:tcBorders>
            <w:shd w:val="clear" w:color="auto" w:fill="auto"/>
            <w:noWrap/>
            <w:vAlign w:val="bottom"/>
          </w:tcPr>
          <w:p w14:paraId="08C1A417"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Control</w:t>
            </w:r>
          </w:p>
        </w:tc>
        <w:tc>
          <w:tcPr>
            <w:tcW w:w="1717" w:type="dxa"/>
            <w:tcBorders>
              <w:top w:val="single" w:sz="4" w:space="0" w:color="auto"/>
              <w:left w:val="nil"/>
              <w:bottom w:val="nil"/>
              <w:right w:val="nil"/>
            </w:tcBorders>
            <w:shd w:val="clear" w:color="auto" w:fill="auto"/>
            <w:noWrap/>
            <w:vAlign w:val="bottom"/>
          </w:tcPr>
          <w:p w14:paraId="07C0C8BF"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59.7 </w:t>
            </w:r>
            <w:r w:rsidRPr="009C7D07">
              <w:rPr>
                <w:color w:val="000000" w:themeColor="text1"/>
                <w:u w:val="single"/>
                <w:lang w:val="en-US"/>
              </w:rPr>
              <w:t>+</w:t>
            </w:r>
            <w:r w:rsidRPr="009C7D07">
              <w:rPr>
                <w:color w:val="000000" w:themeColor="text1"/>
                <w:lang w:val="en-US"/>
              </w:rPr>
              <w:t xml:space="preserve"> 5.6</w:t>
            </w:r>
          </w:p>
        </w:tc>
        <w:tc>
          <w:tcPr>
            <w:tcW w:w="1671" w:type="dxa"/>
            <w:tcBorders>
              <w:top w:val="single" w:sz="4" w:space="0" w:color="auto"/>
              <w:left w:val="nil"/>
              <w:bottom w:val="nil"/>
              <w:right w:val="nil"/>
            </w:tcBorders>
            <w:shd w:val="clear" w:color="auto" w:fill="auto"/>
            <w:noWrap/>
            <w:vAlign w:val="bottom"/>
          </w:tcPr>
          <w:p w14:paraId="09E1F852"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382 </w:t>
            </w:r>
            <w:r w:rsidRPr="009C7D07">
              <w:rPr>
                <w:color w:val="000000" w:themeColor="text1"/>
                <w:u w:val="single"/>
                <w:lang w:val="en-US"/>
              </w:rPr>
              <w:t>+</w:t>
            </w:r>
            <w:r w:rsidRPr="009C7D07">
              <w:rPr>
                <w:color w:val="000000" w:themeColor="text1"/>
                <w:lang w:val="en-US"/>
              </w:rPr>
              <w:t xml:space="preserve"> 43</w:t>
            </w:r>
          </w:p>
        </w:tc>
        <w:tc>
          <w:tcPr>
            <w:tcW w:w="1722" w:type="dxa"/>
            <w:tcBorders>
              <w:top w:val="single" w:sz="4" w:space="0" w:color="auto"/>
              <w:left w:val="nil"/>
              <w:bottom w:val="nil"/>
              <w:right w:val="nil"/>
            </w:tcBorders>
            <w:shd w:val="clear" w:color="auto" w:fill="auto"/>
            <w:noWrap/>
            <w:vAlign w:val="bottom"/>
          </w:tcPr>
          <w:p w14:paraId="3D00065B"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6.4 </w:t>
            </w:r>
            <w:r w:rsidRPr="009C7D07">
              <w:rPr>
                <w:color w:val="000000" w:themeColor="text1"/>
                <w:u w:val="single"/>
                <w:lang w:val="en-US"/>
              </w:rPr>
              <w:t>+</w:t>
            </w:r>
            <w:r w:rsidRPr="009C7D07">
              <w:rPr>
                <w:color w:val="000000" w:themeColor="text1"/>
                <w:lang w:val="en-US"/>
              </w:rPr>
              <w:t xml:space="preserve"> 0.5</w:t>
            </w:r>
          </w:p>
        </w:tc>
        <w:tc>
          <w:tcPr>
            <w:tcW w:w="1786" w:type="dxa"/>
            <w:tcBorders>
              <w:top w:val="single" w:sz="4" w:space="0" w:color="auto"/>
              <w:left w:val="nil"/>
              <w:bottom w:val="nil"/>
              <w:right w:val="nil"/>
            </w:tcBorders>
            <w:shd w:val="clear" w:color="auto" w:fill="auto"/>
            <w:noWrap/>
            <w:vAlign w:val="bottom"/>
          </w:tcPr>
          <w:p w14:paraId="45009D1C"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54.0 </w:t>
            </w:r>
            <w:r w:rsidRPr="009C7D07">
              <w:rPr>
                <w:color w:val="000000" w:themeColor="text1"/>
                <w:u w:val="single"/>
                <w:lang w:val="en-US"/>
              </w:rPr>
              <w:t>+</w:t>
            </w:r>
            <w:r w:rsidRPr="009C7D07">
              <w:rPr>
                <w:color w:val="000000" w:themeColor="text1"/>
                <w:lang w:val="en-US"/>
              </w:rPr>
              <w:t xml:space="preserve"> 1.3</w:t>
            </w:r>
          </w:p>
        </w:tc>
        <w:tc>
          <w:tcPr>
            <w:tcW w:w="2074" w:type="dxa"/>
            <w:tcBorders>
              <w:top w:val="single" w:sz="4" w:space="0" w:color="auto"/>
              <w:left w:val="nil"/>
              <w:bottom w:val="nil"/>
              <w:right w:val="nil"/>
            </w:tcBorders>
            <w:vAlign w:val="bottom"/>
          </w:tcPr>
          <w:p w14:paraId="43982306"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36.3 </w:t>
            </w:r>
            <w:r w:rsidRPr="009C7D07">
              <w:rPr>
                <w:color w:val="000000" w:themeColor="text1"/>
                <w:u w:val="single"/>
                <w:lang w:val="en-US"/>
              </w:rPr>
              <w:t>+</w:t>
            </w:r>
            <w:r w:rsidRPr="009C7D07">
              <w:rPr>
                <w:color w:val="000000" w:themeColor="text1"/>
                <w:lang w:val="en-US"/>
              </w:rPr>
              <w:t xml:space="preserve"> 0.8</w:t>
            </w:r>
          </w:p>
        </w:tc>
        <w:tc>
          <w:tcPr>
            <w:tcW w:w="1809" w:type="dxa"/>
            <w:tcBorders>
              <w:top w:val="single" w:sz="4" w:space="0" w:color="auto"/>
              <w:left w:val="nil"/>
              <w:bottom w:val="nil"/>
              <w:right w:val="nil"/>
            </w:tcBorders>
            <w:shd w:val="clear" w:color="auto" w:fill="auto"/>
            <w:noWrap/>
            <w:vAlign w:val="bottom"/>
          </w:tcPr>
          <w:p w14:paraId="3E846D94"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17.7 </w:t>
            </w:r>
            <w:r w:rsidRPr="009C7D07">
              <w:rPr>
                <w:color w:val="000000" w:themeColor="text1"/>
                <w:u w:val="single"/>
                <w:lang w:val="en-US"/>
              </w:rPr>
              <w:t>+</w:t>
            </w:r>
            <w:r w:rsidRPr="009C7D07">
              <w:rPr>
                <w:color w:val="000000" w:themeColor="text1"/>
                <w:lang w:val="en-US"/>
              </w:rPr>
              <w:t xml:space="preserve"> 0.6</w:t>
            </w:r>
          </w:p>
        </w:tc>
      </w:tr>
      <w:tr w:rsidR="007D4263" w:rsidRPr="009C7D07" w14:paraId="2E54865F" w14:textId="77777777" w:rsidTr="001A160D">
        <w:trPr>
          <w:trHeight w:val="245"/>
        </w:trPr>
        <w:tc>
          <w:tcPr>
            <w:tcW w:w="2120" w:type="dxa"/>
            <w:tcBorders>
              <w:top w:val="nil"/>
              <w:left w:val="nil"/>
              <w:bottom w:val="nil"/>
              <w:right w:val="nil"/>
            </w:tcBorders>
            <w:shd w:val="clear" w:color="auto" w:fill="auto"/>
            <w:noWrap/>
            <w:vAlign w:val="bottom"/>
          </w:tcPr>
          <w:p w14:paraId="56C79293"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Ethanol</w:t>
            </w:r>
          </w:p>
        </w:tc>
        <w:tc>
          <w:tcPr>
            <w:tcW w:w="1717" w:type="dxa"/>
            <w:tcBorders>
              <w:top w:val="nil"/>
              <w:left w:val="nil"/>
              <w:bottom w:val="nil"/>
              <w:right w:val="nil"/>
            </w:tcBorders>
            <w:shd w:val="clear" w:color="auto" w:fill="auto"/>
            <w:noWrap/>
            <w:vAlign w:val="bottom"/>
          </w:tcPr>
          <w:p w14:paraId="414EFD39"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119 </w:t>
            </w:r>
            <w:r w:rsidRPr="009C7D07">
              <w:rPr>
                <w:color w:val="000000" w:themeColor="text1"/>
                <w:u w:val="single"/>
                <w:lang w:val="en-US"/>
              </w:rPr>
              <w:t>+</w:t>
            </w:r>
            <w:r w:rsidRPr="009C7D07">
              <w:rPr>
                <w:color w:val="000000" w:themeColor="text1"/>
                <w:lang w:val="en-US"/>
              </w:rPr>
              <w:t xml:space="preserve"> 15*</w:t>
            </w:r>
          </w:p>
        </w:tc>
        <w:tc>
          <w:tcPr>
            <w:tcW w:w="1671" w:type="dxa"/>
            <w:tcBorders>
              <w:top w:val="nil"/>
              <w:left w:val="nil"/>
              <w:bottom w:val="nil"/>
              <w:right w:val="nil"/>
            </w:tcBorders>
            <w:shd w:val="clear" w:color="auto" w:fill="auto"/>
            <w:noWrap/>
            <w:vAlign w:val="bottom"/>
          </w:tcPr>
          <w:p w14:paraId="0E555C29"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423 </w:t>
            </w:r>
            <w:r w:rsidRPr="009C7D07">
              <w:rPr>
                <w:color w:val="000000" w:themeColor="text1"/>
                <w:u w:val="single"/>
                <w:lang w:val="en-US"/>
              </w:rPr>
              <w:t>+</w:t>
            </w:r>
            <w:r w:rsidRPr="009C7D07">
              <w:rPr>
                <w:color w:val="000000" w:themeColor="text1"/>
                <w:lang w:val="en-US"/>
              </w:rPr>
              <w:t xml:space="preserve"> 34</w:t>
            </w:r>
          </w:p>
        </w:tc>
        <w:tc>
          <w:tcPr>
            <w:tcW w:w="1722" w:type="dxa"/>
            <w:tcBorders>
              <w:top w:val="nil"/>
              <w:left w:val="nil"/>
              <w:bottom w:val="nil"/>
              <w:right w:val="nil"/>
            </w:tcBorders>
            <w:shd w:val="clear" w:color="auto" w:fill="auto"/>
            <w:noWrap/>
            <w:vAlign w:val="bottom"/>
          </w:tcPr>
          <w:p w14:paraId="7BBD4C4F"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3.8 </w:t>
            </w:r>
            <w:r w:rsidRPr="009C7D07">
              <w:rPr>
                <w:color w:val="000000" w:themeColor="text1"/>
                <w:u w:val="single"/>
                <w:lang w:val="en-US"/>
              </w:rPr>
              <w:t>+</w:t>
            </w:r>
            <w:r w:rsidRPr="009C7D07">
              <w:rPr>
                <w:color w:val="000000" w:themeColor="text1"/>
                <w:lang w:val="en-US"/>
              </w:rPr>
              <w:t xml:space="preserve"> 0.2***</w:t>
            </w:r>
          </w:p>
        </w:tc>
        <w:tc>
          <w:tcPr>
            <w:tcW w:w="1786" w:type="dxa"/>
            <w:tcBorders>
              <w:top w:val="nil"/>
              <w:left w:val="nil"/>
              <w:bottom w:val="nil"/>
              <w:right w:val="nil"/>
            </w:tcBorders>
            <w:shd w:val="clear" w:color="auto" w:fill="auto"/>
            <w:noWrap/>
            <w:vAlign w:val="bottom"/>
          </w:tcPr>
          <w:p w14:paraId="2825747A"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46.5 </w:t>
            </w:r>
            <w:r w:rsidRPr="009C7D07">
              <w:rPr>
                <w:color w:val="000000" w:themeColor="text1"/>
                <w:u w:val="single"/>
                <w:lang w:val="en-US"/>
              </w:rPr>
              <w:t>+</w:t>
            </w:r>
            <w:r w:rsidRPr="009C7D07">
              <w:rPr>
                <w:color w:val="000000" w:themeColor="text1"/>
                <w:lang w:val="en-US"/>
              </w:rPr>
              <w:t xml:space="preserve"> 1.4**</w:t>
            </w:r>
          </w:p>
        </w:tc>
        <w:tc>
          <w:tcPr>
            <w:tcW w:w="2074" w:type="dxa"/>
            <w:tcBorders>
              <w:top w:val="nil"/>
              <w:left w:val="nil"/>
              <w:bottom w:val="nil"/>
              <w:right w:val="nil"/>
            </w:tcBorders>
            <w:vAlign w:val="bottom"/>
          </w:tcPr>
          <w:p w14:paraId="3FF236E0"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29.6 </w:t>
            </w:r>
            <w:r w:rsidRPr="009C7D07">
              <w:rPr>
                <w:color w:val="000000" w:themeColor="text1"/>
                <w:u w:val="single"/>
                <w:lang w:val="en-US"/>
              </w:rPr>
              <w:t>+</w:t>
            </w:r>
            <w:r w:rsidRPr="009C7D07">
              <w:rPr>
                <w:color w:val="000000" w:themeColor="text1"/>
                <w:lang w:val="en-US"/>
              </w:rPr>
              <w:t xml:space="preserve"> 0.9***</w:t>
            </w:r>
          </w:p>
        </w:tc>
        <w:tc>
          <w:tcPr>
            <w:tcW w:w="1809" w:type="dxa"/>
            <w:tcBorders>
              <w:top w:val="nil"/>
              <w:left w:val="nil"/>
              <w:bottom w:val="nil"/>
              <w:right w:val="nil"/>
            </w:tcBorders>
            <w:shd w:val="clear" w:color="auto" w:fill="auto"/>
            <w:noWrap/>
            <w:vAlign w:val="bottom"/>
          </w:tcPr>
          <w:p w14:paraId="4A2FFEF3"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16.9 </w:t>
            </w:r>
            <w:r w:rsidRPr="009C7D07">
              <w:rPr>
                <w:color w:val="000000" w:themeColor="text1"/>
                <w:u w:val="single"/>
                <w:lang w:val="en-US"/>
              </w:rPr>
              <w:t>+</w:t>
            </w:r>
            <w:r w:rsidRPr="009C7D07">
              <w:rPr>
                <w:color w:val="000000" w:themeColor="text1"/>
                <w:lang w:val="en-US"/>
              </w:rPr>
              <w:t xml:space="preserve"> 0.7</w:t>
            </w:r>
          </w:p>
        </w:tc>
      </w:tr>
      <w:tr w:rsidR="007D4263" w:rsidRPr="009C7D07" w14:paraId="126E524F" w14:textId="77777777" w:rsidTr="001A160D">
        <w:trPr>
          <w:trHeight w:val="245"/>
        </w:trPr>
        <w:tc>
          <w:tcPr>
            <w:tcW w:w="2120" w:type="dxa"/>
            <w:tcBorders>
              <w:top w:val="nil"/>
              <w:left w:val="nil"/>
              <w:right w:val="nil"/>
            </w:tcBorders>
            <w:shd w:val="clear" w:color="auto" w:fill="auto"/>
            <w:noWrap/>
            <w:vAlign w:val="bottom"/>
          </w:tcPr>
          <w:p w14:paraId="7BB3B909"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Betaine</w:t>
            </w:r>
          </w:p>
        </w:tc>
        <w:tc>
          <w:tcPr>
            <w:tcW w:w="1717" w:type="dxa"/>
            <w:tcBorders>
              <w:top w:val="nil"/>
              <w:left w:val="nil"/>
              <w:right w:val="nil"/>
            </w:tcBorders>
            <w:shd w:val="clear" w:color="auto" w:fill="auto"/>
            <w:noWrap/>
            <w:vAlign w:val="bottom"/>
          </w:tcPr>
          <w:p w14:paraId="38CE75E5"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51.8 </w:t>
            </w:r>
            <w:r w:rsidRPr="009C7D07">
              <w:rPr>
                <w:color w:val="000000" w:themeColor="text1"/>
                <w:u w:val="single"/>
                <w:lang w:val="en-US"/>
              </w:rPr>
              <w:t>+</w:t>
            </w:r>
            <w:r w:rsidRPr="009C7D07">
              <w:rPr>
                <w:color w:val="000000" w:themeColor="text1"/>
                <w:lang w:val="en-US"/>
              </w:rPr>
              <w:t xml:space="preserve"> 2.3</w:t>
            </w:r>
          </w:p>
        </w:tc>
        <w:tc>
          <w:tcPr>
            <w:tcW w:w="1671" w:type="dxa"/>
            <w:tcBorders>
              <w:top w:val="nil"/>
              <w:left w:val="nil"/>
              <w:right w:val="nil"/>
            </w:tcBorders>
            <w:shd w:val="clear" w:color="auto" w:fill="auto"/>
            <w:noWrap/>
            <w:vAlign w:val="bottom"/>
          </w:tcPr>
          <w:p w14:paraId="638DB41F"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313 </w:t>
            </w:r>
            <w:r w:rsidRPr="009C7D07">
              <w:rPr>
                <w:color w:val="000000" w:themeColor="text1"/>
                <w:u w:val="single"/>
                <w:lang w:val="en-US"/>
              </w:rPr>
              <w:t>+</w:t>
            </w:r>
            <w:r w:rsidRPr="009C7D07">
              <w:rPr>
                <w:color w:val="000000" w:themeColor="text1"/>
                <w:lang w:val="en-US"/>
              </w:rPr>
              <w:t xml:space="preserve"> 26</w:t>
            </w:r>
          </w:p>
        </w:tc>
        <w:tc>
          <w:tcPr>
            <w:tcW w:w="1722" w:type="dxa"/>
            <w:tcBorders>
              <w:top w:val="nil"/>
              <w:left w:val="nil"/>
              <w:right w:val="nil"/>
            </w:tcBorders>
            <w:shd w:val="clear" w:color="auto" w:fill="auto"/>
            <w:noWrap/>
            <w:vAlign w:val="bottom"/>
          </w:tcPr>
          <w:p w14:paraId="4E43F29C"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6.0 </w:t>
            </w:r>
            <w:r w:rsidRPr="009C7D07">
              <w:rPr>
                <w:color w:val="000000" w:themeColor="text1"/>
                <w:u w:val="single"/>
                <w:lang w:val="en-US"/>
              </w:rPr>
              <w:t>+</w:t>
            </w:r>
            <w:r w:rsidRPr="009C7D07">
              <w:rPr>
                <w:color w:val="000000" w:themeColor="text1"/>
                <w:lang w:val="en-US"/>
              </w:rPr>
              <w:t xml:space="preserve"> 0.3</w:t>
            </w:r>
          </w:p>
        </w:tc>
        <w:tc>
          <w:tcPr>
            <w:tcW w:w="1786" w:type="dxa"/>
            <w:tcBorders>
              <w:top w:val="nil"/>
              <w:left w:val="nil"/>
              <w:right w:val="nil"/>
            </w:tcBorders>
            <w:shd w:val="clear" w:color="auto" w:fill="auto"/>
            <w:noWrap/>
            <w:vAlign w:val="bottom"/>
          </w:tcPr>
          <w:p w14:paraId="1FBF3359"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52.3 </w:t>
            </w:r>
            <w:r w:rsidRPr="009C7D07">
              <w:rPr>
                <w:color w:val="000000" w:themeColor="text1"/>
                <w:u w:val="single"/>
                <w:lang w:val="en-US"/>
              </w:rPr>
              <w:t>+</w:t>
            </w:r>
            <w:r w:rsidRPr="009C7D07">
              <w:rPr>
                <w:color w:val="000000" w:themeColor="text1"/>
                <w:lang w:val="en-US"/>
              </w:rPr>
              <w:t xml:space="preserve"> 0.9</w:t>
            </w:r>
          </w:p>
        </w:tc>
        <w:tc>
          <w:tcPr>
            <w:tcW w:w="2074" w:type="dxa"/>
            <w:tcBorders>
              <w:top w:val="nil"/>
              <w:left w:val="nil"/>
              <w:right w:val="nil"/>
            </w:tcBorders>
            <w:vAlign w:val="bottom"/>
          </w:tcPr>
          <w:p w14:paraId="0521ADA9"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35.0 </w:t>
            </w:r>
            <w:r w:rsidRPr="009C7D07">
              <w:rPr>
                <w:color w:val="000000" w:themeColor="text1"/>
                <w:u w:val="single"/>
                <w:lang w:val="en-US"/>
              </w:rPr>
              <w:t>+</w:t>
            </w:r>
            <w:r w:rsidRPr="009C7D07">
              <w:rPr>
                <w:color w:val="000000" w:themeColor="text1"/>
                <w:lang w:val="en-US"/>
              </w:rPr>
              <w:t xml:space="preserve"> 0.7</w:t>
            </w:r>
          </w:p>
        </w:tc>
        <w:tc>
          <w:tcPr>
            <w:tcW w:w="1809" w:type="dxa"/>
            <w:tcBorders>
              <w:top w:val="nil"/>
              <w:left w:val="nil"/>
              <w:right w:val="nil"/>
            </w:tcBorders>
            <w:shd w:val="clear" w:color="auto" w:fill="auto"/>
            <w:noWrap/>
            <w:vAlign w:val="bottom"/>
          </w:tcPr>
          <w:p w14:paraId="780FD514"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17.3 </w:t>
            </w:r>
            <w:r w:rsidRPr="009C7D07">
              <w:rPr>
                <w:color w:val="000000" w:themeColor="text1"/>
                <w:u w:val="single"/>
                <w:lang w:val="en-US"/>
              </w:rPr>
              <w:t>+</w:t>
            </w:r>
            <w:r w:rsidRPr="009C7D07">
              <w:rPr>
                <w:color w:val="000000" w:themeColor="text1"/>
                <w:lang w:val="en-US"/>
              </w:rPr>
              <w:t xml:space="preserve"> 0.3</w:t>
            </w:r>
          </w:p>
        </w:tc>
      </w:tr>
      <w:tr w:rsidR="007D4263" w:rsidRPr="009C7D07" w14:paraId="521C61F3" w14:textId="77777777" w:rsidTr="001A160D">
        <w:trPr>
          <w:trHeight w:val="245"/>
        </w:trPr>
        <w:tc>
          <w:tcPr>
            <w:tcW w:w="2120" w:type="dxa"/>
            <w:tcBorders>
              <w:top w:val="nil"/>
              <w:left w:val="nil"/>
              <w:bottom w:val="single" w:sz="4" w:space="0" w:color="auto"/>
              <w:right w:val="nil"/>
            </w:tcBorders>
            <w:shd w:val="clear" w:color="auto" w:fill="auto"/>
            <w:noWrap/>
            <w:vAlign w:val="bottom"/>
          </w:tcPr>
          <w:p w14:paraId="2D5865DC"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Betaine/Ethanol</w:t>
            </w:r>
          </w:p>
        </w:tc>
        <w:tc>
          <w:tcPr>
            <w:tcW w:w="1717" w:type="dxa"/>
            <w:tcBorders>
              <w:top w:val="nil"/>
              <w:left w:val="nil"/>
              <w:bottom w:val="single" w:sz="4" w:space="0" w:color="auto"/>
              <w:right w:val="nil"/>
            </w:tcBorders>
            <w:shd w:val="clear" w:color="auto" w:fill="auto"/>
            <w:noWrap/>
            <w:vAlign w:val="bottom"/>
          </w:tcPr>
          <w:p w14:paraId="33487580"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135 </w:t>
            </w:r>
            <w:r w:rsidRPr="009C7D07">
              <w:rPr>
                <w:color w:val="000000" w:themeColor="text1"/>
                <w:u w:val="single"/>
                <w:lang w:val="en-US"/>
              </w:rPr>
              <w:t>+</w:t>
            </w:r>
            <w:r w:rsidRPr="009C7D07">
              <w:rPr>
                <w:color w:val="000000" w:themeColor="text1"/>
                <w:lang w:val="en-US"/>
              </w:rPr>
              <w:t xml:space="preserve"> 4.2***</w:t>
            </w:r>
          </w:p>
        </w:tc>
        <w:tc>
          <w:tcPr>
            <w:tcW w:w="1671" w:type="dxa"/>
            <w:tcBorders>
              <w:top w:val="nil"/>
              <w:left w:val="nil"/>
              <w:bottom w:val="single" w:sz="4" w:space="0" w:color="auto"/>
              <w:right w:val="nil"/>
            </w:tcBorders>
            <w:shd w:val="clear" w:color="auto" w:fill="auto"/>
            <w:noWrap/>
            <w:vAlign w:val="bottom"/>
          </w:tcPr>
          <w:p w14:paraId="7DD07B66"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569 </w:t>
            </w:r>
            <w:r w:rsidRPr="009C7D07">
              <w:rPr>
                <w:color w:val="000000" w:themeColor="text1"/>
                <w:u w:val="single"/>
                <w:lang w:val="en-US"/>
              </w:rPr>
              <w:t>+</w:t>
            </w:r>
            <w:r w:rsidRPr="009C7D07">
              <w:rPr>
                <w:color w:val="000000" w:themeColor="text1"/>
                <w:lang w:val="en-US"/>
              </w:rPr>
              <w:t xml:space="preserve"> 37*</w:t>
            </w:r>
          </w:p>
        </w:tc>
        <w:tc>
          <w:tcPr>
            <w:tcW w:w="1722" w:type="dxa"/>
            <w:tcBorders>
              <w:top w:val="nil"/>
              <w:left w:val="nil"/>
              <w:bottom w:val="single" w:sz="4" w:space="0" w:color="auto"/>
              <w:right w:val="nil"/>
            </w:tcBorders>
            <w:shd w:val="clear" w:color="auto" w:fill="auto"/>
            <w:noWrap/>
            <w:vAlign w:val="bottom"/>
          </w:tcPr>
          <w:p w14:paraId="421AF855"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4.1 </w:t>
            </w:r>
            <w:r w:rsidRPr="009C7D07">
              <w:rPr>
                <w:color w:val="000000" w:themeColor="text1"/>
                <w:u w:val="single"/>
                <w:lang w:val="en-US"/>
              </w:rPr>
              <w:t>+</w:t>
            </w:r>
            <w:r w:rsidRPr="009C7D07">
              <w:rPr>
                <w:color w:val="000000" w:themeColor="text1"/>
                <w:lang w:val="en-US"/>
              </w:rPr>
              <w:t xml:space="preserve"> 0.2***</w:t>
            </w:r>
          </w:p>
        </w:tc>
        <w:tc>
          <w:tcPr>
            <w:tcW w:w="1786" w:type="dxa"/>
            <w:tcBorders>
              <w:top w:val="nil"/>
              <w:left w:val="nil"/>
              <w:bottom w:val="single" w:sz="4" w:space="0" w:color="auto"/>
              <w:right w:val="nil"/>
            </w:tcBorders>
            <w:shd w:val="clear" w:color="auto" w:fill="auto"/>
            <w:noWrap/>
            <w:vAlign w:val="bottom"/>
          </w:tcPr>
          <w:p w14:paraId="1FB5AD85"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52.3 </w:t>
            </w:r>
            <w:r w:rsidRPr="009C7D07">
              <w:rPr>
                <w:color w:val="000000" w:themeColor="text1"/>
                <w:u w:val="single"/>
                <w:lang w:val="en-US"/>
              </w:rPr>
              <w:t>+</w:t>
            </w:r>
            <w:r w:rsidRPr="009C7D07">
              <w:rPr>
                <w:color w:val="000000" w:themeColor="text1"/>
                <w:lang w:val="en-US"/>
              </w:rPr>
              <w:t xml:space="preserve"> 1.8</w:t>
            </w:r>
          </w:p>
        </w:tc>
        <w:tc>
          <w:tcPr>
            <w:tcW w:w="2074" w:type="dxa"/>
            <w:tcBorders>
              <w:top w:val="nil"/>
              <w:left w:val="nil"/>
              <w:bottom w:val="single" w:sz="4" w:space="0" w:color="auto"/>
              <w:right w:val="nil"/>
            </w:tcBorders>
            <w:vAlign w:val="bottom"/>
          </w:tcPr>
          <w:p w14:paraId="17CE9C96"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33.7 </w:t>
            </w:r>
            <w:r w:rsidRPr="009C7D07">
              <w:rPr>
                <w:color w:val="000000" w:themeColor="text1"/>
                <w:u w:val="single"/>
                <w:lang w:val="en-US"/>
              </w:rPr>
              <w:t>+</w:t>
            </w:r>
            <w:r w:rsidRPr="009C7D07">
              <w:rPr>
                <w:color w:val="000000" w:themeColor="text1"/>
                <w:lang w:val="en-US"/>
              </w:rPr>
              <w:t xml:space="preserve"> 0.9</w:t>
            </w:r>
          </w:p>
        </w:tc>
        <w:tc>
          <w:tcPr>
            <w:tcW w:w="1809" w:type="dxa"/>
            <w:tcBorders>
              <w:top w:val="nil"/>
              <w:left w:val="nil"/>
              <w:bottom w:val="single" w:sz="4" w:space="0" w:color="auto"/>
              <w:right w:val="nil"/>
            </w:tcBorders>
            <w:shd w:val="clear" w:color="auto" w:fill="auto"/>
            <w:noWrap/>
            <w:vAlign w:val="bottom"/>
          </w:tcPr>
          <w:p w14:paraId="6C59F517" w14:textId="77777777" w:rsidR="007D4263" w:rsidRPr="009C7D07" w:rsidRDefault="007D4263" w:rsidP="001A160D">
            <w:pPr>
              <w:spacing w:before="120" w:line="480" w:lineRule="auto"/>
              <w:jc w:val="center"/>
              <w:rPr>
                <w:color w:val="000000" w:themeColor="text1"/>
                <w:lang w:val="en-US"/>
              </w:rPr>
            </w:pPr>
            <w:r w:rsidRPr="009C7D07">
              <w:rPr>
                <w:color w:val="000000" w:themeColor="text1"/>
                <w:lang w:val="en-US"/>
              </w:rPr>
              <w:t xml:space="preserve">18.6 </w:t>
            </w:r>
            <w:r w:rsidRPr="009C7D07">
              <w:rPr>
                <w:color w:val="000000" w:themeColor="text1"/>
                <w:u w:val="single"/>
                <w:lang w:val="en-US"/>
              </w:rPr>
              <w:t>+</w:t>
            </w:r>
            <w:r w:rsidRPr="009C7D07">
              <w:rPr>
                <w:color w:val="000000" w:themeColor="text1"/>
                <w:lang w:val="en-US"/>
              </w:rPr>
              <w:t xml:space="preserve"> 0.9</w:t>
            </w:r>
          </w:p>
        </w:tc>
      </w:tr>
    </w:tbl>
    <w:p w14:paraId="7D16BD03" w14:textId="77777777" w:rsidR="003C1A80" w:rsidRPr="009C7D07" w:rsidRDefault="003C1A80" w:rsidP="003C1A80">
      <w:pPr>
        <w:spacing w:line="480" w:lineRule="auto"/>
        <w:jc w:val="both"/>
        <w:rPr>
          <w:color w:val="000000" w:themeColor="text1"/>
          <w:lang w:val="en-US"/>
        </w:rPr>
      </w:pPr>
      <w:r w:rsidRPr="009C7D07">
        <w:rPr>
          <w:b/>
          <w:color w:val="000000" w:themeColor="text1"/>
          <w:lang w:val="en-US"/>
        </w:rPr>
        <w:t>Table 2. The effect of ethanol and betaine on liver function.</w:t>
      </w:r>
      <w:r w:rsidRPr="009C7D07">
        <w:rPr>
          <w:color w:val="000000" w:themeColor="text1"/>
          <w:lang w:val="en-US"/>
        </w:rPr>
        <w:t xml:space="preserve"> </w:t>
      </w:r>
    </w:p>
    <w:p w14:paraId="76B42B0C" w14:textId="3EC9C6E3" w:rsidR="0085737D" w:rsidRPr="00AA58B7" w:rsidRDefault="003C1A80" w:rsidP="00796965">
      <w:pPr>
        <w:spacing w:line="480" w:lineRule="auto"/>
        <w:jc w:val="both"/>
        <w:rPr>
          <w:color w:val="000000" w:themeColor="text1"/>
          <w:lang w:val="en-US"/>
        </w:rPr>
        <w:sectPr w:rsidR="0085737D" w:rsidRPr="00AA58B7" w:rsidSect="0085737D">
          <w:pgSz w:w="15840" w:h="12240" w:orient="landscape" w:code="1"/>
          <w:pgMar w:top="1440" w:right="1440" w:bottom="1440" w:left="1440" w:header="709" w:footer="709" w:gutter="0"/>
          <w:cols w:space="708"/>
          <w:docGrid w:linePitch="360"/>
        </w:sectPr>
      </w:pPr>
      <w:r w:rsidRPr="009C7D07">
        <w:rPr>
          <w:color w:val="000000" w:themeColor="text1"/>
          <w:lang w:val="en-US"/>
        </w:rPr>
        <w:t xml:space="preserve">The betaine supplemented experimental animals were given drinking water containing 2% betaine (w/v) for 6 days.  Saline (0.15 mol/L NaCl) or ethanol (75 mmol/ kg bodyweight) was administered </w:t>
      </w:r>
      <w:proofErr w:type="spellStart"/>
      <w:r w:rsidRPr="009C7D07">
        <w:rPr>
          <w:color w:val="000000" w:themeColor="text1"/>
          <w:lang w:val="en-US"/>
        </w:rPr>
        <w:t>i.p.</w:t>
      </w:r>
      <w:proofErr w:type="spellEnd"/>
      <w:r w:rsidRPr="009C7D07">
        <w:rPr>
          <w:color w:val="000000" w:themeColor="text1"/>
          <w:lang w:val="en-US"/>
        </w:rPr>
        <w:t xml:space="preserve"> on day 7, and 24 hours later the animals were sacrificed. Serum was </w:t>
      </w:r>
      <w:proofErr w:type="spellStart"/>
      <w:r w:rsidRPr="009C7D07">
        <w:rPr>
          <w:color w:val="000000" w:themeColor="text1"/>
          <w:lang w:val="en-US"/>
        </w:rPr>
        <w:t>analysed</w:t>
      </w:r>
      <w:proofErr w:type="spellEnd"/>
      <w:r w:rsidRPr="009C7D07">
        <w:rPr>
          <w:color w:val="000000" w:themeColor="text1"/>
          <w:lang w:val="en-US"/>
        </w:rPr>
        <w:t xml:space="preserve"> by standard biochemistry tests. ALT – </w:t>
      </w:r>
      <w:r w:rsidRPr="009C7D07">
        <w:rPr>
          <w:i/>
          <w:color w:val="000000" w:themeColor="text1"/>
          <w:lang w:val="en-US"/>
        </w:rPr>
        <w:t xml:space="preserve">alanine aminotransferase; </w:t>
      </w:r>
      <w:r w:rsidRPr="009C7D07">
        <w:rPr>
          <w:color w:val="000000" w:themeColor="text1"/>
          <w:lang w:val="en-US"/>
        </w:rPr>
        <w:t xml:space="preserve">AST – </w:t>
      </w:r>
      <w:r w:rsidRPr="009C7D07">
        <w:rPr>
          <w:i/>
          <w:color w:val="000000" w:themeColor="text1"/>
          <w:lang w:val="en-US"/>
        </w:rPr>
        <w:t>aspartate aminotransferase.</w:t>
      </w:r>
      <w:r w:rsidRPr="009C7D07">
        <w:rPr>
          <w:color w:val="000000" w:themeColor="text1"/>
          <w:lang w:val="en-US"/>
        </w:rPr>
        <w:t xml:space="preserve">  Values are mean </w:t>
      </w:r>
      <w:r w:rsidRPr="009C7D07">
        <w:rPr>
          <w:color w:val="000000" w:themeColor="text1"/>
          <w:u w:val="single"/>
          <w:lang w:val="en-US"/>
        </w:rPr>
        <w:t>+</w:t>
      </w:r>
      <w:r w:rsidRPr="009C7D07">
        <w:rPr>
          <w:color w:val="000000" w:themeColor="text1"/>
          <w:lang w:val="en-US"/>
        </w:rPr>
        <w:t xml:space="preserve"> SEM (n= 5-8). *</w:t>
      </w:r>
      <w:r w:rsidR="00C705CB" w:rsidRPr="009C7D07">
        <w:rPr>
          <w:i/>
          <w:iCs/>
          <w:color w:val="000000" w:themeColor="text1"/>
          <w:lang w:val="en-US"/>
        </w:rPr>
        <w:t xml:space="preserve"> p</w:t>
      </w:r>
      <w:r w:rsidR="00C705CB" w:rsidRPr="009C7D07">
        <w:rPr>
          <w:color w:val="000000" w:themeColor="text1"/>
          <w:lang w:val="en-US"/>
        </w:rPr>
        <w:t>&lt;</w:t>
      </w:r>
      <w:r w:rsidRPr="009C7D07">
        <w:rPr>
          <w:color w:val="000000" w:themeColor="text1"/>
          <w:lang w:val="en-US"/>
        </w:rPr>
        <w:t>0.05; **</w:t>
      </w:r>
      <w:r w:rsidR="00C705CB" w:rsidRPr="009C7D07">
        <w:rPr>
          <w:i/>
          <w:iCs/>
          <w:color w:val="000000" w:themeColor="text1"/>
          <w:lang w:val="en-US"/>
        </w:rPr>
        <w:t xml:space="preserve"> p</w:t>
      </w:r>
      <w:r w:rsidR="00C705CB" w:rsidRPr="009C7D07">
        <w:rPr>
          <w:color w:val="000000" w:themeColor="text1"/>
          <w:lang w:val="en-US"/>
        </w:rPr>
        <w:t>&lt;</w:t>
      </w:r>
      <w:r w:rsidRPr="009C7D07">
        <w:rPr>
          <w:color w:val="000000" w:themeColor="text1"/>
          <w:lang w:val="en-US"/>
        </w:rPr>
        <w:t>0.01; ***</w:t>
      </w:r>
      <w:r w:rsidR="00C705CB" w:rsidRPr="009C7D07">
        <w:rPr>
          <w:i/>
          <w:iCs/>
          <w:color w:val="000000" w:themeColor="text1"/>
          <w:lang w:val="en-US"/>
        </w:rPr>
        <w:t xml:space="preserve"> p</w:t>
      </w:r>
      <w:r w:rsidR="00C705CB" w:rsidRPr="009C7D07">
        <w:rPr>
          <w:color w:val="000000" w:themeColor="text1"/>
          <w:lang w:val="en-US"/>
        </w:rPr>
        <w:t>&lt;</w:t>
      </w:r>
      <w:r w:rsidRPr="009C7D07">
        <w:rPr>
          <w:color w:val="000000" w:themeColor="text1"/>
          <w:lang w:val="en-US"/>
        </w:rPr>
        <w:t>0.001 compared to relevant control values</w:t>
      </w:r>
      <w:r w:rsidR="00AA58B7">
        <w:rPr>
          <w:color w:val="000000" w:themeColor="text1"/>
          <w:lang w:val="en-US"/>
        </w:rPr>
        <w:t>.</w:t>
      </w:r>
    </w:p>
    <w:p w14:paraId="7F55CBD9" w14:textId="4F741C6F" w:rsidR="00AA58B7" w:rsidRDefault="00436768" w:rsidP="00796965">
      <w:pPr>
        <w:spacing w:line="480" w:lineRule="auto"/>
        <w:rPr>
          <w:b/>
          <w:color w:val="000000" w:themeColor="text1"/>
          <w:lang w:val="en-US"/>
        </w:rPr>
      </w:pPr>
      <w:r>
        <w:rPr>
          <w:b/>
          <w:noProof/>
          <w:color w:val="000000" w:themeColor="text1"/>
          <w:lang w:val="en-US"/>
        </w:rPr>
        <w:drawing>
          <wp:anchor distT="0" distB="0" distL="114300" distR="114300" simplePos="0" relativeHeight="251662336" behindDoc="0" locked="0" layoutInCell="1" allowOverlap="1" wp14:anchorId="34739FB3" wp14:editId="0010ACE4">
            <wp:simplePos x="0" y="0"/>
            <wp:positionH relativeFrom="margin">
              <wp:posOffset>485775</wp:posOffset>
            </wp:positionH>
            <wp:positionV relativeFrom="margin">
              <wp:posOffset>0</wp:posOffset>
            </wp:positionV>
            <wp:extent cx="4965065" cy="5429885"/>
            <wp:effectExtent l="0" t="0" r="0" b="0"/>
            <wp:wrapSquare wrapText="bothSides"/>
            <wp:docPr id="1" name="Picture 1" descr="A picture containing text, silhouett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lhouette,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5065" cy="5429885"/>
                    </a:xfrm>
                    <a:prstGeom prst="rect">
                      <a:avLst/>
                    </a:prstGeom>
                  </pic:spPr>
                </pic:pic>
              </a:graphicData>
            </a:graphic>
            <wp14:sizeRelH relativeFrom="page">
              <wp14:pctWidth>0</wp14:pctWidth>
            </wp14:sizeRelH>
            <wp14:sizeRelV relativeFrom="page">
              <wp14:pctHeight>0</wp14:pctHeight>
            </wp14:sizeRelV>
          </wp:anchor>
        </w:drawing>
      </w:r>
    </w:p>
    <w:p w14:paraId="0317F904" w14:textId="32404343" w:rsidR="00AA58B7" w:rsidRDefault="00AA58B7" w:rsidP="00796965">
      <w:pPr>
        <w:spacing w:line="480" w:lineRule="auto"/>
        <w:rPr>
          <w:b/>
          <w:color w:val="000000" w:themeColor="text1"/>
          <w:lang w:val="en-US"/>
        </w:rPr>
      </w:pPr>
    </w:p>
    <w:p w14:paraId="51B22517" w14:textId="70A96185" w:rsidR="00AA58B7" w:rsidRDefault="00AA58B7" w:rsidP="00796965">
      <w:pPr>
        <w:spacing w:line="480" w:lineRule="auto"/>
        <w:rPr>
          <w:b/>
          <w:color w:val="000000" w:themeColor="text1"/>
          <w:lang w:val="en-US"/>
        </w:rPr>
      </w:pPr>
    </w:p>
    <w:p w14:paraId="60E0311A" w14:textId="77777777" w:rsidR="00AA58B7" w:rsidRDefault="00AA58B7" w:rsidP="00796965">
      <w:pPr>
        <w:spacing w:line="480" w:lineRule="auto"/>
        <w:rPr>
          <w:b/>
          <w:color w:val="000000" w:themeColor="text1"/>
          <w:lang w:val="en-US"/>
        </w:rPr>
      </w:pPr>
    </w:p>
    <w:p w14:paraId="121922E8" w14:textId="77777777" w:rsidR="00AA58B7" w:rsidRDefault="00AA58B7" w:rsidP="00796965">
      <w:pPr>
        <w:spacing w:line="480" w:lineRule="auto"/>
        <w:rPr>
          <w:b/>
          <w:color w:val="000000" w:themeColor="text1"/>
          <w:lang w:val="en-US"/>
        </w:rPr>
      </w:pPr>
    </w:p>
    <w:p w14:paraId="2AC21BD0" w14:textId="77777777" w:rsidR="00AA58B7" w:rsidRDefault="00AA58B7" w:rsidP="00796965">
      <w:pPr>
        <w:spacing w:line="480" w:lineRule="auto"/>
        <w:rPr>
          <w:b/>
          <w:color w:val="000000" w:themeColor="text1"/>
          <w:lang w:val="en-US"/>
        </w:rPr>
      </w:pPr>
    </w:p>
    <w:p w14:paraId="03F295DA" w14:textId="77777777" w:rsidR="00AA58B7" w:rsidRDefault="00AA58B7" w:rsidP="00796965">
      <w:pPr>
        <w:spacing w:line="480" w:lineRule="auto"/>
        <w:rPr>
          <w:b/>
          <w:color w:val="000000" w:themeColor="text1"/>
          <w:lang w:val="en-US"/>
        </w:rPr>
      </w:pPr>
    </w:p>
    <w:p w14:paraId="101C9D0B" w14:textId="77777777" w:rsidR="00AA58B7" w:rsidRDefault="00AA58B7" w:rsidP="00796965">
      <w:pPr>
        <w:spacing w:line="480" w:lineRule="auto"/>
        <w:rPr>
          <w:b/>
          <w:color w:val="000000" w:themeColor="text1"/>
          <w:lang w:val="en-US"/>
        </w:rPr>
      </w:pPr>
    </w:p>
    <w:p w14:paraId="7AAF04D5" w14:textId="77777777" w:rsidR="00AA58B7" w:rsidRDefault="00AA58B7" w:rsidP="00796965">
      <w:pPr>
        <w:spacing w:line="480" w:lineRule="auto"/>
        <w:rPr>
          <w:b/>
          <w:color w:val="000000" w:themeColor="text1"/>
          <w:lang w:val="en-US"/>
        </w:rPr>
      </w:pPr>
    </w:p>
    <w:p w14:paraId="28E2FDD4" w14:textId="77777777" w:rsidR="00AA58B7" w:rsidRDefault="00AA58B7" w:rsidP="00796965">
      <w:pPr>
        <w:spacing w:line="480" w:lineRule="auto"/>
        <w:rPr>
          <w:b/>
          <w:color w:val="000000" w:themeColor="text1"/>
          <w:lang w:val="en-US"/>
        </w:rPr>
      </w:pPr>
    </w:p>
    <w:p w14:paraId="09632A8E" w14:textId="77777777" w:rsidR="00AA58B7" w:rsidRDefault="00AA58B7" w:rsidP="00796965">
      <w:pPr>
        <w:spacing w:line="480" w:lineRule="auto"/>
        <w:rPr>
          <w:b/>
          <w:color w:val="000000" w:themeColor="text1"/>
          <w:lang w:val="en-US"/>
        </w:rPr>
      </w:pPr>
    </w:p>
    <w:p w14:paraId="6F7B5E78" w14:textId="77777777" w:rsidR="00AA58B7" w:rsidRDefault="00AA58B7" w:rsidP="00796965">
      <w:pPr>
        <w:spacing w:line="480" w:lineRule="auto"/>
        <w:rPr>
          <w:b/>
          <w:color w:val="000000" w:themeColor="text1"/>
          <w:lang w:val="en-US"/>
        </w:rPr>
      </w:pPr>
    </w:p>
    <w:p w14:paraId="4B6D523D" w14:textId="77777777" w:rsidR="00AA58B7" w:rsidRDefault="00AA58B7" w:rsidP="00796965">
      <w:pPr>
        <w:spacing w:line="480" w:lineRule="auto"/>
        <w:rPr>
          <w:b/>
          <w:color w:val="000000" w:themeColor="text1"/>
          <w:lang w:val="en-US"/>
        </w:rPr>
      </w:pPr>
    </w:p>
    <w:p w14:paraId="54F1D915" w14:textId="77777777" w:rsidR="00AA58B7" w:rsidRDefault="00AA58B7" w:rsidP="00796965">
      <w:pPr>
        <w:spacing w:line="480" w:lineRule="auto"/>
        <w:rPr>
          <w:b/>
          <w:color w:val="000000" w:themeColor="text1"/>
          <w:lang w:val="en-US"/>
        </w:rPr>
      </w:pPr>
    </w:p>
    <w:p w14:paraId="756816B2" w14:textId="77777777" w:rsidR="00AA58B7" w:rsidRDefault="00AA58B7" w:rsidP="00796965">
      <w:pPr>
        <w:spacing w:line="480" w:lineRule="auto"/>
        <w:rPr>
          <w:b/>
          <w:color w:val="000000" w:themeColor="text1"/>
          <w:lang w:val="en-US"/>
        </w:rPr>
      </w:pPr>
    </w:p>
    <w:p w14:paraId="4A36F981" w14:textId="77777777" w:rsidR="00AA58B7" w:rsidRDefault="00AA58B7" w:rsidP="00796965">
      <w:pPr>
        <w:spacing w:line="480" w:lineRule="auto"/>
        <w:rPr>
          <w:b/>
          <w:color w:val="000000" w:themeColor="text1"/>
          <w:lang w:val="en-US"/>
        </w:rPr>
      </w:pPr>
    </w:p>
    <w:p w14:paraId="0350EF92" w14:textId="0339C114" w:rsidR="0085737D" w:rsidRPr="009C7D07" w:rsidRDefault="00AA58B7" w:rsidP="00AA58B7">
      <w:pPr>
        <w:spacing w:line="480" w:lineRule="auto"/>
        <w:jc w:val="both"/>
        <w:rPr>
          <w:b/>
          <w:color w:val="000000" w:themeColor="text1"/>
          <w:lang w:val="en-US"/>
        </w:rPr>
      </w:pPr>
      <w:r w:rsidRPr="009C7D07">
        <w:rPr>
          <w:b/>
          <w:color w:val="000000" w:themeColor="text1"/>
          <w:lang w:val="en-US"/>
        </w:rPr>
        <w:t>Figure 1. The effect of betaine on ethanol-induced changes in A) cytosolic and mitochondrial cytochrome c detection, B) cytosolic cytochrome c levels, C) mitochondrial cytochrome c levels and D) caspase-3 activity.</w:t>
      </w:r>
      <w:r w:rsidRPr="009C7D07">
        <w:rPr>
          <w:color w:val="000000" w:themeColor="text1"/>
          <w:lang w:val="en-US"/>
        </w:rPr>
        <w:t xml:space="preserve"> Cytochrome c levels were detected by Western blotting. Lanes 1-3 – control; Lanes 4-7 – ethanol; Lanes 8-10 – betaine; Lanes 11-13 – betaine and ethanol.  Caspase-3 activity in 25 µg of cytosolic protein was determined based on the cleavage of Ac-DEVD-AFC (3 mg/mL) to AFC.  Values are expressed as mean </w:t>
      </w:r>
      <w:r w:rsidRPr="009C7D07">
        <w:rPr>
          <w:color w:val="000000" w:themeColor="text1"/>
          <w:u w:val="single"/>
          <w:lang w:val="en-US"/>
        </w:rPr>
        <w:t>+</w:t>
      </w:r>
      <w:r w:rsidRPr="009C7D07">
        <w:rPr>
          <w:color w:val="000000" w:themeColor="text1"/>
          <w:lang w:val="en-US"/>
        </w:rPr>
        <w:t xml:space="preserve"> SEM (n = 3-4).  *</w:t>
      </w:r>
      <w:r w:rsidRPr="009C7D07">
        <w:rPr>
          <w:i/>
          <w:iCs/>
          <w:color w:val="000000" w:themeColor="text1"/>
          <w:lang w:val="en-US"/>
        </w:rPr>
        <w:t xml:space="preserve"> p</w:t>
      </w:r>
      <w:r w:rsidRPr="009C7D07">
        <w:rPr>
          <w:color w:val="000000" w:themeColor="text1"/>
          <w:lang w:val="en-US"/>
        </w:rPr>
        <w:t>&lt;0.05 compared to control.</w:t>
      </w:r>
    </w:p>
    <w:p w14:paraId="749CA25D" w14:textId="4E2A6589" w:rsidR="006263C6" w:rsidRPr="009C7D07" w:rsidRDefault="00436768" w:rsidP="00796965">
      <w:pPr>
        <w:spacing w:line="480" w:lineRule="auto"/>
        <w:jc w:val="both"/>
        <w:rPr>
          <w:b/>
          <w:color w:val="000000" w:themeColor="text1"/>
          <w:lang w:val="en-US"/>
        </w:rPr>
      </w:pPr>
      <w:r>
        <w:rPr>
          <w:b/>
          <w:noProof/>
          <w:color w:val="000000" w:themeColor="text1"/>
          <w:lang w:val="en-US"/>
        </w:rPr>
        <w:drawing>
          <wp:anchor distT="0" distB="0" distL="114300" distR="114300" simplePos="0" relativeHeight="251663360" behindDoc="0" locked="0" layoutInCell="1" allowOverlap="1" wp14:anchorId="4B861F1F" wp14:editId="50665E0A">
            <wp:simplePos x="0" y="0"/>
            <wp:positionH relativeFrom="margin">
              <wp:align>center</wp:align>
            </wp:positionH>
            <wp:positionV relativeFrom="margin">
              <wp:align>top</wp:align>
            </wp:positionV>
            <wp:extent cx="4968122" cy="5752618"/>
            <wp:effectExtent l="0" t="0" r="0" b="0"/>
            <wp:wrapSquare wrapText="bothSides"/>
            <wp:docPr id="2" name="Picture 2" descr="A picture containing text, silhouette,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lhouette, clipar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68122" cy="5752618"/>
                    </a:xfrm>
                    <a:prstGeom prst="rect">
                      <a:avLst/>
                    </a:prstGeom>
                  </pic:spPr>
                </pic:pic>
              </a:graphicData>
            </a:graphic>
            <wp14:sizeRelH relativeFrom="page">
              <wp14:pctWidth>0</wp14:pctWidth>
            </wp14:sizeRelH>
            <wp14:sizeRelV relativeFrom="page">
              <wp14:pctHeight>0</wp14:pctHeight>
            </wp14:sizeRelV>
          </wp:anchor>
        </w:drawing>
      </w:r>
    </w:p>
    <w:p w14:paraId="739A8790" w14:textId="76FF6C24" w:rsidR="0085737D" w:rsidRPr="00AA58B7" w:rsidRDefault="00AA58B7" w:rsidP="00796965">
      <w:pPr>
        <w:spacing w:line="480" w:lineRule="auto"/>
        <w:jc w:val="both"/>
        <w:rPr>
          <w:color w:val="4472C4"/>
          <w:lang w:val="en-US"/>
        </w:rPr>
      </w:pPr>
      <w:r w:rsidRPr="009C7D07">
        <w:rPr>
          <w:b/>
          <w:color w:val="000000" w:themeColor="text1"/>
          <w:lang w:val="en-US"/>
        </w:rPr>
        <w:t>Figure 2. The effect of betaine on ethanol-induced changes in A) cytosolic GSH levels, B) mitochondrial GSH levels, C) cytosolic MDA formation</w:t>
      </w:r>
      <w:r w:rsidRPr="009C7D07">
        <w:rPr>
          <w:color w:val="000000" w:themeColor="text1"/>
          <w:lang w:val="en-US"/>
        </w:rPr>
        <w:t xml:space="preserve"> </w:t>
      </w:r>
      <w:r w:rsidRPr="009C7D07">
        <w:rPr>
          <w:b/>
          <w:color w:val="000000" w:themeColor="text1"/>
          <w:lang w:val="en-US"/>
        </w:rPr>
        <w:t>and D) mitochondrial MDA formation</w:t>
      </w:r>
      <w:r w:rsidRPr="009C7D07">
        <w:rPr>
          <w:color w:val="000000" w:themeColor="text1"/>
          <w:lang w:val="en-US"/>
        </w:rPr>
        <w:t xml:space="preserve">. The ‘betaine’ experimental animals were given drinking water containing 2% betaine (w/v) for 6 days.  Saline (0.15 mol/L NaCl) or ethanol (75 mmol/kg bodyweight) was administered </w:t>
      </w:r>
      <w:proofErr w:type="spellStart"/>
      <w:r w:rsidRPr="009C7D07">
        <w:rPr>
          <w:color w:val="000000" w:themeColor="text1"/>
          <w:lang w:val="en-US"/>
        </w:rPr>
        <w:t>i.p.</w:t>
      </w:r>
      <w:proofErr w:type="spellEnd"/>
      <w:r w:rsidRPr="009C7D07">
        <w:rPr>
          <w:color w:val="000000" w:themeColor="text1"/>
          <w:lang w:val="en-US"/>
        </w:rPr>
        <w:t xml:space="preserve"> on day 7, and 24 hours later the animals were sacrificed.  Liver mitochondrial and cytosolic fractions were prepared as described in the methods. Values are expressed as mean </w:t>
      </w:r>
      <w:r w:rsidRPr="009C7D07">
        <w:rPr>
          <w:color w:val="000000" w:themeColor="text1"/>
          <w:u w:val="single"/>
          <w:lang w:val="en-US"/>
        </w:rPr>
        <w:t>+</w:t>
      </w:r>
      <w:r w:rsidRPr="009C7D07">
        <w:rPr>
          <w:color w:val="000000" w:themeColor="text1"/>
          <w:lang w:val="en-US"/>
        </w:rPr>
        <w:t xml:space="preserve"> SEM (n = 3-4). *</w:t>
      </w:r>
      <w:r w:rsidRPr="009C7D07">
        <w:rPr>
          <w:i/>
          <w:iCs/>
          <w:color w:val="000000" w:themeColor="text1"/>
          <w:lang w:val="en-US"/>
        </w:rPr>
        <w:t xml:space="preserve"> p</w:t>
      </w:r>
      <w:r w:rsidRPr="009C7D07">
        <w:rPr>
          <w:color w:val="000000" w:themeColor="text1"/>
          <w:lang w:val="en-US"/>
        </w:rPr>
        <w:t>&lt;0.05 compared to control.</w:t>
      </w:r>
    </w:p>
    <w:p w14:paraId="3C96F400" w14:textId="233B4258" w:rsidR="00AA58B7" w:rsidRDefault="00AA58B7">
      <w:pPr>
        <w:rPr>
          <w:b/>
          <w:color w:val="000000" w:themeColor="text1"/>
          <w:lang w:val="en-US"/>
        </w:rPr>
      </w:pPr>
    </w:p>
    <w:p w14:paraId="061B6EB5" w14:textId="336CDD72" w:rsidR="00AA58B7" w:rsidRPr="009C7D07" w:rsidRDefault="00E7112E" w:rsidP="00AA58B7">
      <w:pPr>
        <w:spacing w:line="480" w:lineRule="auto"/>
        <w:jc w:val="both"/>
        <w:rPr>
          <w:color w:val="4472C4"/>
          <w:lang w:val="en-US"/>
        </w:rPr>
      </w:pPr>
      <w:r>
        <w:rPr>
          <w:b/>
          <w:noProof/>
          <w:color w:val="000000" w:themeColor="text1"/>
          <w:lang w:val="en-US"/>
        </w:rPr>
        <w:drawing>
          <wp:anchor distT="0" distB="0" distL="114300" distR="114300" simplePos="0" relativeHeight="251664384" behindDoc="0" locked="0" layoutInCell="1" allowOverlap="1" wp14:anchorId="7668FA47" wp14:editId="0090D6A5">
            <wp:simplePos x="0" y="0"/>
            <wp:positionH relativeFrom="margin">
              <wp:align>center</wp:align>
            </wp:positionH>
            <wp:positionV relativeFrom="margin">
              <wp:align>top</wp:align>
            </wp:positionV>
            <wp:extent cx="4965065" cy="5802630"/>
            <wp:effectExtent l="0" t="0" r="0" b="0"/>
            <wp:wrapSquare wrapText="bothSides"/>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65065" cy="5802630"/>
                    </a:xfrm>
                    <a:prstGeom prst="rect">
                      <a:avLst/>
                    </a:prstGeom>
                  </pic:spPr>
                </pic:pic>
              </a:graphicData>
            </a:graphic>
            <wp14:sizeRelH relativeFrom="page">
              <wp14:pctWidth>0</wp14:pctWidth>
            </wp14:sizeRelH>
            <wp14:sizeRelV relativeFrom="page">
              <wp14:pctHeight>0</wp14:pctHeight>
            </wp14:sizeRelV>
          </wp:anchor>
        </w:drawing>
      </w:r>
      <w:r w:rsidR="00AA58B7" w:rsidRPr="009C7D07">
        <w:rPr>
          <w:b/>
          <w:color w:val="000000" w:themeColor="text1"/>
          <w:lang w:val="en-US"/>
        </w:rPr>
        <w:t xml:space="preserve">Figure 3. The effect of betaine on ethanol-induced changes in A) cytosolic </w:t>
      </w:r>
      <w:proofErr w:type="spellStart"/>
      <w:r w:rsidR="00AA58B7" w:rsidRPr="009C7D07">
        <w:rPr>
          <w:b/>
          <w:color w:val="000000" w:themeColor="text1"/>
          <w:lang w:val="en-US"/>
        </w:rPr>
        <w:t>GPx</w:t>
      </w:r>
      <w:proofErr w:type="spellEnd"/>
      <w:r w:rsidR="00AA58B7" w:rsidRPr="009C7D07">
        <w:rPr>
          <w:b/>
          <w:color w:val="000000" w:themeColor="text1"/>
          <w:lang w:val="en-US"/>
        </w:rPr>
        <w:t xml:space="preserve"> activity and B) mitochondrial </w:t>
      </w:r>
      <w:proofErr w:type="spellStart"/>
      <w:r w:rsidR="00AA58B7" w:rsidRPr="009C7D07">
        <w:rPr>
          <w:b/>
          <w:color w:val="000000" w:themeColor="text1"/>
          <w:lang w:val="en-US"/>
        </w:rPr>
        <w:t>GPx</w:t>
      </w:r>
      <w:proofErr w:type="spellEnd"/>
      <w:r w:rsidR="00AA58B7" w:rsidRPr="009C7D07">
        <w:rPr>
          <w:b/>
          <w:color w:val="000000" w:themeColor="text1"/>
          <w:lang w:val="en-US"/>
        </w:rPr>
        <w:t xml:space="preserve"> activity, C) cytosolic GSH reductase activity, D) mitochondrial GSH reductase activity. </w:t>
      </w:r>
      <w:r w:rsidR="00AA58B7" w:rsidRPr="009C7D07">
        <w:rPr>
          <w:bCs/>
          <w:color w:val="000000" w:themeColor="text1"/>
          <w:lang w:val="en-US"/>
        </w:rPr>
        <w:t xml:space="preserve">Following treatment </w:t>
      </w:r>
      <w:r w:rsidR="00AA58B7" w:rsidRPr="009C7D07">
        <w:rPr>
          <w:color w:val="000000" w:themeColor="text1"/>
          <w:lang w:val="en-US"/>
        </w:rPr>
        <w:t xml:space="preserve">liver mitochondrial and cytosolic fractions were prepared as previously described and the antioxidant enzyme activity was determined as described in the methods. Values are expressed as mean </w:t>
      </w:r>
      <w:r w:rsidR="00AA58B7" w:rsidRPr="009C7D07">
        <w:rPr>
          <w:color w:val="000000" w:themeColor="text1"/>
          <w:u w:val="single"/>
          <w:lang w:val="en-US"/>
        </w:rPr>
        <w:t>+</w:t>
      </w:r>
      <w:r w:rsidR="00AA58B7" w:rsidRPr="009C7D07">
        <w:rPr>
          <w:color w:val="000000" w:themeColor="text1"/>
          <w:lang w:val="en-US"/>
        </w:rPr>
        <w:t xml:space="preserve"> SEM (n = 3-4). *</w:t>
      </w:r>
      <w:r w:rsidR="00AA58B7" w:rsidRPr="009C7D07">
        <w:rPr>
          <w:i/>
          <w:iCs/>
          <w:color w:val="000000" w:themeColor="text1"/>
          <w:lang w:val="en-US"/>
        </w:rPr>
        <w:t xml:space="preserve"> p</w:t>
      </w:r>
      <w:r w:rsidR="00AA58B7" w:rsidRPr="009C7D07">
        <w:rPr>
          <w:color w:val="000000" w:themeColor="text1"/>
          <w:lang w:val="en-US"/>
        </w:rPr>
        <w:t>&lt;0.05 compared to control.</w:t>
      </w:r>
    </w:p>
    <w:p w14:paraId="763EB39C" w14:textId="548CE76C" w:rsidR="006263C6" w:rsidRPr="009C7D07" w:rsidRDefault="006263C6">
      <w:pPr>
        <w:rPr>
          <w:b/>
          <w:color w:val="000000" w:themeColor="text1"/>
          <w:lang w:val="en-US"/>
        </w:rPr>
      </w:pPr>
      <w:r w:rsidRPr="009C7D07">
        <w:rPr>
          <w:b/>
          <w:color w:val="000000" w:themeColor="text1"/>
          <w:lang w:val="en-US"/>
        </w:rPr>
        <w:br w:type="page"/>
      </w:r>
    </w:p>
    <w:p w14:paraId="1D0F2575" w14:textId="2BD56898" w:rsidR="002E6F19" w:rsidRDefault="00E7112E" w:rsidP="00796965">
      <w:pPr>
        <w:spacing w:line="480" w:lineRule="auto"/>
        <w:rPr>
          <w:color w:val="4472C4"/>
          <w:lang w:val="en-US"/>
        </w:rPr>
      </w:pPr>
      <w:r>
        <w:rPr>
          <w:noProof/>
          <w:color w:val="4472C4"/>
          <w:lang w:val="en-US"/>
        </w:rPr>
        <w:drawing>
          <wp:anchor distT="0" distB="0" distL="114300" distR="114300" simplePos="0" relativeHeight="251665408" behindDoc="0" locked="0" layoutInCell="1" allowOverlap="1" wp14:anchorId="351A483D" wp14:editId="561D605D">
            <wp:simplePos x="0" y="0"/>
            <wp:positionH relativeFrom="margin">
              <wp:align>center</wp:align>
            </wp:positionH>
            <wp:positionV relativeFrom="margin">
              <wp:align>top</wp:align>
            </wp:positionV>
            <wp:extent cx="4965065" cy="5738495"/>
            <wp:effectExtent l="0" t="0" r="0" b="0"/>
            <wp:wrapSquare wrapText="bothSides"/>
            <wp:docPr id="4" name="Picture 4" descr="A picture containing text, silhouette,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ilhouette, clipart, vector graphic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5065" cy="5738495"/>
                    </a:xfrm>
                    <a:prstGeom prst="rect">
                      <a:avLst/>
                    </a:prstGeom>
                  </pic:spPr>
                </pic:pic>
              </a:graphicData>
            </a:graphic>
            <wp14:sizeRelH relativeFrom="page">
              <wp14:pctWidth>0</wp14:pctWidth>
            </wp14:sizeRelH>
            <wp14:sizeRelV relativeFrom="page">
              <wp14:pctHeight>0</wp14:pctHeight>
            </wp14:sizeRelV>
          </wp:anchor>
        </w:drawing>
      </w:r>
    </w:p>
    <w:p w14:paraId="3FDD9BB1" w14:textId="77777777" w:rsidR="00AA58B7" w:rsidRPr="009C7D07" w:rsidRDefault="00AA58B7" w:rsidP="00AA58B7">
      <w:pPr>
        <w:spacing w:line="480" w:lineRule="auto"/>
        <w:jc w:val="both"/>
        <w:rPr>
          <w:b/>
          <w:color w:val="4472C4"/>
          <w:lang w:val="en-US"/>
        </w:rPr>
      </w:pPr>
      <w:r w:rsidRPr="009C7D07">
        <w:rPr>
          <w:b/>
          <w:color w:val="000000" w:themeColor="text1"/>
          <w:lang w:val="en-US"/>
        </w:rPr>
        <w:t>Figure 4. The effect of betaine on ethanol-induced changes in A) cytosolic SOD activity, B) mitochondrial SOD, C) catalase activity and D) complex I activity.</w:t>
      </w:r>
      <w:r w:rsidRPr="009C7D07">
        <w:rPr>
          <w:color w:val="000000" w:themeColor="text1"/>
          <w:lang w:val="en-US"/>
        </w:rPr>
        <w:t xml:space="preserve"> </w:t>
      </w:r>
      <w:r w:rsidRPr="009C7D07">
        <w:rPr>
          <w:bCs/>
          <w:color w:val="000000" w:themeColor="text1"/>
          <w:lang w:val="en-US"/>
        </w:rPr>
        <w:t xml:space="preserve">Following treatment </w:t>
      </w:r>
      <w:r w:rsidRPr="009C7D07">
        <w:rPr>
          <w:color w:val="000000" w:themeColor="text1"/>
          <w:lang w:val="en-US"/>
        </w:rPr>
        <w:t xml:space="preserve">liver mitochondrial and cytosolic fractions were prepared as previously described and the antioxidant enzyme activity was determined as described in the methods.  Values are expressed as mean </w:t>
      </w:r>
      <w:r w:rsidRPr="009C7D07">
        <w:rPr>
          <w:color w:val="000000" w:themeColor="text1"/>
          <w:u w:val="single"/>
          <w:lang w:val="en-US"/>
        </w:rPr>
        <w:t>+</w:t>
      </w:r>
      <w:r w:rsidRPr="009C7D07">
        <w:rPr>
          <w:color w:val="000000" w:themeColor="text1"/>
          <w:lang w:val="en-US"/>
        </w:rPr>
        <w:t xml:space="preserve"> SEM (n = 3-4). </w:t>
      </w:r>
    </w:p>
    <w:p w14:paraId="21045FD8" w14:textId="77777777" w:rsidR="00AA58B7" w:rsidRPr="009C7D07" w:rsidRDefault="00AA58B7" w:rsidP="00796965">
      <w:pPr>
        <w:spacing w:line="480" w:lineRule="auto"/>
        <w:rPr>
          <w:color w:val="4472C4"/>
          <w:lang w:val="en-US"/>
        </w:rPr>
      </w:pPr>
    </w:p>
    <w:sectPr w:rsidR="00AA58B7" w:rsidRPr="009C7D07" w:rsidSect="0085737D">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0CFB09" w14:textId="77777777" w:rsidR="008F10F3" w:rsidRDefault="008F10F3">
      <w:r>
        <w:separator/>
      </w:r>
    </w:p>
  </w:endnote>
  <w:endnote w:type="continuationSeparator" w:id="0">
    <w:p w14:paraId="2FE3B6F9" w14:textId="77777777" w:rsidR="008F10F3" w:rsidRDefault="008F1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DAA89" w14:textId="77777777" w:rsidR="00396A29" w:rsidRDefault="00396A29" w:rsidP="007D4263">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E42268" w14:textId="77777777" w:rsidR="00396A29" w:rsidRDefault="00396A29" w:rsidP="00AD06B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Arial" w:hAnsi="Arial" w:cs="Arial"/>
      </w:rPr>
      <w:id w:val="526219278"/>
      <w:docPartObj>
        <w:docPartGallery w:val="Page Numbers (Bottom of Page)"/>
        <w:docPartUnique/>
      </w:docPartObj>
    </w:sdtPr>
    <w:sdtEndPr>
      <w:rPr>
        <w:rStyle w:val="PageNumber"/>
      </w:rPr>
    </w:sdtEndPr>
    <w:sdtContent>
      <w:p w14:paraId="7C3C1041" w14:textId="77777777" w:rsidR="00396A29" w:rsidRPr="008F23BE" w:rsidRDefault="00396A29" w:rsidP="00F22F23">
        <w:pPr>
          <w:pStyle w:val="Footer"/>
          <w:framePr w:wrap="none" w:vAnchor="text" w:hAnchor="margin" w:xAlign="right" w:y="1"/>
          <w:rPr>
            <w:rStyle w:val="PageNumber"/>
            <w:rFonts w:ascii="Arial" w:hAnsi="Arial" w:cs="Arial"/>
          </w:rPr>
        </w:pPr>
        <w:r w:rsidRPr="008F23BE">
          <w:rPr>
            <w:rStyle w:val="PageNumber"/>
            <w:rFonts w:ascii="Arial" w:hAnsi="Arial" w:cs="Arial"/>
          </w:rPr>
          <w:fldChar w:fldCharType="begin"/>
        </w:r>
        <w:r w:rsidRPr="008F23BE">
          <w:rPr>
            <w:rStyle w:val="PageNumber"/>
            <w:rFonts w:ascii="Arial" w:hAnsi="Arial" w:cs="Arial"/>
          </w:rPr>
          <w:instrText xml:space="preserve"> PAGE </w:instrText>
        </w:r>
        <w:r w:rsidRPr="008F23BE">
          <w:rPr>
            <w:rStyle w:val="PageNumber"/>
            <w:rFonts w:ascii="Arial" w:hAnsi="Arial" w:cs="Arial"/>
          </w:rPr>
          <w:fldChar w:fldCharType="separate"/>
        </w:r>
        <w:r w:rsidRPr="008F23BE">
          <w:rPr>
            <w:rStyle w:val="PageNumber"/>
            <w:rFonts w:ascii="Arial" w:hAnsi="Arial" w:cs="Arial"/>
            <w:noProof/>
          </w:rPr>
          <w:t>24</w:t>
        </w:r>
        <w:r w:rsidRPr="008F23BE">
          <w:rPr>
            <w:rStyle w:val="PageNumber"/>
            <w:rFonts w:ascii="Arial" w:hAnsi="Arial" w:cs="Arial"/>
          </w:rPr>
          <w:fldChar w:fldCharType="end"/>
        </w:r>
      </w:p>
    </w:sdtContent>
  </w:sdt>
  <w:p w14:paraId="027057FC" w14:textId="77777777" w:rsidR="00396A29" w:rsidRPr="00AA58B7" w:rsidRDefault="00396A29" w:rsidP="007D4263">
    <w:pPr>
      <w:pStyle w:val="Footer"/>
      <w:framePr w:wrap="around" w:vAnchor="text" w:hAnchor="margin" w:xAlign="right" w:y="1"/>
      <w:ind w:right="360"/>
    </w:pPr>
  </w:p>
  <w:p w14:paraId="24E88316" w14:textId="77777777" w:rsidR="00396A29" w:rsidRPr="008F23BE" w:rsidRDefault="00396A29" w:rsidP="00AD06BB">
    <w:pPr>
      <w:pStyle w:val="Footer"/>
      <w:ind w:right="36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4E46D" w14:textId="77777777" w:rsidR="008F10F3" w:rsidRDefault="008F10F3">
      <w:r>
        <w:separator/>
      </w:r>
    </w:p>
  </w:footnote>
  <w:footnote w:type="continuationSeparator" w:id="0">
    <w:p w14:paraId="2D7F29A8" w14:textId="77777777" w:rsidR="008F10F3" w:rsidRDefault="008F10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9CB4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15E3E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EAE59D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344E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EBE33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52FC4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F5A3CF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9B66F1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3D20C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EAE1D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37139B"/>
    <w:multiLevelType w:val="hybridMultilevel"/>
    <w:tmpl w:val="5504E966"/>
    <w:lvl w:ilvl="0" w:tplc="947E0C54">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0C2214AC"/>
    <w:multiLevelType w:val="hybridMultilevel"/>
    <w:tmpl w:val="7C2C1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3F0DBD"/>
    <w:multiLevelType w:val="hybridMultilevel"/>
    <w:tmpl w:val="657A8B78"/>
    <w:lvl w:ilvl="0" w:tplc="18303BA4">
      <w:start w:val="1"/>
      <w:numFmt w:val="upperLetter"/>
      <w:lvlText w:val="%1)"/>
      <w:lvlJc w:val="left"/>
      <w:pPr>
        <w:tabs>
          <w:tab w:val="num" w:pos="785"/>
        </w:tabs>
        <w:ind w:left="785" w:hanging="360"/>
      </w:pPr>
      <w:rPr>
        <w:rFonts w:hint="default"/>
      </w:rPr>
    </w:lvl>
    <w:lvl w:ilvl="1" w:tplc="08090019" w:tentative="1">
      <w:start w:val="1"/>
      <w:numFmt w:val="lowerLetter"/>
      <w:lvlText w:val="%2."/>
      <w:lvlJc w:val="left"/>
      <w:pPr>
        <w:tabs>
          <w:tab w:val="num" w:pos="1505"/>
        </w:tabs>
        <w:ind w:left="1505" w:hanging="360"/>
      </w:pPr>
    </w:lvl>
    <w:lvl w:ilvl="2" w:tplc="0809001B" w:tentative="1">
      <w:start w:val="1"/>
      <w:numFmt w:val="lowerRoman"/>
      <w:lvlText w:val="%3."/>
      <w:lvlJc w:val="right"/>
      <w:pPr>
        <w:tabs>
          <w:tab w:val="num" w:pos="2225"/>
        </w:tabs>
        <w:ind w:left="2225" w:hanging="180"/>
      </w:pPr>
    </w:lvl>
    <w:lvl w:ilvl="3" w:tplc="0809000F" w:tentative="1">
      <w:start w:val="1"/>
      <w:numFmt w:val="decimal"/>
      <w:lvlText w:val="%4."/>
      <w:lvlJc w:val="left"/>
      <w:pPr>
        <w:tabs>
          <w:tab w:val="num" w:pos="2945"/>
        </w:tabs>
        <w:ind w:left="2945" w:hanging="360"/>
      </w:pPr>
    </w:lvl>
    <w:lvl w:ilvl="4" w:tplc="08090019" w:tentative="1">
      <w:start w:val="1"/>
      <w:numFmt w:val="lowerLetter"/>
      <w:lvlText w:val="%5."/>
      <w:lvlJc w:val="left"/>
      <w:pPr>
        <w:tabs>
          <w:tab w:val="num" w:pos="3665"/>
        </w:tabs>
        <w:ind w:left="3665" w:hanging="360"/>
      </w:pPr>
    </w:lvl>
    <w:lvl w:ilvl="5" w:tplc="0809001B" w:tentative="1">
      <w:start w:val="1"/>
      <w:numFmt w:val="lowerRoman"/>
      <w:lvlText w:val="%6."/>
      <w:lvlJc w:val="right"/>
      <w:pPr>
        <w:tabs>
          <w:tab w:val="num" w:pos="4385"/>
        </w:tabs>
        <w:ind w:left="4385" w:hanging="180"/>
      </w:pPr>
    </w:lvl>
    <w:lvl w:ilvl="6" w:tplc="0809000F" w:tentative="1">
      <w:start w:val="1"/>
      <w:numFmt w:val="decimal"/>
      <w:lvlText w:val="%7."/>
      <w:lvlJc w:val="left"/>
      <w:pPr>
        <w:tabs>
          <w:tab w:val="num" w:pos="5105"/>
        </w:tabs>
        <w:ind w:left="5105" w:hanging="360"/>
      </w:pPr>
    </w:lvl>
    <w:lvl w:ilvl="7" w:tplc="08090019" w:tentative="1">
      <w:start w:val="1"/>
      <w:numFmt w:val="lowerLetter"/>
      <w:lvlText w:val="%8."/>
      <w:lvlJc w:val="left"/>
      <w:pPr>
        <w:tabs>
          <w:tab w:val="num" w:pos="5825"/>
        </w:tabs>
        <w:ind w:left="5825" w:hanging="360"/>
      </w:pPr>
    </w:lvl>
    <w:lvl w:ilvl="8" w:tplc="0809001B" w:tentative="1">
      <w:start w:val="1"/>
      <w:numFmt w:val="lowerRoman"/>
      <w:lvlText w:val="%9."/>
      <w:lvlJc w:val="right"/>
      <w:pPr>
        <w:tabs>
          <w:tab w:val="num" w:pos="6545"/>
        </w:tabs>
        <w:ind w:left="6545" w:hanging="180"/>
      </w:pPr>
    </w:lvl>
  </w:abstractNum>
  <w:abstractNum w:abstractNumId="13" w15:restartNumberingAfterBreak="0">
    <w:nsid w:val="14C4521B"/>
    <w:multiLevelType w:val="hybridMultilevel"/>
    <w:tmpl w:val="5C083C62"/>
    <w:lvl w:ilvl="0" w:tplc="AD12F96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973FBF"/>
    <w:multiLevelType w:val="hybridMultilevel"/>
    <w:tmpl w:val="8676D98C"/>
    <w:lvl w:ilvl="0" w:tplc="7A22E37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0836C7"/>
    <w:multiLevelType w:val="hybridMultilevel"/>
    <w:tmpl w:val="38A6AEB0"/>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6" w15:restartNumberingAfterBreak="0">
    <w:nsid w:val="4FE25269"/>
    <w:multiLevelType w:val="hybridMultilevel"/>
    <w:tmpl w:val="4CFA6526"/>
    <w:lvl w:ilvl="0" w:tplc="B35A1F90">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62814CCB"/>
    <w:multiLevelType w:val="hybridMultilevel"/>
    <w:tmpl w:val="7AD4761E"/>
    <w:lvl w:ilvl="0" w:tplc="42AC3DE8">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1"/>
  </w:num>
  <w:num w:numId="2">
    <w:abstractNumId w:val="12"/>
  </w:num>
  <w:num w:numId="3">
    <w:abstractNumId w:val="16"/>
  </w:num>
  <w:num w:numId="4">
    <w:abstractNumId w:val="17"/>
  </w:num>
  <w:num w:numId="5">
    <w:abstractNumId w:val="10"/>
  </w:num>
  <w:num w:numId="6">
    <w:abstractNumId w:val="14"/>
  </w:num>
  <w:num w:numId="7">
    <w:abstractNumId w:val="13"/>
  </w:num>
  <w:num w:numId="8">
    <w:abstractNumId w:val="15"/>
  </w:num>
  <w:num w:numId="9">
    <w:abstractNumId w:val="0"/>
  </w:num>
  <w:num w:numId="10">
    <w:abstractNumId w:val="1"/>
  </w:num>
  <w:num w:numId="11">
    <w:abstractNumId w:val="2"/>
  </w:num>
  <w:num w:numId="12">
    <w:abstractNumId w:val="3"/>
  </w:num>
  <w:num w:numId="13">
    <w:abstractNumId w:val="8"/>
  </w:num>
  <w:num w:numId="14">
    <w:abstractNumId w:val="4"/>
  </w:num>
  <w:num w:numId="15">
    <w:abstractNumId w:val="5"/>
  </w:num>
  <w:num w:numId="16">
    <w:abstractNumId w:val="6"/>
  </w:num>
  <w:num w:numId="17">
    <w:abstractNumId w:val="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4096" w:nlCheck="1" w:checkStyle="0"/>
  <w:activeWritingStyle w:appName="MSWord" w:lang="en-GB" w:vendorID="64" w:dllVersion="4096" w:nlCheck="1" w:checkStyle="0"/>
  <w:activeWritingStyle w:appName="MSWord" w:lang="en-GB" w:vendorID="64" w:dllVersion="0" w:nlCheck="1" w:checkStyle="0"/>
  <w:activeWritingStyle w:appName="MSWord" w:lang="en-US" w:vendorID="64" w:dllVersion="0" w:nlCheck="1" w:checkStyle="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isplayHorizontalDrawingGridEvery w:val="2"/>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E72"/>
    <w:rsid w:val="00000B0E"/>
    <w:rsid w:val="00001BDA"/>
    <w:rsid w:val="00006ECB"/>
    <w:rsid w:val="0000745B"/>
    <w:rsid w:val="00007A5F"/>
    <w:rsid w:val="00010C52"/>
    <w:rsid w:val="00011588"/>
    <w:rsid w:val="00011850"/>
    <w:rsid w:val="00013408"/>
    <w:rsid w:val="00013F6E"/>
    <w:rsid w:val="000150FF"/>
    <w:rsid w:val="0001575D"/>
    <w:rsid w:val="00023B86"/>
    <w:rsid w:val="0002484B"/>
    <w:rsid w:val="00024A7B"/>
    <w:rsid w:val="00026FB7"/>
    <w:rsid w:val="00027B7A"/>
    <w:rsid w:val="00027BDE"/>
    <w:rsid w:val="000301FC"/>
    <w:rsid w:val="00033403"/>
    <w:rsid w:val="000346F9"/>
    <w:rsid w:val="00034812"/>
    <w:rsid w:val="00037F17"/>
    <w:rsid w:val="00041083"/>
    <w:rsid w:val="00046A46"/>
    <w:rsid w:val="00053790"/>
    <w:rsid w:val="0005725D"/>
    <w:rsid w:val="000611A8"/>
    <w:rsid w:val="00064402"/>
    <w:rsid w:val="00064923"/>
    <w:rsid w:val="00064ADE"/>
    <w:rsid w:val="00065062"/>
    <w:rsid w:val="000666D5"/>
    <w:rsid w:val="0007005E"/>
    <w:rsid w:val="0007371C"/>
    <w:rsid w:val="000738D6"/>
    <w:rsid w:val="000750A5"/>
    <w:rsid w:val="00080E25"/>
    <w:rsid w:val="000820C0"/>
    <w:rsid w:val="00082B7F"/>
    <w:rsid w:val="00084219"/>
    <w:rsid w:val="0008643D"/>
    <w:rsid w:val="00086D7B"/>
    <w:rsid w:val="00091674"/>
    <w:rsid w:val="00091D36"/>
    <w:rsid w:val="00092874"/>
    <w:rsid w:val="00092A2D"/>
    <w:rsid w:val="000951DD"/>
    <w:rsid w:val="000960CB"/>
    <w:rsid w:val="00097BA0"/>
    <w:rsid w:val="000A4E1B"/>
    <w:rsid w:val="000A5E8D"/>
    <w:rsid w:val="000B0FE9"/>
    <w:rsid w:val="000B3474"/>
    <w:rsid w:val="000B356B"/>
    <w:rsid w:val="000B5950"/>
    <w:rsid w:val="000B7701"/>
    <w:rsid w:val="000C1BEE"/>
    <w:rsid w:val="000C36ED"/>
    <w:rsid w:val="000C61E7"/>
    <w:rsid w:val="000D17A0"/>
    <w:rsid w:val="000D1ABB"/>
    <w:rsid w:val="000D61BB"/>
    <w:rsid w:val="000E4C4C"/>
    <w:rsid w:val="000F3CA7"/>
    <w:rsid w:val="000F4055"/>
    <w:rsid w:val="000F52CA"/>
    <w:rsid w:val="000F5AEB"/>
    <w:rsid w:val="001018D1"/>
    <w:rsid w:val="0010447C"/>
    <w:rsid w:val="001048F1"/>
    <w:rsid w:val="00105207"/>
    <w:rsid w:val="00105724"/>
    <w:rsid w:val="00117021"/>
    <w:rsid w:val="00120422"/>
    <w:rsid w:val="001205A9"/>
    <w:rsid w:val="00120836"/>
    <w:rsid w:val="0012435A"/>
    <w:rsid w:val="00125BCF"/>
    <w:rsid w:val="00133250"/>
    <w:rsid w:val="0013336A"/>
    <w:rsid w:val="00133E1E"/>
    <w:rsid w:val="0013424D"/>
    <w:rsid w:val="00135DFF"/>
    <w:rsid w:val="00136C06"/>
    <w:rsid w:val="001402CC"/>
    <w:rsid w:val="00142CD1"/>
    <w:rsid w:val="00142E70"/>
    <w:rsid w:val="00144C85"/>
    <w:rsid w:val="00151DEA"/>
    <w:rsid w:val="0015221F"/>
    <w:rsid w:val="00154568"/>
    <w:rsid w:val="00154F0E"/>
    <w:rsid w:val="00155996"/>
    <w:rsid w:val="00156283"/>
    <w:rsid w:val="001615E2"/>
    <w:rsid w:val="00164DDE"/>
    <w:rsid w:val="0016723A"/>
    <w:rsid w:val="00171B81"/>
    <w:rsid w:val="001721F2"/>
    <w:rsid w:val="00173693"/>
    <w:rsid w:val="00175CAC"/>
    <w:rsid w:val="0017754C"/>
    <w:rsid w:val="00177B8E"/>
    <w:rsid w:val="001816CD"/>
    <w:rsid w:val="001847E2"/>
    <w:rsid w:val="00185BE5"/>
    <w:rsid w:val="001873BA"/>
    <w:rsid w:val="00191D0D"/>
    <w:rsid w:val="001934FA"/>
    <w:rsid w:val="001946D8"/>
    <w:rsid w:val="00194F4B"/>
    <w:rsid w:val="00194F76"/>
    <w:rsid w:val="00195B21"/>
    <w:rsid w:val="001961BE"/>
    <w:rsid w:val="001964A8"/>
    <w:rsid w:val="001A03BE"/>
    <w:rsid w:val="001A160D"/>
    <w:rsid w:val="001A5686"/>
    <w:rsid w:val="001A798A"/>
    <w:rsid w:val="001B3C03"/>
    <w:rsid w:val="001B7CDA"/>
    <w:rsid w:val="001C0E4E"/>
    <w:rsid w:val="001C47D4"/>
    <w:rsid w:val="001C48EA"/>
    <w:rsid w:val="001C5AD2"/>
    <w:rsid w:val="001C681E"/>
    <w:rsid w:val="001C7F86"/>
    <w:rsid w:val="001D0E8C"/>
    <w:rsid w:val="001D324D"/>
    <w:rsid w:val="001D3DC0"/>
    <w:rsid w:val="001D4683"/>
    <w:rsid w:val="001D5638"/>
    <w:rsid w:val="001D5F32"/>
    <w:rsid w:val="001D6FA8"/>
    <w:rsid w:val="001D729F"/>
    <w:rsid w:val="001D7EBF"/>
    <w:rsid w:val="001E1B40"/>
    <w:rsid w:val="001E1B4C"/>
    <w:rsid w:val="001E4F3A"/>
    <w:rsid w:val="001E50CA"/>
    <w:rsid w:val="001E6CDB"/>
    <w:rsid w:val="001F01F2"/>
    <w:rsid w:val="001F17AA"/>
    <w:rsid w:val="001F1EC6"/>
    <w:rsid w:val="001F793D"/>
    <w:rsid w:val="00201B94"/>
    <w:rsid w:val="002048D2"/>
    <w:rsid w:val="002067D0"/>
    <w:rsid w:val="00206DAD"/>
    <w:rsid w:val="00207314"/>
    <w:rsid w:val="00207A0E"/>
    <w:rsid w:val="00220583"/>
    <w:rsid w:val="00220AB7"/>
    <w:rsid w:val="00227D7F"/>
    <w:rsid w:val="002314C1"/>
    <w:rsid w:val="00233069"/>
    <w:rsid w:val="00237505"/>
    <w:rsid w:val="00242981"/>
    <w:rsid w:val="00242AC7"/>
    <w:rsid w:val="00242B93"/>
    <w:rsid w:val="002444BB"/>
    <w:rsid w:val="00244A0C"/>
    <w:rsid w:val="00244ADD"/>
    <w:rsid w:val="002474A3"/>
    <w:rsid w:val="00253D64"/>
    <w:rsid w:val="00256A63"/>
    <w:rsid w:val="002577B2"/>
    <w:rsid w:val="00260150"/>
    <w:rsid w:val="0026049B"/>
    <w:rsid w:val="002710BB"/>
    <w:rsid w:val="002723B5"/>
    <w:rsid w:val="00273E87"/>
    <w:rsid w:val="00275EA8"/>
    <w:rsid w:val="002824E0"/>
    <w:rsid w:val="00282952"/>
    <w:rsid w:val="00283754"/>
    <w:rsid w:val="00284C5A"/>
    <w:rsid w:val="00287E64"/>
    <w:rsid w:val="00290E71"/>
    <w:rsid w:val="00293B8F"/>
    <w:rsid w:val="00295E88"/>
    <w:rsid w:val="00295EDA"/>
    <w:rsid w:val="00297F93"/>
    <w:rsid w:val="002A0D6E"/>
    <w:rsid w:val="002A30C1"/>
    <w:rsid w:val="002A329F"/>
    <w:rsid w:val="002A68B4"/>
    <w:rsid w:val="002B0199"/>
    <w:rsid w:val="002B34D7"/>
    <w:rsid w:val="002B6902"/>
    <w:rsid w:val="002B694C"/>
    <w:rsid w:val="002B6E62"/>
    <w:rsid w:val="002C16B6"/>
    <w:rsid w:val="002C29D8"/>
    <w:rsid w:val="002C4E6A"/>
    <w:rsid w:val="002C58C9"/>
    <w:rsid w:val="002C6E6E"/>
    <w:rsid w:val="002D19C5"/>
    <w:rsid w:val="002D24E9"/>
    <w:rsid w:val="002D2C0F"/>
    <w:rsid w:val="002D307F"/>
    <w:rsid w:val="002E0FA0"/>
    <w:rsid w:val="002E429D"/>
    <w:rsid w:val="002E6F19"/>
    <w:rsid w:val="002F1541"/>
    <w:rsid w:val="002F1A16"/>
    <w:rsid w:val="002F6782"/>
    <w:rsid w:val="00300474"/>
    <w:rsid w:val="00301D8D"/>
    <w:rsid w:val="00304D87"/>
    <w:rsid w:val="00306045"/>
    <w:rsid w:val="0031037D"/>
    <w:rsid w:val="00313715"/>
    <w:rsid w:val="003155C2"/>
    <w:rsid w:val="003162F6"/>
    <w:rsid w:val="00316AFA"/>
    <w:rsid w:val="00320885"/>
    <w:rsid w:val="00321951"/>
    <w:rsid w:val="003226C5"/>
    <w:rsid w:val="003231BF"/>
    <w:rsid w:val="00323FA9"/>
    <w:rsid w:val="00325F50"/>
    <w:rsid w:val="003274D8"/>
    <w:rsid w:val="00331B08"/>
    <w:rsid w:val="00331B3F"/>
    <w:rsid w:val="00333227"/>
    <w:rsid w:val="0033738B"/>
    <w:rsid w:val="003373DD"/>
    <w:rsid w:val="00341112"/>
    <w:rsid w:val="00346F8A"/>
    <w:rsid w:val="003560AA"/>
    <w:rsid w:val="0035773C"/>
    <w:rsid w:val="0036340B"/>
    <w:rsid w:val="0037170C"/>
    <w:rsid w:val="00373E59"/>
    <w:rsid w:val="0037666B"/>
    <w:rsid w:val="0038084C"/>
    <w:rsid w:val="00381ACD"/>
    <w:rsid w:val="00384F07"/>
    <w:rsid w:val="00385BAD"/>
    <w:rsid w:val="00390BFA"/>
    <w:rsid w:val="00390C79"/>
    <w:rsid w:val="00392C2B"/>
    <w:rsid w:val="00395738"/>
    <w:rsid w:val="00396A29"/>
    <w:rsid w:val="003A0479"/>
    <w:rsid w:val="003A090C"/>
    <w:rsid w:val="003A2FBE"/>
    <w:rsid w:val="003A37F6"/>
    <w:rsid w:val="003A39DC"/>
    <w:rsid w:val="003A4516"/>
    <w:rsid w:val="003B2250"/>
    <w:rsid w:val="003B3243"/>
    <w:rsid w:val="003B735C"/>
    <w:rsid w:val="003B7B78"/>
    <w:rsid w:val="003C1A80"/>
    <w:rsid w:val="003C313D"/>
    <w:rsid w:val="003C4893"/>
    <w:rsid w:val="003C508F"/>
    <w:rsid w:val="003C5333"/>
    <w:rsid w:val="003C5696"/>
    <w:rsid w:val="003C627C"/>
    <w:rsid w:val="003C7A1A"/>
    <w:rsid w:val="003D02DF"/>
    <w:rsid w:val="003D0784"/>
    <w:rsid w:val="003D080F"/>
    <w:rsid w:val="003D163A"/>
    <w:rsid w:val="003D33AE"/>
    <w:rsid w:val="003D74B6"/>
    <w:rsid w:val="003E28DA"/>
    <w:rsid w:val="003E3CEC"/>
    <w:rsid w:val="003E5576"/>
    <w:rsid w:val="003E759A"/>
    <w:rsid w:val="003E79B4"/>
    <w:rsid w:val="003F0635"/>
    <w:rsid w:val="003F225C"/>
    <w:rsid w:val="003F657A"/>
    <w:rsid w:val="0040143C"/>
    <w:rsid w:val="00402FBA"/>
    <w:rsid w:val="004038FB"/>
    <w:rsid w:val="00405341"/>
    <w:rsid w:val="00415DE7"/>
    <w:rsid w:val="00416AC7"/>
    <w:rsid w:val="00417218"/>
    <w:rsid w:val="004205B9"/>
    <w:rsid w:val="00420824"/>
    <w:rsid w:val="00423D72"/>
    <w:rsid w:val="00423D7E"/>
    <w:rsid w:val="0042619C"/>
    <w:rsid w:val="00430240"/>
    <w:rsid w:val="00430322"/>
    <w:rsid w:val="0043069F"/>
    <w:rsid w:val="00430C8D"/>
    <w:rsid w:val="00436768"/>
    <w:rsid w:val="00436D2F"/>
    <w:rsid w:val="00440C48"/>
    <w:rsid w:val="00442487"/>
    <w:rsid w:val="004425D7"/>
    <w:rsid w:val="00442A89"/>
    <w:rsid w:val="00442C09"/>
    <w:rsid w:val="00443179"/>
    <w:rsid w:val="004433C7"/>
    <w:rsid w:val="004451CB"/>
    <w:rsid w:val="00446C82"/>
    <w:rsid w:val="004554B4"/>
    <w:rsid w:val="00455C85"/>
    <w:rsid w:val="00460F28"/>
    <w:rsid w:val="004628FE"/>
    <w:rsid w:val="0046358B"/>
    <w:rsid w:val="004659A1"/>
    <w:rsid w:val="00470929"/>
    <w:rsid w:val="004709A7"/>
    <w:rsid w:val="004716D0"/>
    <w:rsid w:val="00472231"/>
    <w:rsid w:val="004725DE"/>
    <w:rsid w:val="00472E80"/>
    <w:rsid w:val="00473F71"/>
    <w:rsid w:val="00474EB9"/>
    <w:rsid w:val="0047617D"/>
    <w:rsid w:val="004805FA"/>
    <w:rsid w:val="004833D8"/>
    <w:rsid w:val="004879F2"/>
    <w:rsid w:val="0049082F"/>
    <w:rsid w:val="0049297F"/>
    <w:rsid w:val="00494686"/>
    <w:rsid w:val="00495D7E"/>
    <w:rsid w:val="004A0A17"/>
    <w:rsid w:val="004A12BE"/>
    <w:rsid w:val="004A6A99"/>
    <w:rsid w:val="004B29D7"/>
    <w:rsid w:val="004B6037"/>
    <w:rsid w:val="004B7B64"/>
    <w:rsid w:val="004C01AA"/>
    <w:rsid w:val="004C0932"/>
    <w:rsid w:val="004C10A8"/>
    <w:rsid w:val="004C21AF"/>
    <w:rsid w:val="004C30CB"/>
    <w:rsid w:val="004D282D"/>
    <w:rsid w:val="004D2ECB"/>
    <w:rsid w:val="004D642A"/>
    <w:rsid w:val="004D6C48"/>
    <w:rsid w:val="004D7C5D"/>
    <w:rsid w:val="004E0B50"/>
    <w:rsid w:val="004E34FA"/>
    <w:rsid w:val="004E374F"/>
    <w:rsid w:val="004E3879"/>
    <w:rsid w:val="004E4505"/>
    <w:rsid w:val="004E5097"/>
    <w:rsid w:val="004E5506"/>
    <w:rsid w:val="004E611F"/>
    <w:rsid w:val="004F1D42"/>
    <w:rsid w:val="004F577F"/>
    <w:rsid w:val="004F6192"/>
    <w:rsid w:val="004F6A0A"/>
    <w:rsid w:val="005003AB"/>
    <w:rsid w:val="00502508"/>
    <w:rsid w:val="00503839"/>
    <w:rsid w:val="00504CAD"/>
    <w:rsid w:val="00510150"/>
    <w:rsid w:val="00514F46"/>
    <w:rsid w:val="0051577F"/>
    <w:rsid w:val="005206F1"/>
    <w:rsid w:val="005227E7"/>
    <w:rsid w:val="00525CBF"/>
    <w:rsid w:val="00530708"/>
    <w:rsid w:val="00530B34"/>
    <w:rsid w:val="0053390F"/>
    <w:rsid w:val="00533E95"/>
    <w:rsid w:val="0053609F"/>
    <w:rsid w:val="005366E9"/>
    <w:rsid w:val="00536736"/>
    <w:rsid w:val="005370EE"/>
    <w:rsid w:val="00543634"/>
    <w:rsid w:val="00550562"/>
    <w:rsid w:val="005514FF"/>
    <w:rsid w:val="00554965"/>
    <w:rsid w:val="00555D6F"/>
    <w:rsid w:val="00555F44"/>
    <w:rsid w:val="00560E28"/>
    <w:rsid w:val="00561905"/>
    <w:rsid w:val="00564092"/>
    <w:rsid w:val="00564FCE"/>
    <w:rsid w:val="00567ECA"/>
    <w:rsid w:val="00571EC7"/>
    <w:rsid w:val="005736CD"/>
    <w:rsid w:val="005747B5"/>
    <w:rsid w:val="00575EE5"/>
    <w:rsid w:val="00581327"/>
    <w:rsid w:val="005818B1"/>
    <w:rsid w:val="00583A4C"/>
    <w:rsid w:val="00583EAD"/>
    <w:rsid w:val="00584063"/>
    <w:rsid w:val="005874C5"/>
    <w:rsid w:val="00593E8F"/>
    <w:rsid w:val="005957F7"/>
    <w:rsid w:val="0059791D"/>
    <w:rsid w:val="00597CDA"/>
    <w:rsid w:val="005A00E8"/>
    <w:rsid w:val="005A015D"/>
    <w:rsid w:val="005A17C0"/>
    <w:rsid w:val="005A245A"/>
    <w:rsid w:val="005A576C"/>
    <w:rsid w:val="005B155C"/>
    <w:rsid w:val="005B37D1"/>
    <w:rsid w:val="005B4086"/>
    <w:rsid w:val="005B4414"/>
    <w:rsid w:val="005B4ABE"/>
    <w:rsid w:val="005B5184"/>
    <w:rsid w:val="005B538A"/>
    <w:rsid w:val="005B5BF2"/>
    <w:rsid w:val="005B6DCD"/>
    <w:rsid w:val="005B6FD6"/>
    <w:rsid w:val="005B7CB9"/>
    <w:rsid w:val="005B7F8A"/>
    <w:rsid w:val="005C14D0"/>
    <w:rsid w:val="005C2289"/>
    <w:rsid w:val="005C2ADC"/>
    <w:rsid w:val="005C2D33"/>
    <w:rsid w:val="005C2DBF"/>
    <w:rsid w:val="005C4696"/>
    <w:rsid w:val="005C724C"/>
    <w:rsid w:val="005C78F0"/>
    <w:rsid w:val="005D4DEE"/>
    <w:rsid w:val="005E2F5F"/>
    <w:rsid w:val="005E468F"/>
    <w:rsid w:val="005E6B5C"/>
    <w:rsid w:val="005E7D16"/>
    <w:rsid w:val="005F1836"/>
    <w:rsid w:val="005F4FE2"/>
    <w:rsid w:val="005F55E6"/>
    <w:rsid w:val="005F58F7"/>
    <w:rsid w:val="005F5BE0"/>
    <w:rsid w:val="005F6689"/>
    <w:rsid w:val="006021BB"/>
    <w:rsid w:val="006072AE"/>
    <w:rsid w:val="00611AE3"/>
    <w:rsid w:val="00611D1B"/>
    <w:rsid w:val="00617FAF"/>
    <w:rsid w:val="00621273"/>
    <w:rsid w:val="00621486"/>
    <w:rsid w:val="00624371"/>
    <w:rsid w:val="006263C6"/>
    <w:rsid w:val="00631BF5"/>
    <w:rsid w:val="00632B2A"/>
    <w:rsid w:val="00634596"/>
    <w:rsid w:val="00635386"/>
    <w:rsid w:val="00635CAE"/>
    <w:rsid w:val="00635D87"/>
    <w:rsid w:val="00636844"/>
    <w:rsid w:val="00636962"/>
    <w:rsid w:val="006378D2"/>
    <w:rsid w:val="006378EF"/>
    <w:rsid w:val="00640E9E"/>
    <w:rsid w:val="0064354B"/>
    <w:rsid w:val="006467FA"/>
    <w:rsid w:val="00652328"/>
    <w:rsid w:val="00656526"/>
    <w:rsid w:val="00660EAF"/>
    <w:rsid w:val="006610C2"/>
    <w:rsid w:val="006633CE"/>
    <w:rsid w:val="00667D92"/>
    <w:rsid w:val="0067154F"/>
    <w:rsid w:val="00673789"/>
    <w:rsid w:val="00673932"/>
    <w:rsid w:val="00673953"/>
    <w:rsid w:val="006771F6"/>
    <w:rsid w:val="006778B0"/>
    <w:rsid w:val="00677FCD"/>
    <w:rsid w:val="0068050F"/>
    <w:rsid w:val="0068069D"/>
    <w:rsid w:val="0068462B"/>
    <w:rsid w:val="00685BF9"/>
    <w:rsid w:val="00687B5D"/>
    <w:rsid w:val="00690D0A"/>
    <w:rsid w:val="00694C2A"/>
    <w:rsid w:val="00695733"/>
    <w:rsid w:val="00697F76"/>
    <w:rsid w:val="006A1233"/>
    <w:rsid w:val="006A1B2A"/>
    <w:rsid w:val="006A46AE"/>
    <w:rsid w:val="006A55F3"/>
    <w:rsid w:val="006B0D95"/>
    <w:rsid w:val="006B4853"/>
    <w:rsid w:val="006B7E12"/>
    <w:rsid w:val="006C0F42"/>
    <w:rsid w:val="006C1E56"/>
    <w:rsid w:val="006C31F4"/>
    <w:rsid w:val="006C4685"/>
    <w:rsid w:val="006C6493"/>
    <w:rsid w:val="006C7638"/>
    <w:rsid w:val="006D48E5"/>
    <w:rsid w:val="006D5444"/>
    <w:rsid w:val="006D589F"/>
    <w:rsid w:val="006D6E4D"/>
    <w:rsid w:val="006E1C01"/>
    <w:rsid w:val="006F091A"/>
    <w:rsid w:val="006F456E"/>
    <w:rsid w:val="006F45B7"/>
    <w:rsid w:val="006F51A4"/>
    <w:rsid w:val="006F5734"/>
    <w:rsid w:val="006F5E5E"/>
    <w:rsid w:val="006F64BE"/>
    <w:rsid w:val="006F6EB2"/>
    <w:rsid w:val="00700687"/>
    <w:rsid w:val="0070197F"/>
    <w:rsid w:val="00702428"/>
    <w:rsid w:val="00704F4D"/>
    <w:rsid w:val="00705F08"/>
    <w:rsid w:val="00712708"/>
    <w:rsid w:val="0071347E"/>
    <w:rsid w:val="00713B59"/>
    <w:rsid w:val="00715310"/>
    <w:rsid w:val="007167A2"/>
    <w:rsid w:val="0072142C"/>
    <w:rsid w:val="00721BF2"/>
    <w:rsid w:val="00723521"/>
    <w:rsid w:val="007247B7"/>
    <w:rsid w:val="00726427"/>
    <w:rsid w:val="00727901"/>
    <w:rsid w:val="00727FDF"/>
    <w:rsid w:val="00730D42"/>
    <w:rsid w:val="0073107B"/>
    <w:rsid w:val="007314D5"/>
    <w:rsid w:val="007344E4"/>
    <w:rsid w:val="00734846"/>
    <w:rsid w:val="007407FA"/>
    <w:rsid w:val="007408E7"/>
    <w:rsid w:val="00741BE6"/>
    <w:rsid w:val="00742F1F"/>
    <w:rsid w:val="00744C4A"/>
    <w:rsid w:val="007526A4"/>
    <w:rsid w:val="007526B9"/>
    <w:rsid w:val="00760701"/>
    <w:rsid w:val="00760B04"/>
    <w:rsid w:val="00760D50"/>
    <w:rsid w:val="00762773"/>
    <w:rsid w:val="00762B91"/>
    <w:rsid w:val="00765156"/>
    <w:rsid w:val="00765AE7"/>
    <w:rsid w:val="007661E7"/>
    <w:rsid w:val="0076717A"/>
    <w:rsid w:val="00767FDB"/>
    <w:rsid w:val="007715E9"/>
    <w:rsid w:val="00772ACA"/>
    <w:rsid w:val="00777987"/>
    <w:rsid w:val="00780E71"/>
    <w:rsid w:val="007818B6"/>
    <w:rsid w:val="00782D4F"/>
    <w:rsid w:val="0078348D"/>
    <w:rsid w:val="007869E6"/>
    <w:rsid w:val="00787622"/>
    <w:rsid w:val="007921B5"/>
    <w:rsid w:val="00794ACC"/>
    <w:rsid w:val="00795769"/>
    <w:rsid w:val="00796965"/>
    <w:rsid w:val="00796ED6"/>
    <w:rsid w:val="007973BD"/>
    <w:rsid w:val="007A1784"/>
    <w:rsid w:val="007A4E00"/>
    <w:rsid w:val="007A57B5"/>
    <w:rsid w:val="007A5992"/>
    <w:rsid w:val="007B1B4F"/>
    <w:rsid w:val="007B3861"/>
    <w:rsid w:val="007B3BED"/>
    <w:rsid w:val="007B4F8F"/>
    <w:rsid w:val="007B50BD"/>
    <w:rsid w:val="007B5CC2"/>
    <w:rsid w:val="007C0158"/>
    <w:rsid w:val="007C1054"/>
    <w:rsid w:val="007C215C"/>
    <w:rsid w:val="007C27BC"/>
    <w:rsid w:val="007C2E6D"/>
    <w:rsid w:val="007C34CA"/>
    <w:rsid w:val="007C3A57"/>
    <w:rsid w:val="007C47F3"/>
    <w:rsid w:val="007C49A5"/>
    <w:rsid w:val="007C6C51"/>
    <w:rsid w:val="007C7506"/>
    <w:rsid w:val="007D1E6D"/>
    <w:rsid w:val="007D308C"/>
    <w:rsid w:val="007D4263"/>
    <w:rsid w:val="007D6331"/>
    <w:rsid w:val="007D652F"/>
    <w:rsid w:val="007E2545"/>
    <w:rsid w:val="007E2DE0"/>
    <w:rsid w:val="007E4405"/>
    <w:rsid w:val="007E6BCC"/>
    <w:rsid w:val="007E786F"/>
    <w:rsid w:val="007F216F"/>
    <w:rsid w:val="007F3849"/>
    <w:rsid w:val="007F6D1F"/>
    <w:rsid w:val="007F7933"/>
    <w:rsid w:val="008020AC"/>
    <w:rsid w:val="00803456"/>
    <w:rsid w:val="008132AE"/>
    <w:rsid w:val="00813625"/>
    <w:rsid w:val="008137D7"/>
    <w:rsid w:val="008138EE"/>
    <w:rsid w:val="0081542B"/>
    <w:rsid w:val="00816A34"/>
    <w:rsid w:val="00821062"/>
    <w:rsid w:val="008216D0"/>
    <w:rsid w:val="0082369B"/>
    <w:rsid w:val="00823AE8"/>
    <w:rsid w:val="00823D31"/>
    <w:rsid w:val="00830489"/>
    <w:rsid w:val="008334C6"/>
    <w:rsid w:val="00841E65"/>
    <w:rsid w:val="008428B2"/>
    <w:rsid w:val="008433C0"/>
    <w:rsid w:val="00844EDB"/>
    <w:rsid w:val="00853507"/>
    <w:rsid w:val="00853E27"/>
    <w:rsid w:val="0085737D"/>
    <w:rsid w:val="00857B4B"/>
    <w:rsid w:val="00857C31"/>
    <w:rsid w:val="00860F1D"/>
    <w:rsid w:val="0086365F"/>
    <w:rsid w:val="00865EBB"/>
    <w:rsid w:val="008664EA"/>
    <w:rsid w:val="0086738C"/>
    <w:rsid w:val="00867FF3"/>
    <w:rsid w:val="008728C1"/>
    <w:rsid w:val="00876992"/>
    <w:rsid w:val="00877AE4"/>
    <w:rsid w:val="00881697"/>
    <w:rsid w:val="00882ADA"/>
    <w:rsid w:val="008921C0"/>
    <w:rsid w:val="00893A91"/>
    <w:rsid w:val="00894701"/>
    <w:rsid w:val="008A0148"/>
    <w:rsid w:val="008A24FC"/>
    <w:rsid w:val="008A5DFF"/>
    <w:rsid w:val="008B118A"/>
    <w:rsid w:val="008B1A68"/>
    <w:rsid w:val="008B2651"/>
    <w:rsid w:val="008B6CCE"/>
    <w:rsid w:val="008C3F44"/>
    <w:rsid w:val="008C63C3"/>
    <w:rsid w:val="008C7209"/>
    <w:rsid w:val="008C7901"/>
    <w:rsid w:val="008D341A"/>
    <w:rsid w:val="008D43BB"/>
    <w:rsid w:val="008D736C"/>
    <w:rsid w:val="008E37AB"/>
    <w:rsid w:val="008E4B35"/>
    <w:rsid w:val="008E4BCC"/>
    <w:rsid w:val="008E543B"/>
    <w:rsid w:val="008E6B01"/>
    <w:rsid w:val="008E7717"/>
    <w:rsid w:val="008F10F3"/>
    <w:rsid w:val="008F23BE"/>
    <w:rsid w:val="008F4983"/>
    <w:rsid w:val="008F6E72"/>
    <w:rsid w:val="008F7C1B"/>
    <w:rsid w:val="00903553"/>
    <w:rsid w:val="00903BF2"/>
    <w:rsid w:val="009054CD"/>
    <w:rsid w:val="0090670E"/>
    <w:rsid w:val="00911B70"/>
    <w:rsid w:val="009138AA"/>
    <w:rsid w:val="00913D60"/>
    <w:rsid w:val="00916FE1"/>
    <w:rsid w:val="00917175"/>
    <w:rsid w:val="00917B51"/>
    <w:rsid w:val="00917D98"/>
    <w:rsid w:val="00921243"/>
    <w:rsid w:val="00922249"/>
    <w:rsid w:val="00922DE6"/>
    <w:rsid w:val="00923CE3"/>
    <w:rsid w:val="00924B6F"/>
    <w:rsid w:val="00926146"/>
    <w:rsid w:val="0092783C"/>
    <w:rsid w:val="00931C0F"/>
    <w:rsid w:val="00932E17"/>
    <w:rsid w:val="009353F6"/>
    <w:rsid w:val="00940F46"/>
    <w:rsid w:val="0094324B"/>
    <w:rsid w:val="0094579C"/>
    <w:rsid w:val="00946C1A"/>
    <w:rsid w:val="009472F6"/>
    <w:rsid w:val="00951E65"/>
    <w:rsid w:val="00953052"/>
    <w:rsid w:val="00957C95"/>
    <w:rsid w:val="00960B08"/>
    <w:rsid w:val="00960E72"/>
    <w:rsid w:val="0096274B"/>
    <w:rsid w:val="00967928"/>
    <w:rsid w:val="00972028"/>
    <w:rsid w:val="00973F71"/>
    <w:rsid w:val="00977CF9"/>
    <w:rsid w:val="00984CDD"/>
    <w:rsid w:val="00985C49"/>
    <w:rsid w:val="0099134F"/>
    <w:rsid w:val="00993218"/>
    <w:rsid w:val="00993AF1"/>
    <w:rsid w:val="00995FE3"/>
    <w:rsid w:val="009974FC"/>
    <w:rsid w:val="009A17F3"/>
    <w:rsid w:val="009A2DBB"/>
    <w:rsid w:val="009A32FB"/>
    <w:rsid w:val="009A5725"/>
    <w:rsid w:val="009A5D33"/>
    <w:rsid w:val="009A6BE4"/>
    <w:rsid w:val="009B0D56"/>
    <w:rsid w:val="009B1264"/>
    <w:rsid w:val="009B1744"/>
    <w:rsid w:val="009B35CD"/>
    <w:rsid w:val="009B3714"/>
    <w:rsid w:val="009B5E19"/>
    <w:rsid w:val="009B6381"/>
    <w:rsid w:val="009B669B"/>
    <w:rsid w:val="009B7AE3"/>
    <w:rsid w:val="009C019B"/>
    <w:rsid w:val="009C1250"/>
    <w:rsid w:val="009C2673"/>
    <w:rsid w:val="009C37C3"/>
    <w:rsid w:val="009C4992"/>
    <w:rsid w:val="009C4CE3"/>
    <w:rsid w:val="009C5ECD"/>
    <w:rsid w:val="009C624C"/>
    <w:rsid w:val="009C62C7"/>
    <w:rsid w:val="009C6F44"/>
    <w:rsid w:val="009C7D07"/>
    <w:rsid w:val="009D6BED"/>
    <w:rsid w:val="009D77E2"/>
    <w:rsid w:val="009D7EA7"/>
    <w:rsid w:val="009E22B5"/>
    <w:rsid w:val="009E2DB2"/>
    <w:rsid w:val="009E31AA"/>
    <w:rsid w:val="009E4372"/>
    <w:rsid w:val="009E7EAD"/>
    <w:rsid w:val="009F085D"/>
    <w:rsid w:val="009F0EF3"/>
    <w:rsid w:val="009F2150"/>
    <w:rsid w:val="009F3178"/>
    <w:rsid w:val="009F3A6B"/>
    <w:rsid w:val="009F481F"/>
    <w:rsid w:val="009F695C"/>
    <w:rsid w:val="00A00595"/>
    <w:rsid w:val="00A00644"/>
    <w:rsid w:val="00A02584"/>
    <w:rsid w:val="00A03378"/>
    <w:rsid w:val="00A03A98"/>
    <w:rsid w:val="00A03FDA"/>
    <w:rsid w:val="00A045E8"/>
    <w:rsid w:val="00A137E5"/>
    <w:rsid w:val="00A1689A"/>
    <w:rsid w:val="00A20722"/>
    <w:rsid w:val="00A23C02"/>
    <w:rsid w:val="00A24166"/>
    <w:rsid w:val="00A254F8"/>
    <w:rsid w:val="00A305B1"/>
    <w:rsid w:val="00A30818"/>
    <w:rsid w:val="00A31905"/>
    <w:rsid w:val="00A31CF5"/>
    <w:rsid w:val="00A3231D"/>
    <w:rsid w:val="00A34A5F"/>
    <w:rsid w:val="00A34F6C"/>
    <w:rsid w:val="00A36924"/>
    <w:rsid w:val="00A40620"/>
    <w:rsid w:val="00A408BC"/>
    <w:rsid w:val="00A42DE6"/>
    <w:rsid w:val="00A43E71"/>
    <w:rsid w:val="00A4466A"/>
    <w:rsid w:val="00A45677"/>
    <w:rsid w:val="00A46057"/>
    <w:rsid w:val="00A5002C"/>
    <w:rsid w:val="00A5073D"/>
    <w:rsid w:val="00A5138A"/>
    <w:rsid w:val="00A513F2"/>
    <w:rsid w:val="00A522BC"/>
    <w:rsid w:val="00A53A9A"/>
    <w:rsid w:val="00A53D2A"/>
    <w:rsid w:val="00A5403A"/>
    <w:rsid w:val="00A54B66"/>
    <w:rsid w:val="00A5653F"/>
    <w:rsid w:val="00A56588"/>
    <w:rsid w:val="00A612E9"/>
    <w:rsid w:val="00A6135B"/>
    <w:rsid w:val="00A6199B"/>
    <w:rsid w:val="00A6319F"/>
    <w:rsid w:val="00A63D03"/>
    <w:rsid w:val="00A67C88"/>
    <w:rsid w:val="00A726CB"/>
    <w:rsid w:val="00A73B91"/>
    <w:rsid w:val="00A74344"/>
    <w:rsid w:val="00A75DF2"/>
    <w:rsid w:val="00A77F1F"/>
    <w:rsid w:val="00A80263"/>
    <w:rsid w:val="00A828AA"/>
    <w:rsid w:val="00A854D5"/>
    <w:rsid w:val="00A85C57"/>
    <w:rsid w:val="00A94257"/>
    <w:rsid w:val="00A9459C"/>
    <w:rsid w:val="00A96631"/>
    <w:rsid w:val="00A9771A"/>
    <w:rsid w:val="00A97BEB"/>
    <w:rsid w:val="00AA01AE"/>
    <w:rsid w:val="00AA17D3"/>
    <w:rsid w:val="00AA1F52"/>
    <w:rsid w:val="00AA3D9E"/>
    <w:rsid w:val="00AA469B"/>
    <w:rsid w:val="00AA5567"/>
    <w:rsid w:val="00AA58B7"/>
    <w:rsid w:val="00AA5F69"/>
    <w:rsid w:val="00AA7430"/>
    <w:rsid w:val="00AB04D7"/>
    <w:rsid w:val="00AB092B"/>
    <w:rsid w:val="00AB0A6C"/>
    <w:rsid w:val="00AB1CCB"/>
    <w:rsid w:val="00AB6BA3"/>
    <w:rsid w:val="00AC2BF6"/>
    <w:rsid w:val="00AC35D0"/>
    <w:rsid w:val="00AC4175"/>
    <w:rsid w:val="00AC5C4D"/>
    <w:rsid w:val="00AD06BB"/>
    <w:rsid w:val="00AD1754"/>
    <w:rsid w:val="00AD1972"/>
    <w:rsid w:val="00AD2D1F"/>
    <w:rsid w:val="00AD30C0"/>
    <w:rsid w:val="00AD37B2"/>
    <w:rsid w:val="00AD46D8"/>
    <w:rsid w:val="00AD57DE"/>
    <w:rsid w:val="00AD6152"/>
    <w:rsid w:val="00AD6344"/>
    <w:rsid w:val="00AE0817"/>
    <w:rsid w:val="00AE0D41"/>
    <w:rsid w:val="00AE12A8"/>
    <w:rsid w:val="00AE7E45"/>
    <w:rsid w:val="00AF0128"/>
    <w:rsid w:val="00AF47DB"/>
    <w:rsid w:val="00AF5C69"/>
    <w:rsid w:val="00AF76D2"/>
    <w:rsid w:val="00B01977"/>
    <w:rsid w:val="00B0754E"/>
    <w:rsid w:val="00B1091B"/>
    <w:rsid w:val="00B10D3F"/>
    <w:rsid w:val="00B119EA"/>
    <w:rsid w:val="00B12289"/>
    <w:rsid w:val="00B123B0"/>
    <w:rsid w:val="00B1549A"/>
    <w:rsid w:val="00B16569"/>
    <w:rsid w:val="00B17116"/>
    <w:rsid w:val="00B17BE0"/>
    <w:rsid w:val="00B20A14"/>
    <w:rsid w:val="00B221CB"/>
    <w:rsid w:val="00B2380C"/>
    <w:rsid w:val="00B2706B"/>
    <w:rsid w:val="00B324F5"/>
    <w:rsid w:val="00B33EAF"/>
    <w:rsid w:val="00B36BE9"/>
    <w:rsid w:val="00B40532"/>
    <w:rsid w:val="00B413EA"/>
    <w:rsid w:val="00B41B56"/>
    <w:rsid w:val="00B4520F"/>
    <w:rsid w:val="00B45E2A"/>
    <w:rsid w:val="00B47748"/>
    <w:rsid w:val="00B509EA"/>
    <w:rsid w:val="00B517DA"/>
    <w:rsid w:val="00B54F6B"/>
    <w:rsid w:val="00B556F6"/>
    <w:rsid w:val="00B57364"/>
    <w:rsid w:val="00B66448"/>
    <w:rsid w:val="00B726D3"/>
    <w:rsid w:val="00B754DB"/>
    <w:rsid w:val="00B755F1"/>
    <w:rsid w:val="00B75FB9"/>
    <w:rsid w:val="00B77749"/>
    <w:rsid w:val="00B803D0"/>
    <w:rsid w:val="00B8186B"/>
    <w:rsid w:val="00B83A32"/>
    <w:rsid w:val="00B84143"/>
    <w:rsid w:val="00B85065"/>
    <w:rsid w:val="00B86323"/>
    <w:rsid w:val="00B91825"/>
    <w:rsid w:val="00B91AD7"/>
    <w:rsid w:val="00B92B6F"/>
    <w:rsid w:val="00B930CD"/>
    <w:rsid w:val="00B93CFA"/>
    <w:rsid w:val="00B943F0"/>
    <w:rsid w:val="00B9491D"/>
    <w:rsid w:val="00B94C6D"/>
    <w:rsid w:val="00B9524B"/>
    <w:rsid w:val="00B97C54"/>
    <w:rsid w:val="00BA35E1"/>
    <w:rsid w:val="00BB240E"/>
    <w:rsid w:val="00BB2D17"/>
    <w:rsid w:val="00BB338F"/>
    <w:rsid w:val="00BB4F66"/>
    <w:rsid w:val="00BB6CB3"/>
    <w:rsid w:val="00BB7F73"/>
    <w:rsid w:val="00BC0000"/>
    <w:rsid w:val="00BC10E8"/>
    <w:rsid w:val="00BC128F"/>
    <w:rsid w:val="00BC2826"/>
    <w:rsid w:val="00BC28DC"/>
    <w:rsid w:val="00BC4A44"/>
    <w:rsid w:val="00BC6539"/>
    <w:rsid w:val="00BC6589"/>
    <w:rsid w:val="00BC6AC9"/>
    <w:rsid w:val="00BD2064"/>
    <w:rsid w:val="00BD27F8"/>
    <w:rsid w:val="00BD5E63"/>
    <w:rsid w:val="00BE18D5"/>
    <w:rsid w:val="00BE20FE"/>
    <w:rsid w:val="00BE22FA"/>
    <w:rsid w:val="00BE35D2"/>
    <w:rsid w:val="00BE73DB"/>
    <w:rsid w:val="00BE7DF0"/>
    <w:rsid w:val="00BF4097"/>
    <w:rsid w:val="00BF437C"/>
    <w:rsid w:val="00C01FBA"/>
    <w:rsid w:val="00C02AFE"/>
    <w:rsid w:val="00C03928"/>
    <w:rsid w:val="00C04AAD"/>
    <w:rsid w:val="00C06C26"/>
    <w:rsid w:val="00C0720C"/>
    <w:rsid w:val="00C100C6"/>
    <w:rsid w:val="00C14B3A"/>
    <w:rsid w:val="00C14D27"/>
    <w:rsid w:val="00C174BB"/>
    <w:rsid w:val="00C21785"/>
    <w:rsid w:val="00C23FFD"/>
    <w:rsid w:val="00C24DD0"/>
    <w:rsid w:val="00C24FA3"/>
    <w:rsid w:val="00C26637"/>
    <w:rsid w:val="00C26AA2"/>
    <w:rsid w:val="00C315FE"/>
    <w:rsid w:val="00C31F3E"/>
    <w:rsid w:val="00C32ECE"/>
    <w:rsid w:val="00C359C0"/>
    <w:rsid w:val="00C35BF9"/>
    <w:rsid w:val="00C410F5"/>
    <w:rsid w:val="00C415DF"/>
    <w:rsid w:val="00C41A6C"/>
    <w:rsid w:val="00C435BD"/>
    <w:rsid w:val="00C51B58"/>
    <w:rsid w:val="00C52274"/>
    <w:rsid w:val="00C5302A"/>
    <w:rsid w:val="00C53314"/>
    <w:rsid w:val="00C53FED"/>
    <w:rsid w:val="00C54ED4"/>
    <w:rsid w:val="00C555FB"/>
    <w:rsid w:val="00C605C0"/>
    <w:rsid w:val="00C609C1"/>
    <w:rsid w:val="00C62B7B"/>
    <w:rsid w:val="00C632DB"/>
    <w:rsid w:val="00C705CB"/>
    <w:rsid w:val="00C70621"/>
    <w:rsid w:val="00C706E8"/>
    <w:rsid w:val="00C70DA9"/>
    <w:rsid w:val="00C728D5"/>
    <w:rsid w:val="00C76A8C"/>
    <w:rsid w:val="00C77107"/>
    <w:rsid w:val="00C8003A"/>
    <w:rsid w:val="00C80749"/>
    <w:rsid w:val="00C81271"/>
    <w:rsid w:val="00C82093"/>
    <w:rsid w:val="00C84B48"/>
    <w:rsid w:val="00C8565A"/>
    <w:rsid w:val="00C85CA1"/>
    <w:rsid w:val="00C86F31"/>
    <w:rsid w:val="00C87B38"/>
    <w:rsid w:val="00C902C9"/>
    <w:rsid w:val="00C904BF"/>
    <w:rsid w:val="00C93485"/>
    <w:rsid w:val="00C947E4"/>
    <w:rsid w:val="00C95A29"/>
    <w:rsid w:val="00C9692C"/>
    <w:rsid w:val="00C976C3"/>
    <w:rsid w:val="00C97F9A"/>
    <w:rsid w:val="00CA19D9"/>
    <w:rsid w:val="00CA203C"/>
    <w:rsid w:val="00CA2B73"/>
    <w:rsid w:val="00CA2CC2"/>
    <w:rsid w:val="00CA53C4"/>
    <w:rsid w:val="00CB4E37"/>
    <w:rsid w:val="00CB4F16"/>
    <w:rsid w:val="00CB53A3"/>
    <w:rsid w:val="00CB5648"/>
    <w:rsid w:val="00CB5BE4"/>
    <w:rsid w:val="00CC141B"/>
    <w:rsid w:val="00CC2105"/>
    <w:rsid w:val="00CC35D3"/>
    <w:rsid w:val="00CC420B"/>
    <w:rsid w:val="00CC4374"/>
    <w:rsid w:val="00CC5614"/>
    <w:rsid w:val="00CC6CB3"/>
    <w:rsid w:val="00CC79B4"/>
    <w:rsid w:val="00CD1F7B"/>
    <w:rsid w:val="00CD2743"/>
    <w:rsid w:val="00CD35C8"/>
    <w:rsid w:val="00CD3B52"/>
    <w:rsid w:val="00CD4D57"/>
    <w:rsid w:val="00CD5CF2"/>
    <w:rsid w:val="00CD5DD6"/>
    <w:rsid w:val="00CD6666"/>
    <w:rsid w:val="00CD6958"/>
    <w:rsid w:val="00CD79F2"/>
    <w:rsid w:val="00CE0125"/>
    <w:rsid w:val="00CE022B"/>
    <w:rsid w:val="00CE07ED"/>
    <w:rsid w:val="00CE2905"/>
    <w:rsid w:val="00CE2BB1"/>
    <w:rsid w:val="00CE3ECC"/>
    <w:rsid w:val="00CE40F7"/>
    <w:rsid w:val="00CE59B0"/>
    <w:rsid w:val="00CE601B"/>
    <w:rsid w:val="00CF1655"/>
    <w:rsid w:val="00CF1774"/>
    <w:rsid w:val="00CF7122"/>
    <w:rsid w:val="00D00748"/>
    <w:rsid w:val="00D02AB7"/>
    <w:rsid w:val="00D02B50"/>
    <w:rsid w:val="00D03391"/>
    <w:rsid w:val="00D03BF7"/>
    <w:rsid w:val="00D0551A"/>
    <w:rsid w:val="00D06AF3"/>
    <w:rsid w:val="00D0733D"/>
    <w:rsid w:val="00D073F2"/>
    <w:rsid w:val="00D100BA"/>
    <w:rsid w:val="00D114D3"/>
    <w:rsid w:val="00D137F7"/>
    <w:rsid w:val="00D148E3"/>
    <w:rsid w:val="00D17287"/>
    <w:rsid w:val="00D237CA"/>
    <w:rsid w:val="00D249B8"/>
    <w:rsid w:val="00D448A0"/>
    <w:rsid w:val="00D46EF7"/>
    <w:rsid w:val="00D5274A"/>
    <w:rsid w:val="00D542D5"/>
    <w:rsid w:val="00D557F6"/>
    <w:rsid w:val="00D619F8"/>
    <w:rsid w:val="00D6215A"/>
    <w:rsid w:val="00D62685"/>
    <w:rsid w:val="00D63546"/>
    <w:rsid w:val="00D64920"/>
    <w:rsid w:val="00D65BE1"/>
    <w:rsid w:val="00D67422"/>
    <w:rsid w:val="00D67972"/>
    <w:rsid w:val="00D71F4D"/>
    <w:rsid w:val="00D7436C"/>
    <w:rsid w:val="00D83E2D"/>
    <w:rsid w:val="00D85454"/>
    <w:rsid w:val="00D85662"/>
    <w:rsid w:val="00D86F6F"/>
    <w:rsid w:val="00D86F8E"/>
    <w:rsid w:val="00D875D6"/>
    <w:rsid w:val="00D93674"/>
    <w:rsid w:val="00D938B3"/>
    <w:rsid w:val="00D948E2"/>
    <w:rsid w:val="00D9545D"/>
    <w:rsid w:val="00D95A2E"/>
    <w:rsid w:val="00D95E42"/>
    <w:rsid w:val="00D96B61"/>
    <w:rsid w:val="00D96F7E"/>
    <w:rsid w:val="00D97714"/>
    <w:rsid w:val="00DA1351"/>
    <w:rsid w:val="00DB02D0"/>
    <w:rsid w:val="00DB0C0C"/>
    <w:rsid w:val="00DB34C4"/>
    <w:rsid w:val="00DB6E67"/>
    <w:rsid w:val="00DC09FB"/>
    <w:rsid w:val="00DC1391"/>
    <w:rsid w:val="00DC1AF7"/>
    <w:rsid w:val="00DC3658"/>
    <w:rsid w:val="00DC40FD"/>
    <w:rsid w:val="00DC650B"/>
    <w:rsid w:val="00DC7FF9"/>
    <w:rsid w:val="00DD1931"/>
    <w:rsid w:val="00DD195C"/>
    <w:rsid w:val="00DD5A8C"/>
    <w:rsid w:val="00DD675D"/>
    <w:rsid w:val="00DE1D85"/>
    <w:rsid w:val="00DE5065"/>
    <w:rsid w:val="00DE696D"/>
    <w:rsid w:val="00DF1644"/>
    <w:rsid w:val="00DF5246"/>
    <w:rsid w:val="00DF6559"/>
    <w:rsid w:val="00E02C72"/>
    <w:rsid w:val="00E04371"/>
    <w:rsid w:val="00E04726"/>
    <w:rsid w:val="00E04CAE"/>
    <w:rsid w:val="00E05468"/>
    <w:rsid w:val="00E06C9B"/>
    <w:rsid w:val="00E07B12"/>
    <w:rsid w:val="00E10365"/>
    <w:rsid w:val="00E10883"/>
    <w:rsid w:val="00E10F5A"/>
    <w:rsid w:val="00E12D9A"/>
    <w:rsid w:val="00E1532A"/>
    <w:rsid w:val="00E15ABD"/>
    <w:rsid w:val="00E20327"/>
    <w:rsid w:val="00E2416E"/>
    <w:rsid w:val="00E244BF"/>
    <w:rsid w:val="00E25A7D"/>
    <w:rsid w:val="00E268CE"/>
    <w:rsid w:val="00E26CCA"/>
    <w:rsid w:val="00E32498"/>
    <w:rsid w:val="00E33012"/>
    <w:rsid w:val="00E33A39"/>
    <w:rsid w:val="00E353CF"/>
    <w:rsid w:val="00E3590E"/>
    <w:rsid w:val="00E36445"/>
    <w:rsid w:val="00E37C5D"/>
    <w:rsid w:val="00E41D48"/>
    <w:rsid w:val="00E4385A"/>
    <w:rsid w:val="00E4401A"/>
    <w:rsid w:val="00E44DB3"/>
    <w:rsid w:val="00E4595A"/>
    <w:rsid w:val="00E45A71"/>
    <w:rsid w:val="00E45CC0"/>
    <w:rsid w:val="00E50A36"/>
    <w:rsid w:val="00E5147D"/>
    <w:rsid w:val="00E52B90"/>
    <w:rsid w:val="00E5304C"/>
    <w:rsid w:val="00E54ADC"/>
    <w:rsid w:val="00E570F0"/>
    <w:rsid w:val="00E625D9"/>
    <w:rsid w:val="00E642A2"/>
    <w:rsid w:val="00E6470A"/>
    <w:rsid w:val="00E7112E"/>
    <w:rsid w:val="00E71B13"/>
    <w:rsid w:val="00E72989"/>
    <w:rsid w:val="00E75A31"/>
    <w:rsid w:val="00E768FA"/>
    <w:rsid w:val="00E80E62"/>
    <w:rsid w:val="00E82D0C"/>
    <w:rsid w:val="00E84AFF"/>
    <w:rsid w:val="00E87B76"/>
    <w:rsid w:val="00E900FA"/>
    <w:rsid w:val="00E90A2D"/>
    <w:rsid w:val="00E9332B"/>
    <w:rsid w:val="00E94447"/>
    <w:rsid w:val="00E97C1B"/>
    <w:rsid w:val="00EA1CAB"/>
    <w:rsid w:val="00EA3938"/>
    <w:rsid w:val="00EA3C4F"/>
    <w:rsid w:val="00EA45F2"/>
    <w:rsid w:val="00EA4B5E"/>
    <w:rsid w:val="00EA55AD"/>
    <w:rsid w:val="00EA79B7"/>
    <w:rsid w:val="00EB001E"/>
    <w:rsid w:val="00EB1604"/>
    <w:rsid w:val="00EB1793"/>
    <w:rsid w:val="00EB214D"/>
    <w:rsid w:val="00EB4894"/>
    <w:rsid w:val="00EB6ED2"/>
    <w:rsid w:val="00EC4D7A"/>
    <w:rsid w:val="00EC55B7"/>
    <w:rsid w:val="00EC6368"/>
    <w:rsid w:val="00EC6AFA"/>
    <w:rsid w:val="00ED03CC"/>
    <w:rsid w:val="00ED4EAD"/>
    <w:rsid w:val="00ED781C"/>
    <w:rsid w:val="00EE04AC"/>
    <w:rsid w:val="00EE0D4F"/>
    <w:rsid w:val="00EE45BE"/>
    <w:rsid w:val="00EE4972"/>
    <w:rsid w:val="00EE6EB1"/>
    <w:rsid w:val="00EF0014"/>
    <w:rsid w:val="00EF3E0C"/>
    <w:rsid w:val="00EF463A"/>
    <w:rsid w:val="00EF527C"/>
    <w:rsid w:val="00EF5A78"/>
    <w:rsid w:val="00EF609F"/>
    <w:rsid w:val="00EF67C6"/>
    <w:rsid w:val="00EF703A"/>
    <w:rsid w:val="00F01DDD"/>
    <w:rsid w:val="00F05CCB"/>
    <w:rsid w:val="00F06CF8"/>
    <w:rsid w:val="00F11E4C"/>
    <w:rsid w:val="00F12EA5"/>
    <w:rsid w:val="00F1412F"/>
    <w:rsid w:val="00F15C4B"/>
    <w:rsid w:val="00F1660B"/>
    <w:rsid w:val="00F1662A"/>
    <w:rsid w:val="00F16FA7"/>
    <w:rsid w:val="00F22F23"/>
    <w:rsid w:val="00F24E83"/>
    <w:rsid w:val="00F25054"/>
    <w:rsid w:val="00F258C7"/>
    <w:rsid w:val="00F25B0E"/>
    <w:rsid w:val="00F26208"/>
    <w:rsid w:val="00F27874"/>
    <w:rsid w:val="00F3120E"/>
    <w:rsid w:val="00F32B16"/>
    <w:rsid w:val="00F32F14"/>
    <w:rsid w:val="00F36378"/>
    <w:rsid w:val="00F374B8"/>
    <w:rsid w:val="00F40965"/>
    <w:rsid w:val="00F41B75"/>
    <w:rsid w:val="00F4318A"/>
    <w:rsid w:val="00F44D27"/>
    <w:rsid w:val="00F46EEB"/>
    <w:rsid w:val="00F51264"/>
    <w:rsid w:val="00F5320A"/>
    <w:rsid w:val="00F6200A"/>
    <w:rsid w:val="00F62F5D"/>
    <w:rsid w:val="00F64ABC"/>
    <w:rsid w:val="00F64FF1"/>
    <w:rsid w:val="00F66266"/>
    <w:rsid w:val="00F66D0A"/>
    <w:rsid w:val="00F67012"/>
    <w:rsid w:val="00F7353F"/>
    <w:rsid w:val="00F73DA2"/>
    <w:rsid w:val="00F74988"/>
    <w:rsid w:val="00F82050"/>
    <w:rsid w:val="00F83763"/>
    <w:rsid w:val="00F8427D"/>
    <w:rsid w:val="00F84485"/>
    <w:rsid w:val="00F902AF"/>
    <w:rsid w:val="00F92357"/>
    <w:rsid w:val="00F9460D"/>
    <w:rsid w:val="00F96B54"/>
    <w:rsid w:val="00F97333"/>
    <w:rsid w:val="00F9738D"/>
    <w:rsid w:val="00FA16AB"/>
    <w:rsid w:val="00FA4A83"/>
    <w:rsid w:val="00FA522F"/>
    <w:rsid w:val="00FB2D74"/>
    <w:rsid w:val="00FB4FEC"/>
    <w:rsid w:val="00FB5FE8"/>
    <w:rsid w:val="00FB6C48"/>
    <w:rsid w:val="00FC17B7"/>
    <w:rsid w:val="00FC18CB"/>
    <w:rsid w:val="00FC1E04"/>
    <w:rsid w:val="00FC3D69"/>
    <w:rsid w:val="00FD2AD6"/>
    <w:rsid w:val="00FD7023"/>
    <w:rsid w:val="00FE051F"/>
    <w:rsid w:val="00FE0D5D"/>
    <w:rsid w:val="00FE2099"/>
    <w:rsid w:val="00FE2D7A"/>
    <w:rsid w:val="00FE3CBE"/>
    <w:rsid w:val="00FE471A"/>
    <w:rsid w:val="00FE5448"/>
    <w:rsid w:val="00FF4C4F"/>
    <w:rsid w:val="00FF73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410DEF1"/>
  <w15:chartTrackingRefBased/>
  <w15:docId w15:val="{6EA84D64-ECA2-A641-846A-5C993FAAF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9C019B"/>
    <w:rPr>
      <w:sz w:val="24"/>
      <w:szCs w:val="24"/>
    </w:rPr>
  </w:style>
  <w:style w:type="paragraph" w:styleId="Heading1">
    <w:name w:val="heading 1"/>
    <w:basedOn w:val="Normal"/>
    <w:next w:val="Normal"/>
    <w:link w:val="Heading1Char"/>
    <w:qFormat/>
    <w:rsid w:val="009C7D07"/>
    <w:pPr>
      <w:keepNext/>
      <w:keepLines/>
      <w:spacing w:before="240" w:line="480" w:lineRule="auto"/>
      <w:outlineLvl w:val="0"/>
    </w:pPr>
    <w:rPr>
      <w:rFonts w:eastAsiaTheme="majorEastAsia" w:cstheme="majorBidi"/>
      <w:b/>
      <w:color w:val="000000" w:themeColor="text1"/>
      <w:szCs w:val="32"/>
      <w:lang w:eastAsia="en-US"/>
    </w:rPr>
  </w:style>
  <w:style w:type="paragraph" w:styleId="Heading2">
    <w:name w:val="heading 2"/>
    <w:basedOn w:val="Normal"/>
    <w:next w:val="Normal"/>
    <w:link w:val="Heading2Char"/>
    <w:unhideWhenUsed/>
    <w:qFormat/>
    <w:rsid w:val="009C7D07"/>
    <w:pPr>
      <w:keepNext/>
      <w:keepLines/>
      <w:spacing w:before="240" w:after="240"/>
      <w:outlineLvl w:val="1"/>
    </w:pPr>
    <w:rPr>
      <w:rFonts w:eastAsiaTheme="majorEastAsia" w:cstheme="majorBidi"/>
      <w:b/>
      <w:color w:val="000000" w:themeColor="text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D06BB"/>
    <w:pPr>
      <w:tabs>
        <w:tab w:val="center" w:pos="4153"/>
        <w:tab w:val="right" w:pos="8306"/>
      </w:tabs>
    </w:pPr>
    <w:rPr>
      <w:lang w:eastAsia="en-US"/>
    </w:rPr>
  </w:style>
  <w:style w:type="character" w:styleId="PageNumber">
    <w:name w:val="page number"/>
    <w:basedOn w:val="DefaultParagraphFont"/>
    <w:rsid w:val="00AD06BB"/>
  </w:style>
  <w:style w:type="paragraph" w:styleId="Footer">
    <w:name w:val="footer"/>
    <w:basedOn w:val="Normal"/>
    <w:link w:val="FooterChar"/>
    <w:uiPriority w:val="99"/>
    <w:rsid w:val="00AD06BB"/>
    <w:pPr>
      <w:tabs>
        <w:tab w:val="center" w:pos="4153"/>
        <w:tab w:val="right" w:pos="8306"/>
      </w:tabs>
    </w:pPr>
    <w:rPr>
      <w:lang w:eastAsia="en-US"/>
    </w:rPr>
  </w:style>
  <w:style w:type="paragraph" w:styleId="BalloonText">
    <w:name w:val="Balloon Text"/>
    <w:basedOn w:val="Normal"/>
    <w:link w:val="BalloonTextChar"/>
    <w:uiPriority w:val="99"/>
    <w:semiHidden/>
    <w:unhideWhenUsed/>
    <w:rsid w:val="00C174BB"/>
    <w:rPr>
      <w:rFonts w:ascii="Tahoma" w:hAnsi="Tahoma" w:cs="Tahoma"/>
      <w:sz w:val="16"/>
      <w:szCs w:val="16"/>
      <w:lang w:eastAsia="en-US"/>
    </w:rPr>
  </w:style>
  <w:style w:type="character" w:customStyle="1" w:styleId="BalloonTextChar">
    <w:name w:val="Balloon Text Char"/>
    <w:link w:val="BalloonText"/>
    <w:uiPriority w:val="99"/>
    <w:semiHidden/>
    <w:rsid w:val="00C174BB"/>
    <w:rPr>
      <w:rFonts w:ascii="Tahoma" w:hAnsi="Tahoma" w:cs="Tahoma"/>
      <w:sz w:val="16"/>
      <w:szCs w:val="16"/>
      <w:lang w:eastAsia="en-US"/>
    </w:rPr>
  </w:style>
  <w:style w:type="paragraph" w:styleId="E-mailSignature">
    <w:name w:val="E-mail Signature"/>
    <w:basedOn w:val="Normal"/>
    <w:link w:val="E-mailSignatureChar"/>
    <w:rsid w:val="00DD675D"/>
    <w:rPr>
      <w:rFonts w:eastAsia="SimSun"/>
      <w:lang w:eastAsia="zh-CN"/>
    </w:rPr>
  </w:style>
  <w:style w:type="character" w:customStyle="1" w:styleId="E-mailSignatureChar">
    <w:name w:val="E-mail Signature Char"/>
    <w:link w:val="E-mailSignature"/>
    <w:rsid w:val="00DD675D"/>
    <w:rPr>
      <w:rFonts w:eastAsia="SimSun"/>
      <w:sz w:val="24"/>
      <w:szCs w:val="24"/>
      <w:lang w:eastAsia="zh-CN"/>
    </w:rPr>
  </w:style>
  <w:style w:type="character" w:customStyle="1" w:styleId="FooterChar">
    <w:name w:val="Footer Char"/>
    <w:link w:val="Footer"/>
    <w:uiPriority w:val="99"/>
    <w:rsid w:val="00AA3D9E"/>
    <w:rPr>
      <w:sz w:val="24"/>
      <w:szCs w:val="24"/>
      <w:lang w:eastAsia="en-US"/>
    </w:rPr>
  </w:style>
  <w:style w:type="character" w:customStyle="1" w:styleId="apple-style-span">
    <w:name w:val="apple-style-span"/>
    <w:basedOn w:val="DefaultParagraphFont"/>
    <w:rsid w:val="00BE35D2"/>
  </w:style>
  <w:style w:type="character" w:styleId="Hyperlink">
    <w:name w:val="Hyperlink"/>
    <w:uiPriority w:val="99"/>
    <w:unhideWhenUsed/>
    <w:rsid w:val="00BE35D2"/>
    <w:rPr>
      <w:color w:val="0000FF"/>
      <w:u w:val="single"/>
    </w:rPr>
  </w:style>
  <w:style w:type="paragraph" w:styleId="Date">
    <w:name w:val="Date"/>
    <w:basedOn w:val="Normal"/>
    <w:next w:val="Normal"/>
    <w:link w:val="DateChar"/>
    <w:rsid w:val="006C0F42"/>
    <w:rPr>
      <w:lang w:eastAsia="en-US"/>
    </w:rPr>
  </w:style>
  <w:style w:type="character" w:customStyle="1" w:styleId="DateChar">
    <w:name w:val="Date Char"/>
    <w:link w:val="Date"/>
    <w:rsid w:val="006C0F42"/>
    <w:rPr>
      <w:sz w:val="24"/>
      <w:szCs w:val="24"/>
      <w:lang w:eastAsia="en-US"/>
    </w:rPr>
  </w:style>
  <w:style w:type="character" w:styleId="Strong">
    <w:name w:val="Strong"/>
    <w:qFormat/>
    <w:rsid w:val="00876992"/>
    <w:rPr>
      <w:b/>
      <w:bCs/>
    </w:rPr>
  </w:style>
  <w:style w:type="paragraph" w:styleId="NormalWeb">
    <w:name w:val="Normal (Web)"/>
    <w:basedOn w:val="Normal"/>
    <w:uiPriority w:val="99"/>
    <w:unhideWhenUsed/>
    <w:rsid w:val="000A5E8D"/>
    <w:pPr>
      <w:spacing w:before="100" w:beforeAutospacing="1" w:after="100" w:afterAutospacing="1"/>
    </w:pPr>
  </w:style>
  <w:style w:type="character" w:styleId="Emphasis">
    <w:name w:val="Emphasis"/>
    <w:uiPriority w:val="20"/>
    <w:qFormat/>
    <w:rsid w:val="00C315FE"/>
    <w:rPr>
      <w:i/>
      <w:iCs/>
    </w:rPr>
  </w:style>
  <w:style w:type="character" w:styleId="FollowedHyperlink">
    <w:name w:val="FollowedHyperlink"/>
    <w:rsid w:val="00A5002C"/>
    <w:rPr>
      <w:color w:val="954F72"/>
      <w:u w:val="single"/>
    </w:rPr>
  </w:style>
  <w:style w:type="paragraph" w:styleId="NoSpacing">
    <w:name w:val="No Spacing"/>
    <w:uiPriority w:val="1"/>
    <w:qFormat/>
    <w:rsid w:val="00F3120E"/>
    <w:rPr>
      <w:sz w:val="24"/>
      <w:szCs w:val="24"/>
      <w:lang w:eastAsia="en-US"/>
    </w:rPr>
  </w:style>
  <w:style w:type="character" w:customStyle="1" w:styleId="Heading1Char">
    <w:name w:val="Heading 1 Char"/>
    <w:basedOn w:val="DefaultParagraphFont"/>
    <w:link w:val="Heading1"/>
    <w:rsid w:val="009C7D07"/>
    <w:rPr>
      <w:rFonts w:eastAsiaTheme="majorEastAsia" w:cstheme="majorBidi"/>
      <w:b/>
      <w:color w:val="000000" w:themeColor="text1"/>
      <w:sz w:val="24"/>
      <w:szCs w:val="32"/>
      <w:lang w:eastAsia="en-US"/>
    </w:rPr>
  </w:style>
  <w:style w:type="character" w:customStyle="1" w:styleId="Heading2Char">
    <w:name w:val="Heading 2 Char"/>
    <w:basedOn w:val="DefaultParagraphFont"/>
    <w:link w:val="Heading2"/>
    <w:rsid w:val="009C7D07"/>
    <w:rPr>
      <w:rFonts w:eastAsiaTheme="majorEastAsia" w:cstheme="majorBidi"/>
      <w:b/>
      <w:color w:val="000000" w:themeColor="text1"/>
      <w:sz w:val="24"/>
      <w:szCs w:val="26"/>
      <w:lang w:eastAsia="en-US"/>
    </w:rPr>
  </w:style>
  <w:style w:type="character" w:styleId="UnresolvedMention">
    <w:name w:val="Unresolved Mention"/>
    <w:basedOn w:val="DefaultParagraphFont"/>
    <w:uiPriority w:val="99"/>
    <w:semiHidden/>
    <w:unhideWhenUsed/>
    <w:rsid w:val="00333227"/>
    <w:rPr>
      <w:color w:val="605E5C"/>
      <w:shd w:val="clear" w:color="auto" w:fill="E1DFDD"/>
    </w:rPr>
  </w:style>
  <w:style w:type="character" w:styleId="CommentReference">
    <w:name w:val="annotation reference"/>
    <w:basedOn w:val="DefaultParagraphFont"/>
    <w:uiPriority w:val="99"/>
    <w:unhideWhenUsed/>
    <w:rsid w:val="00455C85"/>
    <w:rPr>
      <w:sz w:val="16"/>
      <w:szCs w:val="16"/>
    </w:rPr>
  </w:style>
  <w:style w:type="paragraph" w:styleId="CommentText">
    <w:name w:val="annotation text"/>
    <w:basedOn w:val="Normal"/>
    <w:link w:val="CommentTextChar"/>
    <w:uiPriority w:val="99"/>
    <w:unhideWhenUsed/>
    <w:rsid w:val="00455C85"/>
    <w:rPr>
      <w:sz w:val="20"/>
      <w:szCs w:val="20"/>
    </w:rPr>
  </w:style>
  <w:style w:type="character" w:customStyle="1" w:styleId="CommentTextChar">
    <w:name w:val="Comment Text Char"/>
    <w:basedOn w:val="DefaultParagraphFont"/>
    <w:link w:val="CommentText"/>
    <w:uiPriority w:val="99"/>
    <w:rsid w:val="00455C85"/>
  </w:style>
  <w:style w:type="character" w:customStyle="1" w:styleId="bold">
    <w:name w:val="bold"/>
    <w:basedOn w:val="DefaultParagraphFont"/>
    <w:rsid w:val="001721F2"/>
  </w:style>
  <w:style w:type="paragraph" w:customStyle="1" w:styleId="p">
    <w:name w:val="p"/>
    <w:basedOn w:val="Normal"/>
    <w:rsid w:val="00D542D5"/>
    <w:pPr>
      <w:spacing w:before="100" w:beforeAutospacing="1" w:after="100" w:afterAutospacing="1"/>
    </w:pPr>
  </w:style>
  <w:style w:type="paragraph" w:styleId="CommentSubject">
    <w:name w:val="annotation subject"/>
    <w:basedOn w:val="CommentText"/>
    <w:next w:val="CommentText"/>
    <w:link w:val="CommentSubjectChar"/>
    <w:rsid w:val="00555F44"/>
    <w:rPr>
      <w:b/>
      <w:bCs/>
    </w:rPr>
  </w:style>
  <w:style w:type="character" w:customStyle="1" w:styleId="CommentSubjectChar">
    <w:name w:val="Comment Subject Char"/>
    <w:basedOn w:val="CommentTextChar"/>
    <w:link w:val="CommentSubject"/>
    <w:rsid w:val="00555F4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369130">
      <w:bodyDiv w:val="1"/>
      <w:marLeft w:val="0"/>
      <w:marRight w:val="0"/>
      <w:marTop w:val="0"/>
      <w:marBottom w:val="0"/>
      <w:divBdr>
        <w:top w:val="none" w:sz="0" w:space="0" w:color="auto"/>
        <w:left w:val="none" w:sz="0" w:space="0" w:color="auto"/>
        <w:bottom w:val="none" w:sz="0" w:space="0" w:color="auto"/>
        <w:right w:val="none" w:sz="0" w:space="0" w:color="auto"/>
      </w:divBdr>
    </w:div>
    <w:div w:id="179319535">
      <w:bodyDiv w:val="1"/>
      <w:marLeft w:val="0"/>
      <w:marRight w:val="0"/>
      <w:marTop w:val="0"/>
      <w:marBottom w:val="0"/>
      <w:divBdr>
        <w:top w:val="none" w:sz="0" w:space="0" w:color="auto"/>
        <w:left w:val="none" w:sz="0" w:space="0" w:color="auto"/>
        <w:bottom w:val="none" w:sz="0" w:space="0" w:color="auto"/>
        <w:right w:val="none" w:sz="0" w:space="0" w:color="auto"/>
      </w:divBdr>
    </w:div>
    <w:div w:id="195242693">
      <w:bodyDiv w:val="1"/>
      <w:marLeft w:val="0"/>
      <w:marRight w:val="0"/>
      <w:marTop w:val="0"/>
      <w:marBottom w:val="0"/>
      <w:divBdr>
        <w:top w:val="none" w:sz="0" w:space="0" w:color="auto"/>
        <w:left w:val="none" w:sz="0" w:space="0" w:color="auto"/>
        <w:bottom w:val="none" w:sz="0" w:space="0" w:color="auto"/>
        <w:right w:val="none" w:sz="0" w:space="0" w:color="auto"/>
      </w:divBdr>
    </w:div>
    <w:div w:id="216934511">
      <w:bodyDiv w:val="1"/>
      <w:marLeft w:val="0"/>
      <w:marRight w:val="0"/>
      <w:marTop w:val="0"/>
      <w:marBottom w:val="0"/>
      <w:divBdr>
        <w:top w:val="none" w:sz="0" w:space="0" w:color="auto"/>
        <w:left w:val="none" w:sz="0" w:space="0" w:color="auto"/>
        <w:bottom w:val="none" w:sz="0" w:space="0" w:color="auto"/>
        <w:right w:val="none" w:sz="0" w:space="0" w:color="auto"/>
      </w:divBdr>
    </w:div>
    <w:div w:id="273634246">
      <w:bodyDiv w:val="1"/>
      <w:marLeft w:val="0"/>
      <w:marRight w:val="0"/>
      <w:marTop w:val="0"/>
      <w:marBottom w:val="0"/>
      <w:divBdr>
        <w:top w:val="none" w:sz="0" w:space="0" w:color="auto"/>
        <w:left w:val="none" w:sz="0" w:space="0" w:color="auto"/>
        <w:bottom w:val="none" w:sz="0" w:space="0" w:color="auto"/>
        <w:right w:val="none" w:sz="0" w:space="0" w:color="auto"/>
      </w:divBdr>
    </w:div>
    <w:div w:id="274287299">
      <w:bodyDiv w:val="1"/>
      <w:marLeft w:val="0"/>
      <w:marRight w:val="0"/>
      <w:marTop w:val="0"/>
      <w:marBottom w:val="0"/>
      <w:divBdr>
        <w:top w:val="none" w:sz="0" w:space="0" w:color="auto"/>
        <w:left w:val="none" w:sz="0" w:space="0" w:color="auto"/>
        <w:bottom w:val="none" w:sz="0" w:space="0" w:color="auto"/>
        <w:right w:val="none" w:sz="0" w:space="0" w:color="auto"/>
      </w:divBdr>
    </w:div>
    <w:div w:id="340547466">
      <w:bodyDiv w:val="1"/>
      <w:marLeft w:val="0"/>
      <w:marRight w:val="0"/>
      <w:marTop w:val="0"/>
      <w:marBottom w:val="0"/>
      <w:divBdr>
        <w:top w:val="none" w:sz="0" w:space="0" w:color="auto"/>
        <w:left w:val="none" w:sz="0" w:space="0" w:color="auto"/>
        <w:bottom w:val="none" w:sz="0" w:space="0" w:color="auto"/>
        <w:right w:val="none" w:sz="0" w:space="0" w:color="auto"/>
      </w:divBdr>
    </w:div>
    <w:div w:id="389769891">
      <w:bodyDiv w:val="1"/>
      <w:marLeft w:val="0"/>
      <w:marRight w:val="0"/>
      <w:marTop w:val="0"/>
      <w:marBottom w:val="0"/>
      <w:divBdr>
        <w:top w:val="none" w:sz="0" w:space="0" w:color="auto"/>
        <w:left w:val="none" w:sz="0" w:space="0" w:color="auto"/>
        <w:bottom w:val="none" w:sz="0" w:space="0" w:color="auto"/>
        <w:right w:val="none" w:sz="0" w:space="0" w:color="auto"/>
      </w:divBdr>
    </w:div>
    <w:div w:id="436871492">
      <w:bodyDiv w:val="1"/>
      <w:marLeft w:val="0"/>
      <w:marRight w:val="0"/>
      <w:marTop w:val="0"/>
      <w:marBottom w:val="0"/>
      <w:divBdr>
        <w:top w:val="none" w:sz="0" w:space="0" w:color="auto"/>
        <w:left w:val="none" w:sz="0" w:space="0" w:color="auto"/>
        <w:bottom w:val="none" w:sz="0" w:space="0" w:color="auto"/>
        <w:right w:val="none" w:sz="0" w:space="0" w:color="auto"/>
      </w:divBdr>
    </w:div>
    <w:div w:id="483010269">
      <w:bodyDiv w:val="1"/>
      <w:marLeft w:val="0"/>
      <w:marRight w:val="0"/>
      <w:marTop w:val="0"/>
      <w:marBottom w:val="0"/>
      <w:divBdr>
        <w:top w:val="none" w:sz="0" w:space="0" w:color="auto"/>
        <w:left w:val="none" w:sz="0" w:space="0" w:color="auto"/>
        <w:bottom w:val="none" w:sz="0" w:space="0" w:color="auto"/>
        <w:right w:val="none" w:sz="0" w:space="0" w:color="auto"/>
      </w:divBdr>
    </w:div>
    <w:div w:id="525827629">
      <w:bodyDiv w:val="1"/>
      <w:marLeft w:val="0"/>
      <w:marRight w:val="0"/>
      <w:marTop w:val="0"/>
      <w:marBottom w:val="0"/>
      <w:divBdr>
        <w:top w:val="none" w:sz="0" w:space="0" w:color="auto"/>
        <w:left w:val="none" w:sz="0" w:space="0" w:color="auto"/>
        <w:bottom w:val="none" w:sz="0" w:space="0" w:color="auto"/>
        <w:right w:val="none" w:sz="0" w:space="0" w:color="auto"/>
      </w:divBdr>
    </w:div>
    <w:div w:id="620187356">
      <w:bodyDiv w:val="1"/>
      <w:marLeft w:val="0"/>
      <w:marRight w:val="0"/>
      <w:marTop w:val="0"/>
      <w:marBottom w:val="0"/>
      <w:divBdr>
        <w:top w:val="none" w:sz="0" w:space="0" w:color="auto"/>
        <w:left w:val="none" w:sz="0" w:space="0" w:color="auto"/>
        <w:bottom w:val="none" w:sz="0" w:space="0" w:color="auto"/>
        <w:right w:val="none" w:sz="0" w:space="0" w:color="auto"/>
      </w:divBdr>
    </w:div>
    <w:div w:id="659240295">
      <w:bodyDiv w:val="1"/>
      <w:marLeft w:val="0"/>
      <w:marRight w:val="0"/>
      <w:marTop w:val="0"/>
      <w:marBottom w:val="0"/>
      <w:divBdr>
        <w:top w:val="none" w:sz="0" w:space="0" w:color="auto"/>
        <w:left w:val="none" w:sz="0" w:space="0" w:color="auto"/>
        <w:bottom w:val="none" w:sz="0" w:space="0" w:color="auto"/>
        <w:right w:val="none" w:sz="0" w:space="0" w:color="auto"/>
      </w:divBdr>
      <w:divsChild>
        <w:div w:id="814568992">
          <w:marLeft w:val="0"/>
          <w:marRight w:val="0"/>
          <w:marTop w:val="0"/>
          <w:marBottom w:val="0"/>
          <w:divBdr>
            <w:top w:val="none" w:sz="0" w:space="0" w:color="auto"/>
            <w:left w:val="none" w:sz="0" w:space="0" w:color="auto"/>
            <w:bottom w:val="none" w:sz="0" w:space="0" w:color="auto"/>
            <w:right w:val="none" w:sz="0" w:space="0" w:color="auto"/>
          </w:divBdr>
          <w:divsChild>
            <w:div w:id="2097360991">
              <w:marLeft w:val="0"/>
              <w:marRight w:val="0"/>
              <w:marTop w:val="0"/>
              <w:marBottom w:val="0"/>
              <w:divBdr>
                <w:top w:val="none" w:sz="0" w:space="0" w:color="auto"/>
                <w:left w:val="none" w:sz="0" w:space="0" w:color="auto"/>
                <w:bottom w:val="none" w:sz="0" w:space="0" w:color="auto"/>
                <w:right w:val="none" w:sz="0" w:space="0" w:color="auto"/>
              </w:divBdr>
              <w:divsChild>
                <w:div w:id="10136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012181">
      <w:bodyDiv w:val="1"/>
      <w:marLeft w:val="0"/>
      <w:marRight w:val="0"/>
      <w:marTop w:val="0"/>
      <w:marBottom w:val="0"/>
      <w:divBdr>
        <w:top w:val="none" w:sz="0" w:space="0" w:color="auto"/>
        <w:left w:val="none" w:sz="0" w:space="0" w:color="auto"/>
        <w:bottom w:val="none" w:sz="0" w:space="0" w:color="auto"/>
        <w:right w:val="none" w:sz="0" w:space="0" w:color="auto"/>
      </w:divBdr>
    </w:div>
    <w:div w:id="758989210">
      <w:bodyDiv w:val="1"/>
      <w:marLeft w:val="0"/>
      <w:marRight w:val="0"/>
      <w:marTop w:val="0"/>
      <w:marBottom w:val="0"/>
      <w:divBdr>
        <w:top w:val="none" w:sz="0" w:space="0" w:color="auto"/>
        <w:left w:val="none" w:sz="0" w:space="0" w:color="auto"/>
        <w:bottom w:val="none" w:sz="0" w:space="0" w:color="auto"/>
        <w:right w:val="none" w:sz="0" w:space="0" w:color="auto"/>
      </w:divBdr>
    </w:div>
    <w:div w:id="879780771">
      <w:bodyDiv w:val="1"/>
      <w:marLeft w:val="0"/>
      <w:marRight w:val="0"/>
      <w:marTop w:val="0"/>
      <w:marBottom w:val="0"/>
      <w:divBdr>
        <w:top w:val="none" w:sz="0" w:space="0" w:color="auto"/>
        <w:left w:val="none" w:sz="0" w:space="0" w:color="auto"/>
        <w:bottom w:val="none" w:sz="0" w:space="0" w:color="auto"/>
        <w:right w:val="none" w:sz="0" w:space="0" w:color="auto"/>
      </w:divBdr>
    </w:div>
    <w:div w:id="1009916153">
      <w:bodyDiv w:val="1"/>
      <w:marLeft w:val="0"/>
      <w:marRight w:val="0"/>
      <w:marTop w:val="0"/>
      <w:marBottom w:val="0"/>
      <w:divBdr>
        <w:top w:val="none" w:sz="0" w:space="0" w:color="auto"/>
        <w:left w:val="none" w:sz="0" w:space="0" w:color="auto"/>
        <w:bottom w:val="none" w:sz="0" w:space="0" w:color="auto"/>
        <w:right w:val="none" w:sz="0" w:space="0" w:color="auto"/>
      </w:divBdr>
    </w:div>
    <w:div w:id="1018311704">
      <w:bodyDiv w:val="1"/>
      <w:marLeft w:val="0"/>
      <w:marRight w:val="0"/>
      <w:marTop w:val="0"/>
      <w:marBottom w:val="0"/>
      <w:divBdr>
        <w:top w:val="none" w:sz="0" w:space="0" w:color="auto"/>
        <w:left w:val="none" w:sz="0" w:space="0" w:color="auto"/>
        <w:bottom w:val="none" w:sz="0" w:space="0" w:color="auto"/>
        <w:right w:val="none" w:sz="0" w:space="0" w:color="auto"/>
      </w:divBdr>
    </w:div>
    <w:div w:id="1097363513">
      <w:bodyDiv w:val="1"/>
      <w:marLeft w:val="0"/>
      <w:marRight w:val="0"/>
      <w:marTop w:val="0"/>
      <w:marBottom w:val="0"/>
      <w:divBdr>
        <w:top w:val="none" w:sz="0" w:space="0" w:color="auto"/>
        <w:left w:val="none" w:sz="0" w:space="0" w:color="auto"/>
        <w:bottom w:val="none" w:sz="0" w:space="0" w:color="auto"/>
        <w:right w:val="none" w:sz="0" w:space="0" w:color="auto"/>
      </w:divBdr>
    </w:div>
    <w:div w:id="1172526561">
      <w:bodyDiv w:val="1"/>
      <w:marLeft w:val="0"/>
      <w:marRight w:val="0"/>
      <w:marTop w:val="0"/>
      <w:marBottom w:val="0"/>
      <w:divBdr>
        <w:top w:val="none" w:sz="0" w:space="0" w:color="auto"/>
        <w:left w:val="none" w:sz="0" w:space="0" w:color="auto"/>
        <w:bottom w:val="none" w:sz="0" w:space="0" w:color="auto"/>
        <w:right w:val="none" w:sz="0" w:space="0" w:color="auto"/>
      </w:divBdr>
    </w:div>
    <w:div w:id="1172601879">
      <w:bodyDiv w:val="1"/>
      <w:marLeft w:val="0"/>
      <w:marRight w:val="0"/>
      <w:marTop w:val="0"/>
      <w:marBottom w:val="0"/>
      <w:divBdr>
        <w:top w:val="none" w:sz="0" w:space="0" w:color="auto"/>
        <w:left w:val="none" w:sz="0" w:space="0" w:color="auto"/>
        <w:bottom w:val="none" w:sz="0" w:space="0" w:color="auto"/>
        <w:right w:val="none" w:sz="0" w:space="0" w:color="auto"/>
      </w:divBdr>
    </w:div>
    <w:div w:id="1175074252">
      <w:bodyDiv w:val="1"/>
      <w:marLeft w:val="0"/>
      <w:marRight w:val="0"/>
      <w:marTop w:val="0"/>
      <w:marBottom w:val="0"/>
      <w:divBdr>
        <w:top w:val="none" w:sz="0" w:space="0" w:color="auto"/>
        <w:left w:val="none" w:sz="0" w:space="0" w:color="auto"/>
        <w:bottom w:val="none" w:sz="0" w:space="0" w:color="auto"/>
        <w:right w:val="none" w:sz="0" w:space="0" w:color="auto"/>
      </w:divBdr>
    </w:div>
    <w:div w:id="1206059842">
      <w:bodyDiv w:val="1"/>
      <w:marLeft w:val="0"/>
      <w:marRight w:val="0"/>
      <w:marTop w:val="0"/>
      <w:marBottom w:val="0"/>
      <w:divBdr>
        <w:top w:val="none" w:sz="0" w:space="0" w:color="auto"/>
        <w:left w:val="none" w:sz="0" w:space="0" w:color="auto"/>
        <w:bottom w:val="none" w:sz="0" w:space="0" w:color="auto"/>
        <w:right w:val="none" w:sz="0" w:space="0" w:color="auto"/>
      </w:divBdr>
    </w:div>
    <w:div w:id="1238439841">
      <w:bodyDiv w:val="1"/>
      <w:marLeft w:val="0"/>
      <w:marRight w:val="0"/>
      <w:marTop w:val="0"/>
      <w:marBottom w:val="0"/>
      <w:divBdr>
        <w:top w:val="none" w:sz="0" w:space="0" w:color="auto"/>
        <w:left w:val="none" w:sz="0" w:space="0" w:color="auto"/>
        <w:bottom w:val="none" w:sz="0" w:space="0" w:color="auto"/>
        <w:right w:val="none" w:sz="0" w:space="0" w:color="auto"/>
      </w:divBdr>
    </w:div>
    <w:div w:id="1262303211">
      <w:bodyDiv w:val="1"/>
      <w:marLeft w:val="0"/>
      <w:marRight w:val="0"/>
      <w:marTop w:val="0"/>
      <w:marBottom w:val="0"/>
      <w:divBdr>
        <w:top w:val="none" w:sz="0" w:space="0" w:color="auto"/>
        <w:left w:val="none" w:sz="0" w:space="0" w:color="auto"/>
        <w:bottom w:val="none" w:sz="0" w:space="0" w:color="auto"/>
        <w:right w:val="none" w:sz="0" w:space="0" w:color="auto"/>
      </w:divBdr>
    </w:div>
    <w:div w:id="1277638862">
      <w:bodyDiv w:val="1"/>
      <w:marLeft w:val="0"/>
      <w:marRight w:val="0"/>
      <w:marTop w:val="0"/>
      <w:marBottom w:val="0"/>
      <w:divBdr>
        <w:top w:val="none" w:sz="0" w:space="0" w:color="auto"/>
        <w:left w:val="none" w:sz="0" w:space="0" w:color="auto"/>
        <w:bottom w:val="none" w:sz="0" w:space="0" w:color="auto"/>
        <w:right w:val="none" w:sz="0" w:space="0" w:color="auto"/>
      </w:divBdr>
    </w:div>
    <w:div w:id="1292132745">
      <w:bodyDiv w:val="1"/>
      <w:marLeft w:val="0"/>
      <w:marRight w:val="0"/>
      <w:marTop w:val="0"/>
      <w:marBottom w:val="0"/>
      <w:divBdr>
        <w:top w:val="none" w:sz="0" w:space="0" w:color="auto"/>
        <w:left w:val="none" w:sz="0" w:space="0" w:color="auto"/>
        <w:bottom w:val="none" w:sz="0" w:space="0" w:color="auto"/>
        <w:right w:val="none" w:sz="0" w:space="0" w:color="auto"/>
      </w:divBdr>
    </w:div>
    <w:div w:id="1314984474">
      <w:bodyDiv w:val="1"/>
      <w:marLeft w:val="0"/>
      <w:marRight w:val="0"/>
      <w:marTop w:val="0"/>
      <w:marBottom w:val="0"/>
      <w:divBdr>
        <w:top w:val="none" w:sz="0" w:space="0" w:color="auto"/>
        <w:left w:val="none" w:sz="0" w:space="0" w:color="auto"/>
        <w:bottom w:val="none" w:sz="0" w:space="0" w:color="auto"/>
        <w:right w:val="none" w:sz="0" w:space="0" w:color="auto"/>
      </w:divBdr>
    </w:div>
    <w:div w:id="1334722756">
      <w:bodyDiv w:val="1"/>
      <w:marLeft w:val="0"/>
      <w:marRight w:val="0"/>
      <w:marTop w:val="0"/>
      <w:marBottom w:val="0"/>
      <w:divBdr>
        <w:top w:val="none" w:sz="0" w:space="0" w:color="auto"/>
        <w:left w:val="none" w:sz="0" w:space="0" w:color="auto"/>
        <w:bottom w:val="none" w:sz="0" w:space="0" w:color="auto"/>
        <w:right w:val="none" w:sz="0" w:space="0" w:color="auto"/>
      </w:divBdr>
    </w:div>
    <w:div w:id="1523937083">
      <w:bodyDiv w:val="1"/>
      <w:marLeft w:val="0"/>
      <w:marRight w:val="0"/>
      <w:marTop w:val="0"/>
      <w:marBottom w:val="0"/>
      <w:divBdr>
        <w:top w:val="none" w:sz="0" w:space="0" w:color="auto"/>
        <w:left w:val="none" w:sz="0" w:space="0" w:color="auto"/>
        <w:bottom w:val="none" w:sz="0" w:space="0" w:color="auto"/>
        <w:right w:val="none" w:sz="0" w:space="0" w:color="auto"/>
      </w:divBdr>
    </w:div>
    <w:div w:id="1526290115">
      <w:bodyDiv w:val="1"/>
      <w:marLeft w:val="0"/>
      <w:marRight w:val="0"/>
      <w:marTop w:val="0"/>
      <w:marBottom w:val="0"/>
      <w:divBdr>
        <w:top w:val="none" w:sz="0" w:space="0" w:color="auto"/>
        <w:left w:val="none" w:sz="0" w:space="0" w:color="auto"/>
        <w:bottom w:val="none" w:sz="0" w:space="0" w:color="auto"/>
        <w:right w:val="none" w:sz="0" w:space="0" w:color="auto"/>
      </w:divBdr>
    </w:div>
    <w:div w:id="1529491375">
      <w:bodyDiv w:val="1"/>
      <w:marLeft w:val="0"/>
      <w:marRight w:val="0"/>
      <w:marTop w:val="0"/>
      <w:marBottom w:val="0"/>
      <w:divBdr>
        <w:top w:val="none" w:sz="0" w:space="0" w:color="auto"/>
        <w:left w:val="none" w:sz="0" w:space="0" w:color="auto"/>
        <w:bottom w:val="none" w:sz="0" w:space="0" w:color="auto"/>
        <w:right w:val="none" w:sz="0" w:space="0" w:color="auto"/>
      </w:divBdr>
    </w:div>
    <w:div w:id="1565213275">
      <w:bodyDiv w:val="1"/>
      <w:marLeft w:val="0"/>
      <w:marRight w:val="0"/>
      <w:marTop w:val="0"/>
      <w:marBottom w:val="0"/>
      <w:divBdr>
        <w:top w:val="none" w:sz="0" w:space="0" w:color="auto"/>
        <w:left w:val="none" w:sz="0" w:space="0" w:color="auto"/>
        <w:bottom w:val="none" w:sz="0" w:space="0" w:color="auto"/>
        <w:right w:val="none" w:sz="0" w:space="0" w:color="auto"/>
      </w:divBdr>
    </w:div>
    <w:div w:id="1568414109">
      <w:bodyDiv w:val="1"/>
      <w:marLeft w:val="0"/>
      <w:marRight w:val="0"/>
      <w:marTop w:val="0"/>
      <w:marBottom w:val="0"/>
      <w:divBdr>
        <w:top w:val="none" w:sz="0" w:space="0" w:color="auto"/>
        <w:left w:val="none" w:sz="0" w:space="0" w:color="auto"/>
        <w:bottom w:val="none" w:sz="0" w:space="0" w:color="auto"/>
        <w:right w:val="none" w:sz="0" w:space="0" w:color="auto"/>
      </w:divBdr>
    </w:div>
    <w:div w:id="1587227575">
      <w:bodyDiv w:val="1"/>
      <w:marLeft w:val="0"/>
      <w:marRight w:val="0"/>
      <w:marTop w:val="0"/>
      <w:marBottom w:val="0"/>
      <w:divBdr>
        <w:top w:val="none" w:sz="0" w:space="0" w:color="auto"/>
        <w:left w:val="none" w:sz="0" w:space="0" w:color="auto"/>
        <w:bottom w:val="none" w:sz="0" w:space="0" w:color="auto"/>
        <w:right w:val="none" w:sz="0" w:space="0" w:color="auto"/>
      </w:divBdr>
      <w:divsChild>
        <w:div w:id="1614900170">
          <w:marLeft w:val="0"/>
          <w:marRight w:val="0"/>
          <w:marTop w:val="0"/>
          <w:marBottom w:val="0"/>
          <w:divBdr>
            <w:top w:val="none" w:sz="0" w:space="0" w:color="auto"/>
            <w:left w:val="none" w:sz="0" w:space="0" w:color="auto"/>
            <w:bottom w:val="none" w:sz="0" w:space="0" w:color="auto"/>
            <w:right w:val="none" w:sz="0" w:space="0" w:color="auto"/>
          </w:divBdr>
          <w:divsChild>
            <w:div w:id="1830898152">
              <w:marLeft w:val="0"/>
              <w:marRight w:val="0"/>
              <w:marTop w:val="0"/>
              <w:marBottom w:val="120"/>
              <w:divBdr>
                <w:top w:val="none" w:sz="0" w:space="0" w:color="auto"/>
                <w:left w:val="none" w:sz="0" w:space="0" w:color="auto"/>
                <w:bottom w:val="none" w:sz="0" w:space="0" w:color="auto"/>
                <w:right w:val="none" w:sz="0" w:space="0" w:color="auto"/>
              </w:divBdr>
              <w:divsChild>
                <w:div w:id="40974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326908">
      <w:bodyDiv w:val="1"/>
      <w:marLeft w:val="0"/>
      <w:marRight w:val="0"/>
      <w:marTop w:val="0"/>
      <w:marBottom w:val="0"/>
      <w:divBdr>
        <w:top w:val="none" w:sz="0" w:space="0" w:color="auto"/>
        <w:left w:val="none" w:sz="0" w:space="0" w:color="auto"/>
        <w:bottom w:val="none" w:sz="0" w:space="0" w:color="auto"/>
        <w:right w:val="none" w:sz="0" w:space="0" w:color="auto"/>
      </w:divBdr>
    </w:div>
    <w:div w:id="1630359106">
      <w:bodyDiv w:val="1"/>
      <w:marLeft w:val="0"/>
      <w:marRight w:val="0"/>
      <w:marTop w:val="0"/>
      <w:marBottom w:val="0"/>
      <w:divBdr>
        <w:top w:val="none" w:sz="0" w:space="0" w:color="auto"/>
        <w:left w:val="none" w:sz="0" w:space="0" w:color="auto"/>
        <w:bottom w:val="none" w:sz="0" w:space="0" w:color="auto"/>
        <w:right w:val="none" w:sz="0" w:space="0" w:color="auto"/>
      </w:divBdr>
    </w:div>
    <w:div w:id="1643726836">
      <w:bodyDiv w:val="1"/>
      <w:marLeft w:val="0"/>
      <w:marRight w:val="0"/>
      <w:marTop w:val="0"/>
      <w:marBottom w:val="0"/>
      <w:divBdr>
        <w:top w:val="none" w:sz="0" w:space="0" w:color="auto"/>
        <w:left w:val="none" w:sz="0" w:space="0" w:color="auto"/>
        <w:bottom w:val="none" w:sz="0" w:space="0" w:color="auto"/>
        <w:right w:val="none" w:sz="0" w:space="0" w:color="auto"/>
      </w:divBdr>
    </w:div>
    <w:div w:id="1645503887">
      <w:bodyDiv w:val="1"/>
      <w:marLeft w:val="0"/>
      <w:marRight w:val="0"/>
      <w:marTop w:val="0"/>
      <w:marBottom w:val="0"/>
      <w:divBdr>
        <w:top w:val="none" w:sz="0" w:space="0" w:color="auto"/>
        <w:left w:val="none" w:sz="0" w:space="0" w:color="auto"/>
        <w:bottom w:val="none" w:sz="0" w:space="0" w:color="auto"/>
        <w:right w:val="none" w:sz="0" w:space="0" w:color="auto"/>
      </w:divBdr>
    </w:div>
    <w:div w:id="1705403570">
      <w:bodyDiv w:val="1"/>
      <w:marLeft w:val="0"/>
      <w:marRight w:val="0"/>
      <w:marTop w:val="0"/>
      <w:marBottom w:val="0"/>
      <w:divBdr>
        <w:top w:val="none" w:sz="0" w:space="0" w:color="auto"/>
        <w:left w:val="none" w:sz="0" w:space="0" w:color="auto"/>
        <w:bottom w:val="none" w:sz="0" w:space="0" w:color="auto"/>
        <w:right w:val="none" w:sz="0" w:space="0" w:color="auto"/>
      </w:divBdr>
    </w:div>
    <w:div w:id="1720469124">
      <w:bodyDiv w:val="1"/>
      <w:marLeft w:val="0"/>
      <w:marRight w:val="0"/>
      <w:marTop w:val="0"/>
      <w:marBottom w:val="0"/>
      <w:divBdr>
        <w:top w:val="none" w:sz="0" w:space="0" w:color="auto"/>
        <w:left w:val="none" w:sz="0" w:space="0" w:color="auto"/>
        <w:bottom w:val="none" w:sz="0" w:space="0" w:color="auto"/>
        <w:right w:val="none" w:sz="0" w:space="0" w:color="auto"/>
      </w:divBdr>
    </w:div>
    <w:div w:id="1752894185">
      <w:bodyDiv w:val="1"/>
      <w:marLeft w:val="0"/>
      <w:marRight w:val="0"/>
      <w:marTop w:val="0"/>
      <w:marBottom w:val="0"/>
      <w:divBdr>
        <w:top w:val="none" w:sz="0" w:space="0" w:color="auto"/>
        <w:left w:val="none" w:sz="0" w:space="0" w:color="auto"/>
        <w:bottom w:val="none" w:sz="0" w:space="0" w:color="auto"/>
        <w:right w:val="none" w:sz="0" w:space="0" w:color="auto"/>
      </w:divBdr>
    </w:div>
    <w:div w:id="1843273539">
      <w:bodyDiv w:val="1"/>
      <w:marLeft w:val="0"/>
      <w:marRight w:val="0"/>
      <w:marTop w:val="0"/>
      <w:marBottom w:val="0"/>
      <w:divBdr>
        <w:top w:val="none" w:sz="0" w:space="0" w:color="auto"/>
        <w:left w:val="none" w:sz="0" w:space="0" w:color="auto"/>
        <w:bottom w:val="none" w:sz="0" w:space="0" w:color="auto"/>
        <w:right w:val="none" w:sz="0" w:space="0" w:color="auto"/>
      </w:divBdr>
    </w:div>
    <w:div w:id="1864436259">
      <w:bodyDiv w:val="1"/>
      <w:marLeft w:val="0"/>
      <w:marRight w:val="0"/>
      <w:marTop w:val="0"/>
      <w:marBottom w:val="0"/>
      <w:divBdr>
        <w:top w:val="none" w:sz="0" w:space="0" w:color="auto"/>
        <w:left w:val="none" w:sz="0" w:space="0" w:color="auto"/>
        <w:bottom w:val="none" w:sz="0" w:space="0" w:color="auto"/>
        <w:right w:val="none" w:sz="0" w:space="0" w:color="auto"/>
      </w:divBdr>
    </w:div>
    <w:div w:id="1874075065">
      <w:bodyDiv w:val="1"/>
      <w:marLeft w:val="0"/>
      <w:marRight w:val="0"/>
      <w:marTop w:val="0"/>
      <w:marBottom w:val="0"/>
      <w:divBdr>
        <w:top w:val="none" w:sz="0" w:space="0" w:color="auto"/>
        <w:left w:val="none" w:sz="0" w:space="0" w:color="auto"/>
        <w:bottom w:val="none" w:sz="0" w:space="0" w:color="auto"/>
        <w:right w:val="none" w:sz="0" w:space="0" w:color="auto"/>
      </w:divBdr>
    </w:div>
    <w:div w:id="1896428913">
      <w:bodyDiv w:val="1"/>
      <w:marLeft w:val="0"/>
      <w:marRight w:val="0"/>
      <w:marTop w:val="0"/>
      <w:marBottom w:val="0"/>
      <w:divBdr>
        <w:top w:val="none" w:sz="0" w:space="0" w:color="auto"/>
        <w:left w:val="none" w:sz="0" w:space="0" w:color="auto"/>
        <w:bottom w:val="none" w:sz="0" w:space="0" w:color="auto"/>
        <w:right w:val="none" w:sz="0" w:space="0" w:color="auto"/>
      </w:divBdr>
    </w:div>
    <w:div w:id="1946955708">
      <w:bodyDiv w:val="1"/>
      <w:marLeft w:val="0"/>
      <w:marRight w:val="0"/>
      <w:marTop w:val="0"/>
      <w:marBottom w:val="0"/>
      <w:divBdr>
        <w:top w:val="none" w:sz="0" w:space="0" w:color="auto"/>
        <w:left w:val="none" w:sz="0" w:space="0" w:color="auto"/>
        <w:bottom w:val="none" w:sz="0" w:space="0" w:color="auto"/>
        <w:right w:val="none" w:sz="0" w:space="0" w:color="auto"/>
      </w:divBdr>
    </w:div>
    <w:div w:id="1984657353">
      <w:bodyDiv w:val="1"/>
      <w:marLeft w:val="0"/>
      <w:marRight w:val="0"/>
      <w:marTop w:val="0"/>
      <w:marBottom w:val="0"/>
      <w:divBdr>
        <w:top w:val="none" w:sz="0" w:space="0" w:color="auto"/>
        <w:left w:val="none" w:sz="0" w:space="0" w:color="auto"/>
        <w:bottom w:val="none" w:sz="0" w:space="0" w:color="auto"/>
        <w:right w:val="none" w:sz="0" w:space="0" w:color="auto"/>
      </w:divBdr>
    </w:div>
    <w:div w:id="2068914398">
      <w:bodyDiv w:val="1"/>
      <w:marLeft w:val="0"/>
      <w:marRight w:val="0"/>
      <w:marTop w:val="0"/>
      <w:marBottom w:val="0"/>
      <w:divBdr>
        <w:top w:val="none" w:sz="0" w:space="0" w:color="auto"/>
        <w:left w:val="none" w:sz="0" w:space="0" w:color="auto"/>
        <w:bottom w:val="none" w:sz="0" w:space="0" w:color="auto"/>
        <w:right w:val="none" w:sz="0" w:space="0" w:color="auto"/>
      </w:divBdr>
    </w:div>
    <w:div w:id="214003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4115B0-1648-406D-8152-92D5DD79F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28</Pages>
  <Words>33183</Words>
  <Characters>189144</Characters>
  <Application>Microsoft Office Word</Application>
  <DocSecurity>0</DocSecurity>
  <Lines>1576</Lines>
  <Paragraphs>443</Paragraphs>
  <ScaleCrop>false</ScaleCrop>
  <HeadingPairs>
    <vt:vector size="2" baseType="variant">
      <vt:variant>
        <vt:lpstr>Title</vt:lpstr>
      </vt:variant>
      <vt:variant>
        <vt:i4>1</vt:i4>
      </vt:variant>
    </vt:vector>
  </HeadingPairs>
  <TitlesOfParts>
    <vt:vector size="1" baseType="lpstr">
      <vt:lpstr>Chapter 4: The effect of betaine pretreatment on acute alcohol-mediated damage in juveniles</vt:lpstr>
    </vt:vector>
  </TitlesOfParts>
  <Company/>
  <LinksUpToDate>false</LinksUpToDate>
  <CharactersWithSpaces>221884</CharactersWithSpaces>
  <SharedDoc>false</SharedDoc>
  <HLinks>
    <vt:vector size="6" baseType="variant">
      <vt:variant>
        <vt:i4>3670082</vt:i4>
      </vt:variant>
      <vt:variant>
        <vt:i4>0</vt:i4>
      </vt:variant>
      <vt:variant>
        <vt:i4>0</vt:i4>
      </vt:variant>
      <vt:variant>
        <vt:i4>5</vt:i4>
      </vt:variant>
      <vt:variant>
        <vt:lpwstr>mailto:v.b.patel@wmin.ac.uk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The effect of betaine pretreatment on acute alcohol-mediated damage in juveniles</dc:title>
  <dc:subject/>
  <dc:creator>Hannah Everitt</dc:creator>
  <cp:keywords/>
  <cp:lastModifiedBy>Vinood Patel</cp:lastModifiedBy>
  <cp:revision>22</cp:revision>
  <cp:lastPrinted>2010-11-18T12:08:00Z</cp:lastPrinted>
  <dcterms:created xsi:type="dcterms:W3CDTF">2020-12-20T07:34:00Z</dcterms:created>
  <dcterms:modified xsi:type="dcterms:W3CDTF">2021-02-01T11:13:00Z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bce2454e-9231-31de-b69f-96e8dcbcf64c</vt:lpwstr>
  </property>
  <property fmtid="{D5CDD505-2E9C-101B-9397-08002B2CF9AE}" pid="4" name="Mendeley Citation Style_1">
    <vt:lpwstr>http://csl.mendeley.com/styles/564120681/Vancouver-JournalRenalHepaticDisorders</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http://www.zotero.org/styles/monash-bioethics-review</vt:lpwstr>
  </property>
  <property fmtid="{D5CDD505-2E9C-101B-9397-08002B2CF9AE}" pid="10" name="Mendeley Recent Style Name 2_1">
    <vt:lpwstr>Monash Bioethics Review</vt:lpwstr>
  </property>
  <property fmtid="{D5CDD505-2E9C-101B-9397-08002B2CF9AE}" pid="11" name="Mendeley Recent Style Id 3_1">
    <vt:lpwstr>http://www.zotero.org/styles/monash-university-csiro</vt:lpwstr>
  </property>
  <property fmtid="{D5CDD505-2E9C-101B-9397-08002B2CF9AE}" pid="12" name="Mendeley Recent Style Name 3_1">
    <vt:lpwstr>Monash University - CSIRO</vt:lpwstr>
  </property>
  <property fmtid="{D5CDD505-2E9C-101B-9397-08002B2CF9AE}" pid="13" name="Mendeley Recent Style Id 4_1">
    <vt:lpwstr>http://www.zotero.org/styles/monash-university-harvard</vt:lpwstr>
  </property>
  <property fmtid="{D5CDD505-2E9C-101B-9397-08002B2CF9AE}" pid="14" name="Mendeley Recent Style Name 4_1">
    <vt:lpwstr>Monash University - Harvard</vt:lpwstr>
  </property>
  <property fmtid="{D5CDD505-2E9C-101B-9397-08002B2CF9AE}" pid="15" name="Mendeley Recent Style Id 5_1">
    <vt:lpwstr>http://www.zotero.org/styles/nature</vt:lpwstr>
  </property>
  <property fmtid="{D5CDD505-2E9C-101B-9397-08002B2CF9AE}" pid="16" name="Mendeley Recent Style Name 5_1">
    <vt:lpwstr>Nature</vt:lpwstr>
  </property>
  <property fmtid="{D5CDD505-2E9C-101B-9397-08002B2CF9AE}" pid="17" name="Mendeley Recent Style Id 6_1">
    <vt:lpwstr>https://csl.mendeley.com/styles/564120681/Vancouver-JCBN-LucyP</vt:lpwstr>
  </property>
  <property fmtid="{D5CDD505-2E9C-101B-9397-08002B2CF9AE}" pid="18" name="Mendeley Recent Style Name 6_1">
    <vt:lpwstr>Vancouver- JCBN - Lucy Petagine</vt:lpwstr>
  </property>
  <property fmtid="{D5CDD505-2E9C-101B-9397-08002B2CF9AE}" pid="19" name="Mendeley Recent Style Id 7_1">
    <vt:lpwstr>http://csl.mendeley.com/styles/564120681/Vancouver-JCBN-LucyP</vt:lpwstr>
  </property>
  <property fmtid="{D5CDD505-2E9C-101B-9397-08002B2CF9AE}" pid="20" name="Mendeley Recent Style Name 7_1">
    <vt:lpwstr>Vancouver- JCBN - Lucy Petagine</vt:lpwstr>
  </property>
  <property fmtid="{D5CDD505-2E9C-101B-9397-08002B2CF9AE}" pid="21" name="Mendeley Recent Style Id 8_1">
    <vt:lpwstr>https://csl.mendeley.com/styles/564120681/Vancouver-JournalRenalHepaticDisorders</vt:lpwstr>
  </property>
  <property fmtid="{D5CDD505-2E9C-101B-9397-08002B2CF9AE}" pid="22" name="Mendeley Recent Style Name 8_1">
    <vt:lpwstr>Vancouver- Journal Renal Hepatic Disorders</vt:lpwstr>
  </property>
  <property fmtid="{D5CDD505-2E9C-101B-9397-08002B2CF9AE}" pid="23" name="Mendeley Recent Style Id 9_1">
    <vt:lpwstr>http://csl.mendeley.com/styles/564120681/Vancouver-JournalRenalHepaticDisorders</vt:lpwstr>
  </property>
  <property fmtid="{D5CDD505-2E9C-101B-9397-08002B2CF9AE}" pid="24" name="Mendeley Recent Style Name 9_1">
    <vt:lpwstr>Vancouver- Journal Renal Hepatic Disorders - Lucy Petagine</vt:lpwstr>
  </property>
</Properties>
</file>